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3A9C" w14:textId="6465B792" w:rsidR="008430BD" w:rsidRPr="00033A3F" w:rsidRDefault="008430BD" w:rsidP="008430BD">
      <w:pPr>
        <w:rPr>
          <w:color w:val="000000" w:themeColor="text1"/>
        </w:rPr>
      </w:pPr>
      <w:r w:rsidRPr="00033A3F">
        <w:rPr>
          <w:noProof/>
          <w:color w:val="000000" w:themeColor="text1"/>
          <w:lang w:eastAsia="cs-CZ"/>
        </w:rPr>
        <mc:AlternateContent>
          <mc:Choice Requires="wps">
            <w:drawing>
              <wp:anchor distT="0" distB="0" distL="114300" distR="114300" simplePos="0" relativeHeight="251661312" behindDoc="0" locked="0" layoutInCell="1" allowOverlap="1" wp14:anchorId="5553C3B5" wp14:editId="09D14688">
                <wp:simplePos x="0" y="0"/>
                <wp:positionH relativeFrom="column">
                  <wp:posOffset>1681836</wp:posOffset>
                </wp:positionH>
                <wp:positionV relativeFrom="paragraph">
                  <wp:posOffset>-71755</wp:posOffset>
                </wp:positionV>
                <wp:extent cx="4651200" cy="9219600"/>
                <wp:effectExtent l="0" t="0" r="0" b="635"/>
                <wp:wrapNone/>
                <wp:docPr id="124" name="Textové pole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1200" cy="9219600"/>
                        </a:xfrm>
                        <a:prstGeom prst="rect">
                          <a:avLst/>
                        </a:prstGeom>
                        <a:solidFill>
                          <a:sysClr val="window" lastClr="FFFFFF"/>
                        </a:solidFill>
                        <a:ln w="6350">
                          <a:noFill/>
                        </a:ln>
                        <a:effectLst/>
                      </wps:spPr>
                      <wps:txbx>
                        <w:txbxContent>
                          <w:p w14:paraId="24CDB75A" w14:textId="77777777" w:rsidR="000945FE" w:rsidRPr="00311BE7" w:rsidRDefault="000945FE" w:rsidP="008430BD">
                            <w:pPr>
                              <w:spacing w:line="240" w:lineRule="auto"/>
                              <w:rPr>
                                <w:rFonts w:ascii="DIN Next LT Pro Condensed" w:hAnsi="DIN Next LT Pro Condensed"/>
                                <w:color w:val="5D7496"/>
                                <w:sz w:val="150"/>
                              </w:rPr>
                            </w:pPr>
                            <w:r w:rsidRPr="00311BE7">
                              <w:rPr>
                                <w:rFonts w:ascii="DIN Next LT Pro Condensed" w:hAnsi="DIN Next LT Pro Condensed" w:hint="eastAsia"/>
                                <w:color w:val="5D7496"/>
                                <w:sz w:val="150"/>
                              </w:rPr>
                              <w:t>Č</w:t>
                            </w:r>
                            <w:r w:rsidRPr="00311BE7">
                              <w:rPr>
                                <w:rFonts w:ascii="DIN Next LT Pro Condensed" w:hAnsi="DIN Next LT Pro Condensed"/>
                                <w:color w:val="5D7496"/>
                                <w:sz w:val="150"/>
                              </w:rPr>
                              <w:t>esk</w:t>
                            </w:r>
                            <w:r w:rsidRPr="00311BE7">
                              <w:rPr>
                                <w:rFonts w:ascii="DIN Next LT Pro Condensed" w:hAnsi="DIN Next LT Pro Condensed" w:hint="eastAsia"/>
                                <w:color w:val="5D7496"/>
                                <w:sz w:val="150"/>
                              </w:rPr>
                              <w:t>é</w:t>
                            </w:r>
                            <w:r w:rsidRPr="00311BE7">
                              <w:rPr>
                                <w:rFonts w:ascii="DIN Next LT Pro Condensed" w:hAnsi="DIN Next LT Pro Condensed"/>
                                <w:color w:val="5D7496"/>
                                <w:sz w:val="150"/>
                              </w:rPr>
                              <w:t xml:space="preserve"> soudnictv</w:t>
                            </w:r>
                            <w:r w:rsidRPr="00311BE7">
                              <w:rPr>
                                <w:rFonts w:ascii="DIN Next LT Pro Condensed" w:hAnsi="DIN Next LT Pro Condensed" w:hint="eastAsia"/>
                                <w:color w:val="5D7496"/>
                                <w:sz w:val="150"/>
                              </w:rPr>
                              <w:t>í</w:t>
                            </w:r>
                          </w:p>
                          <w:p w14:paraId="02FFB165" w14:textId="146901A4" w:rsidR="000945FE" w:rsidRPr="00311BE7" w:rsidRDefault="000945FE" w:rsidP="008430BD">
                            <w:pPr>
                              <w:spacing w:line="240" w:lineRule="auto"/>
                              <w:rPr>
                                <w:rFonts w:ascii="DIN Next LT Pro Condensed" w:hAnsi="DIN Next LT Pro Condensed"/>
                                <w:color w:val="5D7496"/>
                                <w:sz w:val="150"/>
                              </w:rPr>
                            </w:pPr>
                            <w:r w:rsidRPr="00311BE7">
                              <w:rPr>
                                <w:rFonts w:ascii="DIN Next LT Pro Condensed" w:hAnsi="DIN Next LT Pro Condensed"/>
                                <w:color w:val="5D7496"/>
                                <w:sz w:val="150"/>
                              </w:rPr>
                              <w:t>202</w:t>
                            </w:r>
                            <w:r>
                              <w:rPr>
                                <w:rFonts w:ascii="DIN Next LT Pro Condensed" w:hAnsi="DIN Next LT Pro Condensed"/>
                                <w:color w:val="5D7496"/>
                                <w:sz w:val="150"/>
                              </w:rPr>
                              <w:t>4</w:t>
                            </w:r>
                            <w:r w:rsidRPr="00311BE7">
                              <w:rPr>
                                <w:rFonts w:ascii="DIN Next LT Pro Condensed" w:hAnsi="DIN Next LT Pro Condensed"/>
                                <w:color w:val="5D7496"/>
                                <w:sz w:val="150"/>
                              </w:rPr>
                              <w:t>:</w:t>
                            </w:r>
                          </w:p>
                          <w:p w14:paraId="26451DED" w14:textId="77777777" w:rsidR="000945FE" w:rsidRPr="00311BE7" w:rsidRDefault="000945FE" w:rsidP="006023DD">
                            <w:pPr>
                              <w:spacing w:before="960" w:line="240" w:lineRule="auto"/>
                              <w:rPr>
                                <w:rFonts w:ascii="DIN Next LT Pro Condensed" w:hAnsi="DIN Next LT Pro Condensed"/>
                                <w:color w:val="5D7496"/>
                                <w:sz w:val="136"/>
                              </w:rPr>
                            </w:pPr>
                            <w:r w:rsidRPr="00311BE7">
                              <w:rPr>
                                <w:rFonts w:ascii="DIN Next LT Pro Condensed" w:hAnsi="DIN Next LT Pro Condensed"/>
                                <w:color w:val="5D7496"/>
                                <w:sz w:val="136"/>
                              </w:rPr>
                              <w:t>V</w:t>
                            </w:r>
                            <w:r w:rsidRPr="00311BE7">
                              <w:rPr>
                                <w:rFonts w:ascii="DIN Next LT Pro Condensed" w:hAnsi="DIN Next LT Pro Condensed" w:hint="eastAsia"/>
                                <w:color w:val="5D7496"/>
                                <w:sz w:val="136"/>
                              </w:rPr>
                              <w:t>ý</w:t>
                            </w:r>
                            <w:r w:rsidRPr="00311BE7">
                              <w:rPr>
                                <w:rFonts w:ascii="DIN Next LT Pro Condensed" w:hAnsi="DIN Next LT Pro Condensed"/>
                                <w:color w:val="5D7496"/>
                                <w:sz w:val="136"/>
                              </w:rPr>
                              <w:t>ro</w:t>
                            </w:r>
                            <w:r w:rsidRPr="00311BE7">
                              <w:rPr>
                                <w:rFonts w:ascii="DIN Next LT Pro Condensed" w:hAnsi="DIN Next LT Pro Condensed" w:hint="eastAsia"/>
                                <w:color w:val="5D7496"/>
                                <w:sz w:val="136"/>
                              </w:rPr>
                              <w:t>č</w:t>
                            </w:r>
                            <w:r w:rsidRPr="00311BE7">
                              <w:rPr>
                                <w:rFonts w:ascii="DIN Next LT Pro Condensed" w:hAnsi="DIN Next LT Pro Condensed"/>
                                <w:color w:val="5D7496"/>
                                <w:sz w:val="136"/>
                              </w:rPr>
                              <w:t>n</w:t>
                            </w:r>
                            <w:r w:rsidRPr="00311BE7">
                              <w:rPr>
                                <w:rFonts w:ascii="DIN Next LT Pro Condensed" w:hAnsi="DIN Next LT Pro Condensed" w:hint="eastAsia"/>
                                <w:color w:val="5D7496"/>
                                <w:sz w:val="136"/>
                              </w:rPr>
                              <w:t>í</w:t>
                            </w:r>
                            <w:r w:rsidRPr="00311BE7">
                              <w:rPr>
                                <w:rFonts w:ascii="DIN Next LT Pro Condensed" w:hAnsi="DIN Next LT Pro Condensed"/>
                                <w:color w:val="5D7496"/>
                                <w:sz w:val="136"/>
                              </w:rPr>
                              <w:t xml:space="preserve"> statistick</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 xml:space="preserve"> zpr</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va</w:t>
                            </w:r>
                          </w:p>
                          <w:p w14:paraId="4499C359" w14:textId="77777777" w:rsidR="000945FE" w:rsidRPr="00311BE7" w:rsidRDefault="000945FE" w:rsidP="008430BD">
                            <w:pPr>
                              <w:spacing w:line="240" w:lineRule="auto"/>
                              <w:rPr>
                                <w:rFonts w:ascii="DIN Next LT Pro Condensed" w:hAnsi="DIN Next LT Pro Condensed"/>
                                <w:color w:val="5D7496"/>
                                <w:sz w:val="56"/>
                              </w:rPr>
                            </w:pPr>
                          </w:p>
                          <w:p w14:paraId="36060D8B" w14:textId="77777777" w:rsidR="000945FE" w:rsidRPr="00311BE7" w:rsidRDefault="000945FE" w:rsidP="008430BD">
                            <w:pPr>
                              <w:spacing w:line="240" w:lineRule="auto"/>
                              <w:rPr>
                                <w:rFonts w:ascii="DIN Next LT Pro Condensed" w:hAnsi="DIN Next LT Pro Condensed"/>
                                <w:color w:val="5D7496"/>
                                <w:sz w:val="56"/>
                              </w:rPr>
                            </w:pPr>
                          </w:p>
                          <w:p w14:paraId="21426A69" w14:textId="77777777" w:rsidR="000945FE" w:rsidRPr="00311BE7" w:rsidRDefault="000945FE" w:rsidP="008430BD">
                            <w:pPr>
                              <w:spacing w:line="240" w:lineRule="auto"/>
                              <w:rPr>
                                <w:rFonts w:ascii="DIN Next LT Pro Condensed" w:hAnsi="DIN Next LT Pro Condensed"/>
                                <w:color w:val="5D7496"/>
                                <w:sz w:val="66"/>
                              </w:rPr>
                            </w:pPr>
                            <w:r w:rsidRPr="00311BE7">
                              <w:rPr>
                                <w:rFonts w:ascii="DIN Next LT Pro Condensed" w:hAnsi="DIN Next LT Pro Condensed"/>
                                <w:color w:val="5D7496"/>
                                <w:sz w:val="66"/>
                              </w:rPr>
                              <w:t>Ministerstvo spravedlnosti</w:t>
                            </w:r>
                          </w:p>
                          <w:p w14:paraId="0BF8FA9D" w14:textId="3D804667" w:rsidR="000945FE" w:rsidRPr="0008533B" w:rsidRDefault="000945FE" w:rsidP="008430BD">
                            <w:pPr>
                              <w:spacing w:line="240" w:lineRule="auto"/>
                              <w:rPr>
                                <w:rFonts w:ascii="DIN Next LT Pro Condensed" w:hAnsi="DIN Next LT Pro Condensed"/>
                                <w:sz w:val="40"/>
                                <w:szCs w:val="40"/>
                              </w:rPr>
                            </w:pPr>
                            <w:r w:rsidRPr="003842AE">
                              <w:rPr>
                                <w:rFonts w:ascii="DIN Next LT Pro Condensed" w:hAnsi="DIN Next LT Pro Condensed"/>
                                <w:smallCaps/>
                                <w:color w:val="5D7496"/>
                                <w:sz w:val="40"/>
                                <w:szCs w:val="40"/>
                              </w:rPr>
                              <w:t>justice.cz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53C3B5" id="_x0000_t202" coordsize="21600,21600" o:spt="202" path="m,l,21600r21600,l21600,xe">
                <v:stroke joinstyle="miter"/>
                <v:path gradientshapeok="t" o:connecttype="rect"/>
              </v:shapetype>
              <v:shape id="Textové pole 124" o:spid="_x0000_s1026" type="#_x0000_t202" style="position:absolute;left:0;text-align:left;margin-left:132.45pt;margin-top:-5.65pt;width:366.25pt;height:7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" fillcolor="window" stroked="f" strokeweight=".5pt">
                <v:textbox>
                  <w:txbxContent>
                    <w:p w14:paraId="24CDB75A" w14:textId="77777777" w:rsidR="000945FE" w:rsidRPr="00311BE7" w:rsidRDefault="000945FE" w:rsidP="008430BD">
                      <w:pPr>
                        <w:spacing w:line="240" w:lineRule="auto"/>
                        <w:rPr>
                          <w:rFonts w:ascii="DIN Next LT Pro Condensed" w:hAnsi="DIN Next LT Pro Condensed"/>
                          <w:color w:val="5D7496"/>
                          <w:sz w:val="150"/>
                        </w:rPr>
                      </w:pPr>
                      <w:r w:rsidRPr="00311BE7">
                        <w:rPr>
                          <w:rFonts w:ascii="DIN Next LT Pro Condensed" w:hAnsi="DIN Next LT Pro Condensed" w:hint="eastAsia"/>
                          <w:color w:val="5D7496"/>
                          <w:sz w:val="150"/>
                        </w:rPr>
                        <w:t>Č</w:t>
                      </w:r>
                      <w:r w:rsidRPr="00311BE7">
                        <w:rPr>
                          <w:rFonts w:ascii="DIN Next LT Pro Condensed" w:hAnsi="DIN Next LT Pro Condensed"/>
                          <w:color w:val="5D7496"/>
                          <w:sz w:val="150"/>
                        </w:rPr>
                        <w:t>esk</w:t>
                      </w:r>
                      <w:r w:rsidRPr="00311BE7">
                        <w:rPr>
                          <w:rFonts w:ascii="DIN Next LT Pro Condensed" w:hAnsi="DIN Next LT Pro Condensed" w:hint="eastAsia"/>
                          <w:color w:val="5D7496"/>
                          <w:sz w:val="150"/>
                        </w:rPr>
                        <w:t>é</w:t>
                      </w:r>
                      <w:r w:rsidRPr="00311BE7">
                        <w:rPr>
                          <w:rFonts w:ascii="DIN Next LT Pro Condensed" w:hAnsi="DIN Next LT Pro Condensed"/>
                          <w:color w:val="5D7496"/>
                          <w:sz w:val="150"/>
                        </w:rPr>
                        <w:t xml:space="preserve"> soudnictv</w:t>
                      </w:r>
                      <w:r w:rsidRPr="00311BE7">
                        <w:rPr>
                          <w:rFonts w:ascii="DIN Next LT Pro Condensed" w:hAnsi="DIN Next LT Pro Condensed" w:hint="eastAsia"/>
                          <w:color w:val="5D7496"/>
                          <w:sz w:val="150"/>
                        </w:rPr>
                        <w:t>í</w:t>
                      </w:r>
                    </w:p>
                    <w:p w14:paraId="02FFB165" w14:textId="146901A4" w:rsidR="000945FE" w:rsidRPr="00311BE7" w:rsidRDefault="000945FE" w:rsidP="008430BD">
                      <w:pPr>
                        <w:spacing w:line="240" w:lineRule="auto"/>
                        <w:rPr>
                          <w:rFonts w:ascii="DIN Next LT Pro Condensed" w:hAnsi="DIN Next LT Pro Condensed"/>
                          <w:color w:val="5D7496"/>
                          <w:sz w:val="150"/>
                        </w:rPr>
                      </w:pPr>
                      <w:r w:rsidRPr="00311BE7">
                        <w:rPr>
                          <w:rFonts w:ascii="DIN Next LT Pro Condensed" w:hAnsi="DIN Next LT Pro Condensed"/>
                          <w:color w:val="5D7496"/>
                          <w:sz w:val="150"/>
                        </w:rPr>
                        <w:t>202</w:t>
                      </w:r>
                      <w:r>
                        <w:rPr>
                          <w:rFonts w:ascii="DIN Next LT Pro Condensed" w:hAnsi="DIN Next LT Pro Condensed"/>
                          <w:color w:val="5D7496"/>
                          <w:sz w:val="150"/>
                        </w:rPr>
                        <w:t>4</w:t>
                      </w:r>
                      <w:r w:rsidRPr="00311BE7">
                        <w:rPr>
                          <w:rFonts w:ascii="DIN Next LT Pro Condensed" w:hAnsi="DIN Next LT Pro Condensed"/>
                          <w:color w:val="5D7496"/>
                          <w:sz w:val="150"/>
                        </w:rPr>
                        <w:t>:</w:t>
                      </w:r>
                    </w:p>
                    <w:p w14:paraId="26451DED" w14:textId="77777777" w:rsidR="000945FE" w:rsidRPr="00311BE7" w:rsidRDefault="000945FE" w:rsidP="006023DD">
                      <w:pPr>
                        <w:spacing w:before="960" w:line="240" w:lineRule="auto"/>
                        <w:rPr>
                          <w:rFonts w:ascii="DIN Next LT Pro Condensed" w:hAnsi="DIN Next LT Pro Condensed"/>
                          <w:color w:val="5D7496"/>
                          <w:sz w:val="136"/>
                        </w:rPr>
                      </w:pPr>
                      <w:r w:rsidRPr="00311BE7">
                        <w:rPr>
                          <w:rFonts w:ascii="DIN Next LT Pro Condensed" w:hAnsi="DIN Next LT Pro Condensed"/>
                          <w:color w:val="5D7496"/>
                          <w:sz w:val="136"/>
                        </w:rPr>
                        <w:t>V</w:t>
                      </w:r>
                      <w:r w:rsidRPr="00311BE7">
                        <w:rPr>
                          <w:rFonts w:ascii="DIN Next LT Pro Condensed" w:hAnsi="DIN Next LT Pro Condensed" w:hint="eastAsia"/>
                          <w:color w:val="5D7496"/>
                          <w:sz w:val="136"/>
                        </w:rPr>
                        <w:t>ý</w:t>
                      </w:r>
                      <w:r w:rsidRPr="00311BE7">
                        <w:rPr>
                          <w:rFonts w:ascii="DIN Next LT Pro Condensed" w:hAnsi="DIN Next LT Pro Condensed"/>
                          <w:color w:val="5D7496"/>
                          <w:sz w:val="136"/>
                        </w:rPr>
                        <w:t>ro</w:t>
                      </w:r>
                      <w:r w:rsidRPr="00311BE7">
                        <w:rPr>
                          <w:rFonts w:ascii="DIN Next LT Pro Condensed" w:hAnsi="DIN Next LT Pro Condensed" w:hint="eastAsia"/>
                          <w:color w:val="5D7496"/>
                          <w:sz w:val="136"/>
                        </w:rPr>
                        <w:t>č</w:t>
                      </w:r>
                      <w:r w:rsidRPr="00311BE7">
                        <w:rPr>
                          <w:rFonts w:ascii="DIN Next LT Pro Condensed" w:hAnsi="DIN Next LT Pro Condensed"/>
                          <w:color w:val="5D7496"/>
                          <w:sz w:val="136"/>
                        </w:rPr>
                        <w:t>n</w:t>
                      </w:r>
                      <w:r w:rsidRPr="00311BE7">
                        <w:rPr>
                          <w:rFonts w:ascii="DIN Next LT Pro Condensed" w:hAnsi="DIN Next LT Pro Condensed" w:hint="eastAsia"/>
                          <w:color w:val="5D7496"/>
                          <w:sz w:val="136"/>
                        </w:rPr>
                        <w:t>í</w:t>
                      </w:r>
                      <w:r w:rsidRPr="00311BE7">
                        <w:rPr>
                          <w:rFonts w:ascii="DIN Next LT Pro Condensed" w:hAnsi="DIN Next LT Pro Condensed"/>
                          <w:color w:val="5D7496"/>
                          <w:sz w:val="136"/>
                        </w:rPr>
                        <w:t xml:space="preserve"> statistick</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 xml:space="preserve"> zpr</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va</w:t>
                      </w:r>
                    </w:p>
                    <w:p w14:paraId="4499C359" w14:textId="77777777" w:rsidR="000945FE" w:rsidRPr="00311BE7" w:rsidRDefault="000945FE" w:rsidP="008430BD">
                      <w:pPr>
                        <w:spacing w:line="240" w:lineRule="auto"/>
                        <w:rPr>
                          <w:rFonts w:ascii="DIN Next LT Pro Condensed" w:hAnsi="DIN Next LT Pro Condensed"/>
                          <w:color w:val="5D7496"/>
                          <w:sz w:val="56"/>
                        </w:rPr>
                      </w:pPr>
                    </w:p>
                    <w:p w14:paraId="36060D8B" w14:textId="77777777" w:rsidR="000945FE" w:rsidRPr="00311BE7" w:rsidRDefault="000945FE" w:rsidP="008430BD">
                      <w:pPr>
                        <w:spacing w:line="240" w:lineRule="auto"/>
                        <w:rPr>
                          <w:rFonts w:ascii="DIN Next LT Pro Condensed" w:hAnsi="DIN Next LT Pro Condensed"/>
                          <w:color w:val="5D7496"/>
                          <w:sz w:val="56"/>
                        </w:rPr>
                      </w:pPr>
                    </w:p>
                    <w:p w14:paraId="21426A69" w14:textId="77777777" w:rsidR="000945FE" w:rsidRPr="00311BE7" w:rsidRDefault="000945FE" w:rsidP="008430BD">
                      <w:pPr>
                        <w:spacing w:line="240" w:lineRule="auto"/>
                        <w:rPr>
                          <w:rFonts w:ascii="DIN Next LT Pro Condensed" w:hAnsi="DIN Next LT Pro Condensed"/>
                          <w:color w:val="5D7496"/>
                          <w:sz w:val="66"/>
                        </w:rPr>
                      </w:pPr>
                      <w:r w:rsidRPr="00311BE7">
                        <w:rPr>
                          <w:rFonts w:ascii="DIN Next LT Pro Condensed" w:hAnsi="DIN Next LT Pro Condensed"/>
                          <w:color w:val="5D7496"/>
                          <w:sz w:val="66"/>
                        </w:rPr>
                        <w:t>Ministerstvo spravedlnosti</w:t>
                      </w:r>
                    </w:p>
                    <w:p w14:paraId="0BF8FA9D" w14:textId="3D804667" w:rsidR="000945FE" w:rsidRPr="0008533B" w:rsidRDefault="000945FE" w:rsidP="008430BD">
                      <w:pPr>
                        <w:spacing w:line="240" w:lineRule="auto"/>
                        <w:rPr>
                          <w:rFonts w:ascii="DIN Next LT Pro Condensed" w:hAnsi="DIN Next LT Pro Condensed"/>
                          <w:sz w:val="40"/>
                          <w:szCs w:val="40"/>
                        </w:rPr>
                      </w:pPr>
                      <w:r w:rsidRPr="003842AE">
                        <w:rPr>
                          <w:rFonts w:ascii="DIN Next LT Pro Condensed" w:hAnsi="DIN Next LT Pro Condensed"/>
                          <w:smallCaps/>
                          <w:color w:val="5D7496"/>
                          <w:sz w:val="40"/>
                          <w:szCs w:val="40"/>
                        </w:rPr>
                        <w:t>justice.cz</w:t>
                      </w:r>
                    </w:p>
                  </w:txbxContent>
                </v:textbox>
              </v:shape>
            </w:pict>
          </mc:Fallback>
        </mc:AlternateContent>
      </w:r>
      <w:r w:rsidRPr="00033A3F">
        <w:rPr>
          <w:noProof/>
          <w:color w:val="000000" w:themeColor="text1"/>
          <w:lang w:eastAsia="cs-CZ"/>
        </w:rPr>
        <mc:AlternateContent>
          <mc:Choice Requires="wps">
            <w:drawing>
              <wp:anchor distT="0" distB="0" distL="114299" distR="114299" simplePos="0" relativeHeight="251660288" behindDoc="0" locked="0" layoutInCell="1" allowOverlap="1" wp14:anchorId="3B70FC59" wp14:editId="03AB3B38">
                <wp:simplePos x="0" y="0"/>
                <wp:positionH relativeFrom="column">
                  <wp:posOffset>1442084</wp:posOffset>
                </wp:positionH>
                <wp:positionV relativeFrom="page">
                  <wp:posOffset>898525</wp:posOffset>
                </wp:positionV>
                <wp:extent cx="0" cy="9064625"/>
                <wp:effectExtent l="19050" t="0" r="38100" b="41275"/>
                <wp:wrapNone/>
                <wp:docPr id="123" name="Přímá spojnic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64625"/>
                        </a:xfrm>
                        <a:prstGeom prst="line">
                          <a:avLst/>
                        </a:prstGeom>
                        <a:noFill/>
                        <a:ln w="47625" cap="flat" cmpd="sng" algn="ctr">
                          <a:solidFill>
                            <a:srgbClr val="5D749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AB6595" id="Přímá spojnice 123"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" strokecolor="#5d7496" strokeweight="3.75pt">
                <o:lock v:ext="edit" shapetype="f"/>
                <w10:wrap anchory="page"/>
              </v:line>
            </w:pict>
          </mc:Fallback>
        </mc:AlternateContent>
      </w:r>
      <w:r w:rsidR="00306B8B" w:rsidRPr="00033A3F">
        <w:rPr>
          <w:noProof/>
          <w:color w:val="000000" w:themeColor="text1"/>
          <w:lang w:eastAsia="cs-CZ"/>
        </w:rPr>
        <w:drawing>
          <wp:inline distT="0" distB="0" distL="0" distR="0" wp14:anchorId="4462B807" wp14:editId="4A4172E8">
            <wp:extent cx="1257300" cy="1428750"/>
            <wp:effectExtent l="0" t="0" r="0"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428750"/>
                    </a:xfrm>
                    <a:prstGeom prst="rect">
                      <a:avLst/>
                    </a:prstGeom>
                    <a:noFill/>
                    <a:ln>
                      <a:noFill/>
                    </a:ln>
                  </pic:spPr>
                </pic:pic>
              </a:graphicData>
            </a:graphic>
          </wp:inline>
        </w:drawing>
      </w:r>
    </w:p>
    <w:p w14:paraId="7DF646AA" w14:textId="77777777" w:rsidR="008430BD" w:rsidRPr="00033A3F" w:rsidRDefault="008430BD" w:rsidP="008430BD">
      <w:pPr>
        <w:spacing w:line="240" w:lineRule="auto"/>
        <w:jc w:val="left"/>
        <w:rPr>
          <w:noProof/>
          <w:color w:val="000000" w:themeColor="text1"/>
          <w:sz w:val="20"/>
          <w:szCs w:val="40"/>
          <w:lang w:eastAsia="cs-CZ"/>
        </w:rPr>
      </w:pPr>
      <w:r w:rsidRPr="00033A3F">
        <w:rPr>
          <w:noProof/>
          <w:color w:val="000000" w:themeColor="text1"/>
          <w:sz w:val="20"/>
          <w:szCs w:val="40"/>
          <w:lang w:eastAsia="cs-CZ"/>
        </w:rPr>
        <w:br w:type="page"/>
      </w:r>
    </w:p>
    <w:p w14:paraId="6C01D959" w14:textId="77777777" w:rsidR="008430BD" w:rsidRPr="00033A3F" w:rsidRDefault="008430BD" w:rsidP="008430BD">
      <w:pPr>
        <w:spacing w:line="240" w:lineRule="auto"/>
        <w:jc w:val="left"/>
        <w:rPr>
          <w:noProof/>
          <w:color w:val="000000" w:themeColor="text1"/>
          <w:sz w:val="20"/>
          <w:szCs w:val="40"/>
          <w:lang w:eastAsia="cs-CZ"/>
        </w:rPr>
      </w:pPr>
    </w:p>
    <w:p w14:paraId="1DFC1343" w14:textId="77777777" w:rsidR="008430BD" w:rsidRPr="00033A3F" w:rsidRDefault="008430BD" w:rsidP="008430BD">
      <w:pPr>
        <w:spacing w:line="240" w:lineRule="auto"/>
        <w:jc w:val="left"/>
        <w:rPr>
          <w:noProof/>
          <w:color w:val="000000" w:themeColor="text1"/>
          <w:sz w:val="20"/>
          <w:szCs w:val="40"/>
          <w:lang w:eastAsia="cs-CZ"/>
        </w:rPr>
      </w:pPr>
    </w:p>
    <w:p w14:paraId="6A7BA26A" w14:textId="77777777" w:rsidR="008430BD" w:rsidRPr="00033A3F" w:rsidRDefault="008430BD" w:rsidP="008430BD">
      <w:pPr>
        <w:spacing w:line="240" w:lineRule="auto"/>
        <w:jc w:val="left"/>
        <w:rPr>
          <w:noProof/>
          <w:color w:val="000000" w:themeColor="text1"/>
          <w:sz w:val="20"/>
          <w:szCs w:val="40"/>
          <w:lang w:eastAsia="cs-CZ"/>
        </w:rPr>
      </w:pPr>
    </w:p>
    <w:p w14:paraId="2412BBBD" w14:textId="77777777" w:rsidR="008430BD" w:rsidRPr="00033A3F" w:rsidRDefault="008430BD" w:rsidP="008430BD">
      <w:pPr>
        <w:spacing w:line="240" w:lineRule="auto"/>
        <w:jc w:val="left"/>
        <w:rPr>
          <w:noProof/>
          <w:color w:val="000000" w:themeColor="text1"/>
          <w:sz w:val="20"/>
          <w:szCs w:val="40"/>
          <w:lang w:eastAsia="cs-CZ"/>
        </w:rPr>
      </w:pPr>
    </w:p>
    <w:p w14:paraId="7DB90578" w14:textId="77777777" w:rsidR="008430BD" w:rsidRPr="00033A3F" w:rsidRDefault="008430BD" w:rsidP="008430BD">
      <w:pPr>
        <w:spacing w:line="240" w:lineRule="auto"/>
        <w:jc w:val="left"/>
        <w:rPr>
          <w:noProof/>
          <w:color w:val="000000" w:themeColor="text1"/>
          <w:sz w:val="20"/>
          <w:szCs w:val="40"/>
          <w:lang w:eastAsia="cs-CZ"/>
        </w:rPr>
      </w:pPr>
    </w:p>
    <w:p w14:paraId="3E13B532" w14:textId="77777777" w:rsidR="008430BD" w:rsidRPr="00033A3F" w:rsidRDefault="008430BD" w:rsidP="008430BD">
      <w:pPr>
        <w:spacing w:line="240" w:lineRule="auto"/>
        <w:jc w:val="left"/>
        <w:rPr>
          <w:noProof/>
          <w:color w:val="000000" w:themeColor="text1"/>
          <w:sz w:val="20"/>
          <w:szCs w:val="40"/>
          <w:lang w:eastAsia="cs-CZ"/>
        </w:rPr>
      </w:pPr>
    </w:p>
    <w:p w14:paraId="151B0886" w14:textId="77777777" w:rsidR="008430BD" w:rsidRPr="00033A3F" w:rsidRDefault="008430BD" w:rsidP="008430BD">
      <w:pPr>
        <w:spacing w:line="240" w:lineRule="auto"/>
        <w:jc w:val="left"/>
        <w:rPr>
          <w:noProof/>
          <w:color w:val="000000" w:themeColor="text1"/>
          <w:sz w:val="20"/>
          <w:szCs w:val="40"/>
          <w:lang w:eastAsia="cs-CZ"/>
        </w:rPr>
      </w:pPr>
    </w:p>
    <w:p w14:paraId="4922A97D" w14:textId="77777777" w:rsidR="008430BD" w:rsidRPr="00033A3F" w:rsidRDefault="008430BD" w:rsidP="008430BD">
      <w:pPr>
        <w:spacing w:line="240" w:lineRule="auto"/>
        <w:jc w:val="left"/>
        <w:rPr>
          <w:noProof/>
          <w:color w:val="000000" w:themeColor="text1"/>
          <w:sz w:val="20"/>
          <w:szCs w:val="40"/>
          <w:lang w:eastAsia="cs-CZ"/>
        </w:rPr>
      </w:pPr>
    </w:p>
    <w:p w14:paraId="51CCEBB6" w14:textId="77777777" w:rsidR="008430BD" w:rsidRPr="00033A3F" w:rsidRDefault="008430BD" w:rsidP="008430BD">
      <w:pPr>
        <w:spacing w:line="240" w:lineRule="auto"/>
        <w:jc w:val="left"/>
        <w:rPr>
          <w:noProof/>
          <w:color w:val="000000" w:themeColor="text1"/>
          <w:sz w:val="20"/>
          <w:szCs w:val="40"/>
          <w:lang w:eastAsia="cs-CZ"/>
        </w:rPr>
      </w:pPr>
    </w:p>
    <w:p w14:paraId="3D7B9403" w14:textId="77777777" w:rsidR="008430BD" w:rsidRPr="00033A3F" w:rsidRDefault="008430BD" w:rsidP="008430BD">
      <w:pPr>
        <w:spacing w:line="240" w:lineRule="auto"/>
        <w:jc w:val="left"/>
        <w:rPr>
          <w:noProof/>
          <w:color w:val="000000" w:themeColor="text1"/>
          <w:sz w:val="20"/>
          <w:szCs w:val="40"/>
          <w:lang w:eastAsia="cs-CZ"/>
        </w:rPr>
      </w:pPr>
    </w:p>
    <w:p w14:paraId="48EA0A56" w14:textId="77777777" w:rsidR="008430BD" w:rsidRPr="00033A3F" w:rsidRDefault="008430BD" w:rsidP="008430BD">
      <w:pPr>
        <w:spacing w:line="240" w:lineRule="auto"/>
        <w:jc w:val="left"/>
        <w:rPr>
          <w:noProof/>
          <w:color w:val="000000" w:themeColor="text1"/>
          <w:sz w:val="20"/>
          <w:szCs w:val="40"/>
          <w:lang w:eastAsia="cs-CZ"/>
        </w:rPr>
      </w:pPr>
    </w:p>
    <w:p w14:paraId="559B5783" w14:textId="77777777" w:rsidR="008430BD" w:rsidRPr="00033A3F" w:rsidRDefault="008430BD" w:rsidP="008430BD">
      <w:pPr>
        <w:spacing w:line="240" w:lineRule="auto"/>
        <w:jc w:val="left"/>
        <w:rPr>
          <w:noProof/>
          <w:color w:val="000000" w:themeColor="text1"/>
          <w:sz w:val="20"/>
          <w:szCs w:val="40"/>
          <w:lang w:eastAsia="cs-CZ"/>
        </w:rPr>
      </w:pPr>
    </w:p>
    <w:p w14:paraId="4379275D" w14:textId="77777777" w:rsidR="008430BD" w:rsidRPr="00033A3F" w:rsidRDefault="008430BD" w:rsidP="008430BD">
      <w:pPr>
        <w:spacing w:line="240" w:lineRule="auto"/>
        <w:jc w:val="left"/>
        <w:rPr>
          <w:noProof/>
          <w:color w:val="000000" w:themeColor="text1"/>
          <w:sz w:val="20"/>
          <w:szCs w:val="40"/>
          <w:lang w:eastAsia="cs-CZ"/>
        </w:rPr>
      </w:pPr>
    </w:p>
    <w:p w14:paraId="19E7EE68" w14:textId="77777777" w:rsidR="008430BD" w:rsidRPr="00033A3F" w:rsidRDefault="008430BD" w:rsidP="008430BD">
      <w:pPr>
        <w:spacing w:line="240" w:lineRule="auto"/>
        <w:jc w:val="left"/>
        <w:rPr>
          <w:noProof/>
          <w:color w:val="000000" w:themeColor="text1"/>
          <w:sz w:val="20"/>
          <w:szCs w:val="40"/>
          <w:lang w:eastAsia="cs-CZ"/>
        </w:rPr>
      </w:pPr>
    </w:p>
    <w:p w14:paraId="71B1DA87" w14:textId="77777777" w:rsidR="008430BD" w:rsidRPr="00033A3F" w:rsidRDefault="008430BD" w:rsidP="008430BD">
      <w:pPr>
        <w:spacing w:line="240" w:lineRule="auto"/>
        <w:jc w:val="left"/>
        <w:rPr>
          <w:noProof/>
          <w:color w:val="000000" w:themeColor="text1"/>
          <w:sz w:val="20"/>
          <w:szCs w:val="40"/>
          <w:lang w:eastAsia="cs-CZ"/>
        </w:rPr>
      </w:pPr>
    </w:p>
    <w:p w14:paraId="4F196993" w14:textId="77777777" w:rsidR="008430BD" w:rsidRPr="00033A3F" w:rsidRDefault="008430BD" w:rsidP="008430BD">
      <w:pPr>
        <w:spacing w:line="240" w:lineRule="auto"/>
        <w:jc w:val="left"/>
        <w:rPr>
          <w:noProof/>
          <w:color w:val="000000" w:themeColor="text1"/>
          <w:sz w:val="20"/>
          <w:szCs w:val="40"/>
          <w:lang w:eastAsia="cs-CZ"/>
        </w:rPr>
      </w:pPr>
    </w:p>
    <w:p w14:paraId="1CF4020C" w14:textId="77777777" w:rsidR="008430BD" w:rsidRPr="00033A3F" w:rsidRDefault="008430BD" w:rsidP="008430BD">
      <w:pPr>
        <w:spacing w:line="240" w:lineRule="auto"/>
        <w:jc w:val="left"/>
        <w:rPr>
          <w:noProof/>
          <w:color w:val="000000" w:themeColor="text1"/>
          <w:sz w:val="20"/>
          <w:szCs w:val="40"/>
          <w:lang w:eastAsia="cs-CZ"/>
        </w:rPr>
      </w:pPr>
    </w:p>
    <w:p w14:paraId="57FF5170" w14:textId="77777777" w:rsidR="008430BD" w:rsidRPr="00033A3F" w:rsidRDefault="008430BD" w:rsidP="008430BD">
      <w:pPr>
        <w:spacing w:line="240" w:lineRule="auto"/>
        <w:jc w:val="left"/>
        <w:rPr>
          <w:noProof/>
          <w:color w:val="000000" w:themeColor="text1"/>
          <w:sz w:val="20"/>
          <w:szCs w:val="40"/>
          <w:lang w:eastAsia="cs-CZ"/>
        </w:rPr>
      </w:pPr>
    </w:p>
    <w:p w14:paraId="78E40FAC" w14:textId="77777777" w:rsidR="008430BD" w:rsidRPr="00033A3F" w:rsidRDefault="008430BD" w:rsidP="008430BD">
      <w:pPr>
        <w:spacing w:line="240" w:lineRule="auto"/>
        <w:jc w:val="left"/>
        <w:rPr>
          <w:noProof/>
          <w:color w:val="000000" w:themeColor="text1"/>
          <w:sz w:val="20"/>
          <w:szCs w:val="40"/>
          <w:lang w:eastAsia="cs-CZ"/>
        </w:rPr>
      </w:pPr>
    </w:p>
    <w:p w14:paraId="603A3F74" w14:textId="77777777" w:rsidR="008430BD" w:rsidRPr="00033A3F" w:rsidRDefault="008430BD" w:rsidP="008430BD">
      <w:pPr>
        <w:spacing w:line="240" w:lineRule="auto"/>
        <w:jc w:val="left"/>
        <w:rPr>
          <w:noProof/>
          <w:color w:val="000000" w:themeColor="text1"/>
          <w:sz w:val="20"/>
          <w:szCs w:val="40"/>
          <w:lang w:eastAsia="cs-CZ"/>
        </w:rPr>
      </w:pPr>
    </w:p>
    <w:p w14:paraId="35A13CA7" w14:textId="77777777" w:rsidR="008430BD" w:rsidRPr="00033A3F" w:rsidRDefault="008430BD" w:rsidP="008430BD">
      <w:pPr>
        <w:spacing w:line="240" w:lineRule="auto"/>
        <w:jc w:val="left"/>
        <w:rPr>
          <w:noProof/>
          <w:color w:val="000000" w:themeColor="text1"/>
          <w:sz w:val="20"/>
          <w:szCs w:val="40"/>
          <w:lang w:eastAsia="cs-CZ"/>
        </w:rPr>
      </w:pPr>
    </w:p>
    <w:p w14:paraId="05A0A1A5" w14:textId="77777777" w:rsidR="008430BD" w:rsidRPr="00033A3F" w:rsidRDefault="008430BD" w:rsidP="008430BD">
      <w:pPr>
        <w:spacing w:line="240" w:lineRule="auto"/>
        <w:jc w:val="left"/>
        <w:rPr>
          <w:noProof/>
          <w:color w:val="000000" w:themeColor="text1"/>
          <w:sz w:val="20"/>
          <w:szCs w:val="40"/>
          <w:lang w:eastAsia="cs-CZ"/>
        </w:rPr>
      </w:pPr>
    </w:p>
    <w:p w14:paraId="7E65FBA6" w14:textId="77777777" w:rsidR="008430BD" w:rsidRPr="00033A3F" w:rsidRDefault="008430BD" w:rsidP="008430BD">
      <w:pPr>
        <w:spacing w:line="240" w:lineRule="auto"/>
        <w:jc w:val="left"/>
        <w:rPr>
          <w:noProof/>
          <w:color w:val="000000" w:themeColor="text1"/>
          <w:sz w:val="20"/>
          <w:szCs w:val="40"/>
          <w:lang w:eastAsia="cs-CZ"/>
        </w:rPr>
      </w:pPr>
    </w:p>
    <w:p w14:paraId="2973FECD" w14:textId="77777777" w:rsidR="008430BD" w:rsidRPr="00033A3F" w:rsidRDefault="008430BD" w:rsidP="008430BD">
      <w:pPr>
        <w:spacing w:line="240" w:lineRule="auto"/>
        <w:jc w:val="left"/>
        <w:rPr>
          <w:noProof/>
          <w:color w:val="000000" w:themeColor="text1"/>
          <w:sz w:val="20"/>
          <w:szCs w:val="40"/>
          <w:lang w:eastAsia="cs-CZ"/>
        </w:rPr>
      </w:pPr>
    </w:p>
    <w:p w14:paraId="6202BCBC" w14:textId="77777777" w:rsidR="008430BD" w:rsidRPr="00033A3F" w:rsidRDefault="008430BD" w:rsidP="008430BD">
      <w:pPr>
        <w:spacing w:line="240" w:lineRule="auto"/>
        <w:jc w:val="left"/>
        <w:rPr>
          <w:noProof/>
          <w:color w:val="000000" w:themeColor="text1"/>
          <w:sz w:val="20"/>
          <w:szCs w:val="40"/>
          <w:lang w:eastAsia="cs-CZ"/>
        </w:rPr>
      </w:pPr>
    </w:p>
    <w:p w14:paraId="1E0F7654" w14:textId="77777777" w:rsidR="008430BD" w:rsidRPr="00033A3F" w:rsidRDefault="008430BD" w:rsidP="008430BD">
      <w:pPr>
        <w:spacing w:line="240" w:lineRule="auto"/>
        <w:jc w:val="left"/>
        <w:rPr>
          <w:noProof/>
          <w:color w:val="000000" w:themeColor="text1"/>
          <w:sz w:val="20"/>
          <w:szCs w:val="40"/>
          <w:lang w:eastAsia="cs-CZ"/>
        </w:rPr>
      </w:pPr>
    </w:p>
    <w:p w14:paraId="523B3BEC" w14:textId="77777777" w:rsidR="008430BD" w:rsidRPr="00033A3F" w:rsidRDefault="008430BD" w:rsidP="008430BD">
      <w:pPr>
        <w:spacing w:line="240" w:lineRule="auto"/>
        <w:jc w:val="left"/>
        <w:rPr>
          <w:noProof/>
          <w:color w:val="000000" w:themeColor="text1"/>
          <w:sz w:val="20"/>
          <w:szCs w:val="40"/>
          <w:lang w:eastAsia="cs-CZ"/>
        </w:rPr>
      </w:pPr>
    </w:p>
    <w:p w14:paraId="4576AA8B" w14:textId="77777777" w:rsidR="008430BD" w:rsidRPr="00033A3F" w:rsidRDefault="008430BD" w:rsidP="008430BD">
      <w:pPr>
        <w:spacing w:line="240" w:lineRule="auto"/>
        <w:jc w:val="left"/>
        <w:rPr>
          <w:noProof/>
          <w:color w:val="000000" w:themeColor="text1"/>
          <w:sz w:val="20"/>
          <w:szCs w:val="40"/>
          <w:lang w:eastAsia="cs-CZ"/>
        </w:rPr>
      </w:pPr>
    </w:p>
    <w:p w14:paraId="74798038" w14:textId="77777777" w:rsidR="008430BD" w:rsidRPr="00033A3F" w:rsidRDefault="008430BD" w:rsidP="008430BD">
      <w:pPr>
        <w:spacing w:line="240" w:lineRule="auto"/>
        <w:jc w:val="left"/>
        <w:rPr>
          <w:noProof/>
          <w:color w:val="000000" w:themeColor="text1"/>
          <w:sz w:val="20"/>
          <w:szCs w:val="40"/>
          <w:lang w:eastAsia="cs-CZ"/>
        </w:rPr>
      </w:pPr>
    </w:p>
    <w:p w14:paraId="7438C97E" w14:textId="77777777" w:rsidR="008430BD" w:rsidRPr="00033A3F" w:rsidRDefault="008430BD" w:rsidP="008430BD">
      <w:pPr>
        <w:spacing w:line="240" w:lineRule="auto"/>
        <w:jc w:val="left"/>
        <w:rPr>
          <w:noProof/>
          <w:color w:val="000000" w:themeColor="text1"/>
          <w:sz w:val="20"/>
          <w:szCs w:val="40"/>
          <w:lang w:eastAsia="cs-CZ"/>
        </w:rPr>
      </w:pPr>
    </w:p>
    <w:p w14:paraId="4196EF5E" w14:textId="77777777" w:rsidR="008430BD" w:rsidRPr="00033A3F" w:rsidRDefault="008430BD" w:rsidP="008430BD">
      <w:pPr>
        <w:spacing w:line="240" w:lineRule="auto"/>
        <w:jc w:val="left"/>
        <w:rPr>
          <w:noProof/>
          <w:color w:val="000000" w:themeColor="text1"/>
          <w:sz w:val="20"/>
          <w:szCs w:val="40"/>
          <w:lang w:eastAsia="cs-CZ"/>
        </w:rPr>
      </w:pPr>
    </w:p>
    <w:p w14:paraId="5669C815" w14:textId="77777777" w:rsidR="008430BD" w:rsidRPr="00033A3F" w:rsidRDefault="008430BD" w:rsidP="008430BD">
      <w:pPr>
        <w:spacing w:line="240" w:lineRule="auto"/>
        <w:jc w:val="left"/>
        <w:rPr>
          <w:noProof/>
          <w:color w:val="000000" w:themeColor="text1"/>
          <w:sz w:val="20"/>
          <w:szCs w:val="40"/>
          <w:lang w:eastAsia="cs-CZ"/>
        </w:rPr>
      </w:pPr>
    </w:p>
    <w:p w14:paraId="332DACCA" w14:textId="77777777" w:rsidR="008430BD" w:rsidRPr="00033A3F" w:rsidRDefault="008430BD" w:rsidP="008430BD">
      <w:pPr>
        <w:spacing w:line="240" w:lineRule="auto"/>
        <w:jc w:val="left"/>
        <w:rPr>
          <w:noProof/>
          <w:color w:val="000000" w:themeColor="text1"/>
          <w:sz w:val="20"/>
          <w:szCs w:val="40"/>
          <w:lang w:eastAsia="cs-CZ"/>
        </w:rPr>
      </w:pPr>
    </w:p>
    <w:p w14:paraId="7A4A8F15" w14:textId="77777777" w:rsidR="008430BD" w:rsidRPr="00033A3F" w:rsidRDefault="008430BD" w:rsidP="008430BD">
      <w:pPr>
        <w:spacing w:line="240" w:lineRule="auto"/>
        <w:jc w:val="left"/>
        <w:rPr>
          <w:noProof/>
          <w:color w:val="000000" w:themeColor="text1"/>
          <w:sz w:val="20"/>
          <w:szCs w:val="40"/>
          <w:lang w:eastAsia="cs-CZ"/>
        </w:rPr>
      </w:pPr>
    </w:p>
    <w:p w14:paraId="19600055" w14:textId="77777777" w:rsidR="008430BD" w:rsidRPr="00033A3F" w:rsidRDefault="008430BD" w:rsidP="008430BD">
      <w:pPr>
        <w:spacing w:line="240" w:lineRule="auto"/>
        <w:jc w:val="left"/>
        <w:rPr>
          <w:noProof/>
          <w:color w:val="000000" w:themeColor="text1"/>
          <w:sz w:val="20"/>
          <w:szCs w:val="40"/>
          <w:lang w:eastAsia="cs-CZ"/>
        </w:rPr>
      </w:pPr>
    </w:p>
    <w:p w14:paraId="12F97F58" w14:textId="77777777" w:rsidR="008430BD" w:rsidRPr="00033A3F" w:rsidRDefault="008430BD" w:rsidP="008430BD">
      <w:pPr>
        <w:spacing w:line="240" w:lineRule="auto"/>
        <w:jc w:val="left"/>
        <w:rPr>
          <w:noProof/>
          <w:color w:val="000000" w:themeColor="text1"/>
          <w:sz w:val="20"/>
          <w:szCs w:val="40"/>
          <w:lang w:eastAsia="cs-CZ"/>
        </w:rPr>
      </w:pPr>
    </w:p>
    <w:p w14:paraId="08970ADE" w14:textId="77777777" w:rsidR="008430BD" w:rsidRPr="00033A3F" w:rsidRDefault="008430BD" w:rsidP="008430BD">
      <w:pPr>
        <w:spacing w:line="240" w:lineRule="auto"/>
        <w:jc w:val="left"/>
        <w:rPr>
          <w:noProof/>
          <w:color w:val="000000" w:themeColor="text1"/>
          <w:sz w:val="20"/>
          <w:szCs w:val="40"/>
          <w:lang w:eastAsia="cs-CZ"/>
        </w:rPr>
      </w:pPr>
    </w:p>
    <w:p w14:paraId="2588AD75" w14:textId="77777777" w:rsidR="008430BD" w:rsidRPr="00033A3F" w:rsidRDefault="008430BD" w:rsidP="008430BD">
      <w:pPr>
        <w:spacing w:line="240" w:lineRule="auto"/>
        <w:jc w:val="left"/>
        <w:rPr>
          <w:noProof/>
          <w:color w:val="000000" w:themeColor="text1"/>
          <w:sz w:val="20"/>
          <w:szCs w:val="40"/>
          <w:lang w:eastAsia="cs-CZ"/>
        </w:rPr>
      </w:pPr>
    </w:p>
    <w:p w14:paraId="07732DEF" w14:textId="77777777" w:rsidR="008430BD" w:rsidRPr="00033A3F" w:rsidRDefault="008430BD" w:rsidP="008430BD">
      <w:pPr>
        <w:spacing w:line="240" w:lineRule="auto"/>
        <w:jc w:val="left"/>
        <w:rPr>
          <w:noProof/>
          <w:color w:val="000000" w:themeColor="text1"/>
          <w:sz w:val="20"/>
          <w:szCs w:val="40"/>
          <w:lang w:eastAsia="cs-CZ"/>
        </w:rPr>
      </w:pPr>
    </w:p>
    <w:p w14:paraId="68B5E7CA" w14:textId="77777777" w:rsidR="008430BD" w:rsidRPr="00033A3F" w:rsidRDefault="008430BD" w:rsidP="008430BD">
      <w:pPr>
        <w:spacing w:line="240" w:lineRule="auto"/>
        <w:jc w:val="left"/>
        <w:rPr>
          <w:noProof/>
          <w:color w:val="000000" w:themeColor="text1"/>
          <w:sz w:val="20"/>
          <w:szCs w:val="40"/>
          <w:lang w:eastAsia="cs-CZ"/>
        </w:rPr>
      </w:pPr>
    </w:p>
    <w:p w14:paraId="258A128A" w14:textId="77777777" w:rsidR="008430BD" w:rsidRPr="00033A3F" w:rsidRDefault="008430BD" w:rsidP="008430BD">
      <w:pPr>
        <w:spacing w:line="240" w:lineRule="auto"/>
        <w:jc w:val="left"/>
        <w:rPr>
          <w:noProof/>
          <w:color w:val="000000" w:themeColor="text1"/>
          <w:sz w:val="20"/>
          <w:szCs w:val="40"/>
          <w:lang w:eastAsia="cs-CZ"/>
        </w:rPr>
      </w:pPr>
    </w:p>
    <w:p w14:paraId="3CF61006" w14:textId="77777777" w:rsidR="008430BD" w:rsidRPr="00033A3F" w:rsidRDefault="008430BD" w:rsidP="008430BD">
      <w:pPr>
        <w:spacing w:line="240" w:lineRule="auto"/>
        <w:jc w:val="left"/>
        <w:rPr>
          <w:noProof/>
          <w:color w:val="000000" w:themeColor="text1"/>
          <w:sz w:val="20"/>
          <w:szCs w:val="40"/>
          <w:lang w:eastAsia="cs-CZ"/>
        </w:rPr>
      </w:pPr>
    </w:p>
    <w:p w14:paraId="46D1927E" w14:textId="77777777" w:rsidR="008430BD" w:rsidRPr="00033A3F" w:rsidRDefault="008430BD" w:rsidP="008430BD">
      <w:pPr>
        <w:spacing w:line="240" w:lineRule="auto"/>
        <w:jc w:val="left"/>
        <w:rPr>
          <w:noProof/>
          <w:color w:val="000000" w:themeColor="text1"/>
          <w:sz w:val="20"/>
          <w:szCs w:val="40"/>
          <w:lang w:eastAsia="cs-CZ"/>
        </w:rPr>
      </w:pPr>
    </w:p>
    <w:p w14:paraId="70EDBD38" w14:textId="77777777" w:rsidR="008430BD" w:rsidRPr="00033A3F" w:rsidRDefault="008430BD" w:rsidP="008430BD">
      <w:pPr>
        <w:spacing w:line="240" w:lineRule="auto"/>
        <w:jc w:val="left"/>
        <w:rPr>
          <w:noProof/>
          <w:color w:val="000000" w:themeColor="text1"/>
          <w:sz w:val="20"/>
          <w:szCs w:val="40"/>
          <w:lang w:eastAsia="cs-CZ"/>
        </w:rPr>
      </w:pPr>
    </w:p>
    <w:p w14:paraId="6B80F830" w14:textId="77777777" w:rsidR="008430BD" w:rsidRPr="00033A3F" w:rsidRDefault="008430BD" w:rsidP="008430BD">
      <w:pPr>
        <w:spacing w:line="240" w:lineRule="auto"/>
        <w:jc w:val="left"/>
        <w:rPr>
          <w:noProof/>
          <w:color w:val="000000" w:themeColor="text1"/>
          <w:sz w:val="20"/>
          <w:szCs w:val="40"/>
          <w:lang w:eastAsia="cs-CZ"/>
        </w:rPr>
      </w:pPr>
    </w:p>
    <w:p w14:paraId="4DBE4A8A" w14:textId="77777777" w:rsidR="008430BD" w:rsidRPr="00033A3F" w:rsidRDefault="008430BD" w:rsidP="008430BD">
      <w:pPr>
        <w:spacing w:line="240" w:lineRule="auto"/>
        <w:jc w:val="left"/>
        <w:rPr>
          <w:noProof/>
          <w:color w:val="000000" w:themeColor="text1"/>
          <w:sz w:val="20"/>
          <w:szCs w:val="40"/>
          <w:lang w:eastAsia="cs-CZ"/>
        </w:rPr>
      </w:pPr>
    </w:p>
    <w:p w14:paraId="183E68C7" w14:textId="77777777" w:rsidR="008430BD" w:rsidRPr="00033A3F" w:rsidRDefault="008430BD" w:rsidP="008430BD">
      <w:pPr>
        <w:spacing w:line="240" w:lineRule="auto"/>
        <w:jc w:val="left"/>
        <w:rPr>
          <w:noProof/>
          <w:color w:val="000000" w:themeColor="text1"/>
          <w:sz w:val="20"/>
          <w:szCs w:val="40"/>
          <w:lang w:eastAsia="cs-CZ"/>
        </w:rPr>
      </w:pPr>
    </w:p>
    <w:p w14:paraId="2D464933" w14:textId="77777777" w:rsidR="008430BD" w:rsidRPr="00033A3F" w:rsidRDefault="008430BD" w:rsidP="008430BD">
      <w:pPr>
        <w:spacing w:line="240" w:lineRule="auto"/>
        <w:jc w:val="left"/>
        <w:rPr>
          <w:noProof/>
          <w:color w:val="000000" w:themeColor="text1"/>
          <w:sz w:val="20"/>
          <w:szCs w:val="40"/>
          <w:lang w:eastAsia="cs-CZ"/>
        </w:rPr>
      </w:pPr>
    </w:p>
    <w:p w14:paraId="7C72F820" w14:textId="77777777" w:rsidR="008430BD" w:rsidRPr="00033A3F" w:rsidRDefault="008430BD" w:rsidP="008430BD">
      <w:pPr>
        <w:spacing w:line="240" w:lineRule="auto"/>
        <w:jc w:val="left"/>
        <w:rPr>
          <w:noProof/>
          <w:color w:val="000000" w:themeColor="text1"/>
          <w:sz w:val="20"/>
          <w:szCs w:val="40"/>
          <w:lang w:eastAsia="cs-CZ"/>
        </w:rPr>
      </w:pPr>
    </w:p>
    <w:p w14:paraId="61A5D238" w14:textId="77777777" w:rsidR="008430BD" w:rsidRPr="00033A3F" w:rsidRDefault="008430BD" w:rsidP="008430BD">
      <w:pPr>
        <w:spacing w:line="240" w:lineRule="auto"/>
        <w:jc w:val="left"/>
        <w:rPr>
          <w:noProof/>
          <w:color w:val="000000" w:themeColor="text1"/>
          <w:sz w:val="20"/>
          <w:szCs w:val="40"/>
          <w:lang w:eastAsia="cs-CZ"/>
        </w:rPr>
      </w:pPr>
    </w:p>
    <w:p w14:paraId="317E8C15" w14:textId="77777777" w:rsidR="008430BD" w:rsidRPr="00033A3F" w:rsidRDefault="008430BD" w:rsidP="008430BD">
      <w:pPr>
        <w:spacing w:line="240" w:lineRule="auto"/>
        <w:jc w:val="left"/>
        <w:rPr>
          <w:noProof/>
          <w:color w:val="000000" w:themeColor="text1"/>
          <w:sz w:val="20"/>
          <w:szCs w:val="40"/>
          <w:lang w:eastAsia="cs-CZ"/>
        </w:rPr>
      </w:pPr>
    </w:p>
    <w:p w14:paraId="5ED0BE05" w14:textId="77777777" w:rsidR="008430BD" w:rsidRPr="00033A3F" w:rsidRDefault="008430BD" w:rsidP="008430BD">
      <w:pPr>
        <w:spacing w:line="240" w:lineRule="auto"/>
        <w:jc w:val="left"/>
        <w:rPr>
          <w:noProof/>
          <w:color w:val="000000" w:themeColor="text1"/>
          <w:sz w:val="20"/>
          <w:szCs w:val="40"/>
          <w:lang w:eastAsia="cs-CZ"/>
        </w:rPr>
      </w:pPr>
    </w:p>
    <w:p w14:paraId="0916AF18" w14:textId="77777777" w:rsidR="008430BD" w:rsidRPr="00033A3F" w:rsidRDefault="008430BD" w:rsidP="008430BD">
      <w:pPr>
        <w:spacing w:line="240" w:lineRule="auto"/>
        <w:jc w:val="left"/>
        <w:rPr>
          <w:noProof/>
          <w:color w:val="000000" w:themeColor="text1"/>
          <w:sz w:val="20"/>
          <w:szCs w:val="40"/>
          <w:lang w:eastAsia="cs-CZ"/>
        </w:rPr>
      </w:pPr>
    </w:p>
    <w:p w14:paraId="4647E710" w14:textId="77777777" w:rsidR="008430BD" w:rsidRPr="00033A3F" w:rsidRDefault="008430BD" w:rsidP="008430BD">
      <w:pPr>
        <w:spacing w:line="240" w:lineRule="auto"/>
        <w:jc w:val="left"/>
        <w:rPr>
          <w:noProof/>
          <w:color w:val="000000" w:themeColor="text1"/>
          <w:sz w:val="20"/>
          <w:szCs w:val="40"/>
          <w:lang w:eastAsia="cs-CZ"/>
        </w:rPr>
      </w:pPr>
    </w:p>
    <w:p w14:paraId="4F782542" w14:textId="77777777" w:rsidR="008430BD" w:rsidRPr="00033A3F" w:rsidRDefault="008430BD" w:rsidP="008430BD">
      <w:pPr>
        <w:spacing w:line="240" w:lineRule="auto"/>
        <w:jc w:val="left"/>
        <w:rPr>
          <w:noProof/>
          <w:color w:val="000000" w:themeColor="text1"/>
          <w:sz w:val="20"/>
          <w:szCs w:val="40"/>
          <w:lang w:eastAsia="cs-CZ"/>
        </w:rPr>
      </w:pPr>
    </w:p>
    <w:p w14:paraId="4F3A23A7" w14:textId="77777777" w:rsidR="008430BD" w:rsidRPr="00033A3F" w:rsidRDefault="008430BD" w:rsidP="008430BD">
      <w:pPr>
        <w:spacing w:line="240" w:lineRule="auto"/>
        <w:jc w:val="left"/>
        <w:rPr>
          <w:noProof/>
          <w:color w:val="000000" w:themeColor="text1"/>
          <w:sz w:val="20"/>
          <w:szCs w:val="40"/>
          <w:lang w:eastAsia="cs-CZ"/>
        </w:rPr>
      </w:pPr>
    </w:p>
    <w:p w14:paraId="04768CDF" w14:textId="4F603012" w:rsidR="008430BD" w:rsidRPr="00033A3F" w:rsidRDefault="008430BD" w:rsidP="008430BD">
      <w:pPr>
        <w:spacing w:line="240" w:lineRule="auto"/>
        <w:jc w:val="left"/>
        <w:rPr>
          <w:color w:val="000000" w:themeColor="text1"/>
          <w:sz w:val="20"/>
        </w:rPr>
      </w:pPr>
      <w:r w:rsidRPr="00033A3F">
        <w:rPr>
          <w:color w:val="000000" w:themeColor="text1"/>
          <w:sz w:val="20"/>
        </w:rPr>
        <w:t xml:space="preserve">© Ministerstvo spravedlnosti, </w:t>
      </w:r>
      <w:r w:rsidR="000F1418" w:rsidRPr="00033A3F">
        <w:rPr>
          <w:color w:val="000000" w:themeColor="text1"/>
          <w:sz w:val="20"/>
        </w:rPr>
        <w:t>202</w:t>
      </w:r>
      <w:r w:rsidR="00F430ED" w:rsidRPr="00033A3F">
        <w:rPr>
          <w:color w:val="000000" w:themeColor="text1"/>
          <w:sz w:val="20"/>
        </w:rPr>
        <w:t>5</w:t>
      </w:r>
    </w:p>
    <w:p w14:paraId="5306FA43" w14:textId="77777777" w:rsidR="008430BD" w:rsidRPr="00033A3F" w:rsidRDefault="008430BD" w:rsidP="008430BD">
      <w:pPr>
        <w:spacing w:line="240" w:lineRule="auto"/>
        <w:jc w:val="left"/>
        <w:rPr>
          <w:color w:val="000000" w:themeColor="text1"/>
          <w:sz w:val="20"/>
        </w:rPr>
      </w:pPr>
      <w:r w:rsidRPr="00033A3F">
        <w:rPr>
          <w:color w:val="000000" w:themeColor="text1"/>
          <w:sz w:val="20"/>
        </w:rPr>
        <w:t>Vyšehradská 16</w:t>
      </w:r>
    </w:p>
    <w:p w14:paraId="4DBBBF78" w14:textId="77777777" w:rsidR="008430BD" w:rsidRPr="00033A3F" w:rsidRDefault="008430BD" w:rsidP="008430BD">
      <w:pPr>
        <w:spacing w:line="240" w:lineRule="auto"/>
        <w:jc w:val="left"/>
        <w:rPr>
          <w:color w:val="000000" w:themeColor="text1"/>
          <w:sz w:val="20"/>
        </w:rPr>
      </w:pPr>
      <w:r w:rsidRPr="00033A3F">
        <w:rPr>
          <w:color w:val="000000" w:themeColor="text1"/>
          <w:sz w:val="20"/>
        </w:rPr>
        <w:t>128 10  Praha 2</w:t>
      </w:r>
    </w:p>
    <w:p w14:paraId="36AD4459" w14:textId="77777777" w:rsidR="008430BD" w:rsidRPr="00033A3F" w:rsidRDefault="008430BD" w:rsidP="008430BD">
      <w:pPr>
        <w:spacing w:line="240" w:lineRule="auto"/>
        <w:jc w:val="left"/>
        <w:rPr>
          <w:color w:val="000000" w:themeColor="text1"/>
          <w:sz w:val="20"/>
        </w:rPr>
      </w:pPr>
      <w:r w:rsidRPr="00033A3F">
        <w:rPr>
          <w:color w:val="000000" w:themeColor="text1"/>
          <w:sz w:val="20"/>
        </w:rPr>
        <w:br w:type="page"/>
      </w:r>
    </w:p>
    <w:p w14:paraId="0ADC28C7" w14:textId="00833371" w:rsidR="00862B48" w:rsidRPr="00862B48" w:rsidRDefault="00180F81" w:rsidP="00862B48">
      <w:pPr>
        <w:pStyle w:val="OdstavecASR"/>
        <w:rPr>
          <w:b/>
          <w:bCs/>
        </w:rPr>
      </w:pPr>
      <w:r>
        <w:rPr>
          <w:noProof/>
        </w:rPr>
        <w:lastRenderedPageBreak/>
        <w:drawing>
          <wp:anchor distT="0" distB="0" distL="114300" distR="114300" simplePos="0" relativeHeight="251697152" behindDoc="0" locked="0" layoutInCell="1" allowOverlap="1" wp14:anchorId="0A8A9227" wp14:editId="24DA92AB">
            <wp:simplePos x="0" y="0"/>
            <wp:positionH relativeFrom="margin">
              <wp:align>left</wp:align>
            </wp:positionH>
            <wp:positionV relativeFrom="paragraph">
              <wp:posOffset>4445</wp:posOffset>
            </wp:positionV>
            <wp:extent cx="2127885" cy="2143125"/>
            <wp:effectExtent l="0" t="0" r="5715" b="0"/>
            <wp:wrapSquare wrapText="bothSides"/>
            <wp:docPr id="45151688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7888" cy="21529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B48" w:rsidRPr="00862B48">
        <w:rPr>
          <w:b/>
          <w:bCs/>
        </w:rPr>
        <w:t>Vážené dámy, vážení pánové,</w:t>
      </w:r>
    </w:p>
    <w:p w14:paraId="3B151BB5" w14:textId="5744046F" w:rsidR="00862B48" w:rsidRPr="00862B48" w:rsidRDefault="00862B48" w:rsidP="00862B48">
      <w:pPr>
        <w:pStyle w:val="OdstavecASR"/>
      </w:pPr>
      <w:r w:rsidRPr="00862B48">
        <w:t>je mi potěšením ujmout se úvodního slova k Výroční statistické zprávě českého soudnictví za rok 2024, která přináší ucelený pohled na vývoj a fungování soudní moci v</w:t>
      </w:r>
      <w:r w:rsidR="001A1EE6">
        <w:t> </w:t>
      </w:r>
      <w:r w:rsidRPr="00862B48">
        <w:t>naší zemi. Tato zpráva není pouze souborem čísel a grafů, je především zrcadlem každodenní práce soudců, justičních pracovníků a zaměstnanců, kteří se podílejí na zajištění spravedlnosti pro všechny občany naší země.</w:t>
      </w:r>
    </w:p>
    <w:p w14:paraId="33D4B82F" w14:textId="0BF113EB" w:rsidR="00862B48" w:rsidRPr="00862B48" w:rsidRDefault="00862B48" w:rsidP="00862B48">
      <w:pPr>
        <w:pStyle w:val="OdstavecASR"/>
      </w:pPr>
      <w:r w:rsidRPr="00862B48">
        <w:t>Zpráva potvrzuje, že české soudnictví si nadále udržuje vysokou úroveň efektivity a že v řadě oblastí dochází k</w:t>
      </w:r>
      <w:r w:rsidR="001A1EE6">
        <w:t> </w:t>
      </w:r>
      <w:r w:rsidRPr="00862B48">
        <w:t>dalšímu zlepšení, což je velmi dobrá zpráva. Například ve správním soudnictví zaznamenáváme kontinuálně pozitivní vývoj, což už se v našich hodnoceních stává příjemným standardem.</w:t>
      </w:r>
    </w:p>
    <w:p w14:paraId="02AABD38" w14:textId="332DAF23" w:rsidR="00862B48" w:rsidRPr="00862B48" w:rsidRDefault="00862B48" w:rsidP="00862B48">
      <w:pPr>
        <w:pStyle w:val="OdstavecASR"/>
      </w:pPr>
      <w:r w:rsidRPr="00862B48">
        <w:t xml:space="preserve">Pozornost si letos zaslouží i nově sledované údaje. Od roku 2024 například evidujeme využití prohlášení viny podle § 206c trestního řádu a ukazuje se, že tento institut využila přibližně polovina osob odsouzených v hlavním líčení. Zároveň je pozitivní, že délky řízení u odvolání v opatrovnické agendě jsou stabilní a nízké, tyto údaje sledujeme </w:t>
      </w:r>
      <w:r w:rsidR="00FA5226">
        <w:t>ve výroční statistické zprávě</w:t>
      </w:r>
      <w:r w:rsidRPr="00862B48">
        <w:t xml:space="preserve"> také poprvé.</w:t>
      </w:r>
    </w:p>
    <w:p w14:paraId="6B29AE29" w14:textId="77777777" w:rsidR="00862B48" w:rsidRPr="00862B48" w:rsidRDefault="00862B48" w:rsidP="00862B48">
      <w:pPr>
        <w:pStyle w:val="OdstavecASR"/>
      </w:pPr>
      <w:r w:rsidRPr="00862B48">
        <w:t>V mezinárodním srovnání si Česká republika opět vede velmi dobře. Oceňuji zejména velmi dobrou dostupnost soudní ochrany a relativně vysokou míru vnímané nezávislosti justice. A to jak ze strany veřejnosti, tak podnikatelského sektoru, zejména v porovnání se sousedním Polskem, Maďarskem či Slovenskem. Vykazujeme rovněž velmi efektivní vyřizování agendy ve všech hlavních oblastech – civilní, správní i trestní. Ukazuje se, že soustavná práce v justici má smysl a že promyšlené změny přinášejí konkrétní zlepšení.</w:t>
      </w:r>
    </w:p>
    <w:p w14:paraId="390B4A2B" w14:textId="77777777" w:rsidR="00862B48" w:rsidRPr="00862B48" w:rsidRDefault="00862B48" w:rsidP="00862B48">
      <w:pPr>
        <w:pStyle w:val="OdstavecASR"/>
      </w:pPr>
      <w:r w:rsidRPr="00862B48">
        <w:t>Statistická data obsažená v této zprávě nám umožňují nejen hodnotit výkonnost soudů, ale také identifikovat oblasti, které vyžadují další pozornost a podporu. Pomáhají nám lépe rozumět tomu, co se v justici děje, a co je potřeba dál zlepšovat.</w:t>
      </w:r>
    </w:p>
    <w:p w14:paraId="012913FD" w14:textId="77777777" w:rsidR="00862B48" w:rsidRPr="00862B48" w:rsidRDefault="00862B48" w:rsidP="00862B48">
      <w:pPr>
        <w:pStyle w:val="OdstavecASR"/>
      </w:pPr>
      <w:r w:rsidRPr="00862B48">
        <w:t>Děkuji všem, kteří se na přípravě této zprávy podíleli, a všem, kteří svou každodenní prací přispívají k fungování právního státu. Věřím, že tato zpráva bude užitečným zdrojem informací nejen pro odbornou veřejnost, ale i pro všechny, kterým záleží na kvalitě a spravedlnosti našeho soudního systému.</w:t>
      </w:r>
    </w:p>
    <w:p w14:paraId="1FF08583" w14:textId="77777777" w:rsidR="00862B48" w:rsidRPr="00862B48" w:rsidRDefault="00862B48" w:rsidP="00862B48">
      <w:pPr>
        <w:pStyle w:val="OdstavecASR"/>
      </w:pPr>
    </w:p>
    <w:p w14:paraId="693EB9B2" w14:textId="77777777" w:rsidR="00862B48" w:rsidRPr="00862B48" w:rsidRDefault="00862B48" w:rsidP="00862B48">
      <w:pPr>
        <w:pStyle w:val="OdstavecASR"/>
      </w:pPr>
      <w:r w:rsidRPr="00862B48">
        <w:t>S úctou,</w:t>
      </w:r>
    </w:p>
    <w:p w14:paraId="521818AF" w14:textId="44B506F1" w:rsidR="00862B48" w:rsidRPr="001A1EE6" w:rsidRDefault="00862B48" w:rsidP="001A1EE6">
      <w:pPr>
        <w:pStyle w:val="OdstavecASR"/>
        <w:ind w:left="4536"/>
        <w:jc w:val="center"/>
        <w:rPr>
          <w:i/>
          <w:iCs/>
        </w:rPr>
      </w:pPr>
      <w:r w:rsidRPr="001A1EE6">
        <w:rPr>
          <w:i/>
          <w:iCs/>
        </w:rPr>
        <w:t>Eva Decroix</w:t>
      </w:r>
      <w:r w:rsidR="001A1EE6" w:rsidRPr="001A1EE6">
        <w:rPr>
          <w:i/>
          <w:iCs/>
        </w:rPr>
        <w:br/>
        <w:t>m</w:t>
      </w:r>
      <w:r w:rsidRPr="001A1EE6">
        <w:rPr>
          <w:i/>
          <w:iCs/>
        </w:rPr>
        <w:t>inistryně spravedlnosti</w:t>
      </w:r>
    </w:p>
    <w:p w14:paraId="5DE2599B" w14:textId="77777777" w:rsidR="00F430ED" w:rsidRPr="00033A3F" w:rsidRDefault="00F430ED">
      <w:pPr>
        <w:spacing w:after="160" w:line="259" w:lineRule="auto"/>
        <w:jc w:val="left"/>
        <w:rPr>
          <w:rFonts w:eastAsiaTheme="majorEastAsia" w:cstheme="majorBidi"/>
          <w:b/>
          <w:color w:val="000000" w:themeColor="text1"/>
          <w:sz w:val="32"/>
          <w:szCs w:val="32"/>
        </w:rPr>
      </w:pPr>
      <w:bookmarkStart w:id="0" w:name="_Toc508873365"/>
      <w:bookmarkStart w:id="1" w:name="_Toc106092708"/>
      <w:bookmarkStart w:id="2" w:name="_Toc169250791"/>
      <w:r w:rsidRPr="00033A3F">
        <w:rPr>
          <w:color w:val="000000" w:themeColor="text1"/>
        </w:rPr>
        <w:br w:type="page"/>
      </w:r>
    </w:p>
    <w:p w14:paraId="6A0C93A4" w14:textId="2A7176AB" w:rsidR="008430BD" w:rsidRPr="00033A3F" w:rsidRDefault="008430BD" w:rsidP="008430BD">
      <w:pPr>
        <w:pStyle w:val="Nadpis1"/>
        <w:ind w:left="432" w:hanging="432"/>
        <w:rPr>
          <w:color w:val="000000" w:themeColor="text1"/>
        </w:rPr>
      </w:pPr>
      <w:bookmarkStart w:id="3" w:name="_Toc193530952"/>
      <w:bookmarkStart w:id="4" w:name="_Toc193957009"/>
      <w:bookmarkStart w:id="5" w:name="_Toc203032699"/>
      <w:r w:rsidRPr="00033A3F">
        <w:rPr>
          <w:color w:val="000000" w:themeColor="text1"/>
        </w:rPr>
        <w:lastRenderedPageBreak/>
        <w:t>Obsah</w:t>
      </w:r>
      <w:bookmarkEnd w:id="0"/>
      <w:bookmarkEnd w:id="1"/>
      <w:bookmarkEnd w:id="2"/>
      <w:bookmarkEnd w:id="3"/>
      <w:bookmarkEnd w:id="4"/>
      <w:bookmarkEnd w:id="5"/>
    </w:p>
    <w:p w14:paraId="23B8DA0F" w14:textId="77777777" w:rsidR="00EC44A7" w:rsidRPr="00033A3F" w:rsidRDefault="00EC44A7">
      <w:pPr>
        <w:pStyle w:val="Obsah1"/>
        <w:rPr>
          <w:color w:val="000000" w:themeColor="text1"/>
        </w:rPr>
      </w:pPr>
    </w:p>
    <w:p w14:paraId="3DF8F663" w14:textId="1BF0045F" w:rsidR="00163B51" w:rsidRDefault="008430BD">
      <w:pPr>
        <w:pStyle w:val="Obsah1"/>
        <w:rPr>
          <w:rFonts w:asciiTheme="minorHAnsi" w:eastAsiaTheme="minorEastAsia" w:hAnsiTheme="minorHAnsi" w:cstheme="minorBidi"/>
          <w:noProof/>
          <w:kern w:val="2"/>
          <w:szCs w:val="24"/>
          <w:lang w:eastAsia="cs-CZ"/>
          <w14:ligatures w14:val="standardContextual"/>
        </w:rPr>
      </w:pPr>
      <w:r w:rsidRPr="00033A3F">
        <w:rPr>
          <w:color w:val="000000" w:themeColor="text1"/>
        </w:rPr>
        <w:fldChar w:fldCharType="begin"/>
      </w:r>
      <w:r w:rsidRPr="00033A3F">
        <w:rPr>
          <w:color w:val="000000" w:themeColor="text1"/>
        </w:rPr>
        <w:instrText xml:space="preserve"> TOC \o "1-3" \h \z \u </w:instrText>
      </w:r>
      <w:r w:rsidRPr="00033A3F">
        <w:rPr>
          <w:color w:val="000000" w:themeColor="text1"/>
        </w:rPr>
        <w:fldChar w:fldCharType="separate"/>
      </w:r>
      <w:hyperlink w:anchor="_Toc203032699" w:history="1">
        <w:r w:rsidR="00163B51" w:rsidRPr="001E2FDE">
          <w:rPr>
            <w:rStyle w:val="Hypertextovodkaz"/>
            <w:noProof/>
          </w:rPr>
          <w:t>Obsah</w:t>
        </w:r>
        <w:r w:rsidR="00163B51">
          <w:rPr>
            <w:noProof/>
            <w:webHidden/>
          </w:rPr>
          <w:tab/>
        </w:r>
        <w:r w:rsidR="00163B51">
          <w:rPr>
            <w:noProof/>
            <w:webHidden/>
          </w:rPr>
          <w:fldChar w:fldCharType="begin"/>
        </w:r>
        <w:r w:rsidR="00163B51">
          <w:rPr>
            <w:noProof/>
            <w:webHidden/>
          </w:rPr>
          <w:instrText xml:space="preserve"> PAGEREF _Toc203032699 \h </w:instrText>
        </w:r>
        <w:r w:rsidR="00163B51">
          <w:rPr>
            <w:noProof/>
            <w:webHidden/>
          </w:rPr>
        </w:r>
        <w:r w:rsidR="00163B51">
          <w:rPr>
            <w:noProof/>
            <w:webHidden/>
          </w:rPr>
          <w:fldChar w:fldCharType="separate"/>
        </w:r>
        <w:r w:rsidR="00163B51">
          <w:rPr>
            <w:noProof/>
            <w:webHidden/>
          </w:rPr>
          <w:t>4</w:t>
        </w:r>
        <w:r w:rsidR="00163B51">
          <w:rPr>
            <w:noProof/>
            <w:webHidden/>
          </w:rPr>
          <w:fldChar w:fldCharType="end"/>
        </w:r>
      </w:hyperlink>
    </w:p>
    <w:p w14:paraId="13110F88" w14:textId="2369F6EA" w:rsidR="00163B51" w:rsidRDefault="00360F8E">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00" w:history="1">
        <w:r w:rsidR="00163B51" w:rsidRPr="001E2FDE">
          <w:rPr>
            <w:rStyle w:val="Hypertextovodkaz"/>
            <w:noProof/>
          </w:rPr>
          <w:t>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Úvod a shrnutí</w:t>
        </w:r>
        <w:r w:rsidR="00163B51">
          <w:rPr>
            <w:noProof/>
            <w:webHidden/>
          </w:rPr>
          <w:tab/>
        </w:r>
        <w:r w:rsidR="00163B51">
          <w:rPr>
            <w:noProof/>
            <w:webHidden/>
          </w:rPr>
          <w:fldChar w:fldCharType="begin"/>
        </w:r>
        <w:r w:rsidR="00163B51">
          <w:rPr>
            <w:noProof/>
            <w:webHidden/>
          </w:rPr>
          <w:instrText xml:space="preserve"> PAGEREF _Toc203032700 \h </w:instrText>
        </w:r>
        <w:r w:rsidR="00163B51">
          <w:rPr>
            <w:noProof/>
            <w:webHidden/>
          </w:rPr>
        </w:r>
        <w:r w:rsidR="00163B51">
          <w:rPr>
            <w:noProof/>
            <w:webHidden/>
          </w:rPr>
          <w:fldChar w:fldCharType="separate"/>
        </w:r>
        <w:r w:rsidR="00163B51">
          <w:rPr>
            <w:noProof/>
            <w:webHidden/>
          </w:rPr>
          <w:t>7</w:t>
        </w:r>
        <w:r w:rsidR="00163B51">
          <w:rPr>
            <w:noProof/>
            <w:webHidden/>
          </w:rPr>
          <w:fldChar w:fldCharType="end"/>
        </w:r>
      </w:hyperlink>
    </w:p>
    <w:p w14:paraId="108D8689" w14:textId="58EFAC27"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01" w:history="1">
        <w:r w:rsidR="00163B51" w:rsidRPr="001E2FDE">
          <w:rPr>
            <w:rStyle w:val="Hypertextovodkaz"/>
          </w:rPr>
          <w:t>1.1</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Základní východiska, předpoklady, omezení a upřesňující poznámky</w:t>
        </w:r>
        <w:r w:rsidR="00163B51">
          <w:rPr>
            <w:webHidden/>
          </w:rPr>
          <w:tab/>
        </w:r>
        <w:r w:rsidR="00163B51">
          <w:rPr>
            <w:webHidden/>
          </w:rPr>
          <w:fldChar w:fldCharType="begin"/>
        </w:r>
        <w:r w:rsidR="00163B51">
          <w:rPr>
            <w:webHidden/>
          </w:rPr>
          <w:instrText xml:space="preserve"> PAGEREF _Toc203032701 \h </w:instrText>
        </w:r>
        <w:r w:rsidR="00163B51">
          <w:rPr>
            <w:webHidden/>
          </w:rPr>
        </w:r>
        <w:r w:rsidR="00163B51">
          <w:rPr>
            <w:webHidden/>
          </w:rPr>
          <w:fldChar w:fldCharType="separate"/>
        </w:r>
        <w:r w:rsidR="00163B51">
          <w:rPr>
            <w:webHidden/>
          </w:rPr>
          <w:t>7</w:t>
        </w:r>
        <w:r w:rsidR="00163B51">
          <w:rPr>
            <w:webHidden/>
          </w:rPr>
          <w:fldChar w:fldCharType="end"/>
        </w:r>
      </w:hyperlink>
    </w:p>
    <w:p w14:paraId="206EFD1B" w14:textId="54333100"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02" w:history="1">
        <w:r w:rsidR="00163B51" w:rsidRPr="001E2FDE">
          <w:rPr>
            <w:rStyle w:val="Hypertextovodkaz"/>
          </w:rPr>
          <w:t>1.2</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Změny oproti verzi z minulého roku</w:t>
        </w:r>
        <w:r w:rsidR="00163B51">
          <w:rPr>
            <w:webHidden/>
          </w:rPr>
          <w:tab/>
        </w:r>
        <w:r w:rsidR="00163B51">
          <w:rPr>
            <w:webHidden/>
          </w:rPr>
          <w:fldChar w:fldCharType="begin"/>
        </w:r>
        <w:r w:rsidR="00163B51">
          <w:rPr>
            <w:webHidden/>
          </w:rPr>
          <w:instrText xml:space="preserve"> PAGEREF _Toc203032702 \h </w:instrText>
        </w:r>
        <w:r w:rsidR="00163B51">
          <w:rPr>
            <w:webHidden/>
          </w:rPr>
        </w:r>
        <w:r w:rsidR="00163B51">
          <w:rPr>
            <w:webHidden/>
          </w:rPr>
          <w:fldChar w:fldCharType="separate"/>
        </w:r>
        <w:r w:rsidR="00163B51">
          <w:rPr>
            <w:webHidden/>
          </w:rPr>
          <w:t>10</w:t>
        </w:r>
        <w:r w:rsidR="00163B51">
          <w:rPr>
            <w:webHidden/>
          </w:rPr>
          <w:fldChar w:fldCharType="end"/>
        </w:r>
      </w:hyperlink>
    </w:p>
    <w:p w14:paraId="5CF0A549" w14:textId="59D39DE5"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03" w:history="1">
        <w:r w:rsidR="00163B51" w:rsidRPr="001E2FDE">
          <w:rPr>
            <w:rStyle w:val="Hypertextovodkaz"/>
            <w:lang w:eastAsia="cs-CZ"/>
          </w:rPr>
          <w:t>1.3</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lang w:eastAsia="cs-CZ"/>
          </w:rPr>
          <w:t>Stručné shrnutí</w:t>
        </w:r>
        <w:r w:rsidR="00163B51">
          <w:rPr>
            <w:webHidden/>
          </w:rPr>
          <w:tab/>
        </w:r>
        <w:r w:rsidR="00163B51">
          <w:rPr>
            <w:webHidden/>
          </w:rPr>
          <w:fldChar w:fldCharType="begin"/>
        </w:r>
        <w:r w:rsidR="00163B51">
          <w:rPr>
            <w:webHidden/>
          </w:rPr>
          <w:instrText xml:space="preserve"> PAGEREF _Toc203032703 \h </w:instrText>
        </w:r>
        <w:r w:rsidR="00163B51">
          <w:rPr>
            <w:webHidden/>
          </w:rPr>
        </w:r>
        <w:r w:rsidR="00163B51">
          <w:rPr>
            <w:webHidden/>
          </w:rPr>
          <w:fldChar w:fldCharType="separate"/>
        </w:r>
        <w:r w:rsidR="00163B51">
          <w:rPr>
            <w:webHidden/>
          </w:rPr>
          <w:t>11</w:t>
        </w:r>
        <w:r w:rsidR="00163B51">
          <w:rPr>
            <w:webHidden/>
          </w:rPr>
          <w:fldChar w:fldCharType="end"/>
        </w:r>
      </w:hyperlink>
    </w:p>
    <w:p w14:paraId="1701CF5E" w14:textId="0F0B5621" w:rsidR="00163B51" w:rsidRDefault="00360F8E">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04" w:history="1">
        <w:r w:rsidR="00163B51" w:rsidRPr="001E2FDE">
          <w:rPr>
            <w:rStyle w:val="Hypertextovodkaz"/>
            <w:noProof/>
          </w:rPr>
          <w:t>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Okresní soudy</w:t>
        </w:r>
        <w:r w:rsidR="00163B51">
          <w:rPr>
            <w:noProof/>
            <w:webHidden/>
          </w:rPr>
          <w:tab/>
        </w:r>
        <w:r w:rsidR="00163B51">
          <w:rPr>
            <w:noProof/>
            <w:webHidden/>
          </w:rPr>
          <w:fldChar w:fldCharType="begin"/>
        </w:r>
        <w:r w:rsidR="00163B51">
          <w:rPr>
            <w:noProof/>
            <w:webHidden/>
          </w:rPr>
          <w:instrText xml:space="preserve"> PAGEREF _Toc203032704 \h </w:instrText>
        </w:r>
        <w:r w:rsidR="00163B51">
          <w:rPr>
            <w:noProof/>
            <w:webHidden/>
          </w:rPr>
        </w:r>
        <w:r w:rsidR="00163B51">
          <w:rPr>
            <w:noProof/>
            <w:webHidden/>
          </w:rPr>
          <w:fldChar w:fldCharType="separate"/>
        </w:r>
        <w:r w:rsidR="00163B51">
          <w:rPr>
            <w:noProof/>
            <w:webHidden/>
          </w:rPr>
          <w:t>16</w:t>
        </w:r>
        <w:r w:rsidR="00163B51">
          <w:rPr>
            <w:noProof/>
            <w:webHidden/>
          </w:rPr>
          <w:fldChar w:fldCharType="end"/>
        </w:r>
      </w:hyperlink>
    </w:p>
    <w:p w14:paraId="3B7D0790" w14:textId="3BAB061C"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05" w:history="1">
        <w:r w:rsidR="00163B51" w:rsidRPr="001E2FDE">
          <w:rPr>
            <w:rStyle w:val="Hypertextovodkaz"/>
          </w:rPr>
          <w:t>2.1</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Personál</w:t>
        </w:r>
        <w:r w:rsidR="00163B51">
          <w:rPr>
            <w:webHidden/>
          </w:rPr>
          <w:tab/>
        </w:r>
        <w:r w:rsidR="00163B51">
          <w:rPr>
            <w:webHidden/>
          </w:rPr>
          <w:fldChar w:fldCharType="begin"/>
        </w:r>
        <w:r w:rsidR="00163B51">
          <w:rPr>
            <w:webHidden/>
          </w:rPr>
          <w:instrText xml:space="preserve"> PAGEREF _Toc203032705 \h </w:instrText>
        </w:r>
        <w:r w:rsidR="00163B51">
          <w:rPr>
            <w:webHidden/>
          </w:rPr>
        </w:r>
        <w:r w:rsidR="00163B51">
          <w:rPr>
            <w:webHidden/>
          </w:rPr>
          <w:fldChar w:fldCharType="separate"/>
        </w:r>
        <w:r w:rsidR="00163B51">
          <w:rPr>
            <w:webHidden/>
          </w:rPr>
          <w:t>16</w:t>
        </w:r>
        <w:r w:rsidR="00163B51">
          <w:rPr>
            <w:webHidden/>
          </w:rPr>
          <w:fldChar w:fldCharType="end"/>
        </w:r>
      </w:hyperlink>
    </w:p>
    <w:p w14:paraId="469804EA" w14:textId="22088828"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06" w:history="1">
        <w:r w:rsidR="00163B51" w:rsidRPr="001E2FDE">
          <w:rPr>
            <w:rStyle w:val="Hypertextovodkaz"/>
            <w:noProof/>
          </w:rPr>
          <w:t>2.1.1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Soudci</w:t>
        </w:r>
        <w:r w:rsidR="00163B51">
          <w:rPr>
            <w:noProof/>
            <w:webHidden/>
          </w:rPr>
          <w:tab/>
        </w:r>
        <w:r w:rsidR="00163B51">
          <w:rPr>
            <w:noProof/>
            <w:webHidden/>
          </w:rPr>
          <w:fldChar w:fldCharType="begin"/>
        </w:r>
        <w:r w:rsidR="00163B51">
          <w:rPr>
            <w:noProof/>
            <w:webHidden/>
          </w:rPr>
          <w:instrText xml:space="preserve"> PAGEREF _Toc203032706 \h </w:instrText>
        </w:r>
        <w:r w:rsidR="00163B51">
          <w:rPr>
            <w:noProof/>
            <w:webHidden/>
          </w:rPr>
        </w:r>
        <w:r w:rsidR="00163B51">
          <w:rPr>
            <w:noProof/>
            <w:webHidden/>
          </w:rPr>
          <w:fldChar w:fldCharType="separate"/>
        </w:r>
        <w:r w:rsidR="00163B51">
          <w:rPr>
            <w:noProof/>
            <w:webHidden/>
          </w:rPr>
          <w:t>17</w:t>
        </w:r>
        <w:r w:rsidR="00163B51">
          <w:rPr>
            <w:noProof/>
            <w:webHidden/>
          </w:rPr>
          <w:fldChar w:fldCharType="end"/>
        </w:r>
      </w:hyperlink>
    </w:p>
    <w:p w14:paraId="51016A89" w14:textId="2FEF8D1A"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07" w:history="1">
        <w:r w:rsidR="00163B51" w:rsidRPr="001E2FDE">
          <w:rPr>
            <w:rStyle w:val="Hypertextovodkaz"/>
            <w:noProof/>
          </w:rPr>
          <w:t>2.1.2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Zaměstnanci ve výkonu a ve správě</w:t>
        </w:r>
        <w:r w:rsidR="00163B51">
          <w:rPr>
            <w:noProof/>
            <w:webHidden/>
          </w:rPr>
          <w:tab/>
        </w:r>
        <w:r w:rsidR="00163B51">
          <w:rPr>
            <w:noProof/>
            <w:webHidden/>
          </w:rPr>
          <w:fldChar w:fldCharType="begin"/>
        </w:r>
        <w:r w:rsidR="00163B51">
          <w:rPr>
            <w:noProof/>
            <w:webHidden/>
          </w:rPr>
          <w:instrText xml:space="preserve"> PAGEREF _Toc203032707 \h </w:instrText>
        </w:r>
        <w:r w:rsidR="00163B51">
          <w:rPr>
            <w:noProof/>
            <w:webHidden/>
          </w:rPr>
        </w:r>
        <w:r w:rsidR="00163B51">
          <w:rPr>
            <w:noProof/>
            <w:webHidden/>
          </w:rPr>
          <w:fldChar w:fldCharType="separate"/>
        </w:r>
        <w:r w:rsidR="00163B51">
          <w:rPr>
            <w:noProof/>
            <w:webHidden/>
          </w:rPr>
          <w:t>22</w:t>
        </w:r>
        <w:r w:rsidR="00163B51">
          <w:rPr>
            <w:noProof/>
            <w:webHidden/>
          </w:rPr>
          <w:fldChar w:fldCharType="end"/>
        </w:r>
      </w:hyperlink>
    </w:p>
    <w:p w14:paraId="3E60E854" w14:textId="060CAB59"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08" w:history="1">
        <w:r w:rsidR="00163B51" w:rsidRPr="001E2FDE">
          <w:rPr>
            <w:rStyle w:val="Hypertextovodkaz"/>
            <w:noProof/>
          </w:rPr>
          <w:t>2.1.3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Přísedící soudu</w:t>
        </w:r>
        <w:r w:rsidR="00163B51">
          <w:rPr>
            <w:noProof/>
            <w:webHidden/>
          </w:rPr>
          <w:tab/>
        </w:r>
        <w:r w:rsidR="00163B51">
          <w:rPr>
            <w:noProof/>
            <w:webHidden/>
          </w:rPr>
          <w:fldChar w:fldCharType="begin"/>
        </w:r>
        <w:r w:rsidR="00163B51">
          <w:rPr>
            <w:noProof/>
            <w:webHidden/>
          </w:rPr>
          <w:instrText xml:space="preserve"> PAGEREF _Toc203032708 \h </w:instrText>
        </w:r>
        <w:r w:rsidR="00163B51">
          <w:rPr>
            <w:noProof/>
            <w:webHidden/>
          </w:rPr>
        </w:r>
        <w:r w:rsidR="00163B51">
          <w:rPr>
            <w:noProof/>
            <w:webHidden/>
          </w:rPr>
          <w:fldChar w:fldCharType="separate"/>
        </w:r>
        <w:r w:rsidR="00163B51">
          <w:rPr>
            <w:noProof/>
            <w:webHidden/>
          </w:rPr>
          <w:t>24</w:t>
        </w:r>
        <w:r w:rsidR="00163B51">
          <w:rPr>
            <w:noProof/>
            <w:webHidden/>
          </w:rPr>
          <w:fldChar w:fldCharType="end"/>
        </w:r>
      </w:hyperlink>
    </w:p>
    <w:p w14:paraId="26BDC133" w14:textId="17BB7E25"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09" w:history="1">
        <w:r w:rsidR="00163B51" w:rsidRPr="001E2FDE">
          <w:rPr>
            <w:rStyle w:val="Hypertextovodkaz"/>
          </w:rPr>
          <w:t>2.2</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Civilní agenda</w:t>
        </w:r>
        <w:r w:rsidR="00163B51">
          <w:rPr>
            <w:webHidden/>
          </w:rPr>
          <w:tab/>
        </w:r>
        <w:r w:rsidR="00163B51">
          <w:rPr>
            <w:webHidden/>
          </w:rPr>
          <w:fldChar w:fldCharType="begin"/>
        </w:r>
        <w:r w:rsidR="00163B51">
          <w:rPr>
            <w:webHidden/>
          </w:rPr>
          <w:instrText xml:space="preserve"> PAGEREF _Toc203032709 \h </w:instrText>
        </w:r>
        <w:r w:rsidR="00163B51">
          <w:rPr>
            <w:webHidden/>
          </w:rPr>
        </w:r>
        <w:r w:rsidR="00163B51">
          <w:rPr>
            <w:webHidden/>
          </w:rPr>
          <w:fldChar w:fldCharType="separate"/>
        </w:r>
        <w:r w:rsidR="00163B51">
          <w:rPr>
            <w:webHidden/>
          </w:rPr>
          <w:t>26</w:t>
        </w:r>
        <w:r w:rsidR="00163B51">
          <w:rPr>
            <w:webHidden/>
          </w:rPr>
          <w:fldChar w:fldCharType="end"/>
        </w:r>
      </w:hyperlink>
    </w:p>
    <w:p w14:paraId="58A97D78" w14:textId="44B1DE50"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10" w:history="1">
        <w:r w:rsidR="00163B51" w:rsidRPr="001E2FDE">
          <w:rPr>
            <w:rStyle w:val="Hypertextovodkaz"/>
            <w:noProof/>
          </w:rPr>
          <w:t>2.2.1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_Toc203032710 \h </w:instrText>
        </w:r>
        <w:r w:rsidR="00163B51">
          <w:rPr>
            <w:noProof/>
            <w:webHidden/>
          </w:rPr>
        </w:r>
        <w:r w:rsidR="00163B51">
          <w:rPr>
            <w:noProof/>
            <w:webHidden/>
          </w:rPr>
          <w:fldChar w:fldCharType="separate"/>
        </w:r>
        <w:r w:rsidR="00163B51">
          <w:rPr>
            <w:noProof/>
            <w:webHidden/>
          </w:rPr>
          <w:t>26</w:t>
        </w:r>
        <w:r w:rsidR="00163B51">
          <w:rPr>
            <w:noProof/>
            <w:webHidden/>
          </w:rPr>
          <w:fldChar w:fldCharType="end"/>
        </w:r>
      </w:hyperlink>
    </w:p>
    <w:p w14:paraId="793F4A6B" w14:textId="55DC454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11" w:history="1">
        <w:r w:rsidR="00163B51" w:rsidRPr="001E2FDE">
          <w:rPr>
            <w:rStyle w:val="Hypertextovodkaz"/>
            <w:noProof/>
          </w:rPr>
          <w:t>2.2.2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_Toc203032711 \h </w:instrText>
        </w:r>
        <w:r w:rsidR="00163B51">
          <w:rPr>
            <w:noProof/>
            <w:webHidden/>
          </w:rPr>
        </w:r>
        <w:r w:rsidR="00163B51">
          <w:rPr>
            <w:noProof/>
            <w:webHidden/>
          </w:rPr>
          <w:fldChar w:fldCharType="separate"/>
        </w:r>
        <w:r w:rsidR="00163B51">
          <w:rPr>
            <w:noProof/>
            <w:webHidden/>
          </w:rPr>
          <w:t>30</w:t>
        </w:r>
        <w:r w:rsidR="00163B51">
          <w:rPr>
            <w:noProof/>
            <w:webHidden/>
          </w:rPr>
          <w:fldChar w:fldCharType="end"/>
        </w:r>
      </w:hyperlink>
    </w:p>
    <w:p w14:paraId="0C16E54F" w14:textId="0905F221"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12" w:history="1">
        <w:r w:rsidR="00163B51" w:rsidRPr="001E2FDE">
          <w:rPr>
            <w:rStyle w:val="Hypertextovodkaz"/>
            <w:noProof/>
          </w:rPr>
          <w:t>2.2.3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 v přepočtu na soudce</w:t>
        </w:r>
        <w:r w:rsidR="00163B51">
          <w:rPr>
            <w:noProof/>
            <w:webHidden/>
          </w:rPr>
          <w:tab/>
        </w:r>
        <w:r w:rsidR="00163B51">
          <w:rPr>
            <w:noProof/>
            <w:webHidden/>
          </w:rPr>
          <w:fldChar w:fldCharType="begin"/>
        </w:r>
        <w:r w:rsidR="00163B51">
          <w:rPr>
            <w:noProof/>
            <w:webHidden/>
          </w:rPr>
          <w:instrText xml:space="preserve"> PAGEREF _Toc203032712 \h </w:instrText>
        </w:r>
        <w:r w:rsidR="00163B51">
          <w:rPr>
            <w:noProof/>
            <w:webHidden/>
          </w:rPr>
        </w:r>
        <w:r w:rsidR="00163B51">
          <w:rPr>
            <w:noProof/>
            <w:webHidden/>
          </w:rPr>
          <w:fldChar w:fldCharType="separate"/>
        </w:r>
        <w:r w:rsidR="00163B51">
          <w:rPr>
            <w:noProof/>
            <w:webHidden/>
          </w:rPr>
          <w:t>32</w:t>
        </w:r>
        <w:r w:rsidR="00163B51">
          <w:rPr>
            <w:noProof/>
            <w:webHidden/>
          </w:rPr>
          <w:fldChar w:fldCharType="end"/>
        </w:r>
      </w:hyperlink>
    </w:p>
    <w:p w14:paraId="6567B3AE" w14:textId="38769EE8"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13" w:history="1">
        <w:r w:rsidR="00163B51" w:rsidRPr="001E2FDE">
          <w:rPr>
            <w:rStyle w:val="Hypertextovodkaz"/>
            <w:noProof/>
          </w:rPr>
          <w:t>2.2.4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Disposition time (dispoziční čas)</w:t>
        </w:r>
        <w:r w:rsidR="00163B51">
          <w:rPr>
            <w:noProof/>
            <w:webHidden/>
          </w:rPr>
          <w:tab/>
        </w:r>
        <w:r w:rsidR="00163B51">
          <w:rPr>
            <w:noProof/>
            <w:webHidden/>
          </w:rPr>
          <w:fldChar w:fldCharType="begin"/>
        </w:r>
        <w:r w:rsidR="00163B51">
          <w:rPr>
            <w:noProof/>
            <w:webHidden/>
          </w:rPr>
          <w:instrText xml:space="preserve"> PAGEREF _Toc203032713 \h </w:instrText>
        </w:r>
        <w:r w:rsidR="00163B51">
          <w:rPr>
            <w:noProof/>
            <w:webHidden/>
          </w:rPr>
        </w:r>
        <w:r w:rsidR="00163B51">
          <w:rPr>
            <w:noProof/>
            <w:webHidden/>
          </w:rPr>
          <w:fldChar w:fldCharType="separate"/>
        </w:r>
        <w:r w:rsidR="00163B51">
          <w:rPr>
            <w:noProof/>
            <w:webHidden/>
          </w:rPr>
          <w:t>34</w:t>
        </w:r>
        <w:r w:rsidR="00163B51">
          <w:rPr>
            <w:noProof/>
            <w:webHidden/>
          </w:rPr>
          <w:fldChar w:fldCharType="end"/>
        </w:r>
      </w:hyperlink>
    </w:p>
    <w:p w14:paraId="56650BF3" w14:textId="52A6A420"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14" w:history="1">
        <w:r w:rsidR="00163B51" w:rsidRPr="001E2FDE">
          <w:rPr>
            <w:rStyle w:val="Hypertextovodkaz"/>
            <w:noProof/>
          </w:rPr>
          <w:t>2.2.5</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Další statistiky</w:t>
        </w:r>
        <w:r w:rsidR="00163B51">
          <w:rPr>
            <w:noProof/>
            <w:webHidden/>
          </w:rPr>
          <w:tab/>
        </w:r>
        <w:r w:rsidR="00163B51">
          <w:rPr>
            <w:noProof/>
            <w:webHidden/>
          </w:rPr>
          <w:fldChar w:fldCharType="begin"/>
        </w:r>
        <w:r w:rsidR="00163B51">
          <w:rPr>
            <w:noProof/>
            <w:webHidden/>
          </w:rPr>
          <w:instrText xml:space="preserve"> PAGEREF _Toc203032714 \h </w:instrText>
        </w:r>
        <w:r w:rsidR="00163B51">
          <w:rPr>
            <w:noProof/>
            <w:webHidden/>
          </w:rPr>
        </w:r>
        <w:r w:rsidR="00163B51">
          <w:rPr>
            <w:noProof/>
            <w:webHidden/>
          </w:rPr>
          <w:fldChar w:fldCharType="separate"/>
        </w:r>
        <w:r w:rsidR="00163B51">
          <w:rPr>
            <w:noProof/>
            <w:webHidden/>
          </w:rPr>
          <w:t>37</w:t>
        </w:r>
        <w:r w:rsidR="00163B51">
          <w:rPr>
            <w:noProof/>
            <w:webHidden/>
          </w:rPr>
          <w:fldChar w:fldCharType="end"/>
        </w:r>
      </w:hyperlink>
    </w:p>
    <w:p w14:paraId="7D885F23" w14:textId="4BEB98E1"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15" w:history="1">
        <w:r w:rsidR="00163B51" w:rsidRPr="001E2FDE">
          <w:rPr>
            <w:rStyle w:val="Hypertextovodkaz"/>
          </w:rPr>
          <w:t>2.3</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Civilní agenda – elektronické rozkazní řízení</w:t>
        </w:r>
        <w:r w:rsidR="00163B51">
          <w:rPr>
            <w:webHidden/>
          </w:rPr>
          <w:tab/>
        </w:r>
        <w:r w:rsidR="00163B51">
          <w:rPr>
            <w:webHidden/>
          </w:rPr>
          <w:fldChar w:fldCharType="begin"/>
        </w:r>
        <w:r w:rsidR="00163B51">
          <w:rPr>
            <w:webHidden/>
          </w:rPr>
          <w:instrText xml:space="preserve"> PAGEREF _Toc203032715 \h </w:instrText>
        </w:r>
        <w:r w:rsidR="00163B51">
          <w:rPr>
            <w:webHidden/>
          </w:rPr>
        </w:r>
        <w:r w:rsidR="00163B51">
          <w:rPr>
            <w:webHidden/>
          </w:rPr>
          <w:fldChar w:fldCharType="separate"/>
        </w:r>
        <w:r w:rsidR="00163B51">
          <w:rPr>
            <w:webHidden/>
          </w:rPr>
          <w:t>42</w:t>
        </w:r>
        <w:r w:rsidR="00163B51">
          <w:rPr>
            <w:webHidden/>
          </w:rPr>
          <w:fldChar w:fldCharType="end"/>
        </w:r>
      </w:hyperlink>
    </w:p>
    <w:p w14:paraId="73B6B733" w14:textId="29E8C5D6"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16" w:history="1">
        <w:r w:rsidR="00163B51" w:rsidRPr="001E2FDE">
          <w:rPr>
            <w:rStyle w:val="Hypertextovodkaz"/>
            <w:noProof/>
          </w:rPr>
          <w:t>2.3.1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_Toc203032716 \h </w:instrText>
        </w:r>
        <w:r w:rsidR="00163B51">
          <w:rPr>
            <w:noProof/>
            <w:webHidden/>
          </w:rPr>
        </w:r>
        <w:r w:rsidR="00163B51">
          <w:rPr>
            <w:noProof/>
            <w:webHidden/>
          </w:rPr>
          <w:fldChar w:fldCharType="separate"/>
        </w:r>
        <w:r w:rsidR="00163B51">
          <w:rPr>
            <w:noProof/>
            <w:webHidden/>
          </w:rPr>
          <w:t>42</w:t>
        </w:r>
        <w:r w:rsidR="00163B51">
          <w:rPr>
            <w:noProof/>
            <w:webHidden/>
          </w:rPr>
          <w:fldChar w:fldCharType="end"/>
        </w:r>
      </w:hyperlink>
    </w:p>
    <w:p w14:paraId="439F1889" w14:textId="46FD40A3"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17" w:history="1">
        <w:r w:rsidR="00163B51" w:rsidRPr="001E2FDE">
          <w:rPr>
            <w:rStyle w:val="Hypertextovodkaz"/>
            <w:noProof/>
          </w:rPr>
          <w:t>2.3.2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_Toc203032717 \h </w:instrText>
        </w:r>
        <w:r w:rsidR="00163B51">
          <w:rPr>
            <w:noProof/>
            <w:webHidden/>
          </w:rPr>
        </w:r>
        <w:r w:rsidR="00163B51">
          <w:rPr>
            <w:noProof/>
            <w:webHidden/>
          </w:rPr>
          <w:fldChar w:fldCharType="separate"/>
        </w:r>
        <w:r w:rsidR="00163B51">
          <w:rPr>
            <w:noProof/>
            <w:webHidden/>
          </w:rPr>
          <w:t>43</w:t>
        </w:r>
        <w:r w:rsidR="00163B51">
          <w:rPr>
            <w:noProof/>
            <w:webHidden/>
          </w:rPr>
          <w:fldChar w:fldCharType="end"/>
        </w:r>
      </w:hyperlink>
    </w:p>
    <w:p w14:paraId="497D2718" w14:textId="65AFC8CF"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18" w:history="1">
        <w:r w:rsidR="00163B51" w:rsidRPr="001E2FDE">
          <w:rPr>
            <w:rStyle w:val="Hypertextovodkaz"/>
            <w:noProof/>
          </w:rPr>
          <w:t>2.3.3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Další statistiky</w:t>
        </w:r>
        <w:r w:rsidR="00163B51">
          <w:rPr>
            <w:noProof/>
            <w:webHidden/>
          </w:rPr>
          <w:tab/>
        </w:r>
        <w:r w:rsidR="00163B51">
          <w:rPr>
            <w:noProof/>
            <w:webHidden/>
          </w:rPr>
          <w:fldChar w:fldCharType="begin"/>
        </w:r>
        <w:r w:rsidR="00163B51">
          <w:rPr>
            <w:noProof/>
            <w:webHidden/>
          </w:rPr>
          <w:instrText xml:space="preserve"> PAGEREF _Toc203032718 \h </w:instrText>
        </w:r>
        <w:r w:rsidR="00163B51">
          <w:rPr>
            <w:noProof/>
            <w:webHidden/>
          </w:rPr>
        </w:r>
        <w:r w:rsidR="00163B51">
          <w:rPr>
            <w:noProof/>
            <w:webHidden/>
          </w:rPr>
          <w:fldChar w:fldCharType="separate"/>
        </w:r>
        <w:r w:rsidR="00163B51">
          <w:rPr>
            <w:noProof/>
            <w:webHidden/>
          </w:rPr>
          <w:t>44</w:t>
        </w:r>
        <w:r w:rsidR="00163B51">
          <w:rPr>
            <w:noProof/>
            <w:webHidden/>
          </w:rPr>
          <w:fldChar w:fldCharType="end"/>
        </w:r>
      </w:hyperlink>
    </w:p>
    <w:p w14:paraId="6151B010" w14:textId="345775B3"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19" w:history="1">
        <w:r w:rsidR="00163B51" w:rsidRPr="001E2FDE">
          <w:rPr>
            <w:rStyle w:val="Hypertextovodkaz"/>
          </w:rPr>
          <w:t>2.4</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Trestní agenda</w:t>
        </w:r>
        <w:r w:rsidR="00163B51">
          <w:rPr>
            <w:webHidden/>
          </w:rPr>
          <w:tab/>
        </w:r>
        <w:r w:rsidR="00163B51">
          <w:rPr>
            <w:webHidden/>
          </w:rPr>
          <w:fldChar w:fldCharType="begin"/>
        </w:r>
        <w:r w:rsidR="00163B51">
          <w:rPr>
            <w:webHidden/>
          </w:rPr>
          <w:instrText xml:space="preserve"> PAGEREF _Toc203032719 \h </w:instrText>
        </w:r>
        <w:r w:rsidR="00163B51">
          <w:rPr>
            <w:webHidden/>
          </w:rPr>
        </w:r>
        <w:r w:rsidR="00163B51">
          <w:rPr>
            <w:webHidden/>
          </w:rPr>
          <w:fldChar w:fldCharType="separate"/>
        </w:r>
        <w:r w:rsidR="00163B51">
          <w:rPr>
            <w:webHidden/>
          </w:rPr>
          <w:t>47</w:t>
        </w:r>
        <w:r w:rsidR="00163B51">
          <w:rPr>
            <w:webHidden/>
          </w:rPr>
          <w:fldChar w:fldCharType="end"/>
        </w:r>
      </w:hyperlink>
    </w:p>
    <w:p w14:paraId="15DC48AE" w14:textId="242C10F9"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20" w:history="1">
        <w:r w:rsidR="00163B51" w:rsidRPr="001E2FDE">
          <w:rPr>
            <w:rStyle w:val="Hypertextovodkaz"/>
            <w:noProof/>
          </w:rPr>
          <w:t>2.4.1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_Toc203032720 \h </w:instrText>
        </w:r>
        <w:r w:rsidR="00163B51">
          <w:rPr>
            <w:noProof/>
            <w:webHidden/>
          </w:rPr>
        </w:r>
        <w:r w:rsidR="00163B51">
          <w:rPr>
            <w:noProof/>
            <w:webHidden/>
          </w:rPr>
          <w:fldChar w:fldCharType="separate"/>
        </w:r>
        <w:r w:rsidR="00163B51">
          <w:rPr>
            <w:noProof/>
            <w:webHidden/>
          </w:rPr>
          <w:t>47</w:t>
        </w:r>
        <w:r w:rsidR="00163B51">
          <w:rPr>
            <w:noProof/>
            <w:webHidden/>
          </w:rPr>
          <w:fldChar w:fldCharType="end"/>
        </w:r>
      </w:hyperlink>
    </w:p>
    <w:p w14:paraId="3EDD0025" w14:textId="5ECBDF79"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21" w:history="1">
        <w:r w:rsidR="00163B51" w:rsidRPr="001E2FDE">
          <w:rPr>
            <w:rStyle w:val="Hypertextovodkaz"/>
            <w:noProof/>
          </w:rPr>
          <w:t>2.4.2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_Toc203032721 \h </w:instrText>
        </w:r>
        <w:r w:rsidR="00163B51">
          <w:rPr>
            <w:noProof/>
            <w:webHidden/>
          </w:rPr>
        </w:r>
        <w:r w:rsidR="00163B51">
          <w:rPr>
            <w:noProof/>
            <w:webHidden/>
          </w:rPr>
          <w:fldChar w:fldCharType="separate"/>
        </w:r>
        <w:r w:rsidR="00163B51">
          <w:rPr>
            <w:noProof/>
            <w:webHidden/>
          </w:rPr>
          <w:t>51</w:t>
        </w:r>
        <w:r w:rsidR="00163B51">
          <w:rPr>
            <w:noProof/>
            <w:webHidden/>
          </w:rPr>
          <w:fldChar w:fldCharType="end"/>
        </w:r>
      </w:hyperlink>
    </w:p>
    <w:p w14:paraId="3F5B697A" w14:textId="17BEE6B3"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22" w:history="1">
        <w:r w:rsidR="00163B51" w:rsidRPr="001E2FDE">
          <w:rPr>
            <w:rStyle w:val="Hypertextovodkaz"/>
            <w:noProof/>
          </w:rPr>
          <w:t>2.4.3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 v přepočtu na soudce</w:t>
        </w:r>
        <w:r w:rsidR="00163B51">
          <w:rPr>
            <w:noProof/>
            <w:webHidden/>
          </w:rPr>
          <w:tab/>
        </w:r>
        <w:r w:rsidR="00163B51">
          <w:rPr>
            <w:noProof/>
            <w:webHidden/>
          </w:rPr>
          <w:fldChar w:fldCharType="begin"/>
        </w:r>
        <w:r w:rsidR="00163B51">
          <w:rPr>
            <w:noProof/>
            <w:webHidden/>
          </w:rPr>
          <w:instrText xml:space="preserve"> PAGEREF _Toc203032722 \h </w:instrText>
        </w:r>
        <w:r w:rsidR="00163B51">
          <w:rPr>
            <w:noProof/>
            <w:webHidden/>
          </w:rPr>
        </w:r>
        <w:r w:rsidR="00163B51">
          <w:rPr>
            <w:noProof/>
            <w:webHidden/>
          </w:rPr>
          <w:fldChar w:fldCharType="separate"/>
        </w:r>
        <w:r w:rsidR="00163B51">
          <w:rPr>
            <w:noProof/>
            <w:webHidden/>
          </w:rPr>
          <w:t>52</w:t>
        </w:r>
        <w:r w:rsidR="00163B51">
          <w:rPr>
            <w:noProof/>
            <w:webHidden/>
          </w:rPr>
          <w:fldChar w:fldCharType="end"/>
        </w:r>
      </w:hyperlink>
    </w:p>
    <w:p w14:paraId="30EA4596" w14:textId="14FAA452"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23" w:history="1">
        <w:r w:rsidR="00163B51" w:rsidRPr="001E2FDE">
          <w:rPr>
            <w:rStyle w:val="Hypertextovodkaz"/>
            <w:noProof/>
          </w:rPr>
          <w:t>2.4.4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Disposition time (dispoziční čas)</w:t>
        </w:r>
        <w:r w:rsidR="00163B51">
          <w:rPr>
            <w:noProof/>
            <w:webHidden/>
          </w:rPr>
          <w:tab/>
        </w:r>
        <w:r w:rsidR="00163B51">
          <w:rPr>
            <w:noProof/>
            <w:webHidden/>
          </w:rPr>
          <w:fldChar w:fldCharType="begin"/>
        </w:r>
        <w:r w:rsidR="00163B51">
          <w:rPr>
            <w:noProof/>
            <w:webHidden/>
          </w:rPr>
          <w:instrText xml:space="preserve"> PAGEREF _Toc203032723 \h </w:instrText>
        </w:r>
        <w:r w:rsidR="00163B51">
          <w:rPr>
            <w:noProof/>
            <w:webHidden/>
          </w:rPr>
        </w:r>
        <w:r w:rsidR="00163B51">
          <w:rPr>
            <w:noProof/>
            <w:webHidden/>
          </w:rPr>
          <w:fldChar w:fldCharType="separate"/>
        </w:r>
        <w:r w:rsidR="00163B51">
          <w:rPr>
            <w:noProof/>
            <w:webHidden/>
          </w:rPr>
          <w:t>53</w:t>
        </w:r>
        <w:r w:rsidR="00163B51">
          <w:rPr>
            <w:noProof/>
            <w:webHidden/>
          </w:rPr>
          <w:fldChar w:fldCharType="end"/>
        </w:r>
      </w:hyperlink>
    </w:p>
    <w:p w14:paraId="267C6449" w14:textId="794F7812"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24" w:history="1">
        <w:r w:rsidR="00163B51" w:rsidRPr="001E2FDE">
          <w:rPr>
            <w:rStyle w:val="Hypertextovodkaz"/>
            <w:noProof/>
          </w:rPr>
          <w:t>2.4.5</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Další statistiky</w:t>
        </w:r>
        <w:r w:rsidR="00163B51">
          <w:rPr>
            <w:noProof/>
            <w:webHidden/>
          </w:rPr>
          <w:tab/>
        </w:r>
        <w:r w:rsidR="00163B51">
          <w:rPr>
            <w:noProof/>
            <w:webHidden/>
          </w:rPr>
          <w:fldChar w:fldCharType="begin"/>
        </w:r>
        <w:r w:rsidR="00163B51">
          <w:rPr>
            <w:noProof/>
            <w:webHidden/>
          </w:rPr>
          <w:instrText xml:space="preserve"> PAGEREF _Toc203032724 \h </w:instrText>
        </w:r>
        <w:r w:rsidR="00163B51">
          <w:rPr>
            <w:noProof/>
            <w:webHidden/>
          </w:rPr>
        </w:r>
        <w:r w:rsidR="00163B51">
          <w:rPr>
            <w:noProof/>
            <w:webHidden/>
          </w:rPr>
          <w:fldChar w:fldCharType="separate"/>
        </w:r>
        <w:r w:rsidR="00163B51">
          <w:rPr>
            <w:noProof/>
            <w:webHidden/>
          </w:rPr>
          <w:t>56</w:t>
        </w:r>
        <w:r w:rsidR="00163B51">
          <w:rPr>
            <w:noProof/>
            <w:webHidden/>
          </w:rPr>
          <w:fldChar w:fldCharType="end"/>
        </w:r>
      </w:hyperlink>
    </w:p>
    <w:p w14:paraId="0D20015D" w14:textId="0CBE2894"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25" w:history="1">
        <w:r w:rsidR="00163B51" w:rsidRPr="001E2FDE">
          <w:rPr>
            <w:rStyle w:val="Hypertextovodkaz"/>
          </w:rPr>
          <w:t>2.5</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Opatrovnická agenda</w:t>
        </w:r>
        <w:r w:rsidR="00163B51">
          <w:rPr>
            <w:webHidden/>
          </w:rPr>
          <w:tab/>
        </w:r>
        <w:r w:rsidR="00163B51">
          <w:rPr>
            <w:webHidden/>
          </w:rPr>
          <w:fldChar w:fldCharType="begin"/>
        </w:r>
        <w:r w:rsidR="00163B51">
          <w:rPr>
            <w:webHidden/>
          </w:rPr>
          <w:instrText xml:space="preserve"> PAGEREF _Toc203032725 \h </w:instrText>
        </w:r>
        <w:r w:rsidR="00163B51">
          <w:rPr>
            <w:webHidden/>
          </w:rPr>
        </w:r>
        <w:r w:rsidR="00163B51">
          <w:rPr>
            <w:webHidden/>
          </w:rPr>
          <w:fldChar w:fldCharType="separate"/>
        </w:r>
        <w:r w:rsidR="00163B51">
          <w:rPr>
            <w:webHidden/>
          </w:rPr>
          <w:t>66</w:t>
        </w:r>
        <w:r w:rsidR="00163B51">
          <w:rPr>
            <w:webHidden/>
          </w:rPr>
          <w:fldChar w:fldCharType="end"/>
        </w:r>
      </w:hyperlink>
    </w:p>
    <w:p w14:paraId="1FE11325" w14:textId="10281FAE"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26" w:history="1">
        <w:r w:rsidR="00163B51" w:rsidRPr="001E2FDE">
          <w:rPr>
            <w:rStyle w:val="Hypertextovodkaz"/>
            <w:noProof/>
          </w:rPr>
          <w:t>2.5.1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_Toc203032726 \h </w:instrText>
        </w:r>
        <w:r w:rsidR="00163B51">
          <w:rPr>
            <w:noProof/>
            <w:webHidden/>
          </w:rPr>
        </w:r>
        <w:r w:rsidR="00163B51">
          <w:rPr>
            <w:noProof/>
            <w:webHidden/>
          </w:rPr>
          <w:fldChar w:fldCharType="separate"/>
        </w:r>
        <w:r w:rsidR="00163B51">
          <w:rPr>
            <w:noProof/>
            <w:webHidden/>
          </w:rPr>
          <w:t>66</w:t>
        </w:r>
        <w:r w:rsidR="00163B51">
          <w:rPr>
            <w:noProof/>
            <w:webHidden/>
          </w:rPr>
          <w:fldChar w:fldCharType="end"/>
        </w:r>
      </w:hyperlink>
    </w:p>
    <w:p w14:paraId="18A83B6D" w14:textId="1D5B4A28"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27" w:history="1">
        <w:r w:rsidR="00163B51" w:rsidRPr="001E2FDE">
          <w:rPr>
            <w:rStyle w:val="Hypertextovodkaz"/>
            <w:noProof/>
          </w:rPr>
          <w:t>2.5.2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_Toc203032727 \h </w:instrText>
        </w:r>
        <w:r w:rsidR="00163B51">
          <w:rPr>
            <w:noProof/>
            <w:webHidden/>
          </w:rPr>
        </w:r>
        <w:r w:rsidR="00163B51">
          <w:rPr>
            <w:noProof/>
            <w:webHidden/>
          </w:rPr>
          <w:fldChar w:fldCharType="separate"/>
        </w:r>
        <w:r w:rsidR="00163B51">
          <w:rPr>
            <w:noProof/>
            <w:webHidden/>
          </w:rPr>
          <w:t>70</w:t>
        </w:r>
        <w:r w:rsidR="00163B51">
          <w:rPr>
            <w:noProof/>
            <w:webHidden/>
          </w:rPr>
          <w:fldChar w:fldCharType="end"/>
        </w:r>
      </w:hyperlink>
    </w:p>
    <w:p w14:paraId="08FC74EE" w14:textId="265B9151"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28" w:history="1">
        <w:r w:rsidR="00163B51" w:rsidRPr="001E2FDE">
          <w:rPr>
            <w:rStyle w:val="Hypertextovodkaz"/>
            <w:noProof/>
          </w:rPr>
          <w:t>2.5.3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 přepočtu na soudce</w:t>
        </w:r>
        <w:r w:rsidR="00163B51">
          <w:rPr>
            <w:noProof/>
            <w:webHidden/>
          </w:rPr>
          <w:tab/>
        </w:r>
        <w:r w:rsidR="00163B51">
          <w:rPr>
            <w:noProof/>
            <w:webHidden/>
          </w:rPr>
          <w:fldChar w:fldCharType="begin"/>
        </w:r>
        <w:r w:rsidR="00163B51">
          <w:rPr>
            <w:noProof/>
            <w:webHidden/>
          </w:rPr>
          <w:instrText xml:space="preserve"> PAGEREF _Toc203032728 \h </w:instrText>
        </w:r>
        <w:r w:rsidR="00163B51">
          <w:rPr>
            <w:noProof/>
            <w:webHidden/>
          </w:rPr>
        </w:r>
        <w:r w:rsidR="00163B51">
          <w:rPr>
            <w:noProof/>
            <w:webHidden/>
          </w:rPr>
          <w:fldChar w:fldCharType="separate"/>
        </w:r>
        <w:r w:rsidR="00163B51">
          <w:rPr>
            <w:noProof/>
            <w:webHidden/>
          </w:rPr>
          <w:t>72</w:t>
        </w:r>
        <w:r w:rsidR="00163B51">
          <w:rPr>
            <w:noProof/>
            <w:webHidden/>
          </w:rPr>
          <w:fldChar w:fldCharType="end"/>
        </w:r>
      </w:hyperlink>
    </w:p>
    <w:p w14:paraId="581E8801" w14:textId="54D3A382"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29" w:history="1">
        <w:r w:rsidR="00163B51" w:rsidRPr="001E2FDE">
          <w:rPr>
            <w:rStyle w:val="Hypertextovodkaz"/>
            <w:noProof/>
          </w:rPr>
          <w:t>2.5.4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Disposition time (dispoziční čas)</w:t>
        </w:r>
        <w:r w:rsidR="00163B51">
          <w:rPr>
            <w:noProof/>
            <w:webHidden/>
          </w:rPr>
          <w:tab/>
        </w:r>
        <w:r w:rsidR="00163B51">
          <w:rPr>
            <w:noProof/>
            <w:webHidden/>
          </w:rPr>
          <w:fldChar w:fldCharType="begin"/>
        </w:r>
        <w:r w:rsidR="00163B51">
          <w:rPr>
            <w:noProof/>
            <w:webHidden/>
          </w:rPr>
          <w:instrText xml:space="preserve"> PAGEREF _Toc203032729 \h </w:instrText>
        </w:r>
        <w:r w:rsidR="00163B51">
          <w:rPr>
            <w:noProof/>
            <w:webHidden/>
          </w:rPr>
        </w:r>
        <w:r w:rsidR="00163B51">
          <w:rPr>
            <w:noProof/>
            <w:webHidden/>
          </w:rPr>
          <w:fldChar w:fldCharType="separate"/>
        </w:r>
        <w:r w:rsidR="00163B51">
          <w:rPr>
            <w:noProof/>
            <w:webHidden/>
          </w:rPr>
          <w:t>73</w:t>
        </w:r>
        <w:r w:rsidR="00163B51">
          <w:rPr>
            <w:noProof/>
            <w:webHidden/>
          </w:rPr>
          <w:fldChar w:fldCharType="end"/>
        </w:r>
      </w:hyperlink>
    </w:p>
    <w:p w14:paraId="26547B63" w14:textId="6927866C"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30" w:history="1">
        <w:r w:rsidR="00163B51" w:rsidRPr="001E2FDE">
          <w:rPr>
            <w:rStyle w:val="Hypertextovodkaz"/>
            <w:noProof/>
          </w:rPr>
          <w:t>2.5.5</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Další statistiky</w:t>
        </w:r>
        <w:r w:rsidR="00163B51">
          <w:rPr>
            <w:noProof/>
            <w:webHidden/>
          </w:rPr>
          <w:tab/>
        </w:r>
        <w:r w:rsidR="00163B51">
          <w:rPr>
            <w:noProof/>
            <w:webHidden/>
          </w:rPr>
          <w:fldChar w:fldCharType="begin"/>
        </w:r>
        <w:r w:rsidR="00163B51">
          <w:rPr>
            <w:noProof/>
            <w:webHidden/>
          </w:rPr>
          <w:instrText xml:space="preserve"> PAGEREF _Toc203032730 \h </w:instrText>
        </w:r>
        <w:r w:rsidR="00163B51">
          <w:rPr>
            <w:noProof/>
            <w:webHidden/>
          </w:rPr>
        </w:r>
        <w:r w:rsidR="00163B51">
          <w:rPr>
            <w:noProof/>
            <w:webHidden/>
          </w:rPr>
          <w:fldChar w:fldCharType="separate"/>
        </w:r>
        <w:r w:rsidR="00163B51">
          <w:rPr>
            <w:noProof/>
            <w:webHidden/>
          </w:rPr>
          <w:t>75</w:t>
        </w:r>
        <w:r w:rsidR="00163B51">
          <w:rPr>
            <w:noProof/>
            <w:webHidden/>
          </w:rPr>
          <w:fldChar w:fldCharType="end"/>
        </w:r>
      </w:hyperlink>
    </w:p>
    <w:p w14:paraId="120E4375" w14:textId="2B073CC6" w:rsidR="00163B51" w:rsidRDefault="00360F8E">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31" w:history="1">
        <w:r w:rsidR="00163B51" w:rsidRPr="001E2FDE">
          <w:rPr>
            <w:rStyle w:val="Hypertextovodkaz"/>
            <w:noProof/>
          </w:rPr>
          <w:t>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Krajské soudy</w:t>
        </w:r>
        <w:r w:rsidR="00163B51">
          <w:rPr>
            <w:noProof/>
            <w:webHidden/>
          </w:rPr>
          <w:tab/>
        </w:r>
        <w:r w:rsidR="00163B51">
          <w:rPr>
            <w:noProof/>
            <w:webHidden/>
          </w:rPr>
          <w:fldChar w:fldCharType="begin"/>
        </w:r>
        <w:r w:rsidR="00163B51">
          <w:rPr>
            <w:noProof/>
            <w:webHidden/>
          </w:rPr>
          <w:instrText xml:space="preserve"> PAGEREF _Toc203032731 \h </w:instrText>
        </w:r>
        <w:r w:rsidR="00163B51">
          <w:rPr>
            <w:noProof/>
            <w:webHidden/>
          </w:rPr>
        </w:r>
        <w:r w:rsidR="00163B51">
          <w:rPr>
            <w:noProof/>
            <w:webHidden/>
          </w:rPr>
          <w:fldChar w:fldCharType="separate"/>
        </w:r>
        <w:r w:rsidR="00163B51">
          <w:rPr>
            <w:noProof/>
            <w:webHidden/>
          </w:rPr>
          <w:t>82</w:t>
        </w:r>
        <w:r w:rsidR="00163B51">
          <w:rPr>
            <w:noProof/>
            <w:webHidden/>
          </w:rPr>
          <w:fldChar w:fldCharType="end"/>
        </w:r>
      </w:hyperlink>
    </w:p>
    <w:p w14:paraId="483EA5B6" w14:textId="1E76BD3C"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32" w:history="1">
        <w:r w:rsidR="00163B51" w:rsidRPr="001E2FDE">
          <w:rPr>
            <w:rStyle w:val="Hypertextovodkaz"/>
          </w:rPr>
          <w:t>3.1</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Personál</w:t>
        </w:r>
        <w:r w:rsidR="00163B51">
          <w:rPr>
            <w:webHidden/>
          </w:rPr>
          <w:tab/>
        </w:r>
        <w:r w:rsidR="00163B51">
          <w:rPr>
            <w:webHidden/>
          </w:rPr>
          <w:fldChar w:fldCharType="begin"/>
        </w:r>
        <w:r w:rsidR="00163B51">
          <w:rPr>
            <w:webHidden/>
          </w:rPr>
          <w:instrText xml:space="preserve"> PAGEREF _Toc203032732 \h </w:instrText>
        </w:r>
        <w:r w:rsidR="00163B51">
          <w:rPr>
            <w:webHidden/>
          </w:rPr>
        </w:r>
        <w:r w:rsidR="00163B51">
          <w:rPr>
            <w:webHidden/>
          </w:rPr>
          <w:fldChar w:fldCharType="separate"/>
        </w:r>
        <w:r w:rsidR="00163B51">
          <w:rPr>
            <w:webHidden/>
          </w:rPr>
          <w:t>82</w:t>
        </w:r>
        <w:r w:rsidR="00163B51">
          <w:rPr>
            <w:webHidden/>
          </w:rPr>
          <w:fldChar w:fldCharType="end"/>
        </w:r>
      </w:hyperlink>
    </w:p>
    <w:p w14:paraId="26681887" w14:textId="076A493A"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33" w:history="1">
        <w:r w:rsidR="00163B51" w:rsidRPr="001E2FDE">
          <w:rPr>
            <w:rStyle w:val="Hypertextovodkaz"/>
            <w:noProof/>
          </w:rPr>
          <w:t>3.1.1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Soudci</w:t>
        </w:r>
        <w:r w:rsidR="00163B51">
          <w:rPr>
            <w:noProof/>
            <w:webHidden/>
          </w:rPr>
          <w:tab/>
        </w:r>
        <w:r w:rsidR="00163B51">
          <w:rPr>
            <w:noProof/>
            <w:webHidden/>
          </w:rPr>
          <w:fldChar w:fldCharType="begin"/>
        </w:r>
        <w:r w:rsidR="00163B51">
          <w:rPr>
            <w:noProof/>
            <w:webHidden/>
          </w:rPr>
          <w:instrText xml:space="preserve"> PAGEREF _Toc203032733 \h </w:instrText>
        </w:r>
        <w:r w:rsidR="00163B51">
          <w:rPr>
            <w:noProof/>
            <w:webHidden/>
          </w:rPr>
        </w:r>
        <w:r w:rsidR="00163B51">
          <w:rPr>
            <w:noProof/>
            <w:webHidden/>
          </w:rPr>
          <w:fldChar w:fldCharType="separate"/>
        </w:r>
        <w:r w:rsidR="00163B51">
          <w:rPr>
            <w:noProof/>
            <w:webHidden/>
          </w:rPr>
          <w:t>82</w:t>
        </w:r>
        <w:r w:rsidR="00163B51">
          <w:rPr>
            <w:noProof/>
            <w:webHidden/>
          </w:rPr>
          <w:fldChar w:fldCharType="end"/>
        </w:r>
      </w:hyperlink>
    </w:p>
    <w:p w14:paraId="0281AB9E" w14:textId="01FAD5B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34" w:history="1">
        <w:r w:rsidR="00163B51" w:rsidRPr="001E2FDE">
          <w:rPr>
            <w:rStyle w:val="Hypertextovodkaz"/>
            <w:noProof/>
          </w:rPr>
          <w:t>3.1.2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Zaměstnanci ve výkonu a ve správě</w:t>
        </w:r>
        <w:r w:rsidR="00163B51">
          <w:rPr>
            <w:noProof/>
            <w:webHidden/>
          </w:rPr>
          <w:tab/>
        </w:r>
        <w:r w:rsidR="00163B51">
          <w:rPr>
            <w:noProof/>
            <w:webHidden/>
          </w:rPr>
          <w:fldChar w:fldCharType="begin"/>
        </w:r>
        <w:r w:rsidR="00163B51">
          <w:rPr>
            <w:noProof/>
            <w:webHidden/>
          </w:rPr>
          <w:instrText xml:space="preserve"> PAGEREF _Toc203032734 \h </w:instrText>
        </w:r>
        <w:r w:rsidR="00163B51">
          <w:rPr>
            <w:noProof/>
            <w:webHidden/>
          </w:rPr>
        </w:r>
        <w:r w:rsidR="00163B51">
          <w:rPr>
            <w:noProof/>
            <w:webHidden/>
          </w:rPr>
          <w:fldChar w:fldCharType="separate"/>
        </w:r>
        <w:r w:rsidR="00163B51">
          <w:rPr>
            <w:noProof/>
            <w:webHidden/>
          </w:rPr>
          <w:t>87</w:t>
        </w:r>
        <w:r w:rsidR="00163B51">
          <w:rPr>
            <w:noProof/>
            <w:webHidden/>
          </w:rPr>
          <w:fldChar w:fldCharType="end"/>
        </w:r>
      </w:hyperlink>
    </w:p>
    <w:p w14:paraId="43A18532" w14:textId="2B8ADDB8"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35" w:history="1">
        <w:r w:rsidR="00163B51" w:rsidRPr="001E2FDE">
          <w:rPr>
            <w:rStyle w:val="Hypertextovodkaz"/>
            <w:noProof/>
          </w:rPr>
          <w:t>3.1.3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Přísedící soudu</w:t>
        </w:r>
        <w:r w:rsidR="00163B51">
          <w:rPr>
            <w:noProof/>
            <w:webHidden/>
          </w:rPr>
          <w:tab/>
        </w:r>
        <w:r w:rsidR="00163B51">
          <w:rPr>
            <w:noProof/>
            <w:webHidden/>
          </w:rPr>
          <w:fldChar w:fldCharType="begin"/>
        </w:r>
        <w:r w:rsidR="00163B51">
          <w:rPr>
            <w:noProof/>
            <w:webHidden/>
          </w:rPr>
          <w:instrText xml:space="preserve"> PAGEREF _Toc203032735 \h </w:instrText>
        </w:r>
        <w:r w:rsidR="00163B51">
          <w:rPr>
            <w:noProof/>
            <w:webHidden/>
          </w:rPr>
        </w:r>
        <w:r w:rsidR="00163B51">
          <w:rPr>
            <w:noProof/>
            <w:webHidden/>
          </w:rPr>
          <w:fldChar w:fldCharType="separate"/>
        </w:r>
        <w:r w:rsidR="00163B51">
          <w:rPr>
            <w:noProof/>
            <w:webHidden/>
          </w:rPr>
          <w:t>88</w:t>
        </w:r>
        <w:r w:rsidR="00163B51">
          <w:rPr>
            <w:noProof/>
            <w:webHidden/>
          </w:rPr>
          <w:fldChar w:fldCharType="end"/>
        </w:r>
      </w:hyperlink>
    </w:p>
    <w:p w14:paraId="267F9CDE" w14:textId="371046E2"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36" w:history="1">
        <w:r w:rsidR="00163B51" w:rsidRPr="001E2FDE">
          <w:rPr>
            <w:rStyle w:val="Hypertextovodkaz"/>
          </w:rPr>
          <w:t>3.2</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Prvostupňová civilní a obchodní agenda</w:t>
        </w:r>
        <w:r w:rsidR="00163B51">
          <w:rPr>
            <w:webHidden/>
          </w:rPr>
          <w:tab/>
        </w:r>
        <w:r w:rsidR="00163B51">
          <w:rPr>
            <w:webHidden/>
          </w:rPr>
          <w:fldChar w:fldCharType="begin"/>
        </w:r>
        <w:r w:rsidR="00163B51">
          <w:rPr>
            <w:webHidden/>
          </w:rPr>
          <w:instrText xml:space="preserve"> PAGEREF _Toc203032736 \h </w:instrText>
        </w:r>
        <w:r w:rsidR="00163B51">
          <w:rPr>
            <w:webHidden/>
          </w:rPr>
        </w:r>
        <w:r w:rsidR="00163B51">
          <w:rPr>
            <w:webHidden/>
          </w:rPr>
          <w:fldChar w:fldCharType="separate"/>
        </w:r>
        <w:r w:rsidR="00163B51">
          <w:rPr>
            <w:webHidden/>
          </w:rPr>
          <w:t>90</w:t>
        </w:r>
        <w:r w:rsidR="00163B51">
          <w:rPr>
            <w:webHidden/>
          </w:rPr>
          <w:fldChar w:fldCharType="end"/>
        </w:r>
      </w:hyperlink>
    </w:p>
    <w:p w14:paraId="08B1C8FE" w14:textId="75EB521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37" w:history="1">
        <w:r w:rsidR="00163B51" w:rsidRPr="001E2FDE">
          <w:rPr>
            <w:rStyle w:val="Hypertextovodkaz"/>
            <w:noProof/>
          </w:rPr>
          <w:t>3.2.1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_Toc203032737 \h </w:instrText>
        </w:r>
        <w:r w:rsidR="00163B51">
          <w:rPr>
            <w:noProof/>
            <w:webHidden/>
          </w:rPr>
        </w:r>
        <w:r w:rsidR="00163B51">
          <w:rPr>
            <w:noProof/>
            <w:webHidden/>
          </w:rPr>
          <w:fldChar w:fldCharType="separate"/>
        </w:r>
        <w:r w:rsidR="00163B51">
          <w:rPr>
            <w:noProof/>
            <w:webHidden/>
          </w:rPr>
          <w:t>90</w:t>
        </w:r>
        <w:r w:rsidR="00163B51">
          <w:rPr>
            <w:noProof/>
            <w:webHidden/>
          </w:rPr>
          <w:fldChar w:fldCharType="end"/>
        </w:r>
      </w:hyperlink>
    </w:p>
    <w:p w14:paraId="277871AC" w14:textId="51D49D18"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38" w:history="1">
        <w:r w:rsidR="00163B51" w:rsidRPr="001E2FDE">
          <w:rPr>
            <w:rStyle w:val="Hypertextovodkaz"/>
            <w:noProof/>
          </w:rPr>
          <w:t>3.2.2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_Toc203032738 \h </w:instrText>
        </w:r>
        <w:r w:rsidR="00163B51">
          <w:rPr>
            <w:noProof/>
            <w:webHidden/>
          </w:rPr>
        </w:r>
        <w:r w:rsidR="00163B51">
          <w:rPr>
            <w:noProof/>
            <w:webHidden/>
          </w:rPr>
          <w:fldChar w:fldCharType="separate"/>
        </w:r>
        <w:r w:rsidR="00163B51">
          <w:rPr>
            <w:noProof/>
            <w:webHidden/>
          </w:rPr>
          <w:t>93</w:t>
        </w:r>
        <w:r w:rsidR="00163B51">
          <w:rPr>
            <w:noProof/>
            <w:webHidden/>
          </w:rPr>
          <w:fldChar w:fldCharType="end"/>
        </w:r>
      </w:hyperlink>
    </w:p>
    <w:p w14:paraId="52AD8C34" w14:textId="737812DE"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39" w:history="1">
        <w:r w:rsidR="00163B51" w:rsidRPr="001E2FDE">
          <w:rPr>
            <w:rStyle w:val="Hypertextovodkaz"/>
            <w:noProof/>
          </w:rPr>
          <w:t>3.2.3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 přepočtu na soudce</w:t>
        </w:r>
        <w:r w:rsidR="00163B51">
          <w:rPr>
            <w:noProof/>
            <w:webHidden/>
          </w:rPr>
          <w:tab/>
        </w:r>
        <w:r w:rsidR="00163B51">
          <w:rPr>
            <w:noProof/>
            <w:webHidden/>
          </w:rPr>
          <w:fldChar w:fldCharType="begin"/>
        </w:r>
        <w:r w:rsidR="00163B51">
          <w:rPr>
            <w:noProof/>
            <w:webHidden/>
          </w:rPr>
          <w:instrText xml:space="preserve"> PAGEREF _Toc203032739 \h </w:instrText>
        </w:r>
        <w:r w:rsidR="00163B51">
          <w:rPr>
            <w:noProof/>
            <w:webHidden/>
          </w:rPr>
        </w:r>
        <w:r w:rsidR="00163B51">
          <w:rPr>
            <w:noProof/>
            <w:webHidden/>
          </w:rPr>
          <w:fldChar w:fldCharType="separate"/>
        </w:r>
        <w:r w:rsidR="00163B51">
          <w:rPr>
            <w:noProof/>
            <w:webHidden/>
          </w:rPr>
          <w:t>95</w:t>
        </w:r>
        <w:r w:rsidR="00163B51">
          <w:rPr>
            <w:noProof/>
            <w:webHidden/>
          </w:rPr>
          <w:fldChar w:fldCharType="end"/>
        </w:r>
      </w:hyperlink>
    </w:p>
    <w:p w14:paraId="66E893FC" w14:textId="5CAD3950"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40" w:history="1">
        <w:r w:rsidR="00163B51" w:rsidRPr="001E2FDE">
          <w:rPr>
            <w:rStyle w:val="Hypertextovodkaz"/>
            <w:noProof/>
          </w:rPr>
          <w:t>3.2.4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Disposition time (dispoziční čas)</w:t>
        </w:r>
        <w:r w:rsidR="00163B51">
          <w:rPr>
            <w:noProof/>
            <w:webHidden/>
          </w:rPr>
          <w:tab/>
        </w:r>
        <w:r w:rsidR="00163B51">
          <w:rPr>
            <w:noProof/>
            <w:webHidden/>
          </w:rPr>
          <w:fldChar w:fldCharType="begin"/>
        </w:r>
        <w:r w:rsidR="00163B51">
          <w:rPr>
            <w:noProof/>
            <w:webHidden/>
          </w:rPr>
          <w:instrText xml:space="preserve"> PAGEREF _Toc203032740 \h </w:instrText>
        </w:r>
        <w:r w:rsidR="00163B51">
          <w:rPr>
            <w:noProof/>
            <w:webHidden/>
          </w:rPr>
        </w:r>
        <w:r w:rsidR="00163B51">
          <w:rPr>
            <w:noProof/>
            <w:webHidden/>
          </w:rPr>
          <w:fldChar w:fldCharType="separate"/>
        </w:r>
        <w:r w:rsidR="00163B51">
          <w:rPr>
            <w:noProof/>
            <w:webHidden/>
          </w:rPr>
          <w:t>96</w:t>
        </w:r>
        <w:r w:rsidR="00163B51">
          <w:rPr>
            <w:noProof/>
            <w:webHidden/>
          </w:rPr>
          <w:fldChar w:fldCharType="end"/>
        </w:r>
      </w:hyperlink>
    </w:p>
    <w:p w14:paraId="0382165F" w14:textId="7AB64AF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41" w:history="1">
        <w:r w:rsidR="00163B51" w:rsidRPr="001E2FDE">
          <w:rPr>
            <w:rStyle w:val="Hypertextovodkaz"/>
            <w:noProof/>
          </w:rPr>
          <w:t>3.2.5</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Další statistiky</w:t>
        </w:r>
        <w:r w:rsidR="00163B51">
          <w:rPr>
            <w:noProof/>
            <w:webHidden/>
          </w:rPr>
          <w:tab/>
        </w:r>
        <w:r w:rsidR="00163B51">
          <w:rPr>
            <w:noProof/>
            <w:webHidden/>
          </w:rPr>
          <w:fldChar w:fldCharType="begin"/>
        </w:r>
        <w:r w:rsidR="00163B51">
          <w:rPr>
            <w:noProof/>
            <w:webHidden/>
          </w:rPr>
          <w:instrText xml:space="preserve"> PAGEREF _Toc203032741 \h </w:instrText>
        </w:r>
        <w:r w:rsidR="00163B51">
          <w:rPr>
            <w:noProof/>
            <w:webHidden/>
          </w:rPr>
        </w:r>
        <w:r w:rsidR="00163B51">
          <w:rPr>
            <w:noProof/>
            <w:webHidden/>
          </w:rPr>
          <w:fldChar w:fldCharType="separate"/>
        </w:r>
        <w:r w:rsidR="00163B51">
          <w:rPr>
            <w:noProof/>
            <w:webHidden/>
          </w:rPr>
          <w:t>97</w:t>
        </w:r>
        <w:r w:rsidR="00163B51">
          <w:rPr>
            <w:noProof/>
            <w:webHidden/>
          </w:rPr>
          <w:fldChar w:fldCharType="end"/>
        </w:r>
      </w:hyperlink>
    </w:p>
    <w:p w14:paraId="30A0FC9A" w14:textId="008C28D3"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42" w:history="1">
        <w:r w:rsidR="00163B51" w:rsidRPr="001E2FDE">
          <w:rPr>
            <w:rStyle w:val="Hypertextovodkaz"/>
          </w:rPr>
          <w:t>3.3</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Civilní odvolací agenda</w:t>
        </w:r>
        <w:r w:rsidR="00163B51">
          <w:rPr>
            <w:webHidden/>
          </w:rPr>
          <w:tab/>
        </w:r>
        <w:r w:rsidR="00163B51">
          <w:rPr>
            <w:webHidden/>
          </w:rPr>
          <w:fldChar w:fldCharType="begin"/>
        </w:r>
        <w:r w:rsidR="00163B51">
          <w:rPr>
            <w:webHidden/>
          </w:rPr>
          <w:instrText xml:space="preserve"> PAGEREF _Toc203032742 \h </w:instrText>
        </w:r>
        <w:r w:rsidR="00163B51">
          <w:rPr>
            <w:webHidden/>
          </w:rPr>
        </w:r>
        <w:r w:rsidR="00163B51">
          <w:rPr>
            <w:webHidden/>
          </w:rPr>
          <w:fldChar w:fldCharType="separate"/>
        </w:r>
        <w:r w:rsidR="00163B51">
          <w:rPr>
            <w:webHidden/>
          </w:rPr>
          <w:t>101</w:t>
        </w:r>
        <w:r w:rsidR="00163B51">
          <w:rPr>
            <w:webHidden/>
          </w:rPr>
          <w:fldChar w:fldCharType="end"/>
        </w:r>
      </w:hyperlink>
    </w:p>
    <w:p w14:paraId="2B075B5D" w14:textId="01503701"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43" w:history="1">
        <w:r w:rsidR="00163B51" w:rsidRPr="001E2FDE">
          <w:rPr>
            <w:rStyle w:val="Hypertextovodkaz"/>
            <w:noProof/>
          </w:rPr>
          <w:t>3.3.1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_Toc203032743 \h </w:instrText>
        </w:r>
        <w:r w:rsidR="00163B51">
          <w:rPr>
            <w:noProof/>
            <w:webHidden/>
          </w:rPr>
        </w:r>
        <w:r w:rsidR="00163B51">
          <w:rPr>
            <w:noProof/>
            <w:webHidden/>
          </w:rPr>
          <w:fldChar w:fldCharType="separate"/>
        </w:r>
        <w:r w:rsidR="00163B51">
          <w:rPr>
            <w:noProof/>
            <w:webHidden/>
          </w:rPr>
          <w:t>101</w:t>
        </w:r>
        <w:r w:rsidR="00163B51">
          <w:rPr>
            <w:noProof/>
            <w:webHidden/>
          </w:rPr>
          <w:fldChar w:fldCharType="end"/>
        </w:r>
      </w:hyperlink>
    </w:p>
    <w:p w14:paraId="5448DA32" w14:textId="1C012266"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44" w:history="1">
        <w:r w:rsidR="00163B51" w:rsidRPr="001E2FDE">
          <w:rPr>
            <w:rStyle w:val="Hypertextovodkaz"/>
            <w:noProof/>
          </w:rPr>
          <w:t>3.3.2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_Toc203032744 \h </w:instrText>
        </w:r>
        <w:r w:rsidR="00163B51">
          <w:rPr>
            <w:noProof/>
            <w:webHidden/>
          </w:rPr>
        </w:r>
        <w:r w:rsidR="00163B51">
          <w:rPr>
            <w:noProof/>
            <w:webHidden/>
          </w:rPr>
          <w:fldChar w:fldCharType="separate"/>
        </w:r>
        <w:r w:rsidR="00163B51">
          <w:rPr>
            <w:noProof/>
            <w:webHidden/>
          </w:rPr>
          <w:t>105</w:t>
        </w:r>
        <w:r w:rsidR="00163B51">
          <w:rPr>
            <w:noProof/>
            <w:webHidden/>
          </w:rPr>
          <w:fldChar w:fldCharType="end"/>
        </w:r>
      </w:hyperlink>
    </w:p>
    <w:p w14:paraId="09E7A116" w14:textId="306E4899"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45" w:history="1">
        <w:r w:rsidR="00163B51" w:rsidRPr="001E2FDE">
          <w:rPr>
            <w:rStyle w:val="Hypertextovodkaz"/>
            <w:noProof/>
          </w:rPr>
          <w:t>3.3.3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 v přepočtu na soudce</w:t>
        </w:r>
        <w:r w:rsidR="00163B51">
          <w:rPr>
            <w:noProof/>
            <w:webHidden/>
          </w:rPr>
          <w:tab/>
        </w:r>
        <w:r w:rsidR="00163B51">
          <w:rPr>
            <w:noProof/>
            <w:webHidden/>
          </w:rPr>
          <w:fldChar w:fldCharType="begin"/>
        </w:r>
        <w:r w:rsidR="00163B51">
          <w:rPr>
            <w:noProof/>
            <w:webHidden/>
          </w:rPr>
          <w:instrText xml:space="preserve"> PAGEREF _Toc203032745 \h </w:instrText>
        </w:r>
        <w:r w:rsidR="00163B51">
          <w:rPr>
            <w:noProof/>
            <w:webHidden/>
          </w:rPr>
        </w:r>
        <w:r w:rsidR="00163B51">
          <w:rPr>
            <w:noProof/>
            <w:webHidden/>
          </w:rPr>
          <w:fldChar w:fldCharType="separate"/>
        </w:r>
        <w:r w:rsidR="00163B51">
          <w:rPr>
            <w:noProof/>
            <w:webHidden/>
          </w:rPr>
          <w:t>107</w:t>
        </w:r>
        <w:r w:rsidR="00163B51">
          <w:rPr>
            <w:noProof/>
            <w:webHidden/>
          </w:rPr>
          <w:fldChar w:fldCharType="end"/>
        </w:r>
      </w:hyperlink>
    </w:p>
    <w:p w14:paraId="161B7235" w14:textId="0318FDBF"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46" w:history="1">
        <w:r w:rsidR="00163B51" w:rsidRPr="001E2FDE">
          <w:rPr>
            <w:rStyle w:val="Hypertextovodkaz"/>
            <w:noProof/>
          </w:rPr>
          <w:t>3.3.4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Disposition time (dispoziční čas)</w:t>
        </w:r>
        <w:r w:rsidR="00163B51">
          <w:rPr>
            <w:noProof/>
            <w:webHidden/>
          </w:rPr>
          <w:tab/>
        </w:r>
        <w:r w:rsidR="00163B51">
          <w:rPr>
            <w:noProof/>
            <w:webHidden/>
          </w:rPr>
          <w:fldChar w:fldCharType="begin"/>
        </w:r>
        <w:r w:rsidR="00163B51">
          <w:rPr>
            <w:noProof/>
            <w:webHidden/>
          </w:rPr>
          <w:instrText xml:space="preserve"> PAGEREF _Toc203032746 \h </w:instrText>
        </w:r>
        <w:r w:rsidR="00163B51">
          <w:rPr>
            <w:noProof/>
            <w:webHidden/>
          </w:rPr>
        </w:r>
        <w:r w:rsidR="00163B51">
          <w:rPr>
            <w:noProof/>
            <w:webHidden/>
          </w:rPr>
          <w:fldChar w:fldCharType="separate"/>
        </w:r>
        <w:r w:rsidR="00163B51">
          <w:rPr>
            <w:noProof/>
            <w:webHidden/>
          </w:rPr>
          <w:t>107</w:t>
        </w:r>
        <w:r w:rsidR="00163B51">
          <w:rPr>
            <w:noProof/>
            <w:webHidden/>
          </w:rPr>
          <w:fldChar w:fldCharType="end"/>
        </w:r>
      </w:hyperlink>
    </w:p>
    <w:p w14:paraId="35F90AFC" w14:textId="28DFB197"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47" w:history="1">
        <w:r w:rsidR="00163B51" w:rsidRPr="001E2FDE">
          <w:rPr>
            <w:rStyle w:val="Hypertextovodkaz"/>
          </w:rPr>
          <w:t>3.4</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Trestní prvostupňová agenda</w:t>
        </w:r>
        <w:r w:rsidR="00163B51">
          <w:rPr>
            <w:webHidden/>
          </w:rPr>
          <w:tab/>
        </w:r>
        <w:r w:rsidR="00163B51">
          <w:rPr>
            <w:webHidden/>
          </w:rPr>
          <w:fldChar w:fldCharType="begin"/>
        </w:r>
        <w:r w:rsidR="00163B51">
          <w:rPr>
            <w:webHidden/>
          </w:rPr>
          <w:instrText xml:space="preserve"> PAGEREF _Toc203032747 \h </w:instrText>
        </w:r>
        <w:r w:rsidR="00163B51">
          <w:rPr>
            <w:webHidden/>
          </w:rPr>
        </w:r>
        <w:r w:rsidR="00163B51">
          <w:rPr>
            <w:webHidden/>
          </w:rPr>
          <w:fldChar w:fldCharType="separate"/>
        </w:r>
        <w:r w:rsidR="00163B51">
          <w:rPr>
            <w:webHidden/>
          </w:rPr>
          <w:t>109</w:t>
        </w:r>
        <w:r w:rsidR="00163B51">
          <w:rPr>
            <w:webHidden/>
          </w:rPr>
          <w:fldChar w:fldCharType="end"/>
        </w:r>
      </w:hyperlink>
    </w:p>
    <w:p w14:paraId="2E273413" w14:textId="44FF1445"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48" w:history="1">
        <w:r w:rsidR="00163B51" w:rsidRPr="001E2FDE">
          <w:rPr>
            <w:rStyle w:val="Hypertextovodkaz"/>
            <w:noProof/>
          </w:rPr>
          <w:t>3.4.1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_Toc203032748 \h </w:instrText>
        </w:r>
        <w:r w:rsidR="00163B51">
          <w:rPr>
            <w:noProof/>
            <w:webHidden/>
          </w:rPr>
        </w:r>
        <w:r w:rsidR="00163B51">
          <w:rPr>
            <w:noProof/>
            <w:webHidden/>
          </w:rPr>
          <w:fldChar w:fldCharType="separate"/>
        </w:r>
        <w:r w:rsidR="00163B51">
          <w:rPr>
            <w:noProof/>
            <w:webHidden/>
          </w:rPr>
          <w:t>109</w:t>
        </w:r>
        <w:r w:rsidR="00163B51">
          <w:rPr>
            <w:noProof/>
            <w:webHidden/>
          </w:rPr>
          <w:fldChar w:fldCharType="end"/>
        </w:r>
      </w:hyperlink>
    </w:p>
    <w:p w14:paraId="31057E2B" w14:textId="7D64E72E"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49" w:history="1">
        <w:r w:rsidR="00163B51" w:rsidRPr="001E2FDE">
          <w:rPr>
            <w:rStyle w:val="Hypertextovodkaz"/>
            <w:noProof/>
          </w:rPr>
          <w:t>3.4.2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_Toc203032749 \h </w:instrText>
        </w:r>
        <w:r w:rsidR="00163B51">
          <w:rPr>
            <w:noProof/>
            <w:webHidden/>
          </w:rPr>
        </w:r>
        <w:r w:rsidR="00163B51">
          <w:rPr>
            <w:noProof/>
            <w:webHidden/>
          </w:rPr>
          <w:fldChar w:fldCharType="separate"/>
        </w:r>
        <w:r w:rsidR="00163B51">
          <w:rPr>
            <w:noProof/>
            <w:webHidden/>
          </w:rPr>
          <w:t>111</w:t>
        </w:r>
        <w:r w:rsidR="00163B51">
          <w:rPr>
            <w:noProof/>
            <w:webHidden/>
          </w:rPr>
          <w:fldChar w:fldCharType="end"/>
        </w:r>
      </w:hyperlink>
    </w:p>
    <w:p w14:paraId="3AC5F31D" w14:textId="416F6115"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50" w:history="1">
        <w:r w:rsidR="00163B51" w:rsidRPr="001E2FDE">
          <w:rPr>
            <w:rStyle w:val="Hypertextovodkaz"/>
            <w:noProof/>
          </w:rPr>
          <w:t>3.4.3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 v přepočtu na soudce</w:t>
        </w:r>
        <w:r w:rsidR="00163B51">
          <w:rPr>
            <w:noProof/>
            <w:webHidden/>
          </w:rPr>
          <w:tab/>
        </w:r>
        <w:r w:rsidR="00163B51">
          <w:rPr>
            <w:noProof/>
            <w:webHidden/>
          </w:rPr>
          <w:fldChar w:fldCharType="begin"/>
        </w:r>
        <w:r w:rsidR="00163B51">
          <w:rPr>
            <w:noProof/>
            <w:webHidden/>
          </w:rPr>
          <w:instrText xml:space="preserve"> PAGEREF _Toc203032750 \h </w:instrText>
        </w:r>
        <w:r w:rsidR="00163B51">
          <w:rPr>
            <w:noProof/>
            <w:webHidden/>
          </w:rPr>
        </w:r>
        <w:r w:rsidR="00163B51">
          <w:rPr>
            <w:noProof/>
            <w:webHidden/>
          </w:rPr>
          <w:fldChar w:fldCharType="separate"/>
        </w:r>
        <w:r w:rsidR="00163B51">
          <w:rPr>
            <w:noProof/>
            <w:webHidden/>
          </w:rPr>
          <w:t>112</w:t>
        </w:r>
        <w:r w:rsidR="00163B51">
          <w:rPr>
            <w:noProof/>
            <w:webHidden/>
          </w:rPr>
          <w:fldChar w:fldCharType="end"/>
        </w:r>
      </w:hyperlink>
    </w:p>
    <w:p w14:paraId="570C81EA" w14:textId="11709CC1"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51" w:history="1">
        <w:r w:rsidR="00163B51" w:rsidRPr="001E2FDE">
          <w:rPr>
            <w:rStyle w:val="Hypertextovodkaz"/>
            <w:noProof/>
          </w:rPr>
          <w:t>3.4.4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Disposition time (dispoziční čas)</w:t>
        </w:r>
        <w:r w:rsidR="00163B51">
          <w:rPr>
            <w:noProof/>
            <w:webHidden/>
          </w:rPr>
          <w:tab/>
        </w:r>
        <w:r w:rsidR="00163B51">
          <w:rPr>
            <w:noProof/>
            <w:webHidden/>
          </w:rPr>
          <w:fldChar w:fldCharType="begin"/>
        </w:r>
        <w:r w:rsidR="00163B51">
          <w:rPr>
            <w:noProof/>
            <w:webHidden/>
          </w:rPr>
          <w:instrText xml:space="preserve"> PAGEREF _Toc203032751 \h </w:instrText>
        </w:r>
        <w:r w:rsidR="00163B51">
          <w:rPr>
            <w:noProof/>
            <w:webHidden/>
          </w:rPr>
        </w:r>
        <w:r w:rsidR="00163B51">
          <w:rPr>
            <w:noProof/>
            <w:webHidden/>
          </w:rPr>
          <w:fldChar w:fldCharType="separate"/>
        </w:r>
        <w:r w:rsidR="00163B51">
          <w:rPr>
            <w:noProof/>
            <w:webHidden/>
          </w:rPr>
          <w:t>113</w:t>
        </w:r>
        <w:r w:rsidR="00163B51">
          <w:rPr>
            <w:noProof/>
            <w:webHidden/>
          </w:rPr>
          <w:fldChar w:fldCharType="end"/>
        </w:r>
      </w:hyperlink>
    </w:p>
    <w:p w14:paraId="15E0DACE" w14:textId="753338AB"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52" w:history="1">
        <w:r w:rsidR="00163B51" w:rsidRPr="001E2FDE">
          <w:rPr>
            <w:rStyle w:val="Hypertextovodkaz"/>
            <w:noProof/>
          </w:rPr>
          <w:t>3.4.5</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Další statistiky</w:t>
        </w:r>
        <w:r w:rsidR="00163B51">
          <w:rPr>
            <w:noProof/>
            <w:webHidden/>
          </w:rPr>
          <w:tab/>
        </w:r>
        <w:r w:rsidR="00163B51">
          <w:rPr>
            <w:noProof/>
            <w:webHidden/>
          </w:rPr>
          <w:fldChar w:fldCharType="begin"/>
        </w:r>
        <w:r w:rsidR="00163B51">
          <w:rPr>
            <w:noProof/>
            <w:webHidden/>
          </w:rPr>
          <w:instrText xml:space="preserve"> PAGEREF _Toc203032752 \h </w:instrText>
        </w:r>
        <w:r w:rsidR="00163B51">
          <w:rPr>
            <w:noProof/>
            <w:webHidden/>
          </w:rPr>
        </w:r>
        <w:r w:rsidR="00163B51">
          <w:rPr>
            <w:noProof/>
            <w:webHidden/>
          </w:rPr>
          <w:fldChar w:fldCharType="separate"/>
        </w:r>
        <w:r w:rsidR="00163B51">
          <w:rPr>
            <w:noProof/>
            <w:webHidden/>
          </w:rPr>
          <w:t>115</w:t>
        </w:r>
        <w:r w:rsidR="00163B51">
          <w:rPr>
            <w:noProof/>
            <w:webHidden/>
          </w:rPr>
          <w:fldChar w:fldCharType="end"/>
        </w:r>
      </w:hyperlink>
    </w:p>
    <w:p w14:paraId="6E36E0C8" w14:textId="5068FC09"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53" w:history="1">
        <w:r w:rsidR="00163B51" w:rsidRPr="001E2FDE">
          <w:rPr>
            <w:rStyle w:val="Hypertextovodkaz"/>
          </w:rPr>
          <w:t>3.5</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Trestní odvolací agenda</w:t>
        </w:r>
        <w:r w:rsidR="00163B51">
          <w:rPr>
            <w:webHidden/>
          </w:rPr>
          <w:tab/>
        </w:r>
        <w:r w:rsidR="00163B51">
          <w:rPr>
            <w:webHidden/>
          </w:rPr>
          <w:fldChar w:fldCharType="begin"/>
        </w:r>
        <w:r w:rsidR="00163B51">
          <w:rPr>
            <w:webHidden/>
          </w:rPr>
          <w:instrText xml:space="preserve"> PAGEREF _Toc203032753 \h </w:instrText>
        </w:r>
        <w:r w:rsidR="00163B51">
          <w:rPr>
            <w:webHidden/>
          </w:rPr>
        </w:r>
        <w:r w:rsidR="00163B51">
          <w:rPr>
            <w:webHidden/>
          </w:rPr>
          <w:fldChar w:fldCharType="separate"/>
        </w:r>
        <w:r w:rsidR="00163B51">
          <w:rPr>
            <w:webHidden/>
          </w:rPr>
          <w:t>118</w:t>
        </w:r>
        <w:r w:rsidR="00163B51">
          <w:rPr>
            <w:webHidden/>
          </w:rPr>
          <w:fldChar w:fldCharType="end"/>
        </w:r>
      </w:hyperlink>
    </w:p>
    <w:p w14:paraId="4A5A5197" w14:textId="5A98BC7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54" w:history="1">
        <w:r w:rsidR="00163B51" w:rsidRPr="001E2FDE">
          <w:rPr>
            <w:rStyle w:val="Hypertextovodkaz"/>
            <w:noProof/>
          </w:rPr>
          <w:t>3.5.1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_Toc203032754 \h </w:instrText>
        </w:r>
        <w:r w:rsidR="00163B51">
          <w:rPr>
            <w:noProof/>
            <w:webHidden/>
          </w:rPr>
        </w:r>
        <w:r w:rsidR="00163B51">
          <w:rPr>
            <w:noProof/>
            <w:webHidden/>
          </w:rPr>
          <w:fldChar w:fldCharType="separate"/>
        </w:r>
        <w:r w:rsidR="00163B51">
          <w:rPr>
            <w:noProof/>
            <w:webHidden/>
          </w:rPr>
          <w:t>118</w:t>
        </w:r>
        <w:r w:rsidR="00163B51">
          <w:rPr>
            <w:noProof/>
            <w:webHidden/>
          </w:rPr>
          <w:fldChar w:fldCharType="end"/>
        </w:r>
      </w:hyperlink>
    </w:p>
    <w:p w14:paraId="05F8EE4B" w14:textId="7BAFD3ED"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55" w:history="1">
        <w:r w:rsidR="00163B51" w:rsidRPr="001E2FDE">
          <w:rPr>
            <w:rStyle w:val="Hypertextovodkaz"/>
            <w:noProof/>
          </w:rPr>
          <w:t>3.5.2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_Toc203032755 \h </w:instrText>
        </w:r>
        <w:r w:rsidR="00163B51">
          <w:rPr>
            <w:noProof/>
            <w:webHidden/>
          </w:rPr>
        </w:r>
        <w:r w:rsidR="00163B51">
          <w:rPr>
            <w:noProof/>
            <w:webHidden/>
          </w:rPr>
          <w:fldChar w:fldCharType="separate"/>
        </w:r>
        <w:r w:rsidR="00163B51">
          <w:rPr>
            <w:noProof/>
            <w:webHidden/>
          </w:rPr>
          <w:t>120</w:t>
        </w:r>
        <w:r w:rsidR="00163B51">
          <w:rPr>
            <w:noProof/>
            <w:webHidden/>
          </w:rPr>
          <w:fldChar w:fldCharType="end"/>
        </w:r>
      </w:hyperlink>
    </w:p>
    <w:p w14:paraId="39DA5DF5" w14:textId="0ED573C4"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56" w:history="1">
        <w:r w:rsidR="00163B51" w:rsidRPr="001E2FDE">
          <w:rPr>
            <w:rStyle w:val="Hypertextovodkaz"/>
            <w:noProof/>
          </w:rPr>
          <w:t>3.5.3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 přepočtu na soudce</w:t>
        </w:r>
        <w:r w:rsidR="00163B51">
          <w:rPr>
            <w:noProof/>
            <w:webHidden/>
          </w:rPr>
          <w:tab/>
        </w:r>
        <w:r w:rsidR="00163B51">
          <w:rPr>
            <w:noProof/>
            <w:webHidden/>
          </w:rPr>
          <w:fldChar w:fldCharType="begin"/>
        </w:r>
        <w:r w:rsidR="00163B51">
          <w:rPr>
            <w:noProof/>
            <w:webHidden/>
          </w:rPr>
          <w:instrText xml:space="preserve"> PAGEREF _Toc203032756 \h </w:instrText>
        </w:r>
        <w:r w:rsidR="00163B51">
          <w:rPr>
            <w:noProof/>
            <w:webHidden/>
          </w:rPr>
        </w:r>
        <w:r w:rsidR="00163B51">
          <w:rPr>
            <w:noProof/>
            <w:webHidden/>
          </w:rPr>
          <w:fldChar w:fldCharType="separate"/>
        </w:r>
        <w:r w:rsidR="00163B51">
          <w:rPr>
            <w:noProof/>
            <w:webHidden/>
          </w:rPr>
          <w:t>121</w:t>
        </w:r>
        <w:r w:rsidR="00163B51">
          <w:rPr>
            <w:noProof/>
            <w:webHidden/>
          </w:rPr>
          <w:fldChar w:fldCharType="end"/>
        </w:r>
      </w:hyperlink>
    </w:p>
    <w:p w14:paraId="09534803" w14:textId="4109C046"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57" w:history="1">
        <w:r w:rsidR="00163B51" w:rsidRPr="001E2FDE">
          <w:rPr>
            <w:rStyle w:val="Hypertextovodkaz"/>
            <w:noProof/>
          </w:rPr>
          <w:t>3.5.4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Disposition time (dispoziční čas)</w:t>
        </w:r>
        <w:r w:rsidR="00163B51">
          <w:rPr>
            <w:noProof/>
            <w:webHidden/>
          </w:rPr>
          <w:tab/>
        </w:r>
        <w:r w:rsidR="00163B51">
          <w:rPr>
            <w:noProof/>
            <w:webHidden/>
          </w:rPr>
          <w:fldChar w:fldCharType="begin"/>
        </w:r>
        <w:r w:rsidR="00163B51">
          <w:rPr>
            <w:noProof/>
            <w:webHidden/>
          </w:rPr>
          <w:instrText xml:space="preserve"> PAGEREF _Toc203032757 \h </w:instrText>
        </w:r>
        <w:r w:rsidR="00163B51">
          <w:rPr>
            <w:noProof/>
            <w:webHidden/>
          </w:rPr>
        </w:r>
        <w:r w:rsidR="00163B51">
          <w:rPr>
            <w:noProof/>
            <w:webHidden/>
          </w:rPr>
          <w:fldChar w:fldCharType="separate"/>
        </w:r>
        <w:r w:rsidR="00163B51">
          <w:rPr>
            <w:noProof/>
            <w:webHidden/>
          </w:rPr>
          <w:t>121</w:t>
        </w:r>
        <w:r w:rsidR="00163B51">
          <w:rPr>
            <w:noProof/>
            <w:webHidden/>
          </w:rPr>
          <w:fldChar w:fldCharType="end"/>
        </w:r>
      </w:hyperlink>
    </w:p>
    <w:p w14:paraId="5AFE63EB" w14:textId="795FC8E6"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58" w:history="1">
        <w:r w:rsidR="00163B51" w:rsidRPr="001E2FDE">
          <w:rPr>
            <w:rStyle w:val="Hypertextovodkaz"/>
          </w:rPr>
          <w:t>3.6</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Správní agenda</w:t>
        </w:r>
        <w:r w:rsidR="00163B51">
          <w:rPr>
            <w:webHidden/>
          </w:rPr>
          <w:tab/>
        </w:r>
        <w:r w:rsidR="00163B51">
          <w:rPr>
            <w:webHidden/>
          </w:rPr>
          <w:fldChar w:fldCharType="begin"/>
        </w:r>
        <w:r w:rsidR="00163B51">
          <w:rPr>
            <w:webHidden/>
          </w:rPr>
          <w:instrText xml:space="preserve"> PAGEREF _Toc203032758 \h </w:instrText>
        </w:r>
        <w:r w:rsidR="00163B51">
          <w:rPr>
            <w:webHidden/>
          </w:rPr>
        </w:r>
        <w:r w:rsidR="00163B51">
          <w:rPr>
            <w:webHidden/>
          </w:rPr>
          <w:fldChar w:fldCharType="separate"/>
        </w:r>
        <w:r w:rsidR="00163B51">
          <w:rPr>
            <w:webHidden/>
          </w:rPr>
          <w:t>123</w:t>
        </w:r>
        <w:r w:rsidR="00163B51">
          <w:rPr>
            <w:webHidden/>
          </w:rPr>
          <w:fldChar w:fldCharType="end"/>
        </w:r>
      </w:hyperlink>
    </w:p>
    <w:p w14:paraId="6C4C1D7D" w14:textId="6FFF2651"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59" w:history="1">
        <w:r w:rsidR="00163B51" w:rsidRPr="001E2FDE">
          <w:rPr>
            <w:rStyle w:val="Hypertextovodkaz"/>
            <w:noProof/>
          </w:rPr>
          <w:t>3.6.1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_Toc203032759 \h </w:instrText>
        </w:r>
        <w:r w:rsidR="00163B51">
          <w:rPr>
            <w:noProof/>
            <w:webHidden/>
          </w:rPr>
        </w:r>
        <w:r w:rsidR="00163B51">
          <w:rPr>
            <w:noProof/>
            <w:webHidden/>
          </w:rPr>
          <w:fldChar w:fldCharType="separate"/>
        </w:r>
        <w:r w:rsidR="00163B51">
          <w:rPr>
            <w:noProof/>
            <w:webHidden/>
          </w:rPr>
          <w:t>123</w:t>
        </w:r>
        <w:r w:rsidR="00163B51">
          <w:rPr>
            <w:noProof/>
            <w:webHidden/>
          </w:rPr>
          <w:fldChar w:fldCharType="end"/>
        </w:r>
      </w:hyperlink>
    </w:p>
    <w:p w14:paraId="3F142C90" w14:textId="61202D5F"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60" w:history="1">
        <w:r w:rsidR="00163B51" w:rsidRPr="001E2FDE">
          <w:rPr>
            <w:rStyle w:val="Hypertextovodkaz"/>
            <w:noProof/>
          </w:rPr>
          <w:t>3.6.2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_Toc203032760 \h </w:instrText>
        </w:r>
        <w:r w:rsidR="00163B51">
          <w:rPr>
            <w:noProof/>
            <w:webHidden/>
          </w:rPr>
        </w:r>
        <w:r w:rsidR="00163B51">
          <w:rPr>
            <w:noProof/>
            <w:webHidden/>
          </w:rPr>
          <w:fldChar w:fldCharType="separate"/>
        </w:r>
        <w:r w:rsidR="00163B51">
          <w:rPr>
            <w:noProof/>
            <w:webHidden/>
          </w:rPr>
          <w:t>125</w:t>
        </w:r>
        <w:r w:rsidR="00163B51">
          <w:rPr>
            <w:noProof/>
            <w:webHidden/>
          </w:rPr>
          <w:fldChar w:fldCharType="end"/>
        </w:r>
      </w:hyperlink>
    </w:p>
    <w:p w14:paraId="03FE5660" w14:textId="74D9349C"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61" w:history="1">
        <w:r w:rsidR="00163B51" w:rsidRPr="001E2FDE">
          <w:rPr>
            <w:rStyle w:val="Hypertextovodkaz"/>
            <w:noProof/>
          </w:rPr>
          <w:t>3.6.3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 v přepočtu na soudce</w:t>
        </w:r>
        <w:r w:rsidR="00163B51">
          <w:rPr>
            <w:noProof/>
            <w:webHidden/>
          </w:rPr>
          <w:tab/>
        </w:r>
        <w:r w:rsidR="00163B51">
          <w:rPr>
            <w:noProof/>
            <w:webHidden/>
          </w:rPr>
          <w:fldChar w:fldCharType="begin"/>
        </w:r>
        <w:r w:rsidR="00163B51">
          <w:rPr>
            <w:noProof/>
            <w:webHidden/>
          </w:rPr>
          <w:instrText xml:space="preserve"> PAGEREF _Toc203032761 \h </w:instrText>
        </w:r>
        <w:r w:rsidR="00163B51">
          <w:rPr>
            <w:noProof/>
            <w:webHidden/>
          </w:rPr>
        </w:r>
        <w:r w:rsidR="00163B51">
          <w:rPr>
            <w:noProof/>
            <w:webHidden/>
          </w:rPr>
          <w:fldChar w:fldCharType="separate"/>
        </w:r>
        <w:r w:rsidR="00163B51">
          <w:rPr>
            <w:noProof/>
            <w:webHidden/>
          </w:rPr>
          <w:t>127</w:t>
        </w:r>
        <w:r w:rsidR="00163B51">
          <w:rPr>
            <w:noProof/>
            <w:webHidden/>
          </w:rPr>
          <w:fldChar w:fldCharType="end"/>
        </w:r>
      </w:hyperlink>
    </w:p>
    <w:p w14:paraId="4F444DFB" w14:textId="7B5E7401"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62" w:history="1">
        <w:r w:rsidR="00163B51" w:rsidRPr="001E2FDE">
          <w:rPr>
            <w:rStyle w:val="Hypertextovodkaz"/>
            <w:noProof/>
          </w:rPr>
          <w:t>3.6.4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Disposition time (dispoziční čas)</w:t>
        </w:r>
        <w:r w:rsidR="00163B51">
          <w:rPr>
            <w:noProof/>
            <w:webHidden/>
          </w:rPr>
          <w:tab/>
        </w:r>
        <w:r w:rsidR="00163B51">
          <w:rPr>
            <w:noProof/>
            <w:webHidden/>
          </w:rPr>
          <w:fldChar w:fldCharType="begin"/>
        </w:r>
        <w:r w:rsidR="00163B51">
          <w:rPr>
            <w:noProof/>
            <w:webHidden/>
          </w:rPr>
          <w:instrText xml:space="preserve"> PAGEREF _Toc203032762 \h </w:instrText>
        </w:r>
        <w:r w:rsidR="00163B51">
          <w:rPr>
            <w:noProof/>
            <w:webHidden/>
          </w:rPr>
        </w:r>
        <w:r w:rsidR="00163B51">
          <w:rPr>
            <w:noProof/>
            <w:webHidden/>
          </w:rPr>
          <w:fldChar w:fldCharType="separate"/>
        </w:r>
        <w:r w:rsidR="00163B51">
          <w:rPr>
            <w:noProof/>
            <w:webHidden/>
          </w:rPr>
          <w:t>127</w:t>
        </w:r>
        <w:r w:rsidR="00163B51">
          <w:rPr>
            <w:noProof/>
            <w:webHidden/>
          </w:rPr>
          <w:fldChar w:fldCharType="end"/>
        </w:r>
      </w:hyperlink>
    </w:p>
    <w:p w14:paraId="0A707D5D" w14:textId="00A0B8F1"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63" w:history="1">
        <w:r w:rsidR="00163B51" w:rsidRPr="001E2FDE">
          <w:rPr>
            <w:rStyle w:val="Hypertextovodkaz"/>
          </w:rPr>
          <w:t>3.7</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Insolvenční agenda</w:t>
        </w:r>
        <w:r w:rsidR="00163B51">
          <w:rPr>
            <w:webHidden/>
          </w:rPr>
          <w:tab/>
        </w:r>
        <w:r w:rsidR="00163B51">
          <w:rPr>
            <w:webHidden/>
          </w:rPr>
          <w:fldChar w:fldCharType="begin"/>
        </w:r>
        <w:r w:rsidR="00163B51">
          <w:rPr>
            <w:webHidden/>
          </w:rPr>
          <w:instrText xml:space="preserve"> PAGEREF _Toc203032763 \h </w:instrText>
        </w:r>
        <w:r w:rsidR="00163B51">
          <w:rPr>
            <w:webHidden/>
          </w:rPr>
        </w:r>
        <w:r w:rsidR="00163B51">
          <w:rPr>
            <w:webHidden/>
          </w:rPr>
          <w:fldChar w:fldCharType="separate"/>
        </w:r>
        <w:r w:rsidR="00163B51">
          <w:rPr>
            <w:webHidden/>
          </w:rPr>
          <w:t>129</w:t>
        </w:r>
        <w:r w:rsidR="00163B51">
          <w:rPr>
            <w:webHidden/>
          </w:rPr>
          <w:fldChar w:fldCharType="end"/>
        </w:r>
      </w:hyperlink>
    </w:p>
    <w:p w14:paraId="188610D6" w14:textId="4E90ED13"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64" w:history="1">
        <w:r w:rsidR="00163B51" w:rsidRPr="001E2FDE">
          <w:rPr>
            <w:rStyle w:val="Hypertextovodkaz"/>
            <w:noProof/>
          </w:rPr>
          <w:t>3.7.1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_Toc203032764 \h </w:instrText>
        </w:r>
        <w:r w:rsidR="00163B51">
          <w:rPr>
            <w:noProof/>
            <w:webHidden/>
          </w:rPr>
        </w:r>
        <w:r w:rsidR="00163B51">
          <w:rPr>
            <w:noProof/>
            <w:webHidden/>
          </w:rPr>
          <w:fldChar w:fldCharType="separate"/>
        </w:r>
        <w:r w:rsidR="00163B51">
          <w:rPr>
            <w:noProof/>
            <w:webHidden/>
          </w:rPr>
          <w:t>129</w:t>
        </w:r>
        <w:r w:rsidR="00163B51">
          <w:rPr>
            <w:noProof/>
            <w:webHidden/>
          </w:rPr>
          <w:fldChar w:fldCharType="end"/>
        </w:r>
      </w:hyperlink>
    </w:p>
    <w:p w14:paraId="6A40901F" w14:textId="17E13B94"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65" w:history="1">
        <w:r w:rsidR="00163B51" w:rsidRPr="001E2FDE">
          <w:rPr>
            <w:rStyle w:val="Hypertextovodkaz"/>
            <w:noProof/>
          </w:rPr>
          <w:t>3.7.2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_Toc203032765 \h </w:instrText>
        </w:r>
        <w:r w:rsidR="00163B51">
          <w:rPr>
            <w:noProof/>
            <w:webHidden/>
          </w:rPr>
        </w:r>
        <w:r w:rsidR="00163B51">
          <w:rPr>
            <w:noProof/>
            <w:webHidden/>
          </w:rPr>
          <w:fldChar w:fldCharType="separate"/>
        </w:r>
        <w:r w:rsidR="00163B51">
          <w:rPr>
            <w:noProof/>
            <w:webHidden/>
          </w:rPr>
          <w:t>131</w:t>
        </w:r>
        <w:r w:rsidR="00163B51">
          <w:rPr>
            <w:noProof/>
            <w:webHidden/>
          </w:rPr>
          <w:fldChar w:fldCharType="end"/>
        </w:r>
      </w:hyperlink>
    </w:p>
    <w:p w14:paraId="49E5DFCF" w14:textId="2488BD72"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66" w:history="1">
        <w:r w:rsidR="00163B51" w:rsidRPr="001E2FDE">
          <w:rPr>
            <w:rStyle w:val="Hypertextovodkaz"/>
            <w:noProof/>
          </w:rPr>
          <w:t>3.7.3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 v přepočtu na soudce</w:t>
        </w:r>
        <w:r w:rsidR="00163B51">
          <w:rPr>
            <w:noProof/>
            <w:webHidden/>
          </w:rPr>
          <w:tab/>
        </w:r>
        <w:r w:rsidR="00163B51">
          <w:rPr>
            <w:noProof/>
            <w:webHidden/>
          </w:rPr>
          <w:fldChar w:fldCharType="begin"/>
        </w:r>
        <w:r w:rsidR="00163B51">
          <w:rPr>
            <w:noProof/>
            <w:webHidden/>
          </w:rPr>
          <w:instrText xml:space="preserve"> PAGEREF _Toc203032766 \h </w:instrText>
        </w:r>
        <w:r w:rsidR="00163B51">
          <w:rPr>
            <w:noProof/>
            <w:webHidden/>
          </w:rPr>
        </w:r>
        <w:r w:rsidR="00163B51">
          <w:rPr>
            <w:noProof/>
            <w:webHidden/>
          </w:rPr>
          <w:fldChar w:fldCharType="separate"/>
        </w:r>
        <w:r w:rsidR="00163B51">
          <w:rPr>
            <w:noProof/>
            <w:webHidden/>
          </w:rPr>
          <w:t>133</w:t>
        </w:r>
        <w:r w:rsidR="00163B51">
          <w:rPr>
            <w:noProof/>
            <w:webHidden/>
          </w:rPr>
          <w:fldChar w:fldCharType="end"/>
        </w:r>
      </w:hyperlink>
    </w:p>
    <w:p w14:paraId="12C7ED48" w14:textId="3489094F"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67" w:history="1">
        <w:r w:rsidR="00163B51" w:rsidRPr="001E2FDE">
          <w:rPr>
            <w:rStyle w:val="Hypertextovodkaz"/>
            <w:noProof/>
          </w:rPr>
          <w:t>3.7.4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Další statistiky</w:t>
        </w:r>
        <w:r w:rsidR="00163B51">
          <w:rPr>
            <w:noProof/>
            <w:webHidden/>
          </w:rPr>
          <w:tab/>
        </w:r>
        <w:r w:rsidR="00163B51">
          <w:rPr>
            <w:noProof/>
            <w:webHidden/>
          </w:rPr>
          <w:fldChar w:fldCharType="begin"/>
        </w:r>
        <w:r w:rsidR="00163B51">
          <w:rPr>
            <w:noProof/>
            <w:webHidden/>
          </w:rPr>
          <w:instrText xml:space="preserve"> PAGEREF _Toc203032767 \h </w:instrText>
        </w:r>
        <w:r w:rsidR="00163B51">
          <w:rPr>
            <w:noProof/>
            <w:webHidden/>
          </w:rPr>
        </w:r>
        <w:r w:rsidR="00163B51">
          <w:rPr>
            <w:noProof/>
            <w:webHidden/>
          </w:rPr>
          <w:fldChar w:fldCharType="separate"/>
        </w:r>
        <w:r w:rsidR="00163B51">
          <w:rPr>
            <w:noProof/>
            <w:webHidden/>
          </w:rPr>
          <w:t>133</w:t>
        </w:r>
        <w:r w:rsidR="00163B51">
          <w:rPr>
            <w:noProof/>
            <w:webHidden/>
          </w:rPr>
          <w:fldChar w:fldCharType="end"/>
        </w:r>
      </w:hyperlink>
    </w:p>
    <w:p w14:paraId="1AE697E9" w14:textId="02F37138"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68" w:history="1">
        <w:r w:rsidR="00163B51" w:rsidRPr="001E2FDE">
          <w:rPr>
            <w:rStyle w:val="Hypertextovodkaz"/>
          </w:rPr>
          <w:t>3.8</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Incidenční spory</w:t>
        </w:r>
        <w:r w:rsidR="00163B51">
          <w:rPr>
            <w:webHidden/>
          </w:rPr>
          <w:tab/>
        </w:r>
        <w:r w:rsidR="00163B51">
          <w:rPr>
            <w:webHidden/>
          </w:rPr>
          <w:fldChar w:fldCharType="begin"/>
        </w:r>
        <w:r w:rsidR="00163B51">
          <w:rPr>
            <w:webHidden/>
          </w:rPr>
          <w:instrText xml:space="preserve"> PAGEREF _Toc203032768 \h </w:instrText>
        </w:r>
        <w:r w:rsidR="00163B51">
          <w:rPr>
            <w:webHidden/>
          </w:rPr>
        </w:r>
        <w:r w:rsidR="00163B51">
          <w:rPr>
            <w:webHidden/>
          </w:rPr>
          <w:fldChar w:fldCharType="separate"/>
        </w:r>
        <w:r w:rsidR="00163B51">
          <w:rPr>
            <w:webHidden/>
          </w:rPr>
          <w:t>135</w:t>
        </w:r>
        <w:r w:rsidR="00163B51">
          <w:rPr>
            <w:webHidden/>
          </w:rPr>
          <w:fldChar w:fldCharType="end"/>
        </w:r>
      </w:hyperlink>
    </w:p>
    <w:p w14:paraId="1B5E7454" w14:textId="69E3CEA1"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69" w:history="1">
        <w:r w:rsidR="00163B51" w:rsidRPr="001E2FDE">
          <w:rPr>
            <w:rStyle w:val="Hypertextovodkaz"/>
            <w:noProof/>
          </w:rPr>
          <w:t>3.8.1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_Toc203032769 \h </w:instrText>
        </w:r>
        <w:r w:rsidR="00163B51">
          <w:rPr>
            <w:noProof/>
            <w:webHidden/>
          </w:rPr>
        </w:r>
        <w:r w:rsidR="00163B51">
          <w:rPr>
            <w:noProof/>
            <w:webHidden/>
          </w:rPr>
          <w:fldChar w:fldCharType="separate"/>
        </w:r>
        <w:r w:rsidR="00163B51">
          <w:rPr>
            <w:noProof/>
            <w:webHidden/>
          </w:rPr>
          <w:t>135</w:t>
        </w:r>
        <w:r w:rsidR="00163B51">
          <w:rPr>
            <w:noProof/>
            <w:webHidden/>
          </w:rPr>
          <w:fldChar w:fldCharType="end"/>
        </w:r>
      </w:hyperlink>
    </w:p>
    <w:p w14:paraId="11A17437" w14:textId="5274A06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70" w:history="1">
        <w:r w:rsidR="00163B51" w:rsidRPr="001E2FDE">
          <w:rPr>
            <w:rStyle w:val="Hypertextovodkaz"/>
            <w:noProof/>
          </w:rPr>
          <w:t>3.8.2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_Toc203032770 \h </w:instrText>
        </w:r>
        <w:r w:rsidR="00163B51">
          <w:rPr>
            <w:noProof/>
            <w:webHidden/>
          </w:rPr>
        </w:r>
        <w:r w:rsidR="00163B51">
          <w:rPr>
            <w:noProof/>
            <w:webHidden/>
          </w:rPr>
          <w:fldChar w:fldCharType="separate"/>
        </w:r>
        <w:r w:rsidR="00163B51">
          <w:rPr>
            <w:noProof/>
            <w:webHidden/>
          </w:rPr>
          <w:t>137</w:t>
        </w:r>
        <w:r w:rsidR="00163B51">
          <w:rPr>
            <w:noProof/>
            <w:webHidden/>
          </w:rPr>
          <w:fldChar w:fldCharType="end"/>
        </w:r>
      </w:hyperlink>
    </w:p>
    <w:p w14:paraId="79F41035" w14:textId="3D68545C"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71" w:history="1">
        <w:r w:rsidR="00163B51" w:rsidRPr="001E2FDE">
          <w:rPr>
            <w:rStyle w:val="Hypertextovodkaz"/>
            <w:noProof/>
          </w:rPr>
          <w:t>3.8.3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 v přepočtu na soudce</w:t>
        </w:r>
        <w:r w:rsidR="00163B51">
          <w:rPr>
            <w:noProof/>
            <w:webHidden/>
          </w:rPr>
          <w:tab/>
        </w:r>
        <w:r w:rsidR="00163B51">
          <w:rPr>
            <w:noProof/>
            <w:webHidden/>
          </w:rPr>
          <w:fldChar w:fldCharType="begin"/>
        </w:r>
        <w:r w:rsidR="00163B51">
          <w:rPr>
            <w:noProof/>
            <w:webHidden/>
          </w:rPr>
          <w:instrText xml:space="preserve"> PAGEREF _Toc203032771 \h </w:instrText>
        </w:r>
        <w:r w:rsidR="00163B51">
          <w:rPr>
            <w:noProof/>
            <w:webHidden/>
          </w:rPr>
        </w:r>
        <w:r w:rsidR="00163B51">
          <w:rPr>
            <w:noProof/>
            <w:webHidden/>
          </w:rPr>
          <w:fldChar w:fldCharType="separate"/>
        </w:r>
        <w:r w:rsidR="00163B51">
          <w:rPr>
            <w:noProof/>
            <w:webHidden/>
          </w:rPr>
          <w:t>138</w:t>
        </w:r>
        <w:r w:rsidR="00163B51">
          <w:rPr>
            <w:noProof/>
            <w:webHidden/>
          </w:rPr>
          <w:fldChar w:fldCharType="end"/>
        </w:r>
      </w:hyperlink>
    </w:p>
    <w:p w14:paraId="231EC43B" w14:textId="6C7535B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72" w:history="1">
        <w:r w:rsidR="00163B51" w:rsidRPr="001E2FDE">
          <w:rPr>
            <w:rStyle w:val="Hypertextovodkaz"/>
            <w:noProof/>
          </w:rPr>
          <w:t>3.8.4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Disposition time (dispoziční čas)</w:t>
        </w:r>
        <w:r w:rsidR="00163B51">
          <w:rPr>
            <w:noProof/>
            <w:webHidden/>
          </w:rPr>
          <w:tab/>
        </w:r>
        <w:r w:rsidR="00163B51">
          <w:rPr>
            <w:noProof/>
            <w:webHidden/>
          </w:rPr>
          <w:fldChar w:fldCharType="begin"/>
        </w:r>
        <w:r w:rsidR="00163B51">
          <w:rPr>
            <w:noProof/>
            <w:webHidden/>
          </w:rPr>
          <w:instrText xml:space="preserve"> PAGEREF _Toc203032772 \h </w:instrText>
        </w:r>
        <w:r w:rsidR="00163B51">
          <w:rPr>
            <w:noProof/>
            <w:webHidden/>
          </w:rPr>
        </w:r>
        <w:r w:rsidR="00163B51">
          <w:rPr>
            <w:noProof/>
            <w:webHidden/>
          </w:rPr>
          <w:fldChar w:fldCharType="separate"/>
        </w:r>
        <w:r w:rsidR="00163B51">
          <w:rPr>
            <w:noProof/>
            <w:webHidden/>
          </w:rPr>
          <w:t>139</w:t>
        </w:r>
        <w:r w:rsidR="00163B51">
          <w:rPr>
            <w:noProof/>
            <w:webHidden/>
          </w:rPr>
          <w:fldChar w:fldCharType="end"/>
        </w:r>
      </w:hyperlink>
    </w:p>
    <w:p w14:paraId="6E5AD263" w14:textId="7B43F042" w:rsidR="00163B51" w:rsidRDefault="00360F8E">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73" w:history="1">
        <w:r w:rsidR="00163B51" w:rsidRPr="001E2FDE">
          <w:rPr>
            <w:rStyle w:val="Hypertextovodkaz"/>
            <w:noProof/>
            <w:lang w:eastAsia="cs-CZ"/>
          </w:rPr>
          <w:t>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Vrchní soudy</w:t>
        </w:r>
        <w:r w:rsidR="00163B51">
          <w:rPr>
            <w:noProof/>
            <w:webHidden/>
          </w:rPr>
          <w:tab/>
        </w:r>
        <w:r w:rsidR="00163B51">
          <w:rPr>
            <w:noProof/>
            <w:webHidden/>
          </w:rPr>
          <w:fldChar w:fldCharType="begin"/>
        </w:r>
        <w:r w:rsidR="00163B51">
          <w:rPr>
            <w:noProof/>
            <w:webHidden/>
          </w:rPr>
          <w:instrText xml:space="preserve"> PAGEREF _Toc203032773 \h </w:instrText>
        </w:r>
        <w:r w:rsidR="00163B51">
          <w:rPr>
            <w:noProof/>
            <w:webHidden/>
          </w:rPr>
        </w:r>
        <w:r w:rsidR="00163B51">
          <w:rPr>
            <w:noProof/>
            <w:webHidden/>
          </w:rPr>
          <w:fldChar w:fldCharType="separate"/>
        </w:r>
        <w:r w:rsidR="00163B51">
          <w:rPr>
            <w:noProof/>
            <w:webHidden/>
          </w:rPr>
          <w:t>141</w:t>
        </w:r>
        <w:r w:rsidR="00163B51">
          <w:rPr>
            <w:noProof/>
            <w:webHidden/>
          </w:rPr>
          <w:fldChar w:fldCharType="end"/>
        </w:r>
      </w:hyperlink>
    </w:p>
    <w:p w14:paraId="2D4620B1" w14:textId="250F7086"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74" w:history="1">
        <w:r w:rsidR="00163B51" w:rsidRPr="001E2FDE">
          <w:rPr>
            <w:rStyle w:val="Hypertextovodkaz"/>
            <w:lang w:eastAsia="cs-CZ"/>
          </w:rPr>
          <w:t>4.1</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lang w:eastAsia="cs-CZ"/>
          </w:rPr>
          <w:t>Personál</w:t>
        </w:r>
        <w:r w:rsidR="00163B51">
          <w:rPr>
            <w:webHidden/>
          </w:rPr>
          <w:tab/>
        </w:r>
        <w:r w:rsidR="00163B51">
          <w:rPr>
            <w:webHidden/>
          </w:rPr>
          <w:fldChar w:fldCharType="begin"/>
        </w:r>
        <w:r w:rsidR="00163B51">
          <w:rPr>
            <w:webHidden/>
          </w:rPr>
          <w:instrText xml:space="preserve"> PAGEREF _Toc203032774 \h </w:instrText>
        </w:r>
        <w:r w:rsidR="00163B51">
          <w:rPr>
            <w:webHidden/>
          </w:rPr>
        </w:r>
        <w:r w:rsidR="00163B51">
          <w:rPr>
            <w:webHidden/>
          </w:rPr>
          <w:fldChar w:fldCharType="separate"/>
        </w:r>
        <w:r w:rsidR="00163B51">
          <w:rPr>
            <w:webHidden/>
          </w:rPr>
          <w:t>141</w:t>
        </w:r>
        <w:r w:rsidR="00163B51">
          <w:rPr>
            <w:webHidden/>
          </w:rPr>
          <w:fldChar w:fldCharType="end"/>
        </w:r>
      </w:hyperlink>
    </w:p>
    <w:p w14:paraId="76610289" w14:textId="4F796B0E"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75" w:history="1">
        <w:r w:rsidR="00163B51" w:rsidRPr="001E2FDE">
          <w:rPr>
            <w:rStyle w:val="Hypertextovodkaz"/>
            <w:noProof/>
            <w:lang w:eastAsia="cs-CZ"/>
          </w:rPr>
          <w:t>4.1.1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Soudci</w:t>
        </w:r>
        <w:r w:rsidR="00163B51">
          <w:rPr>
            <w:noProof/>
            <w:webHidden/>
          </w:rPr>
          <w:tab/>
        </w:r>
        <w:r w:rsidR="00163B51">
          <w:rPr>
            <w:noProof/>
            <w:webHidden/>
          </w:rPr>
          <w:fldChar w:fldCharType="begin"/>
        </w:r>
        <w:r w:rsidR="00163B51">
          <w:rPr>
            <w:noProof/>
            <w:webHidden/>
          </w:rPr>
          <w:instrText xml:space="preserve"> PAGEREF _Toc203032775 \h </w:instrText>
        </w:r>
        <w:r w:rsidR="00163B51">
          <w:rPr>
            <w:noProof/>
            <w:webHidden/>
          </w:rPr>
        </w:r>
        <w:r w:rsidR="00163B51">
          <w:rPr>
            <w:noProof/>
            <w:webHidden/>
          </w:rPr>
          <w:fldChar w:fldCharType="separate"/>
        </w:r>
        <w:r w:rsidR="00163B51">
          <w:rPr>
            <w:noProof/>
            <w:webHidden/>
          </w:rPr>
          <w:t>141</w:t>
        </w:r>
        <w:r w:rsidR="00163B51">
          <w:rPr>
            <w:noProof/>
            <w:webHidden/>
          </w:rPr>
          <w:fldChar w:fldCharType="end"/>
        </w:r>
      </w:hyperlink>
    </w:p>
    <w:p w14:paraId="02AB329E" w14:textId="05DBA5BF"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76" w:history="1">
        <w:r w:rsidR="00163B51" w:rsidRPr="001E2FDE">
          <w:rPr>
            <w:rStyle w:val="Hypertextovodkaz"/>
            <w:noProof/>
            <w:lang w:eastAsia="cs-CZ"/>
          </w:rPr>
          <w:t>4.1.2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Zaměstnanci ve výkonu</w:t>
        </w:r>
        <w:r w:rsidR="00163B51">
          <w:rPr>
            <w:noProof/>
            <w:webHidden/>
          </w:rPr>
          <w:tab/>
        </w:r>
        <w:r w:rsidR="00163B51">
          <w:rPr>
            <w:noProof/>
            <w:webHidden/>
          </w:rPr>
          <w:fldChar w:fldCharType="begin"/>
        </w:r>
        <w:r w:rsidR="00163B51">
          <w:rPr>
            <w:noProof/>
            <w:webHidden/>
          </w:rPr>
          <w:instrText xml:space="preserve"> PAGEREF _Toc203032776 \h </w:instrText>
        </w:r>
        <w:r w:rsidR="00163B51">
          <w:rPr>
            <w:noProof/>
            <w:webHidden/>
          </w:rPr>
        </w:r>
        <w:r w:rsidR="00163B51">
          <w:rPr>
            <w:noProof/>
            <w:webHidden/>
          </w:rPr>
          <w:fldChar w:fldCharType="separate"/>
        </w:r>
        <w:r w:rsidR="00163B51">
          <w:rPr>
            <w:noProof/>
            <w:webHidden/>
          </w:rPr>
          <w:t>145</w:t>
        </w:r>
        <w:r w:rsidR="00163B51">
          <w:rPr>
            <w:noProof/>
            <w:webHidden/>
          </w:rPr>
          <w:fldChar w:fldCharType="end"/>
        </w:r>
      </w:hyperlink>
    </w:p>
    <w:p w14:paraId="7CC179CA" w14:textId="5B787BCB"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77" w:history="1">
        <w:r w:rsidR="00163B51" w:rsidRPr="001E2FDE">
          <w:rPr>
            <w:rStyle w:val="Hypertextovodkaz"/>
          </w:rPr>
          <w:t>4.2</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Civilní a obchodní odvolací agenda</w:t>
        </w:r>
        <w:r w:rsidR="00163B51">
          <w:rPr>
            <w:webHidden/>
          </w:rPr>
          <w:tab/>
        </w:r>
        <w:r w:rsidR="00163B51">
          <w:rPr>
            <w:webHidden/>
          </w:rPr>
          <w:fldChar w:fldCharType="begin"/>
        </w:r>
        <w:r w:rsidR="00163B51">
          <w:rPr>
            <w:webHidden/>
          </w:rPr>
          <w:instrText xml:space="preserve"> PAGEREF _Toc203032777 \h </w:instrText>
        </w:r>
        <w:r w:rsidR="00163B51">
          <w:rPr>
            <w:webHidden/>
          </w:rPr>
        </w:r>
        <w:r w:rsidR="00163B51">
          <w:rPr>
            <w:webHidden/>
          </w:rPr>
          <w:fldChar w:fldCharType="separate"/>
        </w:r>
        <w:r w:rsidR="00163B51">
          <w:rPr>
            <w:webHidden/>
          </w:rPr>
          <w:t>146</w:t>
        </w:r>
        <w:r w:rsidR="00163B51">
          <w:rPr>
            <w:webHidden/>
          </w:rPr>
          <w:fldChar w:fldCharType="end"/>
        </w:r>
      </w:hyperlink>
    </w:p>
    <w:p w14:paraId="256A228A" w14:textId="678D0EC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78" w:history="1">
        <w:r w:rsidR="00163B51" w:rsidRPr="001E2FDE">
          <w:rPr>
            <w:rStyle w:val="Hypertextovodkaz"/>
            <w:noProof/>
            <w:lang w:eastAsia="cs-CZ"/>
          </w:rPr>
          <w:t>4.2.1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Délky řízení</w:t>
        </w:r>
        <w:r w:rsidR="00163B51">
          <w:rPr>
            <w:noProof/>
            <w:webHidden/>
          </w:rPr>
          <w:tab/>
        </w:r>
        <w:r w:rsidR="00163B51">
          <w:rPr>
            <w:noProof/>
            <w:webHidden/>
          </w:rPr>
          <w:fldChar w:fldCharType="begin"/>
        </w:r>
        <w:r w:rsidR="00163B51">
          <w:rPr>
            <w:noProof/>
            <w:webHidden/>
          </w:rPr>
          <w:instrText xml:space="preserve"> PAGEREF _Toc203032778 \h </w:instrText>
        </w:r>
        <w:r w:rsidR="00163B51">
          <w:rPr>
            <w:noProof/>
            <w:webHidden/>
          </w:rPr>
        </w:r>
        <w:r w:rsidR="00163B51">
          <w:rPr>
            <w:noProof/>
            <w:webHidden/>
          </w:rPr>
          <w:fldChar w:fldCharType="separate"/>
        </w:r>
        <w:r w:rsidR="00163B51">
          <w:rPr>
            <w:noProof/>
            <w:webHidden/>
          </w:rPr>
          <w:t>146</w:t>
        </w:r>
        <w:r w:rsidR="00163B51">
          <w:rPr>
            <w:noProof/>
            <w:webHidden/>
          </w:rPr>
          <w:fldChar w:fldCharType="end"/>
        </w:r>
      </w:hyperlink>
    </w:p>
    <w:p w14:paraId="73BBBEC1" w14:textId="65583B0C"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79" w:history="1">
        <w:r w:rsidR="00163B51" w:rsidRPr="001E2FDE">
          <w:rPr>
            <w:rStyle w:val="Hypertextovodkaz"/>
            <w:noProof/>
            <w:lang w:eastAsia="cs-CZ"/>
          </w:rPr>
          <w:t>4.2.2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w:t>
        </w:r>
        <w:r w:rsidR="00163B51">
          <w:rPr>
            <w:noProof/>
            <w:webHidden/>
          </w:rPr>
          <w:tab/>
        </w:r>
        <w:r w:rsidR="00163B51">
          <w:rPr>
            <w:noProof/>
            <w:webHidden/>
          </w:rPr>
          <w:fldChar w:fldCharType="begin"/>
        </w:r>
        <w:r w:rsidR="00163B51">
          <w:rPr>
            <w:noProof/>
            <w:webHidden/>
          </w:rPr>
          <w:instrText xml:space="preserve"> PAGEREF _Toc203032779 \h </w:instrText>
        </w:r>
        <w:r w:rsidR="00163B51">
          <w:rPr>
            <w:noProof/>
            <w:webHidden/>
          </w:rPr>
        </w:r>
        <w:r w:rsidR="00163B51">
          <w:rPr>
            <w:noProof/>
            <w:webHidden/>
          </w:rPr>
          <w:fldChar w:fldCharType="separate"/>
        </w:r>
        <w:r w:rsidR="00163B51">
          <w:rPr>
            <w:noProof/>
            <w:webHidden/>
          </w:rPr>
          <w:t>147</w:t>
        </w:r>
        <w:r w:rsidR="00163B51">
          <w:rPr>
            <w:noProof/>
            <w:webHidden/>
          </w:rPr>
          <w:fldChar w:fldCharType="end"/>
        </w:r>
      </w:hyperlink>
    </w:p>
    <w:p w14:paraId="0491DBEA" w14:textId="6EF3F13B"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80" w:history="1">
        <w:r w:rsidR="00163B51" w:rsidRPr="001E2FDE">
          <w:rPr>
            <w:rStyle w:val="Hypertextovodkaz"/>
            <w:noProof/>
            <w:lang w:eastAsia="cs-CZ"/>
          </w:rPr>
          <w:t>4.2.3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 přepočtu na soudce</w:t>
        </w:r>
        <w:r w:rsidR="00163B51">
          <w:rPr>
            <w:noProof/>
            <w:webHidden/>
          </w:rPr>
          <w:tab/>
        </w:r>
        <w:r w:rsidR="00163B51">
          <w:rPr>
            <w:noProof/>
            <w:webHidden/>
          </w:rPr>
          <w:fldChar w:fldCharType="begin"/>
        </w:r>
        <w:r w:rsidR="00163B51">
          <w:rPr>
            <w:noProof/>
            <w:webHidden/>
          </w:rPr>
          <w:instrText xml:space="preserve"> PAGEREF _Toc203032780 \h </w:instrText>
        </w:r>
        <w:r w:rsidR="00163B51">
          <w:rPr>
            <w:noProof/>
            <w:webHidden/>
          </w:rPr>
        </w:r>
        <w:r w:rsidR="00163B51">
          <w:rPr>
            <w:noProof/>
            <w:webHidden/>
          </w:rPr>
          <w:fldChar w:fldCharType="separate"/>
        </w:r>
        <w:r w:rsidR="00163B51">
          <w:rPr>
            <w:noProof/>
            <w:webHidden/>
          </w:rPr>
          <w:t>148</w:t>
        </w:r>
        <w:r w:rsidR="00163B51">
          <w:rPr>
            <w:noProof/>
            <w:webHidden/>
          </w:rPr>
          <w:fldChar w:fldCharType="end"/>
        </w:r>
      </w:hyperlink>
    </w:p>
    <w:p w14:paraId="6AAE65C4" w14:textId="2E563C2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81" w:history="1">
        <w:r w:rsidR="00163B51" w:rsidRPr="001E2FDE">
          <w:rPr>
            <w:rStyle w:val="Hypertextovodkaz"/>
            <w:noProof/>
            <w:lang w:eastAsia="cs-CZ"/>
          </w:rPr>
          <w:t>4.2.4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Disposition time (dispoziční čas)</w:t>
        </w:r>
        <w:r w:rsidR="00163B51">
          <w:rPr>
            <w:noProof/>
            <w:webHidden/>
          </w:rPr>
          <w:tab/>
        </w:r>
        <w:r w:rsidR="00163B51">
          <w:rPr>
            <w:noProof/>
            <w:webHidden/>
          </w:rPr>
          <w:fldChar w:fldCharType="begin"/>
        </w:r>
        <w:r w:rsidR="00163B51">
          <w:rPr>
            <w:noProof/>
            <w:webHidden/>
          </w:rPr>
          <w:instrText xml:space="preserve"> PAGEREF _Toc203032781 \h </w:instrText>
        </w:r>
        <w:r w:rsidR="00163B51">
          <w:rPr>
            <w:noProof/>
            <w:webHidden/>
          </w:rPr>
        </w:r>
        <w:r w:rsidR="00163B51">
          <w:rPr>
            <w:noProof/>
            <w:webHidden/>
          </w:rPr>
          <w:fldChar w:fldCharType="separate"/>
        </w:r>
        <w:r w:rsidR="00163B51">
          <w:rPr>
            <w:noProof/>
            <w:webHidden/>
          </w:rPr>
          <w:t>148</w:t>
        </w:r>
        <w:r w:rsidR="00163B51">
          <w:rPr>
            <w:noProof/>
            <w:webHidden/>
          </w:rPr>
          <w:fldChar w:fldCharType="end"/>
        </w:r>
      </w:hyperlink>
    </w:p>
    <w:p w14:paraId="3F82EE2A" w14:textId="2C21B79A"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82" w:history="1">
        <w:r w:rsidR="00163B51" w:rsidRPr="001E2FDE">
          <w:rPr>
            <w:rStyle w:val="Hypertextovodkaz"/>
            <w:lang w:eastAsia="cs-CZ"/>
          </w:rPr>
          <w:t>4.3</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lang w:eastAsia="cs-CZ"/>
          </w:rPr>
          <w:t>Trestní odvolací agenda</w:t>
        </w:r>
        <w:r w:rsidR="00163B51">
          <w:rPr>
            <w:webHidden/>
          </w:rPr>
          <w:tab/>
        </w:r>
        <w:r w:rsidR="00163B51">
          <w:rPr>
            <w:webHidden/>
          </w:rPr>
          <w:fldChar w:fldCharType="begin"/>
        </w:r>
        <w:r w:rsidR="00163B51">
          <w:rPr>
            <w:webHidden/>
          </w:rPr>
          <w:instrText xml:space="preserve"> PAGEREF _Toc203032782 \h </w:instrText>
        </w:r>
        <w:r w:rsidR="00163B51">
          <w:rPr>
            <w:webHidden/>
          </w:rPr>
        </w:r>
        <w:r w:rsidR="00163B51">
          <w:rPr>
            <w:webHidden/>
          </w:rPr>
          <w:fldChar w:fldCharType="separate"/>
        </w:r>
        <w:r w:rsidR="00163B51">
          <w:rPr>
            <w:webHidden/>
          </w:rPr>
          <w:t>150</w:t>
        </w:r>
        <w:r w:rsidR="00163B51">
          <w:rPr>
            <w:webHidden/>
          </w:rPr>
          <w:fldChar w:fldCharType="end"/>
        </w:r>
      </w:hyperlink>
    </w:p>
    <w:p w14:paraId="1CF7928F" w14:textId="454EE06C"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83" w:history="1">
        <w:r w:rsidR="00163B51" w:rsidRPr="001E2FDE">
          <w:rPr>
            <w:rStyle w:val="Hypertextovodkaz"/>
            <w:noProof/>
            <w:lang w:eastAsia="cs-CZ"/>
          </w:rPr>
          <w:t>4.3.1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Délka řízení</w:t>
        </w:r>
        <w:r w:rsidR="00163B51">
          <w:rPr>
            <w:noProof/>
            <w:webHidden/>
          </w:rPr>
          <w:tab/>
        </w:r>
        <w:r w:rsidR="00163B51">
          <w:rPr>
            <w:noProof/>
            <w:webHidden/>
          </w:rPr>
          <w:fldChar w:fldCharType="begin"/>
        </w:r>
        <w:r w:rsidR="00163B51">
          <w:rPr>
            <w:noProof/>
            <w:webHidden/>
          </w:rPr>
          <w:instrText xml:space="preserve"> PAGEREF _Toc203032783 \h </w:instrText>
        </w:r>
        <w:r w:rsidR="00163B51">
          <w:rPr>
            <w:noProof/>
            <w:webHidden/>
          </w:rPr>
        </w:r>
        <w:r w:rsidR="00163B51">
          <w:rPr>
            <w:noProof/>
            <w:webHidden/>
          </w:rPr>
          <w:fldChar w:fldCharType="separate"/>
        </w:r>
        <w:r w:rsidR="00163B51">
          <w:rPr>
            <w:noProof/>
            <w:webHidden/>
          </w:rPr>
          <w:t>150</w:t>
        </w:r>
        <w:r w:rsidR="00163B51">
          <w:rPr>
            <w:noProof/>
            <w:webHidden/>
          </w:rPr>
          <w:fldChar w:fldCharType="end"/>
        </w:r>
      </w:hyperlink>
    </w:p>
    <w:p w14:paraId="60BE2E7F" w14:textId="3CDB0A93"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84" w:history="1">
        <w:r w:rsidR="00163B51" w:rsidRPr="001E2FDE">
          <w:rPr>
            <w:rStyle w:val="Hypertextovodkaz"/>
            <w:noProof/>
            <w:lang w:eastAsia="cs-CZ"/>
          </w:rPr>
          <w:t>4.3.2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w:t>
        </w:r>
        <w:r w:rsidR="00163B51">
          <w:rPr>
            <w:noProof/>
            <w:webHidden/>
          </w:rPr>
          <w:tab/>
        </w:r>
        <w:r w:rsidR="00163B51">
          <w:rPr>
            <w:noProof/>
            <w:webHidden/>
          </w:rPr>
          <w:fldChar w:fldCharType="begin"/>
        </w:r>
        <w:r w:rsidR="00163B51">
          <w:rPr>
            <w:noProof/>
            <w:webHidden/>
          </w:rPr>
          <w:instrText xml:space="preserve"> PAGEREF _Toc203032784 \h </w:instrText>
        </w:r>
        <w:r w:rsidR="00163B51">
          <w:rPr>
            <w:noProof/>
            <w:webHidden/>
          </w:rPr>
        </w:r>
        <w:r w:rsidR="00163B51">
          <w:rPr>
            <w:noProof/>
            <w:webHidden/>
          </w:rPr>
          <w:fldChar w:fldCharType="separate"/>
        </w:r>
        <w:r w:rsidR="00163B51">
          <w:rPr>
            <w:noProof/>
            <w:webHidden/>
          </w:rPr>
          <w:t>151</w:t>
        </w:r>
        <w:r w:rsidR="00163B51">
          <w:rPr>
            <w:noProof/>
            <w:webHidden/>
          </w:rPr>
          <w:fldChar w:fldCharType="end"/>
        </w:r>
      </w:hyperlink>
    </w:p>
    <w:p w14:paraId="7B0AA0F7" w14:textId="25CA724C"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85" w:history="1">
        <w:r w:rsidR="00163B51" w:rsidRPr="001E2FDE">
          <w:rPr>
            <w:rStyle w:val="Hypertextovodkaz"/>
            <w:noProof/>
            <w:lang w:eastAsia="cs-CZ"/>
          </w:rPr>
          <w:t>4.3.3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 v přepočtu na soudce</w:t>
        </w:r>
        <w:r w:rsidR="00163B51">
          <w:rPr>
            <w:noProof/>
            <w:webHidden/>
          </w:rPr>
          <w:tab/>
        </w:r>
        <w:r w:rsidR="00163B51">
          <w:rPr>
            <w:noProof/>
            <w:webHidden/>
          </w:rPr>
          <w:fldChar w:fldCharType="begin"/>
        </w:r>
        <w:r w:rsidR="00163B51">
          <w:rPr>
            <w:noProof/>
            <w:webHidden/>
          </w:rPr>
          <w:instrText xml:space="preserve"> PAGEREF _Toc203032785 \h </w:instrText>
        </w:r>
        <w:r w:rsidR="00163B51">
          <w:rPr>
            <w:noProof/>
            <w:webHidden/>
          </w:rPr>
        </w:r>
        <w:r w:rsidR="00163B51">
          <w:rPr>
            <w:noProof/>
            <w:webHidden/>
          </w:rPr>
          <w:fldChar w:fldCharType="separate"/>
        </w:r>
        <w:r w:rsidR="00163B51">
          <w:rPr>
            <w:noProof/>
            <w:webHidden/>
          </w:rPr>
          <w:t>152</w:t>
        </w:r>
        <w:r w:rsidR="00163B51">
          <w:rPr>
            <w:noProof/>
            <w:webHidden/>
          </w:rPr>
          <w:fldChar w:fldCharType="end"/>
        </w:r>
      </w:hyperlink>
    </w:p>
    <w:p w14:paraId="61CE13F9" w14:textId="466DA2C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86" w:history="1">
        <w:r w:rsidR="00163B51" w:rsidRPr="001E2FDE">
          <w:rPr>
            <w:rStyle w:val="Hypertextovodkaz"/>
            <w:noProof/>
            <w:lang w:eastAsia="cs-CZ"/>
          </w:rPr>
          <w:t>4.3.4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Disposition time</w:t>
        </w:r>
        <w:r w:rsidR="00163B51">
          <w:rPr>
            <w:noProof/>
            <w:webHidden/>
          </w:rPr>
          <w:tab/>
        </w:r>
        <w:r w:rsidR="00163B51">
          <w:rPr>
            <w:noProof/>
            <w:webHidden/>
          </w:rPr>
          <w:fldChar w:fldCharType="begin"/>
        </w:r>
        <w:r w:rsidR="00163B51">
          <w:rPr>
            <w:noProof/>
            <w:webHidden/>
          </w:rPr>
          <w:instrText xml:space="preserve"> PAGEREF _Toc203032786 \h </w:instrText>
        </w:r>
        <w:r w:rsidR="00163B51">
          <w:rPr>
            <w:noProof/>
            <w:webHidden/>
          </w:rPr>
        </w:r>
        <w:r w:rsidR="00163B51">
          <w:rPr>
            <w:noProof/>
            <w:webHidden/>
          </w:rPr>
          <w:fldChar w:fldCharType="separate"/>
        </w:r>
        <w:r w:rsidR="00163B51">
          <w:rPr>
            <w:noProof/>
            <w:webHidden/>
          </w:rPr>
          <w:t>152</w:t>
        </w:r>
        <w:r w:rsidR="00163B51">
          <w:rPr>
            <w:noProof/>
            <w:webHidden/>
          </w:rPr>
          <w:fldChar w:fldCharType="end"/>
        </w:r>
      </w:hyperlink>
    </w:p>
    <w:p w14:paraId="39E11531" w14:textId="551286BA"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87" w:history="1">
        <w:r w:rsidR="00163B51" w:rsidRPr="001E2FDE">
          <w:rPr>
            <w:rStyle w:val="Hypertextovodkaz"/>
          </w:rPr>
          <w:t>4.4</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Insolvenční agenda – II. stupeň</w:t>
        </w:r>
        <w:r w:rsidR="00163B51">
          <w:rPr>
            <w:webHidden/>
          </w:rPr>
          <w:tab/>
        </w:r>
        <w:r w:rsidR="00163B51">
          <w:rPr>
            <w:webHidden/>
          </w:rPr>
          <w:fldChar w:fldCharType="begin"/>
        </w:r>
        <w:r w:rsidR="00163B51">
          <w:rPr>
            <w:webHidden/>
          </w:rPr>
          <w:instrText xml:space="preserve"> PAGEREF _Toc203032787 \h </w:instrText>
        </w:r>
        <w:r w:rsidR="00163B51">
          <w:rPr>
            <w:webHidden/>
          </w:rPr>
        </w:r>
        <w:r w:rsidR="00163B51">
          <w:rPr>
            <w:webHidden/>
          </w:rPr>
          <w:fldChar w:fldCharType="separate"/>
        </w:r>
        <w:r w:rsidR="00163B51">
          <w:rPr>
            <w:webHidden/>
          </w:rPr>
          <w:t>154</w:t>
        </w:r>
        <w:r w:rsidR="00163B51">
          <w:rPr>
            <w:webHidden/>
          </w:rPr>
          <w:fldChar w:fldCharType="end"/>
        </w:r>
      </w:hyperlink>
    </w:p>
    <w:p w14:paraId="0AF6DB8F" w14:textId="78650B63"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88" w:history="1">
        <w:r w:rsidR="00163B51" w:rsidRPr="001E2FDE">
          <w:rPr>
            <w:rStyle w:val="Hypertextovodkaz"/>
            <w:noProof/>
            <w:lang w:eastAsia="cs-CZ"/>
          </w:rPr>
          <w:t>4.4.1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w:t>
        </w:r>
        <w:r w:rsidR="00163B51">
          <w:rPr>
            <w:noProof/>
            <w:webHidden/>
          </w:rPr>
          <w:tab/>
        </w:r>
        <w:r w:rsidR="00163B51">
          <w:rPr>
            <w:noProof/>
            <w:webHidden/>
          </w:rPr>
          <w:fldChar w:fldCharType="begin"/>
        </w:r>
        <w:r w:rsidR="00163B51">
          <w:rPr>
            <w:noProof/>
            <w:webHidden/>
          </w:rPr>
          <w:instrText xml:space="preserve"> PAGEREF _Toc203032788 \h </w:instrText>
        </w:r>
        <w:r w:rsidR="00163B51">
          <w:rPr>
            <w:noProof/>
            <w:webHidden/>
          </w:rPr>
        </w:r>
        <w:r w:rsidR="00163B51">
          <w:rPr>
            <w:noProof/>
            <w:webHidden/>
          </w:rPr>
          <w:fldChar w:fldCharType="separate"/>
        </w:r>
        <w:r w:rsidR="00163B51">
          <w:rPr>
            <w:noProof/>
            <w:webHidden/>
          </w:rPr>
          <w:t>154</w:t>
        </w:r>
        <w:r w:rsidR="00163B51">
          <w:rPr>
            <w:noProof/>
            <w:webHidden/>
          </w:rPr>
          <w:fldChar w:fldCharType="end"/>
        </w:r>
      </w:hyperlink>
    </w:p>
    <w:p w14:paraId="3B51BFDC" w14:textId="153367A8"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89" w:history="1">
        <w:r w:rsidR="00163B51" w:rsidRPr="001E2FDE">
          <w:rPr>
            <w:rStyle w:val="Hypertextovodkaz"/>
            <w:noProof/>
            <w:lang w:eastAsia="cs-CZ"/>
          </w:rPr>
          <w:t>4.4.2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Disposition time (dispoziční čas)</w:t>
        </w:r>
        <w:r w:rsidR="00163B51">
          <w:rPr>
            <w:noProof/>
            <w:webHidden/>
          </w:rPr>
          <w:tab/>
        </w:r>
        <w:r w:rsidR="00163B51">
          <w:rPr>
            <w:noProof/>
            <w:webHidden/>
          </w:rPr>
          <w:fldChar w:fldCharType="begin"/>
        </w:r>
        <w:r w:rsidR="00163B51">
          <w:rPr>
            <w:noProof/>
            <w:webHidden/>
          </w:rPr>
          <w:instrText xml:space="preserve"> PAGEREF _Toc203032789 \h </w:instrText>
        </w:r>
        <w:r w:rsidR="00163B51">
          <w:rPr>
            <w:noProof/>
            <w:webHidden/>
          </w:rPr>
        </w:r>
        <w:r w:rsidR="00163B51">
          <w:rPr>
            <w:noProof/>
            <w:webHidden/>
          </w:rPr>
          <w:fldChar w:fldCharType="separate"/>
        </w:r>
        <w:r w:rsidR="00163B51">
          <w:rPr>
            <w:noProof/>
            <w:webHidden/>
          </w:rPr>
          <w:t>155</w:t>
        </w:r>
        <w:r w:rsidR="00163B51">
          <w:rPr>
            <w:noProof/>
            <w:webHidden/>
          </w:rPr>
          <w:fldChar w:fldCharType="end"/>
        </w:r>
      </w:hyperlink>
    </w:p>
    <w:p w14:paraId="4A3A3CA1" w14:textId="70319CD9"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90" w:history="1">
        <w:r w:rsidR="00163B51" w:rsidRPr="001E2FDE">
          <w:rPr>
            <w:rStyle w:val="Hypertextovodkaz"/>
          </w:rPr>
          <w:t>4.5</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Incidenční spory – II. stupeň</w:t>
        </w:r>
        <w:r w:rsidR="00163B51">
          <w:rPr>
            <w:webHidden/>
          </w:rPr>
          <w:tab/>
        </w:r>
        <w:r w:rsidR="00163B51">
          <w:rPr>
            <w:webHidden/>
          </w:rPr>
          <w:fldChar w:fldCharType="begin"/>
        </w:r>
        <w:r w:rsidR="00163B51">
          <w:rPr>
            <w:webHidden/>
          </w:rPr>
          <w:instrText xml:space="preserve"> PAGEREF _Toc203032790 \h </w:instrText>
        </w:r>
        <w:r w:rsidR="00163B51">
          <w:rPr>
            <w:webHidden/>
          </w:rPr>
        </w:r>
        <w:r w:rsidR="00163B51">
          <w:rPr>
            <w:webHidden/>
          </w:rPr>
          <w:fldChar w:fldCharType="separate"/>
        </w:r>
        <w:r w:rsidR="00163B51">
          <w:rPr>
            <w:webHidden/>
          </w:rPr>
          <w:t>156</w:t>
        </w:r>
        <w:r w:rsidR="00163B51">
          <w:rPr>
            <w:webHidden/>
          </w:rPr>
          <w:fldChar w:fldCharType="end"/>
        </w:r>
      </w:hyperlink>
    </w:p>
    <w:p w14:paraId="3734C0EF" w14:textId="1049B40A"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91" w:history="1">
        <w:r w:rsidR="00163B51" w:rsidRPr="001E2FDE">
          <w:rPr>
            <w:rStyle w:val="Hypertextovodkaz"/>
            <w:noProof/>
          </w:rPr>
          <w:t>4.5.1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Délka řízení</w:t>
        </w:r>
        <w:r w:rsidR="00163B51">
          <w:rPr>
            <w:noProof/>
            <w:webHidden/>
          </w:rPr>
          <w:tab/>
        </w:r>
        <w:r w:rsidR="00163B51">
          <w:rPr>
            <w:noProof/>
            <w:webHidden/>
          </w:rPr>
          <w:fldChar w:fldCharType="begin"/>
        </w:r>
        <w:r w:rsidR="00163B51">
          <w:rPr>
            <w:noProof/>
            <w:webHidden/>
          </w:rPr>
          <w:instrText xml:space="preserve"> PAGEREF _Toc203032791 \h </w:instrText>
        </w:r>
        <w:r w:rsidR="00163B51">
          <w:rPr>
            <w:noProof/>
            <w:webHidden/>
          </w:rPr>
        </w:r>
        <w:r w:rsidR="00163B51">
          <w:rPr>
            <w:noProof/>
            <w:webHidden/>
          </w:rPr>
          <w:fldChar w:fldCharType="separate"/>
        </w:r>
        <w:r w:rsidR="00163B51">
          <w:rPr>
            <w:noProof/>
            <w:webHidden/>
          </w:rPr>
          <w:t>156</w:t>
        </w:r>
        <w:r w:rsidR="00163B51">
          <w:rPr>
            <w:noProof/>
            <w:webHidden/>
          </w:rPr>
          <w:fldChar w:fldCharType="end"/>
        </w:r>
      </w:hyperlink>
    </w:p>
    <w:p w14:paraId="7DDA5F7F" w14:textId="11071CA6"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92" w:history="1">
        <w:r w:rsidR="00163B51" w:rsidRPr="001E2FDE">
          <w:rPr>
            <w:rStyle w:val="Hypertextovodkaz"/>
            <w:noProof/>
            <w:lang w:eastAsia="cs-CZ"/>
          </w:rPr>
          <w:t>4.5.2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w:t>
        </w:r>
        <w:r w:rsidR="00163B51">
          <w:rPr>
            <w:noProof/>
            <w:webHidden/>
          </w:rPr>
          <w:tab/>
        </w:r>
        <w:r w:rsidR="00163B51">
          <w:rPr>
            <w:noProof/>
            <w:webHidden/>
          </w:rPr>
          <w:fldChar w:fldCharType="begin"/>
        </w:r>
        <w:r w:rsidR="00163B51">
          <w:rPr>
            <w:noProof/>
            <w:webHidden/>
          </w:rPr>
          <w:instrText xml:space="preserve"> PAGEREF _Toc203032792 \h </w:instrText>
        </w:r>
        <w:r w:rsidR="00163B51">
          <w:rPr>
            <w:noProof/>
            <w:webHidden/>
          </w:rPr>
        </w:r>
        <w:r w:rsidR="00163B51">
          <w:rPr>
            <w:noProof/>
            <w:webHidden/>
          </w:rPr>
          <w:fldChar w:fldCharType="separate"/>
        </w:r>
        <w:r w:rsidR="00163B51">
          <w:rPr>
            <w:noProof/>
            <w:webHidden/>
          </w:rPr>
          <w:t>157</w:t>
        </w:r>
        <w:r w:rsidR="00163B51">
          <w:rPr>
            <w:noProof/>
            <w:webHidden/>
          </w:rPr>
          <w:fldChar w:fldCharType="end"/>
        </w:r>
      </w:hyperlink>
    </w:p>
    <w:p w14:paraId="3D8E80B3" w14:textId="0B031DC8"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93" w:history="1">
        <w:r w:rsidR="00163B51" w:rsidRPr="001E2FDE">
          <w:rPr>
            <w:rStyle w:val="Hypertextovodkaz"/>
            <w:noProof/>
            <w:lang w:eastAsia="cs-CZ"/>
          </w:rPr>
          <w:t>4.5.3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Disposition time (dispoziční čas)</w:t>
        </w:r>
        <w:r w:rsidR="00163B51">
          <w:rPr>
            <w:noProof/>
            <w:webHidden/>
          </w:rPr>
          <w:tab/>
        </w:r>
        <w:r w:rsidR="00163B51">
          <w:rPr>
            <w:noProof/>
            <w:webHidden/>
          </w:rPr>
          <w:fldChar w:fldCharType="begin"/>
        </w:r>
        <w:r w:rsidR="00163B51">
          <w:rPr>
            <w:noProof/>
            <w:webHidden/>
          </w:rPr>
          <w:instrText xml:space="preserve"> PAGEREF _Toc203032793 \h </w:instrText>
        </w:r>
        <w:r w:rsidR="00163B51">
          <w:rPr>
            <w:noProof/>
            <w:webHidden/>
          </w:rPr>
        </w:r>
        <w:r w:rsidR="00163B51">
          <w:rPr>
            <w:noProof/>
            <w:webHidden/>
          </w:rPr>
          <w:fldChar w:fldCharType="separate"/>
        </w:r>
        <w:r w:rsidR="00163B51">
          <w:rPr>
            <w:noProof/>
            <w:webHidden/>
          </w:rPr>
          <w:t>158</w:t>
        </w:r>
        <w:r w:rsidR="00163B51">
          <w:rPr>
            <w:noProof/>
            <w:webHidden/>
          </w:rPr>
          <w:fldChar w:fldCharType="end"/>
        </w:r>
      </w:hyperlink>
    </w:p>
    <w:p w14:paraId="1EEC2CB8" w14:textId="7F1791CF" w:rsidR="00163B51" w:rsidRDefault="00360F8E">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94" w:history="1">
        <w:r w:rsidR="00163B51" w:rsidRPr="001E2FDE">
          <w:rPr>
            <w:rStyle w:val="Hypertextovodkaz"/>
            <w:noProof/>
            <w:lang w:eastAsia="cs-CZ"/>
          </w:rPr>
          <w:t>5</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Nejvyšší soud</w:t>
        </w:r>
        <w:r w:rsidR="00163B51">
          <w:rPr>
            <w:noProof/>
            <w:webHidden/>
          </w:rPr>
          <w:tab/>
        </w:r>
        <w:r w:rsidR="00163B51">
          <w:rPr>
            <w:noProof/>
            <w:webHidden/>
          </w:rPr>
          <w:fldChar w:fldCharType="begin"/>
        </w:r>
        <w:r w:rsidR="00163B51">
          <w:rPr>
            <w:noProof/>
            <w:webHidden/>
          </w:rPr>
          <w:instrText xml:space="preserve"> PAGEREF _Toc203032794 \h </w:instrText>
        </w:r>
        <w:r w:rsidR="00163B51">
          <w:rPr>
            <w:noProof/>
            <w:webHidden/>
          </w:rPr>
        </w:r>
        <w:r w:rsidR="00163B51">
          <w:rPr>
            <w:noProof/>
            <w:webHidden/>
          </w:rPr>
          <w:fldChar w:fldCharType="separate"/>
        </w:r>
        <w:r w:rsidR="00163B51">
          <w:rPr>
            <w:noProof/>
            <w:webHidden/>
          </w:rPr>
          <w:t>159</w:t>
        </w:r>
        <w:r w:rsidR="00163B51">
          <w:rPr>
            <w:noProof/>
            <w:webHidden/>
          </w:rPr>
          <w:fldChar w:fldCharType="end"/>
        </w:r>
      </w:hyperlink>
    </w:p>
    <w:p w14:paraId="657C5294" w14:textId="60F21DF2"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95" w:history="1">
        <w:r w:rsidR="00163B51" w:rsidRPr="001E2FDE">
          <w:rPr>
            <w:rStyle w:val="Hypertextovodkaz"/>
            <w:lang w:eastAsia="cs-CZ"/>
          </w:rPr>
          <w:t>5.1</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lang w:eastAsia="cs-CZ"/>
          </w:rPr>
          <w:t>Personál</w:t>
        </w:r>
        <w:r w:rsidR="00163B51">
          <w:rPr>
            <w:webHidden/>
          </w:rPr>
          <w:tab/>
        </w:r>
        <w:r w:rsidR="00163B51">
          <w:rPr>
            <w:webHidden/>
          </w:rPr>
          <w:fldChar w:fldCharType="begin"/>
        </w:r>
        <w:r w:rsidR="00163B51">
          <w:rPr>
            <w:webHidden/>
          </w:rPr>
          <w:instrText xml:space="preserve"> PAGEREF _Toc203032795 \h </w:instrText>
        </w:r>
        <w:r w:rsidR="00163B51">
          <w:rPr>
            <w:webHidden/>
          </w:rPr>
        </w:r>
        <w:r w:rsidR="00163B51">
          <w:rPr>
            <w:webHidden/>
          </w:rPr>
          <w:fldChar w:fldCharType="separate"/>
        </w:r>
        <w:r w:rsidR="00163B51">
          <w:rPr>
            <w:webHidden/>
          </w:rPr>
          <w:t>159</w:t>
        </w:r>
        <w:r w:rsidR="00163B51">
          <w:rPr>
            <w:webHidden/>
          </w:rPr>
          <w:fldChar w:fldCharType="end"/>
        </w:r>
      </w:hyperlink>
    </w:p>
    <w:p w14:paraId="6D78D965" w14:textId="73CEE263"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96" w:history="1">
        <w:r w:rsidR="00163B51" w:rsidRPr="001E2FDE">
          <w:rPr>
            <w:rStyle w:val="Hypertextovodkaz"/>
            <w:noProof/>
            <w:lang w:eastAsia="cs-CZ"/>
          </w:rPr>
          <w:t>5.1.1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Soudci</w:t>
        </w:r>
        <w:r w:rsidR="00163B51">
          <w:rPr>
            <w:noProof/>
            <w:webHidden/>
          </w:rPr>
          <w:tab/>
        </w:r>
        <w:r w:rsidR="00163B51">
          <w:rPr>
            <w:noProof/>
            <w:webHidden/>
          </w:rPr>
          <w:fldChar w:fldCharType="begin"/>
        </w:r>
        <w:r w:rsidR="00163B51">
          <w:rPr>
            <w:noProof/>
            <w:webHidden/>
          </w:rPr>
          <w:instrText xml:space="preserve"> PAGEREF _Toc203032796 \h </w:instrText>
        </w:r>
        <w:r w:rsidR="00163B51">
          <w:rPr>
            <w:noProof/>
            <w:webHidden/>
          </w:rPr>
        </w:r>
        <w:r w:rsidR="00163B51">
          <w:rPr>
            <w:noProof/>
            <w:webHidden/>
          </w:rPr>
          <w:fldChar w:fldCharType="separate"/>
        </w:r>
        <w:r w:rsidR="00163B51">
          <w:rPr>
            <w:noProof/>
            <w:webHidden/>
          </w:rPr>
          <w:t>159</w:t>
        </w:r>
        <w:r w:rsidR="00163B51">
          <w:rPr>
            <w:noProof/>
            <w:webHidden/>
          </w:rPr>
          <w:fldChar w:fldCharType="end"/>
        </w:r>
      </w:hyperlink>
    </w:p>
    <w:p w14:paraId="5038EB88" w14:textId="7EB9BF2A"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97" w:history="1">
        <w:r w:rsidR="00163B51" w:rsidRPr="001E2FDE">
          <w:rPr>
            <w:rStyle w:val="Hypertextovodkaz"/>
            <w:noProof/>
            <w:lang w:eastAsia="cs-CZ"/>
          </w:rPr>
          <w:t>5.1.2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Zaměstnanci ve výkonu</w:t>
        </w:r>
        <w:r w:rsidR="00163B51">
          <w:rPr>
            <w:noProof/>
            <w:webHidden/>
          </w:rPr>
          <w:tab/>
        </w:r>
        <w:r w:rsidR="00163B51">
          <w:rPr>
            <w:noProof/>
            <w:webHidden/>
          </w:rPr>
          <w:fldChar w:fldCharType="begin"/>
        </w:r>
        <w:r w:rsidR="00163B51">
          <w:rPr>
            <w:noProof/>
            <w:webHidden/>
          </w:rPr>
          <w:instrText xml:space="preserve"> PAGEREF _Toc203032797 \h </w:instrText>
        </w:r>
        <w:r w:rsidR="00163B51">
          <w:rPr>
            <w:noProof/>
            <w:webHidden/>
          </w:rPr>
        </w:r>
        <w:r w:rsidR="00163B51">
          <w:rPr>
            <w:noProof/>
            <w:webHidden/>
          </w:rPr>
          <w:fldChar w:fldCharType="separate"/>
        </w:r>
        <w:r w:rsidR="00163B51">
          <w:rPr>
            <w:noProof/>
            <w:webHidden/>
          </w:rPr>
          <w:t>162</w:t>
        </w:r>
        <w:r w:rsidR="00163B51">
          <w:rPr>
            <w:noProof/>
            <w:webHidden/>
          </w:rPr>
          <w:fldChar w:fldCharType="end"/>
        </w:r>
      </w:hyperlink>
    </w:p>
    <w:p w14:paraId="32B0935A" w14:textId="116E215C"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798" w:history="1">
        <w:r w:rsidR="00163B51" w:rsidRPr="001E2FDE">
          <w:rPr>
            <w:rStyle w:val="Hypertextovodkaz"/>
            <w:lang w:eastAsia="cs-CZ"/>
          </w:rPr>
          <w:t>5.2</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lang w:eastAsia="cs-CZ"/>
          </w:rPr>
          <w:t>Civilní dovolací agenda</w:t>
        </w:r>
        <w:r w:rsidR="00163B51">
          <w:rPr>
            <w:webHidden/>
          </w:rPr>
          <w:tab/>
        </w:r>
        <w:r w:rsidR="00163B51">
          <w:rPr>
            <w:webHidden/>
          </w:rPr>
          <w:fldChar w:fldCharType="begin"/>
        </w:r>
        <w:r w:rsidR="00163B51">
          <w:rPr>
            <w:webHidden/>
          </w:rPr>
          <w:instrText xml:space="preserve"> PAGEREF _Toc203032798 \h </w:instrText>
        </w:r>
        <w:r w:rsidR="00163B51">
          <w:rPr>
            <w:webHidden/>
          </w:rPr>
        </w:r>
        <w:r w:rsidR="00163B51">
          <w:rPr>
            <w:webHidden/>
          </w:rPr>
          <w:fldChar w:fldCharType="separate"/>
        </w:r>
        <w:r w:rsidR="00163B51">
          <w:rPr>
            <w:webHidden/>
          </w:rPr>
          <w:t>163</w:t>
        </w:r>
        <w:r w:rsidR="00163B51">
          <w:rPr>
            <w:webHidden/>
          </w:rPr>
          <w:fldChar w:fldCharType="end"/>
        </w:r>
      </w:hyperlink>
    </w:p>
    <w:p w14:paraId="3B11C075" w14:textId="1C79CF4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799" w:history="1">
        <w:r w:rsidR="00163B51" w:rsidRPr="001E2FDE">
          <w:rPr>
            <w:rStyle w:val="Hypertextovodkaz"/>
            <w:noProof/>
            <w:lang w:eastAsia="cs-CZ"/>
          </w:rPr>
          <w:t>5.2.1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w:t>
        </w:r>
        <w:r w:rsidR="00163B51">
          <w:rPr>
            <w:noProof/>
            <w:webHidden/>
          </w:rPr>
          <w:tab/>
        </w:r>
        <w:r w:rsidR="00163B51">
          <w:rPr>
            <w:noProof/>
            <w:webHidden/>
          </w:rPr>
          <w:fldChar w:fldCharType="begin"/>
        </w:r>
        <w:r w:rsidR="00163B51">
          <w:rPr>
            <w:noProof/>
            <w:webHidden/>
          </w:rPr>
          <w:instrText xml:space="preserve"> PAGEREF _Toc203032799 \h </w:instrText>
        </w:r>
        <w:r w:rsidR="00163B51">
          <w:rPr>
            <w:noProof/>
            <w:webHidden/>
          </w:rPr>
        </w:r>
        <w:r w:rsidR="00163B51">
          <w:rPr>
            <w:noProof/>
            <w:webHidden/>
          </w:rPr>
          <w:fldChar w:fldCharType="separate"/>
        </w:r>
        <w:r w:rsidR="00163B51">
          <w:rPr>
            <w:noProof/>
            <w:webHidden/>
          </w:rPr>
          <w:t>163</w:t>
        </w:r>
        <w:r w:rsidR="00163B51">
          <w:rPr>
            <w:noProof/>
            <w:webHidden/>
          </w:rPr>
          <w:fldChar w:fldCharType="end"/>
        </w:r>
      </w:hyperlink>
    </w:p>
    <w:p w14:paraId="33111D66" w14:textId="365414F8"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00" w:history="1">
        <w:r w:rsidR="00163B51" w:rsidRPr="001E2FDE">
          <w:rPr>
            <w:rStyle w:val="Hypertextovodkaz"/>
          </w:rPr>
          <w:t>5.3</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Trestní dovolací agenda</w:t>
        </w:r>
        <w:r w:rsidR="00163B51">
          <w:rPr>
            <w:webHidden/>
          </w:rPr>
          <w:tab/>
        </w:r>
        <w:r w:rsidR="00163B51">
          <w:rPr>
            <w:webHidden/>
          </w:rPr>
          <w:fldChar w:fldCharType="begin"/>
        </w:r>
        <w:r w:rsidR="00163B51">
          <w:rPr>
            <w:webHidden/>
          </w:rPr>
          <w:instrText xml:space="preserve"> PAGEREF _Toc203032800 \h </w:instrText>
        </w:r>
        <w:r w:rsidR="00163B51">
          <w:rPr>
            <w:webHidden/>
          </w:rPr>
        </w:r>
        <w:r w:rsidR="00163B51">
          <w:rPr>
            <w:webHidden/>
          </w:rPr>
          <w:fldChar w:fldCharType="separate"/>
        </w:r>
        <w:r w:rsidR="00163B51">
          <w:rPr>
            <w:webHidden/>
          </w:rPr>
          <w:t>164</w:t>
        </w:r>
        <w:r w:rsidR="00163B51">
          <w:rPr>
            <w:webHidden/>
          </w:rPr>
          <w:fldChar w:fldCharType="end"/>
        </w:r>
      </w:hyperlink>
    </w:p>
    <w:p w14:paraId="32A1A42D" w14:textId="714B27FE"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01" w:history="1">
        <w:r w:rsidR="00163B51" w:rsidRPr="001E2FDE">
          <w:rPr>
            <w:rStyle w:val="Hypertextovodkaz"/>
            <w:noProof/>
            <w:lang w:eastAsia="cs-CZ"/>
          </w:rPr>
          <w:t>5.3.1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w:t>
        </w:r>
        <w:r w:rsidR="00163B51">
          <w:rPr>
            <w:noProof/>
            <w:webHidden/>
          </w:rPr>
          <w:tab/>
        </w:r>
        <w:r w:rsidR="00163B51">
          <w:rPr>
            <w:noProof/>
            <w:webHidden/>
          </w:rPr>
          <w:fldChar w:fldCharType="begin"/>
        </w:r>
        <w:r w:rsidR="00163B51">
          <w:rPr>
            <w:noProof/>
            <w:webHidden/>
          </w:rPr>
          <w:instrText xml:space="preserve"> PAGEREF _Toc203032801 \h </w:instrText>
        </w:r>
        <w:r w:rsidR="00163B51">
          <w:rPr>
            <w:noProof/>
            <w:webHidden/>
          </w:rPr>
        </w:r>
        <w:r w:rsidR="00163B51">
          <w:rPr>
            <w:noProof/>
            <w:webHidden/>
          </w:rPr>
          <w:fldChar w:fldCharType="separate"/>
        </w:r>
        <w:r w:rsidR="00163B51">
          <w:rPr>
            <w:noProof/>
            <w:webHidden/>
          </w:rPr>
          <w:t>164</w:t>
        </w:r>
        <w:r w:rsidR="00163B51">
          <w:rPr>
            <w:noProof/>
            <w:webHidden/>
          </w:rPr>
          <w:fldChar w:fldCharType="end"/>
        </w:r>
      </w:hyperlink>
    </w:p>
    <w:p w14:paraId="7E242F2E" w14:textId="0B4397FE"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02" w:history="1">
        <w:r w:rsidR="00163B51" w:rsidRPr="001E2FDE">
          <w:rPr>
            <w:rStyle w:val="Hypertextovodkaz"/>
          </w:rPr>
          <w:t>5.4</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Stížnosti pro porušení zákona</w:t>
        </w:r>
        <w:r w:rsidR="00163B51">
          <w:rPr>
            <w:webHidden/>
          </w:rPr>
          <w:tab/>
        </w:r>
        <w:r w:rsidR="00163B51">
          <w:rPr>
            <w:webHidden/>
          </w:rPr>
          <w:fldChar w:fldCharType="begin"/>
        </w:r>
        <w:r w:rsidR="00163B51">
          <w:rPr>
            <w:webHidden/>
          </w:rPr>
          <w:instrText xml:space="preserve"> PAGEREF _Toc203032802 \h </w:instrText>
        </w:r>
        <w:r w:rsidR="00163B51">
          <w:rPr>
            <w:webHidden/>
          </w:rPr>
        </w:r>
        <w:r w:rsidR="00163B51">
          <w:rPr>
            <w:webHidden/>
          </w:rPr>
          <w:fldChar w:fldCharType="separate"/>
        </w:r>
        <w:r w:rsidR="00163B51">
          <w:rPr>
            <w:webHidden/>
          </w:rPr>
          <w:t>165</w:t>
        </w:r>
        <w:r w:rsidR="00163B51">
          <w:rPr>
            <w:webHidden/>
          </w:rPr>
          <w:fldChar w:fldCharType="end"/>
        </w:r>
      </w:hyperlink>
    </w:p>
    <w:p w14:paraId="4D32F9F0" w14:textId="08C2C44B"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03" w:history="1">
        <w:r w:rsidR="00163B51" w:rsidRPr="001E2FDE">
          <w:rPr>
            <w:rStyle w:val="Hypertextovodkaz"/>
            <w:noProof/>
            <w:lang w:eastAsia="cs-CZ"/>
          </w:rPr>
          <w:t>5.4.1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w:t>
        </w:r>
        <w:r w:rsidR="00163B51">
          <w:rPr>
            <w:noProof/>
            <w:webHidden/>
          </w:rPr>
          <w:tab/>
        </w:r>
        <w:r w:rsidR="00163B51">
          <w:rPr>
            <w:noProof/>
            <w:webHidden/>
          </w:rPr>
          <w:fldChar w:fldCharType="begin"/>
        </w:r>
        <w:r w:rsidR="00163B51">
          <w:rPr>
            <w:noProof/>
            <w:webHidden/>
          </w:rPr>
          <w:instrText xml:space="preserve"> PAGEREF _Toc203032803 \h </w:instrText>
        </w:r>
        <w:r w:rsidR="00163B51">
          <w:rPr>
            <w:noProof/>
            <w:webHidden/>
          </w:rPr>
        </w:r>
        <w:r w:rsidR="00163B51">
          <w:rPr>
            <w:noProof/>
            <w:webHidden/>
          </w:rPr>
          <w:fldChar w:fldCharType="separate"/>
        </w:r>
        <w:r w:rsidR="00163B51">
          <w:rPr>
            <w:noProof/>
            <w:webHidden/>
          </w:rPr>
          <w:t>165</w:t>
        </w:r>
        <w:r w:rsidR="00163B51">
          <w:rPr>
            <w:noProof/>
            <w:webHidden/>
          </w:rPr>
          <w:fldChar w:fldCharType="end"/>
        </w:r>
      </w:hyperlink>
    </w:p>
    <w:p w14:paraId="37AB3A57" w14:textId="23668770"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04" w:history="1">
        <w:r w:rsidR="00163B51" w:rsidRPr="001E2FDE">
          <w:rPr>
            <w:rStyle w:val="Hypertextovodkaz"/>
          </w:rPr>
          <w:t>5.5</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Insolvenční agenda</w:t>
        </w:r>
        <w:r w:rsidR="00163B51">
          <w:rPr>
            <w:webHidden/>
          </w:rPr>
          <w:tab/>
        </w:r>
        <w:r w:rsidR="00163B51">
          <w:rPr>
            <w:webHidden/>
          </w:rPr>
          <w:fldChar w:fldCharType="begin"/>
        </w:r>
        <w:r w:rsidR="00163B51">
          <w:rPr>
            <w:webHidden/>
          </w:rPr>
          <w:instrText xml:space="preserve"> PAGEREF _Toc203032804 \h </w:instrText>
        </w:r>
        <w:r w:rsidR="00163B51">
          <w:rPr>
            <w:webHidden/>
          </w:rPr>
        </w:r>
        <w:r w:rsidR="00163B51">
          <w:rPr>
            <w:webHidden/>
          </w:rPr>
          <w:fldChar w:fldCharType="separate"/>
        </w:r>
        <w:r w:rsidR="00163B51">
          <w:rPr>
            <w:webHidden/>
          </w:rPr>
          <w:t>166</w:t>
        </w:r>
        <w:r w:rsidR="00163B51">
          <w:rPr>
            <w:webHidden/>
          </w:rPr>
          <w:fldChar w:fldCharType="end"/>
        </w:r>
      </w:hyperlink>
    </w:p>
    <w:p w14:paraId="3EE9E064" w14:textId="0DF4F363"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05" w:history="1">
        <w:r w:rsidR="00163B51" w:rsidRPr="001E2FDE">
          <w:rPr>
            <w:rStyle w:val="Hypertextovodkaz"/>
            <w:noProof/>
            <w:lang w:eastAsia="cs-CZ"/>
          </w:rPr>
          <w:t>5.5.1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w:t>
        </w:r>
        <w:r w:rsidR="00163B51">
          <w:rPr>
            <w:noProof/>
            <w:webHidden/>
          </w:rPr>
          <w:tab/>
        </w:r>
        <w:r w:rsidR="00163B51">
          <w:rPr>
            <w:noProof/>
            <w:webHidden/>
          </w:rPr>
          <w:fldChar w:fldCharType="begin"/>
        </w:r>
        <w:r w:rsidR="00163B51">
          <w:rPr>
            <w:noProof/>
            <w:webHidden/>
          </w:rPr>
          <w:instrText xml:space="preserve"> PAGEREF _Toc203032805 \h </w:instrText>
        </w:r>
        <w:r w:rsidR="00163B51">
          <w:rPr>
            <w:noProof/>
            <w:webHidden/>
          </w:rPr>
        </w:r>
        <w:r w:rsidR="00163B51">
          <w:rPr>
            <w:noProof/>
            <w:webHidden/>
          </w:rPr>
          <w:fldChar w:fldCharType="separate"/>
        </w:r>
        <w:r w:rsidR="00163B51">
          <w:rPr>
            <w:noProof/>
            <w:webHidden/>
          </w:rPr>
          <w:t>166</w:t>
        </w:r>
        <w:r w:rsidR="00163B51">
          <w:rPr>
            <w:noProof/>
            <w:webHidden/>
          </w:rPr>
          <w:fldChar w:fldCharType="end"/>
        </w:r>
      </w:hyperlink>
    </w:p>
    <w:p w14:paraId="2D522C6E" w14:textId="5E6BBC23" w:rsidR="00163B51" w:rsidRDefault="00360F8E">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806" w:history="1">
        <w:r w:rsidR="00163B51" w:rsidRPr="001E2FDE">
          <w:rPr>
            <w:rStyle w:val="Hypertextovodkaz"/>
            <w:noProof/>
            <w:lang w:eastAsia="cs-CZ"/>
          </w:rPr>
          <w:t>6</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Nejvyšší správní soud</w:t>
        </w:r>
        <w:r w:rsidR="00163B51">
          <w:rPr>
            <w:noProof/>
            <w:webHidden/>
          </w:rPr>
          <w:tab/>
        </w:r>
        <w:r w:rsidR="00163B51">
          <w:rPr>
            <w:noProof/>
            <w:webHidden/>
          </w:rPr>
          <w:fldChar w:fldCharType="begin"/>
        </w:r>
        <w:r w:rsidR="00163B51">
          <w:rPr>
            <w:noProof/>
            <w:webHidden/>
          </w:rPr>
          <w:instrText xml:space="preserve"> PAGEREF _Toc203032806 \h </w:instrText>
        </w:r>
        <w:r w:rsidR="00163B51">
          <w:rPr>
            <w:noProof/>
            <w:webHidden/>
          </w:rPr>
        </w:r>
        <w:r w:rsidR="00163B51">
          <w:rPr>
            <w:noProof/>
            <w:webHidden/>
          </w:rPr>
          <w:fldChar w:fldCharType="separate"/>
        </w:r>
        <w:r w:rsidR="00163B51">
          <w:rPr>
            <w:noProof/>
            <w:webHidden/>
          </w:rPr>
          <w:t>167</w:t>
        </w:r>
        <w:r w:rsidR="00163B51">
          <w:rPr>
            <w:noProof/>
            <w:webHidden/>
          </w:rPr>
          <w:fldChar w:fldCharType="end"/>
        </w:r>
      </w:hyperlink>
    </w:p>
    <w:p w14:paraId="447F321B" w14:textId="5C9E28FA"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07" w:history="1">
        <w:r w:rsidR="00163B51" w:rsidRPr="001E2FDE">
          <w:rPr>
            <w:rStyle w:val="Hypertextovodkaz"/>
            <w:lang w:eastAsia="cs-CZ"/>
          </w:rPr>
          <w:t>6.1</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lang w:eastAsia="cs-CZ"/>
          </w:rPr>
          <w:t>Personál</w:t>
        </w:r>
        <w:r w:rsidR="00163B51">
          <w:rPr>
            <w:webHidden/>
          </w:rPr>
          <w:tab/>
        </w:r>
        <w:r w:rsidR="00163B51">
          <w:rPr>
            <w:webHidden/>
          </w:rPr>
          <w:fldChar w:fldCharType="begin"/>
        </w:r>
        <w:r w:rsidR="00163B51">
          <w:rPr>
            <w:webHidden/>
          </w:rPr>
          <w:instrText xml:space="preserve"> PAGEREF _Toc203032807 \h </w:instrText>
        </w:r>
        <w:r w:rsidR="00163B51">
          <w:rPr>
            <w:webHidden/>
          </w:rPr>
        </w:r>
        <w:r w:rsidR="00163B51">
          <w:rPr>
            <w:webHidden/>
          </w:rPr>
          <w:fldChar w:fldCharType="separate"/>
        </w:r>
        <w:r w:rsidR="00163B51">
          <w:rPr>
            <w:webHidden/>
          </w:rPr>
          <w:t>167</w:t>
        </w:r>
        <w:r w:rsidR="00163B51">
          <w:rPr>
            <w:webHidden/>
          </w:rPr>
          <w:fldChar w:fldCharType="end"/>
        </w:r>
      </w:hyperlink>
    </w:p>
    <w:p w14:paraId="5EB20DD9" w14:textId="27506E91"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08" w:history="1">
        <w:r w:rsidR="00163B51" w:rsidRPr="001E2FDE">
          <w:rPr>
            <w:rStyle w:val="Hypertextovodkaz"/>
            <w:noProof/>
            <w:lang w:eastAsia="cs-CZ"/>
          </w:rPr>
          <w:t>6.1.1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Soudci</w:t>
        </w:r>
        <w:r w:rsidR="00163B51">
          <w:rPr>
            <w:noProof/>
            <w:webHidden/>
          </w:rPr>
          <w:tab/>
        </w:r>
        <w:r w:rsidR="00163B51">
          <w:rPr>
            <w:noProof/>
            <w:webHidden/>
          </w:rPr>
          <w:fldChar w:fldCharType="begin"/>
        </w:r>
        <w:r w:rsidR="00163B51">
          <w:rPr>
            <w:noProof/>
            <w:webHidden/>
          </w:rPr>
          <w:instrText xml:space="preserve"> PAGEREF _Toc203032808 \h </w:instrText>
        </w:r>
        <w:r w:rsidR="00163B51">
          <w:rPr>
            <w:noProof/>
            <w:webHidden/>
          </w:rPr>
        </w:r>
        <w:r w:rsidR="00163B51">
          <w:rPr>
            <w:noProof/>
            <w:webHidden/>
          </w:rPr>
          <w:fldChar w:fldCharType="separate"/>
        </w:r>
        <w:r w:rsidR="00163B51">
          <w:rPr>
            <w:noProof/>
            <w:webHidden/>
          </w:rPr>
          <w:t>167</w:t>
        </w:r>
        <w:r w:rsidR="00163B51">
          <w:rPr>
            <w:noProof/>
            <w:webHidden/>
          </w:rPr>
          <w:fldChar w:fldCharType="end"/>
        </w:r>
      </w:hyperlink>
    </w:p>
    <w:p w14:paraId="6FCA2814" w14:textId="0DFCA57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09" w:history="1">
        <w:r w:rsidR="00163B51" w:rsidRPr="001E2FDE">
          <w:rPr>
            <w:rStyle w:val="Hypertextovodkaz"/>
            <w:noProof/>
            <w:lang w:eastAsia="cs-CZ"/>
          </w:rPr>
          <w:t>6.1.2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Zaměstnanci ve výkonu</w:t>
        </w:r>
        <w:r w:rsidR="00163B51">
          <w:rPr>
            <w:noProof/>
            <w:webHidden/>
          </w:rPr>
          <w:tab/>
        </w:r>
        <w:r w:rsidR="00163B51">
          <w:rPr>
            <w:noProof/>
            <w:webHidden/>
          </w:rPr>
          <w:fldChar w:fldCharType="begin"/>
        </w:r>
        <w:r w:rsidR="00163B51">
          <w:rPr>
            <w:noProof/>
            <w:webHidden/>
          </w:rPr>
          <w:instrText xml:space="preserve"> PAGEREF _Toc203032809 \h </w:instrText>
        </w:r>
        <w:r w:rsidR="00163B51">
          <w:rPr>
            <w:noProof/>
            <w:webHidden/>
          </w:rPr>
        </w:r>
        <w:r w:rsidR="00163B51">
          <w:rPr>
            <w:noProof/>
            <w:webHidden/>
          </w:rPr>
          <w:fldChar w:fldCharType="separate"/>
        </w:r>
        <w:r w:rsidR="00163B51">
          <w:rPr>
            <w:noProof/>
            <w:webHidden/>
          </w:rPr>
          <w:t>169</w:t>
        </w:r>
        <w:r w:rsidR="00163B51">
          <w:rPr>
            <w:noProof/>
            <w:webHidden/>
          </w:rPr>
          <w:fldChar w:fldCharType="end"/>
        </w:r>
      </w:hyperlink>
    </w:p>
    <w:p w14:paraId="397076D6" w14:textId="57789EB5"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10" w:history="1">
        <w:r w:rsidR="00163B51" w:rsidRPr="001E2FDE">
          <w:rPr>
            <w:rStyle w:val="Hypertextovodkaz"/>
          </w:rPr>
          <w:t>6.2</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rPr>
          <w:t>Řízení o kasačních stížnostech</w:t>
        </w:r>
        <w:r w:rsidR="00163B51">
          <w:rPr>
            <w:webHidden/>
          </w:rPr>
          <w:tab/>
        </w:r>
        <w:r w:rsidR="00163B51">
          <w:rPr>
            <w:webHidden/>
          </w:rPr>
          <w:fldChar w:fldCharType="begin"/>
        </w:r>
        <w:r w:rsidR="00163B51">
          <w:rPr>
            <w:webHidden/>
          </w:rPr>
          <w:instrText xml:space="preserve"> PAGEREF _Toc203032810 \h </w:instrText>
        </w:r>
        <w:r w:rsidR="00163B51">
          <w:rPr>
            <w:webHidden/>
          </w:rPr>
        </w:r>
        <w:r w:rsidR="00163B51">
          <w:rPr>
            <w:webHidden/>
          </w:rPr>
          <w:fldChar w:fldCharType="separate"/>
        </w:r>
        <w:r w:rsidR="00163B51">
          <w:rPr>
            <w:webHidden/>
          </w:rPr>
          <w:t>171</w:t>
        </w:r>
        <w:r w:rsidR="00163B51">
          <w:rPr>
            <w:webHidden/>
          </w:rPr>
          <w:fldChar w:fldCharType="end"/>
        </w:r>
      </w:hyperlink>
    </w:p>
    <w:p w14:paraId="2A8BB50D" w14:textId="37541EC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11" w:history="1">
        <w:r w:rsidR="00163B51" w:rsidRPr="001E2FDE">
          <w:rPr>
            <w:rStyle w:val="Hypertextovodkaz"/>
            <w:noProof/>
          </w:rPr>
          <w:t>6.2.1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rPr>
          <w:t>Vyřizování věcí</w:t>
        </w:r>
        <w:r w:rsidR="00163B51">
          <w:rPr>
            <w:noProof/>
            <w:webHidden/>
          </w:rPr>
          <w:tab/>
        </w:r>
        <w:r w:rsidR="00163B51">
          <w:rPr>
            <w:noProof/>
            <w:webHidden/>
          </w:rPr>
          <w:fldChar w:fldCharType="begin"/>
        </w:r>
        <w:r w:rsidR="00163B51">
          <w:rPr>
            <w:noProof/>
            <w:webHidden/>
          </w:rPr>
          <w:instrText xml:space="preserve"> PAGEREF _Toc203032811 \h </w:instrText>
        </w:r>
        <w:r w:rsidR="00163B51">
          <w:rPr>
            <w:noProof/>
            <w:webHidden/>
          </w:rPr>
        </w:r>
        <w:r w:rsidR="00163B51">
          <w:rPr>
            <w:noProof/>
            <w:webHidden/>
          </w:rPr>
          <w:fldChar w:fldCharType="separate"/>
        </w:r>
        <w:r w:rsidR="00163B51">
          <w:rPr>
            <w:noProof/>
            <w:webHidden/>
          </w:rPr>
          <w:t>171</w:t>
        </w:r>
        <w:r w:rsidR="00163B51">
          <w:rPr>
            <w:noProof/>
            <w:webHidden/>
          </w:rPr>
          <w:fldChar w:fldCharType="end"/>
        </w:r>
      </w:hyperlink>
    </w:p>
    <w:p w14:paraId="4CAD8E3C" w14:textId="50F56840"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12" w:history="1">
        <w:r w:rsidR="00163B51" w:rsidRPr="001E2FDE">
          <w:rPr>
            <w:rStyle w:val="Hypertextovodkaz"/>
            <w:lang w:eastAsia="cs-CZ"/>
          </w:rPr>
          <w:t>6.3</w:t>
        </w:r>
        <w:r w:rsidR="00163B51">
          <w:rPr>
            <w:rFonts w:asciiTheme="minorHAnsi" w:eastAsiaTheme="minorEastAsia" w:hAnsiTheme="minorHAnsi" w:cstheme="minorBidi"/>
            <w:kern w:val="2"/>
            <w:szCs w:val="24"/>
            <w:lang w:eastAsia="cs-CZ"/>
            <w14:ligatures w14:val="standardContextual"/>
          </w:rPr>
          <w:tab/>
        </w:r>
        <w:r w:rsidR="00163B51" w:rsidRPr="001E2FDE">
          <w:rPr>
            <w:rStyle w:val="Hypertextovodkaz"/>
            <w:lang w:eastAsia="cs-CZ"/>
          </w:rPr>
          <w:t>Řízení ve věcech soudců</w:t>
        </w:r>
        <w:r w:rsidR="00163B51">
          <w:rPr>
            <w:webHidden/>
          </w:rPr>
          <w:tab/>
        </w:r>
        <w:r w:rsidR="00163B51">
          <w:rPr>
            <w:webHidden/>
          </w:rPr>
          <w:fldChar w:fldCharType="begin"/>
        </w:r>
        <w:r w:rsidR="00163B51">
          <w:rPr>
            <w:webHidden/>
          </w:rPr>
          <w:instrText xml:space="preserve"> PAGEREF _Toc203032812 \h </w:instrText>
        </w:r>
        <w:r w:rsidR="00163B51">
          <w:rPr>
            <w:webHidden/>
          </w:rPr>
        </w:r>
        <w:r w:rsidR="00163B51">
          <w:rPr>
            <w:webHidden/>
          </w:rPr>
          <w:fldChar w:fldCharType="separate"/>
        </w:r>
        <w:r w:rsidR="00163B51">
          <w:rPr>
            <w:webHidden/>
          </w:rPr>
          <w:t>172</w:t>
        </w:r>
        <w:r w:rsidR="00163B51">
          <w:rPr>
            <w:webHidden/>
          </w:rPr>
          <w:fldChar w:fldCharType="end"/>
        </w:r>
      </w:hyperlink>
    </w:p>
    <w:p w14:paraId="39367DD2" w14:textId="02A2E56A"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13" w:history="1">
        <w:r w:rsidR="00163B51" w:rsidRPr="001E2FDE">
          <w:rPr>
            <w:rStyle w:val="Hypertextovodkaz"/>
            <w:noProof/>
            <w:lang w:eastAsia="cs-CZ"/>
          </w:rPr>
          <w:t>6.3.1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Vyřizování věcí</w:t>
        </w:r>
        <w:r w:rsidR="00163B51">
          <w:rPr>
            <w:noProof/>
            <w:webHidden/>
          </w:rPr>
          <w:tab/>
        </w:r>
        <w:r w:rsidR="00163B51">
          <w:rPr>
            <w:noProof/>
            <w:webHidden/>
          </w:rPr>
          <w:fldChar w:fldCharType="begin"/>
        </w:r>
        <w:r w:rsidR="00163B51">
          <w:rPr>
            <w:noProof/>
            <w:webHidden/>
          </w:rPr>
          <w:instrText xml:space="preserve"> PAGEREF _Toc203032813 \h </w:instrText>
        </w:r>
        <w:r w:rsidR="00163B51">
          <w:rPr>
            <w:noProof/>
            <w:webHidden/>
          </w:rPr>
        </w:r>
        <w:r w:rsidR="00163B51">
          <w:rPr>
            <w:noProof/>
            <w:webHidden/>
          </w:rPr>
          <w:fldChar w:fldCharType="separate"/>
        </w:r>
        <w:r w:rsidR="00163B51">
          <w:rPr>
            <w:noProof/>
            <w:webHidden/>
          </w:rPr>
          <w:t>172</w:t>
        </w:r>
        <w:r w:rsidR="00163B51">
          <w:rPr>
            <w:noProof/>
            <w:webHidden/>
          </w:rPr>
          <w:fldChar w:fldCharType="end"/>
        </w:r>
      </w:hyperlink>
    </w:p>
    <w:p w14:paraId="7A85BBF3" w14:textId="3406A277" w:rsidR="00163B51" w:rsidRDefault="00360F8E">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814" w:history="1">
        <w:r w:rsidR="00163B51" w:rsidRPr="001E2FDE">
          <w:rPr>
            <w:rStyle w:val="Hypertextovodkaz"/>
            <w:noProof/>
            <w:lang w:eastAsia="cs-CZ"/>
          </w:rPr>
          <w:t>7</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Mezinárodní srovnání</w:t>
        </w:r>
        <w:r w:rsidR="00163B51">
          <w:rPr>
            <w:noProof/>
            <w:webHidden/>
          </w:rPr>
          <w:tab/>
        </w:r>
        <w:r w:rsidR="00163B51">
          <w:rPr>
            <w:noProof/>
            <w:webHidden/>
          </w:rPr>
          <w:fldChar w:fldCharType="begin"/>
        </w:r>
        <w:r w:rsidR="00163B51">
          <w:rPr>
            <w:noProof/>
            <w:webHidden/>
          </w:rPr>
          <w:instrText xml:space="preserve"> PAGEREF _Toc203032814 \h </w:instrText>
        </w:r>
        <w:r w:rsidR="00163B51">
          <w:rPr>
            <w:noProof/>
            <w:webHidden/>
          </w:rPr>
        </w:r>
        <w:r w:rsidR="00163B51">
          <w:rPr>
            <w:noProof/>
            <w:webHidden/>
          </w:rPr>
          <w:fldChar w:fldCharType="separate"/>
        </w:r>
        <w:r w:rsidR="00163B51">
          <w:rPr>
            <w:noProof/>
            <w:webHidden/>
          </w:rPr>
          <w:t>173</w:t>
        </w:r>
        <w:r w:rsidR="00163B51">
          <w:rPr>
            <w:noProof/>
            <w:webHidden/>
          </w:rPr>
          <w:fldChar w:fldCharType="end"/>
        </w:r>
      </w:hyperlink>
    </w:p>
    <w:p w14:paraId="7788513C" w14:textId="269E6DF1"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15" w:history="1">
        <w:r w:rsidR="00163B51" w:rsidRPr="001E2FDE">
          <w:rPr>
            <w:rStyle w:val="Hypertextovodkaz"/>
            <w:noProof/>
          </w:rPr>
          <w:t>7.1.1</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Počet soudců a podíl žen</w:t>
        </w:r>
        <w:r w:rsidR="00163B51">
          <w:rPr>
            <w:noProof/>
            <w:webHidden/>
          </w:rPr>
          <w:tab/>
        </w:r>
        <w:r w:rsidR="00163B51">
          <w:rPr>
            <w:noProof/>
            <w:webHidden/>
          </w:rPr>
          <w:fldChar w:fldCharType="begin"/>
        </w:r>
        <w:r w:rsidR="00163B51">
          <w:rPr>
            <w:noProof/>
            <w:webHidden/>
          </w:rPr>
          <w:instrText xml:space="preserve"> PAGEREF _Toc203032815 \h </w:instrText>
        </w:r>
        <w:r w:rsidR="00163B51">
          <w:rPr>
            <w:noProof/>
            <w:webHidden/>
          </w:rPr>
        </w:r>
        <w:r w:rsidR="00163B51">
          <w:rPr>
            <w:noProof/>
            <w:webHidden/>
          </w:rPr>
          <w:fldChar w:fldCharType="separate"/>
        </w:r>
        <w:r w:rsidR="00163B51">
          <w:rPr>
            <w:noProof/>
            <w:webHidden/>
          </w:rPr>
          <w:t>174</w:t>
        </w:r>
        <w:r w:rsidR="00163B51">
          <w:rPr>
            <w:noProof/>
            <w:webHidden/>
          </w:rPr>
          <w:fldChar w:fldCharType="end"/>
        </w:r>
      </w:hyperlink>
    </w:p>
    <w:p w14:paraId="43A163A8" w14:textId="6858F176"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16" w:history="1">
        <w:r w:rsidR="00163B51" w:rsidRPr="001E2FDE">
          <w:rPr>
            <w:rStyle w:val="Hypertextovodkaz"/>
            <w:noProof/>
          </w:rPr>
          <w:t>7.1.2</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Nezávislost a podpora soudního systému</w:t>
        </w:r>
        <w:r w:rsidR="00163B51">
          <w:rPr>
            <w:noProof/>
            <w:webHidden/>
          </w:rPr>
          <w:tab/>
        </w:r>
        <w:r w:rsidR="00163B51">
          <w:rPr>
            <w:noProof/>
            <w:webHidden/>
          </w:rPr>
          <w:fldChar w:fldCharType="begin"/>
        </w:r>
        <w:r w:rsidR="00163B51">
          <w:rPr>
            <w:noProof/>
            <w:webHidden/>
          </w:rPr>
          <w:instrText xml:space="preserve"> PAGEREF _Toc203032816 \h </w:instrText>
        </w:r>
        <w:r w:rsidR="00163B51">
          <w:rPr>
            <w:noProof/>
            <w:webHidden/>
          </w:rPr>
        </w:r>
        <w:r w:rsidR="00163B51">
          <w:rPr>
            <w:noProof/>
            <w:webHidden/>
          </w:rPr>
          <w:fldChar w:fldCharType="separate"/>
        </w:r>
        <w:r w:rsidR="00163B51">
          <w:rPr>
            <w:noProof/>
            <w:webHidden/>
          </w:rPr>
          <w:t>176</w:t>
        </w:r>
        <w:r w:rsidR="00163B51">
          <w:rPr>
            <w:noProof/>
            <w:webHidden/>
          </w:rPr>
          <w:fldChar w:fldCharType="end"/>
        </w:r>
      </w:hyperlink>
    </w:p>
    <w:p w14:paraId="2178FD6C" w14:textId="15A6A657"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17" w:history="1">
        <w:r w:rsidR="00163B51" w:rsidRPr="001E2FDE">
          <w:rPr>
            <w:rStyle w:val="Hypertextovodkaz"/>
            <w:noProof/>
          </w:rPr>
          <w:t>7.1.3</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Účinnost soudní ochrany</w:t>
        </w:r>
        <w:r w:rsidR="00163B51">
          <w:rPr>
            <w:noProof/>
            <w:webHidden/>
          </w:rPr>
          <w:tab/>
        </w:r>
        <w:r w:rsidR="00163B51">
          <w:rPr>
            <w:noProof/>
            <w:webHidden/>
          </w:rPr>
          <w:fldChar w:fldCharType="begin"/>
        </w:r>
        <w:r w:rsidR="00163B51">
          <w:rPr>
            <w:noProof/>
            <w:webHidden/>
          </w:rPr>
          <w:instrText xml:space="preserve"> PAGEREF _Toc203032817 \h </w:instrText>
        </w:r>
        <w:r w:rsidR="00163B51">
          <w:rPr>
            <w:noProof/>
            <w:webHidden/>
          </w:rPr>
        </w:r>
        <w:r w:rsidR="00163B51">
          <w:rPr>
            <w:noProof/>
            <w:webHidden/>
          </w:rPr>
          <w:fldChar w:fldCharType="separate"/>
        </w:r>
        <w:r w:rsidR="00163B51">
          <w:rPr>
            <w:noProof/>
            <w:webHidden/>
          </w:rPr>
          <w:t>180</w:t>
        </w:r>
        <w:r w:rsidR="00163B51">
          <w:rPr>
            <w:noProof/>
            <w:webHidden/>
          </w:rPr>
          <w:fldChar w:fldCharType="end"/>
        </w:r>
      </w:hyperlink>
    </w:p>
    <w:p w14:paraId="399EE676" w14:textId="5411FF08"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18" w:history="1">
        <w:r w:rsidR="00163B51" w:rsidRPr="001E2FDE">
          <w:rPr>
            <w:rStyle w:val="Hypertextovodkaz"/>
            <w:noProof/>
          </w:rPr>
          <w:t>7.1.4</w:t>
        </w:r>
        <w:r w:rsidR="00163B51">
          <w:rPr>
            <w:rFonts w:asciiTheme="minorHAnsi" w:eastAsiaTheme="minorEastAsia" w:hAnsiTheme="minorHAnsi" w:cstheme="minorBidi"/>
            <w:noProof/>
            <w:kern w:val="2"/>
            <w:szCs w:val="24"/>
            <w:lang w:eastAsia="cs-CZ"/>
            <w14:ligatures w14:val="standardContextual"/>
          </w:rPr>
          <w:tab/>
        </w:r>
        <w:r w:rsidR="00163B51" w:rsidRPr="001E2FDE">
          <w:rPr>
            <w:rStyle w:val="Hypertextovodkaz"/>
            <w:noProof/>
            <w:lang w:eastAsia="cs-CZ"/>
          </w:rPr>
          <w:t>Efektivnost soudního systému</w:t>
        </w:r>
        <w:r w:rsidR="00163B51">
          <w:rPr>
            <w:noProof/>
            <w:webHidden/>
          </w:rPr>
          <w:tab/>
        </w:r>
        <w:r w:rsidR="00163B51">
          <w:rPr>
            <w:noProof/>
            <w:webHidden/>
          </w:rPr>
          <w:fldChar w:fldCharType="begin"/>
        </w:r>
        <w:r w:rsidR="00163B51">
          <w:rPr>
            <w:noProof/>
            <w:webHidden/>
          </w:rPr>
          <w:instrText xml:space="preserve"> PAGEREF _Toc203032818 \h </w:instrText>
        </w:r>
        <w:r w:rsidR="00163B51">
          <w:rPr>
            <w:noProof/>
            <w:webHidden/>
          </w:rPr>
        </w:r>
        <w:r w:rsidR="00163B51">
          <w:rPr>
            <w:noProof/>
            <w:webHidden/>
          </w:rPr>
          <w:fldChar w:fldCharType="separate"/>
        </w:r>
        <w:r w:rsidR="00163B51">
          <w:rPr>
            <w:noProof/>
            <w:webHidden/>
          </w:rPr>
          <w:t>182</w:t>
        </w:r>
        <w:r w:rsidR="00163B51">
          <w:rPr>
            <w:noProof/>
            <w:webHidden/>
          </w:rPr>
          <w:fldChar w:fldCharType="end"/>
        </w:r>
      </w:hyperlink>
    </w:p>
    <w:p w14:paraId="1FFC089F" w14:textId="4FAA6C2A" w:rsidR="00163B51" w:rsidRDefault="00360F8E">
      <w:pPr>
        <w:pStyle w:val="Obsah1"/>
        <w:rPr>
          <w:rFonts w:asciiTheme="minorHAnsi" w:eastAsiaTheme="minorEastAsia" w:hAnsiTheme="minorHAnsi" w:cstheme="minorBidi"/>
          <w:noProof/>
          <w:kern w:val="2"/>
          <w:szCs w:val="24"/>
          <w:lang w:eastAsia="cs-CZ"/>
          <w14:ligatures w14:val="standardContextual"/>
        </w:rPr>
      </w:pPr>
      <w:hyperlink w:anchor="_Toc203032819" w:history="1">
        <w:r w:rsidR="00163B51" w:rsidRPr="001E2FDE">
          <w:rPr>
            <w:rStyle w:val="Hypertextovodkaz"/>
            <w:noProof/>
          </w:rPr>
          <w:t>Seznam grafů</w:t>
        </w:r>
        <w:r w:rsidR="00163B51">
          <w:rPr>
            <w:noProof/>
            <w:webHidden/>
          </w:rPr>
          <w:tab/>
        </w:r>
        <w:r w:rsidR="00163B51">
          <w:rPr>
            <w:noProof/>
            <w:webHidden/>
          </w:rPr>
          <w:fldChar w:fldCharType="begin"/>
        </w:r>
        <w:r w:rsidR="00163B51">
          <w:rPr>
            <w:noProof/>
            <w:webHidden/>
          </w:rPr>
          <w:instrText xml:space="preserve"> PAGEREF _Toc203032819 \h </w:instrText>
        </w:r>
        <w:r w:rsidR="00163B51">
          <w:rPr>
            <w:noProof/>
            <w:webHidden/>
          </w:rPr>
        </w:r>
        <w:r w:rsidR="00163B51">
          <w:rPr>
            <w:noProof/>
            <w:webHidden/>
          </w:rPr>
          <w:fldChar w:fldCharType="separate"/>
        </w:r>
        <w:r w:rsidR="00163B51">
          <w:rPr>
            <w:noProof/>
            <w:webHidden/>
          </w:rPr>
          <w:t>188</w:t>
        </w:r>
        <w:r w:rsidR="00163B51">
          <w:rPr>
            <w:noProof/>
            <w:webHidden/>
          </w:rPr>
          <w:fldChar w:fldCharType="end"/>
        </w:r>
      </w:hyperlink>
    </w:p>
    <w:p w14:paraId="22E387BE" w14:textId="68172606" w:rsidR="00163B51" w:rsidRDefault="00360F8E">
      <w:pPr>
        <w:pStyle w:val="Obsah1"/>
        <w:rPr>
          <w:rFonts w:asciiTheme="minorHAnsi" w:eastAsiaTheme="minorEastAsia" w:hAnsiTheme="minorHAnsi" w:cstheme="minorBidi"/>
          <w:noProof/>
          <w:kern w:val="2"/>
          <w:szCs w:val="24"/>
          <w:lang w:eastAsia="cs-CZ"/>
          <w14:ligatures w14:val="standardContextual"/>
        </w:rPr>
      </w:pPr>
      <w:hyperlink w:anchor="_Toc203032820" w:history="1">
        <w:r w:rsidR="00163B51" w:rsidRPr="001E2FDE">
          <w:rPr>
            <w:rStyle w:val="Hypertextovodkaz"/>
            <w:noProof/>
          </w:rPr>
          <w:t>Seznam tabulek</w:t>
        </w:r>
        <w:r w:rsidR="00163B51">
          <w:rPr>
            <w:noProof/>
            <w:webHidden/>
          </w:rPr>
          <w:tab/>
        </w:r>
        <w:r w:rsidR="00163B51">
          <w:rPr>
            <w:noProof/>
            <w:webHidden/>
          </w:rPr>
          <w:fldChar w:fldCharType="begin"/>
        </w:r>
        <w:r w:rsidR="00163B51">
          <w:rPr>
            <w:noProof/>
            <w:webHidden/>
          </w:rPr>
          <w:instrText xml:space="preserve"> PAGEREF _Toc203032820 \h </w:instrText>
        </w:r>
        <w:r w:rsidR="00163B51">
          <w:rPr>
            <w:noProof/>
            <w:webHidden/>
          </w:rPr>
        </w:r>
        <w:r w:rsidR="00163B51">
          <w:rPr>
            <w:noProof/>
            <w:webHidden/>
          </w:rPr>
          <w:fldChar w:fldCharType="separate"/>
        </w:r>
        <w:r w:rsidR="00163B51">
          <w:rPr>
            <w:noProof/>
            <w:webHidden/>
          </w:rPr>
          <w:t>191</w:t>
        </w:r>
        <w:r w:rsidR="00163B51">
          <w:rPr>
            <w:noProof/>
            <w:webHidden/>
          </w:rPr>
          <w:fldChar w:fldCharType="end"/>
        </w:r>
      </w:hyperlink>
    </w:p>
    <w:p w14:paraId="0DDB3E8C" w14:textId="34386057" w:rsidR="00163B51" w:rsidRDefault="00360F8E">
      <w:pPr>
        <w:pStyle w:val="Obsah1"/>
        <w:rPr>
          <w:rFonts w:asciiTheme="minorHAnsi" w:eastAsiaTheme="minorEastAsia" w:hAnsiTheme="minorHAnsi" w:cstheme="minorBidi"/>
          <w:noProof/>
          <w:kern w:val="2"/>
          <w:szCs w:val="24"/>
          <w:lang w:eastAsia="cs-CZ"/>
          <w14:ligatures w14:val="standardContextual"/>
        </w:rPr>
      </w:pPr>
      <w:hyperlink w:anchor="_Toc203032821" w:history="1">
        <w:r w:rsidR="00163B51" w:rsidRPr="001E2FDE">
          <w:rPr>
            <w:rStyle w:val="Hypertextovodkaz"/>
            <w:noProof/>
          </w:rPr>
          <w:t>Přílohy</w:t>
        </w:r>
        <w:r w:rsidR="00163B51">
          <w:rPr>
            <w:noProof/>
            <w:webHidden/>
          </w:rPr>
          <w:tab/>
        </w:r>
        <w:r w:rsidR="00163B51">
          <w:rPr>
            <w:noProof/>
            <w:webHidden/>
          </w:rPr>
          <w:fldChar w:fldCharType="begin"/>
        </w:r>
        <w:r w:rsidR="00163B51">
          <w:rPr>
            <w:noProof/>
            <w:webHidden/>
          </w:rPr>
          <w:instrText xml:space="preserve"> PAGEREF _Toc203032821 \h </w:instrText>
        </w:r>
        <w:r w:rsidR="00163B51">
          <w:rPr>
            <w:noProof/>
            <w:webHidden/>
          </w:rPr>
        </w:r>
        <w:r w:rsidR="00163B51">
          <w:rPr>
            <w:noProof/>
            <w:webHidden/>
          </w:rPr>
          <w:fldChar w:fldCharType="separate"/>
        </w:r>
        <w:r w:rsidR="00163B51">
          <w:rPr>
            <w:noProof/>
            <w:webHidden/>
          </w:rPr>
          <w:t>194</w:t>
        </w:r>
        <w:r w:rsidR="00163B51">
          <w:rPr>
            <w:noProof/>
            <w:webHidden/>
          </w:rPr>
          <w:fldChar w:fldCharType="end"/>
        </w:r>
      </w:hyperlink>
    </w:p>
    <w:p w14:paraId="2EFB2F04" w14:textId="58BDA10E"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22" w:history="1">
        <w:r w:rsidR="00163B51" w:rsidRPr="001E2FDE">
          <w:rPr>
            <w:rStyle w:val="Hypertextovodkaz"/>
          </w:rPr>
          <w:t>Příloha A – seznam použitých pojmů</w:t>
        </w:r>
        <w:r w:rsidR="00163B51">
          <w:rPr>
            <w:webHidden/>
          </w:rPr>
          <w:tab/>
        </w:r>
        <w:r w:rsidR="00163B51">
          <w:rPr>
            <w:webHidden/>
          </w:rPr>
          <w:fldChar w:fldCharType="begin"/>
        </w:r>
        <w:r w:rsidR="00163B51">
          <w:rPr>
            <w:webHidden/>
          </w:rPr>
          <w:instrText xml:space="preserve"> PAGEREF _Toc203032822 \h </w:instrText>
        </w:r>
        <w:r w:rsidR="00163B51">
          <w:rPr>
            <w:webHidden/>
          </w:rPr>
        </w:r>
        <w:r w:rsidR="00163B51">
          <w:rPr>
            <w:webHidden/>
          </w:rPr>
          <w:fldChar w:fldCharType="separate"/>
        </w:r>
        <w:r w:rsidR="00163B51">
          <w:rPr>
            <w:webHidden/>
          </w:rPr>
          <w:t>194</w:t>
        </w:r>
        <w:r w:rsidR="00163B51">
          <w:rPr>
            <w:webHidden/>
          </w:rPr>
          <w:fldChar w:fldCharType="end"/>
        </w:r>
      </w:hyperlink>
    </w:p>
    <w:p w14:paraId="75478218" w14:textId="103365DD"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23" w:history="1">
        <w:r w:rsidR="00163B51" w:rsidRPr="001E2FDE">
          <w:rPr>
            <w:rStyle w:val="Hypertextovodkaz"/>
            <w:noProof/>
          </w:rPr>
          <w:t>Statistické pojmy a použité statistické ukazatele</w:t>
        </w:r>
        <w:r w:rsidR="00163B51">
          <w:rPr>
            <w:noProof/>
            <w:webHidden/>
          </w:rPr>
          <w:tab/>
        </w:r>
        <w:r w:rsidR="00163B51">
          <w:rPr>
            <w:noProof/>
            <w:webHidden/>
          </w:rPr>
          <w:fldChar w:fldCharType="begin"/>
        </w:r>
        <w:r w:rsidR="00163B51">
          <w:rPr>
            <w:noProof/>
            <w:webHidden/>
          </w:rPr>
          <w:instrText xml:space="preserve"> PAGEREF _Toc203032823 \h </w:instrText>
        </w:r>
        <w:r w:rsidR="00163B51">
          <w:rPr>
            <w:noProof/>
            <w:webHidden/>
          </w:rPr>
        </w:r>
        <w:r w:rsidR="00163B51">
          <w:rPr>
            <w:noProof/>
            <w:webHidden/>
          </w:rPr>
          <w:fldChar w:fldCharType="separate"/>
        </w:r>
        <w:r w:rsidR="00163B51">
          <w:rPr>
            <w:noProof/>
            <w:webHidden/>
          </w:rPr>
          <w:t>194</w:t>
        </w:r>
        <w:r w:rsidR="00163B51">
          <w:rPr>
            <w:noProof/>
            <w:webHidden/>
          </w:rPr>
          <w:fldChar w:fldCharType="end"/>
        </w:r>
      </w:hyperlink>
    </w:p>
    <w:p w14:paraId="5356C429" w14:textId="362BEDCC" w:rsidR="00163B51" w:rsidRDefault="00360F8E">
      <w:pPr>
        <w:pStyle w:val="Obsah3"/>
        <w:rPr>
          <w:rFonts w:asciiTheme="minorHAnsi" w:eastAsiaTheme="minorEastAsia" w:hAnsiTheme="minorHAnsi" w:cstheme="minorBidi"/>
          <w:noProof/>
          <w:kern w:val="2"/>
          <w:szCs w:val="24"/>
          <w:lang w:eastAsia="cs-CZ"/>
          <w14:ligatures w14:val="standardContextual"/>
        </w:rPr>
      </w:pPr>
      <w:hyperlink w:anchor="_Toc203032824" w:history="1">
        <w:r w:rsidR="00163B51" w:rsidRPr="001E2FDE">
          <w:rPr>
            <w:rStyle w:val="Hypertextovodkaz"/>
            <w:noProof/>
          </w:rPr>
          <w:t>Právní a ostatní pojmy</w:t>
        </w:r>
        <w:r w:rsidR="00163B51">
          <w:rPr>
            <w:noProof/>
            <w:webHidden/>
          </w:rPr>
          <w:tab/>
        </w:r>
        <w:r w:rsidR="00163B51">
          <w:rPr>
            <w:noProof/>
            <w:webHidden/>
          </w:rPr>
          <w:fldChar w:fldCharType="begin"/>
        </w:r>
        <w:r w:rsidR="00163B51">
          <w:rPr>
            <w:noProof/>
            <w:webHidden/>
          </w:rPr>
          <w:instrText xml:space="preserve"> PAGEREF _Toc203032824 \h </w:instrText>
        </w:r>
        <w:r w:rsidR="00163B51">
          <w:rPr>
            <w:noProof/>
            <w:webHidden/>
          </w:rPr>
        </w:r>
        <w:r w:rsidR="00163B51">
          <w:rPr>
            <w:noProof/>
            <w:webHidden/>
          </w:rPr>
          <w:fldChar w:fldCharType="separate"/>
        </w:r>
        <w:r w:rsidR="00163B51">
          <w:rPr>
            <w:noProof/>
            <w:webHidden/>
          </w:rPr>
          <w:t>199</w:t>
        </w:r>
        <w:r w:rsidR="00163B51">
          <w:rPr>
            <w:noProof/>
            <w:webHidden/>
          </w:rPr>
          <w:fldChar w:fldCharType="end"/>
        </w:r>
      </w:hyperlink>
    </w:p>
    <w:p w14:paraId="42B03309" w14:textId="53FF2BAC"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25" w:history="1">
        <w:r w:rsidR="00163B51" w:rsidRPr="001E2FDE">
          <w:rPr>
            <w:rStyle w:val="Hypertextovodkaz"/>
          </w:rPr>
          <w:t>Příloha B – seznam zkr. soudních okresů a soudních obvodů hl. m. Prahy</w:t>
        </w:r>
        <w:r w:rsidR="00163B51">
          <w:rPr>
            <w:webHidden/>
          </w:rPr>
          <w:tab/>
        </w:r>
        <w:r w:rsidR="00163B51">
          <w:rPr>
            <w:webHidden/>
          </w:rPr>
          <w:fldChar w:fldCharType="begin"/>
        </w:r>
        <w:r w:rsidR="00163B51">
          <w:rPr>
            <w:webHidden/>
          </w:rPr>
          <w:instrText xml:space="preserve"> PAGEREF _Toc203032825 \h </w:instrText>
        </w:r>
        <w:r w:rsidR="00163B51">
          <w:rPr>
            <w:webHidden/>
          </w:rPr>
        </w:r>
        <w:r w:rsidR="00163B51">
          <w:rPr>
            <w:webHidden/>
          </w:rPr>
          <w:fldChar w:fldCharType="separate"/>
        </w:r>
        <w:r w:rsidR="00163B51">
          <w:rPr>
            <w:webHidden/>
          </w:rPr>
          <w:t>204</w:t>
        </w:r>
        <w:r w:rsidR="00163B51">
          <w:rPr>
            <w:webHidden/>
          </w:rPr>
          <w:fldChar w:fldCharType="end"/>
        </w:r>
      </w:hyperlink>
    </w:p>
    <w:p w14:paraId="7CA2A773" w14:textId="3B2EF014"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26" w:history="1">
        <w:r w:rsidR="00163B51" w:rsidRPr="001E2FDE">
          <w:rPr>
            <w:rStyle w:val="Hypertextovodkaz"/>
          </w:rPr>
          <w:t>Příloha C – seznam vybraných rejstříků soudů</w:t>
        </w:r>
        <w:r w:rsidR="00163B51">
          <w:rPr>
            <w:webHidden/>
          </w:rPr>
          <w:tab/>
        </w:r>
        <w:r w:rsidR="00163B51">
          <w:rPr>
            <w:webHidden/>
          </w:rPr>
          <w:fldChar w:fldCharType="begin"/>
        </w:r>
        <w:r w:rsidR="00163B51">
          <w:rPr>
            <w:webHidden/>
          </w:rPr>
          <w:instrText xml:space="preserve"> PAGEREF _Toc203032826 \h </w:instrText>
        </w:r>
        <w:r w:rsidR="00163B51">
          <w:rPr>
            <w:webHidden/>
          </w:rPr>
        </w:r>
        <w:r w:rsidR="00163B51">
          <w:rPr>
            <w:webHidden/>
          </w:rPr>
          <w:fldChar w:fldCharType="separate"/>
        </w:r>
        <w:r w:rsidR="00163B51">
          <w:rPr>
            <w:webHidden/>
          </w:rPr>
          <w:t>205</w:t>
        </w:r>
        <w:r w:rsidR="00163B51">
          <w:rPr>
            <w:webHidden/>
          </w:rPr>
          <w:fldChar w:fldCharType="end"/>
        </w:r>
      </w:hyperlink>
    </w:p>
    <w:p w14:paraId="06FED60D" w14:textId="1172B130" w:rsidR="00163B51" w:rsidRDefault="00360F8E">
      <w:pPr>
        <w:pStyle w:val="Obsah2"/>
        <w:rPr>
          <w:rFonts w:asciiTheme="minorHAnsi" w:eastAsiaTheme="minorEastAsia" w:hAnsiTheme="minorHAnsi" w:cstheme="minorBidi"/>
          <w:kern w:val="2"/>
          <w:szCs w:val="24"/>
          <w:lang w:eastAsia="cs-CZ"/>
          <w14:ligatures w14:val="standardContextual"/>
        </w:rPr>
      </w:pPr>
      <w:hyperlink w:anchor="_Toc203032827" w:history="1">
        <w:r w:rsidR="00163B51" w:rsidRPr="001E2FDE">
          <w:rPr>
            <w:rStyle w:val="Hypertextovodkaz"/>
          </w:rPr>
          <w:t>Příloha D – přehledové listy s daty soudů</w:t>
        </w:r>
        <w:r w:rsidR="00163B51">
          <w:rPr>
            <w:webHidden/>
          </w:rPr>
          <w:tab/>
        </w:r>
        <w:r w:rsidR="00163B51">
          <w:rPr>
            <w:webHidden/>
          </w:rPr>
          <w:fldChar w:fldCharType="begin"/>
        </w:r>
        <w:r w:rsidR="00163B51">
          <w:rPr>
            <w:webHidden/>
          </w:rPr>
          <w:instrText xml:space="preserve"> PAGEREF _Toc203032827 \h </w:instrText>
        </w:r>
        <w:r w:rsidR="00163B51">
          <w:rPr>
            <w:webHidden/>
          </w:rPr>
        </w:r>
        <w:r w:rsidR="00163B51">
          <w:rPr>
            <w:webHidden/>
          </w:rPr>
          <w:fldChar w:fldCharType="separate"/>
        </w:r>
        <w:r w:rsidR="00163B51">
          <w:rPr>
            <w:webHidden/>
          </w:rPr>
          <w:t>207</w:t>
        </w:r>
        <w:r w:rsidR="00163B51">
          <w:rPr>
            <w:webHidden/>
          </w:rPr>
          <w:fldChar w:fldCharType="end"/>
        </w:r>
      </w:hyperlink>
    </w:p>
    <w:p w14:paraId="480D4A29" w14:textId="79665A28" w:rsidR="008430BD" w:rsidRPr="00033A3F" w:rsidRDefault="008430BD" w:rsidP="008430BD">
      <w:pPr>
        <w:rPr>
          <w:color w:val="000000" w:themeColor="text1"/>
          <w:sz w:val="2"/>
          <w:szCs w:val="2"/>
        </w:rPr>
      </w:pPr>
      <w:r w:rsidRPr="00033A3F">
        <w:rPr>
          <w:color w:val="000000" w:themeColor="text1"/>
        </w:rPr>
        <w:fldChar w:fldCharType="end"/>
      </w:r>
    </w:p>
    <w:p w14:paraId="40E2D053" w14:textId="17906AAC" w:rsidR="008430BD" w:rsidRPr="00033A3F" w:rsidRDefault="008430BD" w:rsidP="008430BD">
      <w:pPr>
        <w:pStyle w:val="Nadpis1"/>
        <w:pageBreakBefore/>
        <w:numPr>
          <w:ilvl w:val="0"/>
          <w:numId w:val="1"/>
        </w:numPr>
        <w:spacing w:after="120"/>
        <w:rPr>
          <w:color w:val="000000" w:themeColor="text1"/>
        </w:rPr>
      </w:pPr>
      <w:bookmarkStart w:id="6" w:name="_Toc487791222"/>
      <w:bookmarkStart w:id="7" w:name="_Toc106092709"/>
      <w:bookmarkStart w:id="8" w:name="_Toc169250792"/>
      <w:bookmarkStart w:id="9" w:name="_Toc193530953"/>
      <w:bookmarkStart w:id="10" w:name="_Toc193957010"/>
      <w:bookmarkStart w:id="11" w:name="_Toc203032700"/>
      <w:r w:rsidRPr="00033A3F">
        <w:rPr>
          <w:color w:val="000000" w:themeColor="text1"/>
        </w:rPr>
        <w:lastRenderedPageBreak/>
        <w:t>Úvod</w:t>
      </w:r>
      <w:bookmarkEnd w:id="6"/>
      <w:bookmarkEnd w:id="7"/>
      <w:r w:rsidR="00BB7181" w:rsidRPr="00033A3F">
        <w:rPr>
          <w:color w:val="000000" w:themeColor="text1"/>
        </w:rPr>
        <w:t xml:space="preserve"> a shrnutí</w:t>
      </w:r>
      <w:bookmarkEnd w:id="8"/>
      <w:bookmarkEnd w:id="9"/>
      <w:bookmarkEnd w:id="10"/>
      <w:bookmarkEnd w:id="11"/>
    </w:p>
    <w:p w14:paraId="479E51A1" w14:textId="7871F5BC" w:rsidR="00B07E76" w:rsidRPr="00033A3F" w:rsidRDefault="008430BD" w:rsidP="008430BD">
      <w:pPr>
        <w:pStyle w:val="OdstavecASR"/>
        <w:rPr>
          <w:color w:val="000000" w:themeColor="text1"/>
        </w:rPr>
      </w:pPr>
      <w:r w:rsidRPr="00033A3F">
        <w:rPr>
          <w:color w:val="000000" w:themeColor="text1"/>
        </w:rPr>
        <w:t xml:space="preserve">Cílem této výroční zprávy je seznámit odbornou i laickou veřejnost s činností české justice z pohledu statistik. Zpráva obsahuje vybraná statistická data za okresní, krajské a vrchní soudy, Nejvyšší soud a Nejvyšší správní soud. Každému článku soudní soustavy se věnuje jedna část, která se následně dělí na kapitoly a podkapitoly. Každá kapitola se zabývá buď vybranou agendou soudu, nebo obsahuje údaje o personálu. Dílčí podkapitoly se pak zaměřují na určitý statistický ukazatel (délka řízení, vyřizování věcí apod.). </w:t>
      </w:r>
      <w:r w:rsidR="00A06253" w:rsidRPr="00033A3F">
        <w:rPr>
          <w:color w:val="000000" w:themeColor="text1"/>
        </w:rPr>
        <w:t xml:space="preserve">Část </w:t>
      </w:r>
      <w:r w:rsidR="00EE1E80" w:rsidRPr="00033A3F">
        <w:rPr>
          <w:color w:val="000000" w:themeColor="text1"/>
        </w:rPr>
        <w:t>7</w:t>
      </w:r>
      <w:r w:rsidR="00A06253" w:rsidRPr="00033A3F">
        <w:rPr>
          <w:color w:val="000000" w:themeColor="text1"/>
        </w:rPr>
        <w:t xml:space="preserve"> pak</w:t>
      </w:r>
      <w:r w:rsidR="00A74487" w:rsidRPr="00033A3F">
        <w:rPr>
          <w:color w:val="000000" w:themeColor="text1"/>
        </w:rPr>
        <w:t> </w:t>
      </w:r>
      <w:r w:rsidRPr="00033A3F">
        <w:rPr>
          <w:color w:val="000000" w:themeColor="text1"/>
        </w:rPr>
        <w:t>krátce ČR srovnává s ostatními členskými státy EU.</w:t>
      </w:r>
    </w:p>
    <w:p w14:paraId="49E9366D" w14:textId="7609DA2C" w:rsidR="008430BD" w:rsidRPr="00033A3F" w:rsidRDefault="008430BD" w:rsidP="008430BD">
      <w:pPr>
        <w:pStyle w:val="OdstavecASR"/>
        <w:rPr>
          <w:color w:val="000000" w:themeColor="text1"/>
        </w:rPr>
      </w:pPr>
      <w:r w:rsidRPr="00033A3F">
        <w:rPr>
          <w:color w:val="000000" w:themeColor="text1"/>
        </w:rPr>
        <w:t>Kapitola 1.1 podrobněji vysvětluje účel této zprávy, seznamuje čtenáře s jejími základními východisky, předpoklady a určitými omezeními a přidává další poznámky, které je třeba mít při čtení dokumentu na mysli.</w:t>
      </w:r>
    </w:p>
    <w:p w14:paraId="12D9E2DF" w14:textId="5854FB73" w:rsidR="008430BD" w:rsidRPr="00033A3F" w:rsidRDefault="008430BD" w:rsidP="008430BD">
      <w:pPr>
        <w:pStyle w:val="OdstavecASR"/>
        <w:rPr>
          <w:color w:val="000000" w:themeColor="text1"/>
        </w:rPr>
      </w:pPr>
      <w:r w:rsidRPr="00033A3F">
        <w:rPr>
          <w:color w:val="000000" w:themeColor="text1"/>
        </w:rPr>
        <w:t xml:space="preserve">Statistická výroční zpráva za rok </w:t>
      </w:r>
      <w:r w:rsidR="00E03913" w:rsidRPr="00033A3F">
        <w:rPr>
          <w:color w:val="000000" w:themeColor="text1"/>
        </w:rPr>
        <w:t>202</w:t>
      </w:r>
      <w:r w:rsidR="00F430ED" w:rsidRPr="00033A3F">
        <w:rPr>
          <w:color w:val="000000" w:themeColor="text1"/>
        </w:rPr>
        <w:t>4</w:t>
      </w:r>
      <w:r w:rsidR="00E03913" w:rsidRPr="00033A3F">
        <w:rPr>
          <w:color w:val="000000" w:themeColor="text1"/>
        </w:rPr>
        <w:t xml:space="preserve"> </w:t>
      </w:r>
      <w:r w:rsidRPr="00033A3F">
        <w:rPr>
          <w:color w:val="000000" w:themeColor="text1"/>
        </w:rPr>
        <w:t>je v mnoha ohledech (obsažená data, metodologie</w:t>
      </w:r>
      <w:r w:rsidR="00AF1D52" w:rsidRPr="00033A3F">
        <w:rPr>
          <w:color w:val="000000" w:themeColor="text1"/>
        </w:rPr>
        <w:t>,</w:t>
      </w:r>
      <w:r w:rsidRPr="00033A3F">
        <w:rPr>
          <w:color w:val="000000" w:themeColor="text1"/>
        </w:rPr>
        <w:t xml:space="preserve"> komentáře, grafická úprava apod.) velmi podobná zprávám předchozím, určitých změn však doznala. Jako každý rok byly doplněny nové ukazatele, upřesněna metodika některých výpočtů apod. Kapitola 1.2 vyjmenovává a stručně popisuje nejvýznamnější z těchto změn.</w:t>
      </w:r>
    </w:p>
    <w:p w14:paraId="27870419" w14:textId="40CEF5BD" w:rsidR="00A06253" w:rsidRPr="00033A3F" w:rsidRDefault="00703F67" w:rsidP="008430BD">
      <w:pPr>
        <w:pStyle w:val="OdstavecASR"/>
        <w:rPr>
          <w:color w:val="000000" w:themeColor="text1"/>
        </w:rPr>
      </w:pPr>
      <w:r w:rsidRPr="00033A3F">
        <w:rPr>
          <w:color w:val="000000" w:themeColor="text1"/>
        </w:rPr>
        <w:t>Kapitola 1.3</w:t>
      </w:r>
      <w:r w:rsidR="00A06253" w:rsidRPr="00033A3F">
        <w:rPr>
          <w:color w:val="000000" w:themeColor="text1"/>
        </w:rPr>
        <w:t xml:space="preserve"> </w:t>
      </w:r>
      <w:r w:rsidR="00487CD9" w:rsidRPr="00033A3F">
        <w:rPr>
          <w:color w:val="000000" w:themeColor="text1"/>
        </w:rPr>
        <w:t>obsahuje stručné shrnutí základních informací obsažených v dalších kapitolách zprávy</w:t>
      </w:r>
      <w:r w:rsidR="00A06253" w:rsidRPr="00033A3F">
        <w:rPr>
          <w:color w:val="000000" w:themeColor="text1"/>
        </w:rPr>
        <w:t>.</w:t>
      </w:r>
    </w:p>
    <w:p w14:paraId="4BE12E5F" w14:textId="77777777" w:rsidR="008430BD" w:rsidRPr="00033A3F" w:rsidRDefault="008430BD" w:rsidP="008430BD">
      <w:pPr>
        <w:pStyle w:val="Nadpis2"/>
        <w:numPr>
          <w:ilvl w:val="1"/>
          <w:numId w:val="1"/>
        </w:numPr>
        <w:spacing w:before="120"/>
      </w:pPr>
      <w:bookmarkStart w:id="12" w:name="_Ref482901858"/>
      <w:bookmarkStart w:id="13" w:name="_Ref482901954"/>
      <w:bookmarkStart w:id="14" w:name="_Toc487791223"/>
      <w:bookmarkStart w:id="15" w:name="_Toc517118504"/>
      <w:bookmarkStart w:id="16" w:name="_Toc106092710"/>
      <w:bookmarkStart w:id="17" w:name="_Toc169250793"/>
      <w:bookmarkStart w:id="18" w:name="_Toc193530954"/>
      <w:bookmarkStart w:id="19" w:name="_Toc193957011"/>
      <w:bookmarkStart w:id="20" w:name="_Toc203032701"/>
      <w:r w:rsidRPr="00033A3F">
        <w:t>Základní východiska, předpoklady, omezení a upřesňující poznámky</w:t>
      </w:r>
      <w:bookmarkEnd w:id="12"/>
      <w:bookmarkEnd w:id="13"/>
      <w:bookmarkEnd w:id="14"/>
      <w:bookmarkEnd w:id="15"/>
      <w:bookmarkEnd w:id="16"/>
      <w:bookmarkEnd w:id="17"/>
      <w:bookmarkEnd w:id="18"/>
      <w:bookmarkEnd w:id="19"/>
      <w:bookmarkEnd w:id="20"/>
    </w:p>
    <w:p w14:paraId="18BCD68B" w14:textId="77777777" w:rsidR="008430BD" w:rsidRPr="00033A3F" w:rsidRDefault="008430BD" w:rsidP="008430BD">
      <w:pPr>
        <w:pStyle w:val="OdstavecASR"/>
        <w:rPr>
          <w:color w:val="000000" w:themeColor="text1"/>
        </w:rPr>
      </w:pPr>
      <w:r w:rsidRPr="00033A3F">
        <w:rPr>
          <w:color w:val="000000" w:themeColor="text1"/>
        </w:rPr>
        <w:t>Při čtení této zprávy je třeba pamatovat zejména na následující skutečnosti:</w:t>
      </w:r>
    </w:p>
    <w:p w14:paraId="1F7F58C8" w14:textId="55C79AFD" w:rsidR="008430BD" w:rsidRPr="00033A3F" w:rsidRDefault="008430BD" w:rsidP="008430BD">
      <w:pPr>
        <w:pStyle w:val="Odstavecseseznamem"/>
        <w:numPr>
          <w:ilvl w:val="0"/>
          <w:numId w:val="2"/>
        </w:numPr>
        <w:rPr>
          <w:color w:val="000000" w:themeColor="text1"/>
        </w:rPr>
      </w:pPr>
      <w:r w:rsidRPr="00033A3F">
        <w:rPr>
          <w:color w:val="000000" w:themeColor="text1"/>
        </w:rPr>
        <w:t>Cílem zprávy je poskytnout čtenáři přístupný, ale poměrně detailní náhled na fungování české justice prostřednictvím statistik. Oproti ostatním veřejně dostupným zdrojům justičních statistik (</w:t>
      </w:r>
      <w:r w:rsidR="0034710B" w:rsidRPr="00033A3F">
        <w:rPr>
          <w:color w:val="000000" w:themeColor="text1"/>
        </w:rPr>
        <w:t>interaktivní justiční dashboardy</w:t>
      </w:r>
      <w:r w:rsidR="0034710B" w:rsidRPr="00033A3F">
        <w:rPr>
          <w:rStyle w:val="Znakapoznpodarou"/>
          <w:color w:val="000000" w:themeColor="text1"/>
        </w:rPr>
        <w:footnoteReference w:id="2"/>
      </w:r>
      <w:r w:rsidR="0034710B" w:rsidRPr="00033A3F">
        <w:rPr>
          <w:color w:val="000000" w:themeColor="text1"/>
        </w:rPr>
        <w:t xml:space="preserve">, </w:t>
      </w:r>
      <w:hyperlink r:id="rId10" w:history="1">
        <w:r w:rsidRPr="00F72345">
          <w:rPr>
            <w:rStyle w:val="Hypertextovodkaz"/>
          </w:rPr>
          <w:t>internetové stránky InfoData</w:t>
        </w:r>
      </w:hyperlink>
      <w:r w:rsidR="000777CE" w:rsidRPr="00033A3F">
        <w:rPr>
          <w:color w:val="000000" w:themeColor="text1"/>
        </w:rPr>
        <w:t xml:space="preserve">, </w:t>
      </w:r>
      <w:r w:rsidRPr="00033A3F">
        <w:rPr>
          <w:color w:val="000000" w:themeColor="text1"/>
        </w:rPr>
        <w:t>data publikovaná Českým statistickým úřadem) má tato zpráva mnoho výhod:</w:t>
      </w:r>
    </w:p>
    <w:p w14:paraId="737DB2AA" w14:textId="77777777" w:rsidR="008430BD" w:rsidRPr="00033A3F" w:rsidRDefault="008430BD" w:rsidP="008430BD">
      <w:pPr>
        <w:pStyle w:val="Odstavecseseznamem"/>
        <w:numPr>
          <w:ilvl w:val="1"/>
          <w:numId w:val="2"/>
        </w:numPr>
        <w:rPr>
          <w:color w:val="000000" w:themeColor="text1"/>
        </w:rPr>
      </w:pPr>
      <w:r w:rsidRPr="00033A3F">
        <w:rPr>
          <w:color w:val="000000" w:themeColor="text1"/>
        </w:rPr>
        <w:t>Obsahuje množství dat, která nejsou jinak dostupná, například nejen průměrné, ale i mediánové délky řízení.</w:t>
      </w:r>
    </w:p>
    <w:p w14:paraId="383C24EF" w14:textId="3C7883A9" w:rsidR="008430BD" w:rsidRPr="00033A3F" w:rsidRDefault="008430BD" w:rsidP="008430BD">
      <w:pPr>
        <w:pStyle w:val="Odstavecseseznamem"/>
        <w:numPr>
          <w:ilvl w:val="1"/>
          <w:numId w:val="2"/>
        </w:numPr>
        <w:rPr>
          <w:color w:val="000000" w:themeColor="text1"/>
        </w:rPr>
      </w:pPr>
      <w:r w:rsidRPr="00033A3F">
        <w:rPr>
          <w:color w:val="000000" w:themeColor="text1"/>
        </w:rPr>
        <w:t>V průběhu let docházelo ke změnám v legislativě a způsobu vedení statistik</w:t>
      </w:r>
      <w:r w:rsidR="00D65742" w:rsidRPr="00033A3F">
        <w:rPr>
          <w:color w:val="000000" w:themeColor="text1"/>
        </w:rPr>
        <w:t xml:space="preserve">, v důsledku čehož zejména </w:t>
      </w:r>
      <w:r w:rsidRPr="00033A3F">
        <w:rPr>
          <w:color w:val="000000" w:themeColor="text1"/>
        </w:rPr>
        <w:t xml:space="preserve">některé zdroje (například InfoData) ne vždy detailně rozlišují </w:t>
      </w:r>
      <w:r w:rsidR="00D65742" w:rsidRPr="00033A3F">
        <w:rPr>
          <w:color w:val="000000" w:themeColor="text1"/>
        </w:rPr>
        <w:t xml:space="preserve">jednotlivé soudní </w:t>
      </w:r>
      <w:r w:rsidRPr="00033A3F">
        <w:rPr>
          <w:color w:val="000000" w:themeColor="text1"/>
        </w:rPr>
        <w:t xml:space="preserve">rejstříky. Ostatní zdroje dat rovněž obsahují jisté, byť velmi malé, množství chybných pozorování. Data v této zprávě jsou vždy, když je to možné, očištěna </w:t>
      </w:r>
      <w:r w:rsidR="000C3B1E" w:rsidRPr="00033A3F">
        <w:rPr>
          <w:color w:val="000000" w:themeColor="text1"/>
        </w:rPr>
        <w:t>a </w:t>
      </w:r>
      <w:r w:rsidRPr="00033A3F">
        <w:rPr>
          <w:color w:val="000000" w:themeColor="text1"/>
        </w:rPr>
        <w:t>výše zmíněnými nedostatky tak netrpí.</w:t>
      </w:r>
    </w:p>
    <w:p w14:paraId="7661C45B" w14:textId="77777777" w:rsidR="008430BD" w:rsidRPr="00033A3F" w:rsidRDefault="008430BD" w:rsidP="008430BD">
      <w:pPr>
        <w:pStyle w:val="Odstavecseseznamem"/>
        <w:numPr>
          <w:ilvl w:val="1"/>
          <w:numId w:val="2"/>
        </w:numPr>
        <w:rPr>
          <w:color w:val="000000" w:themeColor="text1"/>
        </w:rPr>
      </w:pPr>
      <w:r w:rsidRPr="00033A3F">
        <w:rPr>
          <w:color w:val="000000" w:themeColor="text1"/>
        </w:rPr>
        <w:t>Data jsou zobrazena v přehledné podobě v různých typech grafů, případně tabulkách. Především sledování vývoje ukazatelů v čase nebo rozdílů mezi jednotlivými soudy je takto výrazně snadnější.</w:t>
      </w:r>
    </w:p>
    <w:p w14:paraId="1FB6C79A" w14:textId="77777777" w:rsidR="008430BD" w:rsidRPr="00033A3F" w:rsidRDefault="008430BD" w:rsidP="008430BD">
      <w:pPr>
        <w:pStyle w:val="Odstavecseseznamem"/>
        <w:numPr>
          <w:ilvl w:val="1"/>
          <w:numId w:val="2"/>
        </w:numPr>
        <w:rPr>
          <w:color w:val="000000" w:themeColor="text1"/>
        </w:rPr>
      </w:pPr>
      <w:r w:rsidRPr="00033A3F">
        <w:rPr>
          <w:color w:val="000000" w:themeColor="text1"/>
        </w:rPr>
        <w:t>Data jsou doplněna komentářem a vysvětlivkami.</w:t>
      </w:r>
    </w:p>
    <w:p w14:paraId="42143231" w14:textId="77777777" w:rsidR="008430BD" w:rsidRPr="00033A3F" w:rsidRDefault="008430BD" w:rsidP="008430BD">
      <w:pPr>
        <w:pStyle w:val="Odstavecseseznamem"/>
        <w:numPr>
          <w:ilvl w:val="0"/>
          <w:numId w:val="2"/>
        </w:numPr>
        <w:rPr>
          <w:color w:val="000000" w:themeColor="text1"/>
        </w:rPr>
      </w:pPr>
      <w:r w:rsidRPr="00033A3F">
        <w:rPr>
          <w:color w:val="000000" w:themeColor="text1"/>
        </w:rPr>
        <w:t>Zpráva sice poskytuje detailní náhled, nejedná se však o podrobnou analýzu dané problematiky. K takové analýze by byla třeba hlubší práce s daty a využití pokročilejších statistických a ekonometrických metod, které ale přesahují účel tohoto materiálu. Ve zprávě jsou téměř výhradně využita statistická data dostupná Ministerstvu spravedlnosti, velmi zřídka pak další „nestatistické“ informace z jiných zdrojů.</w:t>
      </w:r>
    </w:p>
    <w:p w14:paraId="1BD65413" w14:textId="15F79A66" w:rsidR="008430BD" w:rsidRPr="00033A3F" w:rsidRDefault="008430BD" w:rsidP="008430BD">
      <w:pPr>
        <w:pStyle w:val="Odstavecseseznamem"/>
        <w:numPr>
          <w:ilvl w:val="0"/>
          <w:numId w:val="2"/>
        </w:numPr>
        <w:rPr>
          <w:color w:val="000000" w:themeColor="text1"/>
        </w:rPr>
      </w:pPr>
      <w:r w:rsidRPr="00033A3F">
        <w:rPr>
          <w:color w:val="000000" w:themeColor="text1"/>
        </w:rPr>
        <w:lastRenderedPageBreak/>
        <w:t xml:space="preserve">Definitivní závěry nemohou být vyvozovány pouze na základě jednoho statistického ukazatele. Například vysoké délky řízení nemusí znamenat (a často také neznamenají), že soud pracuje špatně. Mohou ve skutečnosti ukazovat to, že soud z nějakého důvodu (nízký počet personálu, </w:t>
      </w:r>
      <w:r w:rsidR="00D65742" w:rsidRPr="00033A3F">
        <w:rPr>
          <w:color w:val="000000" w:themeColor="text1"/>
        </w:rPr>
        <w:t xml:space="preserve">nevhodná </w:t>
      </w:r>
      <w:r w:rsidRPr="00033A3F">
        <w:rPr>
          <w:color w:val="000000" w:themeColor="text1"/>
        </w:rPr>
        <w:t xml:space="preserve">organizace práce apod.) </w:t>
      </w:r>
      <w:r w:rsidR="00D65742" w:rsidRPr="00033A3F">
        <w:rPr>
          <w:color w:val="000000" w:themeColor="text1"/>
        </w:rPr>
        <w:t>nezvládal</w:t>
      </w:r>
      <w:r w:rsidRPr="00033A3F">
        <w:rPr>
          <w:color w:val="000000" w:themeColor="text1"/>
        </w:rPr>
        <w:t xml:space="preserve"> vyřizovat svou agendu před několika lety, a ačkoliv již nyní pracuje dobře, potýká se s problémy, které vznikly dříve.</w:t>
      </w:r>
    </w:p>
    <w:p w14:paraId="08642151" w14:textId="712DBE33" w:rsidR="008430BD" w:rsidRPr="00033A3F" w:rsidRDefault="008430BD" w:rsidP="008430BD">
      <w:pPr>
        <w:pStyle w:val="Odstavecseseznamem"/>
        <w:numPr>
          <w:ilvl w:val="0"/>
          <w:numId w:val="2"/>
        </w:numPr>
        <w:rPr>
          <w:color w:val="000000" w:themeColor="text1"/>
        </w:rPr>
      </w:pPr>
      <w:r w:rsidRPr="00033A3F">
        <w:rPr>
          <w:color w:val="000000" w:themeColor="text1"/>
        </w:rPr>
        <w:t>Zpráva se zabývá pouze hlavními agendami soudů</w:t>
      </w:r>
      <w:r w:rsidR="00F732C0" w:rsidRPr="00033A3F">
        <w:rPr>
          <w:color w:val="000000" w:themeColor="text1"/>
        </w:rPr>
        <w:t xml:space="preserve">, </w:t>
      </w:r>
      <w:r w:rsidR="00726EC3" w:rsidRPr="00033A3F">
        <w:rPr>
          <w:color w:val="000000" w:themeColor="text1"/>
        </w:rPr>
        <w:t>i </w:t>
      </w:r>
      <w:r w:rsidR="00F732C0" w:rsidRPr="00033A3F">
        <w:rPr>
          <w:color w:val="000000" w:themeColor="text1"/>
        </w:rPr>
        <w:t>když</w:t>
      </w:r>
      <w:r w:rsidRPr="00033A3F">
        <w:rPr>
          <w:color w:val="000000" w:themeColor="text1"/>
        </w:rPr>
        <w:t xml:space="preserve"> </w:t>
      </w:r>
      <w:r w:rsidR="00F732C0" w:rsidRPr="00033A3F">
        <w:rPr>
          <w:color w:val="000000" w:themeColor="text1"/>
        </w:rPr>
        <w:t>s</w:t>
      </w:r>
      <w:r w:rsidRPr="00033A3F">
        <w:rPr>
          <w:color w:val="000000" w:themeColor="text1"/>
        </w:rPr>
        <w:t xml:space="preserve">oudy vyřizují i množství vedlejších agend. Základní údaje o nich lze </w:t>
      </w:r>
      <w:r w:rsidR="00F732C0" w:rsidRPr="00033A3F">
        <w:rPr>
          <w:color w:val="000000" w:themeColor="text1"/>
        </w:rPr>
        <w:t xml:space="preserve">však </w:t>
      </w:r>
      <w:r w:rsidRPr="00033A3F">
        <w:rPr>
          <w:color w:val="000000" w:themeColor="text1"/>
        </w:rPr>
        <w:t xml:space="preserve">najít v jiných informačních zdrojích (InfoData, Statistická ročenka). </w:t>
      </w:r>
      <w:r w:rsidR="00D65742" w:rsidRPr="00033A3F">
        <w:rPr>
          <w:color w:val="000000" w:themeColor="text1"/>
        </w:rPr>
        <w:t>Užitečný přehled jednotlivých zdrojů je zveřejněn</w:t>
      </w:r>
      <w:r w:rsidR="00726EC3" w:rsidRPr="00033A3F">
        <w:rPr>
          <w:color w:val="000000" w:themeColor="text1"/>
        </w:rPr>
        <w:t> </w:t>
      </w:r>
      <w:r w:rsidRPr="00033A3F">
        <w:rPr>
          <w:color w:val="000000" w:themeColor="text1"/>
        </w:rPr>
        <w:t>na internetových stránkách Ministerstva spravedlnosti v části věnující se justiční statistice</w:t>
      </w:r>
      <w:r w:rsidRPr="00033A3F">
        <w:rPr>
          <w:rStyle w:val="Znakapoznpodarou"/>
          <w:color w:val="000000" w:themeColor="text1"/>
        </w:rPr>
        <w:footnoteReference w:id="3"/>
      </w:r>
      <w:r w:rsidRPr="00033A3F">
        <w:rPr>
          <w:color w:val="000000" w:themeColor="text1"/>
        </w:rPr>
        <w:t>.</w:t>
      </w:r>
    </w:p>
    <w:p w14:paraId="045ECDB0" w14:textId="65C4160D" w:rsidR="008430BD" w:rsidRPr="00033A3F" w:rsidRDefault="008430BD" w:rsidP="008430BD">
      <w:pPr>
        <w:pStyle w:val="Odstavecseseznamem"/>
        <w:numPr>
          <w:ilvl w:val="0"/>
          <w:numId w:val="2"/>
        </w:numPr>
        <w:rPr>
          <w:color w:val="000000" w:themeColor="text1"/>
        </w:rPr>
      </w:pPr>
      <w:r w:rsidRPr="00033A3F">
        <w:rPr>
          <w:color w:val="000000" w:themeColor="text1"/>
        </w:rPr>
        <w:t xml:space="preserve">Soudní obvody neodpovídají </w:t>
      </w:r>
      <w:r w:rsidR="001B1856" w:rsidRPr="00033A3F">
        <w:rPr>
          <w:color w:val="000000" w:themeColor="text1"/>
        </w:rPr>
        <w:t xml:space="preserve">stávajícímu </w:t>
      </w:r>
      <w:r w:rsidRPr="00033A3F">
        <w:rPr>
          <w:color w:val="000000" w:themeColor="text1"/>
        </w:rPr>
        <w:t>samosprávn</w:t>
      </w:r>
      <w:r w:rsidR="00311BE7" w:rsidRPr="00033A3F">
        <w:rPr>
          <w:color w:val="000000" w:themeColor="text1"/>
        </w:rPr>
        <w:t>ému</w:t>
      </w:r>
      <w:r w:rsidRPr="00033A3F">
        <w:rPr>
          <w:color w:val="000000" w:themeColor="text1"/>
        </w:rPr>
        <w:t xml:space="preserve"> členění státu </w:t>
      </w:r>
      <w:r w:rsidR="00D65742" w:rsidRPr="00033A3F">
        <w:rPr>
          <w:color w:val="000000" w:themeColor="text1"/>
        </w:rPr>
        <w:t xml:space="preserve">ani novému zákonu o územně správním členění státu z roku 2020, </w:t>
      </w:r>
      <w:r w:rsidRPr="00033A3F">
        <w:rPr>
          <w:color w:val="000000" w:themeColor="text1"/>
        </w:rPr>
        <w:t xml:space="preserve">a vycházejí </w:t>
      </w:r>
      <w:r w:rsidR="00D65742" w:rsidRPr="00033A3F">
        <w:rPr>
          <w:color w:val="000000" w:themeColor="text1"/>
        </w:rPr>
        <w:t xml:space="preserve">tak stále </w:t>
      </w:r>
      <w:r w:rsidRPr="00033A3F">
        <w:rPr>
          <w:color w:val="000000" w:themeColor="text1"/>
        </w:rPr>
        <w:t>v základu ze správního členění z roku 1960.</w:t>
      </w:r>
      <w:r w:rsidR="007F5182" w:rsidRPr="00033A3F">
        <w:rPr>
          <w:color w:val="000000" w:themeColor="text1"/>
        </w:rPr>
        <w:t xml:space="preserve"> </w:t>
      </w:r>
      <w:r w:rsidRPr="00033A3F">
        <w:rPr>
          <w:color w:val="000000" w:themeColor="text1"/>
        </w:rPr>
        <w:t>Na úrovni okresů se hranice liší pouze mírně</w:t>
      </w:r>
      <w:r w:rsidR="00202836" w:rsidRPr="00033A3F">
        <w:rPr>
          <w:color w:val="000000" w:themeColor="text1"/>
        </w:rPr>
        <w:t>, nicméně určité</w:t>
      </w:r>
      <w:r w:rsidRPr="00033A3F">
        <w:rPr>
          <w:color w:val="000000" w:themeColor="text1"/>
        </w:rPr>
        <w:t xml:space="preserve"> odlišnosti můžeme najít u okresů </w:t>
      </w:r>
      <w:r w:rsidR="0053190F" w:rsidRPr="00033A3F">
        <w:rPr>
          <w:color w:val="000000" w:themeColor="text1"/>
        </w:rPr>
        <w:t>Brno</w:t>
      </w:r>
      <w:r w:rsidR="0053190F" w:rsidRPr="00033A3F">
        <w:rPr>
          <w:color w:val="000000" w:themeColor="text1"/>
        </w:rPr>
        <w:noBreakHyphen/>
      </w:r>
      <w:r w:rsidRPr="00033A3F">
        <w:rPr>
          <w:color w:val="000000" w:themeColor="text1"/>
        </w:rPr>
        <w:t xml:space="preserve">venkov, Břeclav, Žďár nad Sázavou, </w:t>
      </w:r>
      <w:r w:rsidR="0053190F" w:rsidRPr="00033A3F">
        <w:rPr>
          <w:color w:val="000000" w:themeColor="text1"/>
        </w:rPr>
        <w:t>Praha</w:t>
      </w:r>
      <w:r w:rsidR="0053190F" w:rsidRPr="00033A3F">
        <w:rPr>
          <w:color w:val="000000" w:themeColor="text1"/>
        </w:rPr>
        <w:noBreakHyphen/>
      </w:r>
      <w:r w:rsidRPr="00033A3F">
        <w:rPr>
          <w:color w:val="000000" w:themeColor="text1"/>
        </w:rPr>
        <w:t xml:space="preserve">východ, Kolín, Ostrava-město, </w:t>
      </w:r>
      <w:r w:rsidR="0053190F" w:rsidRPr="00033A3F">
        <w:rPr>
          <w:color w:val="000000" w:themeColor="text1"/>
        </w:rPr>
        <w:t>Frýdek</w:t>
      </w:r>
      <w:r w:rsidR="0053190F" w:rsidRPr="00033A3F">
        <w:rPr>
          <w:color w:val="000000" w:themeColor="text1"/>
        </w:rPr>
        <w:noBreakHyphen/>
        <w:t>Místek</w:t>
      </w:r>
      <w:r w:rsidRPr="00033A3F">
        <w:rPr>
          <w:color w:val="000000" w:themeColor="text1"/>
        </w:rPr>
        <w:t xml:space="preserve">, Nový Jičín, </w:t>
      </w:r>
      <w:r w:rsidR="0053190F" w:rsidRPr="00033A3F">
        <w:rPr>
          <w:color w:val="000000" w:themeColor="text1"/>
        </w:rPr>
        <w:t>Plzeň</w:t>
      </w:r>
      <w:r w:rsidR="0053190F" w:rsidRPr="00033A3F">
        <w:rPr>
          <w:color w:val="000000" w:themeColor="text1"/>
        </w:rPr>
        <w:noBreakHyphen/>
      </w:r>
      <w:r w:rsidRPr="00033A3F">
        <w:rPr>
          <w:color w:val="000000" w:themeColor="text1"/>
        </w:rPr>
        <w:t xml:space="preserve">jih nebo </w:t>
      </w:r>
      <w:r w:rsidR="0053190F" w:rsidRPr="00033A3F">
        <w:rPr>
          <w:color w:val="000000" w:themeColor="text1"/>
        </w:rPr>
        <w:t>Plzeň</w:t>
      </w:r>
      <w:r w:rsidR="0053190F" w:rsidRPr="00033A3F">
        <w:rPr>
          <w:color w:val="000000" w:themeColor="text1"/>
        </w:rPr>
        <w:noBreakHyphen/>
      </w:r>
      <w:r w:rsidRPr="00033A3F">
        <w:rPr>
          <w:color w:val="000000" w:themeColor="text1"/>
        </w:rPr>
        <w:t xml:space="preserve">město. Výrazně větší rozdíly jsou </w:t>
      </w:r>
      <w:r w:rsidR="00202836" w:rsidRPr="00033A3F">
        <w:rPr>
          <w:color w:val="000000" w:themeColor="text1"/>
        </w:rPr>
        <w:t>však</w:t>
      </w:r>
      <w:r w:rsidRPr="00033A3F">
        <w:rPr>
          <w:color w:val="000000" w:themeColor="text1"/>
        </w:rPr>
        <w:t xml:space="preserve"> patrné na úrovni krajů, když existuje 14 samosprávných krajů, ale jen 8 krajů soudních. Tato zpráva se zaměřuje na soudnictví a vychází tedy pouze ze soudního členění. Například pojmem </w:t>
      </w:r>
      <w:r w:rsidRPr="00033A3F">
        <w:rPr>
          <w:i/>
          <w:color w:val="000000" w:themeColor="text1"/>
        </w:rPr>
        <w:t>kraj</w:t>
      </w:r>
      <w:r w:rsidRPr="00033A3F">
        <w:rPr>
          <w:color w:val="000000" w:themeColor="text1"/>
        </w:rPr>
        <w:t xml:space="preserve"> se tedy myslí kraj podle soudního členění. Hlavní město Praha má podle soudního členění 10 obvodů.</w:t>
      </w:r>
    </w:p>
    <w:p w14:paraId="44058153" w14:textId="77777777" w:rsidR="008430BD" w:rsidRPr="00033A3F" w:rsidRDefault="008430BD" w:rsidP="008430BD">
      <w:pPr>
        <w:pStyle w:val="Odstavecseseznamem"/>
        <w:numPr>
          <w:ilvl w:val="0"/>
          <w:numId w:val="2"/>
        </w:numPr>
        <w:rPr>
          <w:color w:val="000000" w:themeColor="text1"/>
        </w:rPr>
      </w:pPr>
      <w:r w:rsidRPr="00033A3F">
        <w:rPr>
          <w:color w:val="000000" w:themeColor="text1"/>
        </w:rPr>
        <w:t>Ačkoliv je to na první pohled nelogické, ve statistikách týkajících se vyřizování věcí nutně neplatí, že (nevyřízené věci)</w:t>
      </w:r>
      <w:r w:rsidRPr="00033A3F">
        <w:rPr>
          <w:color w:val="000000" w:themeColor="text1"/>
          <w:vertAlign w:val="subscript"/>
        </w:rPr>
        <w:t>t-1</w:t>
      </w:r>
      <w:r w:rsidRPr="00033A3F">
        <w:rPr>
          <w:color w:val="000000" w:themeColor="text1"/>
        </w:rPr>
        <w:t xml:space="preserve"> + (příchozí věci)</w:t>
      </w:r>
      <w:r w:rsidRPr="00033A3F">
        <w:rPr>
          <w:color w:val="000000" w:themeColor="text1"/>
          <w:vertAlign w:val="subscript"/>
        </w:rPr>
        <w:t>t</w:t>
      </w:r>
      <w:r w:rsidRPr="00033A3F">
        <w:rPr>
          <w:color w:val="000000" w:themeColor="text1"/>
        </w:rPr>
        <w:t xml:space="preserve"> – (vyřízené věci)</w:t>
      </w:r>
      <w:r w:rsidRPr="00033A3F">
        <w:rPr>
          <w:color w:val="000000" w:themeColor="text1"/>
          <w:vertAlign w:val="subscript"/>
        </w:rPr>
        <w:t xml:space="preserve">t </w:t>
      </w:r>
      <w:r w:rsidRPr="00033A3F">
        <w:rPr>
          <w:color w:val="000000" w:themeColor="text1"/>
        </w:rPr>
        <w:t>= (nevyřízené věci)</w:t>
      </w:r>
      <w:r w:rsidRPr="00033A3F">
        <w:rPr>
          <w:color w:val="000000" w:themeColor="text1"/>
          <w:vertAlign w:val="subscript"/>
        </w:rPr>
        <w:t>t</w:t>
      </w:r>
      <w:r w:rsidRPr="00033A3F">
        <w:rPr>
          <w:color w:val="000000" w:themeColor="text1"/>
        </w:rPr>
        <w:t>. Tedy například, že počet nevyřízených věcí na konci roku 2008 + počet příchozích věcí v roce 2009 – počet vyřízených věcí v roce 2009 se rovná počtu nevyřízených věcí na konci roku 2009. Příčinou je oprava chybně vyznačených dat, která se projeví v novějších výkazech. Odchylky se nicméně pohybují v řádu jednotek a nemají žádný relevantní vliv.</w:t>
      </w:r>
    </w:p>
    <w:p w14:paraId="223F2352" w14:textId="2320FB2D" w:rsidR="008430BD" w:rsidRPr="00033A3F" w:rsidRDefault="008430BD" w:rsidP="008430BD">
      <w:pPr>
        <w:pStyle w:val="Odstavecseseznamem"/>
        <w:numPr>
          <w:ilvl w:val="0"/>
          <w:numId w:val="2"/>
        </w:numPr>
        <w:rPr>
          <w:color w:val="000000" w:themeColor="text1"/>
        </w:rPr>
      </w:pPr>
      <w:r w:rsidRPr="00033A3F">
        <w:rPr>
          <w:color w:val="000000" w:themeColor="text1"/>
        </w:rPr>
        <w:t>U grafů je třeba věnovat pozornost měřítku na ose </w:t>
      </w:r>
      <w:r w:rsidRPr="00033A3F">
        <w:rPr>
          <w:i/>
          <w:color w:val="000000" w:themeColor="text1"/>
        </w:rPr>
        <w:t xml:space="preserve">y </w:t>
      </w:r>
      <w:r w:rsidRPr="00033A3F">
        <w:rPr>
          <w:color w:val="000000" w:themeColor="text1"/>
        </w:rPr>
        <w:t xml:space="preserve">(svislá osa), měřítka se totiž liší. Stejně důležitý je rozsah osy. Ta totiž například nezačíná na hodnotě 0, ale na hodnotě vyšší. Na první pohled se tak mohou rozdíly zdát větší, než ve skutečnosti jsou. U kartogramů </w:t>
      </w:r>
      <w:r w:rsidR="00D65742" w:rsidRPr="00033A3F">
        <w:rPr>
          <w:color w:val="000000" w:themeColor="text1"/>
        </w:rPr>
        <w:t>je třeba</w:t>
      </w:r>
      <w:r w:rsidRPr="00033A3F">
        <w:rPr>
          <w:color w:val="000000" w:themeColor="text1"/>
        </w:rPr>
        <w:t xml:space="preserve"> sledovat velikost intervalů.</w:t>
      </w:r>
    </w:p>
    <w:p w14:paraId="6B3AD648" w14:textId="332A0E2C" w:rsidR="008430BD" w:rsidRPr="00033A3F" w:rsidRDefault="008430BD" w:rsidP="008430BD">
      <w:pPr>
        <w:pStyle w:val="Odstavecseseznamem"/>
        <w:numPr>
          <w:ilvl w:val="0"/>
          <w:numId w:val="2"/>
        </w:numPr>
        <w:rPr>
          <w:color w:val="000000" w:themeColor="text1"/>
        </w:rPr>
      </w:pPr>
      <w:r w:rsidRPr="00033A3F">
        <w:rPr>
          <w:color w:val="000000" w:themeColor="text1"/>
        </w:rPr>
        <w:t>U trestních agend je potřeba rozlišovat mezi počtem věcí a počtem osob</w:t>
      </w:r>
      <w:r w:rsidR="009443E0" w:rsidRPr="00033A3F">
        <w:rPr>
          <w:color w:val="000000" w:themeColor="text1"/>
        </w:rPr>
        <w:t xml:space="preserve">, neboť jedno trestní řízení může být vedeno </w:t>
      </w:r>
      <w:r w:rsidR="00726EC3" w:rsidRPr="00033A3F">
        <w:rPr>
          <w:color w:val="000000" w:themeColor="text1"/>
        </w:rPr>
        <w:t>i </w:t>
      </w:r>
      <w:r w:rsidR="009443E0" w:rsidRPr="00033A3F">
        <w:rPr>
          <w:color w:val="000000" w:themeColor="text1"/>
        </w:rPr>
        <w:t>proti více osobám.</w:t>
      </w:r>
      <w:r w:rsidRPr="00033A3F">
        <w:rPr>
          <w:color w:val="000000" w:themeColor="text1"/>
        </w:rPr>
        <w:t xml:space="preserve"> </w:t>
      </w:r>
      <w:r w:rsidR="009443E0" w:rsidRPr="00033A3F">
        <w:rPr>
          <w:color w:val="000000" w:themeColor="text1"/>
        </w:rPr>
        <w:t>P</w:t>
      </w:r>
      <w:r w:rsidRPr="00033A3F">
        <w:rPr>
          <w:color w:val="000000" w:themeColor="text1"/>
        </w:rPr>
        <w:t>očet osob tak může být výrazně vyšší než počet věcí</w:t>
      </w:r>
      <w:r w:rsidR="009443E0" w:rsidRPr="00033A3F">
        <w:rPr>
          <w:color w:val="000000" w:themeColor="text1"/>
        </w:rPr>
        <w:t>, což</w:t>
      </w:r>
      <w:r w:rsidR="002A4AC8" w:rsidRPr="00033A3F">
        <w:rPr>
          <w:color w:val="000000" w:themeColor="text1"/>
        </w:rPr>
        <w:t xml:space="preserve"> </w:t>
      </w:r>
      <w:r w:rsidRPr="00033A3F">
        <w:rPr>
          <w:color w:val="000000" w:themeColor="text1"/>
        </w:rPr>
        <w:t xml:space="preserve">platí především u krajských a vrchních soudů. Tato zpráva se zabývá pouze počtem věcí. Za zmínku </w:t>
      </w:r>
      <w:r w:rsidR="009443E0" w:rsidRPr="00033A3F">
        <w:rPr>
          <w:color w:val="000000" w:themeColor="text1"/>
        </w:rPr>
        <w:t xml:space="preserve">však </w:t>
      </w:r>
      <w:r w:rsidRPr="00033A3F">
        <w:rPr>
          <w:color w:val="000000" w:themeColor="text1"/>
        </w:rPr>
        <w:t xml:space="preserve">stojí </w:t>
      </w:r>
      <w:r w:rsidR="009443E0" w:rsidRPr="00033A3F">
        <w:rPr>
          <w:color w:val="000000" w:themeColor="text1"/>
        </w:rPr>
        <w:t>uvést skutečnost</w:t>
      </w:r>
      <w:r w:rsidRPr="00033A3F">
        <w:rPr>
          <w:color w:val="000000" w:themeColor="text1"/>
        </w:rPr>
        <w:t xml:space="preserve">, že počet stíhaných osob lze považovat za aproximaci složitosti věci. Více osob </w:t>
      </w:r>
      <w:r w:rsidR="009443E0" w:rsidRPr="00033A3F">
        <w:rPr>
          <w:color w:val="000000" w:themeColor="text1"/>
        </w:rPr>
        <w:t xml:space="preserve">totiž </w:t>
      </w:r>
      <w:r w:rsidRPr="00033A3F">
        <w:rPr>
          <w:color w:val="000000" w:themeColor="text1"/>
        </w:rPr>
        <w:t>znamená zpravidla složitější věc.</w:t>
      </w:r>
    </w:p>
    <w:p w14:paraId="4B3B6BA9" w14:textId="2419BFFA" w:rsidR="008430BD" w:rsidRPr="00033A3F" w:rsidRDefault="008430BD" w:rsidP="008430BD">
      <w:pPr>
        <w:pStyle w:val="Odstavecseseznamem"/>
        <w:numPr>
          <w:ilvl w:val="0"/>
          <w:numId w:val="2"/>
        </w:numPr>
        <w:rPr>
          <w:color w:val="000000" w:themeColor="text1"/>
        </w:rPr>
      </w:pPr>
      <w:r w:rsidRPr="00033A3F">
        <w:rPr>
          <w:color w:val="000000" w:themeColor="text1"/>
        </w:rPr>
        <w:t xml:space="preserve">Mediánová délka řízení má z trojice medián, průměr a percentil 90 pro účely této zprávy nejlepší vypovídající hodnotu, protože eliminuje extrémní hodnoty. Proto v kartogramech využíváme mediánovou délku </w:t>
      </w:r>
      <w:r w:rsidR="005D23B6" w:rsidRPr="00033A3F">
        <w:rPr>
          <w:color w:val="000000" w:themeColor="text1"/>
        </w:rPr>
        <w:t>řízení,</w:t>
      </w:r>
      <w:r w:rsidRPr="00033A3F">
        <w:rPr>
          <w:color w:val="000000" w:themeColor="text1"/>
        </w:rPr>
        <w:t xml:space="preserve"> </w:t>
      </w:r>
      <w:r w:rsidR="00D65742" w:rsidRPr="00033A3F">
        <w:rPr>
          <w:color w:val="000000" w:themeColor="text1"/>
        </w:rPr>
        <w:t>nikoliv</w:t>
      </w:r>
      <w:r w:rsidRPr="00033A3F">
        <w:rPr>
          <w:color w:val="000000" w:themeColor="text1"/>
        </w:rPr>
        <w:t xml:space="preserve"> průměrnou délku řízení nebo devadesátý percentil.</w:t>
      </w:r>
    </w:p>
    <w:p w14:paraId="419E14A0" w14:textId="77777777" w:rsidR="008430BD" w:rsidRPr="00033A3F" w:rsidRDefault="008430BD" w:rsidP="008430BD">
      <w:pPr>
        <w:pStyle w:val="Odstavecseseznamem"/>
        <w:numPr>
          <w:ilvl w:val="0"/>
          <w:numId w:val="2"/>
        </w:numPr>
        <w:rPr>
          <w:color w:val="000000" w:themeColor="text1"/>
        </w:rPr>
      </w:pPr>
      <w:r w:rsidRPr="00033A3F">
        <w:rPr>
          <w:color w:val="000000" w:themeColor="text1"/>
        </w:rPr>
        <w:t>Seznam použitých pojmů, seznam zkratek soudních okresů a soudních obvodů hlavního města Prahy využitých v kartogramech a seznam vybraných rejstříků soudů naleznete v příloze této zprávy.</w:t>
      </w:r>
    </w:p>
    <w:p w14:paraId="688A1CFB" w14:textId="3819C94C" w:rsidR="008430BD" w:rsidRPr="00033A3F" w:rsidRDefault="008430BD" w:rsidP="008430BD">
      <w:pPr>
        <w:pStyle w:val="Odstavecseseznamem"/>
        <w:numPr>
          <w:ilvl w:val="0"/>
          <w:numId w:val="2"/>
        </w:numPr>
        <w:rPr>
          <w:color w:val="000000" w:themeColor="text1"/>
        </w:rPr>
      </w:pPr>
      <w:r w:rsidRPr="00033A3F">
        <w:rPr>
          <w:color w:val="000000" w:themeColor="text1"/>
        </w:rPr>
        <w:lastRenderedPageBreak/>
        <w:t xml:space="preserve">Přesné číselné údaje </w:t>
      </w:r>
      <w:r w:rsidR="000C3B1E" w:rsidRPr="00033A3F">
        <w:rPr>
          <w:color w:val="000000" w:themeColor="text1"/>
        </w:rPr>
        <w:t>o </w:t>
      </w:r>
      <w:r w:rsidRPr="00033A3F">
        <w:rPr>
          <w:color w:val="000000" w:themeColor="text1"/>
        </w:rPr>
        <w:t>jednotlivých okresních soudech jsou v</w:t>
      </w:r>
      <w:r w:rsidR="000C3B1E" w:rsidRPr="00033A3F">
        <w:rPr>
          <w:color w:val="000000" w:themeColor="text1"/>
        </w:rPr>
        <w:t> </w:t>
      </w:r>
      <w:r w:rsidRPr="00033A3F">
        <w:rPr>
          <w:color w:val="000000" w:themeColor="text1"/>
        </w:rPr>
        <w:t>Příloze</w:t>
      </w:r>
      <w:r w:rsidR="000C3B1E" w:rsidRPr="00033A3F">
        <w:rPr>
          <w:color w:val="000000" w:themeColor="text1"/>
        </w:rPr>
        <w:t> </w:t>
      </w:r>
      <w:r w:rsidRPr="00033A3F">
        <w:rPr>
          <w:color w:val="000000" w:themeColor="text1"/>
        </w:rPr>
        <w:t>D. Lze je také dohledat na internetových stránkách Ministerstva spravedlnosti v části věnující se justiční statistice.</w:t>
      </w:r>
    </w:p>
    <w:p w14:paraId="1586C7BE" w14:textId="1DAF8A93" w:rsidR="008430BD" w:rsidRPr="00033A3F" w:rsidRDefault="008430BD" w:rsidP="008430BD">
      <w:pPr>
        <w:pStyle w:val="Odstavecseseznamem"/>
        <w:numPr>
          <w:ilvl w:val="0"/>
          <w:numId w:val="2"/>
        </w:numPr>
        <w:rPr>
          <w:color w:val="000000" w:themeColor="text1"/>
        </w:rPr>
      </w:pPr>
      <w:r w:rsidRPr="00033A3F">
        <w:rPr>
          <w:color w:val="000000" w:themeColor="text1"/>
        </w:rPr>
        <w:t>Od výroční zprávy za rok 20</w:t>
      </w:r>
      <w:r w:rsidR="00F56CE3" w:rsidRPr="00033A3F">
        <w:rPr>
          <w:color w:val="000000" w:themeColor="text1"/>
        </w:rPr>
        <w:t>19</w:t>
      </w:r>
      <w:r w:rsidRPr="00033A3F">
        <w:rPr>
          <w:color w:val="000000" w:themeColor="text1"/>
        </w:rPr>
        <w:t xml:space="preserve"> jsou ve zprávě využity dva různé ukazatele pro počty soudců.</w:t>
      </w:r>
    </w:p>
    <w:p w14:paraId="7526A902" w14:textId="612595E6" w:rsidR="008430BD" w:rsidRPr="00033A3F" w:rsidRDefault="00C63DEB" w:rsidP="008430BD">
      <w:pPr>
        <w:pStyle w:val="Odstavecseseznamem"/>
        <w:numPr>
          <w:ilvl w:val="1"/>
          <w:numId w:val="2"/>
        </w:numPr>
        <w:rPr>
          <w:color w:val="000000" w:themeColor="text1"/>
        </w:rPr>
      </w:pPr>
      <w:r w:rsidRPr="00033A3F">
        <w:rPr>
          <w:color w:val="000000" w:themeColor="text1"/>
        </w:rPr>
        <w:t xml:space="preserve">Jsou </w:t>
      </w:r>
      <w:r w:rsidR="008430BD" w:rsidRPr="00033A3F">
        <w:rPr>
          <w:color w:val="000000" w:themeColor="text1"/>
        </w:rPr>
        <w:t>využita</w:t>
      </w:r>
      <w:r w:rsidRPr="00033A3F">
        <w:rPr>
          <w:color w:val="000000" w:themeColor="text1"/>
        </w:rPr>
        <w:t xml:space="preserve"> především</w:t>
      </w:r>
      <w:r w:rsidR="008430BD" w:rsidRPr="00033A3F">
        <w:rPr>
          <w:color w:val="000000" w:themeColor="text1"/>
        </w:rPr>
        <w:t xml:space="preserve"> data </w:t>
      </w:r>
      <w:r w:rsidR="000C3B1E" w:rsidRPr="00033A3F">
        <w:rPr>
          <w:color w:val="000000" w:themeColor="text1"/>
        </w:rPr>
        <w:t>o </w:t>
      </w:r>
      <w:r w:rsidR="008430BD" w:rsidRPr="00033A3F">
        <w:rPr>
          <w:color w:val="000000" w:themeColor="text1"/>
        </w:rPr>
        <w:t xml:space="preserve">počtu skutečných úvazků, která byla poprvé sbírána k 1. 1. 2020 </w:t>
      </w:r>
      <w:r w:rsidR="000C3B1E" w:rsidRPr="00033A3F">
        <w:rPr>
          <w:color w:val="000000" w:themeColor="text1"/>
        </w:rPr>
        <w:t>a </w:t>
      </w:r>
      <w:r w:rsidR="008430BD" w:rsidRPr="00033A3F">
        <w:rPr>
          <w:color w:val="000000" w:themeColor="text1"/>
        </w:rPr>
        <w:t>v této zprávě jsou platná k 1. 1. 202</w:t>
      </w:r>
      <w:r w:rsidR="00D96143" w:rsidRPr="00033A3F">
        <w:rPr>
          <w:color w:val="000000" w:themeColor="text1"/>
        </w:rPr>
        <w:t>4</w:t>
      </w:r>
      <w:r w:rsidR="008430BD" w:rsidRPr="00033A3F">
        <w:rPr>
          <w:color w:val="000000" w:themeColor="text1"/>
        </w:rPr>
        <w:t xml:space="preserve">. Jejich velkou výhodou je </w:t>
      </w:r>
      <w:r w:rsidR="00782F55" w:rsidRPr="00033A3F">
        <w:rPr>
          <w:color w:val="000000" w:themeColor="text1"/>
        </w:rPr>
        <w:t>skutečnost</w:t>
      </w:r>
      <w:r w:rsidR="008430BD" w:rsidRPr="00033A3F">
        <w:rPr>
          <w:color w:val="000000" w:themeColor="text1"/>
        </w:rPr>
        <w:t xml:space="preserve">, že jsou přesnější, neboť je v nich například vyčleněna opatrovnická agenda (a není tedy uvedena dohromady s rejstříkem C) </w:t>
      </w:r>
      <w:r w:rsidR="000C3B1E" w:rsidRPr="00033A3F">
        <w:rPr>
          <w:color w:val="000000" w:themeColor="text1"/>
        </w:rPr>
        <w:t>a </w:t>
      </w:r>
      <w:r w:rsidR="008430BD" w:rsidRPr="00033A3F">
        <w:rPr>
          <w:color w:val="000000" w:themeColor="text1"/>
        </w:rPr>
        <w:t xml:space="preserve">zohledněny </w:t>
      </w:r>
      <w:r w:rsidR="00D65742" w:rsidRPr="00033A3F">
        <w:rPr>
          <w:color w:val="000000" w:themeColor="text1"/>
        </w:rPr>
        <w:t xml:space="preserve">jsou </w:t>
      </w:r>
      <w:r w:rsidR="008430BD" w:rsidRPr="00033A3F">
        <w:rPr>
          <w:color w:val="000000" w:themeColor="text1"/>
        </w:rPr>
        <w:t xml:space="preserve">i nepřítomnosti soudců, </w:t>
      </w:r>
      <w:r w:rsidR="00FC1534" w:rsidRPr="00033A3F">
        <w:rPr>
          <w:color w:val="000000" w:themeColor="text1"/>
        </w:rPr>
        <w:t>jako</w:t>
      </w:r>
      <w:r w:rsidR="008430BD" w:rsidRPr="00033A3F">
        <w:rPr>
          <w:color w:val="000000" w:themeColor="text1"/>
        </w:rPr>
        <w:t xml:space="preserve"> je </w:t>
      </w:r>
      <w:r w:rsidR="00782F55" w:rsidRPr="00033A3F">
        <w:rPr>
          <w:color w:val="000000" w:themeColor="text1"/>
        </w:rPr>
        <w:t xml:space="preserve">například </w:t>
      </w:r>
      <w:r w:rsidR="008430BD" w:rsidRPr="00033A3F">
        <w:rPr>
          <w:color w:val="000000" w:themeColor="text1"/>
        </w:rPr>
        <w:t>dlouhodobá nemoc apod. Počty skutečných úvazků jsou uvedeny s přesností na desetinu soudce. Tato data jsou využita v kapitolách s přepočty věcí na soudce</w:t>
      </w:r>
      <w:r w:rsidR="00D65742" w:rsidRPr="00033A3F">
        <w:rPr>
          <w:color w:val="000000" w:themeColor="text1"/>
        </w:rPr>
        <w:t xml:space="preserve">, a počínaje touto zprávou </w:t>
      </w:r>
      <w:r w:rsidR="00627D0A" w:rsidRPr="00033A3F">
        <w:rPr>
          <w:color w:val="000000" w:themeColor="text1"/>
        </w:rPr>
        <w:t>a nově</w:t>
      </w:r>
      <w:r w:rsidRPr="00033A3F">
        <w:rPr>
          <w:color w:val="000000" w:themeColor="text1"/>
        </w:rPr>
        <w:t xml:space="preserve"> i</w:t>
      </w:r>
      <w:r w:rsidR="00D65742" w:rsidRPr="00033A3F">
        <w:rPr>
          <w:color w:val="000000" w:themeColor="text1"/>
        </w:rPr>
        <w:t> </w:t>
      </w:r>
      <w:r w:rsidRPr="00033A3F">
        <w:rPr>
          <w:color w:val="000000" w:themeColor="text1"/>
        </w:rPr>
        <w:t>v kapitolách o personálu</w:t>
      </w:r>
      <w:r w:rsidR="000F5128" w:rsidRPr="00033A3F">
        <w:rPr>
          <w:color w:val="000000" w:themeColor="text1"/>
        </w:rPr>
        <w:t xml:space="preserve"> okresních a krajských soudů</w:t>
      </w:r>
      <w:r w:rsidRPr="00033A3F">
        <w:rPr>
          <w:color w:val="000000" w:themeColor="text1"/>
        </w:rPr>
        <w:t>.</w:t>
      </w:r>
    </w:p>
    <w:p w14:paraId="0E486622" w14:textId="7BF497E0" w:rsidR="00C63DEB" w:rsidRPr="00033A3F" w:rsidRDefault="005D23B6" w:rsidP="008430BD">
      <w:pPr>
        <w:pStyle w:val="Odstavecseseznamem"/>
        <w:numPr>
          <w:ilvl w:val="1"/>
          <w:numId w:val="2"/>
        </w:numPr>
        <w:rPr>
          <w:color w:val="000000" w:themeColor="text1"/>
        </w:rPr>
      </w:pPr>
      <w:r w:rsidRPr="00033A3F">
        <w:rPr>
          <w:color w:val="000000" w:themeColor="text1"/>
        </w:rPr>
        <w:t>U</w:t>
      </w:r>
      <w:r w:rsidR="00C63DEB" w:rsidRPr="00033A3F">
        <w:rPr>
          <w:color w:val="000000" w:themeColor="text1"/>
        </w:rPr>
        <w:t xml:space="preserve"> okresních a krajských soudů je evidenční počet soudců nově </w:t>
      </w:r>
      <w:r w:rsidR="00262BEC" w:rsidRPr="00033A3F">
        <w:rPr>
          <w:color w:val="000000" w:themeColor="text1"/>
        </w:rPr>
        <w:t xml:space="preserve">aplikován </w:t>
      </w:r>
      <w:r w:rsidR="00C63DEB" w:rsidRPr="00033A3F">
        <w:rPr>
          <w:color w:val="000000" w:themeColor="text1"/>
        </w:rPr>
        <w:t>jen okrajov</w:t>
      </w:r>
      <w:r w:rsidR="00F42D53" w:rsidRPr="00033A3F">
        <w:rPr>
          <w:color w:val="000000" w:themeColor="text1"/>
        </w:rPr>
        <w:t>ě</w:t>
      </w:r>
      <w:r w:rsidR="00C63DEB" w:rsidRPr="00033A3F">
        <w:rPr>
          <w:color w:val="000000" w:themeColor="text1"/>
        </w:rPr>
        <w:t xml:space="preserve"> pro srovnání se skutečným počtem soudců. U vrchních soudů, Nejvyššího soudu </w:t>
      </w:r>
      <w:r w:rsidR="00D12ED7" w:rsidRPr="00033A3F">
        <w:rPr>
          <w:color w:val="000000" w:themeColor="text1"/>
        </w:rPr>
        <w:t>a </w:t>
      </w:r>
      <w:r w:rsidR="00D61724" w:rsidRPr="00033A3F">
        <w:rPr>
          <w:color w:val="000000" w:themeColor="text1"/>
        </w:rPr>
        <w:t>N</w:t>
      </w:r>
      <w:r w:rsidR="00C63DEB" w:rsidRPr="00033A3F">
        <w:rPr>
          <w:color w:val="000000" w:themeColor="text1"/>
        </w:rPr>
        <w:t xml:space="preserve">ejvyššího správního soudu zůstává evidenční počet soudců stále hlavní metrikou a je </w:t>
      </w:r>
      <w:r w:rsidR="00262BEC" w:rsidRPr="00033A3F">
        <w:rPr>
          <w:color w:val="000000" w:themeColor="text1"/>
        </w:rPr>
        <w:t xml:space="preserve">použit </w:t>
      </w:r>
      <w:r w:rsidR="00C63DEB" w:rsidRPr="00033A3F">
        <w:rPr>
          <w:color w:val="000000" w:themeColor="text1"/>
        </w:rPr>
        <w:t>v časových řadách stejně jako v předchozích verzích zprávy.</w:t>
      </w:r>
    </w:p>
    <w:p w14:paraId="4B9674C9" w14:textId="77777777" w:rsidR="00C63DEB" w:rsidRPr="00033A3F" w:rsidRDefault="00C63DEB" w:rsidP="00C63DEB">
      <w:pPr>
        <w:ind w:left="1080"/>
        <w:rPr>
          <w:color w:val="000000" w:themeColor="text1"/>
        </w:rPr>
      </w:pPr>
    </w:p>
    <w:p w14:paraId="0275EB5B" w14:textId="77777777" w:rsidR="008430BD" w:rsidRPr="00033A3F" w:rsidRDefault="008430BD" w:rsidP="00FA2FE2">
      <w:pPr>
        <w:rPr>
          <w:color w:val="000000" w:themeColor="text1"/>
        </w:rPr>
      </w:pPr>
      <w:r w:rsidRPr="00033A3F">
        <w:rPr>
          <w:color w:val="000000" w:themeColor="text1"/>
        </w:rPr>
        <w:br w:type="page"/>
      </w:r>
    </w:p>
    <w:p w14:paraId="00D2A37B" w14:textId="77777777" w:rsidR="008430BD" w:rsidRPr="00033A3F" w:rsidRDefault="008430BD" w:rsidP="00F15667">
      <w:pPr>
        <w:pStyle w:val="Nadpis2"/>
        <w:numPr>
          <w:ilvl w:val="1"/>
          <w:numId w:val="1"/>
        </w:numPr>
        <w:spacing w:before="120"/>
      </w:pPr>
      <w:bookmarkStart w:id="21" w:name="_Ref508884198"/>
      <w:bookmarkStart w:id="22" w:name="_Toc517118505"/>
      <w:bookmarkStart w:id="23" w:name="_Toc106092711"/>
      <w:bookmarkStart w:id="24" w:name="_Toc169250794"/>
      <w:bookmarkStart w:id="25" w:name="_Toc193530955"/>
      <w:bookmarkStart w:id="26" w:name="_Toc193957012"/>
      <w:bookmarkStart w:id="27" w:name="_Toc203032702"/>
      <w:r w:rsidRPr="00033A3F">
        <w:lastRenderedPageBreak/>
        <w:t>Změny oproti verzi z minulého roku</w:t>
      </w:r>
      <w:bookmarkEnd w:id="21"/>
      <w:bookmarkEnd w:id="22"/>
      <w:bookmarkEnd w:id="23"/>
      <w:bookmarkEnd w:id="24"/>
      <w:bookmarkEnd w:id="25"/>
      <w:bookmarkEnd w:id="26"/>
      <w:bookmarkEnd w:id="27"/>
    </w:p>
    <w:p w14:paraId="05E50E5B" w14:textId="77777777" w:rsidR="00C63DEB" w:rsidRPr="00033A3F" w:rsidRDefault="008F71CE" w:rsidP="008430BD">
      <w:pPr>
        <w:pStyle w:val="OdstavecASR"/>
        <w:rPr>
          <w:color w:val="000000" w:themeColor="text1"/>
        </w:rPr>
      </w:pPr>
      <w:r w:rsidRPr="00033A3F">
        <w:rPr>
          <w:color w:val="000000" w:themeColor="text1"/>
        </w:rPr>
        <w:t xml:space="preserve">Tento rok </w:t>
      </w:r>
      <w:r w:rsidR="00C63DEB" w:rsidRPr="00033A3F">
        <w:rPr>
          <w:color w:val="000000" w:themeColor="text1"/>
        </w:rPr>
        <w:t>byly oproti loňské verzi provedeny následující změny:</w:t>
      </w:r>
    </w:p>
    <w:p w14:paraId="0149A253" w14:textId="397E682C" w:rsidR="006B463A" w:rsidRPr="00033A3F" w:rsidRDefault="006B463A" w:rsidP="006B463A">
      <w:pPr>
        <w:pStyle w:val="OdstavecASR"/>
        <w:numPr>
          <w:ilvl w:val="0"/>
          <w:numId w:val="30"/>
        </w:numPr>
        <w:rPr>
          <w:color w:val="000000" w:themeColor="text1"/>
        </w:rPr>
      </w:pPr>
      <w:r w:rsidRPr="00033A3F">
        <w:rPr>
          <w:color w:val="000000" w:themeColor="text1"/>
        </w:rPr>
        <w:t xml:space="preserve">U některých agend byla změněna metodika výpočtu </w:t>
      </w:r>
      <w:r w:rsidRPr="00033A3F">
        <w:rPr>
          <w:i/>
          <w:iCs/>
          <w:color w:val="000000" w:themeColor="text1"/>
        </w:rPr>
        <w:t>míry změny odvolání</w:t>
      </w:r>
      <w:r w:rsidRPr="00033A3F">
        <w:rPr>
          <w:color w:val="000000" w:themeColor="text1"/>
        </w:rPr>
        <w:t xml:space="preserve"> a </w:t>
      </w:r>
      <w:r w:rsidRPr="00033A3F">
        <w:rPr>
          <w:i/>
          <w:iCs/>
          <w:color w:val="000000" w:themeColor="text1"/>
        </w:rPr>
        <w:t xml:space="preserve">míry změny </w:t>
      </w:r>
      <w:r w:rsidR="00A262C0" w:rsidRPr="00033A3F">
        <w:rPr>
          <w:i/>
          <w:iCs/>
          <w:color w:val="000000" w:themeColor="text1"/>
        </w:rPr>
        <w:t>rozsudku</w:t>
      </w:r>
      <w:r w:rsidR="006E1F5B" w:rsidRPr="00033A3F">
        <w:rPr>
          <w:color w:val="000000" w:themeColor="text1"/>
        </w:rPr>
        <w:t>.</w:t>
      </w:r>
    </w:p>
    <w:p w14:paraId="7D5D49B2" w14:textId="31769154" w:rsidR="006B463A" w:rsidRPr="00033A3F" w:rsidRDefault="006B463A" w:rsidP="006B463A">
      <w:pPr>
        <w:pStyle w:val="OdstavecASR"/>
        <w:numPr>
          <w:ilvl w:val="0"/>
          <w:numId w:val="30"/>
        </w:numPr>
        <w:rPr>
          <w:color w:val="000000" w:themeColor="text1"/>
        </w:rPr>
      </w:pPr>
      <w:r w:rsidRPr="00033A3F">
        <w:rPr>
          <w:color w:val="000000" w:themeColor="text1"/>
        </w:rPr>
        <w:t xml:space="preserve">V civilní odvolací agendě byla doplněna </w:t>
      </w:r>
      <w:r w:rsidRPr="00033A3F">
        <w:rPr>
          <w:i/>
          <w:iCs/>
          <w:color w:val="000000" w:themeColor="text1"/>
        </w:rPr>
        <w:t>délka řízení</w:t>
      </w:r>
      <w:r w:rsidRPr="00033A3F">
        <w:rPr>
          <w:color w:val="000000" w:themeColor="text1"/>
        </w:rPr>
        <w:t xml:space="preserve"> z opatrovnických statistických listů. </w:t>
      </w:r>
      <w:r w:rsidR="00CA61D5" w:rsidRPr="00033A3F">
        <w:rPr>
          <w:color w:val="000000" w:themeColor="text1"/>
        </w:rPr>
        <w:t>Byl t</w:t>
      </w:r>
      <w:r w:rsidRPr="00033A3F">
        <w:rPr>
          <w:color w:val="000000" w:themeColor="text1"/>
        </w:rPr>
        <w:t xml:space="preserve">edy </w:t>
      </w:r>
      <w:r w:rsidR="00C00F59" w:rsidRPr="00033A3F">
        <w:rPr>
          <w:color w:val="000000" w:themeColor="text1"/>
        </w:rPr>
        <w:t xml:space="preserve">doplněn </w:t>
      </w:r>
      <w:r w:rsidRPr="00033A3F">
        <w:rPr>
          <w:color w:val="000000" w:themeColor="text1"/>
        </w:rPr>
        <w:t xml:space="preserve">údaj o </w:t>
      </w:r>
      <w:r w:rsidRPr="00033A3F">
        <w:rPr>
          <w:i/>
          <w:iCs/>
          <w:color w:val="000000" w:themeColor="text1"/>
        </w:rPr>
        <w:t>délce odvolacího řízení</w:t>
      </w:r>
      <w:r w:rsidRPr="00033A3F">
        <w:rPr>
          <w:color w:val="000000" w:themeColor="text1"/>
        </w:rPr>
        <w:t xml:space="preserve"> v opatrovnických sporech</w:t>
      </w:r>
      <w:r w:rsidR="006E1F5B" w:rsidRPr="00033A3F">
        <w:rPr>
          <w:color w:val="000000" w:themeColor="text1"/>
        </w:rPr>
        <w:t>.</w:t>
      </w:r>
    </w:p>
    <w:p w14:paraId="105DA47F" w14:textId="77777777" w:rsidR="006B463A" w:rsidRPr="00033A3F" w:rsidRDefault="006B463A" w:rsidP="006B463A">
      <w:pPr>
        <w:pStyle w:val="OdstavecASR"/>
        <w:numPr>
          <w:ilvl w:val="0"/>
          <w:numId w:val="21"/>
        </w:numPr>
        <w:rPr>
          <w:color w:val="000000" w:themeColor="text1"/>
        </w:rPr>
      </w:pPr>
      <w:r w:rsidRPr="00033A3F">
        <w:rPr>
          <w:color w:val="000000" w:themeColor="text1"/>
        </w:rPr>
        <w:t xml:space="preserve">Opět byla aktualizována data, změněny některé grafy a tabulky a upraveny </w:t>
      </w:r>
      <w:r w:rsidRPr="00033A3F">
        <w:rPr>
          <w:i/>
          <w:iCs/>
          <w:color w:val="000000" w:themeColor="text1"/>
        </w:rPr>
        <w:t xml:space="preserve">další statistiky </w:t>
      </w:r>
      <w:r w:rsidRPr="00033A3F">
        <w:rPr>
          <w:color w:val="000000" w:themeColor="text1"/>
        </w:rPr>
        <w:t>a mezinárodní srovnání.</w:t>
      </w:r>
    </w:p>
    <w:p w14:paraId="5DC6EF78" w14:textId="77777777" w:rsidR="006B463A" w:rsidRPr="00033A3F" w:rsidRDefault="006B463A" w:rsidP="008430BD">
      <w:pPr>
        <w:pStyle w:val="OdstavecASR"/>
        <w:rPr>
          <w:color w:val="000000" w:themeColor="text1"/>
        </w:rPr>
      </w:pPr>
    </w:p>
    <w:p w14:paraId="72AAE666" w14:textId="77777777" w:rsidR="00BB7181" w:rsidRPr="00033A3F" w:rsidRDefault="00BB7181">
      <w:pPr>
        <w:spacing w:after="160" w:line="259" w:lineRule="auto"/>
        <w:jc w:val="left"/>
        <w:rPr>
          <w:rFonts w:eastAsiaTheme="majorEastAsia" w:cstheme="majorBidi"/>
          <w:b/>
          <w:color w:val="000000" w:themeColor="text1"/>
          <w:sz w:val="32"/>
          <w:szCs w:val="32"/>
        </w:rPr>
      </w:pPr>
      <w:bookmarkStart w:id="28" w:name="_Toc517118506"/>
      <w:bookmarkStart w:id="29" w:name="_Toc106092712"/>
      <w:r w:rsidRPr="00033A3F">
        <w:rPr>
          <w:color w:val="000000" w:themeColor="text1"/>
        </w:rPr>
        <w:br w:type="page"/>
      </w:r>
    </w:p>
    <w:p w14:paraId="0FD2D779" w14:textId="17D25899" w:rsidR="00BB7181" w:rsidRPr="00033A3F" w:rsidRDefault="00A85EE0" w:rsidP="00BB7181">
      <w:pPr>
        <w:pStyle w:val="Nadpis2"/>
        <w:numPr>
          <w:ilvl w:val="1"/>
          <w:numId w:val="1"/>
        </w:numPr>
        <w:spacing w:before="120"/>
        <w:rPr>
          <w:lang w:eastAsia="cs-CZ"/>
        </w:rPr>
      </w:pPr>
      <w:bookmarkStart w:id="30" w:name="_Toc106092830"/>
      <w:bookmarkStart w:id="31" w:name="_Toc169250795"/>
      <w:bookmarkStart w:id="32" w:name="_Toc193530956"/>
      <w:bookmarkStart w:id="33" w:name="_Toc193957013"/>
      <w:bookmarkStart w:id="34" w:name="_Toc203032703"/>
      <w:r w:rsidRPr="00033A3F">
        <w:rPr>
          <w:lang w:eastAsia="cs-CZ"/>
        </w:rPr>
        <w:lastRenderedPageBreak/>
        <w:t>Stručné</w:t>
      </w:r>
      <w:r w:rsidR="00A94F8F" w:rsidRPr="00033A3F">
        <w:rPr>
          <w:lang w:eastAsia="cs-CZ"/>
        </w:rPr>
        <w:t xml:space="preserve"> s</w:t>
      </w:r>
      <w:r w:rsidR="00BB7181" w:rsidRPr="00033A3F">
        <w:rPr>
          <w:lang w:eastAsia="cs-CZ"/>
        </w:rPr>
        <w:t>hrnutí</w:t>
      </w:r>
      <w:bookmarkEnd w:id="30"/>
      <w:bookmarkEnd w:id="31"/>
      <w:bookmarkEnd w:id="32"/>
      <w:bookmarkEnd w:id="33"/>
      <w:bookmarkEnd w:id="34"/>
    </w:p>
    <w:p w14:paraId="26A10869" w14:textId="03C5E5F0" w:rsidR="00BB7181" w:rsidRPr="00033A3F" w:rsidRDefault="00A85EE0" w:rsidP="00BB7181">
      <w:pPr>
        <w:pStyle w:val="OdstavecASR"/>
        <w:keepNext/>
        <w:outlineLvl w:val="3"/>
        <w:rPr>
          <w:b/>
          <w:bCs/>
          <w:color w:val="000000" w:themeColor="text1"/>
          <w:lang w:eastAsia="cs-CZ"/>
        </w:rPr>
      </w:pPr>
      <w:r w:rsidRPr="00033A3F">
        <w:rPr>
          <w:b/>
          <w:bCs/>
          <w:color w:val="000000" w:themeColor="text1"/>
          <w:lang w:eastAsia="cs-CZ"/>
        </w:rPr>
        <w:t>Obecně</w:t>
      </w:r>
    </w:p>
    <w:p w14:paraId="7360C056" w14:textId="044192CA" w:rsidR="001D2290" w:rsidRPr="00033A3F" w:rsidRDefault="001D2290" w:rsidP="001D2290">
      <w:pPr>
        <w:pStyle w:val="OdstavecASR"/>
        <w:rPr>
          <w:color w:val="000000" w:themeColor="text1"/>
        </w:rPr>
      </w:pPr>
      <w:r w:rsidRPr="00033A3F">
        <w:rPr>
          <w:color w:val="000000" w:themeColor="text1"/>
        </w:rPr>
        <w:t>Celkově lze označit situaci v českém soudnictví jako stabilní. Plánovaný počet soudců je 3 063, evidenční počet soudců se obvykle drží těsně nad 3 000. Mírný rozdíl je vysvětlen tím, že jednotliví soudci průběžně ukončují výkon funkce (ať už z důvodu dosažení věku 70</w:t>
      </w:r>
      <w:r w:rsidR="00A25D2E" w:rsidRPr="00033A3F">
        <w:rPr>
          <w:color w:val="000000" w:themeColor="text1"/>
        </w:rPr>
        <w:t> </w:t>
      </w:r>
      <w:r w:rsidRPr="00033A3F">
        <w:rPr>
          <w:color w:val="000000" w:themeColor="text1"/>
        </w:rPr>
        <w:t>let k 31.</w:t>
      </w:r>
      <w:r w:rsidR="00A25D2E" w:rsidRPr="00033A3F">
        <w:rPr>
          <w:color w:val="000000" w:themeColor="text1"/>
        </w:rPr>
        <w:t> </w:t>
      </w:r>
      <w:r w:rsidRPr="00033A3F">
        <w:rPr>
          <w:color w:val="000000" w:themeColor="text1"/>
        </w:rPr>
        <w:t>prosinci příslušného roku či z jiných důvodů) a doplňováni jsou pouze několikrát ročně během jmenovacích etap. Pokud jde o skutečný p</w:t>
      </w:r>
      <w:r w:rsidR="00293866" w:rsidRPr="00033A3F">
        <w:rPr>
          <w:color w:val="000000" w:themeColor="text1"/>
        </w:rPr>
        <w:t xml:space="preserve">očet soudců, ten je u OS nižší </w:t>
      </w:r>
      <w:r w:rsidRPr="00033A3F">
        <w:rPr>
          <w:color w:val="000000" w:themeColor="text1"/>
        </w:rPr>
        <w:t xml:space="preserve">než evidenční počet </w:t>
      </w:r>
      <w:r w:rsidR="0033507E" w:rsidRPr="00033A3F">
        <w:rPr>
          <w:color w:val="000000" w:themeColor="text1"/>
        </w:rPr>
        <w:t xml:space="preserve">soudců, a to </w:t>
      </w:r>
      <w:r w:rsidRPr="00033A3F">
        <w:rPr>
          <w:color w:val="000000" w:themeColor="text1"/>
        </w:rPr>
        <w:t>z </w:t>
      </w:r>
      <w:r w:rsidR="0033507E" w:rsidRPr="00033A3F">
        <w:rPr>
          <w:color w:val="000000" w:themeColor="text1"/>
        </w:rPr>
        <w:t>důvodu</w:t>
      </w:r>
      <w:r w:rsidRPr="00033A3F">
        <w:rPr>
          <w:color w:val="000000" w:themeColor="text1"/>
        </w:rPr>
        <w:t xml:space="preserve"> stáží u vyšších soudů, nemocnosti či rodičovských dovolených; u KS přibližně odpovídá evidenčnímu počtu či je o něco vyšší (v závislosti na roku). Pokud jde o podíl soudců a</w:t>
      </w:r>
      <w:r w:rsidR="00A25D2E" w:rsidRPr="00033A3F">
        <w:rPr>
          <w:color w:val="000000" w:themeColor="text1"/>
        </w:rPr>
        <w:t> </w:t>
      </w:r>
      <w:r w:rsidRPr="00033A3F">
        <w:rPr>
          <w:color w:val="000000" w:themeColor="text1"/>
        </w:rPr>
        <w:t>soudkyň, stejně jako ve většině zemí EU i celé Evropy platí, že podíl soudkyň je nejvyšší u soudů 1.</w:t>
      </w:r>
      <w:r w:rsidR="0057327F">
        <w:rPr>
          <w:color w:val="000000" w:themeColor="text1"/>
        </w:rPr>
        <w:t> </w:t>
      </w:r>
      <w:r w:rsidRPr="00033A3F">
        <w:rPr>
          <w:color w:val="000000" w:themeColor="text1"/>
        </w:rPr>
        <w:t>stupně a postupně klesá s každým dalším stupněm soudu</w:t>
      </w:r>
      <w:r w:rsidR="00097388" w:rsidRPr="00033A3F">
        <w:rPr>
          <w:color w:val="000000" w:themeColor="text1"/>
        </w:rPr>
        <w:t xml:space="preserve"> (přehled za celou soudní soustavu v rámci Evropy viz kapitola Mezinárodní srovnání).</w:t>
      </w:r>
      <w:r w:rsidR="00DE3F85" w:rsidRPr="00033A3F">
        <w:rPr>
          <w:color w:val="000000" w:themeColor="text1"/>
        </w:rPr>
        <w:t xml:space="preserve"> </w:t>
      </w:r>
    </w:p>
    <w:p w14:paraId="61BF9E0C" w14:textId="421F61D2" w:rsidR="001D2290" w:rsidRPr="00033A3F" w:rsidRDefault="001D2290" w:rsidP="001D2290">
      <w:pPr>
        <w:pStyle w:val="OdstavecASR"/>
        <w:rPr>
          <w:color w:val="000000" w:themeColor="text1"/>
        </w:rPr>
      </w:pPr>
      <w:r w:rsidRPr="00033A3F">
        <w:rPr>
          <w:color w:val="000000" w:themeColor="text1"/>
        </w:rPr>
        <w:t>Délky řízení se v absolutních číslech samozřejmě liší v závislosti na agendě a článku soudní soustavy. Obecně lze ale říci, že ve většině případů jsou stabilní a někdy dokonce klesají (především správní agenda u krajských soudů). V této oblasti došlo hlavně u okresních soudů ve sledovaném období 2015 až 2024 k velkému zlepšení, a to především díky snížení variability mezi soudy</w:t>
      </w:r>
      <w:r w:rsidR="005A5CE3" w:rsidRPr="00033A3F">
        <w:rPr>
          <w:color w:val="000000" w:themeColor="text1"/>
        </w:rPr>
        <w:t>,</w:t>
      </w:r>
      <w:r w:rsidRPr="00033A3F">
        <w:rPr>
          <w:color w:val="000000" w:themeColor="text1"/>
        </w:rPr>
        <w:t xml:space="preserve"> </w:t>
      </w:r>
      <w:r w:rsidR="005A5CE3" w:rsidRPr="00033A3F">
        <w:rPr>
          <w:color w:val="000000" w:themeColor="text1"/>
        </w:rPr>
        <w:t>t</w:t>
      </w:r>
      <w:r w:rsidRPr="00033A3F">
        <w:rPr>
          <w:color w:val="000000" w:themeColor="text1"/>
        </w:rPr>
        <w:t>edy tomu, že se podařilo vylepšit statistiky nejpřetíženějších soudů</w:t>
      </w:r>
    </w:p>
    <w:p w14:paraId="699D9C0C" w14:textId="7935468F" w:rsidR="001D2290" w:rsidRPr="00033A3F" w:rsidRDefault="001D2290" w:rsidP="001D2290">
      <w:pPr>
        <w:pStyle w:val="OdstavecASR"/>
        <w:rPr>
          <w:color w:val="000000" w:themeColor="text1"/>
        </w:rPr>
      </w:pPr>
      <w:r w:rsidRPr="00033A3F">
        <w:rPr>
          <w:color w:val="000000" w:themeColor="text1"/>
        </w:rPr>
        <w:t xml:space="preserve">Obdobné závěry platí i pro počty věcí. Nápad </w:t>
      </w:r>
      <w:r w:rsidR="005A5CE3" w:rsidRPr="00033A3F">
        <w:rPr>
          <w:color w:val="000000" w:themeColor="text1"/>
        </w:rPr>
        <w:t xml:space="preserve">v mnoha </w:t>
      </w:r>
      <w:r w:rsidRPr="00033A3F">
        <w:rPr>
          <w:color w:val="000000" w:themeColor="text1"/>
        </w:rPr>
        <w:t>agend</w:t>
      </w:r>
      <w:r w:rsidR="005A5CE3" w:rsidRPr="00033A3F">
        <w:rPr>
          <w:color w:val="000000" w:themeColor="text1"/>
        </w:rPr>
        <w:t>ách</w:t>
      </w:r>
      <w:r w:rsidRPr="00033A3F">
        <w:rPr>
          <w:color w:val="000000" w:themeColor="text1"/>
        </w:rPr>
        <w:t xml:space="preserve"> u okresních soudů klesal již před začátkem sledovaného období a</w:t>
      </w:r>
      <w:r w:rsidR="005A5CE3" w:rsidRPr="00033A3F">
        <w:rPr>
          <w:color w:val="000000" w:themeColor="text1"/>
        </w:rPr>
        <w:t xml:space="preserve"> tento trend pokračoval</w:t>
      </w:r>
      <w:r w:rsidRPr="00033A3F">
        <w:rPr>
          <w:color w:val="000000" w:themeColor="text1"/>
        </w:rPr>
        <w:t xml:space="preserve"> až do roku 2020. Počet nevyřízených věcí často klesal až do roku 2023 či 2024. Vylepšování statistik </w:t>
      </w:r>
      <w:r w:rsidR="005A5CE3" w:rsidRPr="00033A3F">
        <w:rPr>
          <w:color w:val="000000" w:themeColor="text1"/>
        </w:rPr>
        <w:t>u </w:t>
      </w:r>
      <w:r w:rsidRPr="00033A3F">
        <w:rPr>
          <w:color w:val="000000" w:themeColor="text1"/>
        </w:rPr>
        <w:t>okresních soudů bylo tedy hlavně patrné v dřívějších letech, postupně výrazně zpomalilo</w:t>
      </w:r>
      <w:r w:rsidR="00A55730" w:rsidRPr="00033A3F">
        <w:rPr>
          <w:color w:val="000000" w:themeColor="text1"/>
        </w:rPr>
        <w:t xml:space="preserve"> a v současnosti je situace prakticky stabilní</w:t>
      </w:r>
      <w:r w:rsidRPr="00033A3F">
        <w:rPr>
          <w:color w:val="000000" w:themeColor="text1"/>
        </w:rPr>
        <w:t>.</w:t>
      </w:r>
    </w:p>
    <w:p w14:paraId="0F1F277A" w14:textId="5E7870D8" w:rsidR="001D2290" w:rsidRPr="00033A3F" w:rsidRDefault="001D2290" w:rsidP="001D2290">
      <w:pPr>
        <w:pStyle w:val="OdstavecASR"/>
        <w:rPr>
          <w:color w:val="000000" w:themeColor="text1"/>
        </w:rPr>
      </w:pPr>
      <w:r w:rsidRPr="00033A3F">
        <w:rPr>
          <w:color w:val="000000" w:themeColor="text1"/>
        </w:rPr>
        <w:t>U krajských a vrchních soudů je situace různorodější. V současné době je ale situace u většiny agend víceméně stabilní. Za zmínku opět stojí správní agenda u krajských soudů i NSS, kde došlo v letech 2022 až 2024 k výraznému zlepšení situace.</w:t>
      </w:r>
    </w:p>
    <w:p w14:paraId="393A2320" w14:textId="6F4E9483" w:rsidR="001D2290" w:rsidRPr="00033A3F" w:rsidRDefault="001D2290" w:rsidP="001D2290">
      <w:pPr>
        <w:pStyle w:val="OdstavecASR"/>
        <w:rPr>
          <w:color w:val="000000" w:themeColor="text1"/>
        </w:rPr>
      </w:pPr>
      <w:r w:rsidRPr="00033A3F">
        <w:rPr>
          <w:color w:val="000000" w:themeColor="text1"/>
        </w:rPr>
        <w:t xml:space="preserve">V rámci mezinárodního srovnání si ČR </w:t>
      </w:r>
      <w:r w:rsidR="00107175" w:rsidRPr="00033A3F">
        <w:rPr>
          <w:color w:val="000000" w:themeColor="text1"/>
        </w:rPr>
        <w:t>vede velmi dobře</w:t>
      </w:r>
      <w:r w:rsidRPr="00033A3F">
        <w:rPr>
          <w:color w:val="000000" w:themeColor="text1"/>
        </w:rPr>
        <w:t>, a i v tomto srovnání je situace v posledních letech stabilní</w:t>
      </w:r>
      <w:r w:rsidR="00ED78E0" w:rsidRPr="00033A3F">
        <w:rPr>
          <w:color w:val="000000" w:themeColor="text1"/>
        </w:rPr>
        <w:t>, kdy v mnoha hodnocených kritériích se Česká republika um</w:t>
      </w:r>
      <w:r w:rsidR="00586CE5">
        <w:rPr>
          <w:color w:val="000000" w:themeColor="text1"/>
        </w:rPr>
        <w:t>i</w:t>
      </w:r>
      <w:r w:rsidR="00ED78E0" w:rsidRPr="00033A3F">
        <w:rPr>
          <w:color w:val="000000" w:themeColor="text1"/>
        </w:rPr>
        <w:t>sťuje uprostřed států EU</w:t>
      </w:r>
      <w:r w:rsidR="00107175" w:rsidRPr="00033A3F">
        <w:rPr>
          <w:color w:val="000000" w:themeColor="text1"/>
        </w:rPr>
        <w:t xml:space="preserve"> nebo se krok za krokem zlepšuje</w:t>
      </w:r>
      <w:r w:rsidR="004054A6" w:rsidRPr="00033A3F">
        <w:rPr>
          <w:color w:val="000000" w:themeColor="text1"/>
        </w:rPr>
        <w:t xml:space="preserve"> a směřuje mezi nejlepší</w:t>
      </w:r>
      <w:r w:rsidRPr="00033A3F">
        <w:rPr>
          <w:color w:val="000000" w:themeColor="text1"/>
        </w:rPr>
        <w:t xml:space="preserve">. Zmínit můžeme velmi dobrou dostupnost soudní ochrany doprovázenou relativně vysokou vnímanou nezávislostí soudů jak ze strany veřejnosti, tak podnikatelů (zejména v porovnání se sousedním Polskem, Slovenskem i Maďarskem), stejně jako </w:t>
      </w:r>
      <w:r w:rsidR="005B2E72" w:rsidRPr="00033A3F">
        <w:rPr>
          <w:color w:val="000000" w:themeColor="text1"/>
        </w:rPr>
        <w:t xml:space="preserve">velmi </w:t>
      </w:r>
      <w:r w:rsidRPr="00033A3F">
        <w:rPr>
          <w:color w:val="000000" w:themeColor="text1"/>
        </w:rPr>
        <w:t>efektivní vyřizování civilní, správní, ale i</w:t>
      </w:r>
      <w:r w:rsidR="00F80B2D" w:rsidRPr="00033A3F">
        <w:rPr>
          <w:color w:val="000000" w:themeColor="text1"/>
        </w:rPr>
        <w:t> </w:t>
      </w:r>
      <w:r w:rsidRPr="00033A3F">
        <w:rPr>
          <w:color w:val="000000" w:themeColor="text1"/>
        </w:rPr>
        <w:t>trestní agendy</w:t>
      </w:r>
      <w:r w:rsidR="005B2E72" w:rsidRPr="00033A3F">
        <w:rPr>
          <w:color w:val="000000" w:themeColor="text1"/>
        </w:rPr>
        <w:t xml:space="preserve"> (data viz </w:t>
      </w:r>
      <w:r w:rsidR="00A710AF" w:rsidRPr="00033A3F">
        <w:rPr>
          <w:color w:val="000000" w:themeColor="text1"/>
        </w:rPr>
        <w:t xml:space="preserve">kapitola </w:t>
      </w:r>
      <w:r w:rsidR="005B2E72" w:rsidRPr="00033A3F">
        <w:rPr>
          <w:color w:val="000000" w:themeColor="text1"/>
        </w:rPr>
        <w:t xml:space="preserve">Mezinárodní srovnání, závěrečná </w:t>
      </w:r>
      <w:r w:rsidR="00C26CAE" w:rsidRPr="00033A3F">
        <w:rPr>
          <w:color w:val="000000" w:themeColor="text1"/>
        </w:rPr>
        <w:t xml:space="preserve">srovnávací </w:t>
      </w:r>
      <w:r w:rsidR="005B2E72" w:rsidRPr="00033A3F">
        <w:rPr>
          <w:color w:val="000000" w:themeColor="text1"/>
        </w:rPr>
        <w:t>tabulka</w:t>
      </w:r>
      <w:r w:rsidR="00C26CAE" w:rsidRPr="00033A3F">
        <w:rPr>
          <w:color w:val="000000" w:themeColor="text1"/>
        </w:rPr>
        <w:t xml:space="preserve"> Disposition time</w:t>
      </w:r>
      <w:r w:rsidR="005B2E72" w:rsidRPr="00033A3F">
        <w:rPr>
          <w:color w:val="000000" w:themeColor="text1"/>
        </w:rPr>
        <w:t>)</w:t>
      </w:r>
      <w:r w:rsidRPr="00033A3F">
        <w:rPr>
          <w:color w:val="000000" w:themeColor="text1"/>
        </w:rPr>
        <w:t>.</w:t>
      </w:r>
      <w:r w:rsidR="00470963" w:rsidRPr="00033A3F">
        <w:rPr>
          <w:color w:val="000000" w:themeColor="text1"/>
        </w:rPr>
        <w:t xml:space="preserve"> Například kontinuální úsilí ve </w:t>
      </w:r>
      <w:r w:rsidR="001306FC" w:rsidRPr="00033A3F">
        <w:rPr>
          <w:color w:val="000000" w:themeColor="text1"/>
        </w:rPr>
        <w:t>s</w:t>
      </w:r>
      <w:r w:rsidR="00470963" w:rsidRPr="00033A3F">
        <w:rPr>
          <w:color w:val="000000" w:themeColor="text1"/>
        </w:rPr>
        <w:t>právní agendě ved</w:t>
      </w:r>
      <w:r w:rsidR="00ED78E0" w:rsidRPr="00033A3F">
        <w:rPr>
          <w:color w:val="000000" w:themeColor="text1"/>
        </w:rPr>
        <w:t>lo</w:t>
      </w:r>
      <w:r w:rsidR="00470963" w:rsidRPr="00033A3F">
        <w:rPr>
          <w:color w:val="000000" w:themeColor="text1"/>
        </w:rPr>
        <w:t xml:space="preserve"> k tomu, že v roce 2022 (poslední dostupná data</w:t>
      </w:r>
      <w:r w:rsidR="006B1800" w:rsidRPr="00033A3F">
        <w:rPr>
          <w:color w:val="000000" w:themeColor="text1"/>
        </w:rPr>
        <w:t xml:space="preserve"> v mezinárodním porovnání</w:t>
      </w:r>
      <w:r w:rsidR="00470963" w:rsidRPr="00033A3F">
        <w:rPr>
          <w:color w:val="000000" w:themeColor="text1"/>
        </w:rPr>
        <w:t>) má Česká republik</w:t>
      </w:r>
      <w:r w:rsidR="00A710AF" w:rsidRPr="00033A3F">
        <w:rPr>
          <w:color w:val="000000" w:themeColor="text1"/>
        </w:rPr>
        <w:t>a</w:t>
      </w:r>
      <w:r w:rsidR="00470963" w:rsidRPr="00033A3F">
        <w:rPr>
          <w:color w:val="000000" w:themeColor="text1"/>
        </w:rPr>
        <w:t xml:space="preserve"> nejméně nevyřízených </w:t>
      </w:r>
      <w:r w:rsidR="00ED78E0" w:rsidRPr="00033A3F">
        <w:rPr>
          <w:color w:val="000000" w:themeColor="text1"/>
        </w:rPr>
        <w:t xml:space="preserve">správních </w:t>
      </w:r>
      <w:r w:rsidR="00470963" w:rsidRPr="00033A3F">
        <w:rPr>
          <w:color w:val="000000" w:themeColor="text1"/>
        </w:rPr>
        <w:t>věcí na 100 obyvatel v celé EU.</w:t>
      </w:r>
      <w:r w:rsidR="00ED78E0" w:rsidRPr="00033A3F">
        <w:rPr>
          <w:color w:val="000000" w:themeColor="text1"/>
        </w:rPr>
        <w:t xml:space="preserve"> </w:t>
      </w:r>
      <w:r w:rsidR="004054A6" w:rsidRPr="00033A3F">
        <w:rPr>
          <w:color w:val="000000" w:themeColor="text1"/>
        </w:rPr>
        <w:t>A j</w:t>
      </w:r>
      <w:r w:rsidR="00ED78E0" w:rsidRPr="00033A3F">
        <w:rPr>
          <w:color w:val="000000" w:themeColor="text1"/>
        </w:rPr>
        <w:t>akmile vylepšíme své postavení v oblastech spojených s elektronizací, digitalizací, online přístupech jak v rámci profesní komunity tak i ze strany laické veřejnosti, začleníme se mezi premianty EU</w:t>
      </w:r>
      <w:r w:rsidR="001306FC" w:rsidRPr="00033A3F">
        <w:rPr>
          <w:color w:val="000000" w:themeColor="text1"/>
        </w:rPr>
        <w:t xml:space="preserve"> – převážně jsme zatím </w:t>
      </w:r>
      <w:r w:rsidR="00E80B5C" w:rsidRPr="00033A3F">
        <w:rPr>
          <w:color w:val="000000" w:themeColor="text1"/>
        </w:rPr>
        <w:t xml:space="preserve">v digitalizaci </w:t>
      </w:r>
      <w:r w:rsidR="001306FC" w:rsidRPr="00033A3F">
        <w:rPr>
          <w:color w:val="000000" w:themeColor="text1"/>
        </w:rPr>
        <w:t>uprostřed nebo na konci seznamu států EU</w:t>
      </w:r>
      <w:r w:rsidR="0024728E" w:rsidRPr="00033A3F">
        <w:rPr>
          <w:color w:val="000000" w:themeColor="text1"/>
        </w:rPr>
        <w:t xml:space="preserve">. </w:t>
      </w:r>
      <w:r w:rsidR="0058457C" w:rsidRPr="00033A3F">
        <w:rPr>
          <w:color w:val="000000" w:themeColor="text1"/>
        </w:rPr>
        <w:t xml:space="preserve">Jak </w:t>
      </w:r>
      <w:r w:rsidR="001306FC" w:rsidRPr="00033A3F">
        <w:rPr>
          <w:color w:val="000000" w:themeColor="text1"/>
        </w:rPr>
        <w:t xml:space="preserve">však </w:t>
      </w:r>
      <w:r w:rsidR="0058457C" w:rsidRPr="00033A3F">
        <w:rPr>
          <w:color w:val="000000" w:themeColor="text1"/>
        </w:rPr>
        <w:t>konstatuje i publikace „EU Justice Scoreboard 2024“ (</w:t>
      </w:r>
      <w:r w:rsidR="00D4062C" w:rsidRPr="00033A3F">
        <w:rPr>
          <w:color w:val="000000" w:themeColor="text1"/>
        </w:rPr>
        <w:t>F</w:t>
      </w:r>
      <w:r w:rsidR="0058457C" w:rsidRPr="00033A3F">
        <w:rPr>
          <w:color w:val="000000" w:themeColor="text1"/>
        </w:rPr>
        <w:t xml:space="preserve">ig. 43), Česká republika má </w:t>
      </w:r>
      <w:r w:rsidR="005B2E72" w:rsidRPr="00033A3F">
        <w:rPr>
          <w:color w:val="000000" w:themeColor="text1"/>
        </w:rPr>
        <w:t xml:space="preserve">již </w:t>
      </w:r>
      <w:r w:rsidR="0058457C" w:rsidRPr="00033A3F">
        <w:rPr>
          <w:color w:val="000000" w:themeColor="text1"/>
        </w:rPr>
        <w:t>plně připravena procesní pravidla umožňující využití digitální technologie u soudů. Samozřejmě, oblastí ke zlepšení je více, ale zvládnutá digitalizace společně s personální a finanční stabilizací posune českou justici na úplně jiný level, tedy mezi nejefektivnější a nejmodernější justiční systémy v Evropě.</w:t>
      </w:r>
    </w:p>
    <w:p w14:paraId="0662581F" w14:textId="4ECA3E9F" w:rsidR="001D2290" w:rsidRPr="00033A3F" w:rsidRDefault="00E42C40" w:rsidP="001D2290">
      <w:pPr>
        <w:pStyle w:val="OdstavecASR"/>
        <w:rPr>
          <w:color w:val="000000" w:themeColor="text1"/>
        </w:rPr>
      </w:pPr>
      <w:r>
        <w:rPr>
          <w:color w:val="000000" w:themeColor="text1"/>
        </w:rPr>
        <w:lastRenderedPageBreak/>
        <w:t>Přestože</w:t>
      </w:r>
      <w:r w:rsidR="001D2290" w:rsidRPr="00033A3F">
        <w:rPr>
          <w:color w:val="000000" w:themeColor="text1"/>
        </w:rPr>
        <w:t xml:space="preserve"> je situace ve výkonnostních ukazatelích často v posledních letech stabilní (nebo se mírně vylepšuje), v datech můžeme identifikovat výrazné vývojové trendy v obsahu samotné rozhodovací činnosti. Jako příklad lze uvést rostoucí trend ukládání peněžitých trestů</w:t>
      </w:r>
      <w:r w:rsidR="006B1800" w:rsidRPr="00033A3F">
        <w:rPr>
          <w:color w:val="000000" w:themeColor="text1"/>
        </w:rPr>
        <w:t xml:space="preserve"> do roku 2023</w:t>
      </w:r>
      <w:r w:rsidR="001D2290" w:rsidRPr="00033A3F">
        <w:rPr>
          <w:color w:val="000000" w:themeColor="text1"/>
        </w:rPr>
        <w:t xml:space="preserve"> využívání institutu dohody o vině a trestu v trestní agendě</w:t>
      </w:r>
      <w:r w:rsidR="006B1800" w:rsidRPr="00033A3F">
        <w:rPr>
          <w:color w:val="000000" w:themeColor="text1"/>
        </w:rPr>
        <w:t xml:space="preserve"> či nárůst v počtu odvolání proti rozhodnutí exekutora</w:t>
      </w:r>
      <w:r w:rsidR="001D2290" w:rsidRPr="00033A3F">
        <w:rPr>
          <w:color w:val="000000" w:themeColor="text1"/>
        </w:rPr>
        <w:t>.</w:t>
      </w:r>
    </w:p>
    <w:p w14:paraId="05DB5A68" w14:textId="77777777" w:rsidR="001D2290" w:rsidRPr="00033A3F" w:rsidRDefault="001D2290" w:rsidP="001D2290">
      <w:pPr>
        <w:pStyle w:val="OdstavecASR"/>
        <w:rPr>
          <w:color w:val="000000" w:themeColor="text1"/>
        </w:rPr>
      </w:pPr>
      <w:r w:rsidRPr="00033A3F">
        <w:rPr>
          <w:color w:val="000000" w:themeColor="text1"/>
        </w:rPr>
        <w:t>Podrobnější informace jsou dostupné v jednotlivých částech této publikace.</w:t>
      </w:r>
    </w:p>
    <w:p w14:paraId="37A6D5B8" w14:textId="72EF67CB" w:rsidR="0045511E" w:rsidRPr="00033A3F" w:rsidRDefault="00BB7181" w:rsidP="00FC273B">
      <w:pPr>
        <w:pStyle w:val="OdstavecASR"/>
        <w:keepNext/>
        <w:outlineLvl w:val="3"/>
        <w:rPr>
          <w:b/>
          <w:bCs/>
          <w:color w:val="000000" w:themeColor="text1"/>
          <w:lang w:eastAsia="cs-CZ"/>
        </w:rPr>
      </w:pPr>
      <w:r w:rsidRPr="00033A3F">
        <w:rPr>
          <w:b/>
          <w:bCs/>
          <w:color w:val="000000" w:themeColor="text1"/>
          <w:lang w:eastAsia="cs-CZ"/>
        </w:rPr>
        <w:t>Okresní soudy</w:t>
      </w:r>
    </w:p>
    <w:p w14:paraId="37DAC3EA" w14:textId="621C3FB3" w:rsidR="0045511E" w:rsidRPr="00033A3F" w:rsidRDefault="0045511E" w:rsidP="0045511E">
      <w:pPr>
        <w:pStyle w:val="OdstavecASR"/>
        <w:rPr>
          <w:color w:val="000000" w:themeColor="text1"/>
        </w:rPr>
      </w:pPr>
      <w:r w:rsidRPr="00033A3F">
        <w:rPr>
          <w:color w:val="000000" w:themeColor="text1"/>
        </w:rPr>
        <w:t>Počet soudců je u OS dlouhodobě stabilní. Nemění se ani velikost úseků, ani zastoupení dle pohlaví. Počet skutečných úvazků je nižší než počet evidenčních soudců z důvodů stáží u vyšších soudů, nemocnosti či rodičovských dovolených.</w:t>
      </w:r>
    </w:p>
    <w:p w14:paraId="5E9AB0E9" w14:textId="1C5F67C2" w:rsidR="0045511E" w:rsidRPr="00033A3F" w:rsidRDefault="0045511E" w:rsidP="0045511E">
      <w:pPr>
        <w:pStyle w:val="OdstavecASR"/>
        <w:rPr>
          <w:color w:val="000000" w:themeColor="text1"/>
        </w:rPr>
      </w:pPr>
      <w:r w:rsidRPr="00033A3F">
        <w:rPr>
          <w:color w:val="000000" w:themeColor="text1"/>
        </w:rPr>
        <w:t>V civilní agendě došlo ve sledovaném období k výraznému zlepšení. Došlo k razantnímu snížení v délkách řízení, dispozičním čase a počtech nevyřízených věcí a nedodělků. Tomuto vývoji nepochybně napomohlo výrazné snížení nápadu. Historicky značná část problémů plynula z velké variability – mnoho soudů problémy nemělo, ale soudy v Jihomoravském kraji a především v Severočeském kraji vykazovaly značné obtíže. Situace se i v tomto ohledu výrazně zlepšila, ale určité rozdíly přetrvávají.</w:t>
      </w:r>
      <w:r w:rsidR="00FC273B" w:rsidRPr="00033A3F">
        <w:rPr>
          <w:color w:val="000000" w:themeColor="text1"/>
        </w:rPr>
        <w:t xml:space="preserve"> Vylepšování statistik bylo hlavně patrné v dřívějších letech, postupně výrazně zpomalilo</w:t>
      </w:r>
      <w:r w:rsidR="00A55730" w:rsidRPr="00033A3F">
        <w:rPr>
          <w:color w:val="000000" w:themeColor="text1"/>
        </w:rPr>
        <w:t xml:space="preserve"> a v současnosti je situace prakticky stabilní</w:t>
      </w:r>
      <w:r w:rsidR="00FC273B" w:rsidRPr="00033A3F">
        <w:rPr>
          <w:color w:val="000000" w:themeColor="text1"/>
        </w:rPr>
        <w:t>.</w:t>
      </w:r>
    </w:p>
    <w:p w14:paraId="6F81D0BB" w14:textId="77777777" w:rsidR="0045511E" w:rsidRPr="00033A3F" w:rsidRDefault="0045511E" w:rsidP="0045511E">
      <w:pPr>
        <w:pStyle w:val="OdstavecASR"/>
        <w:rPr>
          <w:color w:val="000000" w:themeColor="text1"/>
        </w:rPr>
      </w:pPr>
      <w:r w:rsidRPr="00033A3F">
        <w:rPr>
          <w:color w:val="000000" w:themeColor="text1"/>
        </w:rPr>
        <w:t>Agenda elektronického platebního rozkazu byla vždy z hlediska délek řízení a vyřizování soudy jednoduchá a bezproblémová. Veškeré ukazatele jsou více či méně stabilní.</w:t>
      </w:r>
    </w:p>
    <w:p w14:paraId="623179F6" w14:textId="402E9FBE" w:rsidR="0045511E" w:rsidRPr="00033A3F" w:rsidRDefault="0045511E" w:rsidP="0045511E">
      <w:pPr>
        <w:pStyle w:val="OdstavecASR"/>
        <w:rPr>
          <w:color w:val="000000" w:themeColor="text1"/>
        </w:rPr>
      </w:pPr>
      <w:r w:rsidRPr="00033A3F">
        <w:rPr>
          <w:color w:val="000000" w:themeColor="text1"/>
        </w:rPr>
        <w:t xml:space="preserve">V trestní agendě došlo rovněž ke zlepšení, i když méně patrnému než v agendě civilní. Délky řízení </w:t>
      </w:r>
      <w:r w:rsidR="00FC273B" w:rsidRPr="00033A3F">
        <w:rPr>
          <w:color w:val="000000" w:themeColor="text1"/>
        </w:rPr>
        <w:t>byly</w:t>
      </w:r>
      <w:r w:rsidRPr="00033A3F">
        <w:rPr>
          <w:color w:val="000000" w:themeColor="text1"/>
        </w:rPr>
        <w:t xml:space="preserve"> celorepublikově stabilní, ale došlo k </w:t>
      </w:r>
      <w:r w:rsidR="00FC273B" w:rsidRPr="00033A3F">
        <w:rPr>
          <w:color w:val="000000" w:themeColor="text1"/>
        </w:rPr>
        <w:t>obrovskému</w:t>
      </w:r>
      <w:r w:rsidRPr="00033A3F">
        <w:rPr>
          <w:color w:val="000000" w:themeColor="text1"/>
        </w:rPr>
        <w:t xml:space="preserve"> snížení variability</w:t>
      </w:r>
      <w:r w:rsidR="00FC273B" w:rsidRPr="00033A3F">
        <w:rPr>
          <w:color w:val="000000" w:themeColor="text1"/>
        </w:rPr>
        <w:t xml:space="preserve"> a</w:t>
      </w:r>
      <w:r w:rsidRPr="00033A3F">
        <w:rPr>
          <w:color w:val="000000" w:themeColor="text1"/>
        </w:rPr>
        <w:t xml:space="preserve"> rozdíly mezi okresními soudy jsou nejmenší za posledních 1</w:t>
      </w:r>
      <w:r w:rsidR="00FC273B" w:rsidRPr="00033A3F">
        <w:rPr>
          <w:color w:val="000000" w:themeColor="text1"/>
        </w:rPr>
        <w:t>7</w:t>
      </w:r>
      <w:r w:rsidRPr="00033A3F">
        <w:rPr>
          <w:color w:val="000000" w:themeColor="text1"/>
        </w:rPr>
        <w:t xml:space="preserve"> let. Opět se tedy zlepšily některé problematické soudy. V posledních </w:t>
      </w:r>
      <w:r w:rsidR="00FC273B" w:rsidRPr="00033A3F">
        <w:rPr>
          <w:color w:val="000000" w:themeColor="text1"/>
        </w:rPr>
        <w:t>třech</w:t>
      </w:r>
      <w:r w:rsidRPr="00033A3F">
        <w:rPr>
          <w:color w:val="000000" w:themeColor="text1"/>
        </w:rPr>
        <w:t xml:space="preserve"> letech ale došlo i k poklesu samotných délek řízení (průměru, mediánu i percentilu 90). V počtu příchozích a nevyřízených věcí je patrný klesající trend od roku 2014. V trestní agendě nicméně stále jsou ojedinělé soudy, které vykazují problémy, a situace se tam příliš nezlepšuje. Je také třeba zmínit velký nárůst v počtu uložených peněžitých trestů </w:t>
      </w:r>
      <w:r w:rsidR="00BB668C" w:rsidRPr="00033A3F">
        <w:rPr>
          <w:color w:val="000000" w:themeColor="text1"/>
        </w:rPr>
        <w:t>do roku 2023.</w:t>
      </w:r>
    </w:p>
    <w:p w14:paraId="1F20BF17" w14:textId="7FF127F6" w:rsidR="0045511E" w:rsidRPr="00033A3F" w:rsidRDefault="0045511E" w:rsidP="0045511E">
      <w:pPr>
        <w:pStyle w:val="OdstavecASR"/>
        <w:rPr>
          <w:color w:val="000000" w:themeColor="text1"/>
        </w:rPr>
      </w:pPr>
      <w:r w:rsidRPr="00033A3F">
        <w:rPr>
          <w:color w:val="000000" w:themeColor="text1"/>
        </w:rPr>
        <w:t>V opatrovnické agendě nabyl v roce 2014 účinnosti</w:t>
      </w:r>
      <w:r w:rsidR="00A25D2E" w:rsidRPr="00033A3F">
        <w:rPr>
          <w:color w:val="000000" w:themeColor="text1"/>
        </w:rPr>
        <w:t xml:space="preserve"> </w:t>
      </w:r>
      <w:r w:rsidRPr="00033A3F">
        <w:rPr>
          <w:color w:val="000000" w:themeColor="text1"/>
        </w:rPr>
        <w:t>nový občanský zákoník (zákon č. 89/2012 Sb.), což vedlo k růstu nápadu, délek řízení a počtu nevyřízených věcí. Od roku 2016 se počty nevyřízených věcí začaly vracet do stavu před nabytím účinnosti zákona č. 89/2012 Sb. Délky řízení začaly klesat o rok později. Nápad zřejmě již trvale zůstane vyšší, navíc v posledních 3 letech opět roste.</w:t>
      </w:r>
    </w:p>
    <w:p w14:paraId="464F9E56" w14:textId="77777777" w:rsidR="0045511E" w:rsidRPr="00033A3F" w:rsidRDefault="0045511E" w:rsidP="0045511E">
      <w:pPr>
        <w:pStyle w:val="OdstavecASR"/>
        <w:rPr>
          <w:color w:val="000000" w:themeColor="text1"/>
        </w:rPr>
      </w:pPr>
      <w:r w:rsidRPr="00033A3F">
        <w:rPr>
          <w:color w:val="000000" w:themeColor="text1"/>
        </w:rPr>
        <w:t>Celkově lze říct, že se situace u okresních soudů z hlediska délek řízení a zatíženosti soudů za posledních 10 let výrazně zlepšila, především pak v Severočeském kraji. Stále jsou ale soudy, které mají potíže s vyřizováním agend a existuje tak prostor pro zlepšení.</w:t>
      </w:r>
    </w:p>
    <w:p w14:paraId="777A1FEE" w14:textId="77777777" w:rsidR="0045511E" w:rsidRPr="00033A3F" w:rsidRDefault="0045511E" w:rsidP="0045511E">
      <w:pPr>
        <w:pStyle w:val="OdstavecASR"/>
        <w:rPr>
          <w:color w:val="000000" w:themeColor="text1"/>
        </w:rPr>
      </w:pPr>
      <w:r w:rsidRPr="00033A3F">
        <w:rPr>
          <w:color w:val="000000" w:themeColor="text1"/>
        </w:rPr>
        <w:t>Je také třeba zmínit vliv pandemie COVID</w:t>
      </w:r>
      <w:r w:rsidRPr="00033A3F">
        <w:rPr>
          <w:color w:val="000000" w:themeColor="text1"/>
        </w:rPr>
        <w:noBreakHyphen/>
        <w:t>19 a s ní související opatření. Ve většině agend došlo k výraznému poklesu nápadu, ale pandemie zároveň soudům ztížila práci; do statistik vyřizování věcí a délek řízení se tyto jevy nicméně příliš nepromítly, snad s výjimkou rejstříku C v roce 2020. V roce 2021 soudy velmi dobře zvládaly vyřizovat i věci rejstříku C. Počínaje rokem 2022 pak už vliv pandemie odezněl.</w:t>
      </w:r>
    </w:p>
    <w:p w14:paraId="0B5A7C3A" w14:textId="77777777" w:rsidR="00BB7181" w:rsidRPr="00033A3F" w:rsidRDefault="00BB7181" w:rsidP="00BB7181">
      <w:pPr>
        <w:pStyle w:val="OdstavecASR"/>
        <w:keepNext/>
        <w:outlineLvl w:val="3"/>
        <w:rPr>
          <w:b/>
          <w:bCs/>
          <w:color w:val="000000" w:themeColor="text1"/>
          <w:lang w:eastAsia="cs-CZ"/>
        </w:rPr>
      </w:pPr>
      <w:r w:rsidRPr="00033A3F">
        <w:rPr>
          <w:b/>
          <w:bCs/>
          <w:color w:val="000000" w:themeColor="text1"/>
          <w:lang w:eastAsia="cs-CZ"/>
        </w:rPr>
        <w:lastRenderedPageBreak/>
        <w:t>Krajské soudy</w:t>
      </w:r>
    </w:p>
    <w:p w14:paraId="6DC6AB21" w14:textId="7A896697" w:rsidR="00FC273B" w:rsidRPr="00033A3F" w:rsidRDefault="00FC273B" w:rsidP="00FC273B">
      <w:pPr>
        <w:pStyle w:val="OdstavecASR"/>
        <w:rPr>
          <w:color w:val="000000" w:themeColor="text1"/>
          <w:lang w:eastAsia="cs-CZ"/>
        </w:rPr>
      </w:pPr>
      <w:r w:rsidRPr="00033A3F">
        <w:rPr>
          <w:color w:val="000000" w:themeColor="text1"/>
          <w:lang w:eastAsia="cs-CZ"/>
        </w:rPr>
        <w:t>Počet soudců je u KS dlouhodobě stabilní. Nemění se ani velikost úseků. Soudy mají o něco nižší evidenční počet soudců, než je plán. Skutečný počet je pak víceméně roven počtu plánovanému či o něco nižší.</w:t>
      </w:r>
    </w:p>
    <w:p w14:paraId="799FF47D" w14:textId="1B210AFD" w:rsidR="00FC273B" w:rsidRPr="00033A3F" w:rsidRDefault="00FC273B" w:rsidP="00FC273B">
      <w:pPr>
        <w:pStyle w:val="OdstavecASR"/>
        <w:rPr>
          <w:color w:val="000000" w:themeColor="text1"/>
        </w:rPr>
      </w:pPr>
      <w:r w:rsidRPr="00033A3F">
        <w:rPr>
          <w:color w:val="000000" w:themeColor="text1"/>
          <w:lang w:eastAsia="cs-CZ"/>
        </w:rPr>
        <w:t xml:space="preserve">V prvostupňové civilní a obchodní agendě </w:t>
      </w:r>
      <w:r w:rsidR="00BB668C" w:rsidRPr="00033A3F">
        <w:rPr>
          <w:color w:val="000000" w:themeColor="text1"/>
          <w:lang w:eastAsia="cs-CZ"/>
        </w:rPr>
        <w:t>v letech 2016 až 2020</w:t>
      </w:r>
      <w:r w:rsidRPr="00033A3F">
        <w:rPr>
          <w:color w:val="000000" w:themeColor="text1"/>
          <w:lang w:eastAsia="cs-CZ"/>
        </w:rPr>
        <w:t xml:space="preserve"> kles</w:t>
      </w:r>
      <w:r w:rsidR="00BB668C" w:rsidRPr="00033A3F">
        <w:rPr>
          <w:color w:val="000000" w:themeColor="text1"/>
          <w:lang w:eastAsia="cs-CZ"/>
        </w:rPr>
        <w:t>a</w:t>
      </w:r>
      <w:r w:rsidRPr="00033A3F">
        <w:rPr>
          <w:color w:val="000000" w:themeColor="text1"/>
          <w:lang w:eastAsia="cs-CZ"/>
        </w:rPr>
        <w:t xml:space="preserve">l nápad, což se projevilo poklesem počtu nevyřízených věcí. To lze označit za pozitivní zprávu. Pokles se ale nepromítl do délek řízení především kvůli tomu, že je </w:t>
      </w:r>
      <w:r w:rsidRPr="00033A3F">
        <w:rPr>
          <w:color w:val="000000" w:themeColor="text1"/>
        </w:rPr>
        <w:t>velká část věcí přerušena z důvodu rozhodnutí o úpadku či konkursu. Přerušené věci se promítají do statistik a dochází tak ke zvýšení vykázaných délek řízení. V posledních dvou let</w:t>
      </w:r>
      <w:r w:rsidR="00A55730" w:rsidRPr="00033A3F">
        <w:rPr>
          <w:color w:val="000000" w:themeColor="text1"/>
        </w:rPr>
        <w:t>ech</w:t>
      </w:r>
      <w:r w:rsidRPr="00033A3F">
        <w:rPr>
          <w:color w:val="000000" w:themeColor="text1"/>
        </w:rPr>
        <w:t xml:space="preserve"> došlo k nárůstu v počtu příchozích a nevyřízených věcí.</w:t>
      </w:r>
    </w:p>
    <w:p w14:paraId="08736802" w14:textId="0766550D" w:rsidR="00FC273B" w:rsidRPr="00033A3F" w:rsidRDefault="00FC273B" w:rsidP="00FC273B">
      <w:pPr>
        <w:pStyle w:val="OdstavecASR"/>
        <w:rPr>
          <w:color w:val="000000" w:themeColor="text1"/>
        </w:rPr>
      </w:pPr>
      <w:r w:rsidRPr="00033A3F">
        <w:rPr>
          <w:color w:val="000000" w:themeColor="text1"/>
        </w:rPr>
        <w:t>V civilní odvolací agendě došlo rovněž k poklesu v</w:t>
      </w:r>
      <w:r w:rsidR="00BB668C" w:rsidRPr="00033A3F">
        <w:rPr>
          <w:color w:val="000000" w:themeColor="text1"/>
        </w:rPr>
        <w:t> </w:t>
      </w:r>
      <w:r w:rsidRPr="00033A3F">
        <w:rPr>
          <w:color w:val="000000" w:themeColor="text1"/>
        </w:rPr>
        <w:t>nápadu</w:t>
      </w:r>
      <w:r w:rsidR="00BB668C" w:rsidRPr="00033A3F">
        <w:rPr>
          <w:color w:val="000000" w:themeColor="text1"/>
        </w:rPr>
        <w:t xml:space="preserve"> (prudce v roce 2017 a následoval mírný klesající trend)</w:t>
      </w:r>
      <w:r w:rsidRPr="00033A3F">
        <w:rPr>
          <w:color w:val="000000" w:themeColor="text1"/>
        </w:rPr>
        <w:t>, což plyne z poklesu v nápadu u okresních soudů. To vyústilo v pokles počtu nevyřízených věcí.</w:t>
      </w:r>
      <w:r w:rsidR="009D7933" w:rsidRPr="00033A3F">
        <w:rPr>
          <w:color w:val="000000" w:themeColor="text1"/>
        </w:rPr>
        <w:t xml:space="preserve"> V roce 2024 došlo k prudkému nárůstu v počtu příchozích věcí a v důsledku toho i v počtu nevyřízených věcí. Nárůst </w:t>
      </w:r>
      <w:r w:rsidR="00A55730" w:rsidRPr="00033A3F">
        <w:rPr>
          <w:color w:val="000000" w:themeColor="text1"/>
        </w:rPr>
        <w:t xml:space="preserve">ale vyplývá pouze </w:t>
      </w:r>
      <w:r w:rsidR="009D7933" w:rsidRPr="00033A3F">
        <w:rPr>
          <w:color w:val="000000" w:themeColor="text1"/>
        </w:rPr>
        <w:t xml:space="preserve">z růstu </w:t>
      </w:r>
      <w:r w:rsidR="00A55730" w:rsidRPr="00033A3F">
        <w:rPr>
          <w:color w:val="000000" w:themeColor="text1"/>
        </w:rPr>
        <w:t xml:space="preserve">počtu </w:t>
      </w:r>
      <w:r w:rsidR="009D7933" w:rsidRPr="00033A3F">
        <w:rPr>
          <w:color w:val="000000" w:themeColor="text1"/>
        </w:rPr>
        <w:t xml:space="preserve">podaných odvolání proti rozhodnutí </w:t>
      </w:r>
      <w:r w:rsidR="00A55730" w:rsidRPr="00033A3F">
        <w:rPr>
          <w:color w:val="000000" w:themeColor="text1"/>
        </w:rPr>
        <w:t xml:space="preserve">soudního </w:t>
      </w:r>
      <w:r w:rsidR="009D7933" w:rsidRPr="00033A3F">
        <w:rPr>
          <w:color w:val="000000" w:themeColor="text1"/>
        </w:rPr>
        <w:t xml:space="preserve">exekutora (které se zapisují do stejného rejstříku), </w:t>
      </w:r>
      <w:r w:rsidR="00A262C0" w:rsidRPr="00033A3F">
        <w:rPr>
          <w:color w:val="000000" w:themeColor="text1"/>
        </w:rPr>
        <w:t xml:space="preserve">nikoliv proti </w:t>
      </w:r>
      <w:r w:rsidR="009D7933" w:rsidRPr="00033A3F">
        <w:rPr>
          <w:color w:val="000000" w:themeColor="text1"/>
        </w:rPr>
        <w:t xml:space="preserve">rozhodnutí soudu. </w:t>
      </w:r>
      <w:r w:rsidRPr="00033A3F">
        <w:rPr>
          <w:color w:val="000000" w:themeColor="text1"/>
        </w:rPr>
        <w:t>Délky řízení jsou zde nicméně stabilní</w:t>
      </w:r>
      <w:r w:rsidR="00A55730" w:rsidRPr="00033A3F">
        <w:rPr>
          <w:color w:val="000000" w:themeColor="text1"/>
        </w:rPr>
        <w:t xml:space="preserve"> a </w:t>
      </w:r>
      <w:r w:rsidRPr="00033A3F">
        <w:rPr>
          <w:color w:val="000000" w:themeColor="text1"/>
        </w:rPr>
        <w:t>poměrně nízké v porovnání s prvostupňovou agendou. Civilní odvolací agendu lze označit za celkem bezproblémovou, byť jsou i zde přítomny určité rozdíly mezi soudy.</w:t>
      </w:r>
    </w:p>
    <w:p w14:paraId="4E69CD4C" w14:textId="77777777" w:rsidR="00FC273B" w:rsidRPr="00033A3F" w:rsidRDefault="00FC273B" w:rsidP="00FC273B">
      <w:pPr>
        <w:pStyle w:val="OdstavecASR"/>
        <w:rPr>
          <w:color w:val="000000" w:themeColor="text1"/>
        </w:rPr>
      </w:pPr>
      <w:r w:rsidRPr="00033A3F">
        <w:rPr>
          <w:color w:val="000000" w:themeColor="text1"/>
        </w:rPr>
        <w:t>Statistické sledování prvostupňové trestní agendy ztěžuje to, že se jedná o malou agendu z hlediska počtu věcí, což znamená malý počet pozorování, a tedy velkou variabilitu dat. Některé soudy vykazují v této agendě určité problémy, dlouhodobě ale lze situaci označit za stabilní, i když s určitými výkyvy. Je třeba přiznat, že se zde situace ze statistického hlediska výrazně nezlepšila. Vzhledem k variabilitě nápadu to ale nemusí být možné.</w:t>
      </w:r>
    </w:p>
    <w:p w14:paraId="4BF5BBC5" w14:textId="711B3B4A" w:rsidR="00FC273B" w:rsidRPr="00033A3F" w:rsidRDefault="00FC273B" w:rsidP="00FC273B">
      <w:pPr>
        <w:pStyle w:val="OdstavecASR"/>
        <w:rPr>
          <w:color w:val="000000" w:themeColor="text1"/>
        </w:rPr>
      </w:pPr>
      <w:r w:rsidRPr="00033A3F">
        <w:rPr>
          <w:color w:val="000000" w:themeColor="text1"/>
        </w:rPr>
        <w:t>Trestní odvolací agenda je z dlouhodobého hlediska bezproblémová – nízké délky řízení a disposition time (DT), málo nevyřízených věcí a nevelké rozdíly mezi soudy. V</w:t>
      </w:r>
      <w:r w:rsidR="00BB668C" w:rsidRPr="00033A3F">
        <w:rPr>
          <w:color w:val="000000" w:themeColor="text1"/>
        </w:rPr>
        <w:t> roce 2020 zde poklesl nápad (</w:t>
      </w:r>
      <w:r w:rsidR="00097AF6" w:rsidRPr="00033A3F">
        <w:rPr>
          <w:color w:val="000000" w:themeColor="text1"/>
        </w:rPr>
        <w:t>mohlo to být</w:t>
      </w:r>
      <w:r w:rsidR="00BB668C" w:rsidRPr="00033A3F">
        <w:rPr>
          <w:color w:val="000000" w:themeColor="text1"/>
        </w:rPr>
        <w:t xml:space="preserve"> kvůli pandemii COVID-19)</w:t>
      </w:r>
      <w:r w:rsidR="00097AF6" w:rsidRPr="00033A3F">
        <w:rPr>
          <w:color w:val="000000" w:themeColor="text1"/>
        </w:rPr>
        <w:t>. Nápad ale pomalu klesal i po tomto roce.</w:t>
      </w:r>
    </w:p>
    <w:p w14:paraId="2D314245" w14:textId="53C0128E" w:rsidR="00FC273B" w:rsidRPr="00033A3F" w:rsidRDefault="00FC273B" w:rsidP="00FC273B">
      <w:pPr>
        <w:pStyle w:val="OdstavecASR"/>
        <w:rPr>
          <w:color w:val="000000" w:themeColor="text1"/>
        </w:rPr>
      </w:pPr>
      <w:r w:rsidRPr="00033A3F">
        <w:rPr>
          <w:color w:val="000000" w:themeColor="text1"/>
        </w:rPr>
        <w:t>Správní agenda byla až do nedávna ze statistického hlediska nejproblematičtější agendou krajských soudů. Dlouhodobě vykazovala vysoké délky řízení a vysoký DT i velké množství nevyřízených věcí na soudce. Do roku 2018 prudce rostl i nápad a počet nevyřízených věcí. V letech 2019 až 2022 ale obojí razantně kleslo, což znamená, že situace se výrazně zlepšila, mimo jiné i díky posílení správních úseků krajských soudů. V </w:t>
      </w:r>
      <w:r w:rsidR="009D7933" w:rsidRPr="00033A3F">
        <w:rPr>
          <w:color w:val="000000" w:themeColor="text1"/>
        </w:rPr>
        <w:t>letech</w:t>
      </w:r>
      <w:r w:rsidRPr="00033A3F">
        <w:rPr>
          <w:color w:val="000000" w:themeColor="text1"/>
        </w:rPr>
        <w:t xml:space="preserve"> 2023 </w:t>
      </w:r>
      <w:r w:rsidR="009D7933" w:rsidRPr="00033A3F">
        <w:rPr>
          <w:color w:val="000000" w:themeColor="text1"/>
        </w:rPr>
        <w:t xml:space="preserve">a 2024 </w:t>
      </w:r>
      <w:r w:rsidRPr="00033A3F">
        <w:rPr>
          <w:color w:val="000000" w:themeColor="text1"/>
        </w:rPr>
        <w:t>se pokles nápadu zastavil, ale počet nevyřízených věcí dále klesal, což potvrzuje, že správní úseky aktuálně disponují dostatečnou kapacitou pro vyřizování historických nedodělků. Délka řízení v letech 2022 a</w:t>
      </w:r>
      <w:r w:rsidR="009D7933" w:rsidRPr="00033A3F">
        <w:rPr>
          <w:color w:val="000000" w:themeColor="text1"/>
        </w:rPr>
        <w:t>ž</w:t>
      </w:r>
      <w:r w:rsidRPr="00033A3F">
        <w:rPr>
          <w:color w:val="000000" w:themeColor="text1"/>
        </w:rPr>
        <w:t xml:space="preserve"> 202</w:t>
      </w:r>
      <w:r w:rsidR="009D7933" w:rsidRPr="00033A3F">
        <w:rPr>
          <w:color w:val="000000" w:themeColor="text1"/>
        </w:rPr>
        <w:t>4</w:t>
      </w:r>
      <w:r w:rsidRPr="00033A3F">
        <w:rPr>
          <w:color w:val="000000" w:themeColor="text1"/>
        </w:rPr>
        <w:t xml:space="preserve"> prudce poklesla. Situace se tak celkově zlepšuje, byť agendu zatím nelze u všech soudů považovat za plně stabilizovanou.</w:t>
      </w:r>
    </w:p>
    <w:p w14:paraId="55C81267" w14:textId="77777777" w:rsidR="00FC273B" w:rsidRPr="00033A3F" w:rsidRDefault="00FC273B" w:rsidP="00FC273B">
      <w:pPr>
        <w:pStyle w:val="OdstavecASR"/>
        <w:rPr>
          <w:color w:val="000000" w:themeColor="text1"/>
        </w:rPr>
      </w:pPr>
      <w:r w:rsidRPr="00033A3F">
        <w:rPr>
          <w:color w:val="000000" w:themeColor="text1"/>
        </w:rPr>
        <w:t>Statistiky o insolvenční agendě jsou silně ovlivněny jejím charakterem. Data ukazují, že soudy nemají problémy s rozhodováním o úpadku. Vyřizování věcí a délky řízení v další fázi pak plynou z charakteru agendy a soud na ně má jen omezený vliv. Vývoj je také silně ovlivněn četnými novelizacemi insolvenčního zákona a v posledním období zřejmě i pandemií COVID-19 a takzvaným „lex covid justice“.</w:t>
      </w:r>
    </w:p>
    <w:p w14:paraId="7776E23D" w14:textId="34A449FF" w:rsidR="00FC273B" w:rsidRPr="00033A3F" w:rsidRDefault="00FC273B" w:rsidP="00FC273B">
      <w:pPr>
        <w:pStyle w:val="OdstavecASR"/>
        <w:rPr>
          <w:color w:val="000000" w:themeColor="text1"/>
        </w:rPr>
      </w:pPr>
      <w:r w:rsidRPr="00033A3F">
        <w:rPr>
          <w:color w:val="000000" w:themeColor="text1"/>
        </w:rPr>
        <w:t xml:space="preserve">Incidenční spory jsou vyvolány insolvenčním řízením a projednávány v jeho rámci. Proto vývoj příchozích věcí s určitým zpožděním sleduje vývoj příchozích věcí v insolvenční agendě a podléhá velmi významným výkyvům. Agenda je tak obtížně předvídatelná a řiditelná, což se projevuje </w:t>
      </w:r>
      <w:r w:rsidRPr="00033A3F">
        <w:rPr>
          <w:color w:val="000000" w:themeColor="text1"/>
        </w:rPr>
        <w:lastRenderedPageBreak/>
        <w:t xml:space="preserve">vysokými délkami řízení, nemalým DT a značným množstvím nevyřízených věcí. Většina ukazatelů </w:t>
      </w:r>
      <w:r w:rsidR="00CF22A1" w:rsidRPr="00033A3F">
        <w:rPr>
          <w:color w:val="000000" w:themeColor="text1"/>
        </w:rPr>
        <w:t>před několika</w:t>
      </w:r>
      <w:r w:rsidRPr="00033A3F">
        <w:rPr>
          <w:color w:val="000000" w:themeColor="text1"/>
        </w:rPr>
        <w:t xml:space="preserve"> </w:t>
      </w:r>
      <w:r w:rsidR="00E42C40">
        <w:rPr>
          <w:color w:val="000000" w:themeColor="text1"/>
        </w:rPr>
        <w:t xml:space="preserve">roky </w:t>
      </w:r>
      <w:r w:rsidRPr="00033A3F">
        <w:rPr>
          <w:color w:val="000000" w:themeColor="text1"/>
        </w:rPr>
        <w:t>mírně poklesla</w:t>
      </w:r>
      <w:r w:rsidR="00CF22A1" w:rsidRPr="00033A3F">
        <w:rPr>
          <w:color w:val="000000" w:themeColor="text1"/>
        </w:rPr>
        <w:t>. V posledních letech ale roste počet nevyřízených věcí.</w:t>
      </w:r>
      <w:r w:rsidRPr="00033A3F">
        <w:rPr>
          <w:color w:val="000000" w:themeColor="text1"/>
        </w:rPr>
        <w:t xml:space="preserve"> </w:t>
      </w:r>
      <w:r w:rsidR="00CF22A1" w:rsidRPr="00033A3F">
        <w:rPr>
          <w:color w:val="000000" w:themeColor="text1"/>
        </w:rPr>
        <w:t>J</w:t>
      </w:r>
      <w:r w:rsidRPr="00033A3F">
        <w:rPr>
          <w:color w:val="000000" w:themeColor="text1"/>
        </w:rPr>
        <w:t xml:space="preserve">edná </w:t>
      </w:r>
      <w:r w:rsidR="00CF22A1" w:rsidRPr="00033A3F">
        <w:rPr>
          <w:color w:val="000000" w:themeColor="text1"/>
        </w:rPr>
        <w:t xml:space="preserve">se </w:t>
      </w:r>
      <w:r w:rsidRPr="00033A3F">
        <w:rPr>
          <w:color w:val="000000" w:themeColor="text1"/>
        </w:rPr>
        <w:t>o nelehkou agendu, a zvlášť některé soudy vzhledem k její obtížné předvídatelnosti vykazují určité problémy s jejím vyřizováním.</w:t>
      </w:r>
      <w:r w:rsidR="00097AF6" w:rsidRPr="00033A3F">
        <w:rPr>
          <w:color w:val="000000" w:themeColor="text1"/>
        </w:rPr>
        <w:t xml:space="preserve"> Vzhledem k velkým změnám v nápadu je pro soudy obtížné se na to organizačně připravit.</w:t>
      </w:r>
    </w:p>
    <w:p w14:paraId="698FE739" w14:textId="77777777" w:rsidR="00097AF6" w:rsidRPr="00033A3F" w:rsidRDefault="00FC273B" w:rsidP="00FC273B">
      <w:pPr>
        <w:pStyle w:val="OdstavecASR"/>
        <w:rPr>
          <w:color w:val="000000" w:themeColor="text1"/>
        </w:rPr>
      </w:pPr>
      <w:r w:rsidRPr="00033A3F">
        <w:rPr>
          <w:color w:val="000000" w:themeColor="text1"/>
        </w:rPr>
        <w:t xml:space="preserve">Celkově můžeme učinit závěr, že situace u krajských soudů je složitější než u soudů okresních. V některých agendách klesá nápad a dochází tak k mírnému zlepšení (civilní odvolací </w:t>
      </w:r>
      <w:r w:rsidR="009D7933" w:rsidRPr="00033A3F">
        <w:rPr>
          <w:color w:val="000000" w:themeColor="text1"/>
        </w:rPr>
        <w:t xml:space="preserve">agenda s výjimkou roku 2024 </w:t>
      </w:r>
      <w:r w:rsidRPr="00033A3F">
        <w:rPr>
          <w:color w:val="000000" w:themeColor="text1"/>
        </w:rPr>
        <w:t xml:space="preserve">a prvostupňová </w:t>
      </w:r>
      <w:r w:rsidR="009D7933" w:rsidRPr="00033A3F">
        <w:rPr>
          <w:color w:val="000000" w:themeColor="text1"/>
        </w:rPr>
        <w:t xml:space="preserve">civilní </w:t>
      </w:r>
      <w:r w:rsidRPr="00033A3F">
        <w:rPr>
          <w:color w:val="000000" w:themeColor="text1"/>
        </w:rPr>
        <w:t xml:space="preserve">agenda), někde je situace dlouhodobě bezproblémová (trestní odvolací agenda), jinde je situace stabilní, ale vykazuje určité problémy (trestní prvostupňová agenda). V agendě insolvenční je značná část statistických hodnot ovlivněna podstatou agendy. Jsou pak i agendy, kde data ukazují na problémy – </w:t>
      </w:r>
      <w:r w:rsidR="00097AF6" w:rsidRPr="00033A3F">
        <w:rPr>
          <w:color w:val="000000" w:themeColor="text1"/>
        </w:rPr>
        <w:t xml:space="preserve">například </w:t>
      </w:r>
      <w:r w:rsidRPr="00033A3F">
        <w:rPr>
          <w:color w:val="000000" w:themeColor="text1"/>
        </w:rPr>
        <w:t>incidenční spory, kde je problematická především nepředvídatelnost nápadu</w:t>
      </w:r>
      <w:r w:rsidR="00097AF6" w:rsidRPr="00033A3F">
        <w:rPr>
          <w:color w:val="000000" w:themeColor="text1"/>
        </w:rPr>
        <w:t>.</w:t>
      </w:r>
      <w:r w:rsidRPr="00033A3F">
        <w:rPr>
          <w:color w:val="000000" w:themeColor="text1"/>
        </w:rPr>
        <w:t xml:space="preserve"> </w:t>
      </w:r>
    </w:p>
    <w:p w14:paraId="26D242C9" w14:textId="76C4F165" w:rsidR="00FC273B" w:rsidRPr="00033A3F" w:rsidRDefault="00097AF6" w:rsidP="00FC273B">
      <w:pPr>
        <w:pStyle w:val="OdstavecASR"/>
        <w:rPr>
          <w:color w:val="000000" w:themeColor="text1"/>
        </w:rPr>
      </w:pPr>
      <w:r w:rsidRPr="00033A3F">
        <w:rPr>
          <w:color w:val="000000" w:themeColor="text1"/>
        </w:rPr>
        <w:t>S</w:t>
      </w:r>
      <w:r w:rsidR="00FC273B" w:rsidRPr="00033A3F">
        <w:rPr>
          <w:color w:val="000000" w:themeColor="text1"/>
        </w:rPr>
        <w:t>právní agenda, kde obtíže vycházejí z</w:t>
      </w:r>
      <w:r w:rsidR="00A25D2E" w:rsidRPr="00033A3F">
        <w:rPr>
          <w:color w:val="000000" w:themeColor="text1"/>
        </w:rPr>
        <w:t> </w:t>
      </w:r>
      <w:r w:rsidR="00FC273B" w:rsidRPr="00033A3F">
        <w:rPr>
          <w:color w:val="000000" w:themeColor="text1"/>
        </w:rPr>
        <w:t>historického zatížení, ale situace se v posledních letech rychle zlepšuje. V obecné rovině je namístě poznamenat, že krajské soudy řeší zásadně nižší celkové počty věcí a v řadě agend u nich dochází k výrazně větším výkyvům v zatížení, což komplikuje snahy o zajištění plynulého vyřizování věcí.</w:t>
      </w:r>
    </w:p>
    <w:p w14:paraId="0AEB4685" w14:textId="77777777" w:rsidR="00BB7181" w:rsidRPr="00033A3F" w:rsidRDefault="00BB7181" w:rsidP="00BB7181">
      <w:pPr>
        <w:pStyle w:val="OdstavecASR"/>
        <w:keepNext/>
        <w:outlineLvl w:val="3"/>
        <w:rPr>
          <w:b/>
          <w:color w:val="000000" w:themeColor="text1"/>
        </w:rPr>
      </w:pPr>
      <w:r w:rsidRPr="00033A3F">
        <w:rPr>
          <w:b/>
          <w:color w:val="000000" w:themeColor="text1"/>
        </w:rPr>
        <w:t>Vrchní soudy</w:t>
      </w:r>
    </w:p>
    <w:p w14:paraId="7877C3A4" w14:textId="77777777" w:rsidR="009D7933" w:rsidRPr="00033A3F" w:rsidRDefault="009D7933" w:rsidP="009D7933">
      <w:pPr>
        <w:pStyle w:val="OdstavecASR"/>
        <w:rPr>
          <w:color w:val="000000" w:themeColor="text1"/>
        </w:rPr>
      </w:pPr>
      <w:r w:rsidRPr="00033A3F">
        <w:rPr>
          <w:color w:val="000000" w:themeColor="text1"/>
        </w:rPr>
        <w:t>VS v Praze je více než dvakrát větší než VS v Olomouci. Počet soudců, podíl soudkyň a velikost úseků se u obou soudů v průběhu let mírně mění.</w:t>
      </w:r>
    </w:p>
    <w:p w14:paraId="25996769" w14:textId="7DE42FF5" w:rsidR="009D7933" w:rsidRPr="00033A3F" w:rsidRDefault="009D7933" w:rsidP="009D7933">
      <w:pPr>
        <w:pStyle w:val="OdstavecASR"/>
        <w:rPr>
          <w:color w:val="000000" w:themeColor="text1"/>
        </w:rPr>
      </w:pPr>
      <w:r w:rsidRPr="00033A3F">
        <w:rPr>
          <w:color w:val="000000" w:themeColor="text1"/>
        </w:rPr>
        <w:t xml:space="preserve">V civilní odvolací agendě je mezi oběma soudy </w:t>
      </w:r>
      <w:r w:rsidR="00097AF6" w:rsidRPr="00033A3F">
        <w:rPr>
          <w:color w:val="000000" w:themeColor="text1"/>
        </w:rPr>
        <w:t xml:space="preserve">stále nemalý </w:t>
      </w:r>
      <w:r w:rsidRPr="00033A3F">
        <w:rPr>
          <w:color w:val="000000" w:themeColor="text1"/>
        </w:rPr>
        <w:t xml:space="preserve">rozdíl, neboť VS Olomouc má výrazně lepší statistiky (nevyřízené věci na soudce, DT, délky řízení). U obou soudů dlouhodobě klesá počet příchozích věcí, což vede ke snížení počtu nevyřízených věcí. </w:t>
      </w:r>
      <w:r w:rsidR="00CF22A1" w:rsidRPr="00033A3F">
        <w:rPr>
          <w:color w:val="000000" w:themeColor="text1"/>
        </w:rPr>
        <w:t>U VS v Praze již v posledních letech klesají i délky řízení</w:t>
      </w:r>
      <w:r w:rsidRPr="00033A3F">
        <w:rPr>
          <w:color w:val="000000" w:themeColor="text1"/>
        </w:rPr>
        <w:t>. Celkově lze shrnout, že situace u VS v Olomouci je dobrá, u VS v Praze méně příznivá, ale díky snižování nápadu se postupně zlepšuje.</w:t>
      </w:r>
    </w:p>
    <w:p w14:paraId="0920F24D" w14:textId="0FDE5F84" w:rsidR="009D7933" w:rsidRPr="00033A3F" w:rsidRDefault="009D7933" w:rsidP="009D7933">
      <w:pPr>
        <w:pStyle w:val="OdstavecASR"/>
        <w:rPr>
          <w:color w:val="000000" w:themeColor="text1"/>
        </w:rPr>
      </w:pPr>
      <w:r w:rsidRPr="00033A3F">
        <w:rPr>
          <w:color w:val="000000" w:themeColor="text1"/>
        </w:rPr>
        <w:t xml:space="preserve">V trestní odvolací agendě je situace vyrovnanější. Z dlouhodobého hlediska soudy vykazují vyrovnané statistiky, </w:t>
      </w:r>
      <w:r w:rsidR="00CF22A1" w:rsidRPr="00033A3F">
        <w:rPr>
          <w:color w:val="000000" w:themeColor="text1"/>
        </w:rPr>
        <w:t xml:space="preserve">v některých letech má statisticky lepší výsledky VS Praha, v jiných </w:t>
      </w:r>
      <w:r w:rsidR="00DB446D" w:rsidRPr="00033A3F">
        <w:rPr>
          <w:color w:val="000000" w:themeColor="text1"/>
        </w:rPr>
        <w:t>VS </w:t>
      </w:r>
      <w:r w:rsidR="00CF22A1" w:rsidRPr="00033A3F">
        <w:rPr>
          <w:color w:val="000000" w:themeColor="text1"/>
        </w:rPr>
        <w:t>Olomouc.</w:t>
      </w:r>
    </w:p>
    <w:p w14:paraId="4FFC2E91" w14:textId="77777777" w:rsidR="009D7933" w:rsidRPr="00033A3F" w:rsidRDefault="009D7933" w:rsidP="009D7933">
      <w:pPr>
        <w:pStyle w:val="OdstavecASR"/>
        <w:rPr>
          <w:color w:val="000000" w:themeColor="text1"/>
        </w:rPr>
      </w:pPr>
      <w:r w:rsidRPr="00033A3F">
        <w:rPr>
          <w:color w:val="000000" w:themeColor="text1"/>
        </w:rPr>
        <w:t>V insolvenční agendě II. stupně došlo přibližně v letech 2017 až 2018 k poklesu v počtu příchozích, vyřízených a nevyřízených věcí. Od té doby není v datech přítomný žádný výrazný trend. V současné době jsou na tom oba soudy poměrně dobře, a to díky poklesu v počtu napadlých věcí.</w:t>
      </w:r>
    </w:p>
    <w:p w14:paraId="18934C2A" w14:textId="77777777" w:rsidR="009D7933" w:rsidRPr="00033A3F" w:rsidRDefault="009D7933" w:rsidP="009D7933">
      <w:pPr>
        <w:pStyle w:val="OdstavecASR"/>
        <w:rPr>
          <w:color w:val="000000" w:themeColor="text1"/>
        </w:rPr>
      </w:pPr>
      <w:r w:rsidRPr="00033A3F">
        <w:rPr>
          <w:color w:val="000000" w:themeColor="text1"/>
        </w:rPr>
        <w:t>V incidenčních sporech II. stupně si lépe vede VS v Olomouci, který vykazuje nižší délky řízení, nižší DT i méně nevyřízených věcí na soudce.</w:t>
      </w:r>
    </w:p>
    <w:p w14:paraId="0606EB57" w14:textId="77777777" w:rsidR="00BB7181" w:rsidRPr="00033A3F" w:rsidRDefault="00BB7181" w:rsidP="00BB7181">
      <w:pPr>
        <w:pStyle w:val="OdstavecASR"/>
        <w:keepNext/>
        <w:outlineLvl w:val="3"/>
        <w:rPr>
          <w:b/>
          <w:bCs/>
          <w:color w:val="000000" w:themeColor="text1"/>
          <w:lang w:eastAsia="cs-CZ"/>
        </w:rPr>
      </w:pPr>
      <w:r w:rsidRPr="00033A3F">
        <w:rPr>
          <w:b/>
          <w:bCs/>
          <w:color w:val="000000" w:themeColor="text1"/>
          <w:lang w:eastAsia="cs-CZ"/>
        </w:rPr>
        <w:t>Nejvyšší soud</w:t>
      </w:r>
    </w:p>
    <w:p w14:paraId="5C4CDB39" w14:textId="77777777" w:rsidR="00126B4D" w:rsidRPr="00033A3F" w:rsidRDefault="00126B4D" w:rsidP="00126B4D">
      <w:pPr>
        <w:pStyle w:val="OdstavecASR"/>
        <w:rPr>
          <w:color w:val="000000" w:themeColor="text1"/>
        </w:rPr>
      </w:pPr>
      <w:r w:rsidRPr="00033A3F">
        <w:rPr>
          <w:color w:val="000000" w:themeColor="text1"/>
        </w:rPr>
        <w:t>U Nejvyššího soudu došlo v posledních letech k určitému růstu v plánovaném i evidenčním počtu soudců. Civilní dovolací agenda a trestní dovolací agenda jsou nejvýznamnější a největší agendy Nejvyššího soudu.</w:t>
      </w:r>
    </w:p>
    <w:p w14:paraId="0B830A8D" w14:textId="1377DF08" w:rsidR="00126B4D" w:rsidRPr="00033A3F" w:rsidRDefault="00126B4D" w:rsidP="00126B4D">
      <w:pPr>
        <w:pStyle w:val="OdstavecASR"/>
        <w:rPr>
          <w:color w:val="000000" w:themeColor="text1"/>
        </w:rPr>
      </w:pPr>
      <w:r w:rsidRPr="00033A3F">
        <w:rPr>
          <w:color w:val="000000" w:themeColor="text1"/>
        </w:rPr>
        <w:t xml:space="preserve">Nápad civilní dovolací agendy se v průběhu let poměrně zásadně měnil a krátce ho diskutujeme i mimo běžně sledované období 2015 až 2024. Velmi vysoký byl nápad v letech 2008 a 2009. V tuto dobu soud také vykazoval velmi vysoké počty nevyřízených věcí. Následně došlo k poklesu nápadu </w:t>
      </w:r>
      <w:r w:rsidRPr="00033A3F">
        <w:rPr>
          <w:color w:val="000000" w:themeColor="text1"/>
        </w:rPr>
        <w:lastRenderedPageBreak/>
        <w:t>i nevyřízených věcí. V letech 2013 až 2017 ale nápad opět rostl. Tentokrát soud zvládl zvýšený nápor a počet nevyřízených věcí se nezvětšoval. Od roku 2018 nápad rychle klesal a díky tomu klesal i počet nevyřízených věcí. V letech 2022 a 2023 se pokles v nápadu zastavil, ale v roce 2024 opět začal klesat. Počet nevyřízených věcí setrvale klesal a dosáhl v roce 2024 nejnižších hodnot ve sledovaném období.</w:t>
      </w:r>
    </w:p>
    <w:p w14:paraId="51947BAB" w14:textId="7D6B9EBC" w:rsidR="00126B4D" w:rsidRPr="00033A3F" w:rsidRDefault="00126B4D" w:rsidP="00126B4D">
      <w:pPr>
        <w:pStyle w:val="OdstavecASR"/>
        <w:rPr>
          <w:b/>
          <w:bCs/>
          <w:color w:val="000000" w:themeColor="text1"/>
          <w:lang w:eastAsia="cs-CZ"/>
        </w:rPr>
      </w:pPr>
      <w:r w:rsidRPr="00033A3F">
        <w:rPr>
          <w:color w:val="000000" w:themeColor="text1"/>
        </w:rPr>
        <w:t>Situace v trestní dovolací agendě je mnohem stabilnější. Nápad i počet vyřízených věcí se dlouho pohyboval mezi 1 450 a 1 700 věc</w:t>
      </w:r>
      <w:r w:rsidR="00E52E59" w:rsidRPr="00033A3F">
        <w:rPr>
          <w:color w:val="000000" w:themeColor="text1"/>
        </w:rPr>
        <w:t>í</w:t>
      </w:r>
      <w:r w:rsidRPr="00033A3F">
        <w:rPr>
          <w:color w:val="000000" w:themeColor="text1"/>
        </w:rPr>
        <w:t xml:space="preserve"> ročně. Teprve v posledních letech je vidět určitý citelnější pokles. Počet nevyřízených věcí se pak pohybuje (opět až na výjimky) mezi 150 a 200.</w:t>
      </w:r>
    </w:p>
    <w:p w14:paraId="44AE5D81" w14:textId="77777777" w:rsidR="00BB7181" w:rsidRPr="00033A3F" w:rsidRDefault="00BB7181" w:rsidP="00BB7181">
      <w:pPr>
        <w:pStyle w:val="OdstavecASR"/>
        <w:keepNext/>
        <w:outlineLvl w:val="3"/>
        <w:rPr>
          <w:b/>
          <w:bCs/>
          <w:color w:val="000000" w:themeColor="text1"/>
          <w:lang w:eastAsia="cs-CZ"/>
        </w:rPr>
      </w:pPr>
      <w:r w:rsidRPr="00033A3F">
        <w:rPr>
          <w:b/>
          <w:bCs/>
          <w:color w:val="000000" w:themeColor="text1"/>
          <w:lang w:eastAsia="cs-CZ"/>
        </w:rPr>
        <w:t>Nejvyšší správní soud</w:t>
      </w:r>
    </w:p>
    <w:p w14:paraId="4CF1D6C1" w14:textId="28D591A5" w:rsidR="00126B4D" w:rsidRPr="00033A3F" w:rsidRDefault="00126B4D" w:rsidP="00126B4D">
      <w:pPr>
        <w:pStyle w:val="OdstavecASR"/>
        <w:rPr>
          <w:color w:val="000000" w:themeColor="text1"/>
        </w:rPr>
      </w:pPr>
      <w:r w:rsidRPr="00033A3F">
        <w:rPr>
          <w:color w:val="000000" w:themeColor="text1"/>
        </w:rPr>
        <w:t>Nejvýznamnější agendou NSS je agenda řízení o kasačních stížnostech. V této agendě se historicky projevoval trend, který pozorujeme ve správním soudnictví u krajských soudů. Od roku 2014 až do roku 2019 rostl nápad. Soud sice zvládl zvyšovat počet vyřízených věcí, ale nápad stále převyšoval počet vyřízených věcí. To potvrzuje, že ze statistického hlediska bylo správní soudnictví nejproblematičtějším úsekem. Roky 2020 a 2021 ale naznačovaly zlepšení, neboť nápad u krajských soudů po tři roky klesal a u NSS přestal růst. Pořád nicméně napadal vysoký počet kasačních stížností proti rozhodnutím krajských soudů, které stále vykazovaly poměrně vysoký počet nedodělků. V roce 2022 významně klesl nápad kasačních stížností. Ačkoliv tento počet v letech 2023 a 2024 přestal klesat, počet nevyřízených věcí se dále rapidně snižoval, což ukazuje na zlepšení situace</w:t>
      </w:r>
      <w:r w:rsidR="00A25D2E" w:rsidRPr="00033A3F">
        <w:rPr>
          <w:color w:val="000000" w:themeColor="text1"/>
        </w:rPr>
        <w:t>.</w:t>
      </w:r>
    </w:p>
    <w:p w14:paraId="0ACB3C4D" w14:textId="2155C14E" w:rsidR="008430BD" w:rsidRPr="00033A3F" w:rsidRDefault="008430BD" w:rsidP="008430BD">
      <w:pPr>
        <w:pStyle w:val="Nadpis1"/>
        <w:pageBreakBefore/>
        <w:numPr>
          <w:ilvl w:val="0"/>
          <w:numId w:val="1"/>
        </w:numPr>
        <w:spacing w:after="120"/>
        <w:rPr>
          <w:color w:val="000000" w:themeColor="text1"/>
        </w:rPr>
      </w:pPr>
      <w:bookmarkStart w:id="35" w:name="_Toc169250796"/>
      <w:bookmarkStart w:id="36" w:name="_Toc193530957"/>
      <w:bookmarkStart w:id="37" w:name="_Toc193957014"/>
      <w:bookmarkStart w:id="38" w:name="_Toc203032704"/>
      <w:r w:rsidRPr="00033A3F">
        <w:rPr>
          <w:color w:val="000000" w:themeColor="text1"/>
        </w:rPr>
        <w:lastRenderedPageBreak/>
        <w:t>Okresní soudy</w:t>
      </w:r>
      <w:bookmarkEnd w:id="28"/>
      <w:bookmarkEnd w:id="29"/>
      <w:bookmarkEnd w:id="35"/>
      <w:bookmarkEnd w:id="36"/>
      <w:bookmarkEnd w:id="37"/>
      <w:bookmarkEnd w:id="38"/>
    </w:p>
    <w:p w14:paraId="39C6AB37" w14:textId="77777777" w:rsidR="00091AAC" w:rsidRPr="00033A3F" w:rsidRDefault="00091AAC" w:rsidP="00BF0CC3">
      <w:pPr>
        <w:pStyle w:val="OdstavecASR"/>
        <w:rPr>
          <w:color w:val="000000" w:themeColor="text1"/>
        </w:rPr>
      </w:pPr>
      <w:r w:rsidRPr="00033A3F">
        <w:rPr>
          <w:color w:val="000000" w:themeColor="text1"/>
        </w:rPr>
        <w:t>Tato část výroční zprávy obsahuje data, která se týkají všech okresních soudů (OS) v ČR. Jedná se o 75 okresních soudů, Městský soud v Brně a 10 obvodních soudů v Praze.</w:t>
      </w:r>
    </w:p>
    <w:p w14:paraId="15A3273D" w14:textId="77777777" w:rsidR="00091AAC" w:rsidRPr="00033A3F" w:rsidRDefault="00091AAC" w:rsidP="00BF0CC3">
      <w:pPr>
        <w:pStyle w:val="OdstavecASR"/>
        <w:rPr>
          <w:color w:val="000000" w:themeColor="text1"/>
        </w:rPr>
      </w:pPr>
      <w:r w:rsidRPr="00033A3F">
        <w:rPr>
          <w:color w:val="000000" w:themeColor="text1"/>
        </w:rPr>
        <w:t>V první podkapitole uvádíme statistiky týkající se počtu soudců, počtu zaměstnanců ve výkonu a ve správě a počtu přísedících. Další podkapitoly se věnují jednotlivým soudním agendám. Okresní soudy jsou soudy prvoinstanční a vyřizují v zásadě tři hlavní typy agend – civilní, trestní a opatrovnickou.</w:t>
      </w:r>
    </w:p>
    <w:p w14:paraId="2F2502DD" w14:textId="2D719159" w:rsidR="00091AAC" w:rsidRPr="00033A3F" w:rsidRDefault="00091AAC" w:rsidP="00BF0CC3">
      <w:pPr>
        <w:pStyle w:val="OdstavecASR"/>
        <w:rPr>
          <w:color w:val="000000" w:themeColor="text1"/>
        </w:rPr>
      </w:pPr>
      <w:r w:rsidRPr="00033A3F">
        <w:rPr>
          <w:color w:val="000000" w:themeColor="text1"/>
        </w:rPr>
        <w:t>Pro většinu agend (tedy ve většině podkapitol) uvádíme délky řízení ode dne nápadu do dne vyřízení soudem I. stupně (průměr, medián a percentil 90). Dále následují data týkající se vyřizování věcí: nápad + obživlé věci</w:t>
      </w:r>
      <w:r w:rsidRPr="00033A3F">
        <w:rPr>
          <w:rStyle w:val="Znakapoznpodarou"/>
          <w:color w:val="000000" w:themeColor="text1"/>
        </w:rPr>
        <w:footnoteReference w:id="4"/>
      </w:r>
      <w:r w:rsidRPr="00033A3F">
        <w:rPr>
          <w:color w:val="000000" w:themeColor="text1"/>
        </w:rPr>
        <w:t>, vyřízené věci, nevyřízené věci a míra vyřizování v % (vyřízené věci/příchozí věci × 100 %). Údaje jsou většinou řazeny v časových řadách pro celou ČR, následují data za kraje v roce 2024 a kartogramy pro jednotlivé okresní soudy. Ve většině tabulek s průřezovými daty po krajích je také menším písmem uvedena změna oproti roku 2023. Jedná se buď o změny v procentních bodech, označené zkratkou „p.b.“ nebo o změny v %. Pokud je to přínosné, jsou délky řízení za rok 2024 zobrazeny pomocí histogramu (viz heslo v příloze A). V závěru každé podkapitoly předkládáme další zajímavé statistiky (např. míru odvolání, míru změny rozsudku apod.).</w:t>
      </w:r>
    </w:p>
    <w:p w14:paraId="1BB36D23" w14:textId="136C9153" w:rsidR="00C74A49" w:rsidRPr="00033A3F" w:rsidRDefault="008430BD" w:rsidP="008430BD">
      <w:pPr>
        <w:pStyle w:val="Nadpis2"/>
        <w:numPr>
          <w:ilvl w:val="1"/>
          <w:numId w:val="1"/>
        </w:numPr>
        <w:spacing w:before="120"/>
      </w:pPr>
      <w:bookmarkStart w:id="39" w:name="_Toc487791225"/>
      <w:bookmarkStart w:id="40" w:name="_Toc517118507"/>
      <w:bookmarkStart w:id="41" w:name="_Toc106092713"/>
      <w:bookmarkStart w:id="42" w:name="_Toc169250797"/>
      <w:bookmarkStart w:id="43" w:name="_Toc193530958"/>
      <w:bookmarkStart w:id="44" w:name="_Toc193957015"/>
      <w:bookmarkStart w:id="45" w:name="_Toc203032705"/>
      <w:r w:rsidRPr="00033A3F">
        <w:t>Personál</w:t>
      </w:r>
      <w:bookmarkEnd w:id="39"/>
      <w:bookmarkEnd w:id="40"/>
      <w:bookmarkEnd w:id="41"/>
      <w:bookmarkEnd w:id="42"/>
      <w:bookmarkEnd w:id="43"/>
      <w:bookmarkEnd w:id="44"/>
      <w:bookmarkEnd w:id="45"/>
    </w:p>
    <w:p w14:paraId="65B2EC53" w14:textId="6C76FF61" w:rsidR="007C2E78" w:rsidRPr="00033A3F" w:rsidRDefault="007C2E78" w:rsidP="007C2E78">
      <w:pPr>
        <w:pStyle w:val="OdstavecASR"/>
        <w:rPr>
          <w:color w:val="000000" w:themeColor="text1"/>
        </w:rPr>
      </w:pPr>
      <w:r w:rsidRPr="00033A3F">
        <w:rPr>
          <w:color w:val="000000" w:themeColor="text1"/>
        </w:rPr>
        <w:t>Podkapitolu dělíme na tři části. V první části se věnujeme soudcům, druhá se zaměřuje na další zaměstnance soudu a třetí pojednává o přísedících soudu. Všechny uvedené údaje jsou v osobách a data vyjadřují vždy stav k 1. 1. daného roku, většinou roku 2024.</w:t>
      </w:r>
    </w:p>
    <w:p w14:paraId="4A23E79A" w14:textId="77777777" w:rsidR="00241D6D" w:rsidRPr="00033A3F" w:rsidRDefault="00241D6D" w:rsidP="00241D6D">
      <w:pPr>
        <w:pStyle w:val="Nadpis3"/>
        <w:numPr>
          <w:ilvl w:val="2"/>
          <w:numId w:val="1"/>
        </w:numPr>
        <w:spacing w:before="0"/>
        <w:rPr>
          <w:color w:val="000000" w:themeColor="text1"/>
        </w:rPr>
      </w:pPr>
      <w:bookmarkStart w:id="46" w:name="_Toc144104335"/>
      <w:bookmarkStart w:id="47" w:name="_Toc169250798"/>
      <w:bookmarkStart w:id="48" w:name="_Toc193530959"/>
      <w:bookmarkStart w:id="49" w:name="_Toc193957016"/>
      <w:bookmarkStart w:id="50" w:name="_Toc203032706"/>
      <w:r w:rsidRPr="00033A3F">
        <w:rPr>
          <w:color w:val="000000" w:themeColor="text1"/>
        </w:rPr>
        <w:lastRenderedPageBreak/>
        <w:t>Soudci</w:t>
      </w:r>
      <w:bookmarkEnd w:id="46"/>
      <w:bookmarkEnd w:id="47"/>
      <w:bookmarkEnd w:id="48"/>
      <w:bookmarkEnd w:id="49"/>
      <w:bookmarkEnd w:id="50"/>
    </w:p>
    <w:p w14:paraId="6A0B391A" w14:textId="2B747413" w:rsidR="007C2E78" w:rsidRPr="00033A3F" w:rsidRDefault="007C2E78" w:rsidP="007C2E78">
      <w:pPr>
        <w:pStyle w:val="Podnadpis"/>
        <w:numPr>
          <w:ilvl w:val="0"/>
          <w:numId w:val="0"/>
        </w:numPr>
        <w:rPr>
          <w:color w:val="000000" w:themeColor="text1"/>
        </w:rPr>
      </w:pPr>
      <w:bookmarkStart w:id="51" w:name="_Ref509212911"/>
      <w:bookmarkStart w:id="52" w:name="_Toc515871326"/>
      <w:bookmarkStart w:id="53" w:name="_Toc11135062"/>
      <w:bookmarkStart w:id="54" w:name="_Toc43841381"/>
      <w:bookmarkStart w:id="55" w:name="_Toc75952181"/>
      <w:bookmarkStart w:id="56" w:name="_Toc106106635"/>
      <w:bookmarkStart w:id="57" w:name="_Toc144104113"/>
      <w:bookmarkStart w:id="58" w:name="_Toc169250920"/>
      <w:bookmarkStart w:id="59" w:name="_Toc174080606"/>
      <w:bookmarkStart w:id="60" w:name="_Toc193530757"/>
      <w:bookmarkStart w:id="61" w:name="_Toc193634031"/>
      <w:bookmarkStart w:id="62" w:name="_Toc20303282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w:t>
      </w:r>
      <w:r w:rsidRPr="00033A3F">
        <w:rPr>
          <w:color w:val="000000" w:themeColor="text1"/>
        </w:rPr>
        <w:fldChar w:fldCharType="end"/>
      </w:r>
      <w:bookmarkEnd w:id="51"/>
      <w:r w:rsidRPr="00033A3F">
        <w:rPr>
          <w:color w:val="000000" w:themeColor="text1"/>
        </w:rPr>
        <w:t xml:space="preserve">: OS – počet soudců </w:t>
      </w:r>
      <w:bookmarkEnd w:id="52"/>
      <w:bookmarkEnd w:id="53"/>
      <w:bookmarkEnd w:id="54"/>
      <w:bookmarkEnd w:id="55"/>
      <w:bookmarkEnd w:id="56"/>
      <w:bookmarkEnd w:id="57"/>
      <w:r w:rsidRPr="00033A3F">
        <w:rPr>
          <w:color w:val="000000" w:themeColor="text1"/>
        </w:rPr>
        <w:t>v roce 202</w:t>
      </w:r>
      <w:bookmarkEnd w:id="58"/>
      <w:bookmarkEnd w:id="59"/>
      <w:r w:rsidRPr="00033A3F">
        <w:rPr>
          <w:color w:val="000000" w:themeColor="text1"/>
        </w:rPr>
        <w:t>4</w:t>
      </w:r>
      <w:bookmarkEnd w:id="60"/>
      <w:bookmarkEnd w:id="61"/>
      <w:bookmarkEnd w:id="62"/>
    </w:p>
    <w:p w14:paraId="497645A1" w14:textId="250B67BD" w:rsidR="00241D6D" w:rsidRPr="00033A3F" w:rsidRDefault="002609B6" w:rsidP="00241D6D">
      <w:pPr>
        <w:rPr>
          <w:color w:val="000000" w:themeColor="text1"/>
        </w:rPr>
      </w:pPr>
      <w:r w:rsidRPr="002609B6">
        <w:rPr>
          <w:noProof/>
          <w:color w:val="000000" w:themeColor="text1"/>
        </w:rPr>
        <w:drawing>
          <wp:inline distT="0" distB="0" distL="0" distR="0" wp14:anchorId="6D3A2991" wp14:editId="1D3F6B7D">
            <wp:extent cx="5029200" cy="3657600"/>
            <wp:effectExtent l="0" t="0" r="0" b="0"/>
            <wp:docPr id="11488735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FCD3789" w14:textId="77777777" w:rsidR="00241D6D" w:rsidRPr="00033A3F" w:rsidRDefault="00241D6D" w:rsidP="00241D6D">
      <w:pPr>
        <w:rPr>
          <w:color w:val="000000" w:themeColor="text1"/>
        </w:rPr>
      </w:pPr>
    </w:p>
    <w:p w14:paraId="0EA7C463" w14:textId="3D17A831" w:rsidR="0018107B" w:rsidRPr="00033A3F" w:rsidRDefault="0018107B" w:rsidP="0018107B">
      <w:pPr>
        <w:pStyle w:val="OdstavecASR"/>
        <w:rPr>
          <w:color w:val="000000" w:themeColor="text1"/>
        </w:rPr>
      </w:pPr>
      <w:bookmarkStart w:id="63" w:name="_Ref3374388"/>
      <w:bookmarkStart w:id="64" w:name="_Ref10813793"/>
      <w:bookmarkStart w:id="65" w:name="_Toc106092715"/>
      <w:r w:rsidRPr="00033A3F">
        <w:rPr>
          <w:color w:val="000000" w:themeColor="text1"/>
        </w:rPr>
        <w:t>Počet soudců u OS je v ČR velmi stabilní. Plánovaný počet všech soudců je s ohledem na rozpočtové možnosti prakticky neměnný, a to 3 063 soudců. Tento počet je následně každoročně rozdělován mezi všechny články soudní soustavy (OS, KS, VS, NS, NSS). Mírné změny v plánovaném počtu soudců u OS tak byly způsobeny pouze přesouváním plánovaného počtu soudců mezi jednotlivými články soudní soustavy a vyplývaly z výpočtu potřeby soudců a systemizace soudů, která se odvíjela od nápadu jednotlivých soudů (viz seznam použitých pojmů v příloze).</w:t>
      </w:r>
    </w:p>
    <w:p w14:paraId="5525C143" w14:textId="77777777" w:rsidR="0018107B" w:rsidRPr="00033A3F" w:rsidRDefault="0018107B" w:rsidP="0018107B">
      <w:pPr>
        <w:pStyle w:val="OdstavecASR"/>
        <w:rPr>
          <w:color w:val="000000" w:themeColor="text1"/>
        </w:rPr>
      </w:pPr>
      <w:r w:rsidRPr="00033A3F">
        <w:rPr>
          <w:color w:val="000000" w:themeColor="text1"/>
        </w:rPr>
        <w:t>Evidenční a skutečný počet soudců je rovněž velmi stabilní. Změny jsou dány především zánikem funkcí jednotlivých soudců a načasováním jednotlivých jmenovacích etap, a vykazují tudíž velkou setrvačnost.</w:t>
      </w:r>
    </w:p>
    <w:p w14:paraId="6AFDB892" w14:textId="4569393A" w:rsidR="0018107B" w:rsidRPr="00033A3F" w:rsidRDefault="0018107B" w:rsidP="0018107B">
      <w:pPr>
        <w:pStyle w:val="OdstavecASR"/>
        <w:rPr>
          <w:color w:val="000000" w:themeColor="text1"/>
        </w:rPr>
      </w:pPr>
      <w:r w:rsidRPr="00033A3F">
        <w:rPr>
          <w:color w:val="000000" w:themeColor="text1"/>
        </w:rPr>
        <w:t xml:space="preserve">Z grafu 1 a tabulky 1 můžeme vyčíst, že evidenční a plánovaný počet soudců jsou si velmi podobné, </w:t>
      </w:r>
      <w:r w:rsidR="00B10FDC" w:rsidRPr="00033A3F">
        <w:rPr>
          <w:color w:val="000000" w:themeColor="text1"/>
        </w:rPr>
        <w:t xml:space="preserve">přičemž </w:t>
      </w:r>
      <w:r w:rsidRPr="00033A3F">
        <w:rPr>
          <w:color w:val="000000" w:themeColor="text1"/>
        </w:rPr>
        <w:t>plánovaný je tento rok nepatrně vyšší. Citelně nižší je ale skutečný počet soudců (úvazků), a to zejména v důsledku skutečnosti, že část soudců a soudkyň je na mateřské/rodičovské dovolené, dlouhodobě nemocná, či na stáži u soudů vyšších instancí. Skutečný počet soudců okresních soudů tak tvoří 8</w:t>
      </w:r>
      <w:r w:rsidR="002609B6">
        <w:rPr>
          <w:color w:val="000000" w:themeColor="text1"/>
        </w:rPr>
        <w:t>6</w:t>
      </w:r>
      <w:r w:rsidR="00605786" w:rsidRPr="00033A3F">
        <w:rPr>
          <w:color w:val="000000" w:themeColor="text1"/>
        </w:rPr>
        <w:t>,</w:t>
      </w:r>
      <w:r w:rsidR="002609B6">
        <w:rPr>
          <w:color w:val="000000" w:themeColor="text1"/>
        </w:rPr>
        <w:t>92</w:t>
      </w:r>
      <w:r w:rsidRPr="00033A3F">
        <w:rPr>
          <w:color w:val="000000" w:themeColor="text1"/>
        </w:rPr>
        <w:t xml:space="preserve"> % plánovaného počtu. </w:t>
      </w:r>
      <w:r w:rsidR="00605786" w:rsidRPr="00033A3F">
        <w:rPr>
          <w:color w:val="000000" w:themeColor="text1"/>
        </w:rPr>
        <w:t xml:space="preserve">Oproti předchozímu roku naplněnost soudů mírně klesla. </w:t>
      </w:r>
      <w:r w:rsidRPr="00033A3F">
        <w:rPr>
          <w:color w:val="000000" w:themeColor="text1"/>
        </w:rPr>
        <w:t>Nejvíce „naplněny“ k 1. 1. 202</w:t>
      </w:r>
      <w:r w:rsidR="00605786" w:rsidRPr="00033A3F">
        <w:rPr>
          <w:color w:val="000000" w:themeColor="text1"/>
        </w:rPr>
        <w:t>4</w:t>
      </w:r>
      <w:r w:rsidRPr="00033A3F">
        <w:rPr>
          <w:color w:val="000000" w:themeColor="text1"/>
        </w:rPr>
        <w:t xml:space="preserve"> byly soudy v</w:t>
      </w:r>
      <w:r w:rsidR="00605786" w:rsidRPr="00033A3F">
        <w:rPr>
          <w:color w:val="000000" w:themeColor="text1"/>
        </w:rPr>
        <w:t>e Východočeském</w:t>
      </w:r>
      <w:r w:rsidRPr="00033A3F">
        <w:rPr>
          <w:color w:val="000000" w:themeColor="text1"/>
        </w:rPr>
        <w:t xml:space="preserve"> kraji – 9</w:t>
      </w:r>
      <w:r w:rsidR="00605786" w:rsidRPr="00033A3F">
        <w:rPr>
          <w:color w:val="000000" w:themeColor="text1"/>
        </w:rPr>
        <w:t>2</w:t>
      </w:r>
      <w:r w:rsidRPr="00033A3F">
        <w:rPr>
          <w:color w:val="000000" w:themeColor="text1"/>
        </w:rPr>
        <w:t>,</w:t>
      </w:r>
      <w:r w:rsidR="00B10FDC" w:rsidRPr="00033A3F">
        <w:rPr>
          <w:color w:val="000000" w:themeColor="text1"/>
        </w:rPr>
        <w:t>72 </w:t>
      </w:r>
      <w:r w:rsidRPr="00033A3F">
        <w:rPr>
          <w:color w:val="000000" w:themeColor="text1"/>
        </w:rPr>
        <w:t xml:space="preserve">%, nejméně pak soudy spadající pod KS Praha – </w:t>
      </w:r>
      <w:r w:rsidR="00605786" w:rsidRPr="00033A3F">
        <w:rPr>
          <w:color w:val="000000" w:themeColor="text1"/>
        </w:rPr>
        <w:t>79</w:t>
      </w:r>
      <w:r w:rsidRPr="00033A3F">
        <w:rPr>
          <w:color w:val="000000" w:themeColor="text1"/>
        </w:rPr>
        <w:t>,</w:t>
      </w:r>
      <w:r w:rsidR="00605786" w:rsidRPr="00033A3F">
        <w:rPr>
          <w:color w:val="000000" w:themeColor="text1"/>
        </w:rPr>
        <w:t>29</w:t>
      </w:r>
      <w:r w:rsidRPr="00033A3F">
        <w:rPr>
          <w:color w:val="000000" w:themeColor="text1"/>
        </w:rPr>
        <w:t xml:space="preserve"> %. Výraznou roli zde hraje načasování jmenovacích etap.</w:t>
      </w:r>
    </w:p>
    <w:p w14:paraId="3A329444" w14:textId="77777777" w:rsidR="0018107B" w:rsidRPr="00033A3F" w:rsidRDefault="0018107B" w:rsidP="0018107B">
      <w:pPr>
        <w:pStyle w:val="OdstavecASR"/>
        <w:rPr>
          <w:color w:val="000000" w:themeColor="text1"/>
        </w:rPr>
      </w:pPr>
    </w:p>
    <w:p w14:paraId="361D089B" w14:textId="73DAC9D8" w:rsidR="0018107B" w:rsidRPr="00033A3F" w:rsidRDefault="0018107B" w:rsidP="0018107B">
      <w:pPr>
        <w:pStyle w:val="Podnadpis"/>
        <w:numPr>
          <w:ilvl w:val="0"/>
          <w:numId w:val="0"/>
        </w:numPr>
        <w:rPr>
          <w:color w:val="000000" w:themeColor="text1"/>
        </w:rPr>
      </w:pPr>
      <w:bookmarkStart w:id="66" w:name="_Toc106106763"/>
      <w:bookmarkStart w:id="67" w:name="_Toc144104240"/>
      <w:bookmarkStart w:id="68" w:name="_Toc169251058"/>
      <w:bookmarkStart w:id="69" w:name="_Toc174080744"/>
      <w:bookmarkStart w:id="70" w:name="_Toc193530880"/>
      <w:bookmarkStart w:id="71" w:name="_Toc194045574"/>
      <w:bookmarkStart w:id="72" w:name="_Toc199494983"/>
      <w:bookmarkStart w:id="73" w:name="_Toc203033043"/>
      <w:bookmarkStart w:id="74" w:name="_Toc203033121"/>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w:t>
      </w:r>
      <w:r w:rsidRPr="00033A3F">
        <w:rPr>
          <w:color w:val="000000" w:themeColor="text1"/>
        </w:rPr>
        <w:fldChar w:fldCharType="end"/>
      </w:r>
      <w:r w:rsidRPr="00033A3F">
        <w:rPr>
          <w:color w:val="000000" w:themeColor="text1"/>
        </w:rPr>
        <w:t>: OS – počet soudců dle krajů</w:t>
      </w:r>
      <w:bookmarkEnd w:id="66"/>
      <w:bookmarkEnd w:id="67"/>
      <w:r w:rsidRPr="00033A3F">
        <w:rPr>
          <w:color w:val="000000" w:themeColor="text1"/>
        </w:rPr>
        <w:t>, 202</w:t>
      </w:r>
      <w:bookmarkEnd w:id="68"/>
      <w:bookmarkEnd w:id="69"/>
      <w:r w:rsidRPr="00033A3F">
        <w:rPr>
          <w:color w:val="000000" w:themeColor="text1"/>
        </w:rPr>
        <w:t>4</w:t>
      </w:r>
      <w:bookmarkEnd w:id="70"/>
      <w:bookmarkEnd w:id="71"/>
      <w:bookmarkEnd w:id="72"/>
      <w:bookmarkEnd w:id="73"/>
      <w:bookmarkEnd w:id="74"/>
    </w:p>
    <w:p w14:paraId="6FAF549B" w14:textId="25CA71C4" w:rsidR="006E1F5B" w:rsidRPr="00033A3F" w:rsidRDefault="00D906FB" w:rsidP="00D906FB">
      <w:pPr>
        <w:pStyle w:val="OdstavecASR"/>
        <w:rPr>
          <w:color w:val="000000" w:themeColor="text1"/>
        </w:rPr>
      </w:pPr>
      <w:r w:rsidRPr="00033A3F">
        <w:rPr>
          <w:color w:val="000000" w:themeColor="text1"/>
        </w:rPr>
        <w:t>Poměr velikosti soudních úseků je velmi stabilní – počet soudců na netrestním úseku je téměř 3,5× vyšší než počet soudců na úseku trestním. Opatrovnické a trestní úseky jsou přibližně stejně velké, civilní úseky jsou výrazně větší. Data můžeme vidět v grafu a tabulce níže. V přepočtu na 100 tis. obyvatel jsou personálně výrazně nejsilnější OS v Praze a v Severočeském soudním kraji.</w:t>
      </w:r>
      <w:bookmarkStart w:id="75" w:name="_Toc169250921"/>
      <w:bookmarkStart w:id="76" w:name="_Toc174080607"/>
      <w:bookmarkStart w:id="77" w:name="_Toc193530758"/>
    </w:p>
    <w:tbl>
      <w:tblPr>
        <w:tblW w:w="8904" w:type="dxa"/>
        <w:tblCellMar>
          <w:left w:w="70" w:type="dxa"/>
          <w:right w:w="70" w:type="dxa"/>
        </w:tblCellMar>
        <w:tblLook w:val="04A0" w:firstRow="1" w:lastRow="0" w:firstColumn="1" w:lastColumn="0" w:noHBand="0" w:noVBand="1"/>
      </w:tblPr>
      <w:tblGrid>
        <w:gridCol w:w="2080"/>
        <w:gridCol w:w="1531"/>
        <w:gridCol w:w="1528"/>
        <w:gridCol w:w="1528"/>
        <w:gridCol w:w="2237"/>
      </w:tblGrid>
      <w:tr w:rsidR="001A1EE6" w:rsidRPr="002609B6" w14:paraId="094B3ADB" w14:textId="77777777" w:rsidTr="001A1EE6">
        <w:trPr>
          <w:trHeight w:val="451"/>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2A99B567"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Nadřízený soud</w:t>
            </w:r>
          </w:p>
        </w:tc>
        <w:tc>
          <w:tcPr>
            <w:tcW w:w="1531" w:type="dxa"/>
            <w:vMerge w:val="restart"/>
            <w:tcBorders>
              <w:top w:val="double" w:sz="6" w:space="0" w:color="auto"/>
              <w:left w:val="nil"/>
              <w:bottom w:val="double" w:sz="6" w:space="0" w:color="000000"/>
              <w:right w:val="nil"/>
            </w:tcBorders>
            <w:shd w:val="clear" w:color="auto" w:fill="auto"/>
            <w:vAlign w:val="center"/>
            <w:hideMark/>
          </w:tcPr>
          <w:p w14:paraId="65D0E936"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Plánovaný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1A8FB0AF" w14:textId="7B2B95B2"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Evide</w:t>
            </w:r>
            <w:r>
              <w:rPr>
                <w:rFonts w:eastAsia="Times New Roman"/>
                <w:b/>
                <w:bCs/>
                <w:color w:val="000000"/>
                <w:szCs w:val="24"/>
                <w:lang w:eastAsia="cs-CZ"/>
              </w:rPr>
              <w:t>n</w:t>
            </w:r>
            <w:r w:rsidRPr="002609B6">
              <w:rPr>
                <w:rFonts w:eastAsia="Times New Roman"/>
                <w:b/>
                <w:bCs/>
                <w:color w:val="000000"/>
                <w:szCs w:val="24"/>
                <w:lang w:eastAsia="cs-CZ"/>
              </w:rPr>
              <w:t>ční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1579EAEA"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Skutečný počet soudců</w:t>
            </w:r>
          </w:p>
        </w:tc>
        <w:tc>
          <w:tcPr>
            <w:tcW w:w="2237" w:type="dxa"/>
            <w:vMerge w:val="restart"/>
            <w:tcBorders>
              <w:top w:val="double" w:sz="6" w:space="0" w:color="auto"/>
              <w:left w:val="nil"/>
              <w:bottom w:val="double" w:sz="6" w:space="0" w:color="000000"/>
              <w:right w:val="nil"/>
            </w:tcBorders>
            <w:shd w:val="clear" w:color="auto" w:fill="auto"/>
            <w:vAlign w:val="center"/>
            <w:hideMark/>
          </w:tcPr>
          <w:p w14:paraId="0135D579"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Podíl skutečný/plánovaný počet soudců</w:t>
            </w:r>
          </w:p>
        </w:tc>
      </w:tr>
      <w:tr w:rsidR="001A1EE6" w:rsidRPr="002609B6" w14:paraId="48FC0637" w14:textId="77777777" w:rsidTr="001A1EE6">
        <w:trPr>
          <w:trHeight w:val="645"/>
        </w:trPr>
        <w:tc>
          <w:tcPr>
            <w:tcW w:w="2080" w:type="dxa"/>
            <w:vMerge/>
            <w:tcBorders>
              <w:top w:val="double" w:sz="6" w:space="0" w:color="auto"/>
              <w:left w:val="nil"/>
              <w:bottom w:val="double" w:sz="6" w:space="0" w:color="000000"/>
              <w:right w:val="nil"/>
            </w:tcBorders>
            <w:vAlign w:val="center"/>
            <w:hideMark/>
          </w:tcPr>
          <w:p w14:paraId="261DAA5E" w14:textId="77777777" w:rsidR="001A1EE6" w:rsidRPr="002609B6" w:rsidRDefault="001A1EE6" w:rsidP="002609B6">
            <w:pPr>
              <w:spacing w:line="240" w:lineRule="auto"/>
              <w:jc w:val="left"/>
              <w:rPr>
                <w:rFonts w:eastAsia="Times New Roman"/>
                <w:b/>
                <w:bCs/>
                <w:color w:val="000000"/>
                <w:szCs w:val="24"/>
                <w:lang w:eastAsia="cs-CZ"/>
              </w:rPr>
            </w:pPr>
          </w:p>
        </w:tc>
        <w:tc>
          <w:tcPr>
            <w:tcW w:w="1531" w:type="dxa"/>
            <w:vMerge/>
            <w:tcBorders>
              <w:top w:val="double" w:sz="6" w:space="0" w:color="auto"/>
              <w:left w:val="nil"/>
              <w:bottom w:val="double" w:sz="6" w:space="0" w:color="000000"/>
              <w:right w:val="nil"/>
            </w:tcBorders>
            <w:vAlign w:val="center"/>
            <w:hideMark/>
          </w:tcPr>
          <w:p w14:paraId="5B1DB013" w14:textId="77777777" w:rsidR="001A1EE6" w:rsidRPr="002609B6" w:rsidRDefault="001A1EE6" w:rsidP="002609B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1CF8BBE2" w14:textId="77777777" w:rsidR="001A1EE6" w:rsidRPr="002609B6" w:rsidRDefault="001A1EE6" w:rsidP="002609B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0D4C8959" w14:textId="77777777" w:rsidR="001A1EE6" w:rsidRPr="002609B6" w:rsidRDefault="001A1EE6" w:rsidP="002609B6">
            <w:pPr>
              <w:spacing w:line="240" w:lineRule="auto"/>
              <w:jc w:val="left"/>
              <w:rPr>
                <w:rFonts w:eastAsia="Times New Roman"/>
                <w:b/>
                <w:bCs/>
                <w:color w:val="000000"/>
                <w:szCs w:val="24"/>
                <w:lang w:eastAsia="cs-CZ"/>
              </w:rPr>
            </w:pPr>
          </w:p>
        </w:tc>
        <w:tc>
          <w:tcPr>
            <w:tcW w:w="2237" w:type="dxa"/>
            <w:vMerge/>
            <w:tcBorders>
              <w:top w:val="double" w:sz="6" w:space="0" w:color="auto"/>
              <w:left w:val="nil"/>
              <w:bottom w:val="double" w:sz="6" w:space="0" w:color="000000"/>
              <w:right w:val="nil"/>
            </w:tcBorders>
            <w:vAlign w:val="center"/>
            <w:hideMark/>
          </w:tcPr>
          <w:p w14:paraId="4C3DD04E" w14:textId="77777777" w:rsidR="001A1EE6" w:rsidRPr="002609B6" w:rsidRDefault="001A1EE6" w:rsidP="002609B6">
            <w:pPr>
              <w:spacing w:line="240" w:lineRule="auto"/>
              <w:jc w:val="left"/>
              <w:rPr>
                <w:rFonts w:eastAsia="Times New Roman"/>
                <w:b/>
                <w:bCs/>
                <w:color w:val="000000"/>
                <w:szCs w:val="24"/>
                <w:lang w:eastAsia="cs-CZ"/>
              </w:rPr>
            </w:pPr>
          </w:p>
        </w:tc>
      </w:tr>
      <w:tr w:rsidR="001A1EE6" w:rsidRPr="002609B6" w14:paraId="7BC9419D" w14:textId="77777777" w:rsidTr="001A1EE6">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078741C7"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MS Praha</w:t>
            </w:r>
          </w:p>
        </w:tc>
        <w:tc>
          <w:tcPr>
            <w:tcW w:w="1531" w:type="dxa"/>
            <w:tcBorders>
              <w:top w:val="single" w:sz="4" w:space="0" w:color="auto"/>
              <w:left w:val="nil"/>
              <w:bottom w:val="single" w:sz="4" w:space="0" w:color="auto"/>
              <w:right w:val="nil"/>
            </w:tcBorders>
            <w:shd w:val="clear" w:color="auto" w:fill="auto"/>
            <w:noWrap/>
            <w:vAlign w:val="bottom"/>
            <w:hideMark/>
          </w:tcPr>
          <w:p w14:paraId="6AF321F1"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307</w:t>
            </w:r>
          </w:p>
        </w:tc>
        <w:tc>
          <w:tcPr>
            <w:tcW w:w="1528" w:type="dxa"/>
            <w:tcBorders>
              <w:top w:val="single" w:sz="4" w:space="0" w:color="auto"/>
              <w:left w:val="nil"/>
              <w:bottom w:val="single" w:sz="4" w:space="0" w:color="auto"/>
              <w:right w:val="nil"/>
            </w:tcBorders>
            <w:shd w:val="clear" w:color="auto" w:fill="auto"/>
            <w:noWrap/>
            <w:vAlign w:val="bottom"/>
            <w:hideMark/>
          </w:tcPr>
          <w:p w14:paraId="0C6A12AA"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306</w:t>
            </w:r>
          </w:p>
        </w:tc>
        <w:tc>
          <w:tcPr>
            <w:tcW w:w="1528" w:type="dxa"/>
            <w:tcBorders>
              <w:top w:val="single" w:sz="4" w:space="0" w:color="auto"/>
              <w:left w:val="nil"/>
              <w:bottom w:val="single" w:sz="4" w:space="0" w:color="auto"/>
              <w:right w:val="nil"/>
            </w:tcBorders>
            <w:shd w:val="clear" w:color="auto" w:fill="auto"/>
            <w:noWrap/>
            <w:vAlign w:val="bottom"/>
            <w:hideMark/>
          </w:tcPr>
          <w:p w14:paraId="5C5ABDD3" w14:textId="6F8BD9B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258</w:t>
            </w:r>
            <w:r>
              <w:rPr>
                <w:rFonts w:eastAsia="Times New Roman"/>
                <w:color w:val="000000"/>
                <w:szCs w:val="24"/>
                <w:lang w:eastAsia="cs-CZ"/>
              </w:rPr>
              <w:t>,</w:t>
            </w:r>
            <w:r w:rsidRPr="002609B6">
              <w:rPr>
                <w:rFonts w:eastAsia="Times New Roman"/>
                <w:color w:val="000000"/>
                <w:szCs w:val="24"/>
                <w:lang w:eastAsia="cs-CZ"/>
              </w:rPr>
              <w:t>90</w:t>
            </w:r>
          </w:p>
        </w:tc>
        <w:tc>
          <w:tcPr>
            <w:tcW w:w="2237" w:type="dxa"/>
            <w:tcBorders>
              <w:top w:val="single" w:sz="4" w:space="0" w:color="auto"/>
              <w:left w:val="nil"/>
              <w:bottom w:val="single" w:sz="4" w:space="0" w:color="auto"/>
              <w:right w:val="nil"/>
            </w:tcBorders>
            <w:shd w:val="clear" w:color="auto" w:fill="auto"/>
            <w:noWrap/>
            <w:vAlign w:val="bottom"/>
            <w:hideMark/>
          </w:tcPr>
          <w:p w14:paraId="20313F17" w14:textId="3194D2CF"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84</w:t>
            </w:r>
            <w:r>
              <w:rPr>
                <w:rFonts w:eastAsia="Times New Roman"/>
                <w:color w:val="000000"/>
                <w:szCs w:val="24"/>
                <w:lang w:eastAsia="cs-CZ"/>
              </w:rPr>
              <w:t>,</w:t>
            </w:r>
            <w:r w:rsidRPr="002609B6">
              <w:rPr>
                <w:rFonts w:eastAsia="Times New Roman"/>
                <w:color w:val="000000"/>
                <w:szCs w:val="24"/>
                <w:lang w:eastAsia="cs-CZ"/>
              </w:rPr>
              <w:t>33 %</w:t>
            </w:r>
          </w:p>
        </w:tc>
      </w:tr>
      <w:tr w:rsidR="001A1EE6" w:rsidRPr="002609B6" w14:paraId="52141943"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72E71327"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Praha</w:t>
            </w:r>
          </w:p>
        </w:tc>
        <w:tc>
          <w:tcPr>
            <w:tcW w:w="1531" w:type="dxa"/>
            <w:tcBorders>
              <w:top w:val="nil"/>
              <w:left w:val="nil"/>
              <w:bottom w:val="single" w:sz="4" w:space="0" w:color="auto"/>
              <w:right w:val="nil"/>
            </w:tcBorders>
            <w:shd w:val="clear" w:color="auto" w:fill="auto"/>
            <w:noWrap/>
            <w:vAlign w:val="bottom"/>
            <w:hideMark/>
          </w:tcPr>
          <w:p w14:paraId="25D6A765"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234</w:t>
            </w:r>
          </w:p>
        </w:tc>
        <w:tc>
          <w:tcPr>
            <w:tcW w:w="1528" w:type="dxa"/>
            <w:tcBorders>
              <w:top w:val="nil"/>
              <w:left w:val="nil"/>
              <w:bottom w:val="single" w:sz="4" w:space="0" w:color="auto"/>
              <w:right w:val="nil"/>
            </w:tcBorders>
            <w:shd w:val="clear" w:color="auto" w:fill="auto"/>
            <w:noWrap/>
            <w:vAlign w:val="bottom"/>
            <w:hideMark/>
          </w:tcPr>
          <w:p w14:paraId="36E09AA5"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223</w:t>
            </w:r>
          </w:p>
        </w:tc>
        <w:tc>
          <w:tcPr>
            <w:tcW w:w="1528" w:type="dxa"/>
            <w:tcBorders>
              <w:top w:val="nil"/>
              <w:left w:val="nil"/>
              <w:bottom w:val="single" w:sz="4" w:space="0" w:color="auto"/>
              <w:right w:val="nil"/>
            </w:tcBorders>
            <w:shd w:val="clear" w:color="auto" w:fill="auto"/>
            <w:noWrap/>
            <w:vAlign w:val="bottom"/>
            <w:hideMark/>
          </w:tcPr>
          <w:p w14:paraId="61997452" w14:textId="738BC963"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185</w:t>
            </w:r>
            <w:r>
              <w:rPr>
                <w:rFonts w:eastAsia="Times New Roman"/>
                <w:color w:val="000000"/>
                <w:szCs w:val="24"/>
                <w:lang w:eastAsia="cs-CZ"/>
              </w:rPr>
              <w:t>,</w:t>
            </w:r>
            <w:r w:rsidRPr="002609B6">
              <w:rPr>
                <w:rFonts w:eastAsia="Times New Roman"/>
                <w:color w:val="000000"/>
                <w:szCs w:val="24"/>
                <w:lang w:eastAsia="cs-CZ"/>
              </w:rPr>
              <w:t>55</w:t>
            </w:r>
          </w:p>
        </w:tc>
        <w:tc>
          <w:tcPr>
            <w:tcW w:w="2237" w:type="dxa"/>
            <w:tcBorders>
              <w:top w:val="nil"/>
              <w:left w:val="nil"/>
              <w:bottom w:val="single" w:sz="4" w:space="0" w:color="auto"/>
              <w:right w:val="nil"/>
            </w:tcBorders>
            <w:shd w:val="clear" w:color="auto" w:fill="auto"/>
            <w:noWrap/>
            <w:vAlign w:val="bottom"/>
            <w:hideMark/>
          </w:tcPr>
          <w:p w14:paraId="57105976" w14:textId="75C418DA"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79</w:t>
            </w:r>
            <w:r>
              <w:rPr>
                <w:rFonts w:eastAsia="Times New Roman"/>
                <w:color w:val="000000"/>
                <w:szCs w:val="24"/>
                <w:lang w:eastAsia="cs-CZ"/>
              </w:rPr>
              <w:t>,</w:t>
            </w:r>
            <w:r w:rsidRPr="002609B6">
              <w:rPr>
                <w:rFonts w:eastAsia="Times New Roman"/>
                <w:color w:val="000000"/>
                <w:szCs w:val="24"/>
                <w:lang w:eastAsia="cs-CZ"/>
              </w:rPr>
              <w:t>29 %</w:t>
            </w:r>
          </w:p>
        </w:tc>
      </w:tr>
      <w:tr w:rsidR="001A1EE6" w:rsidRPr="002609B6" w14:paraId="579BFF70"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6819FA00"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Č. Budějovice</w:t>
            </w:r>
          </w:p>
        </w:tc>
        <w:tc>
          <w:tcPr>
            <w:tcW w:w="1531" w:type="dxa"/>
            <w:tcBorders>
              <w:top w:val="nil"/>
              <w:left w:val="nil"/>
              <w:bottom w:val="single" w:sz="4" w:space="0" w:color="auto"/>
              <w:right w:val="nil"/>
            </w:tcBorders>
            <w:shd w:val="clear" w:color="auto" w:fill="auto"/>
            <w:noWrap/>
            <w:vAlign w:val="bottom"/>
            <w:hideMark/>
          </w:tcPr>
          <w:p w14:paraId="4798C9F6"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106</w:t>
            </w:r>
          </w:p>
        </w:tc>
        <w:tc>
          <w:tcPr>
            <w:tcW w:w="1528" w:type="dxa"/>
            <w:tcBorders>
              <w:top w:val="nil"/>
              <w:left w:val="nil"/>
              <w:bottom w:val="single" w:sz="4" w:space="0" w:color="auto"/>
              <w:right w:val="nil"/>
            </w:tcBorders>
            <w:shd w:val="clear" w:color="auto" w:fill="auto"/>
            <w:noWrap/>
            <w:vAlign w:val="bottom"/>
            <w:hideMark/>
          </w:tcPr>
          <w:p w14:paraId="4B88B4CA"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103</w:t>
            </w:r>
          </w:p>
        </w:tc>
        <w:tc>
          <w:tcPr>
            <w:tcW w:w="1528" w:type="dxa"/>
            <w:tcBorders>
              <w:top w:val="nil"/>
              <w:left w:val="nil"/>
              <w:bottom w:val="single" w:sz="4" w:space="0" w:color="auto"/>
              <w:right w:val="nil"/>
            </w:tcBorders>
            <w:shd w:val="clear" w:color="auto" w:fill="auto"/>
            <w:noWrap/>
            <w:vAlign w:val="bottom"/>
            <w:hideMark/>
          </w:tcPr>
          <w:p w14:paraId="568C7BBA" w14:textId="627CE326"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90</w:t>
            </w:r>
            <w:r>
              <w:rPr>
                <w:rFonts w:eastAsia="Times New Roman"/>
                <w:color w:val="000000"/>
                <w:szCs w:val="24"/>
                <w:lang w:eastAsia="cs-CZ"/>
              </w:rPr>
              <w:t>,</w:t>
            </w:r>
            <w:r w:rsidRPr="002609B6">
              <w:rPr>
                <w:rFonts w:eastAsia="Times New Roman"/>
                <w:color w:val="000000"/>
                <w:szCs w:val="24"/>
                <w:lang w:eastAsia="cs-CZ"/>
              </w:rPr>
              <w:t>45</w:t>
            </w:r>
          </w:p>
        </w:tc>
        <w:tc>
          <w:tcPr>
            <w:tcW w:w="2237" w:type="dxa"/>
            <w:tcBorders>
              <w:top w:val="nil"/>
              <w:left w:val="nil"/>
              <w:bottom w:val="single" w:sz="4" w:space="0" w:color="auto"/>
              <w:right w:val="nil"/>
            </w:tcBorders>
            <w:shd w:val="clear" w:color="auto" w:fill="auto"/>
            <w:noWrap/>
            <w:vAlign w:val="bottom"/>
            <w:hideMark/>
          </w:tcPr>
          <w:p w14:paraId="6673804F" w14:textId="17C732FE"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85</w:t>
            </w:r>
            <w:r>
              <w:rPr>
                <w:rFonts w:eastAsia="Times New Roman"/>
                <w:color w:val="000000"/>
                <w:szCs w:val="24"/>
                <w:lang w:eastAsia="cs-CZ"/>
              </w:rPr>
              <w:t>,</w:t>
            </w:r>
            <w:r w:rsidRPr="002609B6">
              <w:rPr>
                <w:rFonts w:eastAsia="Times New Roman"/>
                <w:color w:val="000000"/>
                <w:szCs w:val="24"/>
                <w:lang w:eastAsia="cs-CZ"/>
              </w:rPr>
              <w:t>33 %</w:t>
            </w:r>
          </w:p>
        </w:tc>
      </w:tr>
      <w:tr w:rsidR="001A1EE6" w:rsidRPr="002609B6" w14:paraId="159D73C1"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16A33E56"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Plzeň</w:t>
            </w:r>
          </w:p>
        </w:tc>
        <w:tc>
          <w:tcPr>
            <w:tcW w:w="1531" w:type="dxa"/>
            <w:tcBorders>
              <w:top w:val="nil"/>
              <w:left w:val="nil"/>
              <w:bottom w:val="single" w:sz="4" w:space="0" w:color="auto"/>
              <w:right w:val="nil"/>
            </w:tcBorders>
            <w:shd w:val="clear" w:color="auto" w:fill="auto"/>
            <w:noWrap/>
            <w:vAlign w:val="bottom"/>
            <w:hideMark/>
          </w:tcPr>
          <w:p w14:paraId="0F9B2A22"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168</w:t>
            </w:r>
          </w:p>
        </w:tc>
        <w:tc>
          <w:tcPr>
            <w:tcW w:w="1528" w:type="dxa"/>
            <w:tcBorders>
              <w:top w:val="nil"/>
              <w:left w:val="nil"/>
              <w:bottom w:val="single" w:sz="4" w:space="0" w:color="auto"/>
              <w:right w:val="nil"/>
            </w:tcBorders>
            <w:shd w:val="clear" w:color="auto" w:fill="auto"/>
            <w:noWrap/>
            <w:vAlign w:val="bottom"/>
            <w:hideMark/>
          </w:tcPr>
          <w:p w14:paraId="4EAC195E"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166</w:t>
            </w:r>
          </w:p>
        </w:tc>
        <w:tc>
          <w:tcPr>
            <w:tcW w:w="1528" w:type="dxa"/>
            <w:tcBorders>
              <w:top w:val="nil"/>
              <w:left w:val="nil"/>
              <w:bottom w:val="single" w:sz="4" w:space="0" w:color="auto"/>
              <w:right w:val="nil"/>
            </w:tcBorders>
            <w:shd w:val="clear" w:color="auto" w:fill="auto"/>
            <w:noWrap/>
            <w:vAlign w:val="bottom"/>
            <w:hideMark/>
          </w:tcPr>
          <w:p w14:paraId="3B55FBC6" w14:textId="11DF0DC4"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147</w:t>
            </w:r>
            <w:r>
              <w:rPr>
                <w:rFonts w:eastAsia="Times New Roman"/>
                <w:color w:val="000000"/>
                <w:szCs w:val="24"/>
                <w:lang w:eastAsia="cs-CZ"/>
              </w:rPr>
              <w:t>,</w:t>
            </w:r>
            <w:r w:rsidRPr="002609B6">
              <w:rPr>
                <w:rFonts w:eastAsia="Times New Roman"/>
                <w:color w:val="000000"/>
                <w:szCs w:val="24"/>
                <w:lang w:eastAsia="cs-CZ"/>
              </w:rPr>
              <w:t>45</w:t>
            </w:r>
          </w:p>
        </w:tc>
        <w:tc>
          <w:tcPr>
            <w:tcW w:w="2237" w:type="dxa"/>
            <w:tcBorders>
              <w:top w:val="nil"/>
              <w:left w:val="nil"/>
              <w:bottom w:val="single" w:sz="4" w:space="0" w:color="auto"/>
              <w:right w:val="nil"/>
            </w:tcBorders>
            <w:shd w:val="clear" w:color="auto" w:fill="auto"/>
            <w:noWrap/>
            <w:vAlign w:val="bottom"/>
            <w:hideMark/>
          </w:tcPr>
          <w:p w14:paraId="6CA89F7D" w14:textId="20FAD6B2"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87</w:t>
            </w:r>
            <w:r>
              <w:rPr>
                <w:rFonts w:eastAsia="Times New Roman"/>
                <w:color w:val="000000"/>
                <w:szCs w:val="24"/>
                <w:lang w:eastAsia="cs-CZ"/>
              </w:rPr>
              <w:t>,</w:t>
            </w:r>
            <w:r w:rsidRPr="002609B6">
              <w:rPr>
                <w:rFonts w:eastAsia="Times New Roman"/>
                <w:color w:val="000000"/>
                <w:szCs w:val="24"/>
                <w:lang w:eastAsia="cs-CZ"/>
              </w:rPr>
              <w:t>77 %</w:t>
            </w:r>
          </w:p>
        </w:tc>
      </w:tr>
      <w:tr w:rsidR="001A1EE6" w:rsidRPr="002609B6" w14:paraId="59997D96"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546E719A"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Ústí n. Labem</w:t>
            </w:r>
          </w:p>
        </w:tc>
        <w:tc>
          <w:tcPr>
            <w:tcW w:w="1531" w:type="dxa"/>
            <w:tcBorders>
              <w:top w:val="nil"/>
              <w:left w:val="nil"/>
              <w:bottom w:val="single" w:sz="4" w:space="0" w:color="auto"/>
              <w:right w:val="nil"/>
            </w:tcBorders>
            <w:shd w:val="clear" w:color="auto" w:fill="auto"/>
            <w:noWrap/>
            <w:vAlign w:val="bottom"/>
            <w:hideMark/>
          </w:tcPr>
          <w:p w14:paraId="2C090D85"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261</w:t>
            </w:r>
          </w:p>
        </w:tc>
        <w:tc>
          <w:tcPr>
            <w:tcW w:w="1528" w:type="dxa"/>
            <w:tcBorders>
              <w:top w:val="nil"/>
              <w:left w:val="nil"/>
              <w:bottom w:val="single" w:sz="4" w:space="0" w:color="auto"/>
              <w:right w:val="nil"/>
            </w:tcBorders>
            <w:shd w:val="clear" w:color="auto" w:fill="auto"/>
            <w:noWrap/>
            <w:vAlign w:val="bottom"/>
            <w:hideMark/>
          </w:tcPr>
          <w:p w14:paraId="7258625B"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275</w:t>
            </w:r>
          </w:p>
        </w:tc>
        <w:tc>
          <w:tcPr>
            <w:tcW w:w="1528" w:type="dxa"/>
            <w:tcBorders>
              <w:top w:val="nil"/>
              <w:left w:val="nil"/>
              <w:bottom w:val="single" w:sz="4" w:space="0" w:color="auto"/>
              <w:right w:val="nil"/>
            </w:tcBorders>
            <w:shd w:val="clear" w:color="auto" w:fill="auto"/>
            <w:noWrap/>
            <w:vAlign w:val="bottom"/>
            <w:hideMark/>
          </w:tcPr>
          <w:p w14:paraId="43C2425B" w14:textId="0FBE1AAF"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229</w:t>
            </w:r>
            <w:r>
              <w:rPr>
                <w:rFonts w:eastAsia="Times New Roman"/>
                <w:color w:val="000000"/>
                <w:szCs w:val="24"/>
                <w:lang w:eastAsia="cs-CZ"/>
              </w:rPr>
              <w:t>,</w:t>
            </w:r>
            <w:r w:rsidRPr="002609B6">
              <w:rPr>
                <w:rFonts w:eastAsia="Times New Roman"/>
                <w:color w:val="000000"/>
                <w:szCs w:val="24"/>
                <w:lang w:eastAsia="cs-CZ"/>
              </w:rPr>
              <w:t>15</w:t>
            </w:r>
          </w:p>
        </w:tc>
        <w:tc>
          <w:tcPr>
            <w:tcW w:w="2237" w:type="dxa"/>
            <w:tcBorders>
              <w:top w:val="nil"/>
              <w:left w:val="nil"/>
              <w:bottom w:val="single" w:sz="4" w:space="0" w:color="auto"/>
              <w:right w:val="nil"/>
            </w:tcBorders>
            <w:shd w:val="clear" w:color="auto" w:fill="auto"/>
            <w:noWrap/>
            <w:vAlign w:val="bottom"/>
            <w:hideMark/>
          </w:tcPr>
          <w:p w14:paraId="0E787C4C" w14:textId="5C61F58C"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87</w:t>
            </w:r>
            <w:r>
              <w:rPr>
                <w:rFonts w:eastAsia="Times New Roman"/>
                <w:color w:val="000000"/>
                <w:szCs w:val="24"/>
                <w:lang w:eastAsia="cs-CZ"/>
              </w:rPr>
              <w:t>,</w:t>
            </w:r>
            <w:r w:rsidRPr="002609B6">
              <w:rPr>
                <w:rFonts w:eastAsia="Times New Roman"/>
                <w:color w:val="000000"/>
                <w:szCs w:val="24"/>
                <w:lang w:eastAsia="cs-CZ"/>
              </w:rPr>
              <w:t>80 %</w:t>
            </w:r>
          </w:p>
        </w:tc>
      </w:tr>
      <w:tr w:rsidR="001A1EE6" w:rsidRPr="002609B6" w14:paraId="605D4C94"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7073CCB0"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Hr. Králové</w:t>
            </w:r>
          </w:p>
        </w:tc>
        <w:tc>
          <w:tcPr>
            <w:tcW w:w="1531" w:type="dxa"/>
            <w:tcBorders>
              <w:top w:val="nil"/>
              <w:left w:val="nil"/>
              <w:bottom w:val="single" w:sz="4" w:space="0" w:color="auto"/>
              <w:right w:val="nil"/>
            </w:tcBorders>
            <w:shd w:val="clear" w:color="auto" w:fill="auto"/>
            <w:noWrap/>
            <w:vAlign w:val="bottom"/>
            <w:hideMark/>
          </w:tcPr>
          <w:p w14:paraId="25807D0A"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173</w:t>
            </w:r>
          </w:p>
        </w:tc>
        <w:tc>
          <w:tcPr>
            <w:tcW w:w="1528" w:type="dxa"/>
            <w:tcBorders>
              <w:top w:val="nil"/>
              <w:left w:val="nil"/>
              <w:bottom w:val="single" w:sz="4" w:space="0" w:color="auto"/>
              <w:right w:val="nil"/>
            </w:tcBorders>
            <w:shd w:val="clear" w:color="auto" w:fill="auto"/>
            <w:noWrap/>
            <w:vAlign w:val="bottom"/>
            <w:hideMark/>
          </w:tcPr>
          <w:p w14:paraId="4D49C146"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173</w:t>
            </w:r>
          </w:p>
        </w:tc>
        <w:tc>
          <w:tcPr>
            <w:tcW w:w="1528" w:type="dxa"/>
            <w:tcBorders>
              <w:top w:val="nil"/>
              <w:left w:val="nil"/>
              <w:bottom w:val="single" w:sz="4" w:space="0" w:color="auto"/>
              <w:right w:val="nil"/>
            </w:tcBorders>
            <w:shd w:val="clear" w:color="auto" w:fill="auto"/>
            <w:noWrap/>
            <w:vAlign w:val="bottom"/>
            <w:hideMark/>
          </w:tcPr>
          <w:p w14:paraId="21886FB3" w14:textId="22A57AD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160</w:t>
            </w:r>
            <w:r>
              <w:rPr>
                <w:rFonts w:eastAsia="Times New Roman"/>
                <w:color w:val="000000"/>
                <w:szCs w:val="24"/>
                <w:lang w:eastAsia="cs-CZ"/>
              </w:rPr>
              <w:t>,</w:t>
            </w:r>
            <w:r w:rsidRPr="002609B6">
              <w:rPr>
                <w:rFonts w:eastAsia="Times New Roman"/>
                <w:color w:val="000000"/>
                <w:szCs w:val="24"/>
                <w:lang w:eastAsia="cs-CZ"/>
              </w:rPr>
              <w:t>40</w:t>
            </w:r>
          </w:p>
        </w:tc>
        <w:tc>
          <w:tcPr>
            <w:tcW w:w="2237" w:type="dxa"/>
            <w:tcBorders>
              <w:top w:val="nil"/>
              <w:left w:val="nil"/>
              <w:bottom w:val="single" w:sz="4" w:space="0" w:color="auto"/>
              <w:right w:val="nil"/>
            </w:tcBorders>
            <w:shd w:val="clear" w:color="auto" w:fill="auto"/>
            <w:noWrap/>
            <w:vAlign w:val="bottom"/>
            <w:hideMark/>
          </w:tcPr>
          <w:p w14:paraId="0A31F4A1" w14:textId="0A219122"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92</w:t>
            </w:r>
            <w:r>
              <w:rPr>
                <w:rFonts w:eastAsia="Times New Roman"/>
                <w:color w:val="000000"/>
                <w:szCs w:val="24"/>
                <w:lang w:eastAsia="cs-CZ"/>
              </w:rPr>
              <w:t>,</w:t>
            </w:r>
            <w:r w:rsidRPr="002609B6">
              <w:rPr>
                <w:rFonts w:eastAsia="Times New Roman"/>
                <w:color w:val="000000"/>
                <w:szCs w:val="24"/>
                <w:lang w:eastAsia="cs-CZ"/>
              </w:rPr>
              <w:t>72 %</w:t>
            </w:r>
          </w:p>
        </w:tc>
      </w:tr>
      <w:tr w:rsidR="001A1EE6" w:rsidRPr="002609B6" w14:paraId="2F553323"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764FAC85"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Brno</w:t>
            </w:r>
          </w:p>
        </w:tc>
        <w:tc>
          <w:tcPr>
            <w:tcW w:w="1531" w:type="dxa"/>
            <w:tcBorders>
              <w:top w:val="nil"/>
              <w:left w:val="nil"/>
              <w:bottom w:val="single" w:sz="4" w:space="0" w:color="auto"/>
              <w:right w:val="nil"/>
            </w:tcBorders>
            <w:shd w:val="clear" w:color="auto" w:fill="auto"/>
            <w:noWrap/>
            <w:vAlign w:val="bottom"/>
            <w:hideMark/>
          </w:tcPr>
          <w:p w14:paraId="699A5397"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283</w:t>
            </w:r>
          </w:p>
        </w:tc>
        <w:tc>
          <w:tcPr>
            <w:tcW w:w="1528" w:type="dxa"/>
            <w:tcBorders>
              <w:top w:val="nil"/>
              <w:left w:val="nil"/>
              <w:bottom w:val="single" w:sz="4" w:space="0" w:color="auto"/>
              <w:right w:val="nil"/>
            </w:tcBorders>
            <w:shd w:val="clear" w:color="auto" w:fill="auto"/>
            <w:noWrap/>
            <w:vAlign w:val="bottom"/>
            <w:hideMark/>
          </w:tcPr>
          <w:p w14:paraId="6085A9A3"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277</w:t>
            </w:r>
          </w:p>
        </w:tc>
        <w:tc>
          <w:tcPr>
            <w:tcW w:w="1528" w:type="dxa"/>
            <w:tcBorders>
              <w:top w:val="nil"/>
              <w:left w:val="nil"/>
              <w:bottom w:val="single" w:sz="4" w:space="0" w:color="auto"/>
              <w:right w:val="nil"/>
            </w:tcBorders>
            <w:shd w:val="clear" w:color="auto" w:fill="auto"/>
            <w:noWrap/>
            <w:vAlign w:val="bottom"/>
            <w:hideMark/>
          </w:tcPr>
          <w:p w14:paraId="02C9ADA2" w14:textId="7FBA33DB"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255</w:t>
            </w:r>
            <w:r>
              <w:rPr>
                <w:rFonts w:eastAsia="Times New Roman"/>
                <w:color w:val="000000"/>
                <w:szCs w:val="24"/>
                <w:lang w:eastAsia="cs-CZ"/>
              </w:rPr>
              <w:t>,</w:t>
            </w:r>
            <w:r w:rsidRPr="002609B6">
              <w:rPr>
                <w:rFonts w:eastAsia="Times New Roman"/>
                <w:color w:val="000000"/>
                <w:szCs w:val="24"/>
                <w:lang w:eastAsia="cs-CZ"/>
              </w:rPr>
              <w:t>10</w:t>
            </w:r>
          </w:p>
        </w:tc>
        <w:tc>
          <w:tcPr>
            <w:tcW w:w="2237" w:type="dxa"/>
            <w:tcBorders>
              <w:top w:val="nil"/>
              <w:left w:val="nil"/>
              <w:bottom w:val="single" w:sz="4" w:space="0" w:color="auto"/>
              <w:right w:val="nil"/>
            </w:tcBorders>
            <w:shd w:val="clear" w:color="auto" w:fill="auto"/>
            <w:noWrap/>
            <w:vAlign w:val="bottom"/>
            <w:hideMark/>
          </w:tcPr>
          <w:p w14:paraId="0E16C40C" w14:textId="1751AFB5"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90</w:t>
            </w:r>
            <w:r>
              <w:rPr>
                <w:rFonts w:eastAsia="Times New Roman"/>
                <w:color w:val="000000"/>
                <w:szCs w:val="24"/>
                <w:lang w:eastAsia="cs-CZ"/>
              </w:rPr>
              <w:t>,</w:t>
            </w:r>
            <w:r w:rsidRPr="002609B6">
              <w:rPr>
                <w:rFonts w:eastAsia="Times New Roman"/>
                <w:color w:val="000000"/>
                <w:szCs w:val="24"/>
                <w:lang w:eastAsia="cs-CZ"/>
              </w:rPr>
              <w:t>14 %</w:t>
            </w:r>
          </w:p>
        </w:tc>
      </w:tr>
      <w:tr w:rsidR="001A1EE6" w:rsidRPr="002609B6" w14:paraId="624081D6" w14:textId="77777777" w:rsidTr="001A1EE6">
        <w:trPr>
          <w:trHeight w:val="330"/>
        </w:trPr>
        <w:tc>
          <w:tcPr>
            <w:tcW w:w="2080" w:type="dxa"/>
            <w:tcBorders>
              <w:top w:val="nil"/>
              <w:left w:val="nil"/>
              <w:bottom w:val="double" w:sz="6" w:space="0" w:color="auto"/>
              <w:right w:val="nil"/>
            </w:tcBorders>
            <w:shd w:val="clear" w:color="auto" w:fill="auto"/>
            <w:noWrap/>
            <w:vAlign w:val="bottom"/>
            <w:hideMark/>
          </w:tcPr>
          <w:p w14:paraId="72978B2C"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Ostrava</w:t>
            </w:r>
          </w:p>
        </w:tc>
        <w:tc>
          <w:tcPr>
            <w:tcW w:w="1531" w:type="dxa"/>
            <w:tcBorders>
              <w:top w:val="nil"/>
              <w:left w:val="nil"/>
              <w:bottom w:val="double" w:sz="6" w:space="0" w:color="auto"/>
              <w:right w:val="nil"/>
            </w:tcBorders>
            <w:shd w:val="clear" w:color="auto" w:fill="auto"/>
            <w:noWrap/>
            <w:vAlign w:val="bottom"/>
            <w:hideMark/>
          </w:tcPr>
          <w:p w14:paraId="3AC2FF6F"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326</w:t>
            </w:r>
          </w:p>
        </w:tc>
        <w:tc>
          <w:tcPr>
            <w:tcW w:w="1528" w:type="dxa"/>
            <w:tcBorders>
              <w:top w:val="nil"/>
              <w:left w:val="nil"/>
              <w:bottom w:val="double" w:sz="6" w:space="0" w:color="auto"/>
              <w:right w:val="nil"/>
            </w:tcBorders>
            <w:shd w:val="clear" w:color="auto" w:fill="auto"/>
            <w:noWrap/>
            <w:vAlign w:val="bottom"/>
            <w:hideMark/>
          </w:tcPr>
          <w:p w14:paraId="65CE2741"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318</w:t>
            </w:r>
          </w:p>
        </w:tc>
        <w:tc>
          <w:tcPr>
            <w:tcW w:w="1528" w:type="dxa"/>
            <w:tcBorders>
              <w:top w:val="nil"/>
              <w:left w:val="nil"/>
              <w:bottom w:val="double" w:sz="6" w:space="0" w:color="auto"/>
              <w:right w:val="nil"/>
            </w:tcBorders>
            <w:shd w:val="clear" w:color="auto" w:fill="auto"/>
            <w:noWrap/>
            <w:vAlign w:val="bottom"/>
            <w:hideMark/>
          </w:tcPr>
          <w:p w14:paraId="30C4D1F7" w14:textId="130076E8"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288</w:t>
            </w:r>
            <w:r>
              <w:rPr>
                <w:rFonts w:eastAsia="Times New Roman"/>
                <w:color w:val="000000"/>
                <w:szCs w:val="24"/>
                <w:lang w:eastAsia="cs-CZ"/>
              </w:rPr>
              <w:t>,</w:t>
            </w:r>
            <w:r w:rsidRPr="002609B6">
              <w:rPr>
                <w:rFonts w:eastAsia="Times New Roman"/>
                <w:color w:val="000000"/>
                <w:szCs w:val="24"/>
                <w:lang w:eastAsia="cs-CZ"/>
              </w:rPr>
              <w:t>75</w:t>
            </w:r>
          </w:p>
        </w:tc>
        <w:tc>
          <w:tcPr>
            <w:tcW w:w="2237" w:type="dxa"/>
            <w:tcBorders>
              <w:top w:val="nil"/>
              <w:left w:val="nil"/>
              <w:bottom w:val="single" w:sz="4" w:space="0" w:color="auto"/>
              <w:right w:val="nil"/>
            </w:tcBorders>
            <w:shd w:val="clear" w:color="auto" w:fill="auto"/>
            <w:noWrap/>
            <w:vAlign w:val="bottom"/>
            <w:hideMark/>
          </w:tcPr>
          <w:p w14:paraId="09B7B30C" w14:textId="54EE553E"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88</w:t>
            </w:r>
            <w:r>
              <w:rPr>
                <w:rFonts w:eastAsia="Times New Roman"/>
                <w:color w:val="000000"/>
                <w:szCs w:val="24"/>
                <w:lang w:eastAsia="cs-CZ"/>
              </w:rPr>
              <w:t>,</w:t>
            </w:r>
            <w:r w:rsidRPr="002609B6">
              <w:rPr>
                <w:rFonts w:eastAsia="Times New Roman"/>
                <w:color w:val="000000"/>
                <w:szCs w:val="24"/>
                <w:lang w:eastAsia="cs-CZ"/>
              </w:rPr>
              <w:t>57 %</w:t>
            </w:r>
          </w:p>
        </w:tc>
      </w:tr>
      <w:tr w:rsidR="001A1EE6" w:rsidRPr="002609B6" w14:paraId="355020C3" w14:textId="77777777" w:rsidTr="001A1EE6">
        <w:trPr>
          <w:trHeight w:val="345"/>
        </w:trPr>
        <w:tc>
          <w:tcPr>
            <w:tcW w:w="2080" w:type="dxa"/>
            <w:tcBorders>
              <w:top w:val="nil"/>
              <w:left w:val="nil"/>
              <w:bottom w:val="double" w:sz="6" w:space="0" w:color="auto"/>
              <w:right w:val="nil"/>
            </w:tcBorders>
            <w:shd w:val="clear" w:color="auto" w:fill="auto"/>
            <w:noWrap/>
            <w:vAlign w:val="bottom"/>
            <w:hideMark/>
          </w:tcPr>
          <w:p w14:paraId="5FC1E0C8" w14:textId="77777777" w:rsidR="001A1EE6" w:rsidRPr="002609B6" w:rsidRDefault="001A1EE6" w:rsidP="002609B6">
            <w:pPr>
              <w:spacing w:line="240" w:lineRule="auto"/>
              <w:jc w:val="left"/>
              <w:rPr>
                <w:rFonts w:eastAsia="Times New Roman"/>
                <w:b/>
                <w:bCs/>
                <w:color w:val="000000"/>
                <w:szCs w:val="24"/>
                <w:lang w:eastAsia="cs-CZ"/>
              </w:rPr>
            </w:pPr>
            <w:r w:rsidRPr="002609B6">
              <w:rPr>
                <w:rFonts w:eastAsia="Times New Roman"/>
                <w:b/>
                <w:bCs/>
                <w:color w:val="000000"/>
                <w:szCs w:val="24"/>
                <w:lang w:eastAsia="cs-CZ"/>
              </w:rPr>
              <w:t>Celkem ČR 2024</w:t>
            </w:r>
          </w:p>
        </w:tc>
        <w:tc>
          <w:tcPr>
            <w:tcW w:w="1531" w:type="dxa"/>
            <w:tcBorders>
              <w:top w:val="nil"/>
              <w:left w:val="nil"/>
              <w:bottom w:val="double" w:sz="6" w:space="0" w:color="auto"/>
              <w:right w:val="nil"/>
            </w:tcBorders>
            <w:shd w:val="clear" w:color="auto" w:fill="auto"/>
            <w:noWrap/>
            <w:vAlign w:val="bottom"/>
            <w:hideMark/>
          </w:tcPr>
          <w:p w14:paraId="2BD94408"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1 859</w:t>
            </w:r>
          </w:p>
        </w:tc>
        <w:tc>
          <w:tcPr>
            <w:tcW w:w="1528" w:type="dxa"/>
            <w:tcBorders>
              <w:top w:val="nil"/>
              <w:left w:val="nil"/>
              <w:bottom w:val="double" w:sz="6" w:space="0" w:color="auto"/>
              <w:right w:val="nil"/>
            </w:tcBorders>
            <w:shd w:val="clear" w:color="auto" w:fill="auto"/>
            <w:noWrap/>
            <w:vAlign w:val="bottom"/>
            <w:hideMark/>
          </w:tcPr>
          <w:p w14:paraId="4913A58C"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1 841</w:t>
            </w:r>
          </w:p>
        </w:tc>
        <w:tc>
          <w:tcPr>
            <w:tcW w:w="1528" w:type="dxa"/>
            <w:tcBorders>
              <w:top w:val="nil"/>
              <w:left w:val="nil"/>
              <w:bottom w:val="double" w:sz="6" w:space="0" w:color="auto"/>
              <w:right w:val="nil"/>
            </w:tcBorders>
            <w:shd w:val="clear" w:color="auto" w:fill="auto"/>
            <w:noWrap/>
            <w:vAlign w:val="bottom"/>
            <w:hideMark/>
          </w:tcPr>
          <w:p w14:paraId="11C2C002" w14:textId="49150154"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1 615</w:t>
            </w:r>
            <w:r>
              <w:rPr>
                <w:rFonts w:eastAsia="Times New Roman"/>
                <w:b/>
                <w:bCs/>
                <w:color w:val="000000"/>
                <w:szCs w:val="24"/>
                <w:lang w:eastAsia="cs-CZ"/>
              </w:rPr>
              <w:t>,</w:t>
            </w:r>
            <w:r w:rsidRPr="002609B6">
              <w:rPr>
                <w:rFonts w:eastAsia="Times New Roman"/>
                <w:b/>
                <w:bCs/>
                <w:color w:val="000000"/>
                <w:szCs w:val="24"/>
                <w:lang w:eastAsia="cs-CZ"/>
              </w:rPr>
              <w:t>75</w:t>
            </w:r>
          </w:p>
        </w:tc>
        <w:tc>
          <w:tcPr>
            <w:tcW w:w="2237" w:type="dxa"/>
            <w:tcBorders>
              <w:top w:val="double" w:sz="6" w:space="0" w:color="auto"/>
              <w:left w:val="nil"/>
              <w:bottom w:val="double" w:sz="6" w:space="0" w:color="auto"/>
              <w:right w:val="nil"/>
            </w:tcBorders>
            <w:shd w:val="clear" w:color="auto" w:fill="auto"/>
            <w:noWrap/>
            <w:vAlign w:val="bottom"/>
            <w:hideMark/>
          </w:tcPr>
          <w:p w14:paraId="774CBF86" w14:textId="5E29F719"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86</w:t>
            </w:r>
            <w:r>
              <w:rPr>
                <w:rFonts w:eastAsia="Times New Roman"/>
                <w:b/>
                <w:bCs/>
                <w:color w:val="000000"/>
                <w:szCs w:val="24"/>
                <w:lang w:eastAsia="cs-CZ"/>
              </w:rPr>
              <w:t>,</w:t>
            </w:r>
            <w:r w:rsidRPr="002609B6">
              <w:rPr>
                <w:rFonts w:eastAsia="Times New Roman"/>
                <w:b/>
                <w:bCs/>
                <w:color w:val="000000"/>
                <w:szCs w:val="24"/>
                <w:lang w:eastAsia="cs-CZ"/>
              </w:rPr>
              <w:t>92 %</w:t>
            </w:r>
          </w:p>
        </w:tc>
      </w:tr>
      <w:tr w:rsidR="001A1EE6" w:rsidRPr="002609B6" w14:paraId="748EF499" w14:textId="77777777" w:rsidTr="001A1EE6">
        <w:trPr>
          <w:trHeight w:val="345"/>
        </w:trPr>
        <w:tc>
          <w:tcPr>
            <w:tcW w:w="2080" w:type="dxa"/>
            <w:tcBorders>
              <w:top w:val="nil"/>
              <w:left w:val="nil"/>
              <w:bottom w:val="double" w:sz="6" w:space="0" w:color="auto"/>
              <w:right w:val="nil"/>
            </w:tcBorders>
            <w:shd w:val="clear" w:color="auto" w:fill="auto"/>
            <w:noWrap/>
            <w:vAlign w:val="bottom"/>
            <w:hideMark/>
          </w:tcPr>
          <w:p w14:paraId="5E05AAA9" w14:textId="77777777" w:rsidR="001A1EE6" w:rsidRPr="002609B6" w:rsidRDefault="001A1EE6" w:rsidP="002609B6">
            <w:pPr>
              <w:spacing w:line="240" w:lineRule="auto"/>
              <w:jc w:val="left"/>
              <w:rPr>
                <w:rFonts w:eastAsia="Times New Roman"/>
                <w:b/>
                <w:bCs/>
                <w:color w:val="000000"/>
                <w:szCs w:val="24"/>
                <w:lang w:eastAsia="cs-CZ"/>
              </w:rPr>
            </w:pPr>
            <w:r w:rsidRPr="002609B6">
              <w:rPr>
                <w:rFonts w:eastAsia="Times New Roman"/>
                <w:b/>
                <w:bCs/>
                <w:color w:val="000000"/>
                <w:szCs w:val="24"/>
                <w:lang w:eastAsia="cs-CZ"/>
              </w:rPr>
              <w:t>Celkem ČR 2023</w:t>
            </w:r>
          </w:p>
        </w:tc>
        <w:tc>
          <w:tcPr>
            <w:tcW w:w="1531" w:type="dxa"/>
            <w:tcBorders>
              <w:top w:val="nil"/>
              <w:left w:val="nil"/>
              <w:bottom w:val="double" w:sz="6" w:space="0" w:color="auto"/>
              <w:right w:val="nil"/>
            </w:tcBorders>
            <w:shd w:val="clear" w:color="auto" w:fill="auto"/>
            <w:noWrap/>
            <w:vAlign w:val="bottom"/>
            <w:hideMark/>
          </w:tcPr>
          <w:p w14:paraId="1A70FCB9"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1 880</w:t>
            </w:r>
          </w:p>
        </w:tc>
        <w:tc>
          <w:tcPr>
            <w:tcW w:w="1528" w:type="dxa"/>
            <w:tcBorders>
              <w:top w:val="nil"/>
              <w:left w:val="nil"/>
              <w:bottom w:val="double" w:sz="6" w:space="0" w:color="auto"/>
              <w:right w:val="nil"/>
            </w:tcBorders>
            <w:shd w:val="clear" w:color="auto" w:fill="auto"/>
            <w:noWrap/>
            <w:vAlign w:val="bottom"/>
            <w:hideMark/>
          </w:tcPr>
          <w:p w14:paraId="7B9C0B30"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1 859</w:t>
            </w:r>
          </w:p>
        </w:tc>
        <w:tc>
          <w:tcPr>
            <w:tcW w:w="1528" w:type="dxa"/>
            <w:tcBorders>
              <w:top w:val="nil"/>
              <w:left w:val="nil"/>
              <w:bottom w:val="double" w:sz="6" w:space="0" w:color="auto"/>
              <w:right w:val="nil"/>
            </w:tcBorders>
            <w:shd w:val="clear" w:color="auto" w:fill="auto"/>
            <w:noWrap/>
            <w:vAlign w:val="bottom"/>
            <w:hideMark/>
          </w:tcPr>
          <w:p w14:paraId="2C66234E" w14:textId="1B2C29DD"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1 631</w:t>
            </w:r>
            <w:r>
              <w:rPr>
                <w:rFonts w:eastAsia="Times New Roman"/>
                <w:b/>
                <w:bCs/>
                <w:color w:val="000000"/>
                <w:szCs w:val="24"/>
                <w:lang w:eastAsia="cs-CZ"/>
              </w:rPr>
              <w:t>,</w:t>
            </w:r>
            <w:r w:rsidRPr="002609B6">
              <w:rPr>
                <w:rFonts w:eastAsia="Times New Roman"/>
                <w:b/>
                <w:bCs/>
                <w:color w:val="000000"/>
                <w:szCs w:val="24"/>
                <w:lang w:eastAsia="cs-CZ"/>
              </w:rPr>
              <w:t>82</w:t>
            </w:r>
          </w:p>
        </w:tc>
        <w:tc>
          <w:tcPr>
            <w:tcW w:w="2237" w:type="dxa"/>
            <w:tcBorders>
              <w:top w:val="nil"/>
              <w:left w:val="nil"/>
              <w:bottom w:val="double" w:sz="6" w:space="0" w:color="auto"/>
              <w:right w:val="nil"/>
            </w:tcBorders>
            <w:shd w:val="clear" w:color="auto" w:fill="auto"/>
            <w:noWrap/>
            <w:vAlign w:val="bottom"/>
            <w:hideMark/>
          </w:tcPr>
          <w:p w14:paraId="65652C58" w14:textId="520AA2E1"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87</w:t>
            </w:r>
            <w:r>
              <w:rPr>
                <w:rFonts w:eastAsia="Times New Roman"/>
                <w:b/>
                <w:bCs/>
                <w:color w:val="000000"/>
                <w:szCs w:val="24"/>
                <w:lang w:eastAsia="cs-CZ"/>
              </w:rPr>
              <w:t>,</w:t>
            </w:r>
            <w:r w:rsidRPr="002609B6">
              <w:rPr>
                <w:rFonts w:eastAsia="Times New Roman"/>
                <w:b/>
                <w:bCs/>
                <w:color w:val="000000"/>
                <w:szCs w:val="24"/>
                <w:lang w:eastAsia="cs-CZ"/>
              </w:rPr>
              <w:t>78 %</w:t>
            </w:r>
          </w:p>
        </w:tc>
      </w:tr>
      <w:tr w:rsidR="001A1EE6" w:rsidRPr="002609B6" w14:paraId="55BBD68B" w14:textId="77777777" w:rsidTr="001A1EE6">
        <w:trPr>
          <w:trHeight w:val="330"/>
        </w:trPr>
        <w:tc>
          <w:tcPr>
            <w:tcW w:w="2080" w:type="dxa"/>
            <w:tcBorders>
              <w:top w:val="nil"/>
              <w:left w:val="nil"/>
              <w:bottom w:val="nil"/>
              <w:right w:val="nil"/>
            </w:tcBorders>
            <w:shd w:val="clear" w:color="auto" w:fill="auto"/>
            <w:noWrap/>
            <w:vAlign w:val="center"/>
            <w:hideMark/>
          </w:tcPr>
          <w:p w14:paraId="2B4A9130" w14:textId="77777777" w:rsidR="001A1EE6" w:rsidRPr="002609B6" w:rsidRDefault="001A1EE6" w:rsidP="002609B6">
            <w:pPr>
              <w:spacing w:line="240" w:lineRule="auto"/>
              <w:jc w:val="center"/>
              <w:rPr>
                <w:rFonts w:eastAsia="Times New Roman"/>
                <w:b/>
                <w:bCs/>
                <w:color w:val="000000"/>
                <w:szCs w:val="24"/>
                <w:lang w:eastAsia="cs-CZ"/>
              </w:rPr>
            </w:pPr>
          </w:p>
        </w:tc>
        <w:tc>
          <w:tcPr>
            <w:tcW w:w="1531" w:type="dxa"/>
            <w:tcBorders>
              <w:top w:val="nil"/>
              <w:left w:val="nil"/>
              <w:bottom w:val="nil"/>
              <w:right w:val="nil"/>
            </w:tcBorders>
            <w:shd w:val="clear" w:color="auto" w:fill="auto"/>
            <w:noWrap/>
            <w:vAlign w:val="bottom"/>
            <w:hideMark/>
          </w:tcPr>
          <w:p w14:paraId="66B09ECD" w14:textId="77777777" w:rsidR="001A1EE6" w:rsidRPr="002609B6" w:rsidRDefault="001A1EE6" w:rsidP="002609B6">
            <w:pPr>
              <w:spacing w:line="240" w:lineRule="auto"/>
              <w:jc w:val="left"/>
              <w:rPr>
                <w:rFonts w:ascii="Times New Roman" w:eastAsia="Times New Roman" w:hAnsi="Times New Roman"/>
                <w:sz w:val="20"/>
                <w:szCs w:val="20"/>
                <w:lang w:eastAsia="cs-CZ"/>
              </w:rPr>
            </w:pPr>
          </w:p>
        </w:tc>
        <w:tc>
          <w:tcPr>
            <w:tcW w:w="1528" w:type="dxa"/>
            <w:tcBorders>
              <w:top w:val="nil"/>
              <w:left w:val="nil"/>
              <w:bottom w:val="nil"/>
              <w:right w:val="nil"/>
            </w:tcBorders>
            <w:shd w:val="clear" w:color="auto" w:fill="auto"/>
            <w:noWrap/>
            <w:vAlign w:val="bottom"/>
            <w:hideMark/>
          </w:tcPr>
          <w:p w14:paraId="20C8F970" w14:textId="77777777" w:rsidR="001A1EE6" w:rsidRPr="002609B6" w:rsidRDefault="001A1EE6" w:rsidP="002609B6">
            <w:pPr>
              <w:spacing w:line="240" w:lineRule="auto"/>
              <w:jc w:val="left"/>
              <w:rPr>
                <w:rFonts w:ascii="Times New Roman" w:eastAsia="Times New Roman" w:hAnsi="Times New Roman"/>
                <w:sz w:val="20"/>
                <w:szCs w:val="20"/>
                <w:lang w:eastAsia="cs-CZ"/>
              </w:rPr>
            </w:pPr>
          </w:p>
        </w:tc>
        <w:tc>
          <w:tcPr>
            <w:tcW w:w="1528" w:type="dxa"/>
            <w:tcBorders>
              <w:top w:val="nil"/>
              <w:left w:val="nil"/>
              <w:bottom w:val="nil"/>
              <w:right w:val="nil"/>
            </w:tcBorders>
            <w:shd w:val="clear" w:color="auto" w:fill="auto"/>
            <w:noWrap/>
            <w:vAlign w:val="bottom"/>
            <w:hideMark/>
          </w:tcPr>
          <w:p w14:paraId="591604CB" w14:textId="77777777" w:rsidR="001A1EE6" w:rsidRPr="002609B6" w:rsidRDefault="001A1EE6" w:rsidP="002609B6">
            <w:pPr>
              <w:spacing w:line="240" w:lineRule="auto"/>
              <w:jc w:val="left"/>
              <w:rPr>
                <w:rFonts w:ascii="Times New Roman" w:eastAsia="Times New Roman" w:hAnsi="Times New Roman"/>
                <w:sz w:val="20"/>
                <w:szCs w:val="20"/>
                <w:lang w:eastAsia="cs-CZ"/>
              </w:rPr>
            </w:pPr>
          </w:p>
        </w:tc>
        <w:tc>
          <w:tcPr>
            <w:tcW w:w="2237" w:type="dxa"/>
            <w:tcBorders>
              <w:top w:val="nil"/>
              <w:left w:val="nil"/>
              <w:bottom w:val="nil"/>
              <w:right w:val="nil"/>
            </w:tcBorders>
            <w:shd w:val="clear" w:color="auto" w:fill="auto"/>
            <w:noWrap/>
            <w:vAlign w:val="bottom"/>
            <w:hideMark/>
          </w:tcPr>
          <w:p w14:paraId="3CC2C80C" w14:textId="77777777" w:rsidR="001A1EE6" w:rsidRPr="002609B6" w:rsidRDefault="001A1EE6" w:rsidP="002609B6">
            <w:pPr>
              <w:spacing w:line="240" w:lineRule="auto"/>
              <w:jc w:val="left"/>
              <w:rPr>
                <w:rFonts w:ascii="Times New Roman" w:eastAsia="Times New Roman" w:hAnsi="Times New Roman"/>
                <w:sz w:val="20"/>
                <w:szCs w:val="20"/>
                <w:lang w:eastAsia="cs-CZ"/>
              </w:rPr>
            </w:pPr>
          </w:p>
        </w:tc>
      </w:tr>
    </w:tbl>
    <w:p w14:paraId="0CFE6AB6" w14:textId="77777777" w:rsidR="00097AF6" w:rsidRPr="00033A3F" w:rsidRDefault="00097AF6" w:rsidP="00D906FB">
      <w:pPr>
        <w:pStyle w:val="OdstavecASR"/>
        <w:rPr>
          <w:color w:val="000000" w:themeColor="text1"/>
        </w:rPr>
      </w:pPr>
    </w:p>
    <w:p w14:paraId="6EBB6161" w14:textId="69E4FE43" w:rsidR="00D906FB" w:rsidRPr="00033A3F" w:rsidRDefault="00D906FB" w:rsidP="00D906FB">
      <w:pPr>
        <w:pStyle w:val="Podnadpis"/>
        <w:numPr>
          <w:ilvl w:val="0"/>
          <w:numId w:val="0"/>
        </w:numPr>
        <w:rPr>
          <w:color w:val="000000" w:themeColor="text1"/>
        </w:rPr>
      </w:pPr>
      <w:bookmarkStart w:id="78" w:name="_Toc193634032"/>
      <w:bookmarkStart w:id="79" w:name="_Toc20303282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w:t>
      </w:r>
      <w:r w:rsidRPr="00033A3F">
        <w:rPr>
          <w:color w:val="000000" w:themeColor="text1"/>
        </w:rPr>
        <w:fldChar w:fldCharType="end"/>
      </w:r>
      <w:r w:rsidRPr="00033A3F">
        <w:rPr>
          <w:color w:val="000000" w:themeColor="text1"/>
        </w:rPr>
        <w:t>: OS – skutečný počet soudců dle úseků v roce 202</w:t>
      </w:r>
      <w:bookmarkEnd w:id="75"/>
      <w:bookmarkEnd w:id="76"/>
      <w:r w:rsidRPr="00033A3F">
        <w:rPr>
          <w:color w:val="000000" w:themeColor="text1"/>
        </w:rPr>
        <w:t>4</w:t>
      </w:r>
      <w:bookmarkEnd w:id="77"/>
      <w:bookmarkEnd w:id="78"/>
      <w:bookmarkEnd w:id="79"/>
    </w:p>
    <w:p w14:paraId="5C1103CA" w14:textId="19897D6B" w:rsidR="00D906FB" w:rsidRPr="00033A3F" w:rsidRDefault="0049130C">
      <w:pPr>
        <w:spacing w:after="160" w:line="259" w:lineRule="auto"/>
        <w:jc w:val="left"/>
        <w:rPr>
          <w:color w:val="000000" w:themeColor="text1"/>
        </w:rPr>
      </w:pPr>
      <w:r w:rsidRPr="0049130C">
        <w:rPr>
          <w:noProof/>
          <w:color w:val="000000" w:themeColor="text1"/>
        </w:rPr>
        <w:drawing>
          <wp:inline distT="0" distB="0" distL="0" distR="0" wp14:anchorId="6881AF7C" wp14:editId="6B82F1F7">
            <wp:extent cx="5029200" cy="3657600"/>
            <wp:effectExtent l="0" t="0" r="0" b="0"/>
            <wp:docPr id="130567417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FBAB3CE" w14:textId="77777777" w:rsidR="00D906FB" w:rsidRPr="00033A3F" w:rsidRDefault="00D906FB">
      <w:pPr>
        <w:spacing w:after="160" w:line="259" w:lineRule="auto"/>
        <w:jc w:val="left"/>
        <w:rPr>
          <w:color w:val="000000" w:themeColor="text1"/>
        </w:rPr>
      </w:pPr>
      <w:r w:rsidRPr="00033A3F">
        <w:rPr>
          <w:color w:val="000000" w:themeColor="text1"/>
        </w:rPr>
        <w:br w:type="page"/>
      </w:r>
    </w:p>
    <w:p w14:paraId="6256DEFA" w14:textId="03C15883" w:rsidR="002E2794" w:rsidRPr="00033A3F" w:rsidRDefault="00D906FB" w:rsidP="00D906FB">
      <w:pPr>
        <w:pStyle w:val="Podnadpis"/>
        <w:numPr>
          <w:ilvl w:val="0"/>
          <w:numId w:val="0"/>
        </w:numPr>
        <w:rPr>
          <w:color w:val="000000" w:themeColor="text1"/>
        </w:rPr>
      </w:pPr>
      <w:bookmarkStart w:id="80" w:name="_Toc169251059"/>
      <w:bookmarkStart w:id="81" w:name="_Toc174080745"/>
      <w:bookmarkStart w:id="82" w:name="_Toc193530881"/>
      <w:bookmarkStart w:id="83" w:name="_Toc194045575"/>
      <w:bookmarkStart w:id="84" w:name="_Toc199494984"/>
      <w:bookmarkStart w:id="85" w:name="_Toc203033044"/>
      <w:bookmarkStart w:id="86" w:name="_Toc203033122"/>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w:t>
      </w:r>
      <w:r w:rsidRPr="00033A3F">
        <w:rPr>
          <w:color w:val="000000" w:themeColor="text1"/>
        </w:rPr>
        <w:fldChar w:fldCharType="end"/>
      </w:r>
      <w:r w:rsidRPr="00033A3F">
        <w:rPr>
          <w:color w:val="000000" w:themeColor="text1"/>
        </w:rPr>
        <w:t>: OS – skutečný počet soudců dle úseků a krajů, 202</w:t>
      </w:r>
      <w:bookmarkEnd w:id="80"/>
      <w:bookmarkEnd w:id="81"/>
      <w:r w:rsidRPr="00033A3F">
        <w:rPr>
          <w:color w:val="000000" w:themeColor="text1"/>
        </w:rPr>
        <w:t>4</w:t>
      </w:r>
      <w:bookmarkEnd w:id="82"/>
      <w:bookmarkEnd w:id="83"/>
      <w:bookmarkEnd w:id="84"/>
      <w:bookmarkEnd w:id="85"/>
      <w:bookmarkEnd w:id="86"/>
    </w:p>
    <w:tbl>
      <w:tblPr>
        <w:tblW w:w="9072" w:type="dxa"/>
        <w:tblCellMar>
          <w:left w:w="70" w:type="dxa"/>
          <w:right w:w="70" w:type="dxa"/>
        </w:tblCellMar>
        <w:tblLook w:val="04A0" w:firstRow="1" w:lastRow="0" w:firstColumn="1" w:lastColumn="0" w:noHBand="0" w:noVBand="1"/>
      </w:tblPr>
      <w:tblGrid>
        <w:gridCol w:w="2080"/>
        <w:gridCol w:w="1322"/>
        <w:gridCol w:w="1276"/>
        <w:gridCol w:w="1559"/>
        <w:gridCol w:w="1418"/>
        <w:gridCol w:w="1417"/>
      </w:tblGrid>
      <w:tr w:rsidR="007054C2" w:rsidRPr="007054C2" w14:paraId="616528FA" w14:textId="77777777" w:rsidTr="0057327F">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10E4F2FE"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Nadřízený soud</w:t>
            </w:r>
          </w:p>
        </w:tc>
        <w:tc>
          <w:tcPr>
            <w:tcW w:w="6992" w:type="dxa"/>
            <w:gridSpan w:val="5"/>
            <w:tcBorders>
              <w:top w:val="double" w:sz="6" w:space="0" w:color="auto"/>
              <w:left w:val="nil"/>
              <w:bottom w:val="nil"/>
              <w:right w:val="nil"/>
            </w:tcBorders>
            <w:shd w:val="clear" w:color="auto" w:fill="auto"/>
            <w:vAlign w:val="center"/>
            <w:hideMark/>
          </w:tcPr>
          <w:p w14:paraId="3A4AC49A"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Skutečný počet úvazků</w:t>
            </w:r>
          </w:p>
        </w:tc>
      </w:tr>
      <w:tr w:rsidR="007054C2" w:rsidRPr="007054C2" w14:paraId="43F211D0" w14:textId="77777777" w:rsidTr="0057327F">
        <w:trPr>
          <w:trHeight w:val="645"/>
        </w:trPr>
        <w:tc>
          <w:tcPr>
            <w:tcW w:w="2080" w:type="dxa"/>
            <w:vMerge/>
            <w:tcBorders>
              <w:top w:val="double" w:sz="6" w:space="0" w:color="auto"/>
              <w:left w:val="nil"/>
              <w:bottom w:val="double" w:sz="6" w:space="0" w:color="000000"/>
              <w:right w:val="nil"/>
            </w:tcBorders>
            <w:vAlign w:val="center"/>
            <w:hideMark/>
          </w:tcPr>
          <w:p w14:paraId="00E1E148" w14:textId="77777777" w:rsidR="007054C2" w:rsidRPr="007054C2" w:rsidRDefault="007054C2" w:rsidP="007054C2">
            <w:pPr>
              <w:spacing w:line="240" w:lineRule="auto"/>
              <w:jc w:val="left"/>
              <w:rPr>
                <w:rFonts w:eastAsia="Times New Roman"/>
                <w:b/>
                <w:bCs/>
                <w:color w:val="000000"/>
                <w:szCs w:val="24"/>
                <w:lang w:eastAsia="cs-CZ"/>
              </w:rPr>
            </w:pPr>
          </w:p>
        </w:tc>
        <w:tc>
          <w:tcPr>
            <w:tcW w:w="1322" w:type="dxa"/>
            <w:tcBorders>
              <w:top w:val="nil"/>
              <w:left w:val="nil"/>
              <w:bottom w:val="double" w:sz="6" w:space="0" w:color="auto"/>
              <w:right w:val="nil"/>
            </w:tcBorders>
            <w:shd w:val="clear" w:color="auto" w:fill="auto"/>
            <w:vAlign w:val="center"/>
            <w:hideMark/>
          </w:tcPr>
          <w:p w14:paraId="748C2E31"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Civilní úsek</w:t>
            </w:r>
          </w:p>
        </w:tc>
        <w:tc>
          <w:tcPr>
            <w:tcW w:w="1276" w:type="dxa"/>
            <w:tcBorders>
              <w:top w:val="nil"/>
              <w:left w:val="nil"/>
              <w:bottom w:val="double" w:sz="6" w:space="0" w:color="auto"/>
              <w:right w:val="nil"/>
            </w:tcBorders>
            <w:shd w:val="clear" w:color="auto" w:fill="auto"/>
            <w:vAlign w:val="center"/>
            <w:hideMark/>
          </w:tcPr>
          <w:p w14:paraId="40D4FFFE"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Trestní úsek</w:t>
            </w:r>
          </w:p>
        </w:tc>
        <w:tc>
          <w:tcPr>
            <w:tcW w:w="1559" w:type="dxa"/>
            <w:tcBorders>
              <w:top w:val="nil"/>
              <w:left w:val="nil"/>
              <w:bottom w:val="double" w:sz="6" w:space="0" w:color="auto"/>
              <w:right w:val="nil"/>
            </w:tcBorders>
            <w:shd w:val="clear" w:color="auto" w:fill="auto"/>
            <w:vAlign w:val="center"/>
            <w:hideMark/>
          </w:tcPr>
          <w:p w14:paraId="466D91C2"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Opatrovnický úsek</w:t>
            </w:r>
          </w:p>
        </w:tc>
        <w:tc>
          <w:tcPr>
            <w:tcW w:w="1418" w:type="dxa"/>
            <w:tcBorders>
              <w:top w:val="nil"/>
              <w:left w:val="nil"/>
              <w:bottom w:val="double" w:sz="6" w:space="0" w:color="auto"/>
              <w:right w:val="nil"/>
            </w:tcBorders>
            <w:shd w:val="clear" w:color="auto" w:fill="auto"/>
            <w:noWrap/>
            <w:vAlign w:val="center"/>
            <w:hideMark/>
          </w:tcPr>
          <w:p w14:paraId="747D9B30"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Celkem</w:t>
            </w:r>
          </w:p>
        </w:tc>
        <w:tc>
          <w:tcPr>
            <w:tcW w:w="1417" w:type="dxa"/>
            <w:tcBorders>
              <w:top w:val="nil"/>
              <w:left w:val="nil"/>
              <w:bottom w:val="double" w:sz="6" w:space="0" w:color="auto"/>
              <w:right w:val="nil"/>
            </w:tcBorders>
            <w:shd w:val="clear" w:color="auto" w:fill="auto"/>
            <w:vAlign w:val="center"/>
            <w:hideMark/>
          </w:tcPr>
          <w:p w14:paraId="11B766DE"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Na 100 000 obyvatel</w:t>
            </w:r>
          </w:p>
        </w:tc>
      </w:tr>
      <w:tr w:rsidR="007054C2" w:rsidRPr="007054C2" w14:paraId="0A3BEE0A" w14:textId="77777777" w:rsidTr="0057327F">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38A2371F"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MS Praha</w:t>
            </w:r>
          </w:p>
        </w:tc>
        <w:tc>
          <w:tcPr>
            <w:tcW w:w="1322" w:type="dxa"/>
            <w:tcBorders>
              <w:top w:val="single" w:sz="4" w:space="0" w:color="auto"/>
              <w:left w:val="nil"/>
              <w:bottom w:val="single" w:sz="4" w:space="0" w:color="auto"/>
              <w:right w:val="nil"/>
            </w:tcBorders>
            <w:shd w:val="clear" w:color="auto" w:fill="auto"/>
            <w:noWrap/>
            <w:vAlign w:val="bottom"/>
            <w:hideMark/>
          </w:tcPr>
          <w:p w14:paraId="422982F1" w14:textId="697537F0"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161</w:t>
            </w:r>
            <w:r>
              <w:rPr>
                <w:rFonts w:eastAsia="Times New Roman"/>
                <w:color w:val="000000"/>
                <w:szCs w:val="24"/>
                <w:lang w:eastAsia="cs-CZ"/>
              </w:rPr>
              <w:t>,</w:t>
            </w:r>
            <w:r w:rsidRPr="007054C2">
              <w:rPr>
                <w:rFonts w:eastAsia="Times New Roman"/>
                <w:color w:val="000000"/>
                <w:szCs w:val="24"/>
                <w:lang w:eastAsia="cs-CZ"/>
              </w:rPr>
              <w:t>35</w:t>
            </w:r>
          </w:p>
        </w:tc>
        <w:tc>
          <w:tcPr>
            <w:tcW w:w="1276" w:type="dxa"/>
            <w:tcBorders>
              <w:top w:val="single" w:sz="4" w:space="0" w:color="auto"/>
              <w:left w:val="nil"/>
              <w:bottom w:val="single" w:sz="4" w:space="0" w:color="auto"/>
              <w:right w:val="nil"/>
            </w:tcBorders>
            <w:shd w:val="clear" w:color="auto" w:fill="auto"/>
            <w:noWrap/>
            <w:vAlign w:val="bottom"/>
            <w:hideMark/>
          </w:tcPr>
          <w:p w14:paraId="4D9139DB" w14:textId="1D80D70A"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58</w:t>
            </w:r>
            <w:r>
              <w:rPr>
                <w:rFonts w:eastAsia="Times New Roman"/>
                <w:color w:val="000000"/>
                <w:szCs w:val="24"/>
                <w:lang w:eastAsia="cs-CZ"/>
              </w:rPr>
              <w:t>,</w:t>
            </w:r>
            <w:r w:rsidRPr="007054C2">
              <w:rPr>
                <w:rFonts w:eastAsia="Times New Roman"/>
                <w:color w:val="000000"/>
                <w:szCs w:val="24"/>
                <w:lang w:eastAsia="cs-CZ"/>
              </w:rPr>
              <w:t>25</w:t>
            </w:r>
          </w:p>
        </w:tc>
        <w:tc>
          <w:tcPr>
            <w:tcW w:w="1559" w:type="dxa"/>
            <w:tcBorders>
              <w:top w:val="single" w:sz="4" w:space="0" w:color="auto"/>
              <w:left w:val="nil"/>
              <w:bottom w:val="single" w:sz="4" w:space="0" w:color="auto"/>
              <w:right w:val="nil"/>
            </w:tcBorders>
            <w:shd w:val="clear" w:color="auto" w:fill="auto"/>
            <w:noWrap/>
            <w:vAlign w:val="bottom"/>
            <w:hideMark/>
          </w:tcPr>
          <w:p w14:paraId="57656C63" w14:textId="411BE6E4"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39</w:t>
            </w:r>
            <w:r>
              <w:rPr>
                <w:rFonts w:eastAsia="Times New Roman"/>
                <w:color w:val="000000"/>
                <w:szCs w:val="24"/>
                <w:lang w:eastAsia="cs-CZ"/>
              </w:rPr>
              <w:t>,</w:t>
            </w:r>
            <w:r w:rsidRPr="007054C2">
              <w:rPr>
                <w:rFonts w:eastAsia="Times New Roman"/>
                <w:color w:val="000000"/>
                <w:szCs w:val="24"/>
                <w:lang w:eastAsia="cs-CZ"/>
              </w:rPr>
              <w:t>30</w:t>
            </w:r>
          </w:p>
        </w:tc>
        <w:tc>
          <w:tcPr>
            <w:tcW w:w="1418" w:type="dxa"/>
            <w:tcBorders>
              <w:top w:val="single" w:sz="4" w:space="0" w:color="auto"/>
              <w:left w:val="nil"/>
              <w:bottom w:val="single" w:sz="4" w:space="0" w:color="auto"/>
              <w:right w:val="nil"/>
            </w:tcBorders>
            <w:shd w:val="clear" w:color="auto" w:fill="auto"/>
            <w:noWrap/>
            <w:vAlign w:val="bottom"/>
            <w:hideMark/>
          </w:tcPr>
          <w:p w14:paraId="68FBE608" w14:textId="459A120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258</w:t>
            </w:r>
            <w:r>
              <w:rPr>
                <w:rFonts w:eastAsia="Times New Roman"/>
                <w:color w:val="000000"/>
                <w:szCs w:val="24"/>
                <w:lang w:eastAsia="cs-CZ"/>
              </w:rPr>
              <w:t>,</w:t>
            </w:r>
            <w:r w:rsidRPr="007054C2">
              <w:rPr>
                <w:rFonts w:eastAsia="Times New Roman"/>
                <w:color w:val="000000"/>
                <w:szCs w:val="24"/>
                <w:lang w:eastAsia="cs-CZ"/>
              </w:rPr>
              <w:t>90</w:t>
            </w:r>
          </w:p>
        </w:tc>
        <w:tc>
          <w:tcPr>
            <w:tcW w:w="1417" w:type="dxa"/>
            <w:tcBorders>
              <w:top w:val="single" w:sz="4" w:space="0" w:color="auto"/>
              <w:left w:val="nil"/>
              <w:bottom w:val="single" w:sz="4" w:space="0" w:color="auto"/>
              <w:right w:val="nil"/>
            </w:tcBorders>
            <w:shd w:val="clear" w:color="auto" w:fill="auto"/>
            <w:noWrap/>
            <w:vAlign w:val="bottom"/>
            <w:hideMark/>
          </w:tcPr>
          <w:p w14:paraId="22B4B978" w14:textId="60B9CE10"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19</w:t>
            </w:r>
            <w:r>
              <w:rPr>
                <w:rFonts w:eastAsia="Times New Roman"/>
                <w:color w:val="000000"/>
                <w:szCs w:val="24"/>
                <w:lang w:eastAsia="cs-CZ"/>
              </w:rPr>
              <w:t>,</w:t>
            </w:r>
            <w:r w:rsidRPr="007054C2">
              <w:rPr>
                <w:rFonts w:eastAsia="Times New Roman"/>
                <w:color w:val="000000"/>
                <w:szCs w:val="24"/>
                <w:lang w:eastAsia="cs-CZ"/>
              </w:rPr>
              <w:t>55</w:t>
            </w:r>
          </w:p>
        </w:tc>
      </w:tr>
      <w:tr w:rsidR="007054C2" w:rsidRPr="007054C2" w14:paraId="166047A8"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3827A703"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Praha</w:t>
            </w:r>
          </w:p>
        </w:tc>
        <w:tc>
          <w:tcPr>
            <w:tcW w:w="1322" w:type="dxa"/>
            <w:tcBorders>
              <w:top w:val="nil"/>
              <w:left w:val="nil"/>
              <w:bottom w:val="single" w:sz="4" w:space="0" w:color="auto"/>
              <w:right w:val="nil"/>
            </w:tcBorders>
            <w:shd w:val="clear" w:color="auto" w:fill="auto"/>
            <w:noWrap/>
            <w:vAlign w:val="bottom"/>
            <w:hideMark/>
          </w:tcPr>
          <w:p w14:paraId="643EEC77" w14:textId="066F5D6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95</w:t>
            </w:r>
            <w:r>
              <w:rPr>
                <w:rFonts w:eastAsia="Times New Roman"/>
                <w:color w:val="000000"/>
                <w:szCs w:val="24"/>
                <w:lang w:eastAsia="cs-CZ"/>
              </w:rPr>
              <w:t>,</w:t>
            </w:r>
            <w:r w:rsidRPr="007054C2">
              <w:rPr>
                <w:rFonts w:eastAsia="Times New Roman"/>
                <w:color w:val="000000"/>
                <w:szCs w:val="24"/>
                <w:lang w:eastAsia="cs-CZ"/>
              </w:rPr>
              <w:t>44</w:t>
            </w:r>
          </w:p>
        </w:tc>
        <w:tc>
          <w:tcPr>
            <w:tcW w:w="1276" w:type="dxa"/>
            <w:tcBorders>
              <w:top w:val="nil"/>
              <w:left w:val="nil"/>
              <w:bottom w:val="single" w:sz="4" w:space="0" w:color="auto"/>
              <w:right w:val="nil"/>
            </w:tcBorders>
            <w:shd w:val="clear" w:color="auto" w:fill="auto"/>
            <w:noWrap/>
            <w:vAlign w:val="bottom"/>
            <w:hideMark/>
          </w:tcPr>
          <w:p w14:paraId="5D026AEB" w14:textId="53CFCBA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41</w:t>
            </w:r>
            <w:r>
              <w:rPr>
                <w:rFonts w:eastAsia="Times New Roman"/>
                <w:color w:val="000000"/>
                <w:szCs w:val="24"/>
                <w:lang w:eastAsia="cs-CZ"/>
              </w:rPr>
              <w:t>,</w:t>
            </w:r>
            <w:r w:rsidRPr="007054C2">
              <w:rPr>
                <w:rFonts w:eastAsia="Times New Roman"/>
                <w:color w:val="000000"/>
                <w:szCs w:val="24"/>
                <w:lang w:eastAsia="cs-CZ"/>
              </w:rPr>
              <w:t>90</w:t>
            </w:r>
          </w:p>
        </w:tc>
        <w:tc>
          <w:tcPr>
            <w:tcW w:w="1559" w:type="dxa"/>
            <w:tcBorders>
              <w:top w:val="nil"/>
              <w:left w:val="nil"/>
              <w:bottom w:val="single" w:sz="4" w:space="0" w:color="auto"/>
              <w:right w:val="nil"/>
            </w:tcBorders>
            <w:shd w:val="clear" w:color="auto" w:fill="auto"/>
            <w:noWrap/>
            <w:vAlign w:val="bottom"/>
            <w:hideMark/>
          </w:tcPr>
          <w:p w14:paraId="40CCA378" w14:textId="4D88186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48</w:t>
            </w:r>
            <w:r>
              <w:rPr>
                <w:rFonts w:eastAsia="Times New Roman"/>
                <w:color w:val="000000"/>
                <w:szCs w:val="24"/>
                <w:lang w:eastAsia="cs-CZ"/>
              </w:rPr>
              <w:t>,</w:t>
            </w:r>
            <w:r w:rsidRPr="007054C2">
              <w:rPr>
                <w:rFonts w:eastAsia="Times New Roman"/>
                <w:color w:val="000000"/>
                <w:szCs w:val="24"/>
                <w:lang w:eastAsia="cs-CZ"/>
              </w:rPr>
              <w:t>21</w:t>
            </w:r>
          </w:p>
        </w:tc>
        <w:tc>
          <w:tcPr>
            <w:tcW w:w="1418" w:type="dxa"/>
            <w:tcBorders>
              <w:top w:val="nil"/>
              <w:left w:val="nil"/>
              <w:bottom w:val="single" w:sz="4" w:space="0" w:color="auto"/>
              <w:right w:val="nil"/>
            </w:tcBorders>
            <w:shd w:val="clear" w:color="auto" w:fill="auto"/>
            <w:noWrap/>
            <w:vAlign w:val="bottom"/>
            <w:hideMark/>
          </w:tcPr>
          <w:p w14:paraId="05A8143B" w14:textId="6739647E"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185</w:t>
            </w:r>
            <w:r>
              <w:rPr>
                <w:rFonts w:eastAsia="Times New Roman"/>
                <w:color w:val="000000"/>
                <w:szCs w:val="24"/>
                <w:lang w:eastAsia="cs-CZ"/>
              </w:rPr>
              <w:t>,</w:t>
            </w:r>
            <w:r w:rsidRPr="007054C2">
              <w:rPr>
                <w:rFonts w:eastAsia="Times New Roman"/>
                <w:color w:val="000000"/>
                <w:szCs w:val="24"/>
                <w:lang w:eastAsia="cs-CZ"/>
              </w:rPr>
              <w:t>55</w:t>
            </w:r>
          </w:p>
        </w:tc>
        <w:tc>
          <w:tcPr>
            <w:tcW w:w="1417" w:type="dxa"/>
            <w:tcBorders>
              <w:top w:val="nil"/>
              <w:left w:val="nil"/>
              <w:bottom w:val="single" w:sz="4" w:space="0" w:color="auto"/>
              <w:right w:val="nil"/>
            </w:tcBorders>
            <w:shd w:val="clear" w:color="auto" w:fill="auto"/>
            <w:noWrap/>
            <w:vAlign w:val="bottom"/>
            <w:hideMark/>
          </w:tcPr>
          <w:p w14:paraId="1C1CC28C" w14:textId="36FC95E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13</w:t>
            </w:r>
            <w:r>
              <w:rPr>
                <w:rFonts w:eastAsia="Times New Roman"/>
                <w:color w:val="000000"/>
                <w:szCs w:val="24"/>
                <w:lang w:eastAsia="cs-CZ"/>
              </w:rPr>
              <w:t>,</w:t>
            </w:r>
            <w:r w:rsidRPr="007054C2">
              <w:rPr>
                <w:rFonts w:eastAsia="Times New Roman"/>
                <w:color w:val="000000"/>
                <w:szCs w:val="24"/>
                <w:lang w:eastAsia="cs-CZ"/>
              </w:rPr>
              <w:t>40</w:t>
            </w:r>
          </w:p>
        </w:tc>
      </w:tr>
      <w:tr w:rsidR="007054C2" w:rsidRPr="007054C2" w14:paraId="5CDE6051"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06A9C6DC"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Č. Budějovice</w:t>
            </w:r>
          </w:p>
        </w:tc>
        <w:tc>
          <w:tcPr>
            <w:tcW w:w="1322" w:type="dxa"/>
            <w:tcBorders>
              <w:top w:val="nil"/>
              <w:left w:val="nil"/>
              <w:bottom w:val="single" w:sz="4" w:space="0" w:color="auto"/>
              <w:right w:val="nil"/>
            </w:tcBorders>
            <w:shd w:val="clear" w:color="auto" w:fill="auto"/>
            <w:noWrap/>
            <w:vAlign w:val="bottom"/>
            <w:hideMark/>
          </w:tcPr>
          <w:p w14:paraId="3A3E9CB2" w14:textId="5FDE8604"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44</w:t>
            </w:r>
            <w:r>
              <w:rPr>
                <w:rFonts w:eastAsia="Times New Roman"/>
                <w:color w:val="000000"/>
                <w:szCs w:val="24"/>
                <w:lang w:eastAsia="cs-CZ"/>
              </w:rPr>
              <w:t>,</w:t>
            </w:r>
            <w:r w:rsidRPr="007054C2">
              <w:rPr>
                <w:rFonts w:eastAsia="Times New Roman"/>
                <w:color w:val="000000"/>
                <w:szCs w:val="24"/>
                <w:lang w:eastAsia="cs-CZ"/>
              </w:rPr>
              <w:t>15</w:t>
            </w:r>
          </w:p>
        </w:tc>
        <w:tc>
          <w:tcPr>
            <w:tcW w:w="1276" w:type="dxa"/>
            <w:tcBorders>
              <w:top w:val="nil"/>
              <w:left w:val="nil"/>
              <w:bottom w:val="single" w:sz="4" w:space="0" w:color="auto"/>
              <w:right w:val="nil"/>
            </w:tcBorders>
            <w:shd w:val="clear" w:color="auto" w:fill="auto"/>
            <w:noWrap/>
            <w:vAlign w:val="bottom"/>
            <w:hideMark/>
          </w:tcPr>
          <w:p w14:paraId="0F0E2A0A" w14:textId="79416E6E"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21</w:t>
            </w:r>
            <w:r>
              <w:rPr>
                <w:rFonts w:eastAsia="Times New Roman"/>
                <w:color w:val="000000"/>
                <w:szCs w:val="24"/>
                <w:lang w:eastAsia="cs-CZ"/>
              </w:rPr>
              <w:t>,</w:t>
            </w:r>
            <w:r w:rsidRPr="007054C2">
              <w:rPr>
                <w:rFonts w:eastAsia="Times New Roman"/>
                <w:color w:val="000000"/>
                <w:szCs w:val="24"/>
                <w:lang w:eastAsia="cs-CZ"/>
              </w:rPr>
              <w:t>60</w:t>
            </w:r>
          </w:p>
        </w:tc>
        <w:tc>
          <w:tcPr>
            <w:tcW w:w="1559" w:type="dxa"/>
            <w:tcBorders>
              <w:top w:val="nil"/>
              <w:left w:val="nil"/>
              <w:bottom w:val="single" w:sz="4" w:space="0" w:color="auto"/>
              <w:right w:val="nil"/>
            </w:tcBorders>
            <w:shd w:val="clear" w:color="auto" w:fill="auto"/>
            <w:noWrap/>
            <w:vAlign w:val="bottom"/>
            <w:hideMark/>
          </w:tcPr>
          <w:p w14:paraId="2D6F7F27" w14:textId="66E6A81C"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24</w:t>
            </w:r>
            <w:r>
              <w:rPr>
                <w:rFonts w:eastAsia="Times New Roman"/>
                <w:color w:val="000000"/>
                <w:szCs w:val="24"/>
                <w:lang w:eastAsia="cs-CZ"/>
              </w:rPr>
              <w:t>,</w:t>
            </w:r>
            <w:r w:rsidRPr="007054C2">
              <w:rPr>
                <w:rFonts w:eastAsia="Times New Roman"/>
                <w:color w:val="000000"/>
                <w:szCs w:val="24"/>
                <w:lang w:eastAsia="cs-CZ"/>
              </w:rPr>
              <w:t>70</w:t>
            </w:r>
          </w:p>
        </w:tc>
        <w:tc>
          <w:tcPr>
            <w:tcW w:w="1418" w:type="dxa"/>
            <w:tcBorders>
              <w:top w:val="nil"/>
              <w:left w:val="nil"/>
              <w:bottom w:val="single" w:sz="4" w:space="0" w:color="auto"/>
              <w:right w:val="nil"/>
            </w:tcBorders>
            <w:shd w:val="clear" w:color="auto" w:fill="auto"/>
            <w:noWrap/>
            <w:vAlign w:val="bottom"/>
            <w:hideMark/>
          </w:tcPr>
          <w:p w14:paraId="296DB384" w14:textId="69027C6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90</w:t>
            </w:r>
            <w:r>
              <w:rPr>
                <w:rFonts w:eastAsia="Times New Roman"/>
                <w:color w:val="000000"/>
                <w:szCs w:val="24"/>
                <w:lang w:eastAsia="cs-CZ"/>
              </w:rPr>
              <w:t>,</w:t>
            </w:r>
            <w:r w:rsidRPr="007054C2">
              <w:rPr>
                <w:rFonts w:eastAsia="Times New Roman"/>
                <w:color w:val="000000"/>
                <w:szCs w:val="24"/>
                <w:lang w:eastAsia="cs-CZ"/>
              </w:rPr>
              <w:t>45</w:t>
            </w:r>
          </w:p>
        </w:tc>
        <w:tc>
          <w:tcPr>
            <w:tcW w:w="1417" w:type="dxa"/>
            <w:tcBorders>
              <w:top w:val="nil"/>
              <w:left w:val="nil"/>
              <w:bottom w:val="single" w:sz="4" w:space="0" w:color="auto"/>
              <w:right w:val="nil"/>
            </w:tcBorders>
            <w:shd w:val="clear" w:color="auto" w:fill="auto"/>
            <w:noWrap/>
            <w:vAlign w:val="bottom"/>
            <w:hideMark/>
          </w:tcPr>
          <w:p w14:paraId="708C9934" w14:textId="74846D34"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12</w:t>
            </w:r>
            <w:r>
              <w:rPr>
                <w:rFonts w:eastAsia="Times New Roman"/>
                <w:color w:val="000000"/>
                <w:szCs w:val="24"/>
                <w:lang w:eastAsia="cs-CZ"/>
              </w:rPr>
              <w:t>,</w:t>
            </w:r>
            <w:r w:rsidRPr="007054C2">
              <w:rPr>
                <w:rFonts w:eastAsia="Times New Roman"/>
                <w:color w:val="000000"/>
                <w:szCs w:val="24"/>
                <w:lang w:eastAsia="cs-CZ"/>
              </w:rPr>
              <w:t>63</w:t>
            </w:r>
          </w:p>
        </w:tc>
      </w:tr>
      <w:tr w:rsidR="007054C2" w:rsidRPr="007054C2" w14:paraId="532DFE9A"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5A21EA27"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Plzeň</w:t>
            </w:r>
          </w:p>
        </w:tc>
        <w:tc>
          <w:tcPr>
            <w:tcW w:w="1322" w:type="dxa"/>
            <w:tcBorders>
              <w:top w:val="nil"/>
              <w:left w:val="nil"/>
              <w:bottom w:val="single" w:sz="4" w:space="0" w:color="auto"/>
              <w:right w:val="nil"/>
            </w:tcBorders>
            <w:shd w:val="clear" w:color="auto" w:fill="auto"/>
            <w:noWrap/>
            <w:vAlign w:val="bottom"/>
            <w:hideMark/>
          </w:tcPr>
          <w:p w14:paraId="6220B521" w14:textId="1C0A54D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77</w:t>
            </w:r>
            <w:r>
              <w:rPr>
                <w:rFonts w:eastAsia="Times New Roman"/>
                <w:color w:val="000000"/>
                <w:szCs w:val="24"/>
                <w:lang w:eastAsia="cs-CZ"/>
              </w:rPr>
              <w:t>,</w:t>
            </w:r>
            <w:r w:rsidRPr="007054C2">
              <w:rPr>
                <w:rFonts w:eastAsia="Times New Roman"/>
                <w:color w:val="000000"/>
                <w:szCs w:val="24"/>
                <w:lang w:eastAsia="cs-CZ"/>
              </w:rPr>
              <w:t>00</w:t>
            </w:r>
          </w:p>
        </w:tc>
        <w:tc>
          <w:tcPr>
            <w:tcW w:w="1276" w:type="dxa"/>
            <w:tcBorders>
              <w:top w:val="nil"/>
              <w:left w:val="nil"/>
              <w:bottom w:val="single" w:sz="4" w:space="0" w:color="auto"/>
              <w:right w:val="nil"/>
            </w:tcBorders>
            <w:shd w:val="clear" w:color="auto" w:fill="auto"/>
            <w:noWrap/>
            <w:vAlign w:val="bottom"/>
            <w:hideMark/>
          </w:tcPr>
          <w:p w14:paraId="1BD1A076" w14:textId="7CE8430E"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36</w:t>
            </w:r>
            <w:r>
              <w:rPr>
                <w:rFonts w:eastAsia="Times New Roman"/>
                <w:color w:val="000000"/>
                <w:szCs w:val="24"/>
                <w:lang w:eastAsia="cs-CZ"/>
              </w:rPr>
              <w:t>,</w:t>
            </w:r>
            <w:r w:rsidRPr="007054C2">
              <w:rPr>
                <w:rFonts w:eastAsia="Times New Roman"/>
                <w:color w:val="000000"/>
                <w:szCs w:val="24"/>
                <w:lang w:eastAsia="cs-CZ"/>
              </w:rPr>
              <w:t>52</w:t>
            </w:r>
          </w:p>
        </w:tc>
        <w:tc>
          <w:tcPr>
            <w:tcW w:w="1559" w:type="dxa"/>
            <w:tcBorders>
              <w:top w:val="nil"/>
              <w:left w:val="nil"/>
              <w:bottom w:val="single" w:sz="4" w:space="0" w:color="auto"/>
              <w:right w:val="nil"/>
            </w:tcBorders>
            <w:shd w:val="clear" w:color="auto" w:fill="auto"/>
            <w:noWrap/>
            <w:vAlign w:val="bottom"/>
            <w:hideMark/>
          </w:tcPr>
          <w:p w14:paraId="540590CE" w14:textId="34C787F2"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33</w:t>
            </w:r>
            <w:r>
              <w:rPr>
                <w:rFonts w:eastAsia="Times New Roman"/>
                <w:color w:val="000000"/>
                <w:szCs w:val="24"/>
                <w:lang w:eastAsia="cs-CZ"/>
              </w:rPr>
              <w:t>,</w:t>
            </w:r>
            <w:r w:rsidRPr="007054C2">
              <w:rPr>
                <w:rFonts w:eastAsia="Times New Roman"/>
                <w:color w:val="000000"/>
                <w:szCs w:val="24"/>
                <w:lang w:eastAsia="cs-CZ"/>
              </w:rPr>
              <w:t>93</w:t>
            </w:r>
          </w:p>
        </w:tc>
        <w:tc>
          <w:tcPr>
            <w:tcW w:w="1418" w:type="dxa"/>
            <w:tcBorders>
              <w:top w:val="nil"/>
              <w:left w:val="nil"/>
              <w:bottom w:val="single" w:sz="4" w:space="0" w:color="auto"/>
              <w:right w:val="nil"/>
            </w:tcBorders>
            <w:shd w:val="clear" w:color="auto" w:fill="auto"/>
            <w:noWrap/>
            <w:vAlign w:val="bottom"/>
            <w:hideMark/>
          </w:tcPr>
          <w:p w14:paraId="749102AE" w14:textId="3D55D4CA"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147</w:t>
            </w:r>
            <w:r>
              <w:rPr>
                <w:rFonts w:eastAsia="Times New Roman"/>
                <w:color w:val="000000"/>
                <w:szCs w:val="24"/>
                <w:lang w:eastAsia="cs-CZ"/>
              </w:rPr>
              <w:t>,</w:t>
            </w:r>
            <w:r w:rsidRPr="007054C2">
              <w:rPr>
                <w:rFonts w:eastAsia="Times New Roman"/>
                <w:color w:val="000000"/>
                <w:szCs w:val="24"/>
                <w:lang w:eastAsia="cs-CZ"/>
              </w:rPr>
              <w:t>45</w:t>
            </w:r>
          </w:p>
        </w:tc>
        <w:tc>
          <w:tcPr>
            <w:tcW w:w="1417" w:type="dxa"/>
            <w:tcBorders>
              <w:top w:val="nil"/>
              <w:left w:val="nil"/>
              <w:bottom w:val="single" w:sz="4" w:space="0" w:color="auto"/>
              <w:right w:val="nil"/>
            </w:tcBorders>
            <w:shd w:val="clear" w:color="auto" w:fill="auto"/>
            <w:noWrap/>
            <w:vAlign w:val="bottom"/>
            <w:hideMark/>
          </w:tcPr>
          <w:p w14:paraId="7A20B0DD" w14:textId="0F1677DA"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16</w:t>
            </w:r>
            <w:r>
              <w:rPr>
                <w:rFonts w:eastAsia="Times New Roman"/>
                <w:color w:val="000000"/>
                <w:szCs w:val="24"/>
                <w:lang w:eastAsia="cs-CZ"/>
              </w:rPr>
              <w:t>,</w:t>
            </w:r>
            <w:r w:rsidRPr="007054C2">
              <w:rPr>
                <w:rFonts w:eastAsia="Times New Roman"/>
                <w:color w:val="000000"/>
                <w:szCs w:val="24"/>
                <w:lang w:eastAsia="cs-CZ"/>
              </w:rPr>
              <w:t>67</w:t>
            </w:r>
          </w:p>
        </w:tc>
      </w:tr>
      <w:tr w:rsidR="007054C2" w:rsidRPr="007054C2" w14:paraId="78C97D1D"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268D3E93"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Ústí n. Labem</w:t>
            </w:r>
          </w:p>
        </w:tc>
        <w:tc>
          <w:tcPr>
            <w:tcW w:w="1322" w:type="dxa"/>
            <w:tcBorders>
              <w:top w:val="nil"/>
              <w:left w:val="nil"/>
              <w:bottom w:val="single" w:sz="4" w:space="0" w:color="auto"/>
              <w:right w:val="nil"/>
            </w:tcBorders>
            <w:shd w:val="clear" w:color="auto" w:fill="auto"/>
            <w:noWrap/>
            <w:vAlign w:val="bottom"/>
            <w:hideMark/>
          </w:tcPr>
          <w:p w14:paraId="13A66512" w14:textId="6FB21A8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118</w:t>
            </w:r>
            <w:r>
              <w:rPr>
                <w:rFonts w:eastAsia="Times New Roman"/>
                <w:color w:val="000000"/>
                <w:szCs w:val="24"/>
                <w:lang w:eastAsia="cs-CZ"/>
              </w:rPr>
              <w:t>,</w:t>
            </w:r>
            <w:r w:rsidRPr="007054C2">
              <w:rPr>
                <w:rFonts w:eastAsia="Times New Roman"/>
                <w:color w:val="000000"/>
                <w:szCs w:val="24"/>
                <w:lang w:eastAsia="cs-CZ"/>
              </w:rPr>
              <w:t>55</w:t>
            </w:r>
          </w:p>
        </w:tc>
        <w:tc>
          <w:tcPr>
            <w:tcW w:w="1276" w:type="dxa"/>
            <w:tcBorders>
              <w:top w:val="nil"/>
              <w:left w:val="nil"/>
              <w:bottom w:val="single" w:sz="4" w:space="0" w:color="auto"/>
              <w:right w:val="nil"/>
            </w:tcBorders>
            <w:shd w:val="clear" w:color="auto" w:fill="auto"/>
            <w:noWrap/>
            <w:vAlign w:val="bottom"/>
            <w:hideMark/>
          </w:tcPr>
          <w:p w14:paraId="71802AF1" w14:textId="7DF578F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57</w:t>
            </w:r>
            <w:r>
              <w:rPr>
                <w:rFonts w:eastAsia="Times New Roman"/>
                <w:color w:val="000000"/>
                <w:szCs w:val="24"/>
                <w:lang w:eastAsia="cs-CZ"/>
              </w:rPr>
              <w:t>,</w:t>
            </w:r>
            <w:r w:rsidRPr="007054C2">
              <w:rPr>
                <w:rFonts w:eastAsia="Times New Roman"/>
                <w:color w:val="000000"/>
                <w:szCs w:val="24"/>
                <w:lang w:eastAsia="cs-CZ"/>
              </w:rPr>
              <w:t>27</w:t>
            </w:r>
          </w:p>
        </w:tc>
        <w:tc>
          <w:tcPr>
            <w:tcW w:w="1559" w:type="dxa"/>
            <w:tcBorders>
              <w:top w:val="nil"/>
              <w:left w:val="nil"/>
              <w:bottom w:val="single" w:sz="4" w:space="0" w:color="auto"/>
              <w:right w:val="nil"/>
            </w:tcBorders>
            <w:shd w:val="clear" w:color="auto" w:fill="auto"/>
            <w:noWrap/>
            <w:vAlign w:val="bottom"/>
            <w:hideMark/>
          </w:tcPr>
          <w:p w14:paraId="5CFC63B9" w14:textId="1811363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53</w:t>
            </w:r>
            <w:r>
              <w:rPr>
                <w:rFonts w:eastAsia="Times New Roman"/>
                <w:color w:val="000000"/>
                <w:szCs w:val="24"/>
                <w:lang w:eastAsia="cs-CZ"/>
              </w:rPr>
              <w:t>,</w:t>
            </w:r>
            <w:r w:rsidRPr="007054C2">
              <w:rPr>
                <w:rFonts w:eastAsia="Times New Roman"/>
                <w:color w:val="000000"/>
                <w:szCs w:val="24"/>
                <w:lang w:eastAsia="cs-CZ"/>
              </w:rPr>
              <w:t>36</w:t>
            </w:r>
          </w:p>
        </w:tc>
        <w:tc>
          <w:tcPr>
            <w:tcW w:w="1418" w:type="dxa"/>
            <w:tcBorders>
              <w:top w:val="nil"/>
              <w:left w:val="nil"/>
              <w:bottom w:val="single" w:sz="4" w:space="0" w:color="auto"/>
              <w:right w:val="nil"/>
            </w:tcBorders>
            <w:shd w:val="clear" w:color="auto" w:fill="auto"/>
            <w:noWrap/>
            <w:vAlign w:val="bottom"/>
            <w:hideMark/>
          </w:tcPr>
          <w:p w14:paraId="598A99EE" w14:textId="7434526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229</w:t>
            </w:r>
            <w:r>
              <w:rPr>
                <w:rFonts w:eastAsia="Times New Roman"/>
                <w:color w:val="000000"/>
                <w:szCs w:val="24"/>
                <w:lang w:eastAsia="cs-CZ"/>
              </w:rPr>
              <w:t>,</w:t>
            </w:r>
            <w:r w:rsidRPr="007054C2">
              <w:rPr>
                <w:rFonts w:eastAsia="Times New Roman"/>
                <w:color w:val="000000"/>
                <w:szCs w:val="24"/>
                <w:lang w:eastAsia="cs-CZ"/>
              </w:rPr>
              <w:t>18</w:t>
            </w:r>
          </w:p>
        </w:tc>
        <w:tc>
          <w:tcPr>
            <w:tcW w:w="1417" w:type="dxa"/>
            <w:tcBorders>
              <w:top w:val="nil"/>
              <w:left w:val="nil"/>
              <w:bottom w:val="single" w:sz="4" w:space="0" w:color="auto"/>
              <w:right w:val="nil"/>
            </w:tcBorders>
            <w:shd w:val="clear" w:color="auto" w:fill="auto"/>
            <w:noWrap/>
            <w:vAlign w:val="bottom"/>
            <w:hideMark/>
          </w:tcPr>
          <w:p w14:paraId="3540249D" w14:textId="37244ADC"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19</w:t>
            </w:r>
            <w:r>
              <w:rPr>
                <w:rFonts w:eastAsia="Times New Roman"/>
                <w:color w:val="000000"/>
                <w:szCs w:val="24"/>
                <w:lang w:eastAsia="cs-CZ"/>
              </w:rPr>
              <w:t>,</w:t>
            </w:r>
            <w:r w:rsidRPr="007054C2">
              <w:rPr>
                <w:rFonts w:eastAsia="Times New Roman"/>
                <w:color w:val="000000"/>
                <w:szCs w:val="24"/>
                <w:lang w:eastAsia="cs-CZ"/>
              </w:rPr>
              <w:t>25</w:t>
            </w:r>
          </w:p>
        </w:tc>
      </w:tr>
      <w:tr w:rsidR="007054C2" w:rsidRPr="007054C2" w14:paraId="7E443152"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64D1B8D2"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Hr. Králové</w:t>
            </w:r>
          </w:p>
        </w:tc>
        <w:tc>
          <w:tcPr>
            <w:tcW w:w="1322" w:type="dxa"/>
            <w:tcBorders>
              <w:top w:val="nil"/>
              <w:left w:val="nil"/>
              <w:bottom w:val="single" w:sz="4" w:space="0" w:color="auto"/>
              <w:right w:val="nil"/>
            </w:tcBorders>
            <w:shd w:val="clear" w:color="auto" w:fill="auto"/>
            <w:noWrap/>
            <w:vAlign w:val="bottom"/>
            <w:hideMark/>
          </w:tcPr>
          <w:p w14:paraId="5CAC30B8" w14:textId="11D5C9F5"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82</w:t>
            </w:r>
            <w:r>
              <w:rPr>
                <w:rFonts w:eastAsia="Times New Roman"/>
                <w:color w:val="000000"/>
                <w:szCs w:val="24"/>
                <w:lang w:eastAsia="cs-CZ"/>
              </w:rPr>
              <w:t>,</w:t>
            </w:r>
            <w:r w:rsidRPr="007054C2">
              <w:rPr>
                <w:rFonts w:eastAsia="Times New Roman"/>
                <w:color w:val="000000"/>
                <w:szCs w:val="24"/>
                <w:lang w:eastAsia="cs-CZ"/>
              </w:rPr>
              <w:t>60</w:t>
            </w:r>
          </w:p>
        </w:tc>
        <w:tc>
          <w:tcPr>
            <w:tcW w:w="1276" w:type="dxa"/>
            <w:tcBorders>
              <w:top w:val="nil"/>
              <w:left w:val="nil"/>
              <w:bottom w:val="single" w:sz="4" w:space="0" w:color="auto"/>
              <w:right w:val="nil"/>
            </w:tcBorders>
            <w:shd w:val="clear" w:color="auto" w:fill="auto"/>
            <w:noWrap/>
            <w:vAlign w:val="bottom"/>
            <w:hideMark/>
          </w:tcPr>
          <w:p w14:paraId="54D5FA47" w14:textId="20BAE01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36</w:t>
            </w:r>
            <w:r>
              <w:rPr>
                <w:rFonts w:eastAsia="Times New Roman"/>
                <w:color w:val="000000"/>
                <w:szCs w:val="24"/>
                <w:lang w:eastAsia="cs-CZ"/>
              </w:rPr>
              <w:t>,</w:t>
            </w:r>
            <w:r w:rsidRPr="007054C2">
              <w:rPr>
                <w:rFonts w:eastAsia="Times New Roman"/>
                <w:color w:val="000000"/>
                <w:szCs w:val="24"/>
                <w:lang w:eastAsia="cs-CZ"/>
              </w:rPr>
              <w:t>00</w:t>
            </w:r>
          </w:p>
        </w:tc>
        <w:tc>
          <w:tcPr>
            <w:tcW w:w="1559" w:type="dxa"/>
            <w:tcBorders>
              <w:top w:val="nil"/>
              <w:left w:val="nil"/>
              <w:bottom w:val="single" w:sz="4" w:space="0" w:color="auto"/>
              <w:right w:val="nil"/>
            </w:tcBorders>
            <w:shd w:val="clear" w:color="auto" w:fill="auto"/>
            <w:noWrap/>
            <w:vAlign w:val="bottom"/>
            <w:hideMark/>
          </w:tcPr>
          <w:p w14:paraId="2FEF642A" w14:textId="1F882F3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41</w:t>
            </w:r>
            <w:r>
              <w:rPr>
                <w:rFonts w:eastAsia="Times New Roman"/>
                <w:color w:val="000000"/>
                <w:szCs w:val="24"/>
                <w:lang w:eastAsia="cs-CZ"/>
              </w:rPr>
              <w:t>,</w:t>
            </w:r>
            <w:r w:rsidRPr="007054C2">
              <w:rPr>
                <w:rFonts w:eastAsia="Times New Roman"/>
                <w:color w:val="000000"/>
                <w:szCs w:val="24"/>
                <w:lang w:eastAsia="cs-CZ"/>
              </w:rPr>
              <w:t>80</w:t>
            </w:r>
          </w:p>
        </w:tc>
        <w:tc>
          <w:tcPr>
            <w:tcW w:w="1418" w:type="dxa"/>
            <w:tcBorders>
              <w:top w:val="nil"/>
              <w:left w:val="nil"/>
              <w:bottom w:val="single" w:sz="4" w:space="0" w:color="auto"/>
              <w:right w:val="nil"/>
            </w:tcBorders>
            <w:shd w:val="clear" w:color="auto" w:fill="auto"/>
            <w:noWrap/>
            <w:vAlign w:val="bottom"/>
            <w:hideMark/>
          </w:tcPr>
          <w:p w14:paraId="0DE26817" w14:textId="709D6EEF"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160</w:t>
            </w:r>
            <w:r>
              <w:rPr>
                <w:rFonts w:eastAsia="Times New Roman"/>
                <w:color w:val="000000"/>
                <w:szCs w:val="24"/>
                <w:lang w:eastAsia="cs-CZ"/>
              </w:rPr>
              <w:t>,</w:t>
            </w:r>
            <w:r w:rsidRPr="007054C2">
              <w:rPr>
                <w:rFonts w:eastAsia="Times New Roman"/>
                <w:color w:val="000000"/>
                <w:szCs w:val="24"/>
                <w:lang w:eastAsia="cs-CZ"/>
              </w:rPr>
              <w:t>40</w:t>
            </w:r>
          </w:p>
        </w:tc>
        <w:tc>
          <w:tcPr>
            <w:tcW w:w="1417" w:type="dxa"/>
            <w:tcBorders>
              <w:top w:val="nil"/>
              <w:left w:val="nil"/>
              <w:bottom w:val="single" w:sz="4" w:space="0" w:color="auto"/>
              <w:right w:val="nil"/>
            </w:tcBorders>
            <w:shd w:val="clear" w:color="auto" w:fill="auto"/>
            <w:noWrap/>
            <w:vAlign w:val="bottom"/>
            <w:hideMark/>
          </w:tcPr>
          <w:p w14:paraId="41C0031C" w14:textId="6F84ED2F"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12</w:t>
            </w:r>
            <w:r>
              <w:rPr>
                <w:rFonts w:eastAsia="Times New Roman"/>
                <w:color w:val="000000"/>
                <w:szCs w:val="24"/>
                <w:lang w:eastAsia="cs-CZ"/>
              </w:rPr>
              <w:t>,</w:t>
            </w:r>
            <w:r w:rsidRPr="007054C2">
              <w:rPr>
                <w:rFonts w:eastAsia="Times New Roman"/>
                <w:color w:val="000000"/>
                <w:szCs w:val="24"/>
                <w:lang w:eastAsia="cs-CZ"/>
              </w:rPr>
              <w:t>90</w:t>
            </w:r>
          </w:p>
        </w:tc>
      </w:tr>
      <w:tr w:rsidR="007054C2" w:rsidRPr="007054C2" w14:paraId="7033AAC2"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19250310"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Brno</w:t>
            </w:r>
          </w:p>
        </w:tc>
        <w:tc>
          <w:tcPr>
            <w:tcW w:w="1322" w:type="dxa"/>
            <w:tcBorders>
              <w:top w:val="nil"/>
              <w:left w:val="nil"/>
              <w:bottom w:val="single" w:sz="4" w:space="0" w:color="auto"/>
              <w:right w:val="nil"/>
            </w:tcBorders>
            <w:shd w:val="clear" w:color="auto" w:fill="auto"/>
            <w:noWrap/>
            <w:vAlign w:val="bottom"/>
            <w:hideMark/>
          </w:tcPr>
          <w:p w14:paraId="3BF3426C" w14:textId="70F6A280"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138</w:t>
            </w:r>
            <w:r>
              <w:rPr>
                <w:rFonts w:eastAsia="Times New Roman"/>
                <w:color w:val="000000"/>
                <w:szCs w:val="24"/>
                <w:lang w:eastAsia="cs-CZ"/>
              </w:rPr>
              <w:t>,</w:t>
            </w:r>
            <w:r w:rsidRPr="007054C2">
              <w:rPr>
                <w:rFonts w:eastAsia="Times New Roman"/>
                <w:color w:val="000000"/>
                <w:szCs w:val="24"/>
                <w:lang w:eastAsia="cs-CZ"/>
              </w:rPr>
              <w:t>16</w:t>
            </w:r>
          </w:p>
        </w:tc>
        <w:tc>
          <w:tcPr>
            <w:tcW w:w="1276" w:type="dxa"/>
            <w:tcBorders>
              <w:top w:val="nil"/>
              <w:left w:val="nil"/>
              <w:bottom w:val="single" w:sz="4" w:space="0" w:color="auto"/>
              <w:right w:val="nil"/>
            </w:tcBorders>
            <w:shd w:val="clear" w:color="auto" w:fill="auto"/>
            <w:noWrap/>
            <w:vAlign w:val="bottom"/>
            <w:hideMark/>
          </w:tcPr>
          <w:p w14:paraId="7E47F941" w14:textId="5EB87812"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52</w:t>
            </w:r>
            <w:r>
              <w:rPr>
                <w:rFonts w:eastAsia="Times New Roman"/>
                <w:color w:val="000000"/>
                <w:szCs w:val="24"/>
                <w:lang w:eastAsia="cs-CZ"/>
              </w:rPr>
              <w:t>,</w:t>
            </w:r>
            <w:r w:rsidRPr="007054C2">
              <w:rPr>
                <w:rFonts w:eastAsia="Times New Roman"/>
                <w:color w:val="000000"/>
                <w:szCs w:val="24"/>
                <w:lang w:eastAsia="cs-CZ"/>
              </w:rPr>
              <w:t>30</w:t>
            </w:r>
          </w:p>
        </w:tc>
        <w:tc>
          <w:tcPr>
            <w:tcW w:w="1559" w:type="dxa"/>
            <w:tcBorders>
              <w:top w:val="nil"/>
              <w:left w:val="nil"/>
              <w:bottom w:val="single" w:sz="4" w:space="0" w:color="auto"/>
              <w:right w:val="nil"/>
            </w:tcBorders>
            <w:shd w:val="clear" w:color="auto" w:fill="auto"/>
            <w:noWrap/>
            <w:vAlign w:val="bottom"/>
            <w:hideMark/>
          </w:tcPr>
          <w:p w14:paraId="2A323284" w14:textId="55C6911C"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64</w:t>
            </w:r>
            <w:r>
              <w:rPr>
                <w:rFonts w:eastAsia="Times New Roman"/>
                <w:color w:val="000000"/>
                <w:szCs w:val="24"/>
                <w:lang w:eastAsia="cs-CZ"/>
              </w:rPr>
              <w:t>,</w:t>
            </w:r>
            <w:r w:rsidRPr="007054C2">
              <w:rPr>
                <w:rFonts w:eastAsia="Times New Roman"/>
                <w:color w:val="000000"/>
                <w:szCs w:val="24"/>
                <w:lang w:eastAsia="cs-CZ"/>
              </w:rPr>
              <w:t>64</w:t>
            </w:r>
          </w:p>
        </w:tc>
        <w:tc>
          <w:tcPr>
            <w:tcW w:w="1418" w:type="dxa"/>
            <w:tcBorders>
              <w:top w:val="nil"/>
              <w:left w:val="nil"/>
              <w:bottom w:val="single" w:sz="4" w:space="0" w:color="auto"/>
              <w:right w:val="nil"/>
            </w:tcBorders>
            <w:shd w:val="clear" w:color="auto" w:fill="auto"/>
            <w:noWrap/>
            <w:vAlign w:val="bottom"/>
            <w:hideMark/>
          </w:tcPr>
          <w:p w14:paraId="62C8CE30" w14:textId="17EA660D"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255</w:t>
            </w:r>
            <w:r>
              <w:rPr>
                <w:rFonts w:eastAsia="Times New Roman"/>
                <w:color w:val="000000"/>
                <w:szCs w:val="24"/>
                <w:lang w:eastAsia="cs-CZ"/>
              </w:rPr>
              <w:t>,</w:t>
            </w:r>
            <w:r w:rsidRPr="007054C2">
              <w:rPr>
                <w:rFonts w:eastAsia="Times New Roman"/>
                <w:color w:val="000000"/>
                <w:szCs w:val="24"/>
                <w:lang w:eastAsia="cs-CZ"/>
              </w:rPr>
              <w:t>10</w:t>
            </w:r>
          </w:p>
        </w:tc>
        <w:tc>
          <w:tcPr>
            <w:tcW w:w="1417" w:type="dxa"/>
            <w:tcBorders>
              <w:top w:val="nil"/>
              <w:left w:val="nil"/>
              <w:bottom w:val="single" w:sz="4" w:space="0" w:color="auto"/>
              <w:right w:val="nil"/>
            </w:tcBorders>
            <w:shd w:val="clear" w:color="auto" w:fill="auto"/>
            <w:noWrap/>
            <w:vAlign w:val="bottom"/>
            <w:hideMark/>
          </w:tcPr>
          <w:p w14:paraId="4C9AF847" w14:textId="0B7F6D66"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12</w:t>
            </w:r>
            <w:r>
              <w:rPr>
                <w:rFonts w:eastAsia="Times New Roman"/>
                <w:color w:val="000000"/>
                <w:szCs w:val="24"/>
                <w:lang w:eastAsia="cs-CZ"/>
              </w:rPr>
              <w:t>,</w:t>
            </w:r>
            <w:r w:rsidRPr="007054C2">
              <w:rPr>
                <w:rFonts w:eastAsia="Times New Roman"/>
                <w:color w:val="000000"/>
                <w:szCs w:val="24"/>
                <w:lang w:eastAsia="cs-CZ"/>
              </w:rPr>
              <w:t>25</w:t>
            </w:r>
          </w:p>
        </w:tc>
      </w:tr>
      <w:tr w:rsidR="007054C2" w:rsidRPr="007054C2" w14:paraId="6B9CEE02" w14:textId="77777777" w:rsidTr="0057327F">
        <w:trPr>
          <w:trHeight w:val="330"/>
        </w:trPr>
        <w:tc>
          <w:tcPr>
            <w:tcW w:w="2080" w:type="dxa"/>
            <w:tcBorders>
              <w:top w:val="nil"/>
              <w:left w:val="nil"/>
              <w:bottom w:val="double" w:sz="6" w:space="0" w:color="auto"/>
              <w:right w:val="nil"/>
            </w:tcBorders>
            <w:shd w:val="clear" w:color="auto" w:fill="auto"/>
            <w:noWrap/>
            <w:vAlign w:val="bottom"/>
            <w:hideMark/>
          </w:tcPr>
          <w:p w14:paraId="092AD50F"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Ostrava</w:t>
            </w:r>
          </w:p>
        </w:tc>
        <w:tc>
          <w:tcPr>
            <w:tcW w:w="1322" w:type="dxa"/>
            <w:tcBorders>
              <w:top w:val="nil"/>
              <w:left w:val="nil"/>
              <w:bottom w:val="double" w:sz="6" w:space="0" w:color="auto"/>
              <w:right w:val="nil"/>
            </w:tcBorders>
            <w:shd w:val="clear" w:color="auto" w:fill="auto"/>
            <w:noWrap/>
            <w:vAlign w:val="bottom"/>
            <w:hideMark/>
          </w:tcPr>
          <w:p w14:paraId="4B3C483C" w14:textId="0B419CAC"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146</w:t>
            </w:r>
            <w:r>
              <w:rPr>
                <w:rFonts w:eastAsia="Times New Roman"/>
                <w:color w:val="000000"/>
                <w:szCs w:val="24"/>
                <w:lang w:eastAsia="cs-CZ"/>
              </w:rPr>
              <w:t>,</w:t>
            </w:r>
            <w:r w:rsidRPr="007054C2">
              <w:rPr>
                <w:rFonts w:eastAsia="Times New Roman"/>
                <w:color w:val="000000"/>
                <w:szCs w:val="24"/>
                <w:lang w:eastAsia="cs-CZ"/>
              </w:rPr>
              <w:t>60</w:t>
            </w:r>
          </w:p>
        </w:tc>
        <w:tc>
          <w:tcPr>
            <w:tcW w:w="1276" w:type="dxa"/>
            <w:tcBorders>
              <w:top w:val="nil"/>
              <w:left w:val="nil"/>
              <w:bottom w:val="double" w:sz="6" w:space="0" w:color="auto"/>
              <w:right w:val="nil"/>
            </w:tcBorders>
            <w:shd w:val="clear" w:color="auto" w:fill="auto"/>
            <w:noWrap/>
            <w:vAlign w:val="bottom"/>
            <w:hideMark/>
          </w:tcPr>
          <w:p w14:paraId="62AC10F1" w14:textId="5BF31BF5"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69</w:t>
            </w:r>
            <w:r>
              <w:rPr>
                <w:rFonts w:eastAsia="Times New Roman"/>
                <w:color w:val="000000"/>
                <w:szCs w:val="24"/>
                <w:lang w:eastAsia="cs-CZ"/>
              </w:rPr>
              <w:t>,</w:t>
            </w:r>
            <w:r w:rsidRPr="007054C2">
              <w:rPr>
                <w:rFonts w:eastAsia="Times New Roman"/>
                <w:color w:val="000000"/>
                <w:szCs w:val="24"/>
                <w:lang w:eastAsia="cs-CZ"/>
              </w:rPr>
              <w:t>35</w:t>
            </w:r>
          </w:p>
        </w:tc>
        <w:tc>
          <w:tcPr>
            <w:tcW w:w="1559" w:type="dxa"/>
            <w:tcBorders>
              <w:top w:val="nil"/>
              <w:left w:val="nil"/>
              <w:bottom w:val="double" w:sz="6" w:space="0" w:color="auto"/>
              <w:right w:val="nil"/>
            </w:tcBorders>
            <w:shd w:val="clear" w:color="auto" w:fill="auto"/>
            <w:noWrap/>
            <w:vAlign w:val="bottom"/>
            <w:hideMark/>
          </w:tcPr>
          <w:p w14:paraId="7E12E402" w14:textId="297A71D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72</w:t>
            </w:r>
            <w:r>
              <w:rPr>
                <w:rFonts w:eastAsia="Times New Roman"/>
                <w:color w:val="000000"/>
                <w:szCs w:val="24"/>
                <w:lang w:eastAsia="cs-CZ"/>
              </w:rPr>
              <w:t>,</w:t>
            </w:r>
            <w:r w:rsidRPr="007054C2">
              <w:rPr>
                <w:rFonts w:eastAsia="Times New Roman"/>
                <w:color w:val="000000"/>
                <w:szCs w:val="24"/>
                <w:lang w:eastAsia="cs-CZ"/>
              </w:rPr>
              <w:t>80</w:t>
            </w:r>
          </w:p>
        </w:tc>
        <w:tc>
          <w:tcPr>
            <w:tcW w:w="1418" w:type="dxa"/>
            <w:tcBorders>
              <w:top w:val="nil"/>
              <w:left w:val="nil"/>
              <w:bottom w:val="single" w:sz="4" w:space="0" w:color="auto"/>
              <w:right w:val="nil"/>
            </w:tcBorders>
            <w:shd w:val="clear" w:color="auto" w:fill="auto"/>
            <w:noWrap/>
            <w:vAlign w:val="bottom"/>
            <w:hideMark/>
          </w:tcPr>
          <w:p w14:paraId="35C22799" w14:textId="7BA6FCD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288</w:t>
            </w:r>
            <w:r>
              <w:rPr>
                <w:rFonts w:eastAsia="Times New Roman"/>
                <w:color w:val="000000"/>
                <w:szCs w:val="24"/>
                <w:lang w:eastAsia="cs-CZ"/>
              </w:rPr>
              <w:t>,</w:t>
            </w:r>
            <w:r w:rsidRPr="007054C2">
              <w:rPr>
                <w:rFonts w:eastAsia="Times New Roman"/>
                <w:color w:val="000000"/>
                <w:szCs w:val="24"/>
                <w:lang w:eastAsia="cs-CZ"/>
              </w:rPr>
              <w:t>75</w:t>
            </w:r>
          </w:p>
        </w:tc>
        <w:tc>
          <w:tcPr>
            <w:tcW w:w="1417" w:type="dxa"/>
            <w:tcBorders>
              <w:top w:val="nil"/>
              <w:left w:val="nil"/>
              <w:bottom w:val="double" w:sz="6" w:space="0" w:color="auto"/>
              <w:right w:val="nil"/>
            </w:tcBorders>
            <w:shd w:val="clear" w:color="auto" w:fill="auto"/>
            <w:noWrap/>
            <w:vAlign w:val="bottom"/>
            <w:hideMark/>
          </w:tcPr>
          <w:p w14:paraId="7475F09F" w14:textId="1719ED1E"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15</w:t>
            </w:r>
            <w:r>
              <w:rPr>
                <w:rFonts w:eastAsia="Times New Roman"/>
                <w:color w:val="000000"/>
                <w:szCs w:val="24"/>
                <w:lang w:eastAsia="cs-CZ"/>
              </w:rPr>
              <w:t>,</w:t>
            </w:r>
            <w:r w:rsidRPr="007054C2">
              <w:rPr>
                <w:rFonts w:eastAsia="Times New Roman"/>
                <w:color w:val="000000"/>
                <w:szCs w:val="24"/>
                <w:lang w:eastAsia="cs-CZ"/>
              </w:rPr>
              <w:t>46</w:t>
            </w:r>
          </w:p>
        </w:tc>
      </w:tr>
      <w:tr w:rsidR="007054C2" w:rsidRPr="007054C2" w14:paraId="08CA69C9" w14:textId="77777777" w:rsidTr="0057327F">
        <w:trPr>
          <w:trHeight w:val="345"/>
        </w:trPr>
        <w:tc>
          <w:tcPr>
            <w:tcW w:w="2080" w:type="dxa"/>
            <w:tcBorders>
              <w:top w:val="nil"/>
              <w:left w:val="nil"/>
              <w:bottom w:val="double" w:sz="6" w:space="0" w:color="auto"/>
              <w:right w:val="nil"/>
            </w:tcBorders>
            <w:shd w:val="clear" w:color="auto" w:fill="auto"/>
            <w:noWrap/>
            <w:vAlign w:val="bottom"/>
            <w:hideMark/>
          </w:tcPr>
          <w:p w14:paraId="7E63B271" w14:textId="77777777" w:rsidR="007054C2" w:rsidRPr="007054C2" w:rsidRDefault="007054C2" w:rsidP="007054C2">
            <w:pPr>
              <w:spacing w:line="240" w:lineRule="auto"/>
              <w:jc w:val="left"/>
              <w:rPr>
                <w:rFonts w:eastAsia="Times New Roman"/>
                <w:b/>
                <w:bCs/>
                <w:color w:val="000000"/>
                <w:szCs w:val="24"/>
                <w:lang w:eastAsia="cs-CZ"/>
              </w:rPr>
            </w:pPr>
            <w:r w:rsidRPr="007054C2">
              <w:rPr>
                <w:rFonts w:eastAsia="Times New Roman"/>
                <w:b/>
                <w:bCs/>
                <w:color w:val="000000"/>
                <w:szCs w:val="24"/>
                <w:lang w:eastAsia="cs-CZ"/>
              </w:rPr>
              <w:t>Celkem ČR 2024</w:t>
            </w:r>
          </w:p>
        </w:tc>
        <w:tc>
          <w:tcPr>
            <w:tcW w:w="1322" w:type="dxa"/>
            <w:tcBorders>
              <w:top w:val="nil"/>
              <w:left w:val="nil"/>
              <w:bottom w:val="double" w:sz="6" w:space="0" w:color="auto"/>
              <w:right w:val="nil"/>
            </w:tcBorders>
            <w:shd w:val="clear" w:color="auto" w:fill="auto"/>
            <w:noWrap/>
            <w:vAlign w:val="bottom"/>
            <w:hideMark/>
          </w:tcPr>
          <w:p w14:paraId="51C192A9" w14:textId="1742DD40"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863</w:t>
            </w:r>
            <w:r>
              <w:rPr>
                <w:rFonts w:eastAsia="Times New Roman"/>
                <w:b/>
                <w:bCs/>
                <w:color w:val="000000"/>
                <w:szCs w:val="24"/>
                <w:lang w:eastAsia="cs-CZ"/>
              </w:rPr>
              <w:t>,</w:t>
            </w:r>
            <w:r w:rsidRPr="007054C2">
              <w:rPr>
                <w:rFonts w:eastAsia="Times New Roman"/>
                <w:b/>
                <w:bCs/>
                <w:color w:val="000000"/>
                <w:szCs w:val="24"/>
                <w:lang w:eastAsia="cs-CZ"/>
              </w:rPr>
              <w:t>85</w:t>
            </w:r>
          </w:p>
        </w:tc>
        <w:tc>
          <w:tcPr>
            <w:tcW w:w="1276" w:type="dxa"/>
            <w:tcBorders>
              <w:top w:val="nil"/>
              <w:left w:val="nil"/>
              <w:bottom w:val="double" w:sz="6" w:space="0" w:color="auto"/>
              <w:right w:val="nil"/>
            </w:tcBorders>
            <w:shd w:val="clear" w:color="auto" w:fill="auto"/>
            <w:noWrap/>
            <w:vAlign w:val="bottom"/>
            <w:hideMark/>
          </w:tcPr>
          <w:p w14:paraId="0A242FBF" w14:textId="45283545"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373</w:t>
            </w:r>
            <w:r>
              <w:rPr>
                <w:rFonts w:eastAsia="Times New Roman"/>
                <w:b/>
                <w:bCs/>
                <w:color w:val="000000"/>
                <w:szCs w:val="24"/>
                <w:lang w:eastAsia="cs-CZ"/>
              </w:rPr>
              <w:t>,</w:t>
            </w:r>
            <w:r w:rsidRPr="007054C2">
              <w:rPr>
                <w:rFonts w:eastAsia="Times New Roman"/>
                <w:b/>
                <w:bCs/>
                <w:color w:val="000000"/>
                <w:szCs w:val="24"/>
                <w:lang w:eastAsia="cs-CZ"/>
              </w:rPr>
              <w:t>19</w:t>
            </w:r>
          </w:p>
        </w:tc>
        <w:tc>
          <w:tcPr>
            <w:tcW w:w="1559" w:type="dxa"/>
            <w:tcBorders>
              <w:top w:val="nil"/>
              <w:left w:val="nil"/>
              <w:bottom w:val="double" w:sz="6" w:space="0" w:color="auto"/>
              <w:right w:val="nil"/>
            </w:tcBorders>
            <w:shd w:val="clear" w:color="auto" w:fill="auto"/>
            <w:noWrap/>
            <w:vAlign w:val="bottom"/>
            <w:hideMark/>
          </w:tcPr>
          <w:p w14:paraId="29485767" w14:textId="67AB82C4"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378</w:t>
            </w:r>
            <w:r>
              <w:rPr>
                <w:rFonts w:eastAsia="Times New Roman"/>
                <w:b/>
                <w:bCs/>
                <w:color w:val="000000"/>
                <w:szCs w:val="24"/>
                <w:lang w:eastAsia="cs-CZ"/>
              </w:rPr>
              <w:t>,</w:t>
            </w:r>
            <w:r w:rsidRPr="007054C2">
              <w:rPr>
                <w:rFonts w:eastAsia="Times New Roman"/>
                <w:b/>
                <w:bCs/>
                <w:color w:val="000000"/>
                <w:szCs w:val="24"/>
                <w:lang w:eastAsia="cs-CZ"/>
              </w:rPr>
              <w:t>74</w:t>
            </w:r>
          </w:p>
        </w:tc>
        <w:tc>
          <w:tcPr>
            <w:tcW w:w="1418" w:type="dxa"/>
            <w:tcBorders>
              <w:top w:val="double" w:sz="6" w:space="0" w:color="auto"/>
              <w:left w:val="nil"/>
              <w:bottom w:val="double" w:sz="6" w:space="0" w:color="auto"/>
              <w:right w:val="nil"/>
            </w:tcBorders>
            <w:shd w:val="clear" w:color="auto" w:fill="auto"/>
            <w:noWrap/>
            <w:vAlign w:val="bottom"/>
            <w:hideMark/>
          </w:tcPr>
          <w:p w14:paraId="574DD9EA" w14:textId="42DFA340"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1 615</w:t>
            </w:r>
            <w:r>
              <w:rPr>
                <w:rFonts w:eastAsia="Times New Roman"/>
                <w:b/>
                <w:bCs/>
                <w:color w:val="000000"/>
                <w:szCs w:val="24"/>
                <w:lang w:eastAsia="cs-CZ"/>
              </w:rPr>
              <w:t>,</w:t>
            </w:r>
            <w:r w:rsidRPr="007054C2">
              <w:rPr>
                <w:rFonts w:eastAsia="Times New Roman"/>
                <w:b/>
                <w:bCs/>
                <w:color w:val="000000"/>
                <w:szCs w:val="24"/>
                <w:lang w:eastAsia="cs-CZ"/>
              </w:rPr>
              <w:t>78</w:t>
            </w:r>
          </w:p>
        </w:tc>
        <w:tc>
          <w:tcPr>
            <w:tcW w:w="1417" w:type="dxa"/>
            <w:tcBorders>
              <w:top w:val="nil"/>
              <w:left w:val="nil"/>
              <w:bottom w:val="double" w:sz="6" w:space="0" w:color="auto"/>
              <w:right w:val="nil"/>
            </w:tcBorders>
            <w:shd w:val="clear" w:color="auto" w:fill="auto"/>
            <w:noWrap/>
            <w:vAlign w:val="bottom"/>
            <w:hideMark/>
          </w:tcPr>
          <w:p w14:paraId="60ADDB7E" w14:textId="02277DCE"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15</w:t>
            </w:r>
            <w:r>
              <w:rPr>
                <w:rFonts w:eastAsia="Times New Roman"/>
                <w:b/>
                <w:bCs/>
                <w:color w:val="000000"/>
                <w:szCs w:val="24"/>
                <w:lang w:eastAsia="cs-CZ"/>
              </w:rPr>
              <w:t>,</w:t>
            </w:r>
            <w:r w:rsidRPr="007054C2">
              <w:rPr>
                <w:rFonts w:eastAsia="Times New Roman"/>
                <w:b/>
                <w:bCs/>
                <w:color w:val="000000"/>
                <w:szCs w:val="24"/>
                <w:lang w:eastAsia="cs-CZ"/>
              </w:rPr>
              <w:t>11</w:t>
            </w:r>
          </w:p>
        </w:tc>
      </w:tr>
      <w:tr w:rsidR="007054C2" w:rsidRPr="007054C2" w14:paraId="6C87BF4B" w14:textId="77777777" w:rsidTr="0057327F">
        <w:trPr>
          <w:trHeight w:val="345"/>
        </w:trPr>
        <w:tc>
          <w:tcPr>
            <w:tcW w:w="2080" w:type="dxa"/>
            <w:tcBorders>
              <w:top w:val="nil"/>
              <w:left w:val="nil"/>
              <w:bottom w:val="double" w:sz="6" w:space="0" w:color="auto"/>
              <w:right w:val="nil"/>
            </w:tcBorders>
            <w:shd w:val="clear" w:color="auto" w:fill="auto"/>
            <w:noWrap/>
            <w:vAlign w:val="bottom"/>
            <w:hideMark/>
          </w:tcPr>
          <w:p w14:paraId="584904E8" w14:textId="77777777" w:rsidR="007054C2" w:rsidRPr="007054C2" w:rsidRDefault="007054C2" w:rsidP="007054C2">
            <w:pPr>
              <w:spacing w:line="240" w:lineRule="auto"/>
              <w:jc w:val="left"/>
              <w:rPr>
                <w:rFonts w:eastAsia="Times New Roman"/>
                <w:b/>
                <w:bCs/>
                <w:color w:val="000000"/>
                <w:szCs w:val="24"/>
                <w:lang w:eastAsia="cs-CZ"/>
              </w:rPr>
            </w:pPr>
            <w:r w:rsidRPr="007054C2">
              <w:rPr>
                <w:rFonts w:eastAsia="Times New Roman"/>
                <w:b/>
                <w:bCs/>
                <w:color w:val="000000"/>
                <w:szCs w:val="24"/>
                <w:lang w:eastAsia="cs-CZ"/>
              </w:rPr>
              <w:t>Celkem ČR 2023</w:t>
            </w:r>
          </w:p>
        </w:tc>
        <w:tc>
          <w:tcPr>
            <w:tcW w:w="1322" w:type="dxa"/>
            <w:tcBorders>
              <w:top w:val="nil"/>
              <w:left w:val="nil"/>
              <w:bottom w:val="double" w:sz="6" w:space="0" w:color="auto"/>
              <w:right w:val="nil"/>
            </w:tcBorders>
            <w:shd w:val="clear" w:color="auto" w:fill="auto"/>
            <w:noWrap/>
            <w:vAlign w:val="bottom"/>
            <w:hideMark/>
          </w:tcPr>
          <w:p w14:paraId="044E1DAA" w14:textId="0DDFF25C"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886</w:t>
            </w:r>
            <w:r>
              <w:rPr>
                <w:rFonts w:eastAsia="Times New Roman"/>
                <w:b/>
                <w:bCs/>
                <w:color w:val="000000"/>
                <w:szCs w:val="24"/>
                <w:lang w:eastAsia="cs-CZ"/>
              </w:rPr>
              <w:t>,</w:t>
            </w:r>
            <w:r w:rsidRPr="007054C2">
              <w:rPr>
                <w:rFonts w:eastAsia="Times New Roman"/>
                <w:b/>
                <w:bCs/>
                <w:color w:val="000000"/>
                <w:szCs w:val="24"/>
                <w:lang w:eastAsia="cs-CZ"/>
              </w:rPr>
              <w:t>43</w:t>
            </w:r>
          </w:p>
        </w:tc>
        <w:tc>
          <w:tcPr>
            <w:tcW w:w="1276" w:type="dxa"/>
            <w:tcBorders>
              <w:top w:val="nil"/>
              <w:left w:val="nil"/>
              <w:bottom w:val="double" w:sz="6" w:space="0" w:color="auto"/>
              <w:right w:val="nil"/>
            </w:tcBorders>
            <w:shd w:val="clear" w:color="auto" w:fill="auto"/>
            <w:noWrap/>
            <w:vAlign w:val="bottom"/>
            <w:hideMark/>
          </w:tcPr>
          <w:p w14:paraId="43D4AD04" w14:textId="2B7BAE4E"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378</w:t>
            </w:r>
            <w:r>
              <w:rPr>
                <w:rFonts w:eastAsia="Times New Roman"/>
                <w:b/>
                <w:bCs/>
                <w:color w:val="000000"/>
                <w:szCs w:val="24"/>
                <w:lang w:eastAsia="cs-CZ"/>
              </w:rPr>
              <w:t>,</w:t>
            </w:r>
            <w:r w:rsidRPr="007054C2">
              <w:rPr>
                <w:rFonts w:eastAsia="Times New Roman"/>
                <w:b/>
                <w:bCs/>
                <w:color w:val="000000"/>
                <w:szCs w:val="24"/>
                <w:lang w:eastAsia="cs-CZ"/>
              </w:rPr>
              <w:t>39</w:t>
            </w:r>
          </w:p>
        </w:tc>
        <w:tc>
          <w:tcPr>
            <w:tcW w:w="1559" w:type="dxa"/>
            <w:tcBorders>
              <w:top w:val="nil"/>
              <w:left w:val="nil"/>
              <w:bottom w:val="double" w:sz="6" w:space="0" w:color="auto"/>
              <w:right w:val="nil"/>
            </w:tcBorders>
            <w:shd w:val="clear" w:color="auto" w:fill="auto"/>
            <w:noWrap/>
            <w:vAlign w:val="bottom"/>
            <w:hideMark/>
          </w:tcPr>
          <w:p w14:paraId="50FE5D60" w14:textId="5A9B8C15"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367</w:t>
            </w:r>
            <w:r>
              <w:rPr>
                <w:rFonts w:eastAsia="Times New Roman"/>
                <w:b/>
                <w:bCs/>
                <w:color w:val="000000"/>
                <w:szCs w:val="24"/>
                <w:lang w:eastAsia="cs-CZ"/>
              </w:rPr>
              <w:t>,</w:t>
            </w:r>
            <w:r w:rsidRPr="007054C2">
              <w:rPr>
                <w:rFonts w:eastAsia="Times New Roman"/>
                <w:b/>
                <w:bCs/>
                <w:color w:val="000000"/>
                <w:szCs w:val="24"/>
                <w:lang w:eastAsia="cs-CZ"/>
              </w:rPr>
              <w:t>00</w:t>
            </w:r>
          </w:p>
        </w:tc>
        <w:tc>
          <w:tcPr>
            <w:tcW w:w="1418" w:type="dxa"/>
            <w:tcBorders>
              <w:top w:val="nil"/>
              <w:left w:val="nil"/>
              <w:bottom w:val="double" w:sz="6" w:space="0" w:color="auto"/>
              <w:right w:val="nil"/>
            </w:tcBorders>
            <w:shd w:val="clear" w:color="auto" w:fill="auto"/>
            <w:noWrap/>
            <w:vAlign w:val="bottom"/>
            <w:hideMark/>
          </w:tcPr>
          <w:p w14:paraId="49510D6E" w14:textId="3FFD287B"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1 631</w:t>
            </w:r>
            <w:r>
              <w:rPr>
                <w:rFonts w:eastAsia="Times New Roman"/>
                <w:b/>
                <w:bCs/>
                <w:color w:val="000000"/>
                <w:szCs w:val="24"/>
                <w:lang w:eastAsia="cs-CZ"/>
              </w:rPr>
              <w:t>,</w:t>
            </w:r>
            <w:r w:rsidRPr="007054C2">
              <w:rPr>
                <w:rFonts w:eastAsia="Times New Roman"/>
                <w:b/>
                <w:bCs/>
                <w:color w:val="000000"/>
                <w:szCs w:val="24"/>
                <w:lang w:eastAsia="cs-CZ"/>
              </w:rPr>
              <w:t>82</w:t>
            </w:r>
          </w:p>
        </w:tc>
        <w:tc>
          <w:tcPr>
            <w:tcW w:w="1417" w:type="dxa"/>
            <w:tcBorders>
              <w:top w:val="nil"/>
              <w:left w:val="nil"/>
              <w:bottom w:val="double" w:sz="6" w:space="0" w:color="auto"/>
              <w:right w:val="nil"/>
            </w:tcBorders>
            <w:shd w:val="clear" w:color="auto" w:fill="auto"/>
            <w:noWrap/>
            <w:vAlign w:val="bottom"/>
            <w:hideMark/>
          </w:tcPr>
          <w:p w14:paraId="457D21D5" w14:textId="13E833F8"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15</w:t>
            </w:r>
            <w:r>
              <w:rPr>
                <w:rFonts w:eastAsia="Times New Roman"/>
                <w:b/>
                <w:bCs/>
                <w:color w:val="000000"/>
                <w:szCs w:val="24"/>
                <w:lang w:eastAsia="cs-CZ"/>
              </w:rPr>
              <w:t>,</w:t>
            </w:r>
            <w:r w:rsidRPr="007054C2">
              <w:rPr>
                <w:rFonts w:eastAsia="Times New Roman"/>
                <w:b/>
                <w:bCs/>
                <w:color w:val="000000"/>
                <w:szCs w:val="24"/>
                <w:lang w:eastAsia="cs-CZ"/>
              </w:rPr>
              <w:t>30</w:t>
            </w:r>
          </w:p>
        </w:tc>
      </w:tr>
      <w:tr w:rsidR="007054C2" w:rsidRPr="007054C2" w14:paraId="199DEF50" w14:textId="77777777" w:rsidTr="0057327F">
        <w:trPr>
          <w:trHeight w:val="330"/>
        </w:trPr>
        <w:tc>
          <w:tcPr>
            <w:tcW w:w="2080" w:type="dxa"/>
            <w:tcBorders>
              <w:top w:val="nil"/>
              <w:left w:val="nil"/>
              <w:bottom w:val="nil"/>
              <w:right w:val="nil"/>
            </w:tcBorders>
            <w:shd w:val="clear" w:color="auto" w:fill="auto"/>
            <w:noWrap/>
            <w:vAlign w:val="bottom"/>
            <w:hideMark/>
          </w:tcPr>
          <w:p w14:paraId="2EC29510" w14:textId="77777777" w:rsidR="007054C2" w:rsidRPr="007054C2" w:rsidRDefault="007054C2" w:rsidP="007054C2">
            <w:pPr>
              <w:spacing w:line="240" w:lineRule="auto"/>
              <w:jc w:val="center"/>
              <w:rPr>
                <w:rFonts w:eastAsia="Times New Roman"/>
                <w:b/>
                <w:bCs/>
                <w:color w:val="000000"/>
                <w:szCs w:val="24"/>
                <w:lang w:eastAsia="cs-CZ"/>
              </w:rPr>
            </w:pPr>
          </w:p>
        </w:tc>
        <w:tc>
          <w:tcPr>
            <w:tcW w:w="1322" w:type="dxa"/>
            <w:tcBorders>
              <w:top w:val="nil"/>
              <w:left w:val="nil"/>
              <w:bottom w:val="nil"/>
              <w:right w:val="nil"/>
            </w:tcBorders>
            <w:shd w:val="clear" w:color="auto" w:fill="auto"/>
            <w:noWrap/>
            <w:vAlign w:val="bottom"/>
            <w:hideMark/>
          </w:tcPr>
          <w:p w14:paraId="79DD412E"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381A6EA8"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c>
          <w:tcPr>
            <w:tcW w:w="1559" w:type="dxa"/>
            <w:tcBorders>
              <w:top w:val="nil"/>
              <w:left w:val="nil"/>
              <w:bottom w:val="nil"/>
              <w:right w:val="nil"/>
            </w:tcBorders>
            <w:shd w:val="clear" w:color="auto" w:fill="auto"/>
            <w:noWrap/>
            <w:vAlign w:val="bottom"/>
            <w:hideMark/>
          </w:tcPr>
          <w:p w14:paraId="69140110"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c>
          <w:tcPr>
            <w:tcW w:w="1418" w:type="dxa"/>
            <w:tcBorders>
              <w:top w:val="nil"/>
              <w:left w:val="nil"/>
              <w:bottom w:val="nil"/>
              <w:right w:val="nil"/>
            </w:tcBorders>
            <w:shd w:val="clear" w:color="auto" w:fill="auto"/>
            <w:noWrap/>
            <w:vAlign w:val="bottom"/>
            <w:hideMark/>
          </w:tcPr>
          <w:p w14:paraId="3F79C171"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bottom"/>
            <w:hideMark/>
          </w:tcPr>
          <w:p w14:paraId="3CFEE4D7"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r>
    </w:tbl>
    <w:p w14:paraId="440D0477" w14:textId="77777777" w:rsidR="00097AF6" w:rsidRPr="00033A3F" w:rsidRDefault="00097AF6" w:rsidP="00097AF6">
      <w:pPr>
        <w:rPr>
          <w:color w:val="000000" w:themeColor="text1"/>
        </w:rPr>
      </w:pPr>
    </w:p>
    <w:p w14:paraId="6792512D" w14:textId="3AE8621D" w:rsidR="00D906FB" w:rsidRPr="00033A3F" w:rsidRDefault="000C5487" w:rsidP="004C0D35">
      <w:pPr>
        <w:pStyle w:val="Podnadpis"/>
        <w:numPr>
          <w:ilvl w:val="0"/>
          <w:numId w:val="0"/>
        </w:numPr>
        <w:rPr>
          <w:color w:val="000000" w:themeColor="text1"/>
        </w:rPr>
      </w:pPr>
      <w:bookmarkStart w:id="87" w:name="_Toc203032830"/>
      <w:r w:rsidRPr="00033A3F">
        <w:rPr>
          <w:noProof/>
          <w:color w:val="000000" w:themeColor="text1"/>
          <w:lang w:eastAsia="cs-CZ"/>
        </w:rPr>
        <w:drawing>
          <wp:anchor distT="0" distB="0" distL="114300" distR="114300" simplePos="0" relativeHeight="251681792" behindDoc="0" locked="0" layoutInCell="1" allowOverlap="1" wp14:anchorId="2FFDE8E2" wp14:editId="7F67FC2A">
            <wp:simplePos x="0" y="0"/>
            <wp:positionH relativeFrom="margin">
              <wp:posOffset>4500245</wp:posOffset>
            </wp:positionH>
            <wp:positionV relativeFrom="paragraph">
              <wp:posOffset>283845</wp:posOffset>
            </wp:positionV>
            <wp:extent cx="1257300" cy="914400"/>
            <wp:effectExtent l="0" t="0" r="0" b="0"/>
            <wp:wrapNone/>
            <wp:docPr id="190317507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0799" cy="916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06FB" w:rsidRPr="00033A3F">
        <w:rPr>
          <w:color w:val="000000" w:themeColor="text1"/>
        </w:rPr>
        <w:t xml:space="preserve">Graf </w:t>
      </w:r>
      <w:r w:rsidR="00E2292F" w:rsidRPr="00033A3F">
        <w:rPr>
          <w:color w:val="000000" w:themeColor="text1"/>
        </w:rPr>
        <w:fldChar w:fldCharType="begin"/>
      </w:r>
      <w:r w:rsidR="00E2292F" w:rsidRPr="00033A3F">
        <w:rPr>
          <w:color w:val="000000" w:themeColor="text1"/>
        </w:rPr>
        <w:instrText xml:space="preserve"> SEQ Graf \* ARABIC </w:instrText>
      </w:r>
      <w:r w:rsidR="00E2292F" w:rsidRPr="00033A3F">
        <w:rPr>
          <w:color w:val="000000" w:themeColor="text1"/>
        </w:rPr>
        <w:fldChar w:fldCharType="separate"/>
      </w:r>
      <w:r w:rsidR="00163B51">
        <w:rPr>
          <w:noProof/>
          <w:color w:val="000000" w:themeColor="text1"/>
        </w:rPr>
        <w:t>3</w:t>
      </w:r>
      <w:r w:rsidR="00E2292F" w:rsidRPr="00033A3F">
        <w:rPr>
          <w:color w:val="000000" w:themeColor="text1"/>
        </w:rPr>
        <w:fldChar w:fldCharType="end"/>
      </w:r>
      <w:r w:rsidR="00D906FB" w:rsidRPr="00033A3F">
        <w:rPr>
          <w:color w:val="000000" w:themeColor="text1"/>
        </w:rPr>
        <w:t>: OS – skutečný počet soudců u jednotlivých soudů, 2024</w:t>
      </w:r>
      <w:bookmarkEnd w:id="87"/>
    </w:p>
    <w:p w14:paraId="2318B981" w14:textId="167BF3F0" w:rsidR="00D906FB" w:rsidRPr="00033A3F" w:rsidRDefault="007B7784">
      <w:pPr>
        <w:spacing w:after="160" w:line="259" w:lineRule="auto"/>
        <w:jc w:val="left"/>
        <w:rPr>
          <w:b/>
          <w:bCs/>
          <w:color w:val="000000" w:themeColor="text1"/>
        </w:rPr>
      </w:pPr>
      <w:r w:rsidRPr="007B7784">
        <w:rPr>
          <w:b/>
          <w:bCs/>
          <w:noProof/>
          <w:color w:val="000000" w:themeColor="text1"/>
        </w:rPr>
        <w:drawing>
          <wp:inline distT="0" distB="0" distL="0" distR="0" wp14:anchorId="63ABEEF6" wp14:editId="5323CD59">
            <wp:extent cx="5760720" cy="3296920"/>
            <wp:effectExtent l="0" t="0" r="0" b="0"/>
            <wp:docPr id="53783411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6B033F6" w14:textId="778B21B9" w:rsidR="000C5487" w:rsidRPr="00033A3F" w:rsidRDefault="000C5487" w:rsidP="00BF0CC3">
      <w:pPr>
        <w:pStyle w:val="OdstavecASR"/>
        <w:rPr>
          <w:color w:val="000000" w:themeColor="text1"/>
        </w:rPr>
      </w:pPr>
      <w:r w:rsidRPr="00033A3F">
        <w:rPr>
          <w:color w:val="000000" w:themeColor="text1"/>
        </w:rPr>
        <w:t>Největšími okresními soudy v absolutních počtech soudců jsou OS Ostrava (64,25 skutečného úvazku), MS Brno (64,05 úvazku) a OS Karviná (45 úvazků). Naopak nejmenší okresní soudy dle skutečného počtu úvazků jsou OS v Prachaticích (6,4 úvazků), OS v Rakovníku (6,5 úvazku) a OS v Pelhřimově (6,6 úvazku). Velikost jednotlivých soudů lze přibližně vyčíst z kartogramu.</w:t>
      </w:r>
    </w:p>
    <w:p w14:paraId="2F99C0FA" w14:textId="77777777" w:rsidR="000C5487" w:rsidRPr="00033A3F" w:rsidRDefault="000C5487">
      <w:pPr>
        <w:spacing w:after="160" w:line="259" w:lineRule="auto"/>
        <w:jc w:val="left"/>
        <w:rPr>
          <w:color w:val="000000" w:themeColor="text1"/>
        </w:rPr>
      </w:pPr>
      <w:r w:rsidRPr="00033A3F">
        <w:rPr>
          <w:color w:val="000000" w:themeColor="text1"/>
        </w:rPr>
        <w:br w:type="page"/>
      </w:r>
    </w:p>
    <w:p w14:paraId="388CF995" w14:textId="787704A4" w:rsidR="000C5487" w:rsidRPr="00033A3F" w:rsidRDefault="000C5487" w:rsidP="000C5487">
      <w:pPr>
        <w:pStyle w:val="Podnadpis"/>
        <w:rPr>
          <w:color w:val="000000" w:themeColor="text1"/>
        </w:rPr>
      </w:pPr>
      <w:bookmarkStart w:id="88" w:name="_Toc515871329"/>
      <w:bookmarkStart w:id="89" w:name="_Toc11135065"/>
      <w:bookmarkStart w:id="90" w:name="_Toc43841384"/>
      <w:bookmarkStart w:id="91" w:name="_Toc75952184"/>
      <w:bookmarkStart w:id="92" w:name="_Toc106106638"/>
      <w:bookmarkStart w:id="93" w:name="_Toc144104116"/>
      <w:bookmarkStart w:id="94" w:name="_Toc169250923"/>
      <w:bookmarkStart w:id="95" w:name="_Toc174080609"/>
      <w:bookmarkStart w:id="96" w:name="_Toc193530759"/>
      <w:bookmarkStart w:id="97" w:name="_Toc193634033"/>
      <w:bookmarkStart w:id="98" w:name="_Toc20303283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w:t>
      </w:r>
      <w:r w:rsidRPr="00033A3F">
        <w:rPr>
          <w:color w:val="000000" w:themeColor="text1"/>
        </w:rPr>
        <w:fldChar w:fldCharType="end"/>
      </w:r>
      <w:r w:rsidRPr="00033A3F">
        <w:rPr>
          <w:color w:val="000000" w:themeColor="text1"/>
        </w:rPr>
        <w:t xml:space="preserve">: </w:t>
      </w:r>
      <w:bookmarkStart w:id="99" w:name="_Toc485734466"/>
      <w:bookmarkStart w:id="100" w:name="_Toc487792737"/>
      <w:r w:rsidRPr="00033A3F">
        <w:rPr>
          <w:color w:val="000000" w:themeColor="text1"/>
        </w:rPr>
        <w:t xml:space="preserve">OS – skutečný počet soudců dle pohlaví </w:t>
      </w:r>
      <w:bookmarkEnd w:id="88"/>
      <w:bookmarkEnd w:id="89"/>
      <w:bookmarkEnd w:id="90"/>
      <w:bookmarkEnd w:id="91"/>
      <w:bookmarkEnd w:id="92"/>
      <w:bookmarkEnd w:id="93"/>
      <w:bookmarkEnd w:id="99"/>
      <w:bookmarkEnd w:id="100"/>
      <w:r w:rsidRPr="00033A3F">
        <w:rPr>
          <w:color w:val="000000" w:themeColor="text1"/>
        </w:rPr>
        <w:t>v roce 202</w:t>
      </w:r>
      <w:bookmarkEnd w:id="94"/>
      <w:bookmarkEnd w:id="95"/>
      <w:r w:rsidRPr="00033A3F">
        <w:rPr>
          <w:color w:val="000000" w:themeColor="text1"/>
        </w:rPr>
        <w:t>4</w:t>
      </w:r>
      <w:bookmarkEnd w:id="96"/>
      <w:bookmarkEnd w:id="97"/>
      <w:bookmarkEnd w:id="98"/>
    </w:p>
    <w:p w14:paraId="27620CA0" w14:textId="6EAAA553" w:rsidR="000C5487" w:rsidRPr="00033A3F" w:rsidRDefault="006D63E8" w:rsidP="000C5487">
      <w:pPr>
        <w:rPr>
          <w:color w:val="000000" w:themeColor="text1"/>
        </w:rPr>
      </w:pPr>
      <w:r w:rsidRPr="006D63E8">
        <w:rPr>
          <w:noProof/>
          <w:color w:val="000000" w:themeColor="text1"/>
        </w:rPr>
        <w:drawing>
          <wp:inline distT="0" distB="0" distL="0" distR="0" wp14:anchorId="717329B8" wp14:editId="58667BDD">
            <wp:extent cx="5029200" cy="3657600"/>
            <wp:effectExtent l="0" t="0" r="0" b="0"/>
            <wp:docPr id="87221814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93E4C75" w14:textId="77777777" w:rsidR="000C5487" w:rsidRPr="00033A3F" w:rsidRDefault="000C5487" w:rsidP="000C5487">
      <w:pPr>
        <w:pStyle w:val="OdstavecASR"/>
        <w:rPr>
          <w:color w:val="000000" w:themeColor="text1"/>
        </w:rPr>
      </w:pPr>
    </w:p>
    <w:p w14:paraId="01448720" w14:textId="2BF839E6" w:rsidR="000C5487" w:rsidRPr="00033A3F" w:rsidRDefault="000C5487" w:rsidP="000C5487">
      <w:pPr>
        <w:pStyle w:val="OdstavecASR"/>
        <w:rPr>
          <w:color w:val="000000" w:themeColor="text1"/>
        </w:rPr>
      </w:pPr>
      <w:r w:rsidRPr="00033A3F">
        <w:rPr>
          <w:color w:val="000000" w:themeColor="text1"/>
        </w:rPr>
        <w:t>Procentuální podíl soudkyň na OS je v posledních letech celkem stabilní a v roce 2024 činil 65,</w:t>
      </w:r>
      <w:r w:rsidR="00135609">
        <w:rPr>
          <w:color w:val="000000" w:themeColor="text1"/>
        </w:rPr>
        <w:t>70</w:t>
      </w:r>
      <w:r w:rsidRPr="00033A3F">
        <w:rPr>
          <w:color w:val="000000" w:themeColor="text1"/>
        </w:rPr>
        <w:t> %.</w:t>
      </w:r>
      <w:r w:rsidR="00525B71" w:rsidRPr="00033A3F">
        <w:rPr>
          <w:color w:val="000000" w:themeColor="text1"/>
        </w:rPr>
        <w:t xml:space="preserve"> V evidenčním počtu evidujeme 1238 žen a 603 mužů, což znamená, že evidenční podíl žen je vyšší - 67,25 %. </w:t>
      </w:r>
      <w:r w:rsidRPr="00033A3F">
        <w:rPr>
          <w:color w:val="000000" w:themeColor="text1"/>
        </w:rPr>
        <w:t>Tabulka </w:t>
      </w:r>
      <w:r w:rsidRPr="00033A3F">
        <w:rPr>
          <w:noProof/>
          <w:color w:val="000000" w:themeColor="text1"/>
        </w:rPr>
        <w:t>3</w:t>
      </w:r>
      <w:r w:rsidRPr="00033A3F">
        <w:rPr>
          <w:color w:val="000000" w:themeColor="text1"/>
        </w:rPr>
        <w:t xml:space="preserve"> uvádí skutečné počty soudců a soudkyň podle soudních krajů. Podíl žen u soudů spadajících pod MS Praha a KS Praha je vyšší než ve zbytku ČR.</w:t>
      </w:r>
    </w:p>
    <w:p w14:paraId="5D808A23" w14:textId="6DF1438C" w:rsidR="000C5487" w:rsidRPr="00033A3F" w:rsidRDefault="000C5487" w:rsidP="000C5487">
      <w:pPr>
        <w:pStyle w:val="Podnadpis"/>
        <w:rPr>
          <w:color w:val="000000" w:themeColor="text1"/>
        </w:rPr>
      </w:pPr>
      <w:bookmarkStart w:id="101" w:name="_Ref511985934"/>
      <w:bookmarkStart w:id="102" w:name="_Toc515871437"/>
      <w:bookmarkStart w:id="103" w:name="_Toc11133204"/>
      <w:bookmarkStart w:id="104" w:name="_Toc43931175"/>
      <w:bookmarkStart w:id="105" w:name="_Toc75952305"/>
      <w:bookmarkStart w:id="106" w:name="_Toc106106764"/>
      <w:bookmarkStart w:id="107" w:name="_Toc144104241"/>
      <w:bookmarkStart w:id="108" w:name="_Toc169251060"/>
      <w:bookmarkStart w:id="109" w:name="_Toc174080746"/>
      <w:bookmarkStart w:id="110" w:name="_Toc193530882"/>
      <w:bookmarkStart w:id="111" w:name="_Toc194045576"/>
      <w:bookmarkStart w:id="112" w:name="_Toc199494985"/>
      <w:bookmarkStart w:id="113" w:name="_Toc203033045"/>
      <w:bookmarkStart w:id="114" w:name="_Toc20303312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w:t>
      </w:r>
      <w:r w:rsidRPr="00033A3F">
        <w:rPr>
          <w:noProof/>
          <w:color w:val="000000" w:themeColor="text1"/>
        </w:rPr>
        <w:fldChar w:fldCharType="end"/>
      </w:r>
      <w:bookmarkEnd w:id="101"/>
      <w:r w:rsidRPr="00033A3F">
        <w:rPr>
          <w:color w:val="000000" w:themeColor="text1"/>
        </w:rPr>
        <w:t>: OS – skutečný počet soudců dle pohlaví a krajů</w:t>
      </w:r>
      <w:bookmarkEnd w:id="102"/>
      <w:bookmarkEnd w:id="103"/>
      <w:bookmarkEnd w:id="104"/>
      <w:bookmarkEnd w:id="105"/>
      <w:bookmarkEnd w:id="106"/>
      <w:bookmarkEnd w:id="107"/>
      <w:r w:rsidRPr="00033A3F">
        <w:rPr>
          <w:color w:val="000000" w:themeColor="text1"/>
        </w:rPr>
        <w:t>, 202</w:t>
      </w:r>
      <w:bookmarkEnd w:id="108"/>
      <w:bookmarkEnd w:id="109"/>
      <w:r w:rsidRPr="00033A3F">
        <w:rPr>
          <w:color w:val="000000" w:themeColor="text1"/>
        </w:rPr>
        <w:t>4</w:t>
      </w:r>
      <w:bookmarkEnd w:id="110"/>
      <w:bookmarkEnd w:id="111"/>
      <w:bookmarkEnd w:id="112"/>
      <w:bookmarkEnd w:id="113"/>
      <w:bookmarkEnd w:id="114"/>
    </w:p>
    <w:tbl>
      <w:tblPr>
        <w:tblW w:w="6800" w:type="dxa"/>
        <w:tblCellMar>
          <w:left w:w="70" w:type="dxa"/>
          <w:right w:w="70" w:type="dxa"/>
        </w:tblCellMar>
        <w:tblLook w:val="04A0" w:firstRow="1" w:lastRow="0" w:firstColumn="1" w:lastColumn="0" w:noHBand="0" w:noVBand="1"/>
      </w:tblPr>
      <w:tblGrid>
        <w:gridCol w:w="2480"/>
        <w:gridCol w:w="1454"/>
        <w:gridCol w:w="1266"/>
        <w:gridCol w:w="1600"/>
      </w:tblGrid>
      <w:tr w:rsidR="00135609" w:rsidRPr="00135609" w14:paraId="7A24E772" w14:textId="77777777" w:rsidTr="00135609">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A5FDCAC"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Nadřízený soud</w:t>
            </w:r>
          </w:p>
        </w:tc>
        <w:tc>
          <w:tcPr>
            <w:tcW w:w="2720" w:type="dxa"/>
            <w:gridSpan w:val="2"/>
            <w:tcBorders>
              <w:top w:val="double" w:sz="6" w:space="0" w:color="auto"/>
              <w:left w:val="nil"/>
              <w:bottom w:val="nil"/>
              <w:right w:val="nil"/>
            </w:tcBorders>
            <w:shd w:val="clear" w:color="auto" w:fill="auto"/>
            <w:noWrap/>
            <w:vAlign w:val="center"/>
            <w:hideMark/>
          </w:tcPr>
          <w:p w14:paraId="3AA18AAD"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Skutečný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6251E0AB"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Podíl žen v %</w:t>
            </w:r>
          </w:p>
        </w:tc>
      </w:tr>
      <w:tr w:rsidR="00135609" w:rsidRPr="00135609" w14:paraId="79847B34" w14:textId="77777777" w:rsidTr="00135609">
        <w:trPr>
          <w:trHeight w:val="330"/>
        </w:trPr>
        <w:tc>
          <w:tcPr>
            <w:tcW w:w="2480" w:type="dxa"/>
            <w:vMerge/>
            <w:tcBorders>
              <w:top w:val="double" w:sz="6" w:space="0" w:color="auto"/>
              <w:left w:val="nil"/>
              <w:bottom w:val="double" w:sz="6" w:space="0" w:color="000000"/>
              <w:right w:val="nil"/>
            </w:tcBorders>
            <w:vAlign w:val="center"/>
            <w:hideMark/>
          </w:tcPr>
          <w:p w14:paraId="74CFECC2" w14:textId="77777777" w:rsidR="00135609" w:rsidRPr="00135609" w:rsidRDefault="00135609" w:rsidP="00135609">
            <w:pPr>
              <w:spacing w:line="240" w:lineRule="auto"/>
              <w:jc w:val="left"/>
              <w:rPr>
                <w:rFonts w:eastAsia="Times New Roman"/>
                <w:b/>
                <w:bCs/>
                <w:color w:val="000000"/>
                <w:szCs w:val="24"/>
                <w:lang w:eastAsia="cs-CZ"/>
              </w:rPr>
            </w:pPr>
          </w:p>
        </w:tc>
        <w:tc>
          <w:tcPr>
            <w:tcW w:w="1454" w:type="dxa"/>
            <w:tcBorders>
              <w:top w:val="nil"/>
              <w:left w:val="nil"/>
              <w:bottom w:val="double" w:sz="6" w:space="0" w:color="auto"/>
              <w:right w:val="nil"/>
            </w:tcBorders>
            <w:shd w:val="clear" w:color="auto" w:fill="auto"/>
            <w:noWrap/>
            <w:vAlign w:val="center"/>
            <w:hideMark/>
          </w:tcPr>
          <w:p w14:paraId="67BAC17D"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Žen</w:t>
            </w:r>
          </w:p>
        </w:tc>
        <w:tc>
          <w:tcPr>
            <w:tcW w:w="1266" w:type="dxa"/>
            <w:tcBorders>
              <w:top w:val="nil"/>
              <w:left w:val="nil"/>
              <w:bottom w:val="double" w:sz="6" w:space="0" w:color="auto"/>
              <w:right w:val="nil"/>
            </w:tcBorders>
            <w:shd w:val="clear" w:color="auto" w:fill="auto"/>
            <w:noWrap/>
            <w:vAlign w:val="center"/>
            <w:hideMark/>
          </w:tcPr>
          <w:p w14:paraId="029DD1B9"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7B835C9A" w14:textId="77777777" w:rsidR="00135609" w:rsidRPr="00135609" w:rsidRDefault="00135609" w:rsidP="00135609">
            <w:pPr>
              <w:spacing w:line="240" w:lineRule="auto"/>
              <w:jc w:val="left"/>
              <w:rPr>
                <w:rFonts w:eastAsia="Times New Roman"/>
                <w:b/>
                <w:bCs/>
                <w:color w:val="000000"/>
                <w:szCs w:val="24"/>
                <w:lang w:eastAsia="cs-CZ"/>
              </w:rPr>
            </w:pPr>
          </w:p>
        </w:tc>
      </w:tr>
      <w:tr w:rsidR="00135609" w:rsidRPr="00135609" w14:paraId="36C7E257" w14:textId="77777777" w:rsidTr="00135609">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A776303"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MS Praha</w:t>
            </w:r>
          </w:p>
        </w:tc>
        <w:tc>
          <w:tcPr>
            <w:tcW w:w="1454" w:type="dxa"/>
            <w:tcBorders>
              <w:top w:val="single" w:sz="4" w:space="0" w:color="auto"/>
              <w:left w:val="nil"/>
              <w:bottom w:val="single" w:sz="4" w:space="0" w:color="auto"/>
              <w:right w:val="nil"/>
            </w:tcBorders>
            <w:shd w:val="clear" w:color="auto" w:fill="auto"/>
            <w:noWrap/>
            <w:vAlign w:val="bottom"/>
            <w:hideMark/>
          </w:tcPr>
          <w:p w14:paraId="011E644D" w14:textId="59E5DCF9"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189</w:t>
            </w:r>
            <w:r>
              <w:rPr>
                <w:rFonts w:eastAsia="Times New Roman"/>
                <w:color w:val="000000"/>
                <w:szCs w:val="24"/>
                <w:lang w:eastAsia="cs-CZ"/>
              </w:rPr>
              <w:t>,</w:t>
            </w:r>
            <w:r w:rsidRPr="00135609">
              <w:rPr>
                <w:rFonts w:eastAsia="Times New Roman"/>
                <w:color w:val="000000"/>
                <w:szCs w:val="24"/>
                <w:lang w:eastAsia="cs-CZ"/>
              </w:rPr>
              <w:t>65</w:t>
            </w:r>
          </w:p>
        </w:tc>
        <w:tc>
          <w:tcPr>
            <w:tcW w:w="1266" w:type="dxa"/>
            <w:tcBorders>
              <w:top w:val="single" w:sz="4" w:space="0" w:color="auto"/>
              <w:left w:val="nil"/>
              <w:bottom w:val="single" w:sz="4" w:space="0" w:color="auto"/>
              <w:right w:val="nil"/>
            </w:tcBorders>
            <w:shd w:val="clear" w:color="auto" w:fill="auto"/>
            <w:noWrap/>
            <w:vAlign w:val="bottom"/>
            <w:hideMark/>
          </w:tcPr>
          <w:p w14:paraId="05FA9B45" w14:textId="5B847281"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69</w:t>
            </w:r>
            <w:r>
              <w:rPr>
                <w:rFonts w:eastAsia="Times New Roman"/>
                <w:color w:val="000000"/>
                <w:szCs w:val="24"/>
                <w:lang w:eastAsia="cs-CZ"/>
              </w:rPr>
              <w:t>,</w:t>
            </w:r>
            <w:r w:rsidRPr="00135609">
              <w:rPr>
                <w:rFonts w:eastAsia="Times New Roman"/>
                <w:color w:val="000000"/>
                <w:szCs w:val="24"/>
                <w:lang w:eastAsia="cs-CZ"/>
              </w:rPr>
              <w:t>25</w:t>
            </w:r>
          </w:p>
        </w:tc>
        <w:tc>
          <w:tcPr>
            <w:tcW w:w="1600" w:type="dxa"/>
            <w:tcBorders>
              <w:top w:val="single" w:sz="4" w:space="0" w:color="auto"/>
              <w:left w:val="nil"/>
              <w:bottom w:val="single" w:sz="4" w:space="0" w:color="auto"/>
              <w:right w:val="nil"/>
            </w:tcBorders>
            <w:shd w:val="clear" w:color="auto" w:fill="auto"/>
            <w:noWrap/>
            <w:vAlign w:val="bottom"/>
            <w:hideMark/>
          </w:tcPr>
          <w:p w14:paraId="7A234981" w14:textId="6FCDEC4C"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73</w:t>
            </w:r>
            <w:r>
              <w:rPr>
                <w:rFonts w:eastAsia="Times New Roman"/>
                <w:color w:val="000000"/>
                <w:szCs w:val="24"/>
                <w:lang w:eastAsia="cs-CZ"/>
              </w:rPr>
              <w:t>,</w:t>
            </w:r>
            <w:r w:rsidRPr="00135609">
              <w:rPr>
                <w:rFonts w:eastAsia="Times New Roman"/>
                <w:color w:val="000000"/>
                <w:szCs w:val="24"/>
                <w:lang w:eastAsia="cs-CZ"/>
              </w:rPr>
              <w:t>25</w:t>
            </w:r>
          </w:p>
        </w:tc>
      </w:tr>
      <w:tr w:rsidR="00135609" w:rsidRPr="00135609" w14:paraId="3EC5F2F9"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2D430397"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Praha</w:t>
            </w:r>
          </w:p>
        </w:tc>
        <w:tc>
          <w:tcPr>
            <w:tcW w:w="1454" w:type="dxa"/>
            <w:tcBorders>
              <w:top w:val="nil"/>
              <w:left w:val="nil"/>
              <w:bottom w:val="single" w:sz="4" w:space="0" w:color="auto"/>
              <w:right w:val="nil"/>
            </w:tcBorders>
            <w:shd w:val="clear" w:color="auto" w:fill="auto"/>
            <w:noWrap/>
            <w:vAlign w:val="bottom"/>
            <w:hideMark/>
          </w:tcPr>
          <w:p w14:paraId="7EED857A" w14:textId="761D11CD"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131</w:t>
            </w:r>
            <w:r>
              <w:rPr>
                <w:rFonts w:eastAsia="Times New Roman"/>
                <w:color w:val="000000"/>
                <w:szCs w:val="24"/>
                <w:lang w:eastAsia="cs-CZ"/>
              </w:rPr>
              <w:t>,</w:t>
            </w:r>
            <w:r w:rsidRPr="00135609">
              <w:rPr>
                <w:rFonts w:eastAsia="Times New Roman"/>
                <w:color w:val="000000"/>
                <w:szCs w:val="24"/>
                <w:lang w:eastAsia="cs-CZ"/>
              </w:rPr>
              <w:t>32</w:t>
            </w:r>
          </w:p>
        </w:tc>
        <w:tc>
          <w:tcPr>
            <w:tcW w:w="1266" w:type="dxa"/>
            <w:tcBorders>
              <w:top w:val="nil"/>
              <w:left w:val="nil"/>
              <w:bottom w:val="single" w:sz="4" w:space="0" w:color="auto"/>
              <w:right w:val="nil"/>
            </w:tcBorders>
            <w:shd w:val="clear" w:color="auto" w:fill="auto"/>
            <w:noWrap/>
            <w:vAlign w:val="bottom"/>
            <w:hideMark/>
          </w:tcPr>
          <w:p w14:paraId="7926A06A" w14:textId="5A197FC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54</w:t>
            </w:r>
            <w:r>
              <w:rPr>
                <w:rFonts w:eastAsia="Times New Roman"/>
                <w:color w:val="000000"/>
                <w:szCs w:val="24"/>
                <w:lang w:eastAsia="cs-CZ"/>
              </w:rPr>
              <w:t>,</w:t>
            </w:r>
            <w:r w:rsidRPr="00135609">
              <w:rPr>
                <w:rFonts w:eastAsia="Times New Roman"/>
                <w:color w:val="000000"/>
                <w:szCs w:val="24"/>
                <w:lang w:eastAsia="cs-CZ"/>
              </w:rPr>
              <w:t>23</w:t>
            </w:r>
          </w:p>
        </w:tc>
        <w:tc>
          <w:tcPr>
            <w:tcW w:w="1600" w:type="dxa"/>
            <w:tcBorders>
              <w:top w:val="nil"/>
              <w:left w:val="nil"/>
              <w:bottom w:val="single" w:sz="4" w:space="0" w:color="auto"/>
              <w:right w:val="nil"/>
            </w:tcBorders>
            <w:shd w:val="clear" w:color="auto" w:fill="auto"/>
            <w:noWrap/>
            <w:vAlign w:val="bottom"/>
            <w:hideMark/>
          </w:tcPr>
          <w:p w14:paraId="59E4EF87" w14:textId="0AAF3CB4"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70</w:t>
            </w:r>
            <w:r>
              <w:rPr>
                <w:rFonts w:eastAsia="Times New Roman"/>
                <w:color w:val="000000"/>
                <w:szCs w:val="24"/>
                <w:lang w:eastAsia="cs-CZ"/>
              </w:rPr>
              <w:t>,</w:t>
            </w:r>
            <w:r w:rsidRPr="00135609">
              <w:rPr>
                <w:rFonts w:eastAsia="Times New Roman"/>
                <w:color w:val="000000"/>
                <w:szCs w:val="24"/>
                <w:lang w:eastAsia="cs-CZ"/>
              </w:rPr>
              <w:t>77</w:t>
            </w:r>
          </w:p>
        </w:tc>
      </w:tr>
      <w:tr w:rsidR="00135609" w:rsidRPr="00135609" w14:paraId="29984763"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4B0707A2"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Č. Budějovice</w:t>
            </w:r>
          </w:p>
        </w:tc>
        <w:tc>
          <w:tcPr>
            <w:tcW w:w="1454" w:type="dxa"/>
            <w:tcBorders>
              <w:top w:val="nil"/>
              <w:left w:val="nil"/>
              <w:bottom w:val="single" w:sz="4" w:space="0" w:color="auto"/>
              <w:right w:val="nil"/>
            </w:tcBorders>
            <w:shd w:val="clear" w:color="auto" w:fill="auto"/>
            <w:noWrap/>
            <w:vAlign w:val="bottom"/>
            <w:hideMark/>
          </w:tcPr>
          <w:p w14:paraId="67BCAF23" w14:textId="77777777"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59</w:t>
            </w:r>
          </w:p>
        </w:tc>
        <w:tc>
          <w:tcPr>
            <w:tcW w:w="1266" w:type="dxa"/>
            <w:tcBorders>
              <w:top w:val="nil"/>
              <w:left w:val="nil"/>
              <w:bottom w:val="single" w:sz="4" w:space="0" w:color="auto"/>
              <w:right w:val="nil"/>
            </w:tcBorders>
            <w:shd w:val="clear" w:color="auto" w:fill="auto"/>
            <w:noWrap/>
            <w:vAlign w:val="bottom"/>
            <w:hideMark/>
          </w:tcPr>
          <w:p w14:paraId="4C97B106" w14:textId="65157665"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31</w:t>
            </w:r>
            <w:r>
              <w:rPr>
                <w:rFonts w:eastAsia="Times New Roman"/>
                <w:color w:val="000000"/>
                <w:szCs w:val="24"/>
                <w:lang w:eastAsia="cs-CZ"/>
              </w:rPr>
              <w:t>,</w:t>
            </w:r>
            <w:r w:rsidRPr="00135609">
              <w:rPr>
                <w:rFonts w:eastAsia="Times New Roman"/>
                <w:color w:val="000000"/>
                <w:szCs w:val="24"/>
                <w:lang w:eastAsia="cs-CZ"/>
              </w:rPr>
              <w:t>45</w:t>
            </w:r>
          </w:p>
        </w:tc>
        <w:tc>
          <w:tcPr>
            <w:tcW w:w="1600" w:type="dxa"/>
            <w:tcBorders>
              <w:top w:val="nil"/>
              <w:left w:val="nil"/>
              <w:bottom w:val="single" w:sz="4" w:space="0" w:color="auto"/>
              <w:right w:val="nil"/>
            </w:tcBorders>
            <w:shd w:val="clear" w:color="auto" w:fill="auto"/>
            <w:noWrap/>
            <w:vAlign w:val="bottom"/>
            <w:hideMark/>
          </w:tcPr>
          <w:p w14:paraId="726F0ED0" w14:textId="5C57DD51"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65</w:t>
            </w:r>
            <w:r>
              <w:rPr>
                <w:rFonts w:eastAsia="Times New Roman"/>
                <w:color w:val="000000"/>
                <w:szCs w:val="24"/>
                <w:lang w:eastAsia="cs-CZ"/>
              </w:rPr>
              <w:t>,</w:t>
            </w:r>
            <w:r w:rsidRPr="00135609">
              <w:rPr>
                <w:rFonts w:eastAsia="Times New Roman"/>
                <w:color w:val="000000"/>
                <w:szCs w:val="24"/>
                <w:lang w:eastAsia="cs-CZ"/>
              </w:rPr>
              <w:t>23</w:t>
            </w:r>
          </w:p>
        </w:tc>
      </w:tr>
      <w:tr w:rsidR="00135609" w:rsidRPr="00135609" w14:paraId="6A0C102D"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51F76453"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Plzeň</w:t>
            </w:r>
          </w:p>
        </w:tc>
        <w:tc>
          <w:tcPr>
            <w:tcW w:w="1454" w:type="dxa"/>
            <w:tcBorders>
              <w:top w:val="nil"/>
              <w:left w:val="nil"/>
              <w:bottom w:val="single" w:sz="4" w:space="0" w:color="auto"/>
              <w:right w:val="nil"/>
            </w:tcBorders>
            <w:shd w:val="clear" w:color="auto" w:fill="auto"/>
            <w:noWrap/>
            <w:vAlign w:val="bottom"/>
            <w:hideMark/>
          </w:tcPr>
          <w:p w14:paraId="1AD0A94F" w14:textId="6DFD8C6B"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84</w:t>
            </w:r>
            <w:r>
              <w:rPr>
                <w:rFonts w:eastAsia="Times New Roman"/>
                <w:color w:val="000000"/>
                <w:szCs w:val="24"/>
                <w:lang w:eastAsia="cs-CZ"/>
              </w:rPr>
              <w:t>,</w:t>
            </w:r>
            <w:r w:rsidRPr="00135609">
              <w:rPr>
                <w:rFonts w:eastAsia="Times New Roman"/>
                <w:color w:val="000000"/>
                <w:szCs w:val="24"/>
                <w:lang w:eastAsia="cs-CZ"/>
              </w:rPr>
              <w:t>4</w:t>
            </w:r>
          </w:p>
        </w:tc>
        <w:tc>
          <w:tcPr>
            <w:tcW w:w="1266" w:type="dxa"/>
            <w:tcBorders>
              <w:top w:val="nil"/>
              <w:left w:val="nil"/>
              <w:bottom w:val="single" w:sz="4" w:space="0" w:color="auto"/>
              <w:right w:val="nil"/>
            </w:tcBorders>
            <w:shd w:val="clear" w:color="auto" w:fill="auto"/>
            <w:noWrap/>
            <w:vAlign w:val="bottom"/>
            <w:hideMark/>
          </w:tcPr>
          <w:p w14:paraId="51FBF76B" w14:textId="4518D35F"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63</w:t>
            </w:r>
            <w:r>
              <w:rPr>
                <w:rFonts w:eastAsia="Times New Roman"/>
                <w:color w:val="000000"/>
                <w:szCs w:val="24"/>
                <w:lang w:eastAsia="cs-CZ"/>
              </w:rPr>
              <w:t>,</w:t>
            </w:r>
            <w:r w:rsidRPr="00135609">
              <w:rPr>
                <w:rFonts w:eastAsia="Times New Roman"/>
                <w:color w:val="000000"/>
                <w:szCs w:val="24"/>
                <w:lang w:eastAsia="cs-CZ"/>
              </w:rPr>
              <w:t>05</w:t>
            </w:r>
          </w:p>
        </w:tc>
        <w:tc>
          <w:tcPr>
            <w:tcW w:w="1600" w:type="dxa"/>
            <w:tcBorders>
              <w:top w:val="nil"/>
              <w:left w:val="nil"/>
              <w:bottom w:val="single" w:sz="4" w:space="0" w:color="auto"/>
              <w:right w:val="nil"/>
            </w:tcBorders>
            <w:shd w:val="clear" w:color="auto" w:fill="auto"/>
            <w:noWrap/>
            <w:vAlign w:val="bottom"/>
            <w:hideMark/>
          </w:tcPr>
          <w:p w14:paraId="4A4F94CB" w14:textId="7C2C03D6"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57</w:t>
            </w:r>
            <w:r>
              <w:rPr>
                <w:rFonts w:eastAsia="Times New Roman"/>
                <w:color w:val="000000"/>
                <w:szCs w:val="24"/>
                <w:lang w:eastAsia="cs-CZ"/>
              </w:rPr>
              <w:t>,</w:t>
            </w:r>
            <w:r w:rsidRPr="00135609">
              <w:rPr>
                <w:rFonts w:eastAsia="Times New Roman"/>
                <w:color w:val="000000"/>
                <w:szCs w:val="24"/>
                <w:lang w:eastAsia="cs-CZ"/>
              </w:rPr>
              <w:t>24</w:t>
            </w:r>
          </w:p>
        </w:tc>
      </w:tr>
      <w:tr w:rsidR="00135609" w:rsidRPr="00135609" w14:paraId="4CEF4666"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6BD585C8"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Ústí n. Labem</w:t>
            </w:r>
          </w:p>
        </w:tc>
        <w:tc>
          <w:tcPr>
            <w:tcW w:w="1454" w:type="dxa"/>
            <w:tcBorders>
              <w:top w:val="nil"/>
              <w:left w:val="nil"/>
              <w:bottom w:val="single" w:sz="4" w:space="0" w:color="auto"/>
              <w:right w:val="nil"/>
            </w:tcBorders>
            <w:shd w:val="clear" w:color="auto" w:fill="auto"/>
            <w:noWrap/>
            <w:vAlign w:val="bottom"/>
            <w:hideMark/>
          </w:tcPr>
          <w:p w14:paraId="797A3806" w14:textId="63858CF9"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140</w:t>
            </w:r>
            <w:r>
              <w:rPr>
                <w:rFonts w:eastAsia="Times New Roman"/>
                <w:color w:val="000000"/>
                <w:szCs w:val="24"/>
                <w:lang w:eastAsia="cs-CZ"/>
              </w:rPr>
              <w:t>,</w:t>
            </w:r>
            <w:r w:rsidRPr="00135609">
              <w:rPr>
                <w:rFonts w:eastAsia="Times New Roman"/>
                <w:color w:val="000000"/>
                <w:szCs w:val="24"/>
                <w:lang w:eastAsia="cs-CZ"/>
              </w:rPr>
              <w:t>64</w:t>
            </w:r>
          </w:p>
        </w:tc>
        <w:tc>
          <w:tcPr>
            <w:tcW w:w="1266" w:type="dxa"/>
            <w:tcBorders>
              <w:top w:val="nil"/>
              <w:left w:val="nil"/>
              <w:bottom w:val="single" w:sz="4" w:space="0" w:color="auto"/>
              <w:right w:val="nil"/>
            </w:tcBorders>
            <w:shd w:val="clear" w:color="auto" w:fill="auto"/>
            <w:noWrap/>
            <w:vAlign w:val="bottom"/>
            <w:hideMark/>
          </w:tcPr>
          <w:p w14:paraId="60C42D72" w14:textId="2333D03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88</w:t>
            </w:r>
            <w:r>
              <w:rPr>
                <w:rFonts w:eastAsia="Times New Roman"/>
                <w:color w:val="000000"/>
                <w:szCs w:val="24"/>
                <w:lang w:eastAsia="cs-CZ"/>
              </w:rPr>
              <w:t>,</w:t>
            </w:r>
            <w:r w:rsidRPr="00135609">
              <w:rPr>
                <w:rFonts w:eastAsia="Times New Roman"/>
                <w:color w:val="000000"/>
                <w:szCs w:val="24"/>
                <w:lang w:eastAsia="cs-CZ"/>
              </w:rPr>
              <w:t>51</w:t>
            </w:r>
          </w:p>
        </w:tc>
        <w:tc>
          <w:tcPr>
            <w:tcW w:w="1600" w:type="dxa"/>
            <w:tcBorders>
              <w:top w:val="nil"/>
              <w:left w:val="nil"/>
              <w:bottom w:val="single" w:sz="4" w:space="0" w:color="auto"/>
              <w:right w:val="nil"/>
            </w:tcBorders>
            <w:shd w:val="clear" w:color="auto" w:fill="auto"/>
            <w:noWrap/>
            <w:vAlign w:val="bottom"/>
            <w:hideMark/>
          </w:tcPr>
          <w:p w14:paraId="61106493" w14:textId="0DF27B2E"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61</w:t>
            </w:r>
            <w:r>
              <w:rPr>
                <w:rFonts w:eastAsia="Times New Roman"/>
                <w:color w:val="000000"/>
                <w:szCs w:val="24"/>
                <w:lang w:eastAsia="cs-CZ"/>
              </w:rPr>
              <w:t>,</w:t>
            </w:r>
            <w:r w:rsidRPr="00135609">
              <w:rPr>
                <w:rFonts w:eastAsia="Times New Roman"/>
                <w:color w:val="000000"/>
                <w:szCs w:val="24"/>
                <w:lang w:eastAsia="cs-CZ"/>
              </w:rPr>
              <w:t>37</w:t>
            </w:r>
          </w:p>
        </w:tc>
      </w:tr>
      <w:tr w:rsidR="00135609" w:rsidRPr="00135609" w14:paraId="738A80EC"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126C9F95"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Hr. Králové</w:t>
            </w:r>
          </w:p>
        </w:tc>
        <w:tc>
          <w:tcPr>
            <w:tcW w:w="1454" w:type="dxa"/>
            <w:tcBorders>
              <w:top w:val="nil"/>
              <w:left w:val="nil"/>
              <w:bottom w:val="single" w:sz="4" w:space="0" w:color="auto"/>
              <w:right w:val="nil"/>
            </w:tcBorders>
            <w:shd w:val="clear" w:color="auto" w:fill="auto"/>
            <w:noWrap/>
            <w:vAlign w:val="bottom"/>
            <w:hideMark/>
          </w:tcPr>
          <w:p w14:paraId="6C32D983" w14:textId="1918D569"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104</w:t>
            </w:r>
            <w:r>
              <w:rPr>
                <w:rFonts w:eastAsia="Times New Roman"/>
                <w:color w:val="000000"/>
                <w:szCs w:val="24"/>
                <w:lang w:eastAsia="cs-CZ"/>
              </w:rPr>
              <w:t>,</w:t>
            </w:r>
            <w:r w:rsidRPr="00135609">
              <w:rPr>
                <w:rFonts w:eastAsia="Times New Roman"/>
                <w:color w:val="000000"/>
                <w:szCs w:val="24"/>
                <w:lang w:eastAsia="cs-CZ"/>
              </w:rPr>
              <w:t>85</w:t>
            </w:r>
          </w:p>
        </w:tc>
        <w:tc>
          <w:tcPr>
            <w:tcW w:w="1266" w:type="dxa"/>
            <w:tcBorders>
              <w:top w:val="nil"/>
              <w:left w:val="nil"/>
              <w:bottom w:val="single" w:sz="4" w:space="0" w:color="auto"/>
              <w:right w:val="nil"/>
            </w:tcBorders>
            <w:shd w:val="clear" w:color="auto" w:fill="auto"/>
            <w:noWrap/>
            <w:vAlign w:val="bottom"/>
            <w:hideMark/>
          </w:tcPr>
          <w:p w14:paraId="75CF743E" w14:textId="2467F645"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55</w:t>
            </w:r>
            <w:r>
              <w:rPr>
                <w:rFonts w:eastAsia="Times New Roman"/>
                <w:color w:val="000000"/>
                <w:szCs w:val="24"/>
                <w:lang w:eastAsia="cs-CZ"/>
              </w:rPr>
              <w:t>,</w:t>
            </w:r>
            <w:r w:rsidRPr="00135609">
              <w:rPr>
                <w:rFonts w:eastAsia="Times New Roman"/>
                <w:color w:val="000000"/>
                <w:szCs w:val="24"/>
                <w:lang w:eastAsia="cs-CZ"/>
              </w:rPr>
              <w:t>55</w:t>
            </w:r>
          </w:p>
        </w:tc>
        <w:tc>
          <w:tcPr>
            <w:tcW w:w="1600" w:type="dxa"/>
            <w:tcBorders>
              <w:top w:val="nil"/>
              <w:left w:val="nil"/>
              <w:bottom w:val="single" w:sz="4" w:space="0" w:color="auto"/>
              <w:right w:val="nil"/>
            </w:tcBorders>
            <w:shd w:val="clear" w:color="auto" w:fill="auto"/>
            <w:noWrap/>
            <w:vAlign w:val="bottom"/>
            <w:hideMark/>
          </w:tcPr>
          <w:p w14:paraId="32AB5FE4" w14:textId="3ECD079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65</w:t>
            </w:r>
            <w:r>
              <w:rPr>
                <w:rFonts w:eastAsia="Times New Roman"/>
                <w:color w:val="000000"/>
                <w:szCs w:val="24"/>
                <w:lang w:eastAsia="cs-CZ"/>
              </w:rPr>
              <w:t>,</w:t>
            </w:r>
            <w:r w:rsidRPr="00135609">
              <w:rPr>
                <w:rFonts w:eastAsia="Times New Roman"/>
                <w:color w:val="000000"/>
                <w:szCs w:val="24"/>
                <w:lang w:eastAsia="cs-CZ"/>
              </w:rPr>
              <w:t>37</w:t>
            </w:r>
          </w:p>
        </w:tc>
      </w:tr>
      <w:tr w:rsidR="00135609" w:rsidRPr="00135609" w14:paraId="3D839CCF"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2380C86F"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Brno</w:t>
            </w:r>
          </w:p>
        </w:tc>
        <w:tc>
          <w:tcPr>
            <w:tcW w:w="1454" w:type="dxa"/>
            <w:tcBorders>
              <w:top w:val="nil"/>
              <w:left w:val="nil"/>
              <w:bottom w:val="single" w:sz="4" w:space="0" w:color="auto"/>
              <w:right w:val="nil"/>
            </w:tcBorders>
            <w:shd w:val="clear" w:color="auto" w:fill="auto"/>
            <w:noWrap/>
            <w:vAlign w:val="bottom"/>
            <w:hideMark/>
          </w:tcPr>
          <w:p w14:paraId="1E9616FA" w14:textId="077BD8A9"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157</w:t>
            </w:r>
            <w:r>
              <w:rPr>
                <w:rFonts w:eastAsia="Times New Roman"/>
                <w:color w:val="000000"/>
                <w:szCs w:val="24"/>
                <w:lang w:eastAsia="cs-CZ"/>
              </w:rPr>
              <w:t>,</w:t>
            </w:r>
            <w:r w:rsidRPr="00135609">
              <w:rPr>
                <w:rFonts w:eastAsia="Times New Roman"/>
                <w:color w:val="000000"/>
                <w:szCs w:val="24"/>
                <w:lang w:eastAsia="cs-CZ"/>
              </w:rPr>
              <w:t>35</w:t>
            </w:r>
          </w:p>
        </w:tc>
        <w:tc>
          <w:tcPr>
            <w:tcW w:w="1266" w:type="dxa"/>
            <w:tcBorders>
              <w:top w:val="nil"/>
              <w:left w:val="nil"/>
              <w:bottom w:val="single" w:sz="4" w:space="0" w:color="auto"/>
              <w:right w:val="nil"/>
            </w:tcBorders>
            <w:shd w:val="clear" w:color="auto" w:fill="auto"/>
            <w:noWrap/>
            <w:vAlign w:val="bottom"/>
            <w:hideMark/>
          </w:tcPr>
          <w:p w14:paraId="7EFC47B0" w14:textId="134F25EB"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97</w:t>
            </w:r>
            <w:r>
              <w:rPr>
                <w:rFonts w:eastAsia="Times New Roman"/>
                <w:color w:val="000000"/>
                <w:szCs w:val="24"/>
                <w:lang w:eastAsia="cs-CZ"/>
              </w:rPr>
              <w:t>,</w:t>
            </w:r>
            <w:r w:rsidRPr="00135609">
              <w:rPr>
                <w:rFonts w:eastAsia="Times New Roman"/>
                <w:color w:val="000000"/>
                <w:szCs w:val="24"/>
                <w:lang w:eastAsia="cs-CZ"/>
              </w:rPr>
              <w:t>75</w:t>
            </w:r>
          </w:p>
        </w:tc>
        <w:tc>
          <w:tcPr>
            <w:tcW w:w="1600" w:type="dxa"/>
            <w:tcBorders>
              <w:top w:val="nil"/>
              <w:left w:val="nil"/>
              <w:bottom w:val="single" w:sz="4" w:space="0" w:color="auto"/>
              <w:right w:val="nil"/>
            </w:tcBorders>
            <w:shd w:val="clear" w:color="auto" w:fill="auto"/>
            <w:noWrap/>
            <w:vAlign w:val="bottom"/>
            <w:hideMark/>
          </w:tcPr>
          <w:p w14:paraId="2F572718" w14:textId="4EA618E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61</w:t>
            </w:r>
            <w:r>
              <w:rPr>
                <w:rFonts w:eastAsia="Times New Roman"/>
                <w:color w:val="000000"/>
                <w:szCs w:val="24"/>
                <w:lang w:eastAsia="cs-CZ"/>
              </w:rPr>
              <w:t>,</w:t>
            </w:r>
            <w:r w:rsidRPr="00135609">
              <w:rPr>
                <w:rFonts w:eastAsia="Times New Roman"/>
                <w:color w:val="000000"/>
                <w:szCs w:val="24"/>
                <w:lang w:eastAsia="cs-CZ"/>
              </w:rPr>
              <w:t>68</w:t>
            </w:r>
          </w:p>
        </w:tc>
      </w:tr>
      <w:tr w:rsidR="00135609" w:rsidRPr="00135609" w14:paraId="7863A337" w14:textId="77777777" w:rsidTr="00135609">
        <w:trPr>
          <w:trHeight w:val="330"/>
        </w:trPr>
        <w:tc>
          <w:tcPr>
            <w:tcW w:w="2480" w:type="dxa"/>
            <w:tcBorders>
              <w:top w:val="nil"/>
              <w:left w:val="nil"/>
              <w:bottom w:val="double" w:sz="6" w:space="0" w:color="auto"/>
              <w:right w:val="nil"/>
            </w:tcBorders>
            <w:shd w:val="clear" w:color="auto" w:fill="auto"/>
            <w:noWrap/>
            <w:vAlign w:val="bottom"/>
            <w:hideMark/>
          </w:tcPr>
          <w:p w14:paraId="7D2389E9"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Ostrava</w:t>
            </w:r>
          </w:p>
        </w:tc>
        <w:tc>
          <w:tcPr>
            <w:tcW w:w="1454" w:type="dxa"/>
            <w:tcBorders>
              <w:top w:val="nil"/>
              <w:left w:val="nil"/>
              <w:bottom w:val="double" w:sz="6" w:space="0" w:color="auto"/>
              <w:right w:val="nil"/>
            </w:tcBorders>
            <w:shd w:val="clear" w:color="auto" w:fill="auto"/>
            <w:noWrap/>
            <w:vAlign w:val="bottom"/>
            <w:hideMark/>
          </w:tcPr>
          <w:p w14:paraId="576EB23E" w14:textId="37C9A4CB"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194</w:t>
            </w:r>
            <w:r>
              <w:rPr>
                <w:rFonts w:eastAsia="Times New Roman"/>
                <w:color w:val="000000"/>
                <w:szCs w:val="24"/>
                <w:lang w:eastAsia="cs-CZ"/>
              </w:rPr>
              <w:t>,</w:t>
            </w:r>
            <w:r w:rsidRPr="00135609">
              <w:rPr>
                <w:rFonts w:eastAsia="Times New Roman"/>
                <w:color w:val="000000"/>
                <w:szCs w:val="24"/>
                <w:lang w:eastAsia="cs-CZ"/>
              </w:rPr>
              <w:t>35</w:t>
            </w:r>
          </w:p>
        </w:tc>
        <w:tc>
          <w:tcPr>
            <w:tcW w:w="1266" w:type="dxa"/>
            <w:tcBorders>
              <w:top w:val="nil"/>
              <w:left w:val="nil"/>
              <w:bottom w:val="double" w:sz="6" w:space="0" w:color="auto"/>
              <w:right w:val="nil"/>
            </w:tcBorders>
            <w:shd w:val="clear" w:color="auto" w:fill="auto"/>
            <w:noWrap/>
            <w:vAlign w:val="bottom"/>
            <w:hideMark/>
          </w:tcPr>
          <w:p w14:paraId="4CB8E571" w14:textId="6D48839E"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94</w:t>
            </w:r>
            <w:r>
              <w:rPr>
                <w:rFonts w:eastAsia="Times New Roman"/>
                <w:color w:val="000000"/>
                <w:szCs w:val="24"/>
                <w:lang w:eastAsia="cs-CZ"/>
              </w:rPr>
              <w:t>,</w:t>
            </w:r>
            <w:r w:rsidRPr="00135609">
              <w:rPr>
                <w:rFonts w:eastAsia="Times New Roman"/>
                <w:color w:val="000000"/>
                <w:szCs w:val="24"/>
                <w:lang w:eastAsia="cs-CZ"/>
              </w:rPr>
              <w:t>4</w:t>
            </w:r>
          </w:p>
        </w:tc>
        <w:tc>
          <w:tcPr>
            <w:tcW w:w="1600" w:type="dxa"/>
            <w:tcBorders>
              <w:top w:val="nil"/>
              <w:left w:val="nil"/>
              <w:bottom w:val="double" w:sz="6" w:space="0" w:color="auto"/>
              <w:right w:val="nil"/>
            </w:tcBorders>
            <w:shd w:val="clear" w:color="auto" w:fill="auto"/>
            <w:noWrap/>
            <w:vAlign w:val="bottom"/>
            <w:hideMark/>
          </w:tcPr>
          <w:p w14:paraId="6C46EF9F" w14:textId="7CF5B7D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67</w:t>
            </w:r>
            <w:r>
              <w:rPr>
                <w:rFonts w:eastAsia="Times New Roman"/>
                <w:color w:val="000000"/>
                <w:szCs w:val="24"/>
                <w:lang w:eastAsia="cs-CZ"/>
              </w:rPr>
              <w:t>,</w:t>
            </w:r>
            <w:r w:rsidRPr="00135609">
              <w:rPr>
                <w:rFonts w:eastAsia="Times New Roman"/>
                <w:color w:val="000000"/>
                <w:szCs w:val="24"/>
                <w:lang w:eastAsia="cs-CZ"/>
              </w:rPr>
              <w:t>31</w:t>
            </w:r>
          </w:p>
        </w:tc>
      </w:tr>
      <w:tr w:rsidR="00135609" w:rsidRPr="00135609" w14:paraId="191101ED" w14:textId="77777777" w:rsidTr="00135609">
        <w:trPr>
          <w:trHeight w:val="345"/>
        </w:trPr>
        <w:tc>
          <w:tcPr>
            <w:tcW w:w="2480" w:type="dxa"/>
            <w:tcBorders>
              <w:top w:val="nil"/>
              <w:left w:val="nil"/>
              <w:bottom w:val="double" w:sz="6" w:space="0" w:color="auto"/>
              <w:right w:val="nil"/>
            </w:tcBorders>
            <w:shd w:val="clear" w:color="auto" w:fill="auto"/>
            <w:noWrap/>
            <w:vAlign w:val="bottom"/>
            <w:hideMark/>
          </w:tcPr>
          <w:p w14:paraId="217969F2" w14:textId="77777777" w:rsidR="00135609" w:rsidRPr="00135609" w:rsidRDefault="00135609" w:rsidP="00135609">
            <w:pPr>
              <w:spacing w:line="240" w:lineRule="auto"/>
              <w:jc w:val="left"/>
              <w:rPr>
                <w:rFonts w:eastAsia="Times New Roman"/>
                <w:b/>
                <w:bCs/>
                <w:color w:val="000000"/>
                <w:szCs w:val="24"/>
                <w:lang w:eastAsia="cs-CZ"/>
              </w:rPr>
            </w:pPr>
            <w:r w:rsidRPr="00135609">
              <w:rPr>
                <w:rFonts w:eastAsia="Times New Roman"/>
                <w:b/>
                <w:bCs/>
                <w:color w:val="000000"/>
                <w:szCs w:val="24"/>
                <w:lang w:eastAsia="cs-CZ"/>
              </w:rPr>
              <w:t>Celkem ČR</w:t>
            </w:r>
          </w:p>
        </w:tc>
        <w:tc>
          <w:tcPr>
            <w:tcW w:w="1454" w:type="dxa"/>
            <w:tcBorders>
              <w:top w:val="nil"/>
              <w:left w:val="nil"/>
              <w:bottom w:val="double" w:sz="6" w:space="0" w:color="auto"/>
              <w:right w:val="nil"/>
            </w:tcBorders>
            <w:shd w:val="clear" w:color="auto" w:fill="auto"/>
            <w:noWrap/>
            <w:vAlign w:val="bottom"/>
            <w:hideMark/>
          </w:tcPr>
          <w:p w14:paraId="49E23138" w14:textId="68224A7C"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1</w:t>
            </w:r>
            <w:r w:rsidR="00DD56EB">
              <w:rPr>
                <w:rFonts w:eastAsia="Times New Roman"/>
                <w:b/>
                <w:bCs/>
                <w:color w:val="000000"/>
                <w:szCs w:val="24"/>
                <w:lang w:eastAsia="cs-CZ"/>
              </w:rPr>
              <w:t xml:space="preserve"> </w:t>
            </w:r>
            <w:r w:rsidRPr="00135609">
              <w:rPr>
                <w:rFonts w:eastAsia="Times New Roman"/>
                <w:b/>
                <w:bCs/>
                <w:color w:val="000000"/>
                <w:szCs w:val="24"/>
                <w:lang w:eastAsia="cs-CZ"/>
              </w:rPr>
              <w:t>061</w:t>
            </w:r>
            <w:r>
              <w:rPr>
                <w:rFonts w:eastAsia="Times New Roman"/>
                <w:b/>
                <w:bCs/>
                <w:color w:val="000000"/>
                <w:szCs w:val="24"/>
                <w:lang w:eastAsia="cs-CZ"/>
              </w:rPr>
              <w:t>,</w:t>
            </w:r>
            <w:r w:rsidRPr="00135609">
              <w:rPr>
                <w:rFonts w:eastAsia="Times New Roman"/>
                <w:b/>
                <w:bCs/>
                <w:color w:val="000000"/>
                <w:szCs w:val="24"/>
                <w:lang w:eastAsia="cs-CZ"/>
              </w:rPr>
              <w:t>56</w:t>
            </w:r>
          </w:p>
        </w:tc>
        <w:tc>
          <w:tcPr>
            <w:tcW w:w="1266" w:type="dxa"/>
            <w:tcBorders>
              <w:top w:val="nil"/>
              <w:left w:val="nil"/>
              <w:bottom w:val="double" w:sz="6" w:space="0" w:color="auto"/>
              <w:right w:val="nil"/>
            </w:tcBorders>
            <w:shd w:val="clear" w:color="auto" w:fill="auto"/>
            <w:noWrap/>
            <w:vAlign w:val="bottom"/>
            <w:hideMark/>
          </w:tcPr>
          <w:p w14:paraId="0587160D" w14:textId="53CDDD90"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554</w:t>
            </w:r>
            <w:r>
              <w:rPr>
                <w:rFonts w:eastAsia="Times New Roman"/>
                <w:b/>
                <w:bCs/>
                <w:color w:val="000000"/>
                <w:szCs w:val="24"/>
                <w:lang w:eastAsia="cs-CZ"/>
              </w:rPr>
              <w:t>,</w:t>
            </w:r>
            <w:r w:rsidRPr="00135609">
              <w:rPr>
                <w:rFonts w:eastAsia="Times New Roman"/>
                <w:b/>
                <w:bCs/>
                <w:color w:val="000000"/>
                <w:szCs w:val="24"/>
                <w:lang w:eastAsia="cs-CZ"/>
              </w:rPr>
              <w:t>19</w:t>
            </w:r>
          </w:p>
        </w:tc>
        <w:tc>
          <w:tcPr>
            <w:tcW w:w="1600" w:type="dxa"/>
            <w:tcBorders>
              <w:top w:val="nil"/>
              <w:left w:val="nil"/>
              <w:bottom w:val="double" w:sz="6" w:space="0" w:color="auto"/>
              <w:right w:val="nil"/>
            </w:tcBorders>
            <w:shd w:val="clear" w:color="auto" w:fill="auto"/>
            <w:noWrap/>
            <w:vAlign w:val="bottom"/>
            <w:hideMark/>
          </w:tcPr>
          <w:p w14:paraId="2A65A8FF" w14:textId="3D49F523"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65</w:t>
            </w:r>
            <w:r>
              <w:rPr>
                <w:rFonts w:eastAsia="Times New Roman"/>
                <w:b/>
                <w:bCs/>
                <w:color w:val="000000"/>
                <w:szCs w:val="24"/>
                <w:lang w:eastAsia="cs-CZ"/>
              </w:rPr>
              <w:t>,</w:t>
            </w:r>
            <w:r w:rsidRPr="00135609">
              <w:rPr>
                <w:rFonts w:eastAsia="Times New Roman"/>
                <w:b/>
                <w:bCs/>
                <w:color w:val="000000"/>
                <w:szCs w:val="24"/>
                <w:lang w:eastAsia="cs-CZ"/>
              </w:rPr>
              <w:t>70</w:t>
            </w:r>
          </w:p>
        </w:tc>
      </w:tr>
      <w:tr w:rsidR="00135609" w:rsidRPr="00135609" w14:paraId="1CD88B1D" w14:textId="77777777" w:rsidTr="00135609">
        <w:trPr>
          <w:trHeight w:val="330"/>
        </w:trPr>
        <w:tc>
          <w:tcPr>
            <w:tcW w:w="2480" w:type="dxa"/>
            <w:tcBorders>
              <w:top w:val="nil"/>
              <w:left w:val="nil"/>
              <w:bottom w:val="nil"/>
              <w:right w:val="nil"/>
            </w:tcBorders>
            <w:shd w:val="clear" w:color="auto" w:fill="auto"/>
            <w:noWrap/>
            <w:vAlign w:val="bottom"/>
            <w:hideMark/>
          </w:tcPr>
          <w:p w14:paraId="3C8398EB" w14:textId="77777777" w:rsidR="00135609" w:rsidRPr="00135609" w:rsidRDefault="00135609" w:rsidP="00135609">
            <w:pPr>
              <w:spacing w:line="240" w:lineRule="auto"/>
              <w:jc w:val="center"/>
              <w:rPr>
                <w:rFonts w:eastAsia="Times New Roman"/>
                <w:b/>
                <w:bCs/>
                <w:color w:val="000000"/>
                <w:szCs w:val="24"/>
                <w:lang w:eastAsia="cs-CZ"/>
              </w:rPr>
            </w:pPr>
          </w:p>
        </w:tc>
        <w:tc>
          <w:tcPr>
            <w:tcW w:w="1454" w:type="dxa"/>
            <w:tcBorders>
              <w:top w:val="nil"/>
              <w:left w:val="nil"/>
              <w:bottom w:val="nil"/>
              <w:right w:val="nil"/>
            </w:tcBorders>
            <w:shd w:val="clear" w:color="auto" w:fill="auto"/>
            <w:noWrap/>
            <w:vAlign w:val="bottom"/>
            <w:hideMark/>
          </w:tcPr>
          <w:p w14:paraId="1F8E5593" w14:textId="77777777" w:rsidR="00135609" w:rsidRPr="00135609" w:rsidRDefault="00135609" w:rsidP="00135609">
            <w:pPr>
              <w:spacing w:line="240" w:lineRule="auto"/>
              <w:jc w:val="left"/>
              <w:rPr>
                <w:rFonts w:ascii="Times New Roman" w:eastAsia="Times New Roman" w:hAnsi="Times New Roman"/>
                <w:sz w:val="20"/>
                <w:szCs w:val="20"/>
                <w:lang w:eastAsia="cs-CZ"/>
              </w:rPr>
            </w:pPr>
          </w:p>
        </w:tc>
        <w:tc>
          <w:tcPr>
            <w:tcW w:w="1266" w:type="dxa"/>
            <w:tcBorders>
              <w:top w:val="nil"/>
              <w:left w:val="nil"/>
              <w:bottom w:val="nil"/>
              <w:right w:val="nil"/>
            </w:tcBorders>
            <w:shd w:val="clear" w:color="auto" w:fill="auto"/>
            <w:noWrap/>
            <w:vAlign w:val="bottom"/>
            <w:hideMark/>
          </w:tcPr>
          <w:p w14:paraId="3275B8F4" w14:textId="77777777" w:rsidR="00135609" w:rsidRPr="00135609" w:rsidRDefault="00135609" w:rsidP="00135609">
            <w:pPr>
              <w:spacing w:line="240" w:lineRule="auto"/>
              <w:jc w:val="left"/>
              <w:rPr>
                <w:rFonts w:ascii="Times New Roman" w:eastAsia="Times New Roman" w:hAnsi="Times New Roman"/>
                <w:sz w:val="20"/>
                <w:szCs w:val="20"/>
                <w:lang w:eastAsia="cs-CZ"/>
              </w:rPr>
            </w:pPr>
          </w:p>
        </w:tc>
        <w:tc>
          <w:tcPr>
            <w:tcW w:w="1600" w:type="dxa"/>
            <w:tcBorders>
              <w:top w:val="nil"/>
              <w:left w:val="nil"/>
              <w:bottom w:val="nil"/>
              <w:right w:val="nil"/>
            </w:tcBorders>
            <w:shd w:val="clear" w:color="auto" w:fill="auto"/>
            <w:noWrap/>
            <w:vAlign w:val="bottom"/>
            <w:hideMark/>
          </w:tcPr>
          <w:p w14:paraId="6945263B" w14:textId="77777777" w:rsidR="00135609" w:rsidRPr="00135609" w:rsidRDefault="00135609" w:rsidP="00135609">
            <w:pPr>
              <w:spacing w:line="240" w:lineRule="auto"/>
              <w:jc w:val="left"/>
              <w:rPr>
                <w:rFonts w:ascii="Times New Roman" w:eastAsia="Times New Roman" w:hAnsi="Times New Roman"/>
                <w:sz w:val="20"/>
                <w:szCs w:val="20"/>
                <w:lang w:eastAsia="cs-CZ"/>
              </w:rPr>
            </w:pPr>
          </w:p>
        </w:tc>
      </w:tr>
    </w:tbl>
    <w:p w14:paraId="647DC65B" w14:textId="77777777" w:rsidR="00135609" w:rsidRDefault="00135609" w:rsidP="000C5487">
      <w:pPr>
        <w:pStyle w:val="OdstavecASR"/>
        <w:rPr>
          <w:color w:val="000000" w:themeColor="text1"/>
        </w:rPr>
      </w:pPr>
    </w:p>
    <w:p w14:paraId="0B5A761B" w14:textId="29094A8D" w:rsidR="000C5487" w:rsidRPr="00033A3F" w:rsidRDefault="000C5487" w:rsidP="000C5487">
      <w:pPr>
        <w:pStyle w:val="OdstavecASR"/>
        <w:rPr>
          <w:color w:val="000000" w:themeColor="text1"/>
        </w:rPr>
      </w:pPr>
      <w:r w:rsidRPr="00033A3F">
        <w:rPr>
          <w:color w:val="000000" w:themeColor="text1"/>
        </w:rPr>
        <w:t>V kontextu podílu žen mezi soudci dále můžeme sledovat jejich podíl mezi předsedy a místopředsedy soudů. Data</w:t>
      </w:r>
      <w:r w:rsidR="00A1767D" w:rsidRPr="00033A3F">
        <w:rPr>
          <w:color w:val="000000" w:themeColor="text1"/>
        </w:rPr>
        <w:t xml:space="preserve"> k 1.</w:t>
      </w:r>
      <w:r w:rsidR="005A4D74" w:rsidRPr="00033A3F">
        <w:rPr>
          <w:color w:val="000000" w:themeColor="text1"/>
        </w:rPr>
        <w:t xml:space="preserve"> </w:t>
      </w:r>
      <w:r w:rsidR="00A1767D" w:rsidRPr="00033A3F">
        <w:rPr>
          <w:color w:val="000000" w:themeColor="text1"/>
        </w:rPr>
        <w:t>1.</w:t>
      </w:r>
      <w:r w:rsidR="005A4D74" w:rsidRPr="00033A3F">
        <w:rPr>
          <w:color w:val="000000" w:themeColor="text1"/>
        </w:rPr>
        <w:t xml:space="preserve"> </w:t>
      </w:r>
      <w:r w:rsidR="00A1767D" w:rsidRPr="00033A3F">
        <w:rPr>
          <w:color w:val="000000" w:themeColor="text1"/>
        </w:rPr>
        <w:t>2024</w:t>
      </w:r>
      <w:r w:rsidRPr="00033A3F">
        <w:rPr>
          <w:color w:val="000000" w:themeColor="text1"/>
        </w:rPr>
        <w:t xml:space="preserve"> jsou v tabulce níže.</w:t>
      </w:r>
    </w:p>
    <w:p w14:paraId="09394BEF" w14:textId="77777777" w:rsidR="000C5487" w:rsidRPr="00033A3F" w:rsidRDefault="000C5487">
      <w:pPr>
        <w:spacing w:after="160" w:line="259" w:lineRule="auto"/>
        <w:jc w:val="left"/>
        <w:rPr>
          <w:color w:val="000000" w:themeColor="text1"/>
        </w:rPr>
      </w:pPr>
      <w:r w:rsidRPr="00033A3F">
        <w:rPr>
          <w:color w:val="000000" w:themeColor="text1"/>
        </w:rPr>
        <w:br w:type="page"/>
      </w:r>
    </w:p>
    <w:p w14:paraId="7622CDDD" w14:textId="01B19F53" w:rsidR="000C5487" w:rsidRPr="00033A3F" w:rsidRDefault="000C5487" w:rsidP="000C5487">
      <w:pPr>
        <w:pStyle w:val="Podnadpis"/>
        <w:numPr>
          <w:ilvl w:val="0"/>
          <w:numId w:val="0"/>
        </w:numPr>
        <w:rPr>
          <w:color w:val="000000" w:themeColor="text1"/>
        </w:rPr>
      </w:pPr>
      <w:bookmarkStart w:id="115" w:name="_Toc11133205"/>
      <w:bookmarkStart w:id="116" w:name="_Toc43931176"/>
      <w:bookmarkStart w:id="117" w:name="_Toc75952306"/>
      <w:bookmarkStart w:id="118" w:name="_Toc106106765"/>
      <w:bookmarkStart w:id="119" w:name="_Toc144104242"/>
      <w:bookmarkStart w:id="120" w:name="_Toc169251061"/>
      <w:bookmarkStart w:id="121" w:name="_Toc174080747"/>
      <w:bookmarkStart w:id="122" w:name="_Toc193530883"/>
      <w:bookmarkStart w:id="123" w:name="_Toc194045577"/>
      <w:bookmarkStart w:id="124" w:name="_Toc199494986"/>
      <w:bookmarkStart w:id="125" w:name="_Toc203033046"/>
      <w:bookmarkStart w:id="126" w:name="_Toc203033124"/>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4</w:t>
      </w:r>
      <w:r w:rsidRPr="00033A3F">
        <w:rPr>
          <w:noProof/>
          <w:color w:val="000000" w:themeColor="text1"/>
        </w:rPr>
        <w:fldChar w:fldCharType="end"/>
      </w:r>
      <w:r w:rsidRPr="00033A3F">
        <w:rPr>
          <w:color w:val="000000" w:themeColor="text1"/>
        </w:rPr>
        <w:t>: OS – předsedové a místopředsedové okresních soudů</w:t>
      </w:r>
      <w:bookmarkEnd w:id="115"/>
      <w:bookmarkEnd w:id="116"/>
      <w:bookmarkEnd w:id="117"/>
      <w:bookmarkEnd w:id="118"/>
      <w:bookmarkEnd w:id="119"/>
      <w:bookmarkEnd w:id="120"/>
      <w:bookmarkEnd w:id="121"/>
      <w:bookmarkEnd w:id="122"/>
      <w:bookmarkEnd w:id="123"/>
      <w:bookmarkEnd w:id="124"/>
      <w:bookmarkEnd w:id="125"/>
      <w:bookmarkEnd w:id="126"/>
    </w:p>
    <w:tbl>
      <w:tblPr>
        <w:tblW w:w="8460" w:type="dxa"/>
        <w:tblCellMar>
          <w:left w:w="70" w:type="dxa"/>
          <w:right w:w="70" w:type="dxa"/>
        </w:tblCellMar>
        <w:tblLook w:val="04A0" w:firstRow="1" w:lastRow="0" w:firstColumn="1" w:lastColumn="0" w:noHBand="0" w:noVBand="1"/>
      </w:tblPr>
      <w:tblGrid>
        <w:gridCol w:w="2220"/>
        <w:gridCol w:w="1040"/>
        <w:gridCol w:w="1040"/>
        <w:gridCol w:w="1040"/>
        <w:gridCol w:w="1040"/>
        <w:gridCol w:w="1040"/>
        <w:gridCol w:w="1040"/>
      </w:tblGrid>
      <w:tr w:rsidR="00033A3F" w:rsidRPr="00033A3F" w14:paraId="59AB19FC" w14:textId="77777777" w:rsidTr="000C5487">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417A6781"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2080" w:type="dxa"/>
            <w:gridSpan w:val="2"/>
            <w:tcBorders>
              <w:top w:val="double" w:sz="6" w:space="0" w:color="auto"/>
              <w:left w:val="nil"/>
              <w:bottom w:val="nil"/>
              <w:right w:val="nil"/>
            </w:tcBorders>
            <w:shd w:val="clear" w:color="auto" w:fill="auto"/>
            <w:noWrap/>
            <w:vAlign w:val="center"/>
            <w:hideMark/>
          </w:tcPr>
          <w:p w14:paraId="0FE19582"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5C31674E"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Podíl žen v %</w:t>
            </w:r>
          </w:p>
        </w:tc>
        <w:tc>
          <w:tcPr>
            <w:tcW w:w="2080" w:type="dxa"/>
            <w:gridSpan w:val="2"/>
            <w:tcBorders>
              <w:top w:val="double" w:sz="6" w:space="0" w:color="auto"/>
              <w:left w:val="nil"/>
              <w:bottom w:val="nil"/>
              <w:right w:val="nil"/>
            </w:tcBorders>
            <w:shd w:val="clear" w:color="auto" w:fill="auto"/>
            <w:noWrap/>
            <w:vAlign w:val="center"/>
            <w:hideMark/>
          </w:tcPr>
          <w:p w14:paraId="6E54F553"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Místopředsedové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4C5450C3"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Podíl žen v %</w:t>
            </w:r>
          </w:p>
        </w:tc>
      </w:tr>
      <w:tr w:rsidR="00033A3F" w:rsidRPr="00033A3F" w14:paraId="4E5451B1" w14:textId="77777777" w:rsidTr="007A5200">
        <w:trPr>
          <w:trHeight w:val="330"/>
        </w:trPr>
        <w:tc>
          <w:tcPr>
            <w:tcW w:w="2220" w:type="dxa"/>
            <w:vMerge/>
            <w:tcBorders>
              <w:top w:val="double" w:sz="6" w:space="0" w:color="auto"/>
              <w:left w:val="nil"/>
              <w:bottom w:val="double" w:sz="6" w:space="0" w:color="000000"/>
              <w:right w:val="nil"/>
            </w:tcBorders>
            <w:vAlign w:val="center"/>
            <w:hideMark/>
          </w:tcPr>
          <w:p w14:paraId="1410CDE3" w14:textId="77777777" w:rsidR="000C5487" w:rsidRPr="00033A3F" w:rsidRDefault="000C5487" w:rsidP="000C5487">
            <w:pPr>
              <w:spacing w:line="240" w:lineRule="auto"/>
              <w:jc w:val="left"/>
              <w:rPr>
                <w:rFonts w:eastAsia="Times New Roman"/>
                <w:b/>
                <w:bCs/>
                <w:color w:val="000000" w:themeColor="text1"/>
                <w:szCs w:val="24"/>
                <w:lang w:eastAsia="cs-CZ"/>
              </w:rPr>
            </w:pPr>
          </w:p>
        </w:tc>
        <w:tc>
          <w:tcPr>
            <w:tcW w:w="1040" w:type="dxa"/>
            <w:tcBorders>
              <w:top w:val="nil"/>
              <w:left w:val="nil"/>
              <w:bottom w:val="double" w:sz="6" w:space="0" w:color="auto"/>
              <w:right w:val="nil"/>
            </w:tcBorders>
            <w:shd w:val="clear" w:color="auto" w:fill="auto"/>
            <w:noWrap/>
            <w:vAlign w:val="center"/>
            <w:hideMark/>
          </w:tcPr>
          <w:p w14:paraId="63B7422C"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Žen</w:t>
            </w:r>
          </w:p>
        </w:tc>
        <w:tc>
          <w:tcPr>
            <w:tcW w:w="1040" w:type="dxa"/>
            <w:tcBorders>
              <w:top w:val="nil"/>
              <w:left w:val="nil"/>
              <w:bottom w:val="double" w:sz="6" w:space="0" w:color="auto"/>
              <w:right w:val="nil"/>
            </w:tcBorders>
            <w:shd w:val="clear" w:color="auto" w:fill="auto"/>
            <w:noWrap/>
            <w:vAlign w:val="center"/>
            <w:hideMark/>
          </w:tcPr>
          <w:p w14:paraId="0872817B"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2BDE09F3" w14:textId="77777777" w:rsidR="000C5487" w:rsidRPr="00033A3F" w:rsidRDefault="000C5487" w:rsidP="000C5487">
            <w:pPr>
              <w:spacing w:line="240" w:lineRule="auto"/>
              <w:jc w:val="left"/>
              <w:rPr>
                <w:rFonts w:eastAsia="Times New Roman"/>
                <w:b/>
                <w:bCs/>
                <w:color w:val="000000" w:themeColor="text1"/>
                <w:szCs w:val="24"/>
                <w:lang w:eastAsia="cs-CZ"/>
              </w:rPr>
            </w:pPr>
          </w:p>
        </w:tc>
        <w:tc>
          <w:tcPr>
            <w:tcW w:w="1040" w:type="dxa"/>
            <w:tcBorders>
              <w:top w:val="nil"/>
              <w:left w:val="nil"/>
              <w:bottom w:val="double" w:sz="6" w:space="0" w:color="auto"/>
              <w:right w:val="nil"/>
            </w:tcBorders>
            <w:shd w:val="clear" w:color="auto" w:fill="auto"/>
            <w:noWrap/>
            <w:vAlign w:val="center"/>
            <w:hideMark/>
          </w:tcPr>
          <w:p w14:paraId="003086F3"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Žen</w:t>
            </w:r>
          </w:p>
        </w:tc>
        <w:tc>
          <w:tcPr>
            <w:tcW w:w="1040" w:type="dxa"/>
            <w:tcBorders>
              <w:top w:val="nil"/>
              <w:left w:val="nil"/>
              <w:bottom w:val="double" w:sz="6" w:space="0" w:color="auto"/>
              <w:right w:val="nil"/>
            </w:tcBorders>
            <w:shd w:val="clear" w:color="auto" w:fill="auto"/>
            <w:noWrap/>
            <w:vAlign w:val="center"/>
            <w:hideMark/>
          </w:tcPr>
          <w:p w14:paraId="60B5B952"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36935C9A" w14:textId="77777777" w:rsidR="000C5487" w:rsidRPr="00033A3F" w:rsidRDefault="000C5487" w:rsidP="000C5487">
            <w:pPr>
              <w:spacing w:line="240" w:lineRule="auto"/>
              <w:jc w:val="left"/>
              <w:rPr>
                <w:rFonts w:eastAsia="Times New Roman"/>
                <w:b/>
                <w:bCs/>
                <w:color w:val="000000" w:themeColor="text1"/>
                <w:szCs w:val="24"/>
                <w:lang w:eastAsia="cs-CZ"/>
              </w:rPr>
            </w:pPr>
          </w:p>
        </w:tc>
      </w:tr>
      <w:tr w:rsidR="00033A3F" w:rsidRPr="00033A3F" w14:paraId="1C24D0B2" w14:textId="77777777" w:rsidTr="00BF0CC3">
        <w:trPr>
          <w:trHeight w:val="330"/>
        </w:trPr>
        <w:tc>
          <w:tcPr>
            <w:tcW w:w="2220" w:type="dxa"/>
            <w:tcBorders>
              <w:top w:val="single" w:sz="4" w:space="0" w:color="auto"/>
              <w:left w:val="nil"/>
              <w:bottom w:val="single" w:sz="4" w:space="0" w:color="auto"/>
              <w:right w:val="nil"/>
            </w:tcBorders>
            <w:shd w:val="clear" w:color="auto" w:fill="auto"/>
            <w:noWrap/>
            <w:vAlign w:val="bottom"/>
            <w:hideMark/>
          </w:tcPr>
          <w:p w14:paraId="13CED3A9"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40" w:type="dxa"/>
            <w:tcBorders>
              <w:top w:val="single" w:sz="4" w:space="0" w:color="auto"/>
              <w:left w:val="nil"/>
              <w:bottom w:val="single" w:sz="4" w:space="0" w:color="auto"/>
              <w:right w:val="nil"/>
            </w:tcBorders>
            <w:shd w:val="clear" w:color="auto" w:fill="auto"/>
            <w:noWrap/>
            <w:vAlign w:val="bottom"/>
            <w:hideMark/>
          </w:tcPr>
          <w:p w14:paraId="009AC481"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single" w:sz="4" w:space="0" w:color="auto"/>
              <w:left w:val="nil"/>
              <w:bottom w:val="single" w:sz="4" w:space="0" w:color="auto"/>
              <w:right w:val="nil"/>
            </w:tcBorders>
            <w:shd w:val="clear" w:color="auto" w:fill="auto"/>
            <w:noWrap/>
            <w:vAlign w:val="bottom"/>
            <w:hideMark/>
          </w:tcPr>
          <w:p w14:paraId="4C712EA0"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single" w:sz="4" w:space="0" w:color="auto"/>
              <w:left w:val="nil"/>
              <w:bottom w:val="single" w:sz="4" w:space="0" w:color="auto"/>
              <w:right w:val="nil"/>
            </w:tcBorders>
            <w:shd w:val="clear" w:color="auto" w:fill="auto"/>
            <w:noWrap/>
            <w:vAlign w:val="bottom"/>
            <w:hideMark/>
          </w:tcPr>
          <w:p w14:paraId="2D169EF2" w14:textId="6450D4E3"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55,56</w:t>
            </w:r>
          </w:p>
        </w:tc>
        <w:tc>
          <w:tcPr>
            <w:tcW w:w="1040" w:type="dxa"/>
            <w:tcBorders>
              <w:top w:val="single" w:sz="4" w:space="0" w:color="auto"/>
              <w:left w:val="nil"/>
              <w:bottom w:val="single" w:sz="4" w:space="0" w:color="auto"/>
              <w:right w:val="nil"/>
            </w:tcBorders>
            <w:shd w:val="clear" w:color="auto" w:fill="auto"/>
            <w:noWrap/>
            <w:vAlign w:val="bottom"/>
            <w:hideMark/>
          </w:tcPr>
          <w:p w14:paraId="57DC81A7"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w:t>
            </w:r>
          </w:p>
        </w:tc>
        <w:tc>
          <w:tcPr>
            <w:tcW w:w="1040" w:type="dxa"/>
            <w:tcBorders>
              <w:top w:val="single" w:sz="4" w:space="0" w:color="auto"/>
              <w:left w:val="nil"/>
              <w:bottom w:val="single" w:sz="4" w:space="0" w:color="auto"/>
              <w:right w:val="nil"/>
            </w:tcBorders>
            <w:shd w:val="clear" w:color="auto" w:fill="auto"/>
            <w:noWrap/>
            <w:vAlign w:val="bottom"/>
            <w:hideMark/>
          </w:tcPr>
          <w:p w14:paraId="4166D868"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single" w:sz="4" w:space="0" w:color="auto"/>
              <w:left w:val="nil"/>
              <w:bottom w:val="single" w:sz="4" w:space="0" w:color="auto"/>
              <w:right w:val="nil"/>
            </w:tcBorders>
            <w:shd w:val="clear" w:color="auto" w:fill="auto"/>
            <w:noWrap/>
            <w:vAlign w:val="bottom"/>
            <w:hideMark/>
          </w:tcPr>
          <w:p w14:paraId="2188E779" w14:textId="0FA572A0"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80,77</w:t>
            </w:r>
          </w:p>
        </w:tc>
      </w:tr>
      <w:tr w:rsidR="00033A3F" w:rsidRPr="00033A3F" w14:paraId="21DB3C5D"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4B66F7EF"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40" w:type="dxa"/>
            <w:tcBorders>
              <w:top w:val="nil"/>
              <w:left w:val="nil"/>
              <w:bottom w:val="single" w:sz="4" w:space="0" w:color="auto"/>
              <w:right w:val="nil"/>
            </w:tcBorders>
            <w:shd w:val="clear" w:color="auto" w:fill="auto"/>
            <w:noWrap/>
            <w:vAlign w:val="bottom"/>
            <w:hideMark/>
          </w:tcPr>
          <w:p w14:paraId="4842594D"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3468B1C5"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2F78A164" w14:textId="68BBD802"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66,67</w:t>
            </w:r>
          </w:p>
        </w:tc>
        <w:tc>
          <w:tcPr>
            <w:tcW w:w="1040" w:type="dxa"/>
            <w:tcBorders>
              <w:top w:val="nil"/>
              <w:left w:val="nil"/>
              <w:bottom w:val="single" w:sz="4" w:space="0" w:color="auto"/>
              <w:right w:val="nil"/>
            </w:tcBorders>
            <w:shd w:val="clear" w:color="auto" w:fill="auto"/>
            <w:noWrap/>
            <w:vAlign w:val="bottom"/>
            <w:hideMark/>
          </w:tcPr>
          <w:p w14:paraId="41D45677"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040" w:type="dxa"/>
            <w:tcBorders>
              <w:top w:val="nil"/>
              <w:left w:val="nil"/>
              <w:bottom w:val="single" w:sz="4" w:space="0" w:color="auto"/>
              <w:right w:val="nil"/>
            </w:tcBorders>
            <w:shd w:val="clear" w:color="auto" w:fill="auto"/>
            <w:noWrap/>
            <w:vAlign w:val="bottom"/>
            <w:hideMark/>
          </w:tcPr>
          <w:p w14:paraId="0A05E49B"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1F1FCBD4" w14:textId="75FD6146"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60,00</w:t>
            </w:r>
          </w:p>
        </w:tc>
      </w:tr>
      <w:tr w:rsidR="00033A3F" w:rsidRPr="00033A3F" w14:paraId="7CEBD956"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72A78609" w14:textId="51BDF3F5"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w:t>
            </w:r>
            <w:r w:rsidR="00B26E9F"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Budějovice</w:t>
            </w:r>
          </w:p>
        </w:tc>
        <w:tc>
          <w:tcPr>
            <w:tcW w:w="1040" w:type="dxa"/>
            <w:tcBorders>
              <w:top w:val="nil"/>
              <w:left w:val="nil"/>
              <w:bottom w:val="single" w:sz="4" w:space="0" w:color="auto"/>
              <w:right w:val="nil"/>
            </w:tcBorders>
            <w:shd w:val="clear" w:color="auto" w:fill="auto"/>
            <w:noWrap/>
            <w:vAlign w:val="bottom"/>
            <w:hideMark/>
          </w:tcPr>
          <w:p w14:paraId="1FCE07B3"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3E0A1E64"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1040" w:type="dxa"/>
            <w:tcBorders>
              <w:top w:val="nil"/>
              <w:left w:val="nil"/>
              <w:bottom w:val="single" w:sz="4" w:space="0" w:color="auto"/>
              <w:right w:val="nil"/>
            </w:tcBorders>
            <w:shd w:val="clear" w:color="auto" w:fill="auto"/>
            <w:noWrap/>
            <w:vAlign w:val="bottom"/>
            <w:hideMark/>
          </w:tcPr>
          <w:p w14:paraId="253CBD4B" w14:textId="6D4226C9"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85,71</w:t>
            </w:r>
          </w:p>
        </w:tc>
        <w:tc>
          <w:tcPr>
            <w:tcW w:w="1040" w:type="dxa"/>
            <w:tcBorders>
              <w:top w:val="nil"/>
              <w:left w:val="nil"/>
              <w:bottom w:val="single" w:sz="4" w:space="0" w:color="auto"/>
              <w:right w:val="nil"/>
            </w:tcBorders>
            <w:shd w:val="clear" w:color="auto" w:fill="auto"/>
            <w:noWrap/>
            <w:vAlign w:val="bottom"/>
            <w:hideMark/>
          </w:tcPr>
          <w:p w14:paraId="2636AD5B"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1AA53E00"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5048337B" w14:textId="54F667E4"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50,00</w:t>
            </w:r>
          </w:p>
        </w:tc>
      </w:tr>
      <w:tr w:rsidR="00033A3F" w:rsidRPr="00033A3F" w14:paraId="100BF247"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7EFDA868"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40" w:type="dxa"/>
            <w:tcBorders>
              <w:top w:val="nil"/>
              <w:left w:val="nil"/>
              <w:bottom w:val="single" w:sz="4" w:space="0" w:color="auto"/>
              <w:right w:val="nil"/>
            </w:tcBorders>
            <w:shd w:val="clear" w:color="auto" w:fill="auto"/>
            <w:noWrap/>
            <w:vAlign w:val="bottom"/>
            <w:hideMark/>
          </w:tcPr>
          <w:p w14:paraId="64329AD6"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046AE3BB"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13AF2433" w14:textId="6EB3A086"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40,00</w:t>
            </w:r>
          </w:p>
        </w:tc>
        <w:tc>
          <w:tcPr>
            <w:tcW w:w="1040" w:type="dxa"/>
            <w:tcBorders>
              <w:top w:val="nil"/>
              <w:left w:val="nil"/>
              <w:bottom w:val="single" w:sz="4" w:space="0" w:color="auto"/>
              <w:right w:val="nil"/>
            </w:tcBorders>
            <w:shd w:val="clear" w:color="auto" w:fill="auto"/>
            <w:noWrap/>
            <w:vAlign w:val="bottom"/>
            <w:hideMark/>
          </w:tcPr>
          <w:p w14:paraId="410C72E6"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15A0A824"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4F5F2499" w14:textId="442058C8"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50,00</w:t>
            </w:r>
          </w:p>
        </w:tc>
      </w:tr>
      <w:tr w:rsidR="00033A3F" w:rsidRPr="00033A3F" w14:paraId="69DCABAF"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355A4876" w14:textId="3372E9D5"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w:t>
            </w:r>
            <w:r w:rsidR="00B26E9F"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Labem</w:t>
            </w:r>
          </w:p>
        </w:tc>
        <w:tc>
          <w:tcPr>
            <w:tcW w:w="1040" w:type="dxa"/>
            <w:tcBorders>
              <w:top w:val="nil"/>
              <w:left w:val="nil"/>
              <w:bottom w:val="single" w:sz="4" w:space="0" w:color="auto"/>
              <w:right w:val="nil"/>
            </w:tcBorders>
            <w:shd w:val="clear" w:color="auto" w:fill="auto"/>
            <w:noWrap/>
            <w:vAlign w:val="bottom"/>
            <w:hideMark/>
          </w:tcPr>
          <w:p w14:paraId="639AB952"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41C4728E"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286B7D6A" w14:textId="322E64D6"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44,44</w:t>
            </w:r>
          </w:p>
        </w:tc>
        <w:tc>
          <w:tcPr>
            <w:tcW w:w="1040" w:type="dxa"/>
            <w:tcBorders>
              <w:top w:val="nil"/>
              <w:left w:val="nil"/>
              <w:bottom w:val="single" w:sz="4" w:space="0" w:color="auto"/>
              <w:right w:val="nil"/>
            </w:tcBorders>
            <w:shd w:val="clear" w:color="auto" w:fill="auto"/>
            <w:noWrap/>
            <w:vAlign w:val="bottom"/>
            <w:hideMark/>
          </w:tcPr>
          <w:p w14:paraId="3EB71E74"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1040" w:type="dxa"/>
            <w:tcBorders>
              <w:top w:val="nil"/>
              <w:left w:val="nil"/>
              <w:bottom w:val="single" w:sz="4" w:space="0" w:color="auto"/>
              <w:right w:val="nil"/>
            </w:tcBorders>
            <w:shd w:val="clear" w:color="auto" w:fill="auto"/>
            <w:noWrap/>
            <w:vAlign w:val="bottom"/>
            <w:hideMark/>
          </w:tcPr>
          <w:p w14:paraId="121824E8"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434C86D0" w14:textId="682C8213"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78,57</w:t>
            </w:r>
          </w:p>
        </w:tc>
      </w:tr>
      <w:tr w:rsidR="00033A3F" w:rsidRPr="00033A3F" w14:paraId="31EB74EB"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51B33569" w14:textId="3008CCB6"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w:t>
            </w:r>
            <w:r w:rsidR="00B26E9F"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Králové</w:t>
            </w:r>
          </w:p>
        </w:tc>
        <w:tc>
          <w:tcPr>
            <w:tcW w:w="1040" w:type="dxa"/>
            <w:tcBorders>
              <w:top w:val="nil"/>
              <w:left w:val="nil"/>
              <w:bottom w:val="single" w:sz="4" w:space="0" w:color="auto"/>
              <w:right w:val="nil"/>
            </w:tcBorders>
            <w:shd w:val="clear" w:color="auto" w:fill="auto"/>
            <w:noWrap/>
            <w:vAlign w:val="bottom"/>
            <w:hideMark/>
          </w:tcPr>
          <w:p w14:paraId="6314D901"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31D5EFBA"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775A8FC7" w14:textId="37C6D528"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45,45</w:t>
            </w:r>
          </w:p>
        </w:tc>
        <w:tc>
          <w:tcPr>
            <w:tcW w:w="1040" w:type="dxa"/>
            <w:tcBorders>
              <w:top w:val="nil"/>
              <w:left w:val="nil"/>
              <w:bottom w:val="single" w:sz="4" w:space="0" w:color="auto"/>
              <w:right w:val="nil"/>
            </w:tcBorders>
            <w:shd w:val="clear" w:color="auto" w:fill="auto"/>
            <w:noWrap/>
            <w:vAlign w:val="bottom"/>
            <w:hideMark/>
          </w:tcPr>
          <w:p w14:paraId="684AC3FF"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174DED79"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239BFAA6" w14:textId="3DD7C964"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61,54</w:t>
            </w:r>
          </w:p>
        </w:tc>
      </w:tr>
      <w:tr w:rsidR="00033A3F" w:rsidRPr="00033A3F" w14:paraId="44CBDA5E"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30F12135"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40" w:type="dxa"/>
            <w:tcBorders>
              <w:top w:val="nil"/>
              <w:left w:val="nil"/>
              <w:bottom w:val="single" w:sz="4" w:space="0" w:color="auto"/>
              <w:right w:val="nil"/>
            </w:tcBorders>
            <w:shd w:val="clear" w:color="auto" w:fill="auto"/>
            <w:noWrap/>
            <w:vAlign w:val="bottom"/>
            <w:hideMark/>
          </w:tcPr>
          <w:p w14:paraId="2D93ACD2"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1559C178"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2F5FCF84" w14:textId="6B9A88B8"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42,86</w:t>
            </w:r>
          </w:p>
        </w:tc>
        <w:tc>
          <w:tcPr>
            <w:tcW w:w="1040" w:type="dxa"/>
            <w:tcBorders>
              <w:top w:val="nil"/>
              <w:left w:val="nil"/>
              <w:bottom w:val="single" w:sz="4" w:space="0" w:color="auto"/>
              <w:right w:val="nil"/>
            </w:tcBorders>
            <w:shd w:val="clear" w:color="auto" w:fill="auto"/>
            <w:noWrap/>
            <w:vAlign w:val="bottom"/>
            <w:hideMark/>
          </w:tcPr>
          <w:p w14:paraId="09A8DA44"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2DCA17FB"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1040" w:type="dxa"/>
            <w:tcBorders>
              <w:top w:val="nil"/>
              <w:left w:val="nil"/>
              <w:bottom w:val="single" w:sz="4" w:space="0" w:color="auto"/>
              <w:right w:val="nil"/>
            </w:tcBorders>
            <w:shd w:val="clear" w:color="auto" w:fill="auto"/>
            <w:noWrap/>
            <w:vAlign w:val="bottom"/>
            <w:hideMark/>
          </w:tcPr>
          <w:p w14:paraId="3D06B148" w14:textId="09944A86"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42,11</w:t>
            </w:r>
          </w:p>
        </w:tc>
      </w:tr>
      <w:tr w:rsidR="00033A3F" w:rsidRPr="00033A3F" w14:paraId="31B745B9" w14:textId="77777777" w:rsidTr="007A5200">
        <w:trPr>
          <w:trHeight w:val="330"/>
        </w:trPr>
        <w:tc>
          <w:tcPr>
            <w:tcW w:w="2220" w:type="dxa"/>
            <w:tcBorders>
              <w:top w:val="nil"/>
              <w:left w:val="nil"/>
              <w:bottom w:val="double" w:sz="6" w:space="0" w:color="auto"/>
              <w:right w:val="nil"/>
            </w:tcBorders>
            <w:shd w:val="clear" w:color="auto" w:fill="auto"/>
            <w:noWrap/>
            <w:vAlign w:val="bottom"/>
            <w:hideMark/>
          </w:tcPr>
          <w:p w14:paraId="5B851F5D"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40" w:type="dxa"/>
            <w:tcBorders>
              <w:top w:val="nil"/>
              <w:left w:val="nil"/>
              <w:bottom w:val="nil"/>
              <w:right w:val="nil"/>
            </w:tcBorders>
            <w:shd w:val="clear" w:color="auto" w:fill="auto"/>
            <w:noWrap/>
            <w:vAlign w:val="bottom"/>
            <w:hideMark/>
          </w:tcPr>
          <w:p w14:paraId="1D111D1C"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nil"/>
              <w:left w:val="nil"/>
              <w:bottom w:val="nil"/>
              <w:right w:val="nil"/>
            </w:tcBorders>
            <w:shd w:val="clear" w:color="auto" w:fill="auto"/>
            <w:noWrap/>
            <w:vAlign w:val="bottom"/>
            <w:hideMark/>
          </w:tcPr>
          <w:p w14:paraId="34968B59"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040" w:type="dxa"/>
            <w:tcBorders>
              <w:top w:val="nil"/>
              <w:left w:val="nil"/>
              <w:bottom w:val="nil"/>
              <w:right w:val="nil"/>
            </w:tcBorders>
            <w:shd w:val="clear" w:color="auto" w:fill="auto"/>
            <w:noWrap/>
            <w:vAlign w:val="bottom"/>
            <w:hideMark/>
          </w:tcPr>
          <w:p w14:paraId="0E6C9673" w14:textId="09DB30C9"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36,36</w:t>
            </w:r>
          </w:p>
        </w:tc>
        <w:tc>
          <w:tcPr>
            <w:tcW w:w="1040" w:type="dxa"/>
            <w:tcBorders>
              <w:top w:val="nil"/>
              <w:left w:val="nil"/>
              <w:bottom w:val="nil"/>
              <w:right w:val="nil"/>
            </w:tcBorders>
            <w:shd w:val="clear" w:color="auto" w:fill="auto"/>
            <w:noWrap/>
            <w:vAlign w:val="bottom"/>
            <w:hideMark/>
          </w:tcPr>
          <w:p w14:paraId="76D46755"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p>
        </w:tc>
        <w:tc>
          <w:tcPr>
            <w:tcW w:w="1040" w:type="dxa"/>
            <w:tcBorders>
              <w:top w:val="nil"/>
              <w:left w:val="nil"/>
              <w:bottom w:val="nil"/>
              <w:right w:val="nil"/>
            </w:tcBorders>
            <w:shd w:val="clear" w:color="auto" w:fill="auto"/>
            <w:noWrap/>
            <w:vAlign w:val="bottom"/>
            <w:hideMark/>
          </w:tcPr>
          <w:p w14:paraId="4D8D1280"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p>
        </w:tc>
        <w:tc>
          <w:tcPr>
            <w:tcW w:w="1040" w:type="dxa"/>
            <w:tcBorders>
              <w:top w:val="nil"/>
              <w:left w:val="nil"/>
              <w:bottom w:val="nil"/>
              <w:right w:val="nil"/>
            </w:tcBorders>
            <w:shd w:val="clear" w:color="auto" w:fill="auto"/>
            <w:noWrap/>
            <w:vAlign w:val="bottom"/>
            <w:hideMark/>
          </w:tcPr>
          <w:p w14:paraId="380BA49F" w14:textId="3346409D"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54,55</w:t>
            </w:r>
          </w:p>
        </w:tc>
      </w:tr>
      <w:tr w:rsidR="00033A3F" w:rsidRPr="00033A3F" w14:paraId="08BCF591" w14:textId="77777777" w:rsidTr="007A5200">
        <w:trPr>
          <w:trHeight w:val="345"/>
        </w:trPr>
        <w:tc>
          <w:tcPr>
            <w:tcW w:w="2220" w:type="dxa"/>
            <w:tcBorders>
              <w:top w:val="nil"/>
              <w:left w:val="nil"/>
              <w:bottom w:val="double" w:sz="6" w:space="0" w:color="auto"/>
              <w:right w:val="nil"/>
            </w:tcBorders>
            <w:shd w:val="clear" w:color="auto" w:fill="auto"/>
            <w:noWrap/>
            <w:vAlign w:val="bottom"/>
            <w:hideMark/>
          </w:tcPr>
          <w:p w14:paraId="5EFA9B81" w14:textId="3924247E" w:rsidR="000C5487" w:rsidRPr="00033A3F" w:rsidRDefault="000C5487" w:rsidP="000C5487">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r w:rsidR="00525B71" w:rsidRPr="00033A3F">
              <w:rPr>
                <w:rFonts w:eastAsia="Times New Roman"/>
                <w:b/>
                <w:bCs/>
                <w:color w:val="000000" w:themeColor="text1"/>
                <w:szCs w:val="24"/>
                <w:lang w:eastAsia="cs-CZ"/>
              </w:rPr>
              <w:t xml:space="preserve"> 2024</w:t>
            </w:r>
          </w:p>
        </w:tc>
        <w:tc>
          <w:tcPr>
            <w:tcW w:w="1040" w:type="dxa"/>
            <w:tcBorders>
              <w:top w:val="double" w:sz="6" w:space="0" w:color="auto"/>
              <w:left w:val="nil"/>
              <w:bottom w:val="double" w:sz="6" w:space="0" w:color="auto"/>
              <w:right w:val="nil"/>
            </w:tcBorders>
            <w:shd w:val="clear" w:color="auto" w:fill="auto"/>
            <w:noWrap/>
            <w:vAlign w:val="bottom"/>
            <w:hideMark/>
          </w:tcPr>
          <w:p w14:paraId="4F2C80C6"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42</w:t>
            </w:r>
          </w:p>
        </w:tc>
        <w:tc>
          <w:tcPr>
            <w:tcW w:w="1040" w:type="dxa"/>
            <w:tcBorders>
              <w:top w:val="double" w:sz="6" w:space="0" w:color="auto"/>
              <w:left w:val="nil"/>
              <w:bottom w:val="double" w:sz="6" w:space="0" w:color="auto"/>
              <w:right w:val="nil"/>
            </w:tcBorders>
            <w:shd w:val="clear" w:color="auto" w:fill="auto"/>
            <w:noWrap/>
            <w:vAlign w:val="bottom"/>
            <w:hideMark/>
          </w:tcPr>
          <w:p w14:paraId="79550EC2"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41</w:t>
            </w:r>
          </w:p>
        </w:tc>
        <w:tc>
          <w:tcPr>
            <w:tcW w:w="1040" w:type="dxa"/>
            <w:tcBorders>
              <w:top w:val="double" w:sz="6" w:space="0" w:color="auto"/>
              <w:left w:val="nil"/>
              <w:bottom w:val="double" w:sz="6" w:space="0" w:color="auto"/>
              <w:right w:val="nil"/>
            </w:tcBorders>
            <w:shd w:val="clear" w:color="auto" w:fill="auto"/>
            <w:noWrap/>
            <w:vAlign w:val="bottom"/>
            <w:hideMark/>
          </w:tcPr>
          <w:p w14:paraId="4F2418B8" w14:textId="3AE2BC02"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50,60</w:t>
            </w:r>
          </w:p>
        </w:tc>
        <w:tc>
          <w:tcPr>
            <w:tcW w:w="1040" w:type="dxa"/>
            <w:tcBorders>
              <w:top w:val="double" w:sz="6" w:space="0" w:color="auto"/>
              <w:left w:val="nil"/>
              <w:bottom w:val="double" w:sz="6" w:space="0" w:color="auto"/>
              <w:right w:val="nil"/>
            </w:tcBorders>
            <w:shd w:val="clear" w:color="auto" w:fill="auto"/>
            <w:noWrap/>
            <w:vAlign w:val="bottom"/>
            <w:hideMark/>
          </w:tcPr>
          <w:p w14:paraId="36D52894"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78</w:t>
            </w:r>
          </w:p>
        </w:tc>
        <w:tc>
          <w:tcPr>
            <w:tcW w:w="1040" w:type="dxa"/>
            <w:tcBorders>
              <w:top w:val="double" w:sz="6" w:space="0" w:color="auto"/>
              <w:left w:val="nil"/>
              <w:bottom w:val="double" w:sz="6" w:space="0" w:color="auto"/>
              <w:right w:val="nil"/>
            </w:tcBorders>
            <w:shd w:val="clear" w:color="auto" w:fill="auto"/>
            <w:noWrap/>
            <w:vAlign w:val="bottom"/>
            <w:hideMark/>
          </w:tcPr>
          <w:p w14:paraId="2A829886"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49</w:t>
            </w:r>
          </w:p>
        </w:tc>
        <w:tc>
          <w:tcPr>
            <w:tcW w:w="1040" w:type="dxa"/>
            <w:tcBorders>
              <w:top w:val="double" w:sz="6" w:space="0" w:color="auto"/>
              <w:left w:val="nil"/>
              <w:bottom w:val="double" w:sz="6" w:space="0" w:color="auto"/>
              <w:right w:val="nil"/>
            </w:tcBorders>
            <w:shd w:val="clear" w:color="auto" w:fill="auto"/>
            <w:noWrap/>
            <w:vAlign w:val="bottom"/>
            <w:hideMark/>
          </w:tcPr>
          <w:p w14:paraId="6F220F97" w14:textId="45C3E8D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61,42</w:t>
            </w:r>
          </w:p>
        </w:tc>
      </w:tr>
      <w:tr w:rsidR="00033A3F" w:rsidRPr="00033A3F" w14:paraId="29B8FC7A" w14:textId="77777777" w:rsidTr="007A5200">
        <w:trPr>
          <w:trHeight w:val="345"/>
        </w:trPr>
        <w:tc>
          <w:tcPr>
            <w:tcW w:w="2220" w:type="dxa"/>
            <w:tcBorders>
              <w:top w:val="nil"/>
              <w:left w:val="nil"/>
              <w:bottom w:val="double" w:sz="6" w:space="0" w:color="auto"/>
              <w:right w:val="nil"/>
            </w:tcBorders>
            <w:shd w:val="clear" w:color="auto" w:fill="auto"/>
            <w:noWrap/>
            <w:vAlign w:val="bottom"/>
          </w:tcPr>
          <w:p w14:paraId="7F176AC3" w14:textId="18A701CB" w:rsidR="00A1767D" w:rsidRPr="00033A3F" w:rsidRDefault="00A1767D" w:rsidP="000C5487">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 2023</w:t>
            </w:r>
          </w:p>
        </w:tc>
        <w:tc>
          <w:tcPr>
            <w:tcW w:w="1040" w:type="dxa"/>
            <w:tcBorders>
              <w:top w:val="double" w:sz="6" w:space="0" w:color="auto"/>
              <w:left w:val="nil"/>
              <w:bottom w:val="double" w:sz="6" w:space="0" w:color="auto"/>
              <w:right w:val="nil"/>
            </w:tcBorders>
            <w:shd w:val="clear" w:color="auto" w:fill="auto"/>
            <w:noWrap/>
            <w:vAlign w:val="bottom"/>
          </w:tcPr>
          <w:p w14:paraId="4067BB1E" w14:textId="771D9C22"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w:t>
            </w:r>
          </w:p>
        </w:tc>
        <w:tc>
          <w:tcPr>
            <w:tcW w:w="1040" w:type="dxa"/>
            <w:tcBorders>
              <w:top w:val="double" w:sz="6" w:space="0" w:color="auto"/>
              <w:left w:val="nil"/>
              <w:bottom w:val="double" w:sz="6" w:space="0" w:color="auto"/>
              <w:right w:val="nil"/>
            </w:tcBorders>
            <w:shd w:val="clear" w:color="auto" w:fill="auto"/>
            <w:noWrap/>
            <w:vAlign w:val="bottom"/>
          </w:tcPr>
          <w:p w14:paraId="66824689" w14:textId="33C5840D"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41</w:t>
            </w:r>
          </w:p>
        </w:tc>
        <w:tc>
          <w:tcPr>
            <w:tcW w:w="1040" w:type="dxa"/>
            <w:tcBorders>
              <w:top w:val="double" w:sz="6" w:space="0" w:color="auto"/>
              <w:left w:val="nil"/>
              <w:bottom w:val="double" w:sz="6" w:space="0" w:color="auto"/>
              <w:right w:val="nil"/>
            </w:tcBorders>
            <w:shd w:val="clear" w:color="auto" w:fill="auto"/>
            <w:noWrap/>
            <w:vAlign w:val="bottom"/>
          </w:tcPr>
          <w:p w14:paraId="2ED8F167" w14:textId="1C5CC309"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52,33</w:t>
            </w:r>
          </w:p>
        </w:tc>
        <w:tc>
          <w:tcPr>
            <w:tcW w:w="1040" w:type="dxa"/>
            <w:tcBorders>
              <w:top w:val="double" w:sz="6" w:space="0" w:color="auto"/>
              <w:left w:val="nil"/>
              <w:bottom w:val="double" w:sz="6" w:space="0" w:color="auto"/>
              <w:right w:val="nil"/>
            </w:tcBorders>
            <w:shd w:val="clear" w:color="auto" w:fill="auto"/>
            <w:noWrap/>
            <w:vAlign w:val="bottom"/>
          </w:tcPr>
          <w:p w14:paraId="53B1CB04" w14:textId="0BA6F6E2"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68</w:t>
            </w:r>
          </w:p>
        </w:tc>
        <w:tc>
          <w:tcPr>
            <w:tcW w:w="1040" w:type="dxa"/>
            <w:tcBorders>
              <w:top w:val="double" w:sz="6" w:space="0" w:color="auto"/>
              <w:left w:val="nil"/>
              <w:bottom w:val="double" w:sz="6" w:space="0" w:color="auto"/>
              <w:right w:val="nil"/>
            </w:tcBorders>
            <w:shd w:val="clear" w:color="auto" w:fill="auto"/>
            <w:noWrap/>
            <w:vAlign w:val="bottom"/>
          </w:tcPr>
          <w:p w14:paraId="66C6470C" w14:textId="55581FA8"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w:t>
            </w:r>
          </w:p>
        </w:tc>
        <w:tc>
          <w:tcPr>
            <w:tcW w:w="1040" w:type="dxa"/>
            <w:tcBorders>
              <w:top w:val="double" w:sz="6" w:space="0" w:color="auto"/>
              <w:left w:val="nil"/>
              <w:bottom w:val="double" w:sz="6" w:space="0" w:color="auto"/>
              <w:right w:val="nil"/>
            </w:tcBorders>
            <w:shd w:val="clear" w:color="auto" w:fill="auto"/>
            <w:noWrap/>
            <w:vAlign w:val="bottom"/>
          </w:tcPr>
          <w:p w14:paraId="5FA07518" w14:textId="6958A4BB"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60,18</w:t>
            </w:r>
          </w:p>
        </w:tc>
      </w:tr>
      <w:tr w:rsidR="00033A3F" w:rsidRPr="00033A3F" w14:paraId="0466B225" w14:textId="77777777" w:rsidTr="00BF0CC3">
        <w:trPr>
          <w:trHeight w:val="330"/>
        </w:trPr>
        <w:tc>
          <w:tcPr>
            <w:tcW w:w="2220" w:type="dxa"/>
            <w:tcBorders>
              <w:top w:val="nil"/>
              <w:left w:val="nil"/>
              <w:bottom w:val="nil"/>
              <w:right w:val="nil"/>
            </w:tcBorders>
            <w:shd w:val="clear" w:color="auto" w:fill="auto"/>
            <w:noWrap/>
            <w:vAlign w:val="bottom"/>
            <w:hideMark/>
          </w:tcPr>
          <w:p w14:paraId="542569C1" w14:textId="77777777" w:rsidR="000C5487" w:rsidRPr="00033A3F" w:rsidRDefault="000C5487" w:rsidP="000C5487">
            <w:pPr>
              <w:spacing w:line="240" w:lineRule="auto"/>
              <w:jc w:val="center"/>
              <w:rPr>
                <w:rFonts w:eastAsia="Times New Roman"/>
                <w:b/>
                <w:bCs/>
                <w:color w:val="000000" w:themeColor="text1"/>
                <w:szCs w:val="24"/>
                <w:lang w:eastAsia="cs-CZ"/>
              </w:rPr>
            </w:pPr>
          </w:p>
        </w:tc>
        <w:tc>
          <w:tcPr>
            <w:tcW w:w="1040" w:type="dxa"/>
            <w:tcBorders>
              <w:top w:val="nil"/>
              <w:left w:val="nil"/>
              <w:bottom w:val="nil"/>
              <w:right w:val="nil"/>
            </w:tcBorders>
            <w:shd w:val="clear" w:color="auto" w:fill="auto"/>
            <w:noWrap/>
            <w:vAlign w:val="bottom"/>
            <w:hideMark/>
          </w:tcPr>
          <w:p w14:paraId="3A570627"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3793D55E"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3D6D50C3"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25C02BF9"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5863AED8"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033787F0"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r>
    </w:tbl>
    <w:p w14:paraId="3A32A70B" w14:textId="5CA21C56" w:rsidR="00B06FE3" w:rsidRPr="00033A3F" w:rsidRDefault="00B06FE3" w:rsidP="00B06FE3">
      <w:pPr>
        <w:pStyle w:val="OdstavecASR"/>
        <w:rPr>
          <w:color w:val="000000" w:themeColor="text1"/>
        </w:rPr>
      </w:pPr>
      <w:r w:rsidRPr="00033A3F">
        <w:rPr>
          <w:color w:val="000000" w:themeColor="text1"/>
        </w:rPr>
        <w:t>Na vysvětlenou je třeba uvést, že součet počtu předsedů a předsedkyň nemusí být roven počtu okresních soudů (86), protože ne všude je funkce předsedy obsazená. Z tabulky můžeme vyčíst, že počet žen a mužů na místech předsedů a místopředsedů je vyrovnanější, než je tomu u celkového počtu soudců – ženy zastávají mírnou většinu předsednických funkcí a přibližně 60 % funkcí místopředsednických.</w:t>
      </w:r>
    </w:p>
    <w:p w14:paraId="2746C654" w14:textId="1DB77E66" w:rsidR="000C5487" w:rsidRPr="00033A3F" w:rsidRDefault="00B06FE3" w:rsidP="00B06FE3">
      <w:pPr>
        <w:pStyle w:val="OdstavecASR"/>
        <w:rPr>
          <w:color w:val="000000" w:themeColor="text1"/>
        </w:rPr>
      </w:pPr>
      <w:r w:rsidRPr="00033A3F">
        <w:rPr>
          <w:color w:val="000000" w:themeColor="text1"/>
        </w:rPr>
        <w:t>Dalším sledovaným ukazatelem je věková struktura soudců. Na grafu níže vidíme její vývoj v letech 2008 až 2024. Na rozdíl od pře</w:t>
      </w:r>
      <w:r w:rsidR="00586CE5">
        <w:rPr>
          <w:color w:val="000000" w:themeColor="text1"/>
        </w:rPr>
        <w:t>d</w:t>
      </w:r>
      <w:r w:rsidRPr="00033A3F">
        <w:rPr>
          <w:color w:val="000000" w:themeColor="text1"/>
        </w:rPr>
        <w:t>chozích dat zde pracujeme s evidenčním počtem soudců, protože data o skutečných počtech nerozlišují věk soudců. V dalším grafu je pak věkové složení soudců v jednotlivých krajích</w:t>
      </w:r>
      <w:r w:rsidR="006E1F5B" w:rsidRPr="00033A3F">
        <w:rPr>
          <w:color w:val="000000" w:themeColor="text1"/>
        </w:rPr>
        <w:t>.</w:t>
      </w:r>
    </w:p>
    <w:p w14:paraId="4FC8E779" w14:textId="19FBBCFD" w:rsidR="00B06FE3" w:rsidRPr="00033A3F" w:rsidRDefault="00B06FE3" w:rsidP="00B06FE3">
      <w:pPr>
        <w:pStyle w:val="Podnadpis"/>
        <w:rPr>
          <w:color w:val="000000" w:themeColor="text1"/>
        </w:rPr>
      </w:pPr>
      <w:bookmarkStart w:id="127" w:name="_Toc11135066"/>
      <w:bookmarkStart w:id="128" w:name="_Toc43841385"/>
      <w:bookmarkStart w:id="129" w:name="_Toc75952185"/>
      <w:bookmarkStart w:id="130" w:name="_Toc106106639"/>
      <w:bookmarkStart w:id="131" w:name="_Toc144104117"/>
      <w:bookmarkStart w:id="132" w:name="_Toc169250924"/>
      <w:bookmarkStart w:id="133" w:name="_Toc174080610"/>
      <w:bookmarkStart w:id="134" w:name="_Toc193530760"/>
      <w:bookmarkStart w:id="135" w:name="_Toc193634034"/>
      <w:bookmarkStart w:id="136" w:name="_Toc20303283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w:t>
      </w:r>
      <w:r w:rsidRPr="00033A3F">
        <w:rPr>
          <w:color w:val="000000" w:themeColor="text1"/>
        </w:rPr>
        <w:fldChar w:fldCharType="end"/>
      </w:r>
      <w:r w:rsidRPr="00033A3F">
        <w:rPr>
          <w:color w:val="000000" w:themeColor="text1"/>
        </w:rPr>
        <w:t>: OS – věková struktura soudců v letech 2008–20</w:t>
      </w:r>
      <w:bookmarkEnd w:id="127"/>
      <w:bookmarkEnd w:id="128"/>
      <w:r w:rsidRPr="00033A3F">
        <w:rPr>
          <w:color w:val="000000" w:themeColor="text1"/>
        </w:rPr>
        <w:t>2</w:t>
      </w:r>
      <w:bookmarkEnd w:id="129"/>
      <w:bookmarkEnd w:id="130"/>
      <w:bookmarkEnd w:id="131"/>
      <w:bookmarkEnd w:id="132"/>
      <w:bookmarkEnd w:id="133"/>
      <w:r w:rsidRPr="00033A3F">
        <w:rPr>
          <w:color w:val="000000" w:themeColor="text1"/>
        </w:rPr>
        <w:t>4</w:t>
      </w:r>
      <w:bookmarkEnd w:id="134"/>
      <w:bookmarkEnd w:id="135"/>
      <w:bookmarkEnd w:id="136"/>
    </w:p>
    <w:p w14:paraId="1D4CDFFF" w14:textId="3A8135C9" w:rsidR="000C5487" w:rsidRPr="00033A3F" w:rsidRDefault="0089107C">
      <w:pPr>
        <w:spacing w:after="160" w:line="259" w:lineRule="auto"/>
        <w:jc w:val="left"/>
        <w:rPr>
          <w:color w:val="000000" w:themeColor="text1"/>
        </w:rPr>
      </w:pPr>
      <w:r w:rsidRPr="00033A3F">
        <w:rPr>
          <w:noProof/>
          <w:color w:val="000000" w:themeColor="text1"/>
          <w:lang w:eastAsia="cs-CZ"/>
        </w:rPr>
        <w:drawing>
          <wp:inline distT="0" distB="0" distL="0" distR="0" wp14:anchorId="044B03F5" wp14:editId="5F07E255">
            <wp:extent cx="5029200" cy="3657600"/>
            <wp:effectExtent l="0" t="0" r="0" b="0"/>
            <wp:docPr id="118351195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AD3F68D" w14:textId="797AED1D" w:rsidR="0089107C" w:rsidRPr="00033A3F" w:rsidRDefault="0089107C" w:rsidP="0089107C">
      <w:pPr>
        <w:pStyle w:val="Podnadpis"/>
        <w:rPr>
          <w:color w:val="000000" w:themeColor="text1"/>
        </w:rPr>
      </w:pPr>
      <w:bookmarkStart w:id="137" w:name="_Toc515871438"/>
      <w:bookmarkStart w:id="138" w:name="_Toc11133206"/>
      <w:bookmarkStart w:id="139" w:name="_Toc43931177"/>
      <w:bookmarkStart w:id="140" w:name="_Toc75952307"/>
      <w:bookmarkStart w:id="141" w:name="_Toc106106766"/>
      <w:bookmarkStart w:id="142" w:name="_Toc144104243"/>
      <w:bookmarkStart w:id="143" w:name="_Toc169250925"/>
      <w:bookmarkStart w:id="144" w:name="_Toc174080611"/>
      <w:bookmarkStart w:id="145" w:name="_Toc193530761"/>
      <w:bookmarkStart w:id="146" w:name="_Toc193634035"/>
      <w:bookmarkStart w:id="147" w:name="_Toc203032833"/>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w:t>
      </w:r>
      <w:r w:rsidRPr="00033A3F">
        <w:rPr>
          <w:color w:val="000000" w:themeColor="text1"/>
        </w:rPr>
        <w:fldChar w:fldCharType="end"/>
      </w:r>
      <w:r w:rsidRPr="00033A3F">
        <w:rPr>
          <w:color w:val="000000" w:themeColor="text1"/>
        </w:rPr>
        <w:t xml:space="preserve">: OS – věková struktura soudců dle </w:t>
      </w:r>
      <w:bookmarkEnd w:id="137"/>
      <w:bookmarkEnd w:id="138"/>
      <w:bookmarkEnd w:id="139"/>
      <w:bookmarkEnd w:id="140"/>
      <w:bookmarkEnd w:id="141"/>
      <w:bookmarkEnd w:id="142"/>
      <w:r w:rsidRPr="00033A3F">
        <w:rPr>
          <w:color w:val="000000" w:themeColor="text1"/>
        </w:rPr>
        <w:t>nadřízených soudů v %, 202</w:t>
      </w:r>
      <w:bookmarkEnd w:id="143"/>
      <w:bookmarkEnd w:id="144"/>
      <w:r w:rsidRPr="00033A3F">
        <w:rPr>
          <w:color w:val="000000" w:themeColor="text1"/>
        </w:rPr>
        <w:t>4</w:t>
      </w:r>
      <w:bookmarkEnd w:id="145"/>
      <w:bookmarkEnd w:id="146"/>
      <w:bookmarkEnd w:id="147"/>
    </w:p>
    <w:p w14:paraId="6BC67B89" w14:textId="267CD1B3" w:rsidR="00D906FB" w:rsidRPr="00033A3F" w:rsidRDefault="0089107C">
      <w:pPr>
        <w:spacing w:after="160" w:line="259" w:lineRule="auto"/>
        <w:jc w:val="left"/>
        <w:rPr>
          <w:color w:val="000000" w:themeColor="text1"/>
        </w:rPr>
      </w:pPr>
      <w:r w:rsidRPr="00033A3F">
        <w:rPr>
          <w:noProof/>
          <w:color w:val="000000" w:themeColor="text1"/>
          <w:lang w:eastAsia="cs-CZ"/>
        </w:rPr>
        <w:drawing>
          <wp:inline distT="0" distB="0" distL="0" distR="0" wp14:anchorId="7A889BDB" wp14:editId="330B81E6">
            <wp:extent cx="5029200" cy="3657600"/>
            <wp:effectExtent l="0" t="0" r="0" b="0"/>
            <wp:docPr id="1524944966"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5051B2E" w14:textId="3155B734" w:rsidR="0089107C" w:rsidRPr="00033A3F" w:rsidRDefault="0089107C" w:rsidP="0089107C">
      <w:pPr>
        <w:pStyle w:val="OdstavecASR"/>
        <w:rPr>
          <w:color w:val="000000" w:themeColor="text1"/>
        </w:rPr>
      </w:pPr>
      <w:r w:rsidRPr="00033A3F">
        <w:rPr>
          <w:color w:val="000000" w:themeColor="text1"/>
        </w:rPr>
        <w:t>Z grafu 5 je patrné, že do roku 2021 docházelo ke zvyšování průměrného věku soudců okresních soudů v ČR. Především soudci z věkové kategorie 30 až 40 let se postupně přesunuli do věkové kategorie 41 až 50 let, přičemž po jednorázovém masivním porevolučním doplnění okresních soudů v roce 1992 již nejsou okresní (ale ani krajské) soudy ve stejné míře doplňovány novými mladými soudci a soudkyněmi</w:t>
      </w:r>
      <w:r w:rsidR="006A3F40" w:rsidRPr="00033A3F">
        <w:rPr>
          <w:color w:val="000000" w:themeColor="text1"/>
        </w:rPr>
        <w:t xml:space="preserve">. </w:t>
      </w:r>
      <w:r w:rsidRPr="00033A3F">
        <w:rPr>
          <w:color w:val="000000" w:themeColor="text1"/>
        </w:rPr>
        <w:t>V roce 2021 bylo u OS 416 soudců a soudkyň v kategorii 30 až 40 let oproti 913 v roce 2008, což znamená pokles na méně než polovinu (obdobně je tomu u KS). V roce 2022 se trend prakticky zastavil</w:t>
      </w:r>
      <w:r w:rsidR="00866653" w:rsidRPr="00033A3F">
        <w:rPr>
          <w:color w:val="000000" w:themeColor="text1"/>
        </w:rPr>
        <w:t xml:space="preserve"> a</w:t>
      </w:r>
      <w:r w:rsidRPr="00033A3F">
        <w:rPr>
          <w:color w:val="000000" w:themeColor="text1"/>
        </w:rPr>
        <w:t xml:space="preserve"> </w:t>
      </w:r>
      <w:r w:rsidR="00866653" w:rsidRPr="00033A3F">
        <w:rPr>
          <w:color w:val="000000" w:themeColor="text1"/>
        </w:rPr>
        <w:t>v</w:t>
      </w:r>
      <w:r w:rsidRPr="00033A3F">
        <w:rPr>
          <w:color w:val="000000" w:themeColor="text1"/>
        </w:rPr>
        <w:t xml:space="preserve"> roce 2023 pak došlo ke jmenování skupiny mladých soudců ve věku 30 až 40 let. V roce 2024 ale podíl mladých soudců opět </w:t>
      </w:r>
      <w:r w:rsidR="003F4EB9" w:rsidRPr="00033A3F">
        <w:rPr>
          <w:color w:val="000000" w:themeColor="text1"/>
        </w:rPr>
        <w:t>mírně</w:t>
      </w:r>
      <w:r w:rsidRPr="00033A3F">
        <w:rPr>
          <w:color w:val="000000" w:themeColor="text1"/>
        </w:rPr>
        <w:t xml:space="preserve"> klesl</w:t>
      </w:r>
      <w:r w:rsidR="003F4EB9" w:rsidRPr="00033A3F">
        <w:rPr>
          <w:color w:val="000000" w:themeColor="text1"/>
        </w:rPr>
        <w:t xml:space="preserve"> zpět na 25</w:t>
      </w:r>
      <w:r w:rsidR="006A3F40" w:rsidRPr="00033A3F">
        <w:rPr>
          <w:color w:val="000000" w:themeColor="text1"/>
        </w:rPr>
        <w:t xml:space="preserve"> </w:t>
      </w:r>
      <w:r w:rsidR="003F4EB9" w:rsidRPr="00033A3F">
        <w:rPr>
          <w:color w:val="000000" w:themeColor="text1"/>
        </w:rPr>
        <w:t>%</w:t>
      </w:r>
      <w:r w:rsidRPr="00033A3F">
        <w:rPr>
          <w:color w:val="000000" w:themeColor="text1"/>
        </w:rPr>
        <w:t>.</w:t>
      </w:r>
    </w:p>
    <w:p w14:paraId="5FF0A227" w14:textId="67714CE6" w:rsidR="0089107C" w:rsidRPr="00033A3F" w:rsidRDefault="0089107C" w:rsidP="0089107C">
      <w:pPr>
        <w:pStyle w:val="OdstavecASR"/>
        <w:rPr>
          <w:color w:val="000000" w:themeColor="text1"/>
        </w:rPr>
      </w:pPr>
      <w:r w:rsidRPr="00033A3F">
        <w:rPr>
          <w:color w:val="000000" w:themeColor="text1"/>
        </w:rPr>
        <w:t>Data v grafu 6 jsou k 1. 1. 2024 a ukazují, že se věkové složení soudců mezi jednotlivými kraji</w:t>
      </w:r>
      <w:r w:rsidR="00866653" w:rsidRPr="00033A3F">
        <w:rPr>
          <w:color w:val="000000" w:themeColor="text1"/>
        </w:rPr>
        <w:t xml:space="preserve"> liší</w:t>
      </w:r>
      <w:r w:rsidRPr="00033A3F">
        <w:rPr>
          <w:color w:val="000000" w:themeColor="text1"/>
        </w:rPr>
        <w:t>. Nejmladší jsou soudci ve Středočeském kraji. Naopak v průměru nejstarší se zdají být soudci v Jihomoravském kraji.</w:t>
      </w:r>
    </w:p>
    <w:p w14:paraId="7036460E" w14:textId="047DD426" w:rsidR="008430BD" w:rsidRPr="00033A3F" w:rsidRDefault="008430BD" w:rsidP="008430BD">
      <w:pPr>
        <w:pStyle w:val="Nadpis3"/>
        <w:numPr>
          <w:ilvl w:val="2"/>
          <w:numId w:val="1"/>
        </w:numPr>
        <w:rPr>
          <w:color w:val="000000" w:themeColor="text1"/>
        </w:rPr>
      </w:pPr>
      <w:bookmarkStart w:id="148" w:name="_Ref165903038"/>
      <w:bookmarkStart w:id="149" w:name="_Toc169250799"/>
      <w:bookmarkStart w:id="150" w:name="_Toc193530960"/>
      <w:bookmarkStart w:id="151" w:name="_Toc193957017"/>
      <w:bookmarkStart w:id="152" w:name="_Toc203032707"/>
      <w:r w:rsidRPr="00033A3F">
        <w:rPr>
          <w:color w:val="000000" w:themeColor="text1"/>
        </w:rPr>
        <w:t>Zaměstnanci ve výkonu</w:t>
      </w:r>
      <w:bookmarkEnd w:id="63"/>
      <w:r w:rsidRPr="00033A3F">
        <w:rPr>
          <w:color w:val="000000" w:themeColor="text1"/>
        </w:rPr>
        <w:t xml:space="preserve"> </w:t>
      </w:r>
      <w:r w:rsidR="001B5E6A" w:rsidRPr="00033A3F">
        <w:rPr>
          <w:color w:val="000000" w:themeColor="text1"/>
        </w:rPr>
        <w:t>a </w:t>
      </w:r>
      <w:r w:rsidRPr="00033A3F">
        <w:rPr>
          <w:color w:val="000000" w:themeColor="text1"/>
        </w:rPr>
        <w:t>ve správě</w:t>
      </w:r>
      <w:bookmarkEnd w:id="64"/>
      <w:bookmarkEnd w:id="65"/>
      <w:bookmarkEnd w:id="148"/>
      <w:bookmarkEnd w:id="149"/>
      <w:bookmarkEnd w:id="150"/>
      <w:bookmarkEnd w:id="151"/>
      <w:bookmarkEnd w:id="152"/>
    </w:p>
    <w:p w14:paraId="0B02626B" w14:textId="4953C395" w:rsidR="00674DB5" w:rsidRPr="00033A3F" w:rsidRDefault="0089107C" w:rsidP="0089107C">
      <w:pPr>
        <w:pStyle w:val="OdstavecASR"/>
        <w:rPr>
          <w:color w:val="000000" w:themeColor="text1"/>
        </w:rPr>
      </w:pPr>
      <w:r w:rsidRPr="00033A3F">
        <w:rPr>
          <w:color w:val="000000" w:themeColor="text1"/>
        </w:rPr>
        <w:t>Vzhledem k většímu počtu kategorií zaměstnanců ve výkonu uvádíme pro zachování přehlednosti v tabulce níže pouze jejich počty k 1. 1. </w:t>
      </w:r>
      <w:r w:rsidR="00373D3A" w:rsidRPr="00033A3F">
        <w:rPr>
          <w:color w:val="000000" w:themeColor="text1"/>
        </w:rPr>
        <w:t>2024</w:t>
      </w:r>
      <w:r w:rsidRPr="00033A3F">
        <w:rPr>
          <w:color w:val="000000" w:themeColor="text1"/>
        </w:rPr>
        <w:t>, a to po krajích a pouze pro vybrané kategorie.</w:t>
      </w:r>
    </w:p>
    <w:p w14:paraId="59DA7B3F" w14:textId="77777777" w:rsidR="00674DB5" w:rsidRPr="00033A3F" w:rsidRDefault="00674DB5">
      <w:pPr>
        <w:spacing w:after="160" w:line="259" w:lineRule="auto"/>
        <w:jc w:val="left"/>
        <w:rPr>
          <w:color w:val="000000" w:themeColor="text1"/>
        </w:rPr>
      </w:pPr>
      <w:r w:rsidRPr="00033A3F">
        <w:rPr>
          <w:color w:val="000000" w:themeColor="text1"/>
        </w:rPr>
        <w:br w:type="page"/>
      </w:r>
    </w:p>
    <w:p w14:paraId="2CF62B6C" w14:textId="319AB661" w:rsidR="00674DB5" w:rsidRPr="00033A3F" w:rsidRDefault="00674DB5" w:rsidP="00674DB5">
      <w:pPr>
        <w:pStyle w:val="Podnadpis"/>
        <w:numPr>
          <w:ilvl w:val="0"/>
          <w:numId w:val="0"/>
        </w:numPr>
        <w:rPr>
          <w:color w:val="000000" w:themeColor="text1"/>
        </w:rPr>
      </w:pPr>
      <w:bookmarkStart w:id="153" w:name="_Toc515871439"/>
      <w:bookmarkStart w:id="154" w:name="_Toc11133207"/>
      <w:bookmarkStart w:id="155" w:name="_Toc43931179"/>
      <w:bookmarkStart w:id="156" w:name="_Toc75952309"/>
      <w:bookmarkStart w:id="157" w:name="_Toc106106768"/>
      <w:bookmarkStart w:id="158" w:name="_Toc144104245"/>
      <w:bookmarkStart w:id="159" w:name="_Toc169251062"/>
      <w:bookmarkStart w:id="160" w:name="_Toc174080748"/>
      <w:bookmarkStart w:id="161" w:name="_Toc193530884"/>
      <w:bookmarkStart w:id="162" w:name="_Toc194045578"/>
      <w:bookmarkStart w:id="163" w:name="_Toc199494987"/>
      <w:bookmarkStart w:id="164" w:name="_Toc203033047"/>
      <w:bookmarkStart w:id="165" w:name="_Toc203033125"/>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5</w:t>
      </w:r>
      <w:r w:rsidRPr="00033A3F">
        <w:rPr>
          <w:noProof/>
          <w:color w:val="000000" w:themeColor="text1"/>
        </w:rPr>
        <w:fldChar w:fldCharType="end"/>
      </w:r>
      <w:r w:rsidRPr="00033A3F">
        <w:rPr>
          <w:color w:val="000000" w:themeColor="text1"/>
        </w:rPr>
        <w:t>: OS –</w:t>
      </w:r>
      <w:r w:rsidR="00C00F59" w:rsidRPr="00033A3F">
        <w:rPr>
          <w:color w:val="000000" w:themeColor="text1"/>
        </w:rPr>
        <w:t xml:space="preserve"> </w:t>
      </w:r>
      <w:r w:rsidRPr="00033A3F">
        <w:rPr>
          <w:color w:val="000000" w:themeColor="text1"/>
        </w:rPr>
        <w:t>počet zaměstnanců ve výkonu dle krajů</w:t>
      </w:r>
      <w:bookmarkEnd w:id="153"/>
      <w:bookmarkEnd w:id="154"/>
      <w:bookmarkEnd w:id="155"/>
      <w:bookmarkEnd w:id="156"/>
      <w:bookmarkEnd w:id="157"/>
      <w:bookmarkEnd w:id="158"/>
      <w:r w:rsidRPr="00033A3F">
        <w:rPr>
          <w:color w:val="000000" w:themeColor="text1"/>
        </w:rPr>
        <w:t>, 202</w:t>
      </w:r>
      <w:bookmarkEnd w:id="159"/>
      <w:bookmarkEnd w:id="160"/>
      <w:r w:rsidRPr="00033A3F">
        <w:rPr>
          <w:color w:val="000000" w:themeColor="text1"/>
        </w:rPr>
        <w:t>4</w:t>
      </w:r>
      <w:bookmarkEnd w:id="161"/>
      <w:bookmarkEnd w:id="162"/>
      <w:bookmarkEnd w:id="163"/>
      <w:bookmarkEnd w:id="164"/>
      <w:bookmarkEnd w:id="165"/>
    </w:p>
    <w:tbl>
      <w:tblPr>
        <w:tblW w:w="9072" w:type="dxa"/>
        <w:tblLayout w:type="fixed"/>
        <w:tblCellMar>
          <w:left w:w="70" w:type="dxa"/>
          <w:right w:w="70" w:type="dxa"/>
        </w:tblCellMar>
        <w:tblLook w:val="04A0" w:firstRow="1" w:lastRow="0" w:firstColumn="1" w:lastColumn="0" w:noHBand="0" w:noVBand="1"/>
      </w:tblPr>
      <w:tblGrid>
        <w:gridCol w:w="2080"/>
        <w:gridCol w:w="714"/>
        <w:gridCol w:w="18"/>
        <w:gridCol w:w="697"/>
        <w:gridCol w:w="35"/>
        <w:gridCol w:w="679"/>
        <w:gridCol w:w="53"/>
        <w:gridCol w:w="662"/>
        <w:gridCol w:w="71"/>
        <w:gridCol w:w="644"/>
        <w:gridCol w:w="88"/>
        <w:gridCol w:w="626"/>
        <w:gridCol w:w="106"/>
        <w:gridCol w:w="609"/>
        <w:gridCol w:w="123"/>
        <w:gridCol w:w="733"/>
        <w:gridCol w:w="1134"/>
      </w:tblGrid>
      <w:tr w:rsidR="00033A3F" w:rsidRPr="00033A3F" w14:paraId="5B73A95B" w14:textId="77777777" w:rsidTr="00BF0CC3">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600CE5B"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6992" w:type="dxa"/>
            <w:gridSpan w:val="16"/>
            <w:tcBorders>
              <w:top w:val="double" w:sz="6" w:space="0" w:color="auto"/>
              <w:left w:val="nil"/>
              <w:bottom w:val="nil"/>
              <w:right w:val="nil"/>
            </w:tcBorders>
            <w:shd w:val="clear" w:color="auto" w:fill="auto"/>
            <w:noWrap/>
            <w:vAlign w:val="bottom"/>
            <w:hideMark/>
          </w:tcPr>
          <w:p w14:paraId="67F920FE"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13C321C0" w14:textId="77777777" w:rsidTr="00776EBB">
        <w:trPr>
          <w:trHeight w:val="330"/>
        </w:trPr>
        <w:tc>
          <w:tcPr>
            <w:tcW w:w="2080" w:type="dxa"/>
            <w:vMerge/>
            <w:tcBorders>
              <w:top w:val="double" w:sz="6" w:space="0" w:color="auto"/>
              <w:left w:val="nil"/>
              <w:bottom w:val="double" w:sz="6" w:space="0" w:color="000000"/>
              <w:right w:val="nil"/>
            </w:tcBorders>
            <w:vAlign w:val="center"/>
            <w:hideMark/>
          </w:tcPr>
          <w:p w14:paraId="7F34F646" w14:textId="77777777" w:rsidR="00B23EEC" w:rsidRPr="00033A3F" w:rsidRDefault="00B23EEC" w:rsidP="00B23EEC">
            <w:pPr>
              <w:spacing w:line="240" w:lineRule="auto"/>
              <w:jc w:val="left"/>
              <w:rPr>
                <w:rFonts w:eastAsia="Times New Roman"/>
                <w:b/>
                <w:bCs/>
                <w:color w:val="000000" w:themeColor="text1"/>
                <w:szCs w:val="24"/>
                <w:lang w:eastAsia="cs-CZ"/>
              </w:rPr>
            </w:pPr>
          </w:p>
        </w:tc>
        <w:tc>
          <w:tcPr>
            <w:tcW w:w="732" w:type="dxa"/>
            <w:gridSpan w:val="2"/>
            <w:tcBorders>
              <w:top w:val="nil"/>
              <w:left w:val="nil"/>
              <w:bottom w:val="double" w:sz="6" w:space="0" w:color="auto"/>
              <w:right w:val="nil"/>
            </w:tcBorders>
            <w:shd w:val="clear" w:color="auto" w:fill="auto"/>
            <w:noWrap/>
            <w:vAlign w:val="bottom"/>
            <w:hideMark/>
          </w:tcPr>
          <w:p w14:paraId="2DD8E30D"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VSÚ</w:t>
            </w:r>
          </w:p>
        </w:tc>
        <w:tc>
          <w:tcPr>
            <w:tcW w:w="732" w:type="dxa"/>
            <w:gridSpan w:val="2"/>
            <w:tcBorders>
              <w:top w:val="nil"/>
              <w:left w:val="nil"/>
              <w:bottom w:val="double" w:sz="6" w:space="0" w:color="auto"/>
              <w:right w:val="nil"/>
            </w:tcBorders>
            <w:shd w:val="clear" w:color="auto" w:fill="auto"/>
            <w:noWrap/>
            <w:vAlign w:val="bottom"/>
            <w:hideMark/>
          </w:tcPr>
          <w:p w14:paraId="748B3ADE"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ST</w:t>
            </w:r>
          </w:p>
        </w:tc>
        <w:tc>
          <w:tcPr>
            <w:tcW w:w="732" w:type="dxa"/>
            <w:gridSpan w:val="2"/>
            <w:tcBorders>
              <w:top w:val="nil"/>
              <w:left w:val="nil"/>
              <w:bottom w:val="double" w:sz="6" w:space="0" w:color="auto"/>
              <w:right w:val="nil"/>
            </w:tcBorders>
            <w:shd w:val="clear" w:color="auto" w:fill="auto"/>
            <w:noWrap/>
            <w:vAlign w:val="bottom"/>
            <w:hideMark/>
          </w:tcPr>
          <w:p w14:paraId="1C5E4BFD"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A</w:t>
            </w:r>
          </w:p>
        </w:tc>
        <w:tc>
          <w:tcPr>
            <w:tcW w:w="733" w:type="dxa"/>
            <w:gridSpan w:val="2"/>
            <w:tcBorders>
              <w:top w:val="nil"/>
              <w:left w:val="nil"/>
              <w:bottom w:val="double" w:sz="6" w:space="0" w:color="auto"/>
              <w:right w:val="nil"/>
            </w:tcBorders>
            <w:shd w:val="clear" w:color="auto" w:fill="auto"/>
            <w:noWrap/>
            <w:vAlign w:val="bottom"/>
            <w:hideMark/>
          </w:tcPr>
          <w:p w14:paraId="6895EDC4"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VK</w:t>
            </w:r>
          </w:p>
        </w:tc>
        <w:tc>
          <w:tcPr>
            <w:tcW w:w="732" w:type="dxa"/>
            <w:gridSpan w:val="2"/>
            <w:tcBorders>
              <w:top w:val="nil"/>
              <w:left w:val="nil"/>
              <w:bottom w:val="double" w:sz="6" w:space="0" w:color="auto"/>
              <w:right w:val="nil"/>
            </w:tcBorders>
            <w:shd w:val="clear" w:color="auto" w:fill="auto"/>
            <w:noWrap/>
            <w:vAlign w:val="bottom"/>
            <w:hideMark/>
          </w:tcPr>
          <w:p w14:paraId="5ACF75A2"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PÚ</w:t>
            </w:r>
          </w:p>
        </w:tc>
        <w:tc>
          <w:tcPr>
            <w:tcW w:w="732" w:type="dxa"/>
            <w:gridSpan w:val="2"/>
            <w:tcBorders>
              <w:top w:val="nil"/>
              <w:left w:val="nil"/>
              <w:bottom w:val="double" w:sz="6" w:space="0" w:color="auto"/>
              <w:right w:val="nil"/>
            </w:tcBorders>
            <w:shd w:val="clear" w:color="auto" w:fill="auto"/>
            <w:noWrap/>
            <w:vAlign w:val="bottom"/>
            <w:hideMark/>
          </w:tcPr>
          <w:p w14:paraId="63E0A43C"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Z</w:t>
            </w:r>
          </w:p>
        </w:tc>
        <w:tc>
          <w:tcPr>
            <w:tcW w:w="732" w:type="dxa"/>
            <w:gridSpan w:val="2"/>
            <w:tcBorders>
              <w:top w:val="nil"/>
              <w:left w:val="nil"/>
              <w:bottom w:val="double" w:sz="6" w:space="0" w:color="auto"/>
              <w:right w:val="nil"/>
            </w:tcBorders>
            <w:shd w:val="clear" w:color="auto" w:fill="auto"/>
            <w:noWrap/>
            <w:vAlign w:val="bottom"/>
            <w:hideMark/>
          </w:tcPr>
          <w:p w14:paraId="3C099093"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RV</w:t>
            </w:r>
          </w:p>
        </w:tc>
        <w:tc>
          <w:tcPr>
            <w:tcW w:w="733" w:type="dxa"/>
            <w:tcBorders>
              <w:top w:val="nil"/>
              <w:left w:val="nil"/>
              <w:bottom w:val="double" w:sz="6" w:space="0" w:color="auto"/>
              <w:right w:val="nil"/>
            </w:tcBorders>
            <w:shd w:val="clear" w:color="auto" w:fill="auto"/>
            <w:noWrap/>
            <w:vAlign w:val="bottom"/>
            <w:hideMark/>
          </w:tcPr>
          <w:p w14:paraId="55FC3E21"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SV</w:t>
            </w:r>
          </w:p>
        </w:tc>
        <w:tc>
          <w:tcPr>
            <w:tcW w:w="1134" w:type="dxa"/>
            <w:tcBorders>
              <w:top w:val="nil"/>
              <w:left w:val="nil"/>
              <w:bottom w:val="double" w:sz="6" w:space="0" w:color="auto"/>
              <w:right w:val="nil"/>
            </w:tcBorders>
            <w:shd w:val="clear" w:color="auto" w:fill="auto"/>
            <w:noWrap/>
            <w:vAlign w:val="bottom"/>
            <w:hideMark/>
          </w:tcPr>
          <w:p w14:paraId="48E852F3"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r>
      <w:tr w:rsidR="00033A3F" w:rsidRPr="00033A3F" w14:paraId="7374F0CF" w14:textId="77777777" w:rsidTr="00776EBB">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3FF284B0"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55D927C8"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06D80751"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289D51DE"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w:t>
            </w:r>
          </w:p>
        </w:tc>
        <w:tc>
          <w:tcPr>
            <w:tcW w:w="733" w:type="dxa"/>
            <w:gridSpan w:val="2"/>
            <w:tcBorders>
              <w:top w:val="single" w:sz="4" w:space="0" w:color="auto"/>
              <w:left w:val="nil"/>
              <w:bottom w:val="single" w:sz="4" w:space="0" w:color="auto"/>
              <w:right w:val="nil"/>
            </w:tcBorders>
            <w:shd w:val="clear" w:color="auto" w:fill="auto"/>
            <w:noWrap/>
            <w:vAlign w:val="bottom"/>
            <w:hideMark/>
          </w:tcPr>
          <w:p w14:paraId="365A884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4A2A71A5"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595691B8"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69212452"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127</w:t>
            </w:r>
          </w:p>
        </w:tc>
        <w:tc>
          <w:tcPr>
            <w:tcW w:w="733" w:type="dxa"/>
            <w:tcBorders>
              <w:top w:val="single" w:sz="4" w:space="0" w:color="auto"/>
              <w:left w:val="nil"/>
              <w:bottom w:val="single" w:sz="4" w:space="0" w:color="auto"/>
              <w:right w:val="nil"/>
            </w:tcBorders>
            <w:shd w:val="clear" w:color="auto" w:fill="auto"/>
            <w:noWrap/>
            <w:vAlign w:val="bottom"/>
            <w:hideMark/>
          </w:tcPr>
          <w:p w14:paraId="377B4DE2"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1134" w:type="dxa"/>
            <w:tcBorders>
              <w:top w:val="single" w:sz="4" w:space="0" w:color="auto"/>
              <w:left w:val="nil"/>
              <w:bottom w:val="single" w:sz="4" w:space="0" w:color="auto"/>
              <w:right w:val="nil"/>
            </w:tcBorders>
            <w:shd w:val="clear" w:color="auto" w:fill="auto"/>
            <w:noWrap/>
            <w:vAlign w:val="bottom"/>
            <w:hideMark/>
          </w:tcPr>
          <w:p w14:paraId="1067A6C1"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679</w:t>
            </w:r>
          </w:p>
        </w:tc>
      </w:tr>
      <w:tr w:rsidR="00033A3F" w:rsidRPr="00033A3F" w14:paraId="283B244B"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684725F7"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732" w:type="dxa"/>
            <w:gridSpan w:val="2"/>
            <w:tcBorders>
              <w:top w:val="nil"/>
              <w:left w:val="nil"/>
              <w:bottom w:val="single" w:sz="4" w:space="0" w:color="auto"/>
              <w:right w:val="nil"/>
            </w:tcBorders>
            <w:shd w:val="clear" w:color="auto" w:fill="auto"/>
            <w:noWrap/>
            <w:vAlign w:val="bottom"/>
            <w:hideMark/>
          </w:tcPr>
          <w:p w14:paraId="0C885CCF"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133</w:t>
            </w:r>
          </w:p>
        </w:tc>
        <w:tc>
          <w:tcPr>
            <w:tcW w:w="732" w:type="dxa"/>
            <w:gridSpan w:val="2"/>
            <w:tcBorders>
              <w:top w:val="nil"/>
              <w:left w:val="nil"/>
              <w:bottom w:val="single" w:sz="4" w:space="0" w:color="auto"/>
              <w:right w:val="nil"/>
            </w:tcBorders>
            <w:shd w:val="clear" w:color="auto" w:fill="auto"/>
            <w:noWrap/>
            <w:vAlign w:val="bottom"/>
            <w:hideMark/>
          </w:tcPr>
          <w:p w14:paraId="665D3023"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w:t>
            </w:r>
          </w:p>
        </w:tc>
        <w:tc>
          <w:tcPr>
            <w:tcW w:w="732" w:type="dxa"/>
            <w:gridSpan w:val="2"/>
            <w:tcBorders>
              <w:top w:val="nil"/>
              <w:left w:val="nil"/>
              <w:bottom w:val="single" w:sz="4" w:space="0" w:color="auto"/>
              <w:right w:val="nil"/>
            </w:tcBorders>
            <w:shd w:val="clear" w:color="auto" w:fill="auto"/>
            <w:noWrap/>
            <w:vAlign w:val="bottom"/>
            <w:hideMark/>
          </w:tcPr>
          <w:p w14:paraId="200C9EB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733" w:type="dxa"/>
            <w:gridSpan w:val="2"/>
            <w:tcBorders>
              <w:top w:val="nil"/>
              <w:left w:val="nil"/>
              <w:bottom w:val="single" w:sz="4" w:space="0" w:color="auto"/>
              <w:right w:val="nil"/>
            </w:tcBorders>
            <w:shd w:val="clear" w:color="auto" w:fill="auto"/>
            <w:noWrap/>
            <w:vAlign w:val="bottom"/>
            <w:hideMark/>
          </w:tcPr>
          <w:p w14:paraId="1F325AFB"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65</w:t>
            </w:r>
          </w:p>
        </w:tc>
        <w:tc>
          <w:tcPr>
            <w:tcW w:w="732" w:type="dxa"/>
            <w:gridSpan w:val="2"/>
            <w:tcBorders>
              <w:top w:val="nil"/>
              <w:left w:val="nil"/>
              <w:bottom w:val="single" w:sz="4" w:space="0" w:color="auto"/>
              <w:right w:val="nil"/>
            </w:tcBorders>
            <w:shd w:val="clear" w:color="auto" w:fill="auto"/>
            <w:noWrap/>
            <w:vAlign w:val="bottom"/>
            <w:hideMark/>
          </w:tcPr>
          <w:p w14:paraId="69D90A00"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732" w:type="dxa"/>
            <w:gridSpan w:val="2"/>
            <w:tcBorders>
              <w:top w:val="nil"/>
              <w:left w:val="nil"/>
              <w:bottom w:val="single" w:sz="4" w:space="0" w:color="auto"/>
              <w:right w:val="nil"/>
            </w:tcBorders>
            <w:shd w:val="clear" w:color="auto" w:fill="auto"/>
            <w:noWrap/>
            <w:vAlign w:val="bottom"/>
            <w:hideMark/>
          </w:tcPr>
          <w:p w14:paraId="4661926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w:t>
            </w:r>
          </w:p>
        </w:tc>
        <w:tc>
          <w:tcPr>
            <w:tcW w:w="732" w:type="dxa"/>
            <w:gridSpan w:val="2"/>
            <w:tcBorders>
              <w:top w:val="nil"/>
              <w:left w:val="nil"/>
              <w:bottom w:val="nil"/>
              <w:right w:val="nil"/>
            </w:tcBorders>
            <w:shd w:val="clear" w:color="auto" w:fill="auto"/>
            <w:noWrap/>
            <w:vAlign w:val="bottom"/>
            <w:hideMark/>
          </w:tcPr>
          <w:p w14:paraId="2839F1D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733" w:type="dxa"/>
            <w:tcBorders>
              <w:top w:val="nil"/>
              <w:left w:val="nil"/>
              <w:bottom w:val="single" w:sz="4" w:space="0" w:color="auto"/>
              <w:right w:val="nil"/>
            </w:tcBorders>
            <w:shd w:val="clear" w:color="auto" w:fill="auto"/>
            <w:noWrap/>
            <w:vAlign w:val="bottom"/>
            <w:hideMark/>
          </w:tcPr>
          <w:p w14:paraId="520004C5"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p>
        </w:tc>
        <w:tc>
          <w:tcPr>
            <w:tcW w:w="1134" w:type="dxa"/>
            <w:tcBorders>
              <w:top w:val="nil"/>
              <w:left w:val="nil"/>
              <w:bottom w:val="single" w:sz="4" w:space="0" w:color="auto"/>
              <w:right w:val="nil"/>
            </w:tcBorders>
            <w:shd w:val="clear" w:color="auto" w:fill="auto"/>
            <w:noWrap/>
            <w:vAlign w:val="bottom"/>
            <w:hideMark/>
          </w:tcPr>
          <w:p w14:paraId="65C3EBD4"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479</w:t>
            </w:r>
          </w:p>
        </w:tc>
      </w:tr>
      <w:tr w:rsidR="00033A3F" w:rsidRPr="00033A3F" w14:paraId="0DFB145C"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7FEC29E2"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732" w:type="dxa"/>
            <w:gridSpan w:val="2"/>
            <w:tcBorders>
              <w:top w:val="nil"/>
              <w:left w:val="nil"/>
              <w:bottom w:val="single" w:sz="4" w:space="0" w:color="auto"/>
              <w:right w:val="nil"/>
            </w:tcBorders>
            <w:shd w:val="clear" w:color="auto" w:fill="auto"/>
            <w:noWrap/>
            <w:vAlign w:val="bottom"/>
            <w:hideMark/>
          </w:tcPr>
          <w:p w14:paraId="220FBEB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w:t>
            </w:r>
          </w:p>
        </w:tc>
        <w:tc>
          <w:tcPr>
            <w:tcW w:w="732" w:type="dxa"/>
            <w:gridSpan w:val="2"/>
            <w:tcBorders>
              <w:top w:val="nil"/>
              <w:left w:val="nil"/>
              <w:bottom w:val="single" w:sz="4" w:space="0" w:color="auto"/>
              <w:right w:val="nil"/>
            </w:tcBorders>
            <w:shd w:val="clear" w:color="auto" w:fill="auto"/>
            <w:noWrap/>
            <w:vAlign w:val="bottom"/>
            <w:hideMark/>
          </w:tcPr>
          <w:p w14:paraId="5115010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732" w:type="dxa"/>
            <w:gridSpan w:val="2"/>
            <w:tcBorders>
              <w:top w:val="nil"/>
              <w:left w:val="nil"/>
              <w:bottom w:val="single" w:sz="4" w:space="0" w:color="auto"/>
              <w:right w:val="nil"/>
            </w:tcBorders>
            <w:shd w:val="clear" w:color="auto" w:fill="auto"/>
            <w:noWrap/>
            <w:vAlign w:val="bottom"/>
            <w:hideMark/>
          </w:tcPr>
          <w:p w14:paraId="2DD5FF8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w:t>
            </w:r>
          </w:p>
        </w:tc>
        <w:tc>
          <w:tcPr>
            <w:tcW w:w="733" w:type="dxa"/>
            <w:gridSpan w:val="2"/>
            <w:tcBorders>
              <w:top w:val="nil"/>
              <w:left w:val="nil"/>
              <w:bottom w:val="single" w:sz="4" w:space="0" w:color="auto"/>
              <w:right w:val="nil"/>
            </w:tcBorders>
            <w:shd w:val="clear" w:color="auto" w:fill="auto"/>
            <w:noWrap/>
            <w:vAlign w:val="bottom"/>
            <w:hideMark/>
          </w:tcPr>
          <w:p w14:paraId="05B8B38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732" w:type="dxa"/>
            <w:gridSpan w:val="2"/>
            <w:tcBorders>
              <w:top w:val="nil"/>
              <w:left w:val="nil"/>
              <w:bottom w:val="single" w:sz="4" w:space="0" w:color="auto"/>
              <w:right w:val="nil"/>
            </w:tcBorders>
            <w:shd w:val="clear" w:color="auto" w:fill="auto"/>
            <w:noWrap/>
            <w:vAlign w:val="bottom"/>
            <w:hideMark/>
          </w:tcPr>
          <w:p w14:paraId="19CC724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w:t>
            </w:r>
          </w:p>
        </w:tc>
        <w:tc>
          <w:tcPr>
            <w:tcW w:w="732" w:type="dxa"/>
            <w:gridSpan w:val="2"/>
            <w:tcBorders>
              <w:top w:val="nil"/>
              <w:left w:val="nil"/>
              <w:bottom w:val="single" w:sz="4" w:space="0" w:color="auto"/>
              <w:right w:val="nil"/>
            </w:tcBorders>
            <w:shd w:val="clear" w:color="auto" w:fill="auto"/>
            <w:noWrap/>
            <w:vAlign w:val="bottom"/>
            <w:hideMark/>
          </w:tcPr>
          <w:p w14:paraId="5348C9A9"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2A6D3741"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733" w:type="dxa"/>
            <w:tcBorders>
              <w:top w:val="nil"/>
              <w:left w:val="nil"/>
              <w:bottom w:val="single" w:sz="4" w:space="0" w:color="auto"/>
              <w:right w:val="nil"/>
            </w:tcBorders>
            <w:shd w:val="clear" w:color="auto" w:fill="auto"/>
            <w:noWrap/>
            <w:vAlign w:val="bottom"/>
            <w:hideMark/>
          </w:tcPr>
          <w:p w14:paraId="3AED90CE"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134" w:type="dxa"/>
            <w:tcBorders>
              <w:top w:val="nil"/>
              <w:left w:val="nil"/>
              <w:bottom w:val="single" w:sz="4" w:space="0" w:color="auto"/>
              <w:right w:val="nil"/>
            </w:tcBorders>
            <w:shd w:val="clear" w:color="auto" w:fill="auto"/>
            <w:noWrap/>
            <w:vAlign w:val="bottom"/>
            <w:hideMark/>
          </w:tcPr>
          <w:p w14:paraId="46D900A8"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263</w:t>
            </w:r>
          </w:p>
        </w:tc>
      </w:tr>
      <w:tr w:rsidR="00033A3F" w:rsidRPr="00033A3F" w14:paraId="7B0C817C"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7448D367"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732" w:type="dxa"/>
            <w:gridSpan w:val="2"/>
            <w:tcBorders>
              <w:top w:val="nil"/>
              <w:left w:val="nil"/>
              <w:bottom w:val="single" w:sz="4" w:space="0" w:color="auto"/>
              <w:right w:val="nil"/>
            </w:tcBorders>
            <w:shd w:val="clear" w:color="auto" w:fill="auto"/>
            <w:noWrap/>
            <w:vAlign w:val="bottom"/>
            <w:hideMark/>
          </w:tcPr>
          <w:p w14:paraId="28E30949"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p>
        </w:tc>
        <w:tc>
          <w:tcPr>
            <w:tcW w:w="732" w:type="dxa"/>
            <w:gridSpan w:val="2"/>
            <w:tcBorders>
              <w:top w:val="nil"/>
              <w:left w:val="nil"/>
              <w:bottom w:val="single" w:sz="4" w:space="0" w:color="auto"/>
              <w:right w:val="nil"/>
            </w:tcBorders>
            <w:shd w:val="clear" w:color="auto" w:fill="auto"/>
            <w:noWrap/>
            <w:vAlign w:val="bottom"/>
            <w:hideMark/>
          </w:tcPr>
          <w:p w14:paraId="28E7FA88"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p>
        </w:tc>
        <w:tc>
          <w:tcPr>
            <w:tcW w:w="732" w:type="dxa"/>
            <w:gridSpan w:val="2"/>
            <w:tcBorders>
              <w:top w:val="nil"/>
              <w:left w:val="nil"/>
              <w:bottom w:val="single" w:sz="4" w:space="0" w:color="auto"/>
              <w:right w:val="nil"/>
            </w:tcBorders>
            <w:shd w:val="clear" w:color="auto" w:fill="auto"/>
            <w:noWrap/>
            <w:vAlign w:val="bottom"/>
            <w:hideMark/>
          </w:tcPr>
          <w:p w14:paraId="6682F20B"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733" w:type="dxa"/>
            <w:gridSpan w:val="2"/>
            <w:tcBorders>
              <w:top w:val="nil"/>
              <w:left w:val="nil"/>
              <w:bottom w:val="single" w:sz="4" w:space="0" w:color="auto"/>
              <w:right w:val="nil"/>
            </w:tcBorders>
            <w:shd w:val="clear" w:color="auto" w:fill="auto"/>
            <w:noWrap/>
            <w:vAlign w:val="bottom"/>
            <w:hideMark/>
          </w:tcPr>
          <w:p w14:paraId="488C8A81"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p>
        </w:tc>
        <w:tc>
          <w:tcPr>
            <w:tcW w:w="732" w:type="dxa"/>
            <w:gridSpan w:val="2"/>
            <w:tcBorders>
              <w:top w:val="nil"/>
              <w:left w:val="nil"/>
              <w:bottom w:val="single" w:sz="4" w:space="0" w:color="auto"/>
              <w:right w:val="nil"/>
            </w:tcBorders>
            <w:shd w:val="clear" w:color="auto" w:fill="auto"/>
            <w:noWrap/>
            <w:vAlign w:val="bottom"/>
            <w:hideMark/>
          </w:tcPr>
          <w:p w14:paraId="52AA500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w:t>
            </w:r>
          </w:p>
        </w:tc>
        <w:tc>
          <w:tcPr>
            <w:tcW w:w="732" w:type="dxa"/>
            <w:gridSpan w:val="2"/>
            <w:tcBorders>
              <w:top w:val="nil"/>
              <w:left w:val="nil"/>
              <w:bottom w:val="single" w:sz="4" w:space="0" w:color="auto"/>
              <w:right w:val="nil"/>
            </w:tcBorders>
            <w:shd w:val="clear" w:color="auto" w:fill="auto"/>
            <w:noWrap/>
            <w:vAlign w:val="bottom"/>
            <w:hideMark/>
          </w:tcPr>
          <w:p w14:paraId="6ACCFC39"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w:t>
            </w:r>
          </w:p>
        </w:tc>
        <w:tc>
          <w:tcPr>
            <w:tcW w:w="732" w:type="dxa"/>
            <w:gridSpan w:val="2"/>
            <w:tcBorders>
              <w:top w:val="nil"/>
              <w:left w:val="nil"/>
              <w:bottom w:val="single" w:sz="4" w:space="0" w:color="auto"/>
              <w:right w:val="nil"/>
            </w:tcBorders>
            <w:shd w:val="clear" w:color="auto" w:fill="auto"/>
            <w:noWrap/>
            <w:vAlign w:val="bottom"/>
            <w:hideMark/>
          </w:tcPr>
          <w:p w14:paraId="54F5152F"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w:t>
            </w:r>
          </w:p>
        </w:tc>
        <w:tc>
          <w:tcPr>
            <w:tcW w:w="733" w:type="dxa"/>
            <w:tcBorders>
              <w:top w:val="nil"/>
              <w:left w:val="nil"/>
              <w:bottom w:val="single" w:sz="4" w:space="0" w:color="auto"/>
              <w:right w:val="nil"/>
            </w:tcBorders>
            <w:shd w:val="clear" w:color="auto" w:fill="auto"/>
            <w:noWrap/>
            <w:vAlign w:val="bottom"/>
            <w:hideMark/>
          </w:tcPr>
          <w:p w14:paraId="593A9D4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38B10B55"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375</w:t>
            </w:r>
          </w:p>
        </w:tc>
      </w:tr>
      <w:tr w:rsidR="00033A3F" w:rsidRPr="00033A3F" w14:paraId="24BF57B8"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29D0686F"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732" w:type="dxa"/>
            <w:gridSpan w:val="2"/>
            <w:tcBorders>
              <w:top w:val="nil"/>
              <w:left w:val="nil"/>
              <w:bottom w:val="single" w:sz="4" w:space="0" w:color="auto"/>
              <w:right w:val="nil"/>
            </w:tcBorders>
            <w:shd w:val="clear" w:color="auto" w:fill="auto"/>
            <w:noWrap/>
            <w:vAlign w:val="bottom"/>
            <w:hideMark/>
          </w:tcPr>
          <w:p w14:paraId="3B4343DD"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c>
          <w:tcPr>
            <w:tcW w:w="732" w:type="dxa"/>
            <w:gridSpan w:val="2"/>
            <w:tcBorders>
              <w:top w:val="nil"/>
              <w:left w:val="nil"/>
              <w:bottom w:val="single" w:sz="4" w:space="0" w:color="auto"/>
              <w:right w:val="nil"/>
            </w:tcBorders>
            <w:shd w:val="clear" w:color="auto" w:fill="auto"/>
            <w:noWrap/>
            <w:vAlign w:val="bottom"/>
            <w:hideMark/>
          </w:tcPr>
          <w:p w14:paraId="1E8F5173"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732" w:type="dxa"/>
            <w:gridSpan w:val="2"/>
            <w:tcBorders>
              <w:top w:val="nil"/>
              <w:left w:val="nil"/>
              <w:bottom w:val="single" w:sz="4" w:space="0" w:color="auto"/>
              <w:right w:val="nil"/>
            </w:tcBorders>
            <w:shd w:val="clear" w:color="auto" w:fill="auto"/>
            <w:noWrap/>
            <w:vAlign w:val="bottom"/>
            <w:hideMark/>
          </w:tcPr>
          <w:p w14:paraId="7B346C49"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w:t>
            </w:r>
          </w:p>
        </w:tc>
        <w:tc>
          <w:tcPr>
            <w:tcW w:w="733" w:type="dxa"/>
            <w:gridSpan w:val="2"/>
            <w:tcBorders>
              <w:top w:val="nil"/>
              <w:left w:val="nil"/>
              <w:bottom w:val="single" w:sz="4" w:space="0" w:color="auto"/>
              <w:right w:val="nil"/>
            </w:tcBorders>
            <w:shd w:val="clear" w:color="auto" w:fill="auto"/>
            <w:noWrap/>
            <w:vAlign w:val="bottom"/>
            <w:hideMark/>
          </w:tcPr>
          <w:p w14:paraId="252B1F9D"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85</w:t>
            </w:r>
          </w:p>
        </w:tc>
        <w:tc>
          <w:tcPr>
            <w:tcW w:w="732" w:type="dxa"/>
            <w:gridSpan w:val="2"/>
            <w:tcBorders>
              <w:top w:val="nil"/>
              <w:left w:val="nil"/>
              <w:bottom w:val="single" w:sz="4" w:space="0" w:color="auto"/>
              <w:right w:val="nil"/>
            </w:tcBorders>
            <w:shd w:val="clear" w:color="auto" w:fill="auto"/>
            <w:noWrap/>
            <w:vAlign w:val="bottom"/>
            <w:hideMark/>
          </w:tcPr>
          <w:p w14:paraId="02687D8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w:t>
            </w:r>
          </w:p>
        </w:tc>
        <w:tc>
          <w:tcPr>
            <w:tcW w:w="732" w:type="dxa"/>
            <w:gridSpan w:val="2"/>
            <w:tcBorders>
              <w:top w:val="nil"/>
              <w:left w:val="nil"/>
              <w:bottom w:val="single" w:sz="4" w:space="0" w:color="auto"/>
              <w:right w:val="nil"/>
            </w:tcBorders>
            <w:shd w:val="clear" w:color="auto" w:fill="auto"/>
            <w:noWrap/>
            <w:vAlign w:val="bottom"/>
            <w:hideMark/>
          </w:tcPr>
          <w:p w14:paraId="7DA3DC42"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w:t>
            </w:r>
          </w:p>
        </w:tc>
        <w:tc>
          <w:tcPr>
            <w:tcW w:w="732" w:type="dxa"/>
            <w:gridSpan w:val="2"/>
            <w:tcBorders>
              <w:top w:val="nil"/>
              <w:left w:val="nil"/>
              <w:bottom w:val="single" w:sz="4" w:space="0" w:color="auto"/>
              <w:right w:val="nil"/>
            </w:tcBorders>
            <w:shd w:val="clear" w:color="auto" w:fill="auto"/>
            <w:noWrap/>
            <w:vAlign w:val="bottom"/>
            <w:hideMark/>
          </w:tcPr>
          <w:p w14:paraId="1245CFB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w:t>
            </w:r>
          </w:p>
        </w:tc>
        <w:tc>
          <w:tcPr>
            <w:tcW w:w="733" w:type="dxa"/>
            <w:tcBorders>
              <w:top w:val="nil"/>
              <w:left w:val="nil"/>
              <w:bottom w:val="single" w:sz="4" w:space="0" w:color="auto"/>
              <w:right w:val="nil"/>
            </w:tcBorders>
            <w:shd w:val="clear" w:color="auto" w:fill="auto"/>
            <w:noWrap/>
            <w:vAlign w:val="bottom"/>
            <w:hideMark/>
          </w:tcPr>
          <w:p w14:paraId="1B3F1E2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w:t>
            </w:r>
          </w:p>
        </w:tc>
        <w:tc>
          <w:tcPr>
            <w:tcW w:w="1134" w:type="dxa"/>
            <w:tcBorders>
              <w:top w:val="nil"/>
              <w:left w:val="nil"/>
              <w:bottom w:val="single" w:sz="4" w:space="0" w:color="auto"/>
              <w:right w:val="nil"/>
            </w:tcBorders>
            <w:shd w:val="clear" w:color="auto" w:fill="auto"/>
            <w:noWrap/>
            <w:vAlign w:val="bottom"/>
            <w:hideMark/>
          </w:tcPr>
          <w:p w14:paraId="5F74F3F1"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625</w:t>
            </w:r>
          </w:p>
        </w:tc>
      </w:tr>
      <w:tr w:rsidR="00033A3F" w:rsidRPr="00033A3F" w14:paraId="7422DAE9"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5B94E849"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732" w:type="dxa"/>
            <w:gridSpan w:val="2"/>
            <w:tcBorders>
              <w:top w:val="nil"/>
              <w:left w:val="nil"/>
              <w:bottom w:val="single" w:sz="4" w:space="0" w:color="auto"/>
              <w:right w:val="nil"/>
            </w:tcBorders>
            <w:shd w:val="clear" w:color="auto" w:fill="auto"/>
            <w:noWrap/>
            <w:vAlign w:val="bottom"/>
            <w:hideMark/>
          </w:tcPr>
          <w:p w14:paraId="7AA02C6E"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104</w:t>
            </w:r>
          </w:p>
        </w:tc>
        <w:tc>
          <w:tcPr>
            <w:tcW w:w="732" w:type="dxa"/>
            <w:gridSpan w:val="2"/>
            <w:tcBorders>
              <w:top w:val="nil"/>
              <w:left w:val="nil"/>
              <w:bottom w:val="single" w:sz="4" w:space="0" w:color="auto"/>
              <w:right w:val="nil"/>
            </w:tcBorders>
            <w:shd w:val="clear" w:color="auto" w:fill="auto"/>
            <w:noWrap/>
            <w:vAlign w:val="bottom"/>
            <w:hideMark/>
          </w:tcPr>
          <w:p w14:paraId="6DD57816"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w:t>
            </w:r>
          </w:p>
        </w:tc>
        <w:tc>
          <w:tcPr>
            <w:tcW w:w="732" w:type="dxa"/>
            <w:gridSpan w:val="2"/>
            <w:tcBorders>
              <w:top w:val="nil"/>
              <w:left w:val="nil"/>
              <w:bottom w:val="single" w:sz="4" w:space="0" w:color="auto"/>
              <w:right w:val="nil"/>
            </w:tcBorders>
            <w:shd w:val="clear" w:color="auto" w:fill="auto"/>
            <w:noWrap/>
            <w:vAlign w:val="bottom"/>
            <w:hideMark/>
          </w:tcPr>
          <w:p w14:paraId="316CD536"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c>
          <w:tcPr>
            <w:tcW w:w="733" w:type="dxa"/>
            <w:gridSpan w:val="2"/>
            <w:tcBorders>
              <w:top w:val="nil"/>
              <w:left w:val="nil"/>
              <w:bottom w:val="single" w:sz="4" w:space="0" w:color="auto"/>
              <w:right w:val="nil"/>
            </w:tcBorders>
            <w:shd w:val="clear" w:color="auto" w:fill="auto"/>
            <w:noWrap/>
            <w:vAlign w:val="bottom"/>
            <w:hideMark/>
          </w:tcPr>
          <w:p w14:paraId="373C3DC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72</w:t>
            </w:r>
          </w:p>
        </w:tc>
        <w:tc>
          <w:tcPr>
            <w:tcW w:w="732" w:type="dxa"/>
            <w:gridSpan w:val="2"/>
            <w:tcBorders>
              <w:top w:val="nil"/>
              <w:left w:val="nil"/>
              <w:bottom w:val="single" w:sz="4" w:space="0" w:color="auto"/>
              <w:right w:val="nil"/>
            </w:tcBorders>
            <w:shd w:val="clear" w:color="auto" w:fill="auto"/>
            <w:noWrap/>
            <w:vAlign w:val="bottom"/>
            <w:hideMark/>
          </w:tcPr>
          <w:p w14:paraId="1D1AC7DF"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732" w:type="dxa"/>
            <w:gridSpan w:val="2"/>
            <w:tcBorders>
              <w:top w:val="nil"/>
              <w:left w:val="nil"/>
              <w:bottom w:val="single" w:sz="4" w:space="0" w:color="auto"/>
              <w:right w:val="nil"/>
            </w:tcBorders>
            <w:shd w:val="clear" w:color="auto" w:fill="auto"/>
            <w:noWrap/>
            <w:vAlign w:val="bottom"/>
            <w:hideMark/>
          </w:tcPr>
          <w:p w14:paraId="277281E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113</w:t>
            </w:r>
          </w:p>
        </w:tc>
        <w:tc>
          <w:tcPr>
            <w:tcW w:w="732" w:type="dxa"/>
            <w:gridSpan w:val="2"/>
            <w:tcBorders>
              <w:top w:val="nil"/>
              <w:left w:val="nil"/>
              <w:bottom w:val="single" w:sz="4" w:space="0" w:color="auto"/>
              <w:right w:val="nil"/>
            </w:tcBorders>
            <w:shd w:val="clear" w:color="auto" w:fill="auto"/>
            <w:noWrap/>
            <w:vAlign w:val="bottom"/>
            <w:hideMark/>
          </w:tcPr>
          <w:p w14:paraId="6EEEC7EB"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w:t>
            </w:r>
          </w:p>
        </w:tc>
        <w:tc>
          <w:tcPr>
            <w:tcW w:w="733" w:type="dxa"/>
            <w:tcBorders>
              <w:top w:val="nil"/>
              <w:left w:val="nil"/>
              <w:bottom w:val="single" w:sz="4" w:space="0" w:color="auto"/>
              <w:right w:val="nil"/>
            </w:tcBorders>
            <w:shd w:val="clear" w:color="auto" w:fill="auto"/>
            <w:noWrap/>
            <w:vAlign w:val="bottom"/>
            <w:hideMark/>
          </w:tcPr>
          <w:p w14:paraId="59788160"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134" w:type="dxa"/>
            <w:tcBorders>
              <w:top w:val="nil"/>
              <w:left w:val="nil"/>
              <w:bottom w:val="single" w:sz="4" w:space="0" w:color="auto"/>
              <w:right w:val="nil"/>
            </w:tcBorders>
            <w:shd w:val="clear" w:color="auto" w:fill="auto"/>
            <w:noWrap/>
            <w:vAlign w:val="bottom"/>
            <w:hideMark/>
          </w:tcPr>
          <w:p w14:paraId="7F081537"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404</w:t>
            </w:r>
          </w:p>
        </w:tc>
      </w:tr>
      <w:tr w:rsidR="00033A3F" w:rsidRPr="00033A3F" w14:paraId="7A66FB8B"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78350744"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732" w:type="dxa"/>
            <w:gridSpan w:val="2"/>
            <w:tcBorders>
              <w:top w:val="nil"/>
              <w:left w:val="nil"/>
              <w:bottom w:val="single" w:sz="4" w:space="0" w:color="auto"/>
              <w:right w:val="nil"/>
            </w:tcBorders>
            <w:shd w:val="clear" w:color="auto" w:fill="auto"/>
            <w:noWrap/>
            <w:vAlign w:val="bottom"/>
            <w:hideMark/>
          </w:tcPr>
          <w:p w14:paraId="2564A7D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161</w:t>
            </w:r>
          </w:p>
        </w:tc>
        <w:tc>
          <w:tcPr>
            <w:tcW w:w="732" w:type="dxa"/>
            <w:gridSpan w:val="2"/>
            <w:tcBorders>
              <w:top w:val="nil"/>
              <w:left w:val="nil"/>
              <w:bottom w:val="single" w:sz="4" w:space="0" w:color="auto"/>
              <w:right w:val="nil"/>
            </w:tcBorders>
            <w:shd w:val="clear" w:color="auto" w:fill="auto"/>
            <w:noWrap/>
            <w:vAlign w:val="bottom"/>
            <w:hideMark/>
          </w:tcPr>
          <w:p w14:paraId="218727B1"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732" w:type="dxa"/>
            <w:gridSpan w:val="2"/>
            <w:tcBorders>
              <w:top w:val="nil"/>
              <w:left w:val="nil"/>
              <w:bottom w:val="single" w:sz="4" w:space="0" w:color="auto"/>
              <w:right w:val="nil"/>
            </w:tcBorders>
            <w:shd w:val="clear" w:color="auto" w:fill="auto"/>
            <w:noWrap/>
            <w:vAlign w:val="bottom"/>
            <w:hideMark/>
          </w:tcPr>
          <w:p w14:paraId="590A633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80</w:t>
            </w:r>
          </w:p>
        </w:tc>
        <w:tc>
          <w:tcPr>
            <w:tcW w:w="733" w:type="dxa"/>
            <w:gridSpan w:val="2"/>
            <w:tcBorders>
              <w:top w:val="nil"/>
              <w:left w:val="nil"/>
              <w:bottom w:val="single" w:sz="4" w:space="0" w:color="auto"/>
              <w:right w:val="nil"/>
            </w:tcBorders>
            <w:shd w:val="clear" w:color="auto" w:fill="auto"/>
            <w:noWrap/>
            <w:vAlign w:val="bottom"/>
            <w:hideMark/>
          </w:tcPr>
          <w:p w14:paraId="7E8C9AAD"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73</w:t>
            </w:r>
          </w:p>
        </w:tc>
        <w:tc>
          <w:tcPr>
            <w:tcW w:w="732" w:type="dxa"/>
            <w:gridSpan w:val="2"/>
            <w:tcBorders>
              <w:top w:val="nil"/>
              <w:left w:val="nil"/>
              <w:bottom w:val="single" w:sz="4" w:space="0" w:color="auto"/>
              <w:right w:val="nil"/>
            </w:tcBorders>
            <w:shd w:val="clear" w:color="auto" w:fill="auto"/>
            <w:noWrap/>
            <w:vAlign w:val="bottom"/>
            <w:hideMark/>
          </w:tcPr>
          <w:p w14:paraId="7316E86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w:t>
            </w:r>
          </w:p>
        </w:tc>
        <w:tc>
          <w:tcPr>
            <w:tcW w:w="732" w:type="dxa"/>
            <w:gridSpan w:val="2"/>
            <w:tcBorders>
              <w:top w:val="nil"/>
              <w:left w:val="nil"/>
              <w:bottom w:val="single" w:sz="4" w:space="0" w:color="auto"/>
              <w:right w:val="nil"/>
            </w:tcBorders>
            <w:shd w:val="clear" w:color="auto" w:fill="auto"/>
            <w:noWrap/>
            <w:vAlign w:val="bottom"/>
            <w:hideMark/>
          </w:tcPr>
          <w:p w14:paraId="50DF173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156</w:t>
            </w:r>
          </w:p>
        </w:tc>
        <w:tc>
          <w:tcPr>
            <w:tcW w:w="732" w:type="dxa"/>
            <w:gridSpan w:val="2"/>
            <w:tcBorders>
              <w:top w:val="nil"/>
              <w:left w:val="nil"/>
              <w:bottom w:val="single" w:sz="4" w:space="0" w:color="auto"/>
              <w:right w:val="nil"/>
            </w:tcBorders>
            <w:shd w:val="clear" w:color="auto" w:fill="auto"/>
            <w:noWrap/>
            <w:vAlign w:val="bottom"/>
            <w:hideMark/>
          </w:tcPr>
          <w:p w14:paraId="198AFB7E"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140</w:t>
            </w:r>
          </w:p>
        </w:tc>
        <w:tc>
          <w:tcPr>
            <w:tcW w:w="733" w:type="dxa"/>
            <w:tcBorders>
              <w:top w:val="nil"/>
              <w:left w:val="nil"/>
              <w:bottom w:val="single" w:sz="4" w:space="0" w:color="auto"/>
              <w:right w:val="nil"/>
            </w:tcBorders>
            <w:shd w:val="clear" w:color="auto" w:fill="auto"/>
            <w:noWrap/>
            <w:vAlign w:val="bottom"/>
            <w:hideMark/>
          </w:tcPr>
          <w:p w14:paraId="03DEC813"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1134" w:type="dxa"/>
            <w:tcBorders>
              <w:top w:val="nil"/>
              <w:left w:val="nil"/>
              <w:bottom w:val="single" w:sz="4" w:space="0" w:color="auto"/>
              <w:right w:val="nil"/>
            </w:tcBorders>
            <w:shd w:val="clear" w:color="auto" w:fill="auto"/>
            <w:noWrap/>
            <w:vAlign w:val="bottom"/>
            <w:hideMark/>
          </w:tcPr>
          <w:p w14:paraId="14AE3654"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697</w:t>
            </w:r>
          </w:p>
        </w:tc>
      </w:tr>
      <w:tr w:rsidR="00033A3F" w:rsidRPr="00033A3F" w14:paraId="396F4958" w14:textId="77777777" w:rsidTr="00776EBB">
        <w:trPr>
          <w:trHeight w:val="330"/>
        </w:trPr>
        <w:tc>
          <w:tcPr>
            <w:tcW w:w="2080" w:type="dxa"/>
            <w:tcBorders>
              <w:top w:val="nil"/>
              <w:left w:val="nil"/>
              <w:bottom w:val="double" w:sz="6" w:space="0" w:color="auto"/>
              <w:right w:val="nil"/>
            </w:tcBorders>
            <w:shd w:val="clear" w:color="auto" w:fill="auto"/>
            <w:noWrap/>
            <w:vAlign w:val="bottom"/>
            <w:hideMark/>
          </w:tcPr>
          <w:p w14:paraId="5BCD0B31"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732" w:type="dxa"/>
            <w:gridSpan w:val="2"/>
            <w:tcBorders>
              <w:top w:val="nil"/>
              <w:left w:val="nil"/>
              <w:bottom w:val="double" w:sz="6" w:space="0" w:color="auto"/>
              <w:right w:val="nil"/>
            </w:tcBorders>
            <w:shd w:val="clear" w:color="auto" w:fill="auto"/>
            <w:noWrap/>
            <w:vAlign w:val="bottom"/>
            <w:hideMark/>
          </w:tcPr>
          <w:p w14:paraId="64332ED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w:t>
            </w:r>
          </w:p>
        </w:tc>
        <w:tc>
          <w:tcPr>
            <w:tcW w:w="732" w:type="dxa"/>
            <w:gridSpan w:val="2"/>
            <w:tcBorders>
              <w:top w:val="nil"/>
              <w:left w:val="nil"/>
              <w:bottom w:val="double" w:sz="6" w:space="0" w:color="auto"/>
              <w:right w:val="nil"/>
            </w:tcBorders>
            <w:shd w:val="clear" w:color="auto" w:fill="auto"/>
            <w:noWrap/>
            <w:vAlign w:val="bottom"/>
            <w:hideMark/>
          </w:tcPr>
          <w:p w14:paraId="1A98D85B"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732" w:type="dxa"/>
            <w:gridSpan w:val="2"/>
            <w:tcBorders>
              <w:top w:val="nil"/>
              <w:left w:val="nil"/>
              <w:bottom w:val="double" w:sz="6" w:space="0" w:color="auto"/>
              <w:right w:val="nil"/>
            </w:tcBorders>
            <w:shd w:val="clear" w:color="auto" w:fill="auto"/>
            <w:noWrap/>
            <w:vAlign w:val="bottom"/>
            <w:hideMark/>
          </w:tcPr>
          <w:p w14:paraId="74B0E443"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733" w:type="dxa"/>
            <w:gridSpan w:val="2"/>
            <w:tcBorders>
              <w:top w:val="nil"/>
              <w:left w:val="nil"/>
              <w:bottom w:val="double" w:sz="6" w:space="0" w:color="auto"/>
              <w:right w:val="nil"/>
            </w:tcBorders>
            <w:shd w:val="clear" w:color="auto" w:fill="auto"/>
            <w:noWrap/>
            <w:vAlign w:val="bottom"/>
            <w:hideMark/>
          </w:tcPr>
          <w:p w14:paraId="4131C9F0"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85</w:t>
            </w:r>
          </w:p>
        </w:tc>
        <w:tc>
          <w:tcPr>
            <w:tcW w:w="732" w:type="dxa"/>
            <w:gridSpan w:val="2"/>
            <w:tcBorders>
              <w:top w:val="nil"/>
              <w:left w:val="nil"/>
              <w:bottom w:val="double" w:sz="6" w:space="0" w:color="auto"/>
              <w:right w:val="nil"/>
            </w:tcBorders>
            <w:shd w:val="clear" w:color="auto" w:fill="auto"/>
            <w:noWrap/>
            <w:vAlign w:val="bottom"/>
            <w:hideMark/>
          </w:tcPr>
          <w:p w14:paraId="2E1CCFB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86</w:t>
            </w:r>
          </w:p>
        </w:tc>
        <w:tc>
          <w:tcPr>
            <w:tcW w:w="732" w:type="dxa"/>
            <w:gridSpan w:val="2"/>
            <w:tcBorders>
              <w:top w:val="nil"/>
              <w:left w:val="nil"/>
              <w:bottom w:val="double" w:sz="6" w:space="0" w:color="auto"/>
              <w:right w:val="nil"/>
            </w:tcBorders>
            <w:shd w:val="clear" w:color="auto" w:fill="auto"/>
            <w:noWrap/>
            <w:vAlign w:val="bottom"/>
            <w:hideMark/>
          </w:tcPr>
          <w:p w14:paraId="225A2715"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145</w:t>
            </w:r>
          </w:p>
        </w:tc>
        <w:tc>
          <w:tcPr>
            <w:tcW w:w="732" w:type="dxa"/>
            <w:gridSpan w:val="2"/>
            <w:tcBorders>
              <w:top w:val="nil"/>
              <w:left w:val="nil"/>
              <w:bottom w:val="double" w:sz="6" w:space="0" w:color="auto"/>
              <w:right w:val="nil"/>
            </w:tcBorders>
            <w:shd w:val="clear" w:color="auto" w:fill="auto"/>
            <w:noWrap/>
            <w:vAlign w:val="bottom"/>
            <w:hideMark/>
          </w:tcPr>
          <w:p w14:paraId="779A048D"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155</w:t>
            </w:r>
          </w:p>
        </w:tc>
        <w:tc>
          <w:tcPr>
            <w:tcW w:w="733" w:type="dxa"/>
            <w:tcBorders>
              <w:top w:val="nil"/>
              <w:left w:val="nil"/>
              <w:bottom w:val="double" w:sz="6" w:space="0" w:color="auto"/>
              <w:right w:val="nil"/>
            </w:tcBorders>
            <w:shd w:val="clear" w:color="auto" w:fill="auto"/>
            <w:noWrap/>
            <w:vAlign w:val="bottom"/>
            <w:hideMark/>
          </w:tcPr>
          <w:p w14:paraId="6AAD90B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1134" w:type="dxa"/>
            <w:tcBorders>
              <w:top w:val="nil"/>
              <w:left w:val="nil"/>
              <w:bottom w:val="single" w:sz="4" w:space="0" w:color="auto"/>
              <w:right w:val="nil"/>
            </w:tcBorders>
            <w:shd w:val="clear" w:color="auto" w:fill="auto"/>
            <w:noWrap/>
            <w:vAlign w:val="bottom"/>
            <w:hideMark/>
          </w:tcPr>
          <w:p w14:paraId="1F95306B"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738</w:t>
            </w:r>
          </w:p>
        </w:tc>
      </w:tr>
      <w:tr w:rsidR="00033A3F" w:rsidRPr="00033A3F" w14:paraId="48E5F4FF" w14:textId="77777777" w:rsidTr="00776EBB">
        <w:trPr>
          <w:trHeight w:val="345"/>
        </w:trPr>
        <w:tc>
          <w:tcPr>
            <w:tcW w:w="2080" w:type="dxa"/>
            <w:tcBorders>
              <w:top w:val="nil"/>
              <w:left w:val="nil"/>
              <w:bottom w:val="double" w:sz="6" w:space="0" w:color="auto"/>
              <w:right w:val="nil"/>
            </w:tcBorders>
            <w:shd w:val="clear" w:color="auto" w:fill="auto"/>
            <w:noWrap/>
            <w:vAlign w:val="bottom"/>
            <w:hideMark/>
          </w:tcPr>
          <w:p w14:paraId="7D5D91F4" w14:textId="77777777" w:rsidR="00B23EEC" w:rsidRPr="00033A3F" w:rsidRDefault="00B23EEC" w:rsidP="00B23EE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r w:rsidR="00A27CDB" w:rsidRPr="00033A3F">
              <w:rPr>
                <w:rFonts w:eastAsia="Times New Roman"/>
                <w:b/>
                <w:bCs/>
                <w:color w:val="000000" w:themeColor="text1"/>
                <w:szCs w:val="24"/>
                <w:lang w:eastAsia="cs-CZ"/>
              </w:rPr>
              <w:t xml:space="preserve"> 2024</w:t>
            </w:r>
          </w:p>
        </w:tc>
        <w:tc>
          <w:tcPr>
            <w:tcW w:w="732" w:type="dxa"/>
            <w:gridSpan w:val="2"/>
            <w:tcBorders>
              <w:top w:val="nil"/>
              <w:left w:val="nil"/>
              <w:bottom w:val="double" w:sz="6" w:space="0" w:color="auto"/>
              <w:right w:val="nil"/>
            </w:tcBorders>
            <w:shd w:val="clear" w:color="auto" w:fill="auto"/>
            <w:noWrap/>
            <w:vAlign w:val="bottom"/>
            <w:hideMark/>
          </w:tcPr>
          <w:p w14:paraId="09B52771" w14:textId="011258C2"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7A5200"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025</w:t>
            </w:r>
          </w:p>
        </w:tc>
        <w:tc>
          <w:tcPr>
            <w:tcW w:w="732" w:type="dxa"/>
            <w:gridSpan w:val="2"/>
            <w:tcBorders>
              <w:top w:val="nil"/>
              <w:left w:val="nil"/>
              <w:bottom w:val="double" w:sz="6" w:space="0" w:color="auto"/>
              <w:right w:val="nil"/>
            </w:tcBorders>
            <w:shd w:val="clear" w:color="auto" w:fill="auto"/>
            <w:noWrap/>
            <w:vAlign w:val="bottom"/>
            <w:hideMark/>
          </w:tcPr>
          <w:p w14:paraId="05B6DFD0"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153</w:t>
            </w:r>
          </w:p>
        </w:tc>
        <w:tc>
          <w:tcPr>
            <w:tcW w:w="732" w:type="dxa"/>
            <w:gridSpan w:val="2"/>
            <w:tcBorders>
              <w:top w:val="nil"/>
              <w:left w:val="nil"/>
              <w:bottom w:val="double" w:sz="6" w:space="0" w:color="auto"/>
              <w:right w:val="nil"/>
            </w:tcBorders>
            <w:shd w:val="clear" w:color="auto" w:fill="auto"/>
            <w:noWrap/>
            <w:vAlign w:val="bottom"/>
            <w:hideMark/>
          </w:tcPr>
          <w:p w14:paraId="53B4E629"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432</w:t>
            </w:r>
          </w:p>
        </w:tc>
        <w:tc>
          <w:tcPr>
            <w:tcW w:w="733" w:type="dxa"/>
            <w:gridSpan w:val="2"/>
            <w:tcBorders>
              <w:top w:val="nil"/>
              <w:left w:val="nil"/>
              <w:bottom w:val="double" w:sz="6" w:space="0" w:color="auto"/>
              <w:right w:val="nil"/>
            </w:tcBorders>
            <w:shd w:val="clear" w:color="auto" w:fill="auto"/>
            <w:noWrap/>
            <w:vAlign w:val="bottom"/>
            <w:hideMark/>
          </w:tcPr>
          <w:p w14:paraId="5DEE8431"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565</w:t>
            </w:r>
          </w:p>
        </w:tc>
        <w:tc>
          <w:tcPr>
            <w:tcW w:w="732" w:type="dxa"/>
            <w:gridSpan w:val="2"/>
            <w:tcBorders>
              <w:top w:val="nil"/>
              <w:left w:val="nil"/>
              <w:bottom w:val="double" w:sz="6" w:space="0" w:color="auto"/>
              <w:right w:val="nil"/>
            </w:tcBorders>
            <w:shd w:val="clear" w:color="auto" w:fill="auto"/>
            <w:noWrap/>
            <w:vAlign w:val="bottom"/>
            <w:hideMark/>
          </w:tcPr>
          <w:p w14:paraId="225228B7"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435</w:t>
            </w:r>
          </w:p>
        </w:tc>
        <w:tc>
          <w:tcPr>
            <w:tcW w:w="732" w:type="dxa"/>
            <w:gridSpan w:val="2"/>
            <w:tcBorders>
              <w:top w:val="nil"/>
              <w:left w:val="nil"/>
              <w:bottom w:val="double" w:sz="6" w:space="0" w:color="auto"/>
              <w:right w:val="nil"/>
            </w:tcBorders>
            <w:shd w:val="clear" w:color="auto" w:fill="auto"/>
            <w:noWrap/>
            <w:vAlign w:val="bottom"/>
            <w:hideMark/>
          </w:tcPr>
          <w:p w14:paraId="44F0B0F3"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813</w:t>
            </w:r>
          </w:p>
        </w:tc>
        <w:tc>
          <w:tcPr>
            <w:tcW w:w="732" w:type="dxa"/>
            <w:gridSpan w:val="2"/>
            <w:tcBorders>
              <w:top w:val="nil"/>
              <w:left w:val="nil"/>
              <w:bottom w:val="double" w:sz="6" w:space="0" w:color="auto"/>
              <w:right w:val="nil"/>
            </w:tcBorders>
            <w:shd w:val="clear" w:color="auto" w:fill="auto"/>
            <w:noWrap/>
            <w:vAlign w:val="bottom"/>
            <w:hideMark/>
          </w:tcPr>
          <w:p w14:paraId="60C12428"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757</w:t>
            </w:r>
          </w:p>
        </w:tc>
        <w:tc>
          <w:tcPr>
            <w:tcW w:w="733" w:type="dxa"/>
            <w:tcBorders>
              <w:top w:val="nil"/>
              <w:left w:val="nil"/>
              <w:bottom w:val="double" w:sz="6" w:space="0" w:color="auto"/>
              <w:right w:val="nil"/>
            </w:tcBorders>
            <w:shd w:val="clear" w:color="auto" w:fill="auto"/>
            <w:noWrap/>
            <w:vAlign w:val="bottom"/>
            <w:hideMark/>
          </w:tcPr>
          <w:p w14:paraId="6C94F01D"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80</w:t>
            </w:r>
          </w:p>
        </w:tc>
        <w:tc>
          <w:tcPr>
            <w:tcW w:w="1134" w:type="dxa"/>
            <w:tcBorders>
              <w:top w:val="double" w:sz="6" w:space="0" w:color="auto"/>
              <w:left w:val="nil"/>
              <w:bottom w:val="double" w:sz="6" w:space="0" w:color="auto"/>
              <w:right w:val="nil"/>
            </w:tcBorders>
            <w:shd w:val="clear" w:color="auto" w:fill="auto"/>
            <w:noWrap/>
            <w:vAlign w:val="bottom"/>
            <w:hideMark/>
          </w:tcPr>
          <w:p w14:paraId="28CC83B8" w14:textId="5F4088F6"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w:t>
            </w:r>
            <w:r w:rsidR="00776EBB"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260</w:t>
            </w:r>
          </w:p>
        </w:tc>
      </w:tr>
      <w:tr w:rsidR="00033A3F" w:rsidRPr="00033A3F" w14:paraId="4EEC1F72" w14:textId="77777777" w:rsidTr="00776EBB">
        <w:trPr>
          <w:trHeight w:val="345"/>
        </w:trPr>
        <w:tc>
          <w:tcPr>
            <w:tcW w:w="2080" w:type="dxa"/>
            <w:tcBorders>
              <w:top w:val="nil"/>
              <w:left w:val="nil"/>
              <w:bottom w:val="double" w:sz="6" w:space="0" w:color="auto"/>
              <w:right w:val="nil"/>
            </w:tcBorders>
            <w:shd w:val="clear" w:color="auto" w:fill="auto"/>
            <w:noWrap/>
            <w:vAlign w:val="bottom"/>
          </w:tcPr>
          <w:p w14:paraId="69DDAA38" w14:textId="040A5C3B" w:rsidR="00A27CDB" w:rsidRPr="00033A3F" w:rsidRDefault="00A27CDB" w:rsidP="00B23EE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 2023</w:t>
            </w:r>
          </w:p>
        </w:tc>
        <w:tc>
          <w:tcPr>
            <w:tcW w:w="732" w:type="dxa"/>
            <w:gridSpan w:val="2"/>
            <w:tcBorders>
              <w:top w:val="nil"/>
              <w:left w:val="nil"/>
              <w:bottom w:val="double" w:sz="6" w:space="0" w:color="auto"/>
              <w:right w:val="nil"/>
            </w:tcBorders>
            <w:shd w:val="clear" w:color="auto" w:fill="auto"/>
            <w:noWrap/>
            <w:vAlign w:val="bottom"/>
          </w:tcPr>
          <w:p w14:paraId="77D82173" w14:textId="06905D7A"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DD56EB">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003</w:t>
            </w:r>
          </w:p>
        </w:tc>
        <w:tc>
          <w:tcPr>
            <w:tcW w:w="732" w:type="dxa"/>
            <w:gridSpan w:val="2"/>
            <w:tcBorders>
              <w:top w:val="nil"/>
              <w:left w:val="nil"/>
              <w:bottom w:val="double" w:sz="6" w:space="0" w:color="auto"/>
              <w:right w:val="nil"/>
            </w:tcBorders>
            <w:shd w:val="clear" w:color="auto" w:fill="auto"/>
            <w:noWrap/>
            <w:vAlign w:val="bottom"/>
          </w:tcPr>
          <w:p w14:paraId="39882353" w14:textId="3D2B67F9"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144</w:t>
            </w:r>
          </w:p>
        </w:tc>
        <w:tc>
          <w:tcPr>
            <w:tcW w:w="732" w:type="dxa"/>
            <w:gridSpan w:val="2"/>
            <w:tcBorders>
              <w:top w:val="nil"/>
              <w:left w:val="nil"/>
              <w:bottom w:val="double" w:sz="6" w:space="0" w:color="auto"/>
              <w:right w:val="nil"/>
            </w:tcBorders>
            <w:shd w:val="clear" w:color="auto" w:fill="auto"/>
            <w:noWrap/>
            <w:vAlign w:val="bottom"/>
          </w:tcPr>
          <w:p w14:paraId="36C00C62" w14:textId="3093B1A8"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449</w:t>
            </w:r>
          </w:p>
        </w:tc>
        <w:tc>
          <w:tcPr>
            <w:tcW w:w="733" w:type="dxa"/>
            <w:gridSpan w:val="2"/>
            <w:tcBorders>
              <w:top w:val="nil"/>
              <w:left w:val="nil"/>
              <w:bottom w:val="double" w:sz="6" w:space="0" w:color="auto"/>
              <w:right w:val="nil"/>
            </w:tcBorders>
            <w:shd w:val="clear" w:color="auto" w:fill="auto"/>
            <w:noWrap/>
            <w:vAlign w:val="bottom"/>
          </w:tcPr>
          <w:p w14:paraId="00A7CE4B" w14:textId="750E70CA"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536</w:t>
            </w:r>
          </w:p>
        </w:tc>
        <w:tc>
          <w:tcPr>
            <w:tcW w:w="732" w:type="dxa"/>
            <w:gridSpan w:val="2"/>
            <w:tcBorders>
              <w:top w:val="nil"/>
              <w:left w:val="nil"/>
              <w:bottom w:val="double" w:sz="6" w:space="0" w:color="auto"/>
              <w:right w:val="nil"/>
            </w:tcBorders>
            <w:shd w:val="clear" w:color="auto" w:fill="auto"/>
            <w:noWrap/>
            <w:vAlign w:val="bottom"/>
          </w:tcPr>
          <w:p w14:paraId="40A1B9AF" w14:textId="2A7BED0F"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422</w:t>
            </w:r>
          </w:p>
        </w:tc>
        <w:tc>
          <w:tcPr>
            <w:tcW w:w="732" w:type="dxa"/>
            <w:gridSpan w:val="2"/>
            <w:tcBorders>
              <w:top w:val="nil"/>
              <w:left w:val="nil"/>
              <w:bottom w:val="double" w:sz="6" w:space="0" w:color="auto"/>
              <w:right w:val="nil"/>
            </w:tcBorders>
            <w:shd w:val="clear" w:color="auto" w:fill="auto"/>
            <w:noWrap/>
            <w:vAlign w:val="bottom"/>
          </w:tcPr>
          <w:p w14:paraId="175D4F63" w14:textId="7BBB854C"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871</w:t>
            </w:r>
          </w:p>
        </w:tc>
        <w:tc>
          <w:tcPr>
            <w:tcW w:w="732" w:type="dxa"/>
            <w:gridSpan w:val="2"/>
            <w:tcBorders>
              <w:top w:val="nil"/>
              <w:left w:val="nil"/>
              <w:bottom w:val="double" w:sz="6" w:space="0" w:color="auto"/>
              <w:right w:val="nil"/>
            </w:tcBorders>
            <w:shd w:val="clear" w:color="auto" w:fill="auto"/>
            <w:noWrap/>
            <w:vAlign w:val="bottom"/>
          </w:tcPr>
          <w:p w14:paraId="71BB3B9D" w14:textId="05682B95"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791</w:t>
            </w:r>
          </w:p>
        </w:tc>
        <w:tc>
          <w:tcPr>
            <w:tcW w:w="733" w:type="dxa"/>
            <w:tcBorders>
              <w:top w:val="nil"/>
              <w:left w:val="nil"/>
              <w:bottom w:val="double" w:sz="6" w:space="0" w:color="auto"/>
              <w:right w:val="nil"/>
            </w:tcBorders>
            <w:shd w:val="clear" w:color="auto" w:fill="auto"/>
            <w:noWrap/>
            <w:vAlign w:val="bottom"/>
          </w:tcPr>
          <w:p w14:paraId="36EAEE25" w14:textId="3E206FFE"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83</w:t>
            </w:r>
          </w:p>
        </w:tc>
        <w:tc>
          <w:tcPr>
            <w:tcW w:w="1134" w:type="dxa"/>
            <w:tcBorders>
              <w:top w:val="double" w:sz="6" w:space="0" w:color="auto"/>
              <w:left w:val="nil"/>
              <w:bottom w:val="double" w:sz="6" w:space="0" w:color="auto"/>
              <w:right w:val="nil"/>
            </w:tcBorders>
            <w:shd w:val="clear" w:color="auto" w:fill="auto"/>
            <w:noWrap/>
            <w:vAlign w:val="bottom"/>
          </w:tcPr>
          <w:p w14:paraId="6DBEE1DF" w14:textId="6B5ED068"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w:t>
            </w:r>
            <w:r w:rsidR="00DD56EB">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299</w:t>
            </w:r>
          </w:p>
        </w:tc>
      </w:tr>
      <w:tr w:rsidR="00033A3F" w:rsidRPr="00033A3F" w14:paraId="6ACF2675" w14:textId="77777777" w:rsidTr="00776EBB">
        <w:trPr>
          <w:trHeight w:val="330"/>
        </w:trPr>
        <w:tc>
          <w:tcPr>
            <w:tcW w:w="2080" w:type="dxa"/>
            <w:tcBorders>
              <w:top w:val="nil"/>
              <w:left w:val="nil"/>
              <w:bottom w:val="nil"/>
              <w:right w:val="nil"/>
            </w:tcBorders>
            <w:shd w:val="clear" w:color="auto" w:fill="auto"/>
            <w:noWrap/>
            <w:vAlign w:val="bottom"/>
            <w:hideMark/>
          </w:tcPr>
          <w:p w14:paraId="38F4BB98" w14:textId="77777777" w:rsidR="00B23EEC" w:rsidRPr="00033A3F" w:rsidRDefault="00B23EEC" w:rsidP="00B23EEC">
            <w:pPr>
              <w:spacing w:line="240" w:lineRule="auto"/>
              <w:jc w:val="center"/>
              <w:rPr>
                <w:rFonts w:eastAsia="Times New Roman"/>
                <w:b/>
                <w:bCs/>
                <w:color w:val="000000" w:themeColor="text1"/>
                <w:szCs w:val="24"/>
                <w:lang w:eastAsia="cs-CZ"/>
              </w:rPr>
            </w:pPr>
          </w:p>
        </w:tc>
        <w:tc>
          <w:tcPr>
            <w:tcW w:w="714" w:type="dxa"/>
            <w:tcBorders>
              <w:top w:val="nil"/>
              <w:left w:val="nil"/>
              <w:bottom w:val="nil"/>
              <w:right w:val="nil"/>
            </w:tcBorders>
            <w:shd w:val="clear" w:color="auto" w:fill="auto"/>
            <w:noWrap/>
            <w:vAlign w:val="bottom"/>
            <w:hideMark/>
          </w:tcPr>
          <w:p w14:paraId="1FCD91B5"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5" w:type="dxa"/>
            <w:gridSpan w:val="2"/>
            <w:tcBorders>
              <w:top w:val="nil"/>
              <w:left w:val="nil"/>
              <w:bottom w:val="nil"/>
              <w:right w:val="nil"/>
            </w:tcBorders>
            <w:shd w:val="clear" w:color="auto" w:fill="auto"/>
            <w:noWrap/>
            <w:vAlign w:val="bottom"/>
            <w:hideMark/>
          </w:tcPr>
          <w:p w14:paraId="2C5B9E47"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4" w:type="dxa"/>
            <w:gridSpan w:val="2"/>
            <w:tcBorders>
              <w:top w:val="nil"/>
              <w:left w:val="nil"/>
              <w:bottom w:val="nil"/>
              <w:right w:val="nil"/>
            </w:tcBorders>
            <w:shd w:val="clear" w:color="auto" w:fill="auto"/>
            <w:noWrap/>
            <w:vAlign w:val="bottom"/>
            <w:hideMark/>
          </w:tcPr>
          <w:p w14:paraId="51D3D53F"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5" w:type="dxa"/>
            <w:gridSpan w:val="2"/>
            <w:tcBorders>
              <w:top w:val="nil"/>
              <w:left w:val="nil"/>
              <w:bottom w:val="nil"/>
              <w:right w:val="nil"/>
            </w:tcBorders>
            <w:shd w:val="clear" w:color="auto" w:fill="auto"/>
            <w:noWrap/>
            <w:vAlign w:val="bottom"/>
            <w:hideMark/>
          </w:tcPr>
          <w:p w14:paraId="46A8A85B"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5" w:type="dxa"/>
            <w:gridSpan w:val="2"/>
            <w:tcBorders>
              <w:top w:val="nil"/>
              <w:left w:val="nil"/>
              <w:bottom w:val="nil"/>
              <w:right w:val="nil"/>
            </w:tcBorders>
            <w:shd w:val="clear" w:color="auto" w:fill="auto"/>
            <w:noWrap/>
            <w:vAlign w:val="bottom"/>
            <w:hideMark/>
          </w:tcPr>
          <w:p w14:paraId="4F4F7610"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4" w:type="dxa"/>
            <w:gridSpan w:val="2"/>
            <w:tcBorders>
              <w:top w:val="nil"/>
              <w:left w:val="nil"/>
              <w:bottom w:val="nil"/>
              <w:right w:val="nil"/>
            </w:tcBorders>
            <w:shd w:val="clear" w:color="auto" w:fill="auto"/>
            <w:noWrap/>
            <w:vAlign w:val="bottom"/>
            <w:hideMark/>
          </w:tcPr>
          <w:p w14:paraId="367116D5"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5" w:type="dxa"/>
            <w:gridSpan w:val="2"/>
            <w:tcBorders>
              <w:top w:val="nil"/>
              <w:left w:val="nil"/>
              <w:bottom w:val="nil"/>
              <w:right w:val="nil"/>
            </w:tcBorders>
            <w:shd w:val="clear" w:color="auto" w:fill="auto"/>
            <w:noWrap/>
            <w:vAlign w:val="bottom"/>
            <w:hideMark/>
          </w:tcPr>
          <w:p w14:paraId="2B85CD1C"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856" w:type="dxa"/>
            <w:gridSpan w:val="2"/>
            <w:tcBorders>
              <w:top w:val="nil"/>
              <w:left w:val="nil"/>
              <w:bottom w:val="nil"/>
              <w:right w:val="nil"/>
            </w:tcBorders>
            <w:shd w:val="clear" w:color="auto" w:fill="auto"/>
            <w:noWrap/>
            <w:vAlign w:val="bottom"/>
            <w:hideMark/>
          </w:tcPr>
          <w:p w14:paraId="471A7BF2"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1134" w:type="dxa"/>
            <w:tcBorders>
              <w:top w:val="nil"/>
              <w:left w:val="nil"/>
              <w:bottom w:val="nil"/>
              <w:right w:val="nil"/>
            </w:tcBorders>
            <w:shd w:val="clear" w:color="auto" w:fill="auto"/>
            <w:noWrap/>
            <w:vAlign w:val="bottom"/>
            <w:hideMark/>
          </w:tcPr>
          <w:p w14:paraId="5E11C569"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r>
    </w:tbl>
    <w:p w14:paraId="5D9D73C2" w14:textId="150109CA" w:rsidR="00B23EEC" w:rsidRPr="00033A3F" w:rsidRDefault="00B23EEC" w:rsidP="00B23EEC">
      <w:pPr>
        <w:pStyle w:val="OdstavecASR"/>
        <w:rPr>
          <w:color w:val="000000" w:themeColor="text1"/>
        </w:rPr>
      </w:pPr>
      <w:r w:rsidRPr="00033A3F">
        <w:rPr>
          <w:color w:val="000000" w:themeColor="text1"/>
        </w:rPr>
        <w:t>K 1. 1. </w:t>
      </w:r>
      <w:r w:rsidR="00373D3A" w:rsidRPr="00033A3F">
        <w:rPr>
          <w:color w:val="000000" w:themeColor="text1"/>
        </w:rPr>
        <w:t>2024</w:t>
      </w:r>
      <w:r w:rsidRPr="00033A3F">
        <w:rPr>
          <w:color w:val="000000" w:themeColor="text1"/>
        </w:rPr>
        <w:t xml:space="preserve"> pracovalo u okresních soudů celkem 4 260 zaměstnanců ve výkonu. Celkový počet se </w:t>
      </w:r>
      <w:r w:rsidR="00A27CDB" w:rsidRPr="00033A3F">
        <w:rPr>
          <w:color w:val="000000" w:themeColor="text1"/>
        </w:rPr>
        <w:t>v porovnání s rokem 2023 snížil o 39 osob</w:t>
      </w:r>
      <w:r w:rsidRPr="00033A3F">
        <w:rPr>
          <w:color w:val="000000" w:themeColor="text1"/>
        </w:rPr>
        <w:t xml:space="preserve"> K</w:t>
      </w:r>
      <w:r w:rsidR="00F15506" w:rsidRPr="00033A3F">
        <w:rPr>
          <w:color w:val="000000" w:themeColor="text1"/>
        </w:rPr>
        <w:t xml:space="preserve"> určitým </w:t>
      </w:r>
      <w:r w:rsidRPr="00033A3F">
        <w:rPr>
          <w:color w:val="000000" w:themeColor="text1"/>
        </w:rPr>
        <w:t xml:space="preserve">posunům nicméně </w:t>
      </w:r>
      <w:r w:rsidR="00F15506" w:rsidRPr="00033A3F">
        <w:rPr>
          <w:color w:val="000000" w:themeColor="text1"/>
        </w:rPr>
        <w:t>každý rok</w:t>
      </w:r>
      <w:r w:rsidRPr="00033A3F">
        <w:rPr>
          <w:color w:val="000000" w:themeColor="text1"/>
        </w:rPr>
        <w:t xml:space="preserve"> dochází mezi jednotlivými kategoriemi zaměstnanců. Pro úplnost následuje krátké shrnutí pravomocí a pracovní náplně jednotlivých pracovníků soudu:</w:t>
      </w:r>
    </w:p>
    <w:p w14:paraId="7C6EC765" w14:textId="77777777" w:rsidR="00B23EEC" w:rsidRPr="00033A3F" w:rsidRDefault="00B23EEC" w:rsidP="00B23EEC">
      <w:pPr>
        <w:pStyle w:val="OdstavecASR"/>
        <w:numPr>
          <w:ilvl w:val="0"/>
          <w:numId w:val="16"/>
        </w:numPr>
        <w:rPr>
          <w:color w:val="000000" w:themeColor="text1"/>
        </w:rPr>
      </w:pPr>
      <w:r w:rsidRPr="00033A3F">
        <w:rPr>
          <w:b/>
          <w:color w:val="000000" w:themeColor="text1"/>
        </w:rPr>
        <w:t xml:space="preserve">Vyšší soudní úředník (VSÚ) </w:t>
      </w:r>
      <w:r w:rsidRPr="00033A3F">
        <w:rPr>
          <w:color w:val="000000" w:themeColor="text1"/>
        </w:rPr>
        <w:t>– rozsah činnosti vyššího soudního úředníka je vymezen v Hlavě II. z. č. 121/2008 Sb., o vyšších soudních úřednících a vyšších úřednících státního zastupitelství a o změně souvisejících zákonů, ve znění pozdějších předpisů. Může provádět, nestanoví-li zvláštní zákon jinak, v občanském soudním řízení, v soudním řízení správním a v trestním řízení veškeré úkony soudu prvního stupně, s výjimkou úkonů uvedených v ust. § 11 a 12 citovaného zákona jako je například vedení jednání ve věci samé, rozhodování ve věci samé formou rozsudku, rozhodování o předběžném opatření, rozhodování a provádění úkonů při jednání soudu v hlavním líčení, veřejném zasedání a neveřejném zasedání, vydání trestního příkazu, příkazu k zatčení atd. Může jím být pouze absolvent studia na Justiční akademii v Kroměříži nebo absolvent vysokoškolského bakalářského nebo magisterského studijního programu v oblasti práva.</w:t>
      </w:r>
    </w:p>
    <w:p w14:paraId="40E45970" w14:textId="77777777" w:rsidR="00B23EEC" w:rsidRPr="00033A3F" w:rsidRDefault="00B23EEC" w:rsidP="00B23EEC">
      <w:pPr>
        <w:pStyle w:val="OdstavecASR"/>
        <w:numPr>
          <w:ilvl w:val="0"/>
          <w:numId w:val="16"/>
        </w:numPr>
        <w:rPr>
          <w:b/>
          <w:color w:val="000000" w:themeColor="text1"/>
        </w:rPr>
      </w:pPr>
      <w:r w:rsidRPr="00033A3F">
        <w:rPr>
          <w:b/>
          <w:color w:val="000000" w:themeColor="text1"/>
        </w:rPr>
        <w:t xml:space="preserve">Soudní tajemník (ST) </w:t>
      </w:r>
      <w:r w:rsidRPr="00033A3F">
        <w:rPr>
          <w:color w:val="000000" w:themeColor="text1"/>
        </w:rPr>
        <w:t>– může jím být pouze osoba s úspěšně složenou maturitní zkouškou. Může provádět jednoduché úkony, ke kterým je pověřen předsedou soudu. Jedná se například o dožádání v jednoduchých věcech, sepisování podání, včetně návrhů apod. – úkony soudních tajemníků jsou vymezeny v ust. § 6 vyhlášky Ministerstva spravedlnosti č. 37/1992 Sb. ze dne 23. 12. 1991 o jednacím řádu pro okresní a krajské soudy, ve znění pozdějších předpisů.</w:t>
      </w:r>
    </w:p>
    <w:p w14:paraId="1347FF52" w14:textId="77777777" w:rsidR="00B23EEC" w:rsidRPr="00033A3F" w:rsidRDefault="00B23EEC" w:rsidP="00B23EEC">
      <w:pPr>
        <w:pStyle w:val="OdstavecASR"/>
        <w:numPr>
          <w:ilvl w:val="0"/>
          <w:numId w:val="16"/>
        </w:numPr>
        <w:rPr>
          <w:color w:val="000000" w:themeColor="text1"/>
        </w:rPr>
      </w:pPr>
      <w:r w:rsidRPr="00033A3F">
        <w:rPr>
          <w:b/>
          <w:color w:val="000000" w:themeColor="text1"/>
        </w:rPr>
        <w:t xml:space="preserve">Asistent soudce (A) </w:t>
      </w:r>
      <w:r w:rsidRPr="00033A3F">
        <w:rPr>
          <w:color w:val="000000" w:themeColor="text1"/>
        </w:rPr>
        <w:t>– samostatně vykonává jednotlivé úkony v soudním řízení z pověření soudce, jehož je asistentem, například zpracovává koncepty rozhodnutí. Podílí se na rozhodovací činnosti soudu v rozsahu stanoveném zvláštním právním předpisem pro vyšší soudní úředníky. Je jmenován předsedou soudu k návrhu příslušného soudce. Může jím být pouze absolvent vysokoškolského magisterského studijního programu v oblasti práva.</w:t>
      </w:r>
    </w:p>
    <w:p w14:paraId="4C1ABA44" w14:textId="77777777" w:rsidR="00B23EEC" w:rsidRPr="00033A3F" w:rsidRDefault="00B23EEC" w:rsidP="00B23EEC">
      <w:pPr>
        <w:pStyle w:val="OdstavecASR"/>
        <w:numPr>
          <w:ilvl w:val="0"/>
          <w:numId w:val="16"/>
        </w:numPr>
        <w:rPr>
          <w:b/>
          <w:color w:val="000000" w:themeColor="text1"/>
        </w:rPr>
      </w:pPr>
      <w:r w:rsidRPr="00033A3F">
        <w:rPr>
          <w:b/>
          <w:color w:val="000000" w:themeColor="text1"/>
        </w:rPr>
        <w:lastRenderedPageBreak/>
        <w:t xml:space="preserve">Vedoucí kanceláře (VK) </w:t>
      </w:r>
      <w:r w:rsidRPr="00033A3F">
        <w:rPr>
          <w:color w:val="000000" w:themeColor="text1"/>
        </w:rPr>
        <w:t>– vede rejstříky, řídí práci zapisovatelek většinou ve více soudních odděleních, vykonává i některé administrativní práce dle pokynů soudce, vyššího soudního úředníka apod. Někdy bývá označována i jako rejstříková vedoucí či referentka soudní kanceláře.</w:t>
      </w:r>
    </w:p>
    <w:p w14:paraId="38689580" w14:textId="77777777" w:rsidR="00B23EEC" w:rsidRPr="00033A3F" w:rsidRDefault="00B23EEC" w:rsidP="00B23EEC">
      <w:pPr>
        <w:pStyle w:val="OdstavecASR"/>
        <w:numPr>
          <w:ilvl w:val="0"/>
          <w:numId w:val="16"/>
        </w:numPr>
        <w:rPr>
          <w:b/>
          <w:color w:val="000000" w:themeColor="text1"/>
        </w:rPr>
      </w:pPr>
      <w:r w:rsidRPr="00033A3F">
        <w:rPr>
          <w:b/>
          <w:color w:val="000000" w:themeColor="text1"/>
        </w:rPr>
        <w:t xml:space="preserve">Protokolující úředník (PÚ) </w:t>
      </w:r>
      <w:r w:rsidRPr="00033A3F">
        <w:rPr>
          <w:color w:val="000000" w:themeColor="text1"/>
        </w:rPr>
        <w:t>– pořizuje zvukový záznam o průběhu hlavního líčení a na jeho podkladě vypracuje protokol.</w:t>
      </w:r>
    </w:p>
    <w:p w14:paraId="1F3C1E54" w14:textId="77777777" w:rsidR="00B23EEC" w:rsidRPr="00033A3F" w:rsidRDefault="00B23EEC" w:rsidP="00B23EEC">
      <w:pPr>
        <w:pStyle w:val="OdstavecASR"/>
        <w:numPr>
          <w:ilvl w:val="0"/>
          <w:numId w:val="16"/>
        </w:numPr>
        <w:rPr>
          <w:color w:val="000000" w:themeColor="text1"/>
        </w:rPr>
      </w:pPr>
      <w:r w:rsidRPr="00033A3F">
        <w:rPr>
          <w:b/>
          <w:color w:val="000000" w:themeColor="text1"/>
        </w:rPr>
        <w:t xml:space="preserve">Rejstříková vedoucí (RV) </w:t>
      </w:r>
      <w:r w:rsidRPr="00033A3F">
        <w:rPr>
          <w:color w:val="000000" w:themeColor="text1"/>
        </w:rPr>
        <w:t>– většinou vede rejstřík pro jedno soudní oddělení, munduje (zpracovává) spisy a sepisuje protokol o jednání v jednací síni dle diktátu soudce, popř. přepisu zvukového nebo zvukově-obrazového záznamu o průběhu jednání. Tato pozice je zaměnitelná s pozicí vedoucí kanceláře.</w:t>
      </w:r>
    </w:p>
    <w:p w14:paraId="60643349" w14:textId="77777777" w:rsidR="00B23EEC" w:rsidRPr="00033A3F" w:rsidRDefault="00B23EEC" w:rsidP="00B23EEC">
      <w:pPr>
        <w:pStyle w:val="OdstavecASR"/>
        <w:numPr>
          <w:ilvl w:val="0"/>
          <w:numId w:val="16"/>
        </w:numPr>
        <w:rPr>
          <w:b/>
          <w:color w:val="000000" w:themeColor="text1"/>
        </w:rPr>
      </w:pPr>
      <w:r w:rsidRPr="00033A3F">
        <w:rPr>
          <w:b/>
          <w:color w:val="000000" w:themeColor="text1"/>
        </w:rPr>
        <w:t xml:space="preserve">Zapisovatelka (Z) </w:t>
      </w:r>
      <w:r w:rsidRPr="00033A3F">
        <w:rPr>
          <w:color w:val="000000" w:themeColor="text1"/>
        </w:rPr>
        <w:t>– munduje (zpracovává) spisy a sepisuje protokol o jednání v jednací síni dle diktátu soudce, popř. přepisu zvukového nebo zvukově-obrazového záznamu o průběhu jednání.</w:t>
      </w:r>
    </w:p>
    <w:p w14:paraId="7F106F40" w14:textId="77777777" w:rsidR="00B23EEC" w:rsidRPr="00033A3F" w:rsidRDefault="00B23EEC" w:rsidP="00B23EEC">
      <w:pPr>
        <w:pStyle w:val="OdstavecASR"/>
        <w:numPr>
          <w:ilvl w:val="0"/>
          <w:numId w:val="16"/>
        </w:numPr>
        <w:rPr>
          <w:color w:val="000000" w:themeColor="text1"/>
        </w:rPr>
      </w:pPr>
      <w:r w:rsidRPr="00033A3F">
        <w:rPr>
          <w:b/>
          <w:color w:val="000000" w:themeColor="text1"/>
        </w:rPr>
        <w:t xml:space="preserve">Soudní vykonavatel (SV) </w:t>
      </w:r>
      <w:r w:rsidRPr="00033A3F">
        <w:rPr>
          <w:color w:val="000000" w:themeColor="text1"/>
        </w:rPr>
        <w:t>– vymáhá splnění povinnosti na povinné osobě, které byla tato povinnost uložena vykonatelným exekučním titulem. Také je oprávněn provádět úkony spojené s odebráním dítěte v řízení péče o nezletilé.</w:t>
      </w:r>
    </w:p>
    <w:p w14:paraId="3488F47E" w14:textId="0C6EAE1C" w:rsidR="00B23EEC" w:rsidRPr="00033A3F" w:rsidRDefault="00B23EEC" w:rsidP="00B23EEC">
      <w:pPr>
        <w:pStyle w:val="OdstavecASR"/>
        <w:rPr>
          <w:color w:val="000000" w:themeColor="text1"/>
        </w:rPr>
      </w:pPr>
      <w:r w:rsidRPr="00033A3F">
        <w:rPr>
          <w:color w:val="000000" w:themeColor="text1"/>
        </w:rPr>
        <w:t>Dalšími zaměstnanci soudů jsou tzv. zaměstnanci ve správě. Zatímco zaměstnanci ve výkonu se bezprostředně podílejí na vyřizování soudní agendy a výkonu soudnictví, zaměstnanci ve správě zajišťují provoz soudu, který zahrnuje širokou škálu funkcí. Celou správu soudu řídí ředitel správy. Dalšími zaměstnanci ve správě jsou například pracovníci sekretariátu, dozorčí úředníci, účetní, ekonomové, informatici nebo řidiči. Celkem je rozlišováno až 40 kategorií zaměstnanců ve správě. K 1. 1. 202</w:t>
      </w:r>
      <w:r w:rsidR="00BB1E01" w:rsidRPr="00033A3F">
        <w:rPr>
          <w:color w:val="000000" w:themeColor="text1"/>
        </w:rPr>
        <w:t>4</w:t>
      </w:r>
      <w:r w:rsidRPr="00033A3F">
        <w:rPr>
          <w:color w:val="000000" w:themeColor="text1"/>
        </w:rPr>
        <w:t xml:space="preserve"> pracovalo ve správě u okresních soudů celkem 1 4</w:t>
      </w:r>
      <w:r w:rsidR="00BB1E01" w:rsidRPr="00033A3F">
        <w:rPr>
          <w:color w:val="000000" w:themeColor="text1"/>
        </w:rPr>
        <w:t>74</w:t>
      </w:r>
      <w:r w:rsidRPr="00033A3F">
        <w:rPr>
          <w:color w:val="000000" w:themeColor="text1"/>
        </w:rPr>
        <w:t xml:space="preserve"> osob.</w:t>
      </w:r>
    </w:p>
    <w:p w14:paraId="409F8365" w14:textId="77777777" w:rsidR="001B2C7E" w:rsidRPr="00033A3F" w:rsidRDefault="001B2C7E" w:rsidP="001B2C7E">
      <w:pPr>
        <w:pStyle w:val="Nadpis3"/>
        <w:numPr>
          <w:ilvl w:val="2"/>
          <w:numId w:val="1"/>
        </w:numPr>
        <w:rPr>
          <w:color w:val="000000" w:themeColor="text1"/>
        </w:rPr>
      </w:pPr>
      <w:bookmarkStart w:id="166" w:name="_Toc193957018"/>
      <w:bookmarkStart w:id="167" w:name="_Toc193530961"/>
      <w:bookmarkStart w:id="168" w:name="_Toc203032708"/>
      <w:r w:rsidRPr="00033A3F">
        <w:rPr>
          <w:color w:val="000000" w:themeColor="text1"/>
        </w:rPr>
        <w:t>Přísedící soudu</w:t>
      </w:r>
      <w:bookmarkEnd w:id="166"/>
      <w:bookmarkEnd w:id="167"/>
      <w:bookmarkEnd w:id="168"/>
    </w:p>
    <w:p w14:paraId="08DFC79B" w14:textId="6047B1C2" w:rsidR="00B23EEC" w:rsidRPr="00033A3F" w:rsidRDefault="00B23EEC" w:rsidP="00BF0CC3">
      <w:pPr>
        <w:pStyle w:val="OdstavecASR"/>
        <w:rPr>
          <w:color w:val="000000" w:themeColor="text1"/>
        </w:rPr>
      </w:pPr>
      <w:r w:rsidRPr="00033A3F">
        <w:rPr>
          <w:color w:val="000000" w:themeColor="text1"/>
        </w:rPr>
        <w:t xml:space="preserve">Kromě soudců a zaměstnanců ve výkonu se na rozhodovací činnosti podílí také tzv. přísedící. Přísedícím se může stát každý plně svéprávný a bezúhonný občan České republiky, kterému je nejméně 30 let. </w:t>
      </w:r>
      <w:r w:rsidR="00E112AF" w:rsidRPr="00E112AF">
        <w:rPr>
          <w:color w:val="000000" w:themeColor="text1"/>
        </w:rPr>
        <w:t>V roce 2024 působili v trestním řízení přísedící v prvním stupni ve věcech, kde zákon stanoví trest odnětí svobody, jehož horní hranice převyšuje pět let.</w:t>
      </w:r>
      <w:r w:rsidRPr="00033A3F">
        <w:rPr>
          <w:color w:val="000000" w:themeColor="text1"/>
        </w:rPr>
        <w:t xml:space="preserve"> V civilním řízení rozhodovali přísedící v pracovněprávních sporech u okresních soudů.</w:t>
      </w:r>
      <w:r w:rsidRPr="00033A3F">
        <w:rPr>
          <w:rStyle w:val="Znakapoznpodarou"/>
          <w:color w:val="000000" w:themeColor="text1"/>
        </w:rPr>
        <w:footnoteReference w:id="5"/>
      </w:r>
    </w:p>
    <w:p w14:paraId="7C62A51E" w14:textId="2407B44E" w:rsidR="00264A9F" w:rsidRPr="00033A3F" w:rsidRDefault="00264A9F" w:rsidP="00B23EEC">
      <w:pPr>
        <w:pStyle w:val="OdstavecASR"/>
        <w:rPr>
          <w:color w:val="000000" w:themeColor="text1"/>
        </w:rPr>
      </w:pPr>
      <w:r w:rsidRPr="00033A3F">
        <w:rPr>
          <w:color w:val="000000" w:themeColor="text1"/>
        </w:rPr>
        <w:t>Od roku 2019 jsou k dispozici počty přísedících dle krajů, pohlaví a věku, což umožňuje jejich bližší prozkoumání. Tabulka 6 uvádí data k 1</w:t>
      </w:r>
      <w:r w:rsidR="00F33907" w:rsidRPr="00033A3F">
        <w:rPr>
          <w:color w:val="000000" w:themeColor="text1"/>
        </w:rPr>
        <w:t>. </w:t>
      </w:r>
      <w:r w:rsidRPr="00033A3F">
        <w:rPr>
          <w:color w:val="000000" w:themeColor="text1"/>
        </w:rPr>
        <w:t>1</w:t>
      </w:r>
      <w:r w:rsidR="00F33907" w:rsidRPr="00033A3F">
        <w:rPr>
          <w:color w:val="000000" w:themeColor="text1"/>
        </w:rPr>
        <w:t>. </w:t>
      </w:r>
      <w:r w:rsidRPr="00033A3F">
        <w:rPr>
          <w:color w:val="000000" w:themeColor="text1"/>
        </w:rPr>
        <w:t>202</w:t>
      </w:r>
      <w:r w:rsidR="001B2C7E" w:rsidRPr="00033A3F">
        <w:rPr>
          <w:color w:val="000000" w:themeColor="text1"/>
        </w:rPr>
        <w:t>4</w:t>
      </w:r>
      <w:r w:rsidRPr="00033A3F">
        <w:rPr>
          <w:color w:val="000000" w:themeColor="text1"/>
        </w:rPr>
        <w:t>. Počet přísedících do určité míry odpovídá velikosti jednotlivých soudních krajů. Hrají zde roli ale i jiné faktory, v první řadě samozřejmě složení agendy.</w:t>
      </w:r>
    </w:p>
    <w:p w14:paraId="4FE7CA15" w14:textId="77777777" w:rsidR="00264A9F" w:rsidRPr="00033A3F" w:rsidRDefault="00264A9F">
      <w:pPr>
        <w:spacing w:after="160" w:line="259" w:lineRule="auto"/>
        <w:jc w:val="left"/>
        <w:rPr>
          <w:color w:val="000000" w:themeColor="text1"/>
        </w:rPr>
      </w:pPr>
      <w:r w:rsidRPr="00033A3F">
        <w:rPr>
          <w:color w:val="000000" w:themeColor="text1"/>
        </w:rPr>
        <w:br w:type="page"/>
      </w:r>
    </w:p>
    <w:p w14:paraId="0A40599B" w14:textId="25E85E81" w:rsidR="00264A9F" w:rsidRPr="00033A3F" w:rsidRDefault="00264A9F" w:rsidP="00264A9F">
      <w:pPr>
        <w:pStyle w:val="Podnadpis"/>
        <w:rPr>
          <w:color w:val="000000" w:themeColor="text1"/>
        </w:rPr>
      </w:pPr>
      <w:bookmarkStart w:id="169" w:name="_Toc43931180"/>
      <w:bookmarkStart w:id="170" w:name="_Toc75952310"/>
      <w:bookmarkStart w:id="171" w:name="_Toc106106769"/>
      <w:bookmarkStart w:id="172" w:name="_Toc144104246"/>
      <w:bookmarkStart w:id="173" w:name="_Toc169251063"/>
      <w:bookmarkStart w:id="174" w:name="_Toc174080749"/>
      <w:bookmarkStart w:id="175" w:name="_Toc193530885"/>
      <w:bookmarkStart w:id="176" w:name="_Toc194045579"/>
      <w:bookmarkStart w:id="177" w:name="_Toc199494988"/>
      <w:bookmarkStart w:id="178" w:name="_Toc203033048"/>
      <w:bookmarkStart w:id="179" w:name="_Toc203033126"/>
      <w:r w:rsidRPr="00033A3F">
        <w:rPr>
          <w:color w:val="000000" w:themeColor="text1"/>
        </w:rPr>
        <w:lastRenderedPageBreak/>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6</w:t>
      </w:r>
      <w:r w:rsidRPr="00033A3F">
        <w:rPr>
          <w:color w:val="000000" w:themeColor="text1"/>
        </w:rPr>
        <w:fldChar w:fldCharType="end"/>
      </w:r>
      <w:r w:rsidRPr="00033A3F">
        <w:rPr>
          <w:color w:val="000000" w:themeColor="text1"/>
        </w:rPr>
        <w:t>: OS – počet přísedících dle krajů a pohlaví</w:t>
      </w:r>
      <w:bookmarkEnd w:id="169"/>
      <w:bookmarkEnd w:id="170"/>
      <w:bookmarkEnd w:id="171"/>
      <w:bookmarkEnd w:id="172"/>
      <w:r w:rsidRPr="00033A3F">
        <w:rPr>
          <w:color w:val="000000" w:themeColor="text1"/>
        </w:rPr>
        <w:t>, 202</w:t>
      </w:r>
      <w:bookmarkEnd w:id="173"/>
      <w:bookmarkEnd w:id="174"/>
      <w:r w:rsidRPr="00033A3F">
        <w:rPr>
          <w:color w:val="000000" w:themeColor="text1"/>
        </w:rPr>
        <w:t>4</w:t>
      </w:r>
      <w:bookmarkEnd w:id="175"/>
      <w:bookmarkEnd w:id="176"/>
      <w:bookmarkEnd w:id="177"/>
      <w:bookmarkEnd w:id="178"/>
      <w:bookmarkEnd w:id="179"/>
    </w:p>
    <w:tbl>
      <w:tblPr>
        <w:tblW w:w="6540" w:type="dxa"/>
        <w:tblCellMar>
          <w:left w:w="70" w:type="dxa"/>
          <w:right w:w="70" w:type="dxa"/>
        </w:tblCellMar>
        <w:tblLook w:val="04A0" w:firstRow="1" w:lastRow="0" w:firstColumn="1" w:lastColumn="0" w:noHBand="0" w:noVBand="1"/>
      </w:tblPr>
      <w:tblGrid>
        <w:gridCol w:w="2220"/>
        <w:gridCol w:w="1608"/>
        <w:gridCol w:w="1632"/>
        <w:gridCol w:w="1080"/>
      </w:tblGrid>
      <w:tr w:rsidR="00033A3F" w:rsidRPr="00033A3F" w14:paraId="21C466AD" w14:textId="77777777" w:rsidTr="00264A9F">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31EC6F5C"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240" w:type="dxa"/>
            <w:gridSpan w:val="2"/>
            <w:tcBorders>
              <w:top w:val="double" w:sz="6" w:space="0" w:color="auto"/>
              <w:left w:val="nil"/>
              <w:bottom w:val="nil"/>
              <w:right w:val="nil"/>
            </w:tcBorders>
            <w:shd w:val="clear" w:color="auto" w:fill="auto"/>
            <w:noWrap/>
            <w:vAlign w:val="bottom"/>
            <w:hideMark/>
          </w:tcPr>
          <w:p w14:paraId="5678E70D"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přísedících</w:t>
            </w:r>
          </w:p>
        </w:tc>
        <w:tc>
          <w:tcPr>
            <w:tcW w:w="1080" w:type="dxa"/>
            <w:vMerge w:val="restart"/>
            <w:tcBorders>
              <w:top w:val="double" w:sz="6" w:space="0" w:color="auto"/>
              <w:left w:val="nil"/>
              <w:bottom w:val="double" w:sz="6" w:space="0" w:color="000000"/>
              <w:right w:val="nil"/>
            </w:tcBorders>
            <w:shd w:val="clear" w:color="auto" w:fill="auto"/>
            <w:vAlign w:val="center"/>
            <w:hideMark/>
          </w:tcPr>
          <w:p w14:paraId="7744B443"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Podíl žen v %</w:t>
            </w:r>
          </w:p>
        </w:tc>
      </w:tr>
      <w:tr w:rsidR="00033A3F" w:rsidRPr="00033A3F" w14:paraId="2A2E9D40" w14:textId="77777777" w:rsidTr="00776EBB">
        <w:trPr>
          <w:trHeight w:val="330"/>
        </w:trPr>
        <w:tc>
          <w:tcPr>
            <w:tcW w:w="2220" w:type="dxa"/>
            <w:vMerge/>
            <w:tcBorders>
              <w:top w:val="double" w:sz="6" w:space="0" w:color="auto"/>
              <w:left w:val="nil"/>
              <w:bottom w:val="double" w:sz="6" w:space="0" w:color="000000"/>
              <w:right w:val="nil"/>
            </w:tcBorders>
            <w:vAlign w:val="center"/>
            <w:hideMark/>
          </w:tcPr>
          <w:p w14:paraId="06A3C9E7" w14:textId="77777777" w:rsidR="00264A9F" w:rsidRPr="00033A3F" w:rsidRDefault="00264A9F" w:rsidP="00264A9F">
            <w:pPr>
              <w:spacing w:line="240" w:lineRule="auto"/>
              <w:jc w:val="left"/>
              <w:rPr>
                <w:rFonts w:eastAsia="Times New Roman"/>
                <w:b/>
                <w:bCs/>
                <w:color w:val="000000" w:themeColor="text1"/>
                <w:szCs w:val="24"/>
                <w:lang w:eastAsia="cs-CZ"/>
              </w:rPr>
            </w:pPr>
          </w:p>
        </w:tc>
        <w:tc>
          <w:tcPr>
            <w:tcW w:w="1608" w:type="dxa"/>
            <w:tcBorders>
              <w:top w:val="nil"/>
              <w:left w:val="nil"/>
              <w:bottom w:val="double" w:sz="6" w:space="0" w:color="auto"/>
              <w:right w:val="nil"/>
            </w:tcBorders>
            <w:shd w:val="clear" w:color="auto" w:fill="auto"/>
            <w:noWrap/>
            <w:vAlign w:val="bottom"/>
            <w:hideMark/>
          </w:tcPr>
          <w:p w14:paraId="5485483B"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Mužů</w:t>
            </w:r>
          </w:p>
        </w:tc>
        <w:tc>
          <w:tcPr>
            <w:tcW w:w="1632" w:type="dxa"/>
            <w:tcBorders>
              <w:top w:val="nil"/>
              <w:left w:val="nil"/>
              <w:bottom w:val="double" w:sz="6" w:space="0" w:color="auto"/>
              <w:right w:val="nil"/>
            </w:tcBorders>
            <w:shd w:val="clear" w:color="auto" w:fill="auto"/>
            <w:noWrap/>
            <w:vAlign w:val="bottom"/>
            <w:hideMark/>
          </w:tcPr>
          <w:p w14:paraId="1830EACF"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Žen</w:t>
            </w:r>
          </w:p>
        </w:tc>
        <w:tc>
          <w:tcPr>
            <w:tcW w:w="1080" w:type="dxa"/>
            <w:vMerge/>
            <w:tcBorders>
              <w:top w:val="double" w:sz="6" w:space="0" w:color="auto"/>
              <w:left w:val="nil"/>
              <w:bottom w:val="double" w:sz="6" w:space="0" w:color="000000"/>
              <w:right w:val="nil"/>
            </w:tcBorders>
            <w:vAlign w:val="center"/>
            <w:hideMark/>
          </w:tcPr>
          <w:p w14:paraId="27ACC5D7" w14:textId="77777777" w:rsidR="00264A9F" w:rsidRPr="00033A3F" w:rsidRDefault="00264A9F" w:rsidP="00264A9F">
            <w:pPr>
              <w:spacing w:line="240" w:lineRule="auto"/>
              <w:jc w:val="left"/>
              <w:rPr>
                <w:rFonts w:eastAsia="Times New Roman"/>
                <w:b/>
                <w:bCs/>
                <w:color w:val="000000" w:themeColor="text1"/>
                <w:szCs w:val="24"/>
                <w:lang w:eastAsia="cs-CZ"/>
              </w:rPr>
            </w:pPr>
          </w:p>
        </w:tc>
      </w:tr>
      <w:tr w:rsidR="00033A3F" w:rsidRPr="00033A3F" w14:paraId="5E52AA27" w14:textId="77777777" w:rsidTr="00BF0CC3">
        <w:trPr>
          <w:trHeight w:val="330"/>
        </w:trPr>
        <w:tc>
          <w:tcPr>
            <w:tcW w:w="2220" w:type="dxa"/>
            <w:tcBorders>
              <w:top w:val="nil"/>
              <w:left w:val="nil"/>
              <w:bottom w:val="single" w:sz="4" w:space="0" w:color="auto"/>
              <w:right w:val="nil"/>
            </w:tcBorders>
            <w:shd w:val="clear" w:color="auto" w:fill="auto"/>
            <w:noWrap/>
            <w:vAlign w:val="bottom"/>
            <w:hideMark/>
          </w:tcPr>
          <w:p w14:paraId="5953796A"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608" w:type="dxa"/>
            <w:tcBorders>
              <w:top w:val="nil"/>
              <w:left w:val="nil"/>
              <w:bottom w:val="single" w:sz="4" w:space="0" w:color="auto"/>
              <w:right w:val="nil"/>
            </w:tcBorders>
            <w:shd w:val="clear" w:color="auto" w:fill="auto"/>
            <w:noWrap/>
            <w:vAlign w:val="bottom"/>
            <w:hideMark/>
          </w:tcPr>
          <w:p w14:paraId="7265B730"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135</w:t>
            </w:r>
          </w:p>
        </w:tc>
        <w:tc>
          <w:tcPr>
            <w:tcW w:w="1632" w:type="dxa"/>
            <w:tcBorders>
              <w:top w:val="nil"/>
              <w:left w:val="nil"/>
              <w:bottom w:val="single" w:sz="4" w:space="0" w:color="auto"/>
              <w:right w:val="nil"/>
            </w:tcBorders>
            <w:shd w:val="clear" w:color="auto" w:fill="auto"/>
            <w:noWrap/>
            <w:vAlign w:val="bottom"/>
            <w:hideMark/>
          </w:tcPr>
          <w:p w14:paraId="4331AAEB"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280</w:t>
            </w:r>
          </w:p>
        </w:tc>
        <w:tc>
          <w:tcPr>
            <w:tcW w:w="1080" w:type="dxa"/>
            <w:tcBorders>
              <w:top w:val="nil"/>
              <w:left w:val="nil"/>
              <w:bottom w:val="single" w:sz="4" w:space="0" w:color="auto"/>
              <w:right w:val="nil"/>
            </w:tcBorders>
            <w:shd w:val="clear" w:color="auto" w:fill="auto"/>
            <w:noWrap/>
            <w:vAlign w:val="bottom"/>
            <w:hideMark/>
          </w:tcPr>
          <w:p w14:paraId="6376C439" w14:textId="0C665C0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67,47</w:t>
            </w:r>
          </w:p>
        </w:tc>
      </w:tr>
      <w:tr w:rsidR="00033A3F" w:rsidRPr="00033A3F" w14:paraId="08E169A2"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24568624"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608" w:type="dxa"/>
            <w:tcBorders>
              <w:top w:val="nil"/>
              <w:left w:val="nil"/>
              <w:bottom w:val="single" w:sz="4" w:space="0" w:color="auto"/>
              <w:right w:val="nil"/>
            </w:tcBorders>
            <w:shd w:val="clear" w:color="auto" w:fill="auto"/>
            <w:noWrap/>
            <w:vAlign w:val="bottom"/>
            <w:hideMark/>
          </w:tcPr>
          <w:p w14:paraId="2664E31A"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132</w:t>
            </w:r>
          </w:p>
        </w:tc>
        <w:tc>
          <w:tcPr>
            <w:tcW w:w="1632" w:type="dxa"/>
            <w:tcBorders>
              <w:top w:val="nil"/>
              <w:left w:val="nil"/>
              <w:bottom w:val="single" w:sz="4" w:space="0" w:color="auto"/>
              <w:right w:val="nil"/>
            </w:tcBorders>
            <w:shd w:val="clear" w:color="auto" w:fill="auto"/>
            <w:noWrap/>
            <w:vAlign w:val="bottom"/>
            <w:hideMark/>
          </w:tcPr>
          <w:p w14:paraId="076935FD"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236</w:t>
            </w:r>
          </w:p>
        </w:tc>
        <w:tc>
          <w:tcPr>
            <w:tcW w:w="1080" w:type="dxa"/>
            <w:tcBorders>
              <w:top w:val="nil"/>
              <w:left w:val="nil"/>
              <w:bottom w:val="single" w:sz="4" w:space="0" w:color="auto"/>
              <w:right w:val="nil"/>
            </w:tcBorders>
            <w:shd w:val="clear" w:color="auto" w:fill="auto"/>
            <w:noWrap/>
            <w:vAlign w:val="bottom"/>
            <w:hideMark/>
          </w:tcPr>
          <w:p w14:paraId="6A48E0B5" w14:textId="6F4905C8"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64,13</w:t>
            </w:r>
          </w:p>
        </w:tc>
      </w:tr>
      <w:tr w:rsidR="00033A3F" w:rsidRPr="00033A3F" w14:paraId="169374B4"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4A9E1237"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608" w:type="dxa"/>
            <w:tcBorders>
              <w:top w:val="nil"/>
              <w:left w:val="nil"/>
              <w:bottom w:val="single" w:sz="4" w:space="0" w:color="auto"/>
              <w:right w:val="nil"/>
            </w:tcBorders>
            <w:shd w:val="clear" w:color="auto" w:fill="auto"/>
            <w:noWrap/>
            <w:vAlign w:val="bottom"/>
            <w:hideMark/>
          </w:tcPr>
          <w:p w14:paraId="2D2DA1D2"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w:t>
            </w:r>
          </w:p>
        </w:tc>
        <w:tc>
          <w:tcPr>
            <w:tcW w:w="1632" w:type="dxa"/>
            <w:tcBorders>
              <w:top w:val="nil"/>
              <w:left w:val="nil"/>
              <w:bottom w:val="single" w:sz="4" w:space="0" w:color="auto"/>
              <w:right w:val="nil"/>
            </w:tcBorders>
            <w:shd w:val="clear" w:color="auto" w:fill="auto"/>
            <w:noWrap/>
            <w:vAlign w:val="bottom"/>
            <w:hideMark/>
          </w:tcPr>
          <w:p w14:paraId="4AA5C6F6"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140</w:t>
            </w:r>
          </w:p>
        </w:tc>
        <w:tc>
          <w:tcPr>
            <w:tcW w:w="1080" w:type="dxa"/>
            <w:tcBorders>
              <w:top w:val="nil"/>
              <w:left w:val="nil"/>
              <w:bottom w:val="single" w:sz="4" w:space="0" w:color="auto"/>
              <w:right w:val="nil"/>
            </w:tcBorders>
            <w:shd w:val="clear" w:color="auto" w:fill="auto"/>
            <w:noWrap/>
            <w:vAlign w:val="bottom"/>
            <w:hideMark/>
          </w:tcPr>
          <w:p w14:paraId="54CEA4C1" w14:textId="5EAE2DF2"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62,50</w:t>
            </w:r>
          </w:p>
        </w:tc>
      </w:tr>
      <w:tr w:rsidR="00033A3F" w:rsidRPr="00033A3F" w14:paraId="0848D080"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31F0E925"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608" w:type="dxa"/>
            <w:tcBorders>
              <w:top w:val="nil"/>
              <w:left w:val="nil"/>
              <w:bottom w:val="single" w:sz="4" w:space="0" w:color="auto"/>
              <w:right w:val="nil"/>
            </w:tcBorders>
            <w:shd w:val="clear" w:color="auto" w:fill="auto"/>
            <w:noWrap/>
            <w:vAlign w:val="bottom"/>
            <w:hideMark/>
          </w:tcPr>
          <w:p w14:paraId="022CFC6C"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118</w:t>
            </w:r>
          </w:p>
        </w:tc>
        <w:tc>
          <w:tcPr>
            <w:tcW w:w="1632" w:type="dxa"/>
            <w:tcBorders>
              <w:top w:val="nil"/>
              <w:left w:val="nil"/>
              <w:bottom w:val="single" w:sz="4" w:space="0" w:color="auto"/>
              <w:right w:val="nil"/>
            </w:tcBorders>
            <w:shd w:val="clear" w:color="auto" w:fill="auto"/>
            <w:noWrap/>
            <w:vAlign w:val="bottom"/>
            <w:hideMark/>
          </w:tcPr>
          <w:p w14:paraId="12DC75C2"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241</w:t>
            </w:r>
          </w:p>
        </w:tc>
        <w:tc>
          <w:tcPr>
            <w:tcW w:w="1080" w:type="dxa"/>
            <w:tcBorders>
              <w:top w:val="nil"/>
              <w:left w:val="nil"/>
              <w:bottom w:val="single" w:sz="4" w:space="0" w:color="auto"/>
              <w:right w:val="nil"/>
            </w:tcBorders>
            <w:shd w:val="clear" w:color="auto" w:fill="auto"/>
            <w:noWrap/>
            <w:vAlign w:val="bottom"/>
            <w:hideMark/>
          </w:tcPr>
          <w:p w14:paraId="2E9E41A3" w14:textId="49E19DE9"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67,13</w:t>
            </w:r>
          </w:p>
        </w:tc>
      </w:tr>
      <w:tr w:rsidR="00033A3F" w:rsidRPr="00033A3F" w14:paraId="4F932762"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6C738082"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608" w:type="dxa"/>
            <w:tcBorders>
              <w:top w:val="nil"/>
              <w:left w:val="nil"/>
              <w:bottom w:val="single" w:sz="4" w:space="0" w:color="auto"/>
              <w:right w:val="nil"/>
            </w:tcBorders>
            <w:shd w:val="clear" w:color="auto" w:fill="auto"/>
            <w:noWrap/>
            <w:vAlign w:val="bottom"/>
            <w:hideMark/>
          </w:tcPr>
          <w:p w14:paraId="2615FC68"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185</w:t>
            </w:r>
          </w:p>
        </w:tc>
        <w:tc>
          <w:tcPr>
            <w:tcW w:w="1632" w:type="dxa"/>
            <w:tcBorders>
              <w:top w:val="nil"/>
              <w:left w:val="nil"/>
              <w:bottom w:val="single" w:sz="4" w:space="0" w:color="auto"/>
              <w:right w:val="nil"/>
            </w:tcBorders>
            <w:shd w:val="clear" w:color="auto" w:fill="auto"/>
            <w:noWrap/>
            <w:vAlign w:val="bottom"/>
            <w:hideMark/>
          </w:tcPr>
          <w:p w14:paraId="3480DAF4"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379</w:t>
            </w:r>
          </w:p>
        </w:tc>
        <w:tc>
          <w:tcPr>
            <w:tcW w:w="1080" w:type="dxa"/>
            <w:tcBorders>
              <w:top w:val="nil"/>
              <w:left w:val="nil"/>
              <w:bottom w:val="single" w:sz="4" w:space="0" w:color="auto"/>
              <w:right w:val="nil"/>
            </w:tcBorders>
            <w:shd w:val="clear" w:color="auto" w:fill="auto"/>
            <w:noWrap/>
            <w:vAlign w:val="bottom"/>
            <w:hideMark/>
          </w:tcPr>
          <w:p w14:paraId="4E5C8CD2" w14:textId="499EB435"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67,20</w:t>
            </w:r>
          </w:p>
        </w:tc>
      </w:tr>
      <w:tr w:rsidR="00033A3F" w:rsidRPr="00033A3F" w14:paraId="65F85FF9"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5B5AC54C"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608" w:type="dxa"/>
            <w:tcBorders>
              <w:top w:val="nil"/>
              <w:left w:val="nil"/>
              <w:bottom w:val="single" w:sz="4" w:space="0" w:color="auto"/>
              <w:right w:val="nil"/>
            </w:tcBorders>
            <w:shd w:val="clear" w:color="auto" w:fill="auto"/>
            <w:noWrap/>
            <w:vAlign w:val="bottom"/>
            <w:hideMark/>
          </w:tcPr>
          <w:p w14:paraId="444FE7A0"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w:t>
            </w:r>
          </w:p>
        </w:tc>
        <w:tc>
          <w:tcPr>
            <w:tcW w:w="1632" w:type="dxa"/>
            <w:tcBorders>
              <w:top w:val="nil"/>
              <w:left w:val="nil"/>
              <w:bottom w:val="single" w:sz="4" w:space="0" w:color="auto"/>
              <w:right w:val="nil"/>
            </w:tcBorders>
            <w:shd w:val="clear" w:color="auto" w:fill="auto"/>
            <w:noWrap/>
            <w:vAlign w:val="bottom"/>
            <w:hideMark/>
          </w:tcPr>
          <w:p w14:paraId="4875B7FF"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257</w:t>
            </w:r>
          </w:p>
        </w:tc>
        <w:tc>
          <w:tcPr>
            <w:tcW w:w="1080" w:type="dxa"/>
            <w:tcBorders>
              <w:top w:val="nil"/>
              <w:left w:val="nil"/>
              <w:bottom w:val="single" w:sz="4" w:space="0" w:color="auto"/>
              <w:right w:val="nil"/>
            </w:tcBorders>
            <w:shd w:val="clear" w:color="auto" w:fill="auto"/>
            <w:noWrap/>
            <w:vAlign w:val="bottom"/>
            <w:hideMark/>
          </w:tcPr>
          <w:p w14:paraId="6720876D" w14:textId="4EB7E0F0"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64,25</w:t>
            </w:r>
          </w:p>
        </w:tc>
      </w:tr>
      <w:tr w:rsidR="00033A3F" w:rsidRPr="00033A3F" w14:paraId="67553ED1"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0486CB92"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608" w:type="dxa"/>
            <w:tcBorders>
              <w:top w:val="nil"/>
              <w:left w:val="nil"/>
              <w:bottom w:val="single" w:sz="4" w:space="0" w:color="auto"/>
              <w:right w:val="nil"/>
            </w:tcBorders>
            <w:shd w:val="clear" w:color="auto" w:fill="auto"/>
            <w:noWrap/>
            <w:vAlign w:val="bottom"/>
            <w:hideMark/>
          </w:tcPr>
          <w:p w14:paraId="423C5A09"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247</w:t>
            </w:r>
          </w:p>
        </w:tc>
        <w:tc>
          <w:tcPr>
            <w:tcW w:w="1632" w:type="dxa"/>
            <w:tcBorders>
              <w:top w:val="nil"/>
              <w:left w:val="nil"/>
              <w:bottom w:val="single" w:sz="4" w:space="0" w:color="auto"/>
              <w:right w:val="nil"/>
            </w:tcBorders>
            <w:shd w:val="clear" w:color="auto" w:fill="auto"/>
            <w:noWrap/>
            <w:vAlign w:val="bottom"/>
            <w:hideMark/>
          </w:tcPr>
          <w:p w14:paraId="2056D560"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452</w:t>
            </w:r>
          </w:p>
        </w:tc>
        <w:tc>
          <w:tcPr>
            <w:tcW w:w="1080" w:type="dxa"/>
            <w:tcBorders>
              <w:top w:val="nil"/>
              <w:left w:val="nil"/>
              <w:bottom w:val="single" w:sz="4" w:space="0" w:color="auto"/>
              <w:right w:val="nil"/>
            </w:tcBorders>
            <w:shd w:val="clear" w:color="auto" w:fill="auto"/>
            <w:noWrap/>
            <w:vAlign w:val="bottom"/>
            <w:hideMark/>
          </w:tcPr>
          <w:p w14:paraId="3E449001" w14:textId="6B99D3AD"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64,66</w:t>
            </w:r>
          </w:p>
        </w:tc>
      </w:tr>
      <w:tr w:rsidR="00033A3F" w:rsidRPr="00033A3F" w14:paraId="48E8C2DA" w14:textId="77777777" w:rsidTr="00BF0CC3">
        <w:trPr>
          <w:trHeight w:val="330"/>
        </w:trPr>
        <w:tc>
          <w:tcPr>
            <w:tcW w:w="2220" w:type="dxa"/>
            <w:tcBorders>
              <w:top w:val="nil"/>
              <w:left w:val="nil"/>
              <w:bottom w:val="double" w:sz="6" w:space="0" w:color="auto"/>
              <w:right w:val="nil"/>
            </w:tcBorders>
            <w:shd w:val="clear" w:color="auto" w:fill="auto"/>
            <w:noWrap/>
            <w:vAlign w:val="bottom"/>
            <w:hideMark/>
          </w:tcPr>
          <w:p w14:paraId="4C57CA91"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608" w:type="dxa"/>
            <w:tcBorders>
              <w:top w:val="nil"/>
              <w:left w:val="nil"/>
              <w:bottom w:val="double" w:sz="6" w:space="0" w:color="auto"/>
              <w:right w:val="nil"/>
            </w:tcBorders>
            <w:shd w:val="clear" w:color="auto" w:fill="auto"/>
            <w:noWrap/>
            <w:vAlign w:val="bottom"/>
            <w:hideMark/>
          </w:tcPr>
          <w:p w14:paraId="5F02F311"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360</w:t>
            </w:r>
          </w:p>
        </w:tc>
        <w:tc>
          <w:tcPr>
            <w:tcW w:w="1632" w:type="dxa"/>
            <w:tcBorders>
              <w:top w:val="nil"/>
              <w:left w:val="nil"/>
              <w:bottom w:val="double" w:sz="6" w:space="0" w:color="auto"/>
              <w:right w:val="nil"/>
            </w:tcBorders>
            <w:shd w:val="clear" w:color="auto" w:fill="auto"/>
            <w:noWrap/>
            <w:vAlign w:val="bottom"/>
            <w:hideMark/>
          </w:tcPr>
          <w:p w14:paraId="0F33BD94"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605</w:t>
            </w:r>
          </w:p>
        </w:tc>
        <w:tc>
          <w:tcPr>
            <w:tcW w:w="1080" w:type="dxa"/>
            <w:tcBorders>
              <w:top w:val="nil"/>
              <w:left w:val="nil"/>
              <w:bottom w:val="double" w:sz="6" w:space="0" w:color="auto"/>
              <w:right w:val="nil"/>
            </w:tcBorders>
            <w:shd w:val="clear" w:color="auto" w:fill="auto"/>
            <w:noWrap/>
            <w:vAlign w:val="bottom"/>
            <w:hideMark/>
          </w:tcPr>
          <w:p w14:paraId="4EFC878B" w14:textId="35B2ADB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62,69</w:t>
            </w:r>
          </w:p>
        </w:tc>
      </w:tr>
      <w:tr w:rsidR="00033A3F" w:rsidRPr="00033A3F" w14:paraId="7E19E2BD" w14:textId="77777777" w:rsidTr="00BF0CC3">
        <w:trPr>
          <w:trHeight w:val="345"/>
        </w:trPr>
        <w:tc>
          <w:tcPr>
            <w:tcW w:w="2220" w:type="dxa"/>
            <w:tcBorders>
              <w:top w:val="nil"/>
              <w:left w:val="nil"/>
              <w:bottom w:val="double" w:sz="6" w:space="0" w:color="auto"/>
              <w:right w:val="nil"/>
            </w:tcBorders>
            <w:shd w:val="clear" w:color="auto" w:fill="auto"/>
            <w:noWrap/>
            <w:vAlign w:val="bottom"/>
            <w:hideMark/>
          </w:tcPr>
          <w:p w14:paraId="2487F97E" w14:textId="77777777" w:rsidR="00264A9F" w:rsidRPr="00033A3F" w:rsidRDefault="00264A9F" w:rsidP="00264A9F">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608" w:type="dxa"/>
            <w:tcBorders>
              <w:top w:val="nil"/>
              <w:left w:val="nil"/>
              <w:bottom w:val="double" w:sz="6" w:space="0" w:color="auto"/>
              <w:right w:val="nil"/>
            </w:tcBorders>
            <w:shd w:val="clear" w:color="auto" w:fill="auto"/>
            <w:noWrap/>
            <w:vAlign w:val="bottom"/>
            <w:hideMark/>
          </w:tcPr>
          <w:p w14:paraId="0F7B1784" w14:textId="2F6E23BD"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DD56EB">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404</w:t>
            </w:r>
          </w:p>
        </w:tc>
        <w:tc>
          <w:tcPr>
            <w:tcW w:w="1632" w:type="dxa"/>
            <w:tcBorders>
              <w:top w:val="nil"/>
              <w:left w:val="nil"/>
              <w:bottom w:val="double" w:sz="6" w:space="0" w:color="auto"/>
              <w:right w:val="nil"/>
            </w:tcBorders>
            <w:shd w:val="clear" w:color="auto" w:fill="auto"/>
            <w:noWrap/>
            <w:vAlign w:val="bottom"/>
            <w:hideMark/>
          </w:tcPr>
          <w:p w14:paraId="0041D409"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2590</w:t>
            </w:r>
          </w:p>
        </w:tc>
        <w:tc>
          <w:tcPr>
            <w:tcW w:w="1080" w:type="dxa"/>
            <w:tcBorders>
              <w:top w:val="nil"/>
              <w:left w:val="nil"/>
              <w:bottom w:val="double" w:sz="6" w:space="0" w:color="auto"/>
              <w:right w:val="nil"/>
            </w:tcBorders>
            <w:shd w:val="clear" w:color="auto" w:fill="auto"/>
            <w:noWrap/>
            <w:vAlign w:val="bottom"/>
            <w:hideMark/>
          </w:tcPr>
          <w:p w14:paraId="78700FC5" w14:textId="19BF775A"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64,85</w:t>
            </w:r>
          </w:p>
        </w:tc>
      </w:tr>
      <w:tr w:rsidR="00033A3F" w:rsidRPr="00033A3F" w14:paraId="261BC750" w14:textId="77777777" w:rsidTr="00BF0CC3">
        <w:trPr>
          <w:trHeight w:val="345"/>
        </w:trPr>
        <w:tc>
          <w:tcPr>
            <w:tcW w:w="2220" w:type="dxa"/>
            <w:tcBorders>
              <w:top w:val="nil"/>
              <w:left w:val="nil"/>
              <w:bottom w:val="nil"/>
              <w:right w:val="nil"/>
            </w:tcBorders>
            <w:shd w:val="clear" w:color="auto" w:fill="auto"/>
            <w:noWrap/>
            <w:vAlign w:val="bottom"/>
            <w:hideMark/>
          </w:tcPr>
          <w:p w14:paraId="421C63B9" w14:textId="77777777" w:rsidR="00264A9F" w:rsidRPr="00033A3F" w:rsidRDefault="00264A9F" w:rsidP="00264A9F">
            <w:pPr>
              <w:spacing w:line="240" w:lineRule="auto"/>
              <w:jc w:val="center"/>
              <w:rPr>
                <w:rFonts w:eastAsia="Times New Roman"/>
                <w:b/>
                <w:bCs/>
                <w:color w:val="000000" w:themeColor="text1"/>
                <w:szCs w:val="24"/>
                <w:lang w:eastAsia="cs-CZ"/>
              </w:rPr>
            </w:pPr>
          </w:p>
        </w:tc>
        <w:tc>
          <w:tcPr>
            <w:tcW w:w="1608" w:type="dxa"/>
            <w:tcBorders>
              <w:top w:val="nil"/>
              <w:left w:val="nil"/>
              <w:bottom w:val="nil"/>
              <w:right w:val="nil"/>
            </w:tcBorders>
            <w:shd w:val="clear" w:color="auto" w:fill="auto"/>
            <w:noWrap/>
            <w:vAlign w:val="bottom"/>
            <w:hideMark/>
          </w:tcPr>
          <w:p w14:paraId="562A7BCF" w14:textId="77777777" w:rsidR="00264A9F" w:rsidRPr="00033A3F" w:rsidRDefault="00264A9F" w:rsidP="00264A9F">
            <w:pPr>
              <w:spacing w:line="240" w:lineRule="auto"/>
              <w:jc w:val="left"/>
              <w:rPr>
                <w:rFonts w:ascii="Times New Roman" w:eastAsia="Times New Roman" w:hAnsi="Times New Roman"/>
                <w:color w:val="000000" w:themeColor="text1"/>
                <w:sz w:val="20"/>
                <w:szCs w:val="20"/>
                <w:lang w:eastAsia="cs-CZ"/>
              </w:rPr>
            </w:pPr>
          </w:p>
        </w:tc>
        <w:tc>
          <w:tcPr>
            <w:tcW w:w="1632" w:type="dxa"/>
            <w:tcBorders>
              <w:top w:val="nil"/>
              <w:left w:val="nil"/>
              <w:bottom w:val="nil"/>
              <w:right w:val="nil"/>
            </w:tcBorders>
            <w:shd w:val="clear" w:color="auto" w:fill="auto"/>
            <w:noWrap/>
            <w:vAlign w:val="bottom"/>
            <w:hideMark/>
          </w:tcPr>
          <w:p w14:paraId="36DC989B" w14:textId="77777777" w:rsidR="00264A9F" w:rsidRPr="00033A3F" w:rsidRDefault="00264A9F" w:rsidP="00264A9F">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47D73512" w14:textId="77777777" w:rsidR="00264A9F" w:rsidRPr="00033A3F" w:rsidRDefault="00264A9F" w:rsidP="00264A9F">
            <w:pPr>
              <w:spacing w:line="240" w:lineRule="auto"/>
              <w:jc w:val="left"/>
              <w:rPr>
                <w:rFonts w:ascii="Times New Roman" w:eastAsia="Times New Roman" w:hAnsi="Times New Roman"/>
                <w:color w:val="000000" w:themeColor="text1"/>
                <w:sz w:val="20"/>
                <w:szCs w:val="20"/>
                <w:lang w:eastAsia="cs-CZ"/>
              </w:rPr>
            </w:pPr>
          </w:p>
        </w:tc>
      </w:tr>
    </w:tbl>
    <w:p w14:paraId="325C235B" w14:textId="01D23639" w:rsidR="00264A9F" w:rsidRPr="00033A3F" w:rsidRDefault="00264A9F" w:rsidP="00264A9F">
      <w:pPr>
        <w:rPr>
          <w:color w:val="000000" w:themeColor="text1"/>
        </w:rPr>
      </w:pPr>
      <w:r w:rsidRPr="00033A3F">
        <w:rPr>
          <w:color w:val="000000" w:themeColor="text1"/>
        </w:rPr>
        <w:t xml:space="preserve">V předchozím roce působilo jako přísedící 1 416 mužů a 2 610 žen. V součtu tedy došlo k poklesu </w:t>
      </w:r>
      <w:r w:rsidR="009D0185" w:rsidRPr="00033A3F">
        <w:rPr>
          <w:color w:val="000000" w:themeColor="text1"/>
        </w:rPr>
        <w:t xml:space="preserve">o </w:t>
      </w:r>
      <w:r w:rsidRPr="00033A3F">
        <w:rPr>
          <w:color w:val="000000" w:themeColor="text1"/>
        </w:rPr>
        <w:t xml:space="preserve">32 osob. Podíl </w:t>
      </w:r>
      <w:r w:rsidR="009D0185" w:rsidRPr="00033A3F">
        <w:rPr>
          <w:color w:val="000000" w:themeColor="text1"/>
        </w:rPr>
        <w:t xml:space="preserve">mužů a </w:t>
      </w:r>
      <w:r w:rsidRPr="00033A3F">
        <w:rPr>
          <w:color w:val="000000" w:themeColor="text1"/>
        </w:rPr>
        <w:t>žen zůstal prakticky stejný.</w:t>
      </w:r>
    </w:p>
    <w:p w14:paraId="4D5784F7" w14:textId="445FBE32" w:rsidR="00264A9F" w:rsidRPr="00033A3F" w:rsidRDefault="00264A9F" w:rsidP="00264A9F">
      <w:pPr>
        <w:pStyle w:val="Podnadpis"/>
        <w:rPr>
          <w:color w:val="000000" w:themeColor="text1"/>
        </w:rPr>
      </w:pPr>
      <w:bookmarkStart w:id="180" w:name="_Toc75952311"/>
      <w:bookmarkStart w:id="181" w:name="_Toc106106770"/>
      <w:bookmarkStart w:id="182" w:name="_Toc144104247"/>
      <w:bookmarkStart w:id="183" w:name="_Toc169251064"/>
      <w:bookmarkStart w:id="184" w:name="_Toc174080750"/>
      <w:bookmarkStart w:id="185" w:name="_Toc193530886"/>
      <w:bookmarkStart w:id="186" w:name="_Toc194045580"/>
      <w:bookmarkStart w:id="187" w:name="_Toc199494989"/>
      <w:bookmarkStart w:id="188" w:name="_Toc203033049"/>
      <w:bookmarkStart w:id="189" w:name="_Toc203033127"/>
      <w:r w:rsidRPr="00033A3F">
        <w:rPr>
          <w:color w:val="000000" w:themeColor="text1"/>
        </w:rPr>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7</w:t>
      </w:r>
      <w:r w:rsidRPr="00033A3F">
        <w:rPr>
          <w:color w:val="000000" w:themeColor="text1"/>
        </w:rPr>
        <w:fldChar w:fldCharType="end"/>
      </w:r>
      <w:r w:rsidRPr="00033A3F">
        <w:rPr>
          <w:color w:val="000000" w:themeColor="text1"/>
        </w:rPr>
        <w:t>: OS – podíl přísedících dle krajů a věku</w:t>
      </w:r>
      <w:bookmarkEnd w:id="180"/>
      <w:bookmarkEnd w:id="181"/>
      <w:bookmarkEnd w:id="182"/>
      <w:r w:rsidRPr="00033A3F">
        <w:rPr>
          <w:color w:val="000000" w:themeColor="text1"/>
        </w:rPr>
        <w:t>, 202</w:t>
      </w:r>
      <w:bookmarkEnd w:id="183"/>
      <w:bookmarkEnd w:id="184"/>
      <w:r w:rsidRPr="00033A3F">
        <w:rPr>
          <w:color w:val="000000" w:themeColor="text1"/>
        </w:rPr>
        <w:t>4</w:t>
      </w:r>
      <w:bookmarkEnd w:id="185"/>
      <w:bookmarkEnd w:id="186"/>
      <w:bookmarkEnd w:id="187"/>
      <w:bookmarkEnd w:id="188"/>
      <w:bookmarkEnd w:id="189"/>
    </w:p>
    <w:tbl>
      <w:tblPr>
        <w:tblW w:w="7620" w:type="dxa"/>
        <w:tblLayout w:type="fixed"/>
        <w:tblCellMar>
          <w:left w:w="70" w:type="dxa"/>
          <w:right w:w="70" w:type="dxa"/>
        </w:tblCellMar>
        <w:tblLook w:val="04A0" w:firstRow="1" w:lastRow="0" w:firstColumn="1" w:lastColumn="0" w:noHBand="0" w:noVBand="1"/>
      </w:tblPr>
      <w:tblGrid>
        <w:gridCol w:w="2220"/>
        <w:gridCol w:w="1080"/>
        <w:gridCol w:w="1080"/>
        <w:gridCol w:w="1080"/>
        <w:gridCol w:w="1080"/>
        <w:gridCol w:w="1080"/>
      </w:tblGrid>
      <w:tr w:rsidR="00033A3F" w:rsidRPr="00033A3F" w14:paraId="4EC8A782" w14:textId="77777777" w:rsidTr="00BF0CC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1F8C96F5" w14:textId="77777777"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400" w:type="dxa"/>
            <w:gridSpan w:val="5"/>
            <w:tcBorders>
              <w:top w:val="double" w:sz="6" w:space="0" w:color="auto"/>
              <w:left w:val="nil"/>
              <w:bottom w:val="nil"/>
              <w:right w:val="nil"/>
            </w:tcBorders>
            <w:shd w:val="clear" w:color="auto" w:fill="auto"/>
            <w:noWrap/>
            <w:vAlign w:val="bottom"/>
            <w:hideMark/>
          </w:tcPr>
          <w:p w14:paraId="6F87FB82" w14:textId="77777777" w:rsidR="008C5721" w:rsidRPr="00033A3F" w:rsidRDefault="008C5721" w:rsidP="008C5721">
            <w:pPr>
              <w:spacing w:line="240" w:lineRule="auto"/>
              <w:jc w:val="center"/>
              <w:rPr>
                <w:b/>
                <w:color w:val="000000" w:themeColor="text1"/>
              </w:rPr>
            </w:pPr>
            <w:r w:rsidRPr="00033A3F">
              <w:rPr>
                <w:b/>
                <w:color w:val="000000" w:themeColor="text1"/>
              </w:rPr>
              <w:t>Věková skupina (podíl v %)</w:t>
            </w:r>
          </w:p>
        </w:tc>
      </w:tr>
      <w:tr w:rsidR="00033A3F" w:rsidRPr="00033A3F" w14:paraId="171EFC4B" w14:textId="77777777" w:rsidTr="00776EBB">
        <w:trPr>
          <w:trHeight w:val="330"/>
        </w:trPr>
        <w:tc>
          <w:tcPr>
            <w:tcW w:w="2220" w:type="dxa"/>
            <w:vMerge/>
            <w:tcBorders>
              <w:top w:val="double" w:sz="6" w:space="0" w:color="auto"/>
              <w:left w:val="nil"/>
              <w:bottom w:val="double" w:sz="6" w:space="0" w:color="000000"/>
              <w:right w:val="nil"/>
            </w:tcBorders>
            <w:vAlign w:val="center"/>
            <w:hideMark/>
          </w:tcPr>
          <w:p w14:paraId="02CEF4AE" w14:textId="77777777" w:rsidR="008C5721" w:rsidRPr="00033A3F" w:rsidRDefault="008C5721" w:rsidP="008C5721">
            <w:pPr>
              <w:spacing w:line="240" w:lineRule="auto"/>
              <w:jc w:val="left"/>
              <w:rPr>
                <w:rFonts w:eastAsia="Times New Roman"/>
                <w:b/>
                <w:bCs/>
                <w:color w:val="000000" w:themeColor="text1"/>
                <w:szCs w:val="24"/>
                <w:lang w:eastAsia="cs-CZ"/>
              </w:rPr>
            </w:pPr>
          </w:p>
        </w:tc>
        <w:tc>
          <w:tcPr>
            <w:tcW w:w="1080" w:type="dxa"/>
            <w:tcBorders>
              <w:top w:val="nil"/>
              <w:left w:val="nil"/>
              <w:bottom w:val="double" w:sz="6" w:space="0" w:color="auto"/>
              <w:right w:val="nil"/>
            </w:tcBorders>
            <w:shd w:val="clear" w:color="auto" w:fill="auto"/>
            <w:noWrap/>
            <w:vAlign w:val="bottom"/>
            <w:hideMark/>
          </w:tcPr>
          <w:p w14:paraId="588D7181" w14:textId="6D65744B" w:rsidR="008C5721" w:rsidRPr="00033A3F" w:rsidRDefault="008C5721" w:rsidP="008C5721">
            <w:pPr>
              <w:spacing w:line="240" w:lineRule="auto"/>
              <w:jc w:val="center"/>
              <w:rPr>
                <w:b/>
                <w:color w:val="000000" w:themeColor="text1"/>
              </w:rPr>
            </w:pPr>
            <w:r w:rsidRPr="00033A3F">
              <w:rPr>
                <w:b/>
                <w:color w:val="000000" w:themeColor="text1"/>
              </w:rPr>
              <w:t>30-39</w:t>
            </w:r>
          </w:p>
        </w:tc>
        <w:tc>
          <w:tcPr>
            <w:tcW w:w="1080" w:type="dxa"/>
            <w:tcBorders>
              <w:top w:val="nil"/>
              <w:left w:val="nil"/>
              <w:bottom w:val="double" w:sz="6" w:space="0" w:color="auto"/>
              <w:right w:val="nil"/>
            </w:tcBorders>
            <w:shd w:val="clear" w:color="auto" w:fill="auto"/>
            <w:noWrap/>
            <w:vAlign w:val="bottom"/>
            <w:hideMark/>
          </w:tcPr>
          <w:p w14:paraId="454847D8" w14:textId="77777777" w:rsidR="008C5721" w:rsidRPr="00033A3F" w:rsidRDefault="008C5721" w:rsidP="008C5721">
            <w:pPr>
              <w:spacing w:line="240" w:lineRule="auto"/>
              <w:jc w:val="center"/>
              <w:rPr>
                <w:b/>
                <w:color w:val="000000" w:themeColor="text1"/>
              </w:rPr>
            </w:pPr>
            <w:r w:rsidRPr="00033A3F">
              <w:rPr>
                <w:b/>
                <w:color w:val="000000" w:themeColor="text1"/>
              </w:rPr>
              <w:t>40-49</w:t>
            </w:r>
          </w:p>
        </w:tc>
        <w:tc>
          <w:tcPr>
            <w:tcW w:w="1080" w:type="dxa"/>
            <w:tcBorders>
              <w:top w:val="nil"/>
              <w:left w:val="nil"/>
              <w:bottom w:val="double" w:sz="6" w:space="0" w:color="auto"/>
              <w:right w:val="nil"/>
            </w:tcBorders>
            <w:shd w:val="clear" w:color="auto" w:fill="auto"/>
            <w:noWrap/>
            <w:vAlign w:val="bottom"/>
            <w:hideMark/>
          </w:tcPr>
          <w:p w14:paraId="00F8FC1E" w14:textId="77777777" w:rsidR="008C5721" w:rsidRPr="00033A3F" w:rsidRDefault="008C5721" w:rsidP="008C5721">
            <w:pPr>
              <w:spacing w:line="240" w:lineRule="auto"/>
              <w:jc w:val="center"/>
              <w:rPr>
                <w:b/>
                <w:color w:val="000000" w:themeColor="text1"/>
              </w:rPr>
            </w:pPr>
            <w:r w:rsidRPr="00033A3F">
              <w:rPr>
                <w:b/>
                <w:color w:val="000000" w:themeColor="text1"/>
              </w:rPr>
              <w:t>50-59</w:t>
            </w:r>
          </w:p>
        </w:tc>
        <w:tc>
          <w:tcPr>
            <w:tcW w:w="1080" w:type="dxa"/>
            <w:tcBorders>
              <w:top w:val="nil"/>
              <w:left w:val="nil"/>
              <w:bottom w:val="double" w:sz="6" w:space="0" w:color="auto"/>
              <w:right w:val="nil"/>
            </w:tcBorders>
            <w:shd w:val="clear" w:color="auto" w:fill="auto"/>
            <w:noWrap/>
            <w:vAlign w:val="bottom"/>
            <w:hideMark/>
          </w:tcPr>
          <w:p w14:paraId="6AECCBC9" w14:textId="77777777" w:rsidR="008C5721" w:rsidRPr="00033A3F" w:rsidRDefault="008C5721" w:rsidP="008C5721">
            <w:pPr>
              <w:spacing w:line="240" w:lineRule="auto"/>
              <w:jc w:val="center"/>
              <w:rPr>
                <w:b/>
                <w:color w:val="000000" w:themeColor="text1"/>
              </w:rPr>
            </w:pPr>
            <w:r w:rsidRPr="00033A3F">
              <w:rPr>
                <w:b/>
                <w:color w:val="000000" w:themeColor="text1"/>
              </w:rPr>
              <w:t>60-69</w:t>
            </w:r>
          </w:p>
        </w:tc>
        <w:tc>
          <w:tcPr>
            <w:tcW w:w="1080" w:type="dxa"/>
            <w:tcBorders>
              <w:top w:val="nil"/>
              <w:left w:val="nil"/>
              <w:bottom w:val="double" w:sz="6" w:space="0" w:color="auto"/>
              <w:right w:val="nil"/>
            </w:tcBorders>
            <w:shd w:val="clear" w:color="auto" w:fill="auto"/>
            <w:noWrap/>
            <w:vAlign w:val="bottom"/>
            <w:hideMark/>
          </w:tcPr>
          <w:p w14:paraId="1952C367" w14:textId="77777777" w:rsidR="008C5721" w:rsidRPr="00033A3F" w:rsidRDefault="008C5721" w:rsidP="008C5721">
            <w:pPr>
              <w:spacing w:line="240" w:lineRule="auto"/>
              <w:jc w:val="center"/>
              <w:rPr>
                <w:b/>
                <w:color w:val="000000" w:themeColor="text1"/>
              </w:rPr>
            </w:pPr>
            <w:r w:rsidRPr="00033A3F">
              <w:rPr>
                <w:b/>
                <w:color w:val="000000" w:themeColor="text1"/>
              </w:rPr>
              <w:t>70 a více</w:t>
            </w:r>
          </w:p>
        </w:tc>
      </w:tr>
      <w:tr w:rsidR="00033A3F" w:rsidRPr="00033A3F" w14:paraId="5013B579" w14:textId="77777777" w:rsidTr="00BF0CC3">
        <w:trPr>
          <w:trHeight w:val="330"/>
        </w:trPr>
        <w:tc>
          <w:tcPr>
            <w:tcW w:w="2220" w:type="dxa"/>
            <w:tcBorders>
              <w:top w:val="nil"/>
              <w:left w:val="nil"/>
              <w:bottom w:val="single" w:sz="4" w:space="0" w:color="auto"/>
              <w:right w:val="nil"/>
            </w:tcBorders>
            <w:shd w:val="clear" w:color="auto" w:fill="auto"/>
            <w:noWrap/>
            <w:vAlign w:val="bottom"/>
            <w:hideMark/>
          </w:tcPr>
          <w:p w14:paraId="1AC193BA"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0F4D0F2E" w14:textId="5FCE297D"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8,43</w:t>
            </w:r>
          </w:p>
        </w:tc>
        <w:tc>
          <w:tcPr>
            <w:tcW w:w="1080" w:type="dxa"/>
            <w:tcBorders>
              <w:top w:val="nil"/>
              <w:left w:val="nil"/>
              <w:bottom w:val="single" w:sz="4" w:space="0" w:color="auto"/>
              <w:right w:val="nil"/>
            </w:tcBorders>
            <w:shd w:val="clear" w:color="auto" w:fill="auto"/>
            <w:noWrap/>
            <w:vAlign w:val="bottom"/>
            <w:hideMark/>
          </w:tcPr>
          <w:p w14:paraId="1A4C0B90" w14:textId="2A8B9284"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15,66</w:t>
            </w:r>
          </w:p>
        </w:tc>
        <w:tc>
          <w:tcPr>
            <w:tcW w:w="1080" w:type="dxa"/>
            <w:tcBorders>
              <w:top w:val="nil"/>
              <w:left w:val="nil"/>
              <w:bottom w:val="single" w:sz="4" w:space="0" w:color="auto"/>
              <w:right w:val="nil"/>
            </w:tcBorders>
            <w:shd w:val="clear" w:color="auto" w:fill="auto"/>
            <w:noWrap/>
            <w:vAlign w:val="bottom"/>
            <w:hideMark/>
          </w:tcPr>
          <w:p w14:paraId="72646176" w14:textId="2E541309"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17,35</w:t>
            </w:r>
          </w:p>
        </w:tc>
        <w:tc>
          <w:tcPr>
            <w:tcW w:w="1080" w:type="dxa"/>
            <w:tcBorders>
              <w:top w:val="nil"/>
              <w:left w:val="nil"/>
              <w:bottom w:val="single" w:sz="4" w:space="0" w:color="auto"/>
              <w:right w:val="nil"/>
            </w:tcBorders>
            <w:shd w:val="clear" w:color="auto" w:fill="auto"/>
            <w:noWrap/>
            <w:vAlign w:val="bottom"/>
            <w:hideMark/>
          </w:tcPr>
          <w:p w14:paraId="0FFBD705" w14:textId="268E1B9C"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21,45</w:t>
            </w:r>
          </w:p>
        </w:tc>
        <w:tc>
          <w:tcPr>
            <w:tcW w:w="1080" w:type="dxa"/>
            <w:tcBorders>
              <w:top w:val="nil"/>
              <w:left w:val="nil"/>
              <w:bottom w:val="single" w:sz="4" w:space="0" w:color="auto"/>
              <w:right w:val="nil"/>
            </w:tcBorders>
            <w:shd w:val="clear" w:color="auto" w:fill="auto"/>
            <w:noWrap/>
            <w:vAlign w:val="bottom"/>
            <w:hideMark/>
          </w:tcPr>
          <w:p w14:paraId="4B7484B3" w14:textId="28B322F1"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37,11</w:t>
            </w:r>
          </w:p>
        </w:tc>
      </w:tr>
      <w:tr w:rsidR="00033A3F" w:rsidRPr="00033A3F" w14:paraId="1907A379"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1F25B2C2"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0447811D" w14:textId="5013603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4,62</w:t>
            </w:r>
          </w:p>
        </w:tc>
        <w:tc>
          <w:tcPr>
            <w:tcW w:w="1080" w:type="dxa"/>
            <w:tcBorders>
              <w:top w:val="nil"/>
              <w:left w:val="nil"/>
              <w:bottom w:val="single" w:sz="4" w:space="0" w:color="auto"/>
              <w:right w:val="nil"/>
            </w:tcBorders>
            <w:shd w:val="clear" w:color="auto" w:fill="auto"/>
            <w:noWrap/>
            <w:vAlign w:val="bottom"/>
            <w:hideMark/>
          </w:tcPr>
          <w:p w14:paraId="4630F7B2" w14:textId="0DEC77E7"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15,22</w:t>
            </w:r>
          </w:p>
        </w:tc>
        <w:tc>
          <w:tcPr>
            <w:tcW w:w="1080" w:type="dxa"/>
            <w:tcBorders>
              <w:top w:val="nil"/>
              <w:left w:val="nil"/>
              <w:bottom w:val="single" w:sz="4" w:space="0" w:color="auto"/>
              <w:right w:val="nil"/>
            </w:tcBorders>
            <w:shd w:val="clear" w:color="auto" w:fill="auto"/>
            <w:noWrap/>
            <w:vAlign w:val="bottom"/>
            <w:hideMark/>
          </w:tcPr>
          <w:p w14:paraId="5F9B506A" w14:textId="4C0219E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21,20</w:t>
            </w:r>
          </w:p>
        </w:tc>
        <w:tc>
          <w:tcPr>
            <w:tcW w:w="1080" w:type="dxa"/>
            <w:tcBorders>
              <w:top w:val="nil"/>
              <w:left w:val="nil"/>
              <w:bottom w:val="single" w:sz="4" w:space="0" w:color="auto"/>
              <w:right w:val="nil"/>
            </w:tcBorders>
            <w:shd w:val="clear" w:color="auto" w:fill="auto"/>
            <w:noWrap/>
            <w:vAlign w:val="bottom"/>
            <w:hideMark/>
          </w:tcPr>
          <w:p w14:paraId="6468C9CC" w14:textId="15CEB292"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23,37</w:t>
            </w:r>
          </w:p>
        </w:tc>
        <w:tc>
          <w:tcPr>
            <w:tcW w:w="1080" w:type="dxa"/>
            <w:tcBorders>
              <w:top w:val="nil"/>
              <w:left w:val="nil"/>
              <w:bottom w:val="single" w:sz="4" w:space="0" w:color="auto"/>
              <w:right w:val="nil"/>
            </w:tcBorders>
            <w:shd w:val="clear" w:color="auto" w:fill="auto"/>
            <w:noWrap/>
            <w:vAlign w:val="bottom"/>
            <w:hideMark/>
          </w:tcPr>
          <w:p w14:paraId="23128867" w14:textId="21CEC36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35,60</w:t>
            </w:r>
          </w:p>
        </w:tc>
      </w:tr>
      <w:tr w:rsidR="00033A3F" w:rsidRPr="00033A3F" w14:paraId="0700CBF9"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55171A72"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80" w:type="dxa"/>
            <w:tcBorders>
              <w:top w:val="nil"/>
              <w:left w:val="nil"/>
              <w:bottom w:val="single" w:sz="4" w:space="0" w:color="auto"/>
              <w:right w:val="nil"/>
            </w:tcBorders>
            <w:shd w:val="clear" w:color="auto" w:fill="auto"/>
            <w:noWrap/>
            <w:vAlign w:val="bottom"/>
            <w:hideMark/>
          </w:tcPr>
          <w:p w14:paraId="725E57CF" w14:textId="0106E063"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2,23</w:t>
            </w:r>
          </w:p>
        </w:tc>
        <w:tc>
          <w:tcPr>
            <w:tcW w:w="1080" w:type="dxa"/>
            <w:tcBorders>
              <w:top w:val="nil"/>
              <w:left w:val="nil"/>
              <w:bottom w:val="single" w:sz="4" w:space="0" w:color="auto"/>
              <w:right w:val="nil"/>
            </w:tcBorders>
            <w:shd w:val="clear" w:color="auto" w:fill="auto"/>
            <w:noWrap/>
            <w:vAlign w:val="bottom"/>
            <w:hideMark/>
          </w:tcPr>
          <w:p w14:paraId="285B9C95" w14:textId="0A0CBED1"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7,14</w:t>
            </w:r>
          </w:p>
        </w:tc>
        <w:tc>
          <w:tcPr>
            <w:tcW w:w="1080" w:type="dxa"/>
            <w:tcBorders>
              <w:top w:val="nil"/>
              <w:left w:val="nil"/>
              <w:bottom w:val="single" w:sz="4" w:space="0" w:color="auto"/>
              <w:right w:val="nil"/>
            </w:tcBorders>
            <w:shd w:val="clear" w:color="auto" w:fill="auto"/>
            <w:noWrap/>
            <w:vAlign w:val="bottom"/>
            <w:hideMark/>
          </w:tcPr>
          <w:p w14:paraId="5D92C7AF" w14:textId="11DCF78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19,64</w:t>
            </w:r>
          </w:p>
        </w:tc>
        <w:tc>
          <w:tcPr>
            <w:tcW w:w="1080" w:type="dxa"/>
            <w:tcBorders>
              <w:top w:val="nil"/>
              <w:left w:val="nil"/>
              <w:bottom w:val="single" w:sz="4" w:space="0" w:color="auto"/>
              <w:right w:val="nil"/>
            </w:tcBorders>
            <w:shd w:val="clear" w:color="auto" w:fill="auto"/>
            <w:noWrap/>
            <w:vAlign w:val="bottom"/>
            <w:hideMark/>
          </w:tcPr>
          <w:p w14:paraId="63037052" w14:textId="78AC99FE"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32,59</w:t>
            </w:r>
          </w:p>
        </w:tc>
        <w:tc>
          <w:tcPr>
            <w:tcW w:w="1080" w:type="dxa"/>
            <w:tcBorders>
              <w:top w:val="nil"/>
              <w:left w:val="nil"/>
              <w:bottom w:val="single" w:sz="4" w:space="0" w:color="auto"/>
              <w:right w:val="nil"/>
            </w:tcBorders>
            <w:shd w:val="clear" w:color="auto" w:fill="auto"/>
            <w:noWrap/>
            <w:vAlign w:val="bottom"/>
            <w:hideMark/>
          </w:tcPr>
          <w:p w14:paraId="15F8DB46" w14:textId="62126742"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38,39</w:t>
            </w:r>
          </w:p>
        </w:tc>
      </w:tr>
      <w:tr w:rsidR="00033A3F" w:rsidRPr="00033A3F" w14:paraId="7C609FB8"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449DC422"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737A1A6D" w14:textId="455BE4AC"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3,34</w:t>
            </w:r>
          </w:p>
        </w:tc>
        <w:tc>
          <w:tcPr>
            <w:tcW w:w="1080" w:type="dxa"/>
            <w:tcBorders>
              <w:top w:val="nil"/>
              <w:left w:val="nil"/>
              <w:bottom w:val="single" w:sz="4" w:space="0" w:color="auto"/>
              <w:right w:val="nil"/>
            </w:tcBorders>
            <w:shd w:val="clear" w:color="auto" w:fill="auto"/>
            <w:noWrap/>
            <w:vAlign w:val="bottom"/>
            <w:hideMark/>
          </w:tcPr>
          <w:p w14:paraId="2E54ABC7" w14:textId="1A617C97"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9,19</w:t>
            </w:r>
          </w:p>
        </w:tc>
        <w:tc>
          <w:tcPr>
            <w:tcW w:w="1080" w:type="dxa"/>
            <w:tcBorders>
              <w:top w:val="nil"/>
              <w:left w:val="nil"/>
              <w:bottom w:val="single" w:sz="4" w:space="0" w:color="auto"/>
              <w:right w:val="nil"/>
            </w:tcBorders>
            <w:shd w:val="clear" w:color="auto" w:fill="auto"/>
            <w:noWrap/>
            <w:vAlign w:val="bottom"/>
            <w:hideMark/>
          </w:tcPr>
          <w:p w14:paraId="014EC597" w14:textId="67E7F546"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20,89</w:t>
            </w:r>
          </w:p>
        </w:tc>
        <w:tc>
          <w:tcPr>
            <w:tcW w:w="1080" w:type="dxa"/>
            <w:tcBorders>
              <w:top w:val="nil"/>
              <w:left w:val="nil"/>
              <w:bottom w:val="single" w:sz="4" w:space="0" w:color="auto"/>
              <w:right w:val="nil"/>
            </w:tcBorders>
            <w:shd w:val="clear" w:color="auto" w:fill="auto"/>
            <w:noWrap/>
            <w:vAlign w:val="bottom"/>
            <w:hideMark/>
          </w:tcPr>
          <w:p w14:paraId="45FEF298" w14:textId="0CC93AB8"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30,36</w:t>
            </w:r>
          </w:p>
        </w:tc>
        <w:tc>
          <w:tcPr>
            <w:tcW w:w="1080" w:type="dxa"/>
            <w:tcBorders>
              <w:top w:val="nil"/>
              <w:left w:val="nil"/>
              <w:bottom w:val="single" w:sz="4" w:space="0" w:color="auto"/>
              <w:right w:val="nil"/>
            </w:tcBorders>
            <w:shd w:val="clear" w:color="auto" w:fill="auto"/>
            <w:noWrap/>
            <w:vAlign w:val="bottom"/>
            <w:hideMark/>
          </w:tcPr>
          <w:p w14:paraId="60AD88A9" w14:textId="5544F88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36,21</w:t>
            </w:r>
          </w:p>
        </w:tc>
      </w:tr>
      <w:tr w:rsidR="00033A3F" w:rsidRPr="00033A3F" w14:paraId="33490660"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21DC5E5E"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80" w:type="dxa"/>
            <w:tcBorders>
              <w:top w:val="nil"/>
              <w:left w:val="nil"/>
              <w:bottom w:val="single" w:sz="4" w:space="0" w:color="auto"/>
              <w:right w:val="nil"/>
            </w:tcBorders>
            <w:shd w:val="clear" w:color="auto" w:fill="auto"/>
            <w:noWrap/>
            <w:vAlign w:val="bottom"/>
            <w:hideMark/>
          </w:tcPr>
          <w:p w14:paraId="1E1CEDD4" w14:textId="771C2F60"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4,43</w:t>
            </w:r>
          </w:p>
        </w:tc>
        <w:tc>
          <w:tcPr>
            <w:tcW w:w="1080" w:type="dxa"/>
            <w:tcBorders>
              <w:top w:val="nil"/>
              <w:left w:val="nil"/>
              <w:bottom w:val="single" w:sz="4" w:space="0" w:color="auto"/>
              <w:right w:val="nil"/>
            </w:tcBorders>
            <w:shd w:val="clear" w:color="auto" w:fill="auto"/>
            <w:noWrap/>
            <w:vAlign w:val="bottom"/>
            <w:hideMark/>
          </w:tcPr>
          <w:p w14:paraId="56DCA1E6" w14:textId="66E24D88"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15,07</w:t>
            </w:r>
          </w:p>
        </w:tc>
        <w:tc>
          <w:tcPr>
            <w:tcW w:w="1080" w:type="dxa"/>
            <w:tcBorders>
              <w:top w:val="nil"/>
              <w:left w:val="nil"/>
              <w:bottom w:val="single" w:sz="4" w:space="0" w:color="auto"/>
              <w:right w:val="nil"/>
            </w:tcBorders>
            <w:shd w:val="clear" w:color="auto" w:fill="auto"/>
            <w:noWrap/>
            <w:vAlign w:val="bottom"/>
            <w:hideMark/>
          </w:tcPr>
          <w:p w14:paraId="693BE41F" w14:textId="3571A408"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21,28</w:t>
            </w:r>
          </w:p>
        </w:tc>
        <w:tc>
          <w:tcPr>
            <w:tcW w:w="1080" w:type="dxa"/>
            <w:tcBorders>
              <w:top w:val="nil"/>
              <w:left w:val="nil"/>
              <w:bottom w:val="single" w:sz="4" w:space="0" w:color="auto"/>
              <w:right w:val="nil"/>
            </w:tcBorders>
            <w:shd w:val="clear" w:color="auto" w:fill="auto"/>
            <w:noWrap/>
            <w:vAlign w:val="bottom"/>
            <w:hideMark/>
          </w:tcPr>
          <w:p w14:paraId="39AB64DC" w14:textId="395D1EF8"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24,29</w:t>
            </w:r>
          </w:p>
        </w:tc>
        <w:tc>
          <w:tcPr>
            <w:tcW w:w="1080" w:type="dxa"/>
            <w:tcBorders>
              <w:top w:val="nil"/>
              <w:left w:val="nil"/>
              <w:bottom w:val="single" w:sz="4" w:space="0" w:color="auto"/>
              <w:right w:val="nil"/>
            </w:tcBorders>
            <w:shd w:val="clear" w:color="auto" w:fill="auto"/>
            <w:noWrap/>
            <w:vAlign w:val="bottom"/>
            <w:hideMark/>
          </w:tcPr>
          <w:p w14:paraId="7F491F77" w14:textId="14C55F5A"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34,93</w:t>
            </w:r>
          </w:p>
        </w:tc>
      </w:tr>
      <w:tr w:rsidR="00033A3F" w:rsidRPr="00033A3F" w14:paraId="6861255A"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13866B51"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80" w:type="dxa"/>
            <w:tcBorders>
              <w:top w:val="nil"/>
              <w:left w:val="nil"/>
              <w:bottom w:val="single" w:sz="4" w:space="0" w:color="auto"/>
              <w:right w:val="nil"/>
            </w:tcBorders>
            <w:shd w:val="clear" w:color="auto" w:fill="auto"/>
            <w:noWrap/>
            <w:vAlign w:val="bottom"/>
            <w:hideMark/>
          </w:tcPr>
          <w:p w14:paraId="26CFBF1F" w14:textId="3F16420B"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2,50</w:t>
            </w:r>
          </w:p>
        </w:tc>
        <w:tc>
          <w:tcPr>
            <w:tcW w:w="1080" w:type="dxa"/>
            <w:tcBorders>
              <w:top w:val="nil"/>
              <w:left w:val="nil"/>
              <w:bottom w:val="single" w:sz="4" w:space="0" w:color="auto"/>
              <w:right w:val="nil"/>
            </w:tcBorders>
            <w:shd w:val="clear" w:color="auto" w:fill="auto"/>
            <w:noWrap/>
            <w:vAlign w:val="bottom"/>
            <w:hideMark/>
          </w:tcPr>
          <w:p w14:paraId="0AE3C0B0" w14:textId="4AA4623E"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9,25</w:t>
            </w:r>
          </w:p>
        </w:tc>
        <w:tc>
          <w:tcPr>
            <w:tcW w:w="1080" w:type="dxa"/>
            <w:tcBorders>
              <w:top w:val="nil"/>
              <w:left w:val="nil"/>
              <w:bottom w:val="single" w:sz="4" w:space="0" w:color="auto"/>
              <w:right w:val="nil"/>
            </w:tcBorders>
            <w:shd w:val="clear" w:color="auto" w:fill="auto"/>
            <w:noWrap/>
            <w:vAlign w:val="bottom"/>
            <w:hideMark/>
          </w:tcPr>
          <w:p w14:paraId="5E63CACC" w14:textId="51C8FD5E"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18,50</w:t>
            </w:r>
          </w:p>
        </w:tc>
        <w:tc>
          <w:tcPr>
            <w:tcW w:w="1080" w:type="dxa"/>
            <w:tcBorders>
              <w:top w:val="nil"/>
              <w:left w:val="nil"/>
              <w:bottom w:val="single" w:sz="4" w:space="0" w:color="auto"/>
              <w:right w:val="nil"/>
            </w:tcBorders>
            <w:shd w:val="clear" w:color="auto" w:fill="auto"/>
            <w:noWrap/>
            <w:vAlign w:val="bottom"/>
            <w:hideMark/>
          </w:tcPr>
          <w:p w14:paraId="3567CA0E" w14:textId="538E0B3B"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34,00</w:t>
            </w:r>
          </w:p>
        </w:tc>
        <w:tc>
          <w:tcPr>
            <w:tcW w:w="1080" w:type="dxa"/>
            <w:tcBorders>
              <w:top w:val="nil"/>
              <w:left w:val="nil"/>
              <w:bottom w:val="single" w:sz="4" w:space="0" w:color="auto"/>
              <w:right w:val="nil"/>
            </w:tcBorders>
            <w:shd w:val="clear" w:color="auto" w:fill="auto"/>
            <w:noWrap/>
            <w:vAlign w:val="bottom"/>
            <w:hideMark/>
          </w:tcPr>
          <w:p w14:paraId="69BF3BAC" w14:textId="5A9BDFCE"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35,75</w:t>
            </w:r>
          </w:p>
        </w:tc>
      </w:tr>
      <w:tr w:rsidR="00033A3F" w:rsidRPr="00033A3F" w14:paraId="1034F347"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71E2CECD"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252477E6" w14:textId="10522E0A"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4,29</w:t>
            </w:r>
          </w:p>
        </w:tc>
        <w:tc>
          <w:tcPr>
            <w:tcW w:w="1080" w:type="dxa"/>
            <w:tcBorders>
              <w:top w:val="nil"/>
              <w:left w:val="nil"/>
              <w:bottom w:val="single" w:sz="4" w:space="0" w:color="auto"/>
              <w:right w:val="nil"/>
            </w:tcBorders>
            <w:shd w:val="clear" w:color="auto" w:fill="auto"/>
            <w:noWrap/>
            <w:vAlign w:val="bottom"/>
            <w:hideMark/>
          </w:tcPr>
          <w:p w14:paraId="03187BEA" w14:textId="5BAECD2B"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15,88</w:t>
            </w:r>
          </w:p>
        </w:tc>
        <w:tc>
          <w:tcPr>
            <w:tcW w:w="1080" w:type="dxa"/>
            <w:tcBorders>
              <w:top w:val="nil"/>
              <w:left w:val="nil"/>
              <w:bottom w:val="single" w:sz="4" w:space="0" w:color="auto"/>
              <w:right w:val="nil"/>
            </w:tcBorders>
            <w:shd w:val="clear" w:color="auto" w:fill="auto"/>
            <w:noWrap/>
            <w:vAlign w:val="bottom"/>
            <w:hideMark/>
          </w:tcPr>
          <w:p w14:paraId="5D566CD0" w14:textId="4ADAB48A"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21,46</w:t>
            </w:r>
          </w:p>
        </w:tc>
        <w:tc>
          <w:tcPr>
            <w:tcW w:w="1080" w:type="dxa"/>
            <w:tcBorders>
              <w:top w:val="nil"/>
              <w:left w:val="nil"/>
              <w:bottom w:val="single" w:sz="4" w:space="0" w:color="auto"/>
              <w:right w:val="nil"/>
            </w:tcBorders>
            <w:shd w:val="clear" w:color="auto" w:fill="auto"/>
            <w:noWrap/>
            <w:vAlign w:val="bottom"/>
            <w:hideMark/>
          </w:tcPr>
          <w:p w14:paraId="5799593B" w14:textId="78F441E7"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25,89</w:t>
            </w:r>
          </w:p>
        </w:tc>
        <w:tc>
          <w:tcPr>
            <w:tcW w:w="1080" w:type="dxa"/>
            <w:tcBorders>
              <w:top w:val="nil"/>
              <w:left w:val="nil"/>
              <w:bottom w:val="single" w:sz="4" w:space="0" w:color="auto"/>
              <w:right w:val="nil"/>
            </w:tcBorders>
            <w:shd w:val="clear" w:color="auto" w:fill="auto"/>
            <w:noWrap/>
            <w:vAlign w:val="bottom"/>
            <w:hideMark/>
          </w:tcPr>
          <w:p w14:paraId="31010BF8" w14:textId="55797E52"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32,47</w:t>
            </w:r>
          </w:p>
        </w:tc>
      </w:tr>
      <w:tr w:rsidR="00033A3F" w:rsidRPr="00033A3F" w14:paraId="5D71D2DD" w14:textId="77777777" w:rsidTr="00BF0CC3">
        <w:trPr>
          <w:trHeight w:val="330"/>
        </w:trPr>
        <w:tc>
          <w:tcPr>
            <w:tcW w:w="2220" w:type="dxa"/>
            <w:tcBorders>
              <w:top w:val="nil"/>
              <w:left w:val="nil"/>
              <w:bottom w:val="double" w:sz="6" w:space="0" w:color="auto"/>
              <w:right w:val="nil"/>
            </w:tcBorders>
            <w:shd w:val="clear" w:color="auto" w:fill="auto"/>
            <w:noWrap/>
            <w:vAlign w:val="bottom"/>
            <w:hideMark/>
          </w:tcPr>
          <w:p w14:paraId="5A659786"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80" w:type="dxa"/>
            <w:tcBorders>
              <w:top w:val="nil"/>
              <w:left w:val="nil"/>
              <w:bottom w:val="double" w:sz="6" w:space="0" w:color="auto"/>
              <w:right w:val="nil"/>
            </w:tcBorders>
            <w:shd w:val="clear" w:color="auto" w:fill="auto"/>
            <w:noWrap/>
            <w:vAlign w:val="bottom"/>
            <w:hideMark/>
          </w:tcPr>
          <w:p w14:paraId="0672DA62" w14:textId="00FC1EFB"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4,66</w:t>
            </w:r>
          </w:p>
        </w:tc>
        <w:tc>
          <w:tcPr>
            <w:tcW w:w="1080" w:type="dxa"/>
            <w:tcBorders>
              <w:top w:val="nil"/>
              <w:left w:val="nil"/>
              <w:bottom w:val="double" w:sz="6" w:space="0" w:color="auto"/>
              <w:right w:val="nil"/>
            </w:tcBorders>
            <w:shd w:val="clear" w:color="auto" w:fill="auto"/>
            <w:noWrap/>
            <w:vAlign w:val="bottom"/>
            <w:hideMark/>
          </w:tcPr>
          <w:p w14:paraId="7F3087E3" w14:textId="3DD429AA"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14,20</w:t>
            </w:r>
          </w:p>
        </w:tc>
        <w:tc>
          <w:tcPr>
            <w:tcW w:w="1080" w:type="dxa"/>
            <w:tcBorders>
              <w:top w:val="nil"/>
              <w:left w:val="nil"/>
              <w:bottom w:val="double" w:sz="6" w:space="0" w:color="auto"/>
              <w:right w:val="nil"/>
            </w:tcBorders>
            <w:shd w:val="clear" w:color="auto" w:fill="auto"/>
            <w:noWrap/>
            <w:vAlign w:val="bottom"/>
            <w:hideMark/>
          </w:tcPr>
          <w:p w14:paraId="03DA08B4" w14:textId="6BE226C5"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23,52</w:t>
            </w:r>
          </w:p>
        </w:tc>
        <w:tc>
          <w:tcPr>
            <w:tcW w:w="1080" w:type="dxa"/>
            <w:tcBorders>
              <w:top w:val="nil"/>
              <w:left w:val="nil"/>
              <w:bottom w:val="double" w:sz="6" w:space="0" w:color="auto"/>
              <w:right w:val="nil"/>
            </w:tcBorders>
            <w:shd w:val="clear" w:color="auto" w:fill="auto"/>
            <w:noWrap/>
            <w:vAlign w:val="bottom"/>
            <w:hideMark/>
          </w:tcPr>
          <w:p w14:paraId="5E8C90F8" w14:textId="4D464655"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27,77</w:t>
            </w:r>
          </w:p>
        </w:tc>
        <w:tc>
          <w:tcPr>
            <w:tcW w:w="1080" w:type="dxa"/>
            <w:tcBorders>
              <w:top w:val="nil"/>
              <w:left w:val="nil"/>
              <w:bottom w:val="double" w:sz="6" w:space="0" w:color="auto"/>
              <w:right w:val="nil"/>
            </w:tcBorders>
            <w:shd w:val="clear" w:color="auto" w:fill="auto"/>
            <w:noWrap/>
            <w:vAlign w:val="bottom"/>
            <w:hideMark/>
          </w:tcPr>
          <w:p w14:paraId="51A2610B" w14:textId="0698C3C5"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29,84</w:t>
            </w:r>
          </w:p>
        </w:tc>
      </w:tr>
      <w:tr w:rsidR="00033A3F" w:rsidRPr="00033A3F" w14:paraId="65B8F780" w14:textId="77777777" w:rsidTr="00BF0CC3">
        <w:trPr>
          <w:trHeight w:val="345"/>
        </w:trPr>
        <w:tc>
          <w:tcPr>
            <w:tcW w:w="2220" w:type="dxa"/>
            <w:tcBorders>
              <w:top w:val="nil"/>
              <w:left w:val="nil"/>
              <w:bottom w:val="double" w:sz="6" w:space="0" w:color="auto"/>
              <w:right w:val="nil"/>
            </w:tcBorders>
            <w:shd w:val="clear" w:color="auto" w:fill="auto"/>
            <w:noWrap/>
            <w:vAlign w:val="bottom"/>
            <w:hideMark/>
          </w:tcPr>
          <w:p w14:paraId="72B34964" w14:textId="77777777" w:rsidR="008C5721" w:rsidRPr="00033A3F" w:rsidRDefault="008C5721" w:rsidP="008C572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80" w:type="dxa"/>
            <w:tcBorders>
              <w:top w:val="nil"/>
              <w:left w:val="nil"/>
              <w:bottom w:val="double" w:sz="6" w:space="0" w:color="auto"/>
              <w:right w:val="nil"/>
            </w:tcBorders>
            <w:shd w:val="clear" w:color="auto" w:fill="auto"/>
            <w:noWrap/>
            <w:vAlign w:val="bottom"/>
            <w:hideMark/>
          </w:tcPr>
          <w:p w14:paraId="63136AC0" w14:textId="32AED18E"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4,48</w:t>
            </w:r>
          </w:p>
        </w:tc>
        <w:tc>
          <w:tcPr>
            <w:tcW w:w="1080" w:type="dxa"/>
            <w:tcBorders>
              <w:top w:val="nil"/>
              <w:left w:val="nil"/>
              <w:bottom w:val="double" w:sz="6" w:space="0" w:color="auto"/>
              <w:right w:val="nil"/>
            </w:tcBorders>
            <w:shd w:val="clear" w:color="auto" w:fill="auto"/>
            <w:noWrap/>
            <w:vAlign w:val="bottom"/>
            <w:hideMark/>
          </w:tcPr>
          <w:p w14:paraId="7AF33777" w14:textId="4FC7B67D"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13,52</w:t>
            </w:r>
          </w:p>
        </w:tc>
        <w:tc>
          <w:tcPr>
            <w:tcW w:w="1080" w:type="dxa"/>
            <w:tcBorders>
              <w:top w:val="nil"/>
              <w:left w:val="nil"/>
              <w:bottom w:val="double" w:sz="6" w:space="0" w:color="auto"/>
              <w:right w:val="nil"/>
            </w:tcBorders>
            <w:shd w:val="clear" w:color="auto" w:fill="auto"/>
            <w:noWrap/>
            <w:vAlign w:val="bottom"/>
            <w:hideMark/>
          </w:tcPr>
          <w:p w14:paraId="5FA3C9C3" w14:textId="047D7410"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21,03</w:t>
            </w:r>
          </w:p>
        </w:tc>
        <w:tc>
          <w:tcPr>
            <w:tcW w:w="1080" w:type="dxa"/>
            <w:tcBorders>
              <w:top w:val="nil"/>
              <w:left w:val="nil"/>
              <w:bottom w:val="double" w:sz="6" w:space="0" w:color="auto"/>
              <w:right w:val="nil"/>
            </w:tcBorders>
            <w:shd w:val="clear" w:color="auto" w:fill="auto"/>
            <w:noWrap/>
            <w:vAlign w:val="bottom"/>
            <w:hideMark/>
          </w:tcPr>
          <w:p w14:paraId="29802FA8" w14:textId="60E0B55C"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27,02</w:t>
            </w:r>
          </w:p>
        </w:tc>
        <w:tc>
          <w:tcPr>
            <w:tcW w:w="1080" w:type="dxa"/>
            <w:tcBorders>
              <w:top w:val="nil"/>
              <w:left w:val="nil"/>
              <w:bottom w:val="double" w:sz="6" w:space="0" w:color="auto"/>
              <w:right w:val="nil"/>
            </w:tcBorders>
            <w:shd w:val="clear" w:color="auto" w:fill="auto"/>
            <w:noWrap/>
            <w:vAlign w:val="bottom"/>
            <w:hideMark/>
          </w:tcPr>
          <w:p w14:paraId="35B11680" w14:textId="6C4C8A3F"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33,95</w:t>
            </w:r>
          </w:p>
        </w:tc>
      </w:tr>
      <w:tr w:rsidR="00033A3F" w:rsidRPr="00033A3F" w14:paraId="5E0B6D2C" w14:textId="77777777" w:rsidTr="00BF0CC3">
        <w:trPr>
          <w:trHeight w:val="330"/>
        </w:trPr>
        <w:tc>
          <w:tcPr>
            <w:tcW w:w="2220" w:type="dxa"/>
            <w:tcBorders>
              <w:top w:val="nil"/>
              <w:left w:val="nil"/>
              <w:bottom w:val="nil"/>
              <w:right w:val="nil"/>
            </w:tcBorders>
            <w:shd w:val="clear" w:color="auto" w:fill="auto"/>
            <w:noWrap/>
            <w:vAlign w:val="bottom"/>
            <w:hideMark/>
          </w:tcPr>
          <w:p w14:paraId="03FBE2E3" w14:textId="77777777" w:rsidR="008C5721" w:rsidRPr="00033A3F" w:rsidRDefault="008C5721" w:rsidP="008C5721">
            <w:pPr>
              <w:spacing w:line="240" w:lineRule="auto"/>
              <w:jc w:val="center"/>
              <w:rPr>
                <w:rFonts w:eastAsia="Times New Roman"/>
                <w:b/>
                <w:bCs/>
                <w:color w:val="000000" w:themeColor="text1"/>
                <w:szCs w:val="24"/>
                <w:lang w:eastAsia="cs-CZ"/>
              </w:rPr>
            </w:pPr>
          </w:p>
        </w:tc>
        <w:tc>
          <w:tcPr>
            <w:tcW w:w="1080" w:type="dxa"/>
            <w:tcBorders>
              <w:top w:val="nil"/>
              <w:left w:val="nil"/>
              <w:bottom w:val="nil"/>
              <w:right w:val="nil"/>
            </w:tcBorders>
            <w:shd w:val="clear" w:color="auto" w:fill="auto"/>
            <w:noWrap/>
            <w:vAlign w:val="bottom"/>
            <w:hideMark/>
          </w:tcPr>
          <w:p w14:paraId="713BDBD4"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206D4B27"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1BE8E9D1"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515EB7D0"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39BE8BF1"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r>
    </w:tbl>
    <w:p w14:paraId="7A2E7A35" w14:textId="6486E06E" w:rsidR="00764D53" w:rsidRPr="00033A3F" w:rsidRDefault="008C5721" w:rsidP="00635423">
      <w:pPr>
        <w:pStyle w:val="OdstavecASR"/>
        <w:rPr>
          <w:color w:val="000000" w:themeColor="text1"/>
        </w:rPr>
      </w:pPr>
      <w:r w:rsidRPr="00033A3F">
        <w:rPr>
          <w:color w:val="000000" w:themeColor="text1"/>
        </w:rPr>
        <w:t xml:space="preserve">Tabulka 7 se zabývá věkovou strukturou. Vyplývá z ní, že post přísedící/ho je mnohem populárnější u vyšších věkových skupin. Asi 61 % přísedících tvoří lidé ve věku 60 let a více, tedy ve většině případů v důchodovém věku. Naopak přísedící ve věku do 39 let tvoří pouze 4,5 %. Obvykle je tento jev přisuzován tomu, že náhrada za výkon funkce přísedícího, která představuje v podstatě paušalizovanou náhradu nákladů, je považována za nízkou. Funkce je </w:t>
      </w:r>
      <w:r w:rsidR="000E4F7B" w:rsidRPr="00033A3F">
        <w:rPr>
          <w:color w:val="000000" w:themeColor="text1"/>
        </w:rPr>
        <w:t>však</w:t>
      </w:r>
      <w:r w:rsidRPr="00033A3F">
        <w:rPr>
          <w:color w:val="000000" w:themeColor="text1"/>
        </w:rPr>
        <w:t xml:space="preserve"> ve své podstatě koncipována jako funkce čestná, tj. bez nároku na odměnu. Lidé v produktivním věku pravděpodobně preferují výdělečnou činnost nebo jinak strávený čas. Seniorům se nicméně čas stráveným tímto způsobem může zdát zajímavější. Mezi jednotlivými kraji jsou určité, ale nijak závratné rozdíly. V průměru nejstarší jsou přísedící v Jihočeském kraji – pouze 2 % z nich jsou ve věku do 39 let a téměř 71 % je ve věku 60 let a více. Je </w:t>
      </w:r>
      <w:r w:rsidR="000E4F7B" w:rsidRPr="00033A3F">
        <w:rPr>
          <w:color w:val="000000" w:themeColor="text1"/>
        </w:rPr>
        <w:t>ale</w:t>
      </w:r>
      <w:r w:rsidRPr="00033A3F">
        <w:rPr>
          <w:color w:val="000000" w:themeColor="text1"/>
        </w:rPr>
        <w:t xml:space="preserve"> třeba zmínit, že Jihočeský kraj je nejmenší, a tudíž ze statistického pohledu nejvíce podléhá výchylkám. Oproti předchozímu roku se věková struktura téměř nezměnila.</w:t>
      </w:r>
    </w:p>
    <w:p w14:paraId="48BF8F17" w14:textId="0AA0CA5B" w:rsidR="008430BD" w:rsidRPr="00033A3F" w:rsidRDefault="008430BD" w:rsidP="008433A9">
      <w:pPr>
        <w:pStyle w:val="Nadpis2"/>
        <w:pageBreakBefore/>
        <w:numPr>
          <w:ilvl w:val="1"/>
          <w:numId w:val="1"/>
        </w:numPr>
        <w:spacing w:before="120"/>
        <w:ind w:left="578" w:hanging="578"/>
      </w:pPr>
      <w:bookmarkStart w:id="190" w:name="_Ref9425277"/>
      <w:bookmarkStart w:id="191" w:name="_Ref10553155"/>
      <w:bookmarkStart w:id="192" w:name="_Ref10553167"/>
      <w:bookmarkStart w:id="193" w:name="_Toc106092717"/>
      <w:bookmarkStart w:id="194" w:name="_Toc169250801"/>
      <w:bookmarkStart w:id="195" w:name="_Toc193530962"/>
      <w:bookmarkStart w:id="196" w:name="_Toc193957019"/>
      <w:bookmarkStart w:id="197" w:name="_Toc203032709"/>
      <w:r w:rsidRPr="00033A3F">
        <w:lastRenderedPageBreak/>
        <w:t>Civilní agenda</w:t>
      </w:r>
      <w:bookmarkEnd w:id="190"/>
      <w:bookmarkEnd w:id="191"/>
      <w:bookmarkEnd w:id="192"/>
      <w:bookmarkEnd w:id="193"/>
      <w:bookmarkEnd w:id="194"/>
      <w:bookmarkEnd w:id="195"/>
      <w:bookmarkEnd w:id="196"/>
      <w:bookmarkEnd w:id="197"/>
    </w:p>
    <w:p w14:paraId="02A578CF" w14:textId="77777777" w:rsidR="008C5721" w:rsidRPr="00033A3F" w:rsidRDefault="008C5721" w:rsidP="00BF0CC3">
      <w:pPr>
        <w:pStyle w:val="OdstavecASR"/>
        <w:rPr>
          <w:color w:val="000000" w:themeColor="text1"/>
        </w:rPr>
      </w:pPr>
      <w:r w:rsidRPr="00033A3F">
        <w:rPr>
          <w:color w:val="000000" w:themeColor="text1"/>
        </w:rPr>
        <w:t>Soudy na civilním úseku vedou značné množství různých druhů řízení (dědické řízení, exekuční řízení, výkony soudních rozhodnutí a další). Zdaleka nejvýznamnější a nejrozsáhlejší je ale prvostupňové civilní (občanskoprávní) řízení, označené jako rejstřík (agenda) C, proto se tato část Výroční statistické zprávy zaměřuje právě na tuto agendu. Statistiky týkající se vedlejších agend jsou pak dostupné z jiných zdrojů (např. na internetových stránkách InfoData nebo ve statistických ročenkách).</w:t>
      </w:r>
    </w:p>
    <w:p w14:paraId="21183F38" w14:textId="77777777" w:rsidR="008C5721" w:rsidRPr="00033A3F" w:rsidRDefault="008C5721" w:rsidP="00BF0CC3">
      <w:pPr>
        <w:pStyle w:val="OdstavecASR"/>
        <w:rPr>
          <w:color w:val="000000" w:themeColor="text1"/>
        </w:rPr>
      </w:pPr>
      <w:r w:rsidRPr="00033A3F">
        <w:rPr>
          <w:color w:val="000000" w:themeColor="text1"/>
        </w:rPr>
        <w:t xml:space="preserve">Po úvaze byla data dále očištěna i o rozkazní řízení (zejména o agendy označené jako EPR a dříve EC), a to především proto, aby se předešlo zkreslení dat a trendů v časových řadách. V roce 2009 byl totiž zaveden elektronický platební rozkaz a po jeho zavedení došlo ke značným změnám ve vedení statistik. Počet věcí zanesených do statistických listů především v letech 2009–2013 tak prudce vzrostl právě o rozkazní věci. Rozkazní řízení je do značné míry automatizované, výrazně jednodušší (probíhá zcela nebo téměř zcela bez intervence soudce) a </w:t>
      </w:r>
      <w:r w:rsidR="00D90302" w:rsidRPr="00033A3F">
        <w:rPr>
          <w:color w:val="000000" w:themeColor="text1"/>
        </w:rPr>
        <w:t xml:space="preserve">je </w:t>
      </w:r>
      <w:r w:rsidRPr="00033A3F">
        <w:rPr>
          <w:color w:val="000000" w:themeColor="text1"/>
        </w:rPr>
        <w:t>rychlejší na vyřízení. Z toho plynou i kratší délky řízení. V letech, kdy bylo do statistických listů zaneseno relativně více rozkazních řízení, pak došlo k poklesu vykazované délky řízení. Rozkaznímu řízení se věnuje další kapitola.</w:t>
      </w:r>
    </w:p>
    <w:p w14:paraId="3A3E0CA8" w14:textId="77777777" w:rsidR="008C5721" w:rsidRPr="00033A3F" w:rsidRDefault="008C5721" w:rsidP="00BF0CC3">
      <w:pPr>
        <w:pStyle w:val="OdstavecASR"/>
        <w:rPr>
          <w:color w:val="000000" w:themeColor="text1"/>
        </w:rPr>
      </w:pPr>
      <w:r w:rsidRPr="00033A3F">
        <w:rPr>
          <w:color w:val="000000" w:themeColor="text1"/>
        </w:rPr>
        <w:t>Z výše zmíněného důvodu se zde uvedené údaje týkající se průměrné délky řízení liší od údajů z jiných zdrojů (internetové stránky InfoData, statistické ročenky). Údaje prezentované jak v této zprávě, tak na serveru InfoData, jsou správné, ale vycházejí z jiných dat. Zde uvedené délky řízení jsou přirozeně vyšší, protože v nich není zahrnuto rozkazní řízení.</w:t>
      </w:r>
    </w:p>
    <w:p w14:paraId="2AC7DD1C" w14:textId="77777777" w:rsidR="00287390" w:rsidRPr="00033A3F" w:rsidRDefault="00287390" w:rsidP="00287390">
      <w:pPr>
        <w:pStyle w:val="Nadpis3"/>
        <w:numPr>
          <w:ilvl w:val="2"/>
          <w:numId w:val="1"/>
        </w:numPr>
        <w:rPr>
          <w:color w:val="000000" w:themeColor="text1"/>
        </w:rPr>
      </w:pPr>
      <w:bookmarkStart w:id="198" w:name="_Ref513277229"/>
      <w:bookmarkStart w:id="199" w:name="_Toc517118511"/>
      <w:bookmarkStart w:id="200" w:name="_Toc106092718"/>
      <w:bookmarkStart w:id="201" w:name="_Toc169250802"/>
      <w:bookmarkStart w:id="202" w:name="_Toc193530963"/>
      <w:bookmarkStart w:id="203" w:name="_Toc193957020"/>
      <w:bookmarkStart w:id="204" w:name="_Toc203032710"/>
      <w:r w:rsidRPr="00033A3F">
        <w:rPr>
          <w:color w:val="000000" w:themeColor="text1"/>
        </w:rPr>
        <w:t>Délka řízení</w:t>
      </w:r>
      <w:bookmarkEnd w:id="198"/>
      <w:bookmarkEnd w:id="199"/>
      <w:bookmarkEnd w:id="200"/>
      <w:bookmarkEnd w:id="201"/>
      <w:bookmarkEnd w:id="202"/>
      <w:bookmarkEnd w:id="203"/>
      <w:bookmarkEnd w:id="204"/>
    </w:p>
    <w:p w14:paraId="08C04FE6" w14:textId="31DD6E85" w:rsidR="002D6FCD" w:rsidRPr="00033A3F" w:rsidRDefault="002D6FCD" w:rsidP="00BF0CC3">
      <w:pPr>
        <w:pStyle w:val="OdstavecASR"/>
        <w:rPr>
          <w:color w:val="000000" w:themeColor="text1"/>
        </w:rPr>
      </w:pPr>
      <w:r w:rsidRPr="00033A3F">
        <w:rPr>
          <w:color w:val="000000" w:themeColor="text1"/>
        </w:rPr>
        <w:t xml:space="preserve">Délku řízení zjišťujeme ze statistických listů (SL). </w:t>
      </w:r>
      <w:r w:rsidR="00D90302" w:rsidRPr="00033A3F">
        <w:rPr>
          <w:color w:val="000000" w:themeColor="text1"/>
        </w:rPr>
        <w:t xml:space="preserve">Jedná se tedy pouze o věci, ve kterých konečné rozhodnutí soudu prvního stupně již nabylo právní moci, takže bylo možno vyhotovit a odeslat statistický list této věci do datového skladu a statisticky jej zpracovat. </w:t>
      </w:r>
      <w:r w:rsidRPr="00033A3F">
        <w:rPr>
          <w:color w:val="000000" w:themeColor="text1"/>
        </w:rPr>
        <w:t>Uvádíme ji v kalendářních dnech ode dne nápadu do dne konečného vyřízení věci soudem I. stupně. Je třeba nezapomenout, že do vzorku se započítávají jen ta řízení, která v daném roce skončila, tj. byla vyřízena, nikoliv ta, která stále probíhala. Je proto typickým jevem, že pokud dojde k přetížení soudu, neprojeví se to v</w:t>
      </w:r>
      <w:r w:rsidR="0057327F">
        <w:rPr>
          <w:color w:val="000000" w:themeColor="text1"/>
        </w:rPr>
        <w:t> </w:t>
      </w:r>
      <w:r w:rsidRPr="00033A3F">
        <w:rPr>
          <w:color w:val="000000" w:themeColor="text1"/>
        </w:rPr>
        <w:t>průměrné délce řízení okamžitě, protože soud bude mít tendenci přednostně vyřizovat jednodušší věci a složitější věci budou stárnout, a protože nebudou vyřízeny, nevstoupí do výpočtu; to se paradoxně stane naopak až ve chvíli, kdy se soudu začne dařit situaci řešit a vyřizovat nahromaděné nedodělky. Prudký nárůst délky řízení u některého soudu může tak často naopak být důkazem odblokování situace (po něm pak následuje v dalších letech neméně prudký pokles). Pro rozlišení takových situací je třeba doplnit pohled o další statistické údaje, zejména trend počtu nevyřízených věcí a tzv. disposition time (viz dále).</w:t>
      </w:r>
    </w:p>
    <w:p w14:paraId="609C362F" w14:textId="34770DDD" w:rsidR="002D6FCD" w:rsidRPr="00033A3F" w:rsidRDefault="002D6FCD" w:rsidP="002D6FCD">
      <w:pPr>
        <w:pStyle w:val="OdstavecASR"/>
        <w:rPr>
          <w:color w:val="000000" w:themeColor="text1"/>
        </w:rPr>
      </w:pPr>
      <w:r w:rsidRPr="00033A3F">
        <w:rPr>
          <w:color w:val="000000" w:themeColor="text1"/>
        </w:rPr>
        <w:t>Graf níže sleduje změny v průměru (jedná se o nejběžněji uváděný údaj), mediánu (není ovlivněn extrémy a v tomto případě tak má lepší vypovídající hodnotu) a percentilu 90 (ukazuje, jak dlouho soudům trvá vyřízení 10 % nejdelších věcí). Graf sleduje vývoj v letech 201</w:t>
      </w:r>
      <w:r w:rsidR="00657C74" w:rsidRPr="00033A3F">
        <w:rPr>
          <w:color w:val="000000" w:themeColor="text1"/>
        </w:rPr>
        <w:t>5</w:t>
      </w:r>
      <w:r w:rsidRPr="00033A3F">
        <w:rPr>
          <w:color w:val="000000" w:themeColor="text1"/>
        </w:rPr>
        <w:t xml:space="preserve"> a dále, data za předchozí roky lze najít v předcházejících výročních zprávách. Ze shromážděných dat vyplývá, že (po růstu v letech 2010-2014) došlo v letech 2015–2019 ke zřejmému klesajícímu trendu v délce řízení, který postupně zpomaloval. V roce 2018 klesl medián již jen o 5 dnů a průměr o 22 dnů a v roce 2019 poklesl medián o 6 dnů a průměr o 13 dnů. Pokles 90. percentilu se také značně zpomalil, je ale stále velmi výrazný. Je tedy zřejmé, že řízení se zrychlilo především u nejdéle </w:t>
      </w:r>
      <w:r w:rsidRPr="00033A3F">
        <w:rPr>
          <w:color w:val="000000" w:themeColor="text1"/>
        </w:rPr>
        <w:lastRenderedPageBreak/>
        <w:t>trvajících sporů. Pokud porovnáme rok 2014 a rok 2019, pokles v délkách řízení je opravdu signifikantní – medián klesl o 37 %, průměr o 39 % a percentil 90 o 56 %. Skutečnost, že se situace v této agendě zlepšovala, potvrzují také snižující se počty nevyřízených věcí (graf v další kapitole). V roce 2020 však došlo po 6 letech opět k nárůstu v délkách řízení, jednalo se ale o nárůst poměrně malý (průměr +18 dnů, medián +2 dny, percentil 90 +31 dnů). V roce 2021 můžeme opět sledovat mírný pokles v délce řízení (průměr -10 dnů, medián -3 dny, percentil 90 -24 dnů). Je třeba poznamenat, že délky byly zejména v roce 2020, ale možná i v roce 2021 pravděpodobně poznamenány pandemií nemoci COVID</w:t>
      </w:r>
      <w:r w:rsidRPr="00033A3F">
        <w:rPr>
          <w:color w:val="000000" w:themeColor="text1"/>
        </w:rPr>
        <w:noBreakHyphen/>
        <w:t>19. V roce 2022 opět nedošlo k žádným citelným změnám. V roce 2023 došlo k výraznému poklesu v percentilu 90 a mírnému poklesu v průměru. Medián zůstal téměř zachován. K pozitivní změně tedy došlo u nejdéle trvajících věcí. V roce 2024 se délky řízení téměř nezměnil</w:t>
      </w:r>
      <w:r w:rsidR="00367805" w:rsidRPr="00033A3F">
        <w:rPr>
          <w:color w:val="000000" w:themeColor="text1"/>
        </w:rPr>
        <w:t xml:space="preserve">y (medián a průměr o pár dnů klesly, percentil 90 o </w:t>
      </w:r>
      <w:r w:rsidR="007D4201" w:rsidRPr="00033A3F">
        <w:rPr>
          <w:color w:val="000000" w:themeColor="text1"/>
        </w:rPr>
        <w:t xml:space="preserve">několik </w:t>
      </w:r>
      <w:r w:rsidR="00367805" w:rsidRPr="00033A3F">
        <w:rPr>
          <w:color w:val="000000" w:themeColor="text1"/>
        </w:rPr>
        <w:t>dnů vzros</w:t>
      </w:r>
      <w:r w:rsidR="00776EBB" w:rsidRPr="00033A3F">
        <w:rPr>
          <w:color w:val="000000" w:themeColor="text1"/>
        </w:rPr>
        <w:t>t</w:t>
      </w:r>
      <w:r w:rsidR="00367805" w:rsidRPr="00033A3F">
        <w:rPr>
          <w:color w:val="000000" w:themeColor="text1"/>
        </w:rPr>
        <w:t>l).</w:t>
      </w:r>
    </w:p>
    <w:p w14:paraId="63D79C16" w14:textId="3D755F3E" w:rsidR="002D6FCD" w:rsidRPr="00033A3F" w:rsidRDefault="002D6FCD" w:rsidP="002D6FCD">
      <w:pPr>
        <w:pStyle w:val="Podnadpis"/>
        <w:rPr>
          <w:color w:val="000000" w:themeColor="text1"/>
        </w:rPr>
      </w:pPr>
      <w:bookmarkStart w:id="205" w:name="_Toc193530762"/>
      <w:bookmarkStart w:id="206" w:name="_Toc106106640"/>
      <w:bookmarkStart w:id="207" w:name="_Toc144104118"/>
      <w:bookmarkStart w:id="208" w:name="_Toc169250926"/>
      <w:bookmarkStart w:id="209" w:name="_Toc174080612"/>
      <w:bookmarkStart w:id="210" w:name="_Toc193634036"/>
      <w:bookmarkStart w:id="211" w:name="_Toc20303283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w:t>
      </w:r>
      <w:r w:rsidRPr="00033A3F">
        <w:rPr>
          <w:color w:val="000000" w:themeColor="text1"/>
        </w:rPr>
        <w:fldChar w:fldCharType="end"/>
      </w:r>
      <w:r w:rsidRPr="00033A3F">
        <w:rPr>
          <w:color w:val="000000" w:themeColor="text1"/>
        </w:rPr>
        <w:t>: OS – délka civilního řízení v letech 2014–202</w:t>
      </w:r>
      <w:r w:rsidR="00936B01" w:rsidRPr="00033A3F">
        <w:rPr>
          <w:color w:val="000000" w:themeColor="text1"/>
        </w:rPr>
        <w:t>4</w:t>
      </w:r>
      <w:bookmarkEnd w:id="205"/>
      <w:bookmarkEnd w:id="206"/>
      <w:bookmarkEnd w:id="207"/>
      <w:bookmarkEnd w:id="208"/>
      <w:bookmarkEnd w:id="209"/>
      <w:bookmarkEnd w:id="210"/>
      <w:bookmarkEnd w:id="211"/>
    </w:p>
    <w:p w14:paraId="029667F1" w14:textId="008E48B9" w:rsidR="002D6FCD" w:rsidRPr="00033A3F" w:rsidRDefault="00367805" w:rsidP="002D6FCD">
      <w:pPr>
        <w:rPr>
          <w:color w:val="000000" w:themeColor="text1"/>
        </w:rPr>
      </w:pPr>
      <w:r w:rsidRPr="00033A3F">
        <w:rPr>
          <w:noProof/>
          <w:color w:val="000000" w:themeColor="text1"/>
          <w:lang w:eastAsia="cs-CZ"/>
        </w:rPr>
        <w:drawing>
          <wp:inline distT="0" distB="0" distL="0" distR="0" wp14:anchorId="5DCF0C7D" wp14:editId="7BC9F92A">
            <wp:extent cx="5029200" cy="3657600"/>
            <wp:effectExtent l="0" t="0" r="0" b="0"/>
            <wp:docPr id="1742185887"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98A58D9" w14:textId="77777777" w:rsidR="0056376C" w:rsidRDefault="0056376C">
      <w:pPr>
        <w:spacing w:after="160" w:line="259" w:lineRule="auto"/>
        <w:jc w:val="left"/>
        <w:rPr>
          <w:rFonts w:eastAsia="Times New Roman"/>
          <w:b/>
          <w:iCs/>
          <w:color w:val="000000" w:themeColor="text1"/>
          <w:spacing w:val="15"/>
          <w:szCs w:val="24"/>
        </w:rPr>
      </w:pPr>
      <w:bookmarkStart w:id="212" w:name="_Toc169251065"/>
      <w:bookmarkStart w:id="213" w:name="_Toc174080751"/>
      <w:bookmarkStart w:id="214" w:name="_Toc193530887"/>
      <w:bookmarkStart w:id="215" w:name="_Toc194045581"/>
      <w:bookmarkStart w:id="216" w:name="_Toc199494990"/>
      <w:r>
        <w:rPr>
          <w:color w:val="000000" w:themeColor="text1"/>
        </w:rPr>
        <w:br w:type="page"/>
      </w:r>
    </w:p>
    <w:p w14:paraId="3F432694" w14:textId="46CD7091" w:rsidR="00D23031" w:rsidRPr="00033A3F" w:rsidRDefault="00D23031" w:rsidP="00D23031">
      <w:pPr>
        <w:pStyle w:val="Podnadpis"/>
        <w:rPr>
          <w:color w:val="000000" w:themeColor="text1"/>
        </w:rPr>
      </w:pPr>
      <w:bookmarkStart w:id="217" w:name="_Toc203033050"/>
      <w:bookmarkStart w:id="218" w:name="_Toc203033128"/>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8</w:t>
      </w:r>
      <w:r w:rsidRPr="00033A3F">
        <w:rPr>
          <w:noProof/>
          <w:color w:val="000000" w:themeColor="text1"/>
        </w:rPr>
        <w:fldChar w:fldCharType="end"/>
      </w:r>
      <w:r w:rsidRPr="00033A3F">
        <w:rPr>
          <w:color w:val="000000" w:themeColor="text1"/>
        </w:rPr>
        <w:t xml:space="preserve">: </w:t>
      </w:r>
      <w:bookmarkStart w:id="219" w:name="_Ref509210728"/>
      <w:r w:rsidRPr="00033A3F">
        <w:rPr>
          <w:color w:val="000000" w:themeColor="text1"/>
        </w:rPr>
        <w:t>OS – délky civilního řízení dle krajů</w:t>
      </w:r>
      <w:bookmarkEnd w:id="219"/>
      <w:r w:rsidRPr="00033A3F">
        <w:rPr>
          <w:color w:val="000000" w:themeColor="text1"/>
        </w:rPr>
        <w:t>, 202</w:t>
      </w:r>
      <w:bookmarkEnd w:id="212"/>
      <w:bookmarkEnd w:id="213"/>
      <w:r w:rsidRPr="00033A3F">
        <w:rPr>
          <w:color w:val="000000" w:themeColor="text1"/>
        </w:rPr>
        <w:t>4</w:t>
      </w:r>
      <w:bookmarkEnd w:id="214"/>
      <w:bookmarkEnd w:id="215"/>
      <w:bookmarkEnd w:id="216"/>
      <w:bookmarkEnd w:id="217"/>
      <w:bookmarkEnd w:id="218"/>
    </w:p>
    <w:tbl>
      <w:tblPr>
        <w:tblW w:w="7938" w:type="dxa"/>
        <w:tblLayout w:type="fixed"/>
        <w:tblCellMar>
          <w:left w:w="70" w:type="dxa"/>
          <w:right w:w="70" w:type="dxa"/>
        </w:tblCellMar>
        <w:tblLook w:val="04A0" w:firstRow="1" w:lastRow="0" w:firstColumn="1" w:lastColumn="0" w:noHBand="0" w:noVBand="1"/>
      </w:tblPr>
      <w:tblGrid>
        <w:gridCol w:w="2479"/>
        <w:gridCol w:w="1065"/>
        <w:gridCol w:w="754"/>
        <w:gridCol w:w="10"/>
        <w:gridCol w:w="1079"/>
        <w:gridCol w:w="733"/>
        <w:gridCol w:w="1110"/>
        <w:gridCol w:w="708"/>
      </w:tblGrid>
      <w:tr w:rsidR="00033A3F" w:rsidRPr="00033A3F" w14:paraId="1A3C6820" w14:textId="77777777" w:rsidTr="00BF0CC3">
        <w:trPr>
          <w:trHeight w:val="330"/>
        </w:trPr>
        <w:tc>
          <w:tcPr>
            <w:tcW w:w="2479" w:type="dxa"/>
            <w:vMerge w:val="restart"/>
            <w:tcBorders>
              <w:top w:val="double" w:sz="6" w:space="0" w:color="auto"/>
              <w:left w:val="nil"/>
              <w:bottom w:val="double" w:sz="6" w:space="0" w:color="000000"/>
              <w:right w:val="nil"/>
            </w:tcBorders>
            <w:shd w:val="clear" w:color="auto" w:fill="auto"/>
            <w:noWrap/>
            <w:vAlign w:val="center"/>
            <w:hideMark/>
          </w:tcPr>
          <w:p w14:paraId="22FD1523"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459" w:type="dxa"/>
            <w:gridSpan w:val="7"/>
            <w:tcBorders>
              <w:top w:val="double" w:sz="6" w:space="0" w:color="auto"/>
              <w:left w:val="nil"/>
              <w:bottom w:val="nil"/>
              <w:right w:val="nil"/>
            </w:tcBorders>
            <w:shd w:val="clear" w:color="auto" w:fill="auto"/>
            <w:noWrap/>
            <w:vAlign w:val="center"/>
            <w:hideMark/>
          </w:tcPr>
          <w:p w14:paraId="6220AA91"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3E586839" w14:textId="77777777" w:rsidTr="00992729">
        <w:trPr>
          <w:trHeight w:val="330"/>
        </w:trPr>
        <w:tc>
          <w:tcPr>
            <w:tcW w:w="2479" w:type="dxa"/>
            <w:vMerge/>
            <w:tcBorders>
              <w:top w:val="double" w:sz="6" w:space="0" w:color="auto"/>
              <w:left w:val="nil"/>
              <w:bottom w:val="double" w:sz="6" w:space="0" w:color="000000"/>
              <w:right w:val="nil"/>
            </w:tcBorders>
            <w:vAlign w:val="center"/>
            <w:hideMark/>
          </w:tcPr>
          <w:p w14:paraId="1A73593C" w14:textId="77777777" w:rsidR="009F1550" w:rsidRPr="00033A3F" w:rsidRDefault="009F1550" w:rsidP="009F1550">
            <w:pPr>
              <w:spacing w:line="240" w:lineRule="auto"/>
              <w:jc w:val="left"/>
              <w:rPr>
                <w:rFonts w:eastAsia="Times New Roman"/>
                <w:b/>
                <w:bCs/>
                <w:color w:val="000000" w:themeColor="text1"/>
                <w:szCs w:val="24"/>
                <w:lang w:eastAsia="cs-CZ"/>
              </w:rPr>
            </w:pPr>
          </w:p>
        </w:tc>
        <w:tc>
          <w:tcPr>
            <w:tcW w:w="1819" w:type="dxa"/>
            <w:gridSpan w:val="2"/>
            <w:tcBorders>
              <w:top w:val="nil"/>
              <w:left w:val="nil"/>
              <w:bottom w:val="double" w:sz="6" w:space="0" w:color="auto"/>
              <w:right w:val="nil"/>
            </w:tcBorders>
            <w:shd w:val="clear" w:color="auto" w:fill="auto"/>
            <w:noWrap/>
            <w:vAlign w:val="center"/>
            <w:hideMark/>
          </w:tcPr>
          <w:p w14:paraId="563322D2"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822"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02CBABD5"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818" w:type="dxa"/>
            <w:gridSpan w:val="2"/>
            <w:tcBorders>
              <w:top w:val="nil"/>
              <w:left w:val="nil"/>
              <w:bottom w:val="double" w:sz="6" w:space="0" w:color="auto"/>
              <w:right w:val="nil"/>
            </w:tcBorders>
            <w:shd w:val="clear" w:color="auto" w:fill="auto"/>
            <w:noWrap/>
            <w:vAlign w:val="center"/>
            <w:hideMark/>
          </w:tcPr>
          <w:p w14:paraId="5A8BC02D"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4D39068B" w14:textId="77777777" w:rsidTr="00992729">
        <w:trPr>
          <w:trHeight w:val="330"/>
        </w:trPr>
        <w:tc>
          <w:tcPr>
            <w:tcW w:w="2479" w:type="dxa"/>
            <w:tcBorders>
              <w:top w:val="single" w:sz="4" w:space="0" w:color="auto"/>
              <w:left w:val="nil"/>
              <w:bottom w:val="single" w:sz="4" w:space="0" w:color="auto"/>
              <w:right w:val="nil"/>
            </w:tcBorders>
            <w:shd w:val="clear" w:color="auto" w:fill="auto"/>
            <w:noWrap/>
            <w:vAlign w:val="bottom"/>
            <w:hideMark/>
          </w:tcPr>
          <w:p w14:paraId="60A3366F"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65" w:type="dxa"/>
            <w:tcBorders>
              <w:top w:val="single" w:sz="4" w:space="0" w:color="auto"/>
              <w:left w:val="nil"/>
              <w:bottom w:val="single" w:sz="4" w:space="0" w:color="auto"/>
              <w:right w:val="nil"/>
            </w:tcBorders>
            <w:shd w:val="clear" w:color="auto" w:fill="auto"/>
            <w:noWrap/>
            <w:vAlign w:val="bottom"/>
            <w:hideMark/>
          </w:tcPr>
          <w:p w14:paraId="706C3775"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272</w:t>
            </w:r>
          </w:p>
        </w:tc>
        <w:tc>
          <w:tcPr>
            <w:tcW w:w="764" w:type="dxa"/>
            <w:gridSpan w:val="2"/>
            <w:tcBorders>
              <w:top w:val="single" w:sz="4" w:space="0" w:color="auto"/>
              <w:left w:val="nil"/>
              <w:bottom w:val="single" w:sz="4" w:space="0" w:color="auto"/>
              <w:right w:val="nil"/>
            </w:tcBorders>
            <w:shd w:val="clear" w:color="auto" w:fill="auto"/>
            <w:noWrap/>
            <w:vAlign w:val="center"/>
            <w:hideMark/>
          </w:tcPr>
          <w:p w14:paraId="02987C5E" w14:textId="6D88A46A" w:rsidR="009F1550" w:rsidRPr="00033A3F" w:rsidRDefault="009F1550" w:rsidP="00992729">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79" w:type="dxa"/>
            <w:tcBorders>
              <w:top w:val="nil"/>
              <w:left w:val="single" w:sz="4" w:space="0" w:color="auto"/>
              <w:bottom w:val="single" w:sz="4" w:space="0" w:color="auto"/>
              <w:right w:val="nil"/>
            </w:tcBorders>
            <w:shd w:val="clear" w:color="auto" w:fill="auto"/>
            <w:noWrap/>
            <w:vAlign w:val="bottom"/>
            <w:hideMark/>
          </w:tcPr>
          <w:p w14:paraId="2EE7D52D"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145</w:t>
            </w:r>
          </w:p>
        </w:tc>
        <w:tc>
          <w:tcPr>
            <w:tcW w:w="733" w:type="dxa"/>
            <w:tcBorders>
              <w:top w:val="nil"/>
              <w:left w:val="nil"/>
              <w:bottom w:val="single" w:sz="4" w:space="0" w:color="auto"/>
              <w:right w:val="single" w:sz="4" w:space="0" w:color="auto"/>
            </w:tcBorders>
            <w:shd w:val="clear" w:color="auto" w:fill="auto"/>
            <w:noWrap/>
            <w:vAlign w:val="center"/>
            <w:hideMark/>
          </w:tcPr>
          <w:p w14:paraId="0EE9ED94" w14:textId="048F30BD"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110" w:type="dxa"/>
            <w:tcBorders>
              <w:top w:val="single" w:sz="4" w:space="0" w:color="auto"/>
              <w:left w:val="nil"/>
              <w:bottom w:val="single" w:sz="4" w:space="0" w:color="auto"/>
              <w:right w:val="nil"/>
            </w:tcBorders>
            <w:shd w:val="clear" w:color="auto" w:fill="auto"/>
            <w:noWrap/>
            <w:vAlign w:val="bottom"/>
            <w:hideMark/>
          </w:tcPr>
          <w:p w14:paraId="3F4C0328"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470</w:t>
            </w:r>
          </w:p>
        </w:tc>
        <w:tc>
          <w:tcPr>
            <w:tcW w:w="708" w:type="dxa"/>
            <w:tcBorders>
              <w:top w:val="single" w:sz="4" w:space="0" w:color="auto"/>
              <w:left w:val="nil"/>
              <w:bottom w:val="single" w:sz="4" w:space="0" w:color="auto"/>
              <w:right w:val="nil"/>
            </w:tcBorders>
            <w:shd w:val="clear" w:color="auto" w:fill="auto"/>
            <w:noWrap/>
            <w:vAlign w:val="center"/>
            <w:hideMark/>
          </w:tcPr>
          <w:p w14:paraId="6221FECE" w14:textId="044D80C8"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r>
      <w:tr w:rsidR="00033A3F" w:rsidRPr="00033A3F" w14:paraId="1109E7BE"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1FBCD6F1"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65" w:type="dxa"/>
            <w:tcBorders>
              <w:top w:val="nil"/>
              <w:left w:val="nil"/>
              <w:bottom w:val="single" w:sz="4" w:space="0" w:color="auto"/>
              <w:right w:val="nil"/>
            </w:tcBorders>
            <w:shd w:val="clear" w:color="auto" w:fill="auto"/>
            <w:noWrap/>
            <w:vAlign w:val="bottom"/>
            <w:hideMark/>
          </w:tcPr>
          <w:p w14:paraId="2A8EAA3A"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186</w:t>
            </w:r>
          </w:p>
        </w:tc>
        <w:tc>
          <w:tcPr>
            <w:tcW w:w="764" w:type="dxa"/>
            <w:gridSpan w:val="2"/>
            <w:tcBorders>
              <w:top w:val="nil"/>
              <w:left w:val="nil"/>
              <w:bottom w:val="single" w:sz="4" w:space="0" w:color="auto"/>
              <w:right w:val="nil"/>
            </w:tcBorders>
            <w:shd w:val="clear" w:color="auto" w:fill="auto"/>
            <w:noWrap/>
            <w:vAlign w:val="center"/>
            <w:hideMark/>
          </w:tcPr>
          <w:p w14:paraId="3E254245" w14:textId="2C521C06"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79" w:type="dxa"/>
            <w:tcBorders>
              <w:top w:val="nil"/>
              <w:left w:val="single" w:sz="4" w:space="0" w:color="auto"/>
              <w:bottom w:val="single" w:sz="4" w:space="0" w:color="auto"/>
              <w:right w:val="nil"/>
            </w:tcBorders>
            <w:shd w:val="clear" w:color="auto" w:fill="auto"/>
            <w:noWrap/>
            <w:vAlign w:val="bottom"/>
            <w:hideMark/>
          </w:tcPr>
          <w:p w14:paraId="366C2AAE"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128</w:t>
            </w:r>
          </w:p>
        </w:tc>
        <w:tc>
          <w:tcPr>
            <w:tcW w:w="733" w:type="dxa"/>
            <w:tcBorders>
              <w:top w:val="nil"/>
              <w:left w:val="nil"/>
              <w:bottom w:val="single" w:sz="4" w:space="0" w:color="auto"/>
              <w:right w:val="single" w:sz="4" w:space="0" w:color="auto"/>
            </w:tcBorders>
            <w:shd w:val="clear" w:color="auto" w:fill="auto"/>
            <w:noWrap/>
            <w:vAlign w:val="center"/>
            <w:hideMark/>
          </w:tcPr>
          <w:p w14:paraId="6EAE3857" w14:textId="6509E1D4"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10" w:type="dxa"/>
            <w:tcBorders>
              <w:top w:val="nil"/>
              <w:left w:val="nil"/>
              <w:bottom w:val="single" w:sz="4" w:space="0" w:color="auto"/>
              <w:right w:val="nil"/>
            </w:tcBorders>
            <w:shd w:val="clear" w:color="auto" w:fill="auto"/>
            <w:noWrap/>
            <w:vAlign w:val="bottom"/>
            <w:hideMark/>
          </w:tcPr>
          <w:p w14:paraId="2CB4475C"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260</w:t>
            </w:r>
          </w:p>
        </w:tc>
        <w:tc>
          <w:tcPr>
            <w:tcW w:w="708" w:type="dxa"/>
            <w:tcBorders>
              <w:top w:val="nil"/>
              <w:left w:val="nil"/>
              <w:bottom w:val="single" w:sz="4" w:space="0" w:color="auto"/>
              <w:right w:val="nil"/>
            </w:tcBorders>
            <w:shd w:val="clear" w:color="auto" w:fill="auto"/>
            <w:noWrap/>
            <w:vAlign w:val="center"/>
            <w:hideMark/>
          </w:tcPr>
          <w:p w14:paraId="1B2261AD" w14:textId="47295F14"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37E163EE"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440C18D9"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65" w:type="dxa"/>
            <w:tcBorders>
              <w:top w:val="nil"/>
              <w:left w:val="nil"/>
              <w:bottom w:val="single" w:sz="4" w:space="0" w:color="auto"/>
              <w:right w:val="nil"/>
            </w:tcBorders>
            <w:shd w:val="clear" w:color="auto" w:fill="auto"/>
            <w:noWrap/>
            <w:vAlign w:val="bottom"/>
            <w:hideMark/>
          </w:tcPr>
          <w:p w14:paraId="1F2218D9"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190</w:t>
            </w:r>
          </w:p>
        </w:tc>
        <w:tc>
          <w:tcPr>
            <w:tcW w:w="764" w:type="dxa"/>
            <w:gridSpan w:val="2"/>
            <w:tcBorders>
              <w:top w:val="nil"/>
              <w:left w:val="nil"/>
              <w:bottom w:val="single" w:sz="4" w:space="0" w:color="auto"/>
              <w:right w:val="nil"/>
            </w:tcBorders>
            <w:shd w:val="clear" w:color="auto" w:fill="auto"/>
            <w:noWrap/>
            <w:vAlign w:val="center"/>
            <w:hideMark/>
          </w:tcPr>
          <w:p w14:paraId="7A1FF267" w14:textId="19314CAC"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79" w:type="dxa"/>
            <w:tcBorders>
              <w:top w:val="nil"/>
              <w:left w:val="single" w:sz="4" w:space="0" w:color="auto"/>
              <w:bottom w:val="single" w:sz="4" w:space="0" w:color="auto"/>
              <w:right w:val="nil"/>
            </w:tcBorders>
            <w:shd w:val="clear" w:color="auto" w:fill="auto"/>
            <w:noWrap/>
            <w:vAlign w:val="bottom"/>
            <w:hideMark/>
          </w:tcPr>
          <w:p w14:paraId="36A354C0"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129</w:t>
            </w:r>
          </w:p>
        </w:tc>
        <w:tc>
          <w:tcPr>
            <w:tcW w:w="733" w:type="dxa"/>
            <w:tcBorders>
              <w:top w:val="nil"/>
              <w:left w:val="nil"/>
              <w:bottom w:val="single" w:sz="4" w:space="0" w:color="auto"/>
              <w:right w:val="single" w:sz="4" w:space="0" w:color="auto"/>
            </w:tcBorders>
            <w:shd w:val="clear" w:color="auto" w:fill="auto"/>
            <w:noWrap/>
            <w:vAlign w:val="center"/>
            <w:hideMark/>
          </w:tcPr>
          <w:p w14:paraId="32F722FE" w14:textId="13572420"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10" w:type="dxa"/>
            <w:tcBorders>
              <w:top w:val="nil"/>
              <w:left w:val="nil"/>
              <w:bottom w:val="single" w:sz="4" w:space="0" w:color="auto"/>
              <w:right w:val="nil"/>
            </w:tcBorders>
            <w:shd w:val="clear" w:color="auto" w:fill="auto"/>
            <w:noWrap/>
            <w:vAlign w:val="bottom"/>
            <w:hideMark/>
          </w:tcPr>
          <w:p w14:paraId="4E062A90"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264</w:t>
            </w:r>
          </w:p>
        </w:tc>
        <w:tc>
          <w:tcPr>
            <w:tcW w:w="708" w:type="dxa"/>
            <w:tcBorders>
              <w:top w:val="nil"/>
              <w:left w:val="nil"/>
              <w:bottom w:val="single" w:sz="4" w:space="0" w:color="auto"/>
              <w:right w:val="nil"/>
            </w:tcBorders>
            <w:shd w:val="clear" w:color="auto" w:fill="auto"/>
            <w:noWrap/>
            <w:vAlign w:val="center"/>
            <w:hideMark/>
          </w:tcPr>
          <w:p w14:paraId="5D9BAA4E" w14:textId="1111979A"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32F59C87"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5CC36306"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65" w:type="dxa"/>
            <w:tcBorders>
              <w:top w:val="nil"/>
              <w:left w:val="nil"/>
              <w:bottom w:val="single" w:sz="4" w:space="0" w:color="auto"/>
              <w:right w:val="nil"/>
            </w:tcBorders>
            <w:shd w:val="clear" w:color="auto" w:fill="auto"/>
            <w:noWrap/>
            <w:vAlign w:val="bottom"/>
            <w:hideMark/>
          </w:tcPr>
          <w:p w14:paraId="4EBAB48C"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184</w:t>
            </w:r>
          </w:p>
        </w:tc>
        <w:tc>
          <w:tcPr>
            <w:tcW w:w="764" w:type="dxa"/>
            <w:gridSpan w:val="2"/>
            <w:tcBorders>
              <w:top w:val="nil"/>
              <w:left w:val="nil"/>
              <w:bottom w:val="single" w:sz="4" w:space="0" w:color="auto"/>
              <w:right w:val="nil"/>
            </w:tcBorders>
            <w:shd w:val="clear" w:color="auto" w:fill="auto"/>
            <w:noWrap/>
            <w:vAlign w:val="center"/>
            <w:hideMark/>
          </w:tcPr>
          <w:p w14:paraId="6BAD30C1" w14:textId="6AF1965B"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79" w:type="dxa"/>
            <w:tcBorders>
              <w:top w:val="nil"/>
              <w:left w:val="single" w:sz="4" w:space="0" w:color="auto"/>
              <w:bottom w:val="single" w:sz="4" w:space="0" w:color="auto"/>
              <w:right w:val="nil"/>
            </w:tcBorders>
            <w:shd w:val="clear" w:color="auto" w:fill="auto"/>
            <w:noWrap/>
            <w:vAlign w:val="bottom"/>
            <w:hideMark/>
          </w:tcPr>
          <w:p w14:paraId="6E344A68"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127</w:t>
            </w:r>
          </w:p>
        </w:tc>
        <w:tc>
          <w:tcPr>
            <w:tcW w:w="733" w:type="dxa"/>
            <w:tcBorders>
              <w:top w:val="nil"/>
              <w:left w:val="nil"/>
              <w:bottom w:val="single" w:sz="4" w:space="0" w:color="auto"/>
              <w:right w:val="single" w:sz="4" w:space="0" w:color="auto"/>
            </w:tcBorders>
            <w:shd w:val="clear" w:color="auto" w:fill="auto"/>
            <w:noWrap/>
            <w:vAlign w:val="center"/>
            <w:hideMark/>
          </w:tcPr>
          <w:p w14:paraId="67176001" w14:textId="51220FBA"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10" w:type="dxa"/>
            <w:tcBorders>
              <w:top w:val="nil"/>
              <w:left w:val="nil"/>
              <w:bottom w:val="single" w:sz="4" w:space="0" w:color="auto"/>
              <w:right w:val="nil"/>
            </w:tcBorders>
            <w:shd w:val="clear" w:color="auto" w:fill="auto"/>
            <w:noWrap/>
            <w:vAlign w:val="bottom"/>
            <w:hideMark/>
          </w:tcPr>
          <w:p w14:paraId="06CAF9AF"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253</w:t>
            </w:r>
          </w:p>
        </w:tc>
        <w:tc>
          <w:tcPr>
            <w:tcW w:w="708" w:type="dxa"/>
            <w:tcBorders>
              <w:top w:val="nil"/>
              <w:left w:val="nil"/>
              <w:bottom w:val="single" w:sz="4" w:space="0" w:color="auto"/>
              <w:right w:val="nil"/>
            </w:tcBorders>
            <w:shd w:val="clear" w:color="auto" w:fill="auto"/>
            <w:noWrap/>
            <w:vAlign w:val="center"/>
            <w:hideMark/>
          </w:tcPr>
          <w:p w14:paraId="33D95098" w14:textId="22C2375A"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13BCD268"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1382C18F"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65" w:type="dxa"/>
            <w:tcBorders>
              <w:top w:val="nil"/>
              <w:left w:val="nil"/>
              <w:bottom w:val="single" w:sz="4" w:space="0" w:color="auto"/>
              <w:right w:val="nil"/>
            </w:tcBorders>
            <w:shd w:val="clear" w:color="auto" w:fill="auto"/>
            <w:noWrap/>
            <w:vAlign w:val="bottom"/>
            <w:hideMark/>
          </w:tcPr>
          <w:p w14:paraId="1A484E9D"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249</w:t>
            </w:r>
          </w:p>
        </w:tc>
        <w:tc>
          <w:tcPr>
            <w:tcW w:w="764" w:type="dxa"/>
            <w:gridSpan w:val="2"/>
            <w:tcBorders>
              <w:top w:val="nil"/>
              <w:left w:val="nil"/>
              <w:bottom w:val="single" w:sz="4" w:space="0" w:color="auto"/>
              <w:right w:val="nil"/>
            </w:tcBorders>
            <w:shd w:val="clear" w:color="auto" w:fill="auto"/>
            <w:noWrap/>
            <w:vAlign w:val="center"/>
            <w:hideMark/>
          </w:tcPr>
          <w:p w14:paraId="62FC9155" w14:textId="466C568D"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79" w:type="dxa"/>
            <w:tcBorders>
              <w:top w:val="nil"/>
              <w:left w:val="single" w:sz="4" w:space="0" w:color="auto"/>
              <w:bottom w:val="single" w:sz="4" w:space="0" w:color="auto"/>
              <w:right w:val="nil"/>
            </w:tcBorders>
            <w:shd w:val="clear" w:color="auto" w:fill="auto"/>
            <w:noWrap/>
            <w:vAlign w:val="bottom"/>
            <w:hideMark/>
          </w:tcPr>
          <w:p w14:paraId="0E6061D8"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167</w:t>
            </w:r>
          </w:p>
        </w:tc>
        <w:tc>
          <w:tcPr>
            <w:tcW w:w="733" w:type="dxa"/>
            <w:tcBorders>
              <w:top w:val="nil"/>
              <w:left w:val="nil"/>
              <w:bottom w:val="single" w:sz="4" w:space="0" w:color="auto"/>
              <w:right w:val="single" w:sz="4" w:space="0" w:color="auto"/>
            </w:tcBorders>
            <w:shd w:val="clear" w:color="auto" w:fill="auto"/>
            <w:noWrap/>
            <w:vAlign w:val="center"/>
            <w:hideMark/>
          </w:tcPr>
          <w:p w14:paraId="22964787" w14:textId="4BF6B33B"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110" w:type="dxa"/>
            <w:tcBorders>
              <w:top w:val="nil"/>
              <w:left w:val="nil"/>
              <w:bottom w:val="single" w:sz="4" w:space="0" w:color="auto"/>
              <w:right w:val="nil"/>
            </w:tcBorders>
            <w:shd w:val="clear" w:color="auto" w:fill="auto"/>
            <w:noWrap/>
            <w:vAlign w:val="bottom"/>
            <w:hideMark/>
          </w:tcPr>
          <w:p w14:paraId="7A42D863"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329</w:t>
            </w:r>
          </w:p>
        </w:tc>
        <w:tc>
          <w:tcPr>
            <w:tcW w:w="708" w:type="dxa"/>
            <w:tcBorders>
              <w:top w:val="nil"/>
              <w:left w:val="nil"/>
              <w:bottom w:val="single" w:sz="4" w:space="0" w:color="auto"/>
              <w:right w:val="nil"/>
            </w:tcBorders>
            <w:shd w:val="clear" w:color="auto" w:fill="auto"/>
            <w:noWrap/>
            <w:vAlign w:val="center"/>
            <w:hideMark/>
          </w:tcPr>
          <w:p w14:paraId="71743FB4" w14:textId="414482C8"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2485182E"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4DE0968E"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65" w:type="dxa"/>
            <w:tcBorders>
              <w:top w:val="nil"/>
              <w:left w:val="nil"/>
              <w:bottom w:val="single" w:sz="4" w:space="0" w:color="auto"/>
              <w:right w:val="nil"/>
            </w:tcBorders>
            <w:shd w:val="clear" w:color="auto" w:fill="auto"/>
            <w:noWrap/>
            <w:vAlign w:val="bottom"/>
            <w:hideMark/>
          </w:tcPr>
          <w:p w14:paraId="3BFC96F5"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230</w:t>
            </w:r>
          </w:p>
        </w:tc>
        <w:tc>
          <w:tcPr>
            <w:tcW w:w="764" w:type="dxa"/>
            <w:gridSpan w:val="2"/>
            <w:tcBorders>
              <w:top w:val="nil"/>
              <w:left w:val="nil"/>
              <w:bottom w:val="single" w:sz="4" w:space="0" w:color="auto"/>
              <w:right w:val="nil"/>
            </w:tcBorders>
            <w:shd w:val="clear" w:color="auto" w:fill="auto"/>
            <w:noWrap/>
            <w:vAlign w:val="center"/>
            <w:hideMark/>
          </w:tcPr>
          <w:p w14:paraId="643818E2" w14:textId="5D1FCFD6"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+6 % </w:t>
            </w:r>
          </w:p>
        </w:tc>
        <w:tc>
          <w:tcPr>
            <w:tcW w:w="1079" w:type="dxa"/>
            <w:tcBorders>
              <w:top w:val="nil"/>
              <w:left w:val="single" w:sz="4" w:space="0" w:color="auto"/>
              <w:bottom w:val="single" w:sz="4" w:space="0" w:color="auto"/>
              <w:right w:val="nil"/>
            </w:tcBorders>
            <w:shd w:val="clear" w:color="auto" w:fill="auto"/>
            <w:noWrap/>
            <w:vAlign w:val="bottom"/>
            <w:hideMark/>
          </w:tcPr>
          <w:p w14:paraId="571F74CF"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153</w:t>
            </w:r>
          </w:p>
        </w:tc>
        <w:tc>
          <w:tcPr>
            <w:tcW w:w="733" w:type="dxa"/>
            <w:tcBorders>
              <w:top w:val="nil"/>
              <w:left w:val="nil"/>
              <w:bottom w:val="single" w:sz="4" w:space="0" w:color="auto"/>
              <w:right w:val="single" w:sz="4" w:space="0" w:color="auto"/>
            </w:tcBorders>
            <w:shd w:val="clear" w:color="auto" w:fill="auto"/>
            <w:noWrap/>
            <w:vAlign w:val="center"/>
            <w:hideMark/>
          </w:tcPr>
          <w:p w14:paraId="6CD119D0" w14:textId="28752D7E"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10" w:type="dxa"/>
            <w:tcBorders>
              <w:top w:val="nil"/>
              <w:left w:val="nil"/>
              <w:bottom w:val="single" w:sz="4" w:space="0" w:color="auto"/>
              <w:right w:val="nil"/>
            </w:tcBorders>
            <w:shd w:val="clear" w:color="auto" w:fill="auto"/>
            <w:noWrap/>
            <w:vAlign w:val="bottom"/>
            <w:hideMark/>
          </w:tcPr>
          <w:p w14:paraId="2CD840FE"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316</w:t>
            </w:r>
          </w:p>
        </w:tc>
        <w:tc>
          <w:tcPr>
            <w:tcW w:w="708" w:type="dxa"/>
            <w:tcBorders>
              <w:top w:val="nil"/>
              <w:left w:val="nil"/>
              <w:bottom w:val="single" w:sz="4" w:space="0" w:color="auto"/>
              <w:right w:val="nil"/>
            </w:tcBorders>
            <w:shd w:val="clear" w:color="auto" w:fill="auto"/>
            <w:noWrap/>
            <w:vAlign w:val="center"/>
            <w:hideMark/>
          </w:tcPr>
          <w:p w14:paraId="7F4210A2" w14:textId="325F1211"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033A3F" w:rsidRPr="00033A3F" w14:paraId="6AA6A4C8"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20FD63F8"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65" w:type="dxa"/>
            <w:tcBorders>
              <w:top w:val="nil"/>
              <w:left w:val="nil"/>
              <w:bottom w:val="single" w:sz="4" w:space="0" w:color="auto"/>
              <w:right w:val="nil"/>
            </w:tcBorders>
            <w:shd w:val="clear" w:color="auto" w:fill="auto"/>
            <w:noWrap/>
            <w:vAlign w:val="bottom"/>
            <w:hideMark/>
          </w:tcPr>
          <w:p w14:paraId="33F0F0F8"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292</w:t>
            </w:r>
          </w:p>
        </w:tc>
        <w:tc>
          <w:tcPr>
            <w:tcW w:w="764" w:type="dxa"/>
            <w:gridSpan w:val="2"/>
            <w:tcBorders>
              <w:top w:val="nil"/>
              <w:left w:val="nil"/>
              <w:bottom w:val="single" w:sz="4" w:space="0" w:color="auto"/>
              <w:right w:val="nil"/>
            </w:tcBorders>
            <w:shd w:val="clear" w:color="auto" w:fill="auto"/>
            <w:noWrap/>
            <w:vAlign w:val="center"/>
            <w:hideMark/>
          </w:tcPr>
          <w:p w14:paraId="3D5925B2" w14:textId="0444E11C"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79" w:type="dxa"/>
            <w:tcBorders>
              <w:top w:val="nil"/>
              <w:left w:val="single" w:sz="4" w:space="0" w:color="auto"/>
              <w:bottom w:val="single" w:sz="4" w:space="0" w:color="auto"/>
              <w:right w:val="nil"/>
            </w:tcBorders>
            <w:shd w:val="clear" w:color="auto" w:fill="auto"/>
            <w:noWrap/>
            <w:vAlign w:val="bottom"/>
            <w:hideMark/>
          </w:tcPr>
          <w:p w14:paraId="20080212"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188</w:t>
            </w:r>
          </w:p>
        </w:tc>
        <w:tc>
          <w:tcPr>
            <w:tcW w:w="733" w:type="dxa"/>
            <w:tcBorders>
              <w:top w:val="nil"/>
              <w:left w:val="nil"/>
              <w:bottom w:val="single" w:sz="4" w:space="0" w:color="auto"/>
              <w:right w:val="single" w:sz="4" w:space="0" w:color="auto"/>
            </w:tcBorders>
            <w:shd w:val="clear" w:color="auto" w:fill="auto"/>
            <w:noWrap/>
            <w:vAlign w:val="center"/>
            <w:hideMark/>
          </w:tcPr>
          <w:p w14:paraId="6E442F4C" w14:textId="617C94DC"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10" w:type="dxa"/>
            <w:tcBorders>
              <w:top w:val="nil"/>
              <w:left w:val="nil"/>
              <w:bottom w:val="single" w:sz="4" w:space="0" w:color="auto"/>
              <w:right w:val="nil"/>
            </w:tcBorders>
            <w:shd w:val="clear" w:color="auto" w:fill="auto"/>
            <w:noWrap/>
            <w:vAlign w:val="bottom"/>
            <w:hideMark/>
          </w:tcPr>
          <w:p w14:paraId="48D770BE"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451</w:t>
            </w:r>
          </w:p>
        </w:tc>
        <w:tc>
          <w:tcPr>
            <w:tcW w:w="708" w:type="dxa"/>
            <w:tcBorders>
              <w:top w:val="nil"/>
              <w:left w:val="nil"/>
              <w:bottom w:val="single" w:sz="4" w:space="0" w:color="auto"/>
              <w:right w:val="nil"/>
            </w:tcBorders>
            <w:shd w:val="clear" w:color="auto" w:fill="auto"/>
            <w:noWrap/>
            <w:vAlign w:val="center"/>
            <w:hideMark/>
          </w:tcPr>
          <w:p w14:paraId="0C0D05DD" w14:textId="0367A3C7"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41F090C1" w14:textId="77777777" w:rsidTr="00992729">
        <w:trPr>
          <w:trHeight w:val="330"/>
        </w:trPr>
        <w:tc>
          <w:tcPr>
            <w:tcW w:w="2479" w:type="dxa"/>
            <w:tcBorders>
              <w:top w:val="nil"/>
              <w:left w:val="nil"/>
              <w:bottom w:val="double" w:sz="6" w:space="0" w:color="auto"/>
              <w:right w:val="nil"/>
            </w:tcBorders>
            <w:shd w:val="clear" w:color="auto" w:fill="auto"/>
            <w:noWrap/>
            <w:vAlign w:val="bottom"/>
            <w:hideMark/>
          </w:tcPr>
          <w:p w14:paraId="160C8106"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65" w:type="dxa"/>
            <w:tcBorders>
              <w:top w:val="nil"/>
              <w:left w:val="nil"/>
              <w:bottom w:val="double" w:sz="6" w:space="0" w:color="auto"/>
              <w:right w:val="nil"/>
            </w:tcBorders>
            <w:shd w:val="clear" w:color="auto" w:fill="auto"/>
            <w:noWrap/>
            <w:vAlign w:val="bottom"/>
            <w:hideMark/>
          </w:tcPr>
          <w:p w14:paraId="78BE7A06"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280</w:t>
            </w:r>
          </w:p>
        </w:tc>
        <w:tc>
          <w:tcPr>
            <w:tcW w:w="764" w:type="dxa"/>
            <w:gridSpan w:val="2"/>
            <w:tcBorders>
              <w:top w:val="nil"/>
              <w:left w:val="nil"/>
              <w:bottom w:val="double" w:sz="6" w:space="0" w:color="auto"/>
              <w:right w:val="nil"/>
            </w:tcBorders>
            <w:shd w:val="clear" w:color="auto" w:fill="auto"/>
            <w:noWrap/>
            <w:vAlign w:val="center"/>
            <w:hideMark/>
          </w:tcPr>
          <w:p w14:paraId="3E5C36E2" w14:textId="36CD99CB"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79" w:type="dxa"/>
            <w:tcBorders>
              <w:top w:val="nil"/>
              <w:left w:val="single" w:sz="4" w:space="0" w:color="auto"/>
              <w:bottom w:val="double" w:sz="6" w:space="0" w:color="auto"/>
              <w:right w:val="nil"/>
            </w:tcBorders>
            <w:shd w:val="clear" w:color="auto" w:fill="auto"/>
            <w:noWrap/>
            <w:vAlign w:val="bottom"/>
            <w:hideMark/>
          </w:tcPr>
          <w:p w14:paraId="72B25BEF"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196</w:t>
            </w:r>
          </w:p>
        </w:tc>
        <w:tc>
          <w:tcPr>
            <w:tcW w:w="733" w:type="dxa"/>
            <w:tcBorders>
              <w:top w:val="nil"/>
              <w:left w:val="nil"/>
              <w:bottom w:val="double" w:sz="6" w:space="0" w:color="auto"/>
              <w:right w:val="single" w:sz="4" w:space="0" w:color="auto"/>
            </w:tcBorders>
            <w:shd w:val="clear" w:color="auto" w:fill="auto"/>
            <w:noWrap/>
            <w:vAlign w:val="center"/>
            <w:hideMark/>
          </w:tcPr>
          <w:p w14:paraId="3F7DC5E0" w14:textId="0891D50B"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10" w:type="dxa"/>
            <w:tcBorders>
              <w:top w:val="nil"/>
              <w:left w:val="nil"/>
              <w:bottom w:val="double" w:sz="6" w:space="0" w:color="auto"/>
              <w:right w:val="nil"/>
            </w:tcBorders>
            <w:shd w:val="clear" w:color="auto" w:fill="auto"/>
            <w:noWrap/>
            <w:vAlign w:val="bottom"/>
            <w:hideMark/>
          </w:tcPr>
          <w:p w14:paraId="571D0B80"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499</w:t>
            </w:r>
          </w:p>
        </w:tc>
        <w:tc>
          <w:tcPr>
            <w:tcW w:w="708" w:type="dxa"/>
            <w:tcBorders>
              <w:top w:val="nil"/>
              <w:left w:val="nil"/>
              <w:bottom w:val="double" w:sz="6" w:space="0" w:color="auto"/>
              <w:right w:val="nil"/>
            </w:tcBorders>
            <w:shd w:val="clear" w:color="auto" w:fill="auto"/>
            <w:noWrap/>
            <w:vAlign w:val="center"/>
            <w:hideMark/>
          </w:tcPr>
          <w:p w14:paraId="104F0146" w14:textId="50AAD7B8"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r>
      <w:tr w:rsidR="00033A3F" w:rsidRPr="00033A3F" w14:paraId="76C38E62" w14:textId="77777777" w:rsidTr="00992729">
        <w:trPr>
          <w:trHeight w:val="345"/>
        </w:trPr>
        <w:tc>
          <w:tcPr>
            <w:tcW w:w="2479" w:type="dxa"/>
            <w:tcBorders>
              <w:top w:val="nil"/>
              <w:left w:val="nil"/>
              <w:bottom w:val="double" w:sz="6" w:space="0" w:color="auto"/>
              <w:right w:val="nil"/>
            </w:tcBorders>
            <w:shd w:val="clear" w:color="auto" w:fill="auto"/>
            <w:noWrap/>
            <w:vAlign w:val="bottom"/>
            <w:hideMark/>
          </w:tcPr>
          <w:p w14:paraId="44EE0A0A" w14:textId="77777777" w:rsidR="009F1550" w:rsidRPr="00033A3F" w:rsidRDefault="009F1550" w:rsidP="009F1550">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65" w:type="dxa"/>
            <w:tcBorders>
              <w:top w:val="nil"/>
              <w:left w:val="nil"/>
              <w:bottom w:val="double" w:sz="6" w:space="0" w:color="auto"/>
              <w:right w:val="nil"/>
            </w:tcBorders>
            <w:shd w:val="clear" w:color="auto" w:fill="auto"/>
            <w:noWrap/>
            <w:vAlign w:val="bottom"/>
            <w:hideMark/>
          </w:tcPr>
          <w:p w14:paraId="7B03F7DF"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247</w:t>
            </w:r>
          </w:p>
        </w:tc>
        <w:tc>
          <w:tcPr>
            <w:tcW w:w="764" w:type="dxa"/>
            <w:gridSpan w:val="2"/>
            <w:tcBorders>
              <w:top w:val="nil"/>
              <w:left w:val="nil"/>
              <w:bottom w:val="double" w:sz="6" w:space="0" w:color="auto"/>
              <w:right w:val="nil"/>
            </w:tcBorders>
            <w:shd w:val="clear" w:color="auto" w:fill="auto"/>
            <w:noWrap/>
            <w:vAlign w:val="center"/>
            <w:hideMark/>
          </w:tcPr>
          <w:p w14:paraId="624928D6" w14:textId="45229AF0" w:rsidR="009F1550" w:rsidRPr="00033A3F" w:rsidRDefault="009F1550" w:rsidP="009F1550">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c>
          <w:tcPr>
            <w:tcW w:w="1079" w:type="dxa"/>
            <w:tcBorders>
              <w:top w:val="nil"/>
              <w:left w:val="single" w:sz="4" w:space="0" w:color="auto"/>
              <w:bottom w:val="double" w:sz="6" w:space="0" w:color="auto"/>
              <w:right w:val="nil"/>
            </w:tcBorders>
            <w:shd w:val="clear" w:color="auto" w:fill="auto"/>
            <w:noWrap/>
            <w:vAlign w:val="bottom"/>
            <w:hideMark/>
          </w:tcPr>
          <w:p w14:paraId="2BB07947"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157</w:t>
            </w:r>
          </w:p>
        </w:tc>
        <w:tc>
          <w:tcPr>
            <w:tcW w:w="733" w:type="dxa"/>
            <w:tcBorders>
              <w:top w:val="nil"/>
              <w:left w:val="nil"/>
              <w:bottom w:val="double" w:sz="6" w:space="0" w:color="auto"/>
              <w:right w:val="single" w:sz="4" w:space="0" w:color="auto"/>
            </w:tcBorders>
            <w:shd w:val="clear" w:color="auto" w:fill="auto"/>
            <w:noWrap/>
            <w:vAlign w:val="center"/>
            <w:hideMark/>
          </w:tcPr>
          <w:p w14:paraId="2C2962F9" w14:textId="3EE7BAAD" w:rsidR="009F1550" w:rsidRPr="00033A3F" w:rsidRDefault="009F1550" w:rsidP="009F1550">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110" w:type="dxa"/>
            <w:tcBorders>
              <w:top w:val="nil"/>
              <w:left w:val="nil"/>
              <w:bottom w:val="double" w:sz="6" w:space="0" w:color="auto"/>
              <w:right w:val="nil"/>
            </w:tcBorders>
            <w:shd w:val="clear" w:color="auto" w:fill="auto"/>
            <w:noWrap/>
            <w:vAlign w:val="bottom"/>
            <w:hideMark/>
          </w:tcPr>
          <w:p w14:paraId="4AC6BD8D"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393</w:t>
            </w:r>
          </w:p>
        </w:tc>
        <w:tc>
          <w:tcPr>
            <w:tcW w:w="708" w:type="dxa"/>
            <w:tcBorders>
              <w:top w:val="nil"/>
              <w:left w:val="nil"/>
              <w:bottom w:val="double" w:sz="6" w:space="0" w:color="auto"/>
              <w:right w:val="nil"/>
            </w:tcBorders>
            <w:shd w:val="clear" w:color="auto" w:fill="auto"/>
            <w:noWrap/>
            <w:vAlign w:val="center"/>
            <w:hideMark/>
          </w:tcPr>
          <w:p w14:paraId="4562B4EC" w14:textId="74556330" w:rsidR="009F1550" w:rsidRPr="00033A3F" w:rsidRDefault="009F1550" w:rsidP="009F1550">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r>
      <w:tr w:rsidR="00033A3F" w:rsidRPr="00033A3F" w14:paraId="43BA27C4" w14:textId="77777777" w:rsidTr="00992729">
        <w:trPr>
          <w:trHeight w:val="330"/>
        </w:trPr>
        <w:tc>
          <w:tcPr>
            <w:tcW w:w="2479" w:type="dxa"/>
            <w:tcBorders>
              <w:top w:val="nil"/>
              <w:left w:val="nil"/>
              <w:bottom w:val="nil"/>
              <w:right w:val="nil"/>
            </w:tcBorders>
            <w:shd w:val="clear" w:color="auto" w:fill="auto"/>
            <w:noWrap/>
            <w:vAlign w:val="bottom"/>
            <w:hideMark/>
          </w:tcPr>
          <w:p w14:paraId="473A3ED6" w14:textId="77777777" w:rsidR="009F1550" w:rsidRPr="00033A3F" w:rsidRDefault="009F1550" w:rsidP="009F1550">
            <w:pPr>
              <w:spacing w:line="240" w:lineRule="auto"/>
              <w:jc w:val="right"/>
              <w:rPr>
                <w:rFonts w:eastAsia="Times New Roman"/>
                <w:b/>
                <w:bCs/>
                <w:color w:val="000000" w:themeColor="text1"/>
                <w:sz w:val="20"/>
                <w:szCs w:val="20"/>
                <w:lang w:eastAsia="cs-CZ"/>
              </w:rPr>
            </w:pPr>
          </w:p>
        </w:tc>
        <w:tc>
          <w:tcPr>
            <w:tcW w:w="1065" w:type="dxa"/>
            <w:tcBorders>
              <w:top w:val="nil"/>
              <w:left w:val="nil"/>
              <w:bottom w:val="nil"/>
              <w:right w:val="nil"/>
            </w:tcBorders>
            <w:shd w:val="clear" w:color="auto" w:fill="auto"/>
            <w:noWrap/>
            <w:vAlign w:val="bottom"/>
            <w:hideMark/>
          </w:tcPr>
          <w:p w14:paraId="20896DB0"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764" w:type="dxa"/>
            <w:gridSpan w:val="2"/>
            <w:tcBorders>
              <w:top w:val="nil"/>
              <w:left w:val="nil"/>
              <w:bottom w:val="nil"/>
              <w:right w:val="nil"/>
            </w:tcBorders>
            <w:shd w:val="clear" w:color="auto" w:fill="auto"/>
            <w:noWrap/>
            <w:vAlign w:val="bottom"/>
            <w:hideMark/>
          </w:tcPr>
          <w:p w14:paraId="5341B986"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1079" w:type="dxa"/>
            <w:tcBorders>
              <w:top w:val="nil"/>
              <w:left w:val="nil"/>
              <w:bottom w:val="nil"/>
              <w:right w:val="nil"/>
            </w:tcBorders>
            <w:shd w:val="clear" w:color="auto" w:fill="auto"/>
            <w:noWrap/>
            <w:vAlign w:val="bottom"/>
            <w:hideMark/>
          </w:tcPr>
          <w:p w14:paraId="1B77398D"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733" w:type="dxa"/>
            <w:tcBorders>
              <w:top w:val="nil"/>
              <w:left w:val="nil"/>
              <w:bottom w:val="nil"/>
              <w:right w:val="nil"/>
            </w:tcBorders>
            <w:shd w:val="clear" w:color="auto" w:fill="auto"/>
            <w:noWrap/>
            <w:vAlign w:val="bottom"/>
            <w:hideMark/>
          </w:tcPr>
          <w:p w14:paraId="47E790F7"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1110" w:type="dxa"/>
            <w:tcBorders>
              <w:top w:val="nil"/>
              <w:left w:val="nil"/>
              <w:bottom w:val="nil"/>
              <w:right w:val="nil"/>
            </w:tcBorders>
            <w:shd w:val="clear" w:color="auto" w:fill="auto"/>
            <w:noWrap/>
            <w:vAlign w:val="bottom"/>
            <w:hideMark/>
          </w:tcPr>
          <w:p w14:paraId="19B13D28"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708" w:type="dxa"/>
            <w:tcBorders>
              <w:top w:val="nil"/>
              <w:left w:val="nil"/>
              <w:bottom w:val="nil"/>
              <w:right w:val="nil"/>
            </w:tcBorders>
            <w:shd w:val="clear" w:color="auto" w:fill="auto"/>
            <w:noWrap/>
            <w:vAlign w:val="bottom"/>
            <w:hideMark/>
          </w:tcPr>
          <w:p w14:paraId="3F83F0D0"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r>
    </w:tbl>
    <w:p w14:paraId="0BA50744" w14:textId="474E032F" w:rsidR="009F1550" w:rsidRPr="00033A3F" w:rsidRDefault="009F1550" w:rsidP="009F1550">
      <w:pPr>
        <w:pStyle w:val="OdstavecASR"/>
        <w:rPr>
          <w:color w:val="000000" w:themeColor="text1"/>
        </w:rPr>
      </w:pPr>
      <w:r w:rsidRPr="00033A3F">
        <w:rPr>
          <w:color w:val="000000" w:themeColor="text1"/>
        </w:rPr>
        <w:t>Z tabulky 8 a grafu </w:t>
      </w:r>
      <w:r w:rsidR="007D4201" w:rsidRPr="00033A3F">
        <w:rPr>
          <w:color w:val="000000" w:themeColor="text1"/>
        </w:rPr>
        <w:t xml:space="preserve">8 </w:t>
      </w:r>
      <w:r w:rsidRPr="00033A3F">
        <w:rPr>
          <w:color w:val="000000" w:themeColor="text1"/>
        </w:rPr>
        <w:t>jasně vyplývá, že v roce 2024 stále existují rozdíly (variabilita) mezi soudními kraji a jednotlivými okresními soudy. Nejrychlejší OS většinou spadají pod KS České Budějovice, KS Plzeň a KS Praha. Nejpomalejší okresní soudy spadají pod KS Ústí nad Labem, MS Praha a především KS Brno. Je však třeba zdůraznit, že významné délky řízení často nejsou způsobeny neefektivností daných soudů, ale velkou případovou zátěží z minulých let. Starší data totiž ukazují, že problémy začaly již v 90. letech. Za zmínku určitě stojí fakt, že jak Severočeský, tak Jihomoravský kraj „srazily“ již v roce 2022 mediánovou délku řízení pod 200 dnů a žádný kraj tak aktuálně nevykazuje mediánovou délku přesahující tuto hodnotu. V roce 2024 opět oba kraje dokázaly délku řízení o něco snížit.</w:t>
      </w:r>
    </w:p>
    <w:p w14:paraId="5868020D" w14:textId="3C50E6D8" w:rsidR="009F1550" w:rsidRPr="00033A3F" w:rsidRDefault="009F1550" w:rsidP="009F1550">
      <w:pPr>
        <w:pStyle w:val="Podnadpis"/>
        <w:rPr>
          <w:color w:val="000000" w:themeColor="text1"/>
        </w:rPr>
      </w:pPr>
      <w:bookmarkStart w:id="220" w:name="_Toc144104119"/>
      <w:bookmarkStart w:id="221" w:name="_Toc169250927"/>
      <w:bookmarkStart w:id="222" w:name="_Toc174080613"/>
      <w:bookmarkStart w:id="223" w:name="_Toc193530763"/>
      <w:bookmarkStart w:id="224" w:name="_Toc193634037"/>
      <w:bookmarkStart w:id="225" w:name="_Toc20303283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w:t>
      </w:r>
      <w:r w:rsidRPr="00033A3F">
        <w:rPr>
          <w:color w:val="000000" w:themeColor="text1"/>
        </w:rPr>
        <w:fldChar w:fldCharType="end"/>
      </w:r>
      <w:r w:rsidRPr="00033A3F">
        <w:rPr>
          <w:color w:val="000000" w:themeColor="text1"/>
        </w:rPr>
        <w:t>: OS – mediánové délky civilního řízení u jednotlivých soudů</w:t>
      </w:r>
      <w:bookmarkEnd w:id="220"/>
      <w:r w:rsidRPr="00033A3F">
        <w:rPr>
          <w:color w:val="000000" w:themeColor="text1"/>
        </w:rPr>
        <w:t>, 202</w:t>
      </w:r>
      <w:bookmarkEnd w:id="221"/>
      <w:bookmarkEnd w:id="222"/>
      <w:r w:rsidRPr="00033A3F">
        <w:rPr>
          <w:color w:val="000000" w:themeColor="text1"/>
        </w:rPr>
        <w:t>4</w:t>
      </w:r>
      <w:bookmarkEnd w:id="223"/>
      <w:bookmarkEnd w:id="224"/>
      <w:bookmarkEnd w:id="225"/>
    </w:p>
    <w:p w14:paraId="37340ACF" w14:textId="1D47D92E" w:rsidR="009F1550" w:rsidRPr="00033A3F" w:rsidRDefault="00812F82" w:rsidP="009F1550">
      <w:pPr>
        <w:pStyle w:val="OdstavecASR"/>
        <w:rPr>
          <w:color w:val="000000" w:themeColor="text1"/>
        </w:rPr>
      </w:pPr>
      <w:r w:rsidRPr="00033A3F">
        <w:rPr>
          <w:noProof/>
          <w:color w:val="000000" w:themeColor="text1"/>
          <w:lang w:eastAsia="cs-CZ"/>
        </w:rPr>
        <w:drawing>
          <wp:anchor distT="0" distB="0" distL="114300" distR="114300" simplePos="0" relativeHeight="251682816" behindDoc="0" locked="0" layoutInCell="1" allowOverlap="1" wp14:anchorId="37C83D3C" wp14:editId="70AE300D">
            <wp:simplePos x="0" y="0"/>
            <wp:positionH relativeFrom="margin">
              <wp:align>right</wp:align>
            </wp:positionH>
            <wp:positionV relativeFrom="paragraph">
              <wp:posOffset>40640</wp:posOffset>
            </wp:positionV>
            <wp:extent cx="1275080" cy="927332"/>
            <wp:effectExtent l="0" t="0" r="1270" b="6350"/>
            <wp:wrapNone/>
            <wp:docPr id="1187006996"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5080" cy="9273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1B86C269" wp14:editId="0FF8D03D">
            <wp:extent cx="5760720" cy="3296920"/>
            <wp:effectExtent l="0" t="0" r="0" b="0"/>
            <wp:docPr id="1355732480"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307DD4D1" w14:textId="69AAAF5C" w:rsidR="00DB4C33" w:rsidRPr="00033A3F" w:rsidRDefault="00DB4C33" w:rsidP="00BF0CC3">
      <w:pPr>
        <w:pStyle w:val="OdstavecASR"/>
        <w:rPr>
          <w:color w:val="000000" w:themeColor="text1"/>
        </w:rPr>
      </w:pPr>
      <w:r w:rsidRPr="00033A3F">
        <w:rPr>
          <w:color w:val="000000" w:themeColor="text1"/>
        </w:rPr>
        <w:t>Nejrychlejší soudy v roce 202</w:t>
      </w:r>
      <w:r w:rsidR="00812F82" w:rsidRPr="00033A3F">
        <w:rPr>
          <w:color w:val="000000" w:themeColor="text1"/>
        </w:rPr>
        <w:t>4</w:t>
      </w:r>
      <w:r w:rsidRPr="00033A3F">
        <w:rPr>
          <w:color w:val="000000" w:themeColor="text1"/>
        </w:rPr>
        <w:t xml:space="preserve"> byly OS Plzeň-sever (medián 99 dnů), OS Rakovník (medián 100 dnů) a OS Karlovy Vary (medián 101 dnů). Naopak nejpomalejší byly OS Ostrava (289 dnů), OS Litoměřice (249 dnů) a OS Hodonín (236 dnů).</w:t>
      </w:r>
    </w:p>
    <w:p w14:paraId="2CE5D3F1" w14:textId="11281B73" w:rsidR="00DB4C33" w:rsidRPr="00033A3F" w:rsidRDefault="00DB4C33" w:rsidP="00DB4C33">
      <w:pPr>
        <w:pStyle w:val="OdstavecASR"/>
        <w:rPr>
          <w:color w:val="000000" w:themeColor="text1"/>
        </w:rPr>
      </w:pPr>
      <w:r w:rsidRPr="00033A3F">
        <w:rPr>
          <w:color w:val="000000" w:themeColor="text1"/>
        </w:rPr>
        <w:lastRenderedPageBreak/>
        <w:t>Hypotézu snižování rozdílů mezi soudy můžeme jednoduše potvrdit pomocí krabicových grafů (graf </w:t>
      </w:r>
      <w:r w:rsidRPr="00033A3F">
        <w:rPr>
          <w:noProof/>
          <w:color w:val="000000" w:themeColor="text1"/>
        </w:rPr>
        <w:t>9</w:t>
      </w:r>
      <w:r w:rsidRPr="00033A3F">
        <w:rPr>
          <w:color w:val="000000" w:themeColor="text1"/>
        </w:rPr>
        <w:t>). Krabicový graf je blíže popsán v seznamu použitých pojmů v příloze. V grafu jsou vedle sebe znázorněny krabicové grafy pro roky 2015–2024 s mediánovými délkami řízení jednotlivých soudů.</w:t>
      </w:r>
    </w:p>
    <w:p w14:paraId="08008CC9" w14:textId="77777777" w:rsidR="00DB4C33" w:rsidRPr="00033A3F" w:rsidRDefault="00DB4C33" w:rsidP="00DB4C33">
      <w:pPr>
        <w:pStyle w:val="OdstavecASR"/>
        <w:rPr>
          <w:color w:val="000000" w:themeColor="text1"/>
        </w:rPr>
      </w:pPr>
      <w:r w:rsidRPr="00033A3F">
        <w:rPr>
          <w:color w:val="000000" w:themeColor="text1"/>
        </w:rPr>
        <w:t>Graf potvrzuje velmi pozitivní dlouhodobý trend sbližování soudů, který již naznačila výše uvedená data. Jinými slovy, podobné délky řízení mohou účastníci sporu očekávat u čím dál více OS v ČR.</w:t>
      </w:r>
    </w:p>
    <w:p w14:paraId="1825B265" w14:textId="77777777" w:rsidR="00DB4C33" w:rsidRPr="00033A3F" w:rsidRDefault="00DB4C33" w:rsidP="00DB4C33">
      <w:pPr>
        <w:pStyle w:val="OdstavecASR"/>
        <w:rPr>
          <w:color w:val="000000" w:themeColor="text1"/>
        </w:rPr>
      </w:pPr>
      <w:r w:rsidRPr="00033A3F">
        <w:rPr>
          <w:color w:val="000000" w:themeColor="text1"/>
        </w:rPr>
        <w:t>Jasně z něj vyplývá, že v letech s nejvyšší mediánovou délkou řízení (úsečka uvnitř šedého boxu, kdy box znázorňuje 25 % počtu OS pod mediánem a 25 % OS nad mediánem, celkem tedy 43 soudů) byla variabilita mezi soudy výrazně vyšší (vyjádřená délkou tzv. vousů). Vysoké délky řízení byly způsobeny malou skupinou soudů (znázorněny jako tečky, z nichž každá představuje jeden OS s extrémní délkou řízení) především v Severočeském a Jihomoravském kraji.</w:t>
      </w:r>
    </w:p>
    <w:p w14:paraId="79398915" w14:textId="417944A6" w:rsidR="00DB4C33" w:rsidRPr="00033A3F" w:rsidRDefault="00DB4C33" w:rsidP="00DB4C33">
      <w:pPr>
        <w:pStyle w:val="OdstavecASR"/>
        <w:rPr>
          <w:color w:val="000000" w:themeColor="text1"/>
        </w:rPr>
      </w:pPr>
      <w:r w:rsidRPr="00033A3F">
        <w:rPr>
          <w:color w:val="000000" w:themeColor="text1"/>
        </w:rPr>
        <w:t xml:space="preserve">Graf potvrzuje hypotézu snižování rozdílů mezi soudy. Délky řízení i jejich variabilita se postupně snižovaly až do roku 2019. V krabicových grafech to je zcela jasně vidět – zmenšuje se box, zkracují se vousy a odlehlé hodnoty se přibližují. V roce 2018 byly v datech pouze 4 odlehlé hodnoty, všechny poměrně blízko horní přilehlé hodnotě. V roce 2019 se dvě nejodlehlejší hodnoty (Chomutov a Břeclav) opět přiblížily k boxu. V roce 2020 se opět jedna hodnota oddálila od boxu. Jedná se o OS pro Prahu 7, kde mediánová délka řízení vzrostla z 316 dnů na 419 dnů. V roce 2021 pak již zbyla jediná odlehlá hodnota – OS pro Prahu 7. Hodnota se ale přiblížila k boxu. V roce 2022 se délka u OS pro Prahu 7 snížila natolik, že už soud není zobrazen jako odlehlá hodnota, ale jako nahradil </w:t>
      </w:r>
      <w:r w:rsidR="00754907" w:rsidRPr="00033A3F">
        <w:rPr>
          <w:color w:val="000000" w:themeColor="text1"/>
        </w:rPr>
        <w:t xml:space="preserve">ho </w:t>
      </w:r>
      <w:r w:rsidRPr="00033A3F">
        <w:rPr>
          <w:color w:val="000000" w:themeColor="text1"/>
        </w:rPr>
        <w:t>OS pro Prahu 1. V roce 2023 se soudy opět „vyměnily“</w:t>
      </w:r>
      <w:r w:rsidR="00754907" w:rsidRPr="00033A3F">
        <w:rPr>
          <w:color w:val="000000" w:themeColor="text1"/>
        </w:rPr>
        <w:t>,</w:t>
      </w:r>
      <w:r w:rsidRPr="00033A3F">
        <w:rPr>
          <w:color w:val="000000" w:themeColor="text1"/>
        </w:rPr>
        <w:t xml:space="preserve"> </w:t>
      </w:r>
      <w:r w:rsidR="00754907" w:rsidRPr="00033A3F">
        <w:rPr>
          <w:color w:val="000000" w:themeColor="text1"/>
        </w:rPr>
        <w:t>když o</w:t>
      </w:r>
      <w:r w:rsidRPr="00033A3F">
        <w:rPr>
          <w:color w:val="000000" w:themeColor="text1"/>
        </w:rPr>
        <w:t>dlehlou hodnotu představ</w:t>
      </w:r>
      <w:r w:rsidR="00754907" w:rsidRPr="00033A3F">
        <w:rPr>
          <w:color w:val="000000" w:themeColor="text1"/>
        </w:rPr>
        <w:t>oval</w:t>
      </w:r>
      <w:r w:rsidRPr="00033A3F">
        <w:rPr>
          <w:color w:val="000000" w:themeColor="text1"/>
        </w:rPr>
        <w:t xml:space="preserve"> OS Litoměřice. Box i „vousy“ se nicméně dále zmenšily a odlehlá hodnota se nacház</w:t>
      </w:r>
      <w:r w:rsidR="00754907" w:rsidRPr="00033A3F">
        <w:rPr>
          <w:color w:val="000000" w:themeColor="text1"/>
        </w:rPr>
        <w:t>ela</w:t>
      </w:r>
      <w:r w:rsidRPr="00033A3F">
        <w:rPr>
          <w:color w:val="000000" w:themeColor="text1"/>
        </w:rPr>
        <w:t xml:space="preserve"> poměrně blízko. V roce 2024 se box prakticky nezměnil</w:t>
      </w:r>
      <w:r w:rsidR="00754907" w:rsidRPr="00033A3F">
        <w:rPr>
          <w:color w:val="000000" w:themeColor="text1"/>
        </w:rPr>
        <w:t xml:space="preserve">, pouze </w:t>
      </w:r>
      <w:r w:rsidRPr="00033A3F">
        <w:rPr>
          <w:color w:val="000000" w:themeColor="text1"/>
        </w:rPr>
        <w:t xml:space="preserve">se vyměnila odlehlá hodnota, </w:t>
      </w:r>
      <w:r w:rsidR="00754907" w:rsidRPr="00033A3F">
        <w:rPr>
          <w:color w:val="000000" w:themeColor="text1"/>
        </w:rPr>
        <w:t>kterou nyní představuje</w:t>
      </w:r>
      <w:r w:rsidRPr="00033A3F">
        <w:rPr>
          <w:color w:val="000000" w:themeColor="text1"/>
        </w:rPr>
        <w:t xml:space="preserve"> OS Ostrava.</w:t>
      </w:r>
    </w:p>
    <w:p w14:paraId="23340ADE" w14:textId="31B71177" w:rsidR="00C35594" w:rsidRPr="00033A3F" w:rsidRDefault="00C35594" w:rsidP="00C35594">
      <w:pPr>
        <w:pStyle w:val="Podnadpis"/>
        <w:rPr>
          <w:color w:val="000000" w:themeColor="text1"/>
        </w:rPr>
      </w:pPr>
      <w:bookmarkStart w:id="226" w:name="_Ref509212914"/>
      <w:bookmarkStart w:id="227" w:name="_Toc515871333"/>
      <w:bookmarkStart w:id="228" w:name="_Toc11135069"/>
      <w:bookmarkStart w:id="229" w:name="_Toc43841388"/>
      <w:bookmarkStart w:id="230" w:name="_Toc75952188"/>
      <w:bookmarkStart w:id="231" w:name="_Toc106106642"/>
      <w:bookmarkStart w:id="232" w:name="_Toc144104120"/>
      <w:bookmarkStart w:id="233" w:name="_Toc169250928"/>
      <w:bookmarkStart w:id="234" w:name="_Toc174080614"/>
      <w:bookmarkStart w:id="235" w:name="_Toc193530764"/>
      <w:bookmarkStart w:id="236" w:name="_Toc193634038"/>
      <w:bookmarkStart w:id="237" w:name="_Toc20303283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w:t>
      </w:r>
      <w:r w:rsidRPr="00033A3F">
        <w:rPr>
          <w:color w:val="000000" w:themeColor="text1"/>
        </w:rPr>
        <w:fldChar w:fldCharType="end"/>
      </w:r>
      <w:bookmarkEnd w:id="226"/>
      <w:r w:rsidRPr="00033A3F">
        <w:rPr>
          <w:color w:val="000000" w:themeColor="text1"/>
        </w:rPr>
        <w:t>: OS – krabicové grafy, mediánové délky civilního řízení</w:t>
      </w:r>
      <w:bookmarkEnd w:id="227"/>
      <w:bookmarkEnd w:id="228"/>
      <w:bookmarkEnd w:id="229"/>
      <w:bookmarkEnd w:id="230"/>
      <w:bookmarkEnd w:id="231"/>
      <w:bookmarkEnd w:id="232"/>
      <w:r w:rsidRPr="00033A3F">
        <w:rPr>
          <w:color w:val="000000" w:themeColor="text1"/>
        </w:rPr>
        <w:t>, 202</w:t>
      </w:r>
      <w:bookmarkEnd w:id="233"/>
      <w:bookmarkEnd w:id="234"/>
      <w:r w:rsidRPr="00033A3F">
        <w:rPr>
          <w:color w:val="000000" w:themeColor="text1"/>
        </w:rPr>
        <w:t>4</w:t>
      </w:r>
      <w:bookmarkEnd w:id="235"/>
      <w:bookmarkEnd w:id="236"/>
      <w:bookmarkEnd w:id="237"/>
    </w:p>
    <w:p w14:paraId="590AA748" w14:textId="54165548" w:rsidR="002D6FCD" w:rsidRPr="00033A3F" w:rsidRDefault="00DB4C33" w:rsidP="002D6FCD">
      <w:pPr>
        <w:rPr>
          <w:color w:val="000000" w:themeColor="text1"/>
        </w:rPr>
      </w:pPr>
      <w:r w:rsidRPr="00033A3F">
        <w:rPr>
          <w:noProof/>
          <w:color w:val="000000" w:themeColor="text1"/>
          <w:lang w:eastAsia="cs-CZ"/>
        </w:rPr>
        <w:drawing>
          <wp:inline distT="0" distB="0" distL="0" distR="0" wp14:anchorId="1D373F8D" wp14:editId="63668AFE">
            <wp:extent cx="5029200" cy="3657600"/>
            <wp:effectExtent l="0" t="0" r="0" b="0"/>
            <wp:docPr id="2101999084"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10F71BB" w14:textId="77777777" w:rsidR="00E95197" w:rsidRPr="00033A3F" w:rsidRDefault="00E95197" w:rsidP="00812F82">
      <w:pPr>
        <w:pStyle w:val="OdstavecASR"/>
        <w:rPr>
          <w:color w:val="000000" w:themeColor="text1"/>
        </w:rPr>
      </w:pPr>
    </w:p>
    <w:p w14:paraId="023C2442" w14:textId="3F95A8A2" w:rsidR="00812F82" w:rsidRPr="00033A3F" w:rsidRDefault="00812F82" w:rsidP="00812F82">
      <w:pPr>
        <w:pStyle w:val="OdstavecASR"/>
        <w:rPr>
          <w:color w:val="000000" w:themeColor="text1"/>
        </w:rPr>
      </w:pPr>
      <w:r w:rsidRPr="00033A3F">
        <w:rPr>
          <w:color w:val="000000" w:themeColor="text1"/>
        </w:rPr>
        <w:t>Na délky řízení v roce 2024 se nakonec zaměříme ještě pomocí histogramu (viz seznam použitých pojmů). Budeme tedy zkoumat jejich distribuci. Šířka jednoho intervalu (sloupce) je 40 dnů. Pro lepší přehlednost jsou všechny délky řízení delší než 1 000 dnů v jednom sloupci (na grafu nejvíce vpravo). Proto je tento sloupec výrazně „vyšší“ než sloupce předchozí. Z grafu lze vyčíst další informace o délkách řízení v civilních věcech</w:t>
      </w:r>
      <w:r w:rsidR="00394C14" w:rsidRPr="00033A3F">
        <w:rPr>
          <w:color w:val="000000" w:themeColor="text1"/>
        </w:rPr>
        <w:t>, které jsou již mnoho let velmi stabilní</w:t>
      </w:r>
      <w:r w:rsidRPr="00033A3F">
        <w:rPr>
          <w:color w:val="000000" w:themeColor="text1"/>
        </w:rPr>
        <w:t>. Například:</w:t>
      </w:r>
    </w:p>
    <w:p w14:paraId="5847AD40" w14:textId="77777777" w:rsidR="00812F82" w:rsidRPr="00033A3F" w:rsidRDefault="00812F82" w:rsidP="00812F82">
      <w:pPr>
        <w:pStyle w:val="Odstavecseseznamem"/>
        <w:numPr>
          <w:ilvl w:val="0"/>
          <w:numId w:val="6"/>
        </w:numPr>
        <w:rPr>
          <w:color w:val="000000" w:themeColor="text1"/>
        </w:rPr>
      </w:pPr>
      <w:r w:rsidRPr="00033A3F">
        <w:rPr>
          <w:color w:val="000000" w:themeColor="text1"/>
        </w:rPr>
        <w:t>Jen asi 4 % věcí byla vyřízena za více než 1 000 dnů.</w:t>
      </w:r>
    </w:p>
    <w:p w14:paraId="50CE4FB6" w14:textId="59CE3A88" w:rsidR="00812F82" w:rsidRPr="00033A3F" w:rsidRDefault="00812F82" w:rsidP="00812F82">
      <w:pPr>
        <w:pStyle w:val="Odstavecseseznamem"/>
        <w:numPr>
          <w:ilvl w:val="0"/>
          <w:numId w:val="5"/>
        </w:numPr>
        <w:ind w:left="714" w:hanging="357"/>
        <w:jc w:val="left"/>
        <w:rPr>
          <w:color w:val="000000" w:themeColor="text1"/>
        </w:rPr>
      </w:pPr>
      <w:r w:rsidRPr="00033A3F">
        <w:rPr>
          <w:color w:val="000000" w:themeColor="text1"/>
        </w:rPr>
        <w:t xml:space="preserve">Přibližně </w:t>
      </w:r>
      <w:r w:rsidR="005E4D7F" w:rsidRPr="00033A3F">
        <w:rPr>
          <w:color w:val="000000" w:themeColor="text1"/>
        </w:rPr>
        <w:t>8</w:t>
      </w:r>
      <w:r w:rsidRPr="00033A3F">
        <w:rPr>
          <w:color w:val="000000" w:themeColor="text1"/>
        </w:rPr>
        <w:t> % věcí bylo vyřízeno velice rychle – do 80 dnů.</w:t>
      </w:r>
    </w:p>
    <w:p w14:paraId="15D4D355" w14:textId="77777777" w:rsidR="00812F82" w:rsidRPr="00033A3F" w:rsidRDefault="00812F82" w:rsidP="00812F82">
      <w:pPr>
        <w:pStyle w:val="Odstavecseseznamem"/>
        <w:numPr>
          <w:ilvl w:val="0"/>
          <w:numId w:val="5"/>
        </w:numPr>
        <w:ind w:left="714" w:hanging="357"/>
        <w:rPr>
          <w:color w:val="000000" w:themeColor="text1"/>
        </w:rPr>
      </w:pPr>
      <w:r w:rsidRPr="00033A3F">
        <w:rPr>
          <w:color w:val="000000" w:themeColor="text1"/>
        </w:rPr>
        <w:t>Největší skupina věcí (přes 20 %) byla vyřízena za 121 až 160 dnů.</w:t>
      </w:r>
    </w:p>
    <w:p w14:paraId="20BC3208" w14:textId="1C17737B" w:rsidR="00812F82" w:rsidRPr="00033A3F" w:rsidRDefault="00812F82" w:rsidP="00812F82">
      <w:pPr>
        <w:pStyle w:val="OdstavecASR"/>
        <w:shd w:val="clear" w:color="auto" w:fill="FFFFFF" w:themeFill="background1"/>
        <w:rPr>
          <w:color w:val="000000" w:themeColor="text1"/>
        </w:rPr>
      </w:pPr>
      <w:r w:rsidRPr="00033A3F">
        <w:rPr>
          <w:color w:val="000000" w:themeColor="text1"/>
        </w:rPr>
        <w:t>Oproti roku 202</w:t>
      </w:r>
      <w:r w:rsidR="005E4D7F" w:rsidRPr="00033A3F">
        <w:rPr>
          <w:color w:val="000000" w:themeColor="text1"/>
        </w:rPr>
        <w:t>3</w:t>
      </w:r>
      <w:r w:rsidRPr="00033A3F">
        <w:rPr>
          <w:color w:val="000000" w:themeColor="text1"/>
        </w:rPr>
        <w:t xml:space="preserve"> se rozdělení délek řízení v roce 202</w:t>
      </w:r>
      <w:r w:rsidR="005E4D7F" w:rsidRPr="00033A3F">
        <w:rPr>
          <w:color w:val="000000" w:themeColor="text1"/>
        </w:rPr>
        <w:t>4</w:t>
      </w:r>
      <w:r w:rsidRPr="00033A3F">
        <w:rPr>
          <w:color w:val="000000" w:themeColor="text1"/>
        </w:rPr>
        <w:t xml:space="preserve"> změnilo jen mírn</w:t>
      </w:r>
      <w:r w:rsidR="005E4D7F" w:rsidRPr="00033A3F">
        <w:rPr>
          <w:color w:val="000000" w:themeColor="text1"/>
        </w:rPr>
        <w:t>ě</w:t>
      </w:r>
      <w:r w:rsidR="00E62762" w:rsidRPr="00033A3F">
        <w:rPr>
          <w:color w:val="000000" w:themeColor="text1"/>
        </w:rPr>
        <w:t>.</w:t>
      </w:r>
    </w:p>
    <w:p w14:paraId="6ED821B0" w14:textId="287654BA" w:rsidR="00812F82" w:rsidRPr="00033A3F" w:rsidRDefault="00812F82" w:rsidP="00812F82">
      <w:pPr>
        <w:pStyle w:val="Podnadpis"/>
        <w:rPr>
          <w:color w:val="000000" w:themeColor="text1"/>
        </w:rPr>
      </w:pPr>
      <w:bookmarkStart w:id="238" w:name="_Toc11135070"/>
      <w:bookmarkStart w:id="239" w:name="_Toc43841389"/>
      <w:bookmarkStart w:id="240" w:name="_Toc75952189"/>
      <w:bookmarkStart w:id="241" w:name="_Toc106106643"/>
      <w:bookmarkStart w:id="242" w:name="_Toc144104121"/>
      <w:bookmarkStart w:id="243" w:name="_Toc169250929"/>
      <w:bookmarkStart w:id="244" w:name="_Toc174080615"/>
      <w:bookmarkStart w:id="245" w:name="_Toc193530765"/>
      <w:bookmarkStart w:id="246" w:name="_Toc193634039"/>
      <w:bookmarkStart w:id="247" w:name="_Toc20303283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w:t>
      </w:r>
      <w:r w:rsidRPr="00033A3F">
        <w:rPr>
          <w:color w:val="000000" w:themeColor="text1"/>
        </w:rPr>
        <w:fldChar w:fldCharType="end"/>
      </w:r>
      <w:r w:rsidRPr="00033A3F">
        <w:rPr>
          <w:color w:val="000000" w:themeColor="text1"/>
        </w:rPr>
        <w:t>: OS – distribuce délek civilního řízení</w:t>
      </w:r>
      <w:bookmarkEnd w:id="238"/>
      <w:bookmarkEnd w:id="239"/>
      <w:bookmarkEnd w:id="240"/>
      <w:bookmarkEnd w:id="241"/>
      <w:bookmarkEnd w:id="242"/>
      <w:bookmarkEnd w:id="243"/>
      <w:bookmarkEnd w:id="244"/>
      <w:bookmarkEnd w:id="245"/>
      <w:bookmarkEnd w:id="246"/>
      <w:bookmarkEnd w:id="247"/>
    </w:p>
    <w:p w14:paraId="4335CC31" w14:textId="07A356EF" w:rsidR="005E4D7F" w:rsidRPr="00033A3F" w:rsidRDefault="005E4D7F" w:rsidP="005E4D7F">
      <w:pPr>
        <w:rPr>
          <w:color w:val="000000" w:themeColor="text1"/>
        </w:rPr>
      </w:pPr>
      <w:r w:rsidRPr="00033A3F">
        <w:rPr>
          <w:noProof/>
          <w:color w:val="000000" w:themeColor="text1"/>
          <w:lang w:eastAsia="cs-CZ"/>
        </w:rPr>
        <w:drawing>
          <wp:inline distT="0" distB="0" distL="0" distR="0" wp14:anchorId="6EEE01A6" wp14:editId="3ACF6FA8">
            <wp:extent cx="5029200" cy="3657600"/>
            <wp:effectExtent l="0" t="0" r="0" b="0"/>
            <wp:docPr id="1415894216"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5DDB50C" w14:textId="77777777" w:rsidR="00812F82" w:rsidRPr="00033A3F" w:rsidRDefault="00812F82" w:rsidP="002D6FCD">
      <w:pPr>
        <w:rPr>
          <w:color w:val="000000" w:themeColor="text1"/>
        </w:rPr>
      </w:pPr>
    </w:p>
    <w:p w14:paraId="3772BCF0" w14:textId="3ED645D9" w:rsidR="00D5538C" w:rsidRPr="00033A3F" w:rsidRDefault="00D5538C" w:rsidP="00E706B0">
      <w:pPr>
        <w:pStyle w:val="Nadpis3"/>
        <w:numPr>
          <w:ilvl w:val="2"/>
          <w:numId w:val="1"/>
        </w:numPr>
        <w:rPr>
          <w:color w:val="000000" w:themeColor="text1"/>
        </w:rPr>
      </w:pPr>
      <w:bookmarkStart w:id="248" w:name="_Ref509669257"/>
      <w:bookmarkStart w:id="249" w:name="_Toc515871222"/>
      <w:bookmarkStart w:id="250" w:name="_Toc106092719"/>
      <w:bookmarkStart w:id="251" w:name="_Toc169250803"/>
      <w:bookmarkStart w:id="252" w:name="_Toc193530964"/>
      <w:bookmarkStart w:id="253" w:name="_Toc193957021"/>
      <w:bookmarkStart w:id="254" w:name="_Toc203032711"/>
      <w:r w:rsidRPr="00033A3F">
        <w:rPr>
          <w:color w:val="000000" w:themeColor="text1"/>
        </w:rPr>
        <w:t>Vyřizování věcí</w:t>
      </w:r>
      <w:bookmarkEnd w:id="248"/>
      <w:bookmarkEnd w:id="249"/>
      <w:bookmarkEnd w:id="250"/>
      <w:bookmarkEnd w:id="251"/>
      <w:bookmarkEnd w:id="252"/>
      <w:bookmarkEnd w:id="253"/>
      <w:bookmarkEnd w:id="254"/>
    </w:p>
    <w:p w14:paraId="3B05B4FC" w14:textId="3BA476DE" w:rsidR="005E4D7F" w:rsidRPr="00033A3F" w:rsidRDefault="005E4D7F" w:rsidP="00BF0CC3">
      <w:pPr>
        <w:pStyle w:val="OdstavecASR"/>
        <w:rPr>
          <w:color w:val="000000" w:themeColor="text1"/>
        </w:rPr>
      </w:pPr>
      <w:r w:rsidRPr="00033A3F">
        <w:rPr>
          <w:color w:val="000000" w:themeColor="text1"/>
        </w:rPr>
        <w:t>Tato kapitola se věnuje tomu, jak okresní soudy vyřizují věci v civilním řízení (bez rozkazního řízení). Obsahuje tedy údaje o nápadu + obživlých věcech, vyřízených věcech, nevyřízených věcech a míře vyřizování. Tato data nezískáváme ze statistických listů, ale z výkazů o činnosti soudů. Je také zajímavé si uvědomit, že nápad sporných občanských a obchodních věcí je na české soudy jeden z nejvyšších v Evropské unii (v přepočtu na počet obyvatel). Jak se s ním vyrovnávají, ukazuje graf vývoje těchto proměnných v letech 2014–</w:t>
      </w:r>
      <w:r w:rsidR="00E166BF" w:rsidRPr="00033A3F">
        <w:rPr>
          <w:color w:val="000000" w:themeColor="text1"/>
        </w:rPr>
        <w:t xml:space="preserve">2024 </w:t>
      </w:r>
      <w:r w:rsidRPr="00033A3F">
        <w:rPr>
          <w:color w:val="000000" w:themeColor="text1"/>
        </w:rPr>
        <w:t>níže – již předem můžeme prozradit, že v</w:t>
      </w:r>
      <w:r w:rsidR="0078276B" w:rsidRPr="00033A3F">
        <w:rPr>
          <w:color w:val="000000" w:themeColor="text1"/>
        </w:rPr>
        <w:t> </w:t>
      </w:r>
      <w:r w:rsidRPr="00033A3F">
        <w:rPr>
          <w:color w:val="000000" w:themeColor="text1"/>
        </w:rPr>
        <w:t>porovnání s jinými zeměmi nadmíru dobře (srovnání viz</w:t>
      </w:r>
      <w:r w:rsidR="00E95197" w:rsidRPr="00033A3F">
        <w:rPr>
          <w:color w:val="000000" w:themeColor="text1"/>
        </w:rPr>
        <w:t xml:space="preserve"> část 8 Mezinárodní srovnání</w:t>
      </w:r>
      <w:r w:rsidRPr="00033A3F">
        <w:rPr>
          <w:color w:val="000000" w:themeColor="text1"/>
        </w:rPr>
        <w:t xml:space="preserve">). Z grafu je patrné, že počet příchozích (nápad + obživlé věci) a vyřízených věcí jsou silně korelovány. Vztah je v tomto případě kauzální (příčinný). Ve sledovaném </w:t>
      </w:r>
      <w:r w:rsidR="00754907" w:rsidRPr="00033A3F">
        <w:rPr>
          <w:color w:val="000000" w:themeColor="text1"/>
        </w:rPr>
        <w:t xml:space="preserve">období </w:t>
      </w:r>
      <w:r w:rsidRPr="00033A3F">
        <w:rPr>
          <w:color w:val="000000" w:themeColor="text1"/>
        </w:rPr>
        <w:t xml:space="preserve">převyšuje počet vyřízených věcí počet věcí příchozích, třebaže v některých letech jen velmi mírně. Díky tomu se v posledních letech </w:t>
      </w:r>
      <w:r w:rsidRPr="00033A3F">
        <w:rPr>
          <w:color w:val="000000" w:themeColor="text1"/>
        </w:rPr>
        <w:lastRenderedPageBreak/>
        <w:t>dařilo snižovat počet nevyřízených věcí. Tento výsledek plně koresponduje se snižováním délek řízení. Důvody pro snižování počtu nevyřízených věcí jsou logicky stejné jako u délky řízení.</w:t>
      </w:r>
    </w:p>
    <w:p w14:paraId="3D2E882F" w14:textId="56D7FF68" w:rsidR="005E4D7F" w:rsidRPr="00033A3F" w:rsidRDefault="005E4D7F" w:rsidP="00BF0CC3">
      <w:pPr>
        <w:pStyle w:val="OdstavecASR"/>
        <w:rPr>
          <w:color w:val="000000" w:themeColor="text1"/>
        </w:rPr>
      </w:pPr>
      <w:r w:rsidRPr="00033A3F">
        <w:rPr>
          <w:color w:val="000000" w:themeColor="text1"/>
        </w:rPr>
        <w:t>V roce 2020 došlo stejně jako u délek řízení po 6 letech k mírnému nárůstu počtu nevyřízených věcí. Všechny kraje měly míru vyřizování pod 100 %. Ve všech krajích klesl počet vyřízených věcí a ve všech krajích s výjimkou kraje Západočeského klesl počet příchozích věcí. Většina těchto okolností (pokles příchozích věcí, pokles vyřízených věcí, nárůst nevyřízených věcí) ukazuje na to, že soudy byly ovlivněny pandemií COVID 19 a vládními restrikcemi ke zbrzdění jejího šíření. Pandemie zřejmě způsobila pokles v nápadu a rovněž byla omezena funkčnost soudů, z čehož plyne pokles v počtu vyřízených věcí.</w:t>
      </w:r>
    </w:p>
    <w:p w14:paraId="3F0A2522" w14:textId="77777777" w:rsidR="005E4D7F" w:rsidRPr="00033A3F" w:rsidRDefault="005E4D7F" w:rsidP="005E4D7F">
      <w:pPr>
        <w:rPr>
          <w:color w:val="000000" w:themeColor="text1"/>
        </w:rPr>
      </w:pPr>
    </w:p>
    <w:p w14:paraId="69776205" w14:textId="12D0570A" w:rsidR="005E4D7F" w:rsidRPr="00033A3F" w:rsidRDefault="005E4D7F" w:rsidP="005E4D7F">
      <w:pPr>
        <w:pStyle w:val="Podnadpis"/>
        <w:numPr>
          <w:ilvl w:val="0"/>
          <w:numId w:val="0"/>
        </w:numPr>
        <w:rPr>
          <w:color w:val="000000" w:themeColor="text1"/>
        </w:rPr>
      </w:pPr>
      <w:bookmarkStart w:id="255" w:name="_Ref509225924"/>
      <w:bookmarkStart w:id="256" w:name="_Toc515871335"/>
      <w:bookmarkStart w:id="257" w:name="_Toc11135071"/>
      <w:bookmarkStart w:id="258" w:name="_Toc43841390"/>
      <w:bookmarkStart w:id="259" w:name="_Toc75952190"/>
      <w:bookmarkStart w:id="260" w:name="_Toc106106644"/>
      <w:bookmarkStart w:id="261" w:name="_Toc144104122"/>
      <w:bookmarkStart w:id="262" w:name="_Toc169250930"/>
      <w:bookmarkStart w:id="263" w:name="_Toc174080616"/>
      <w:bookmarkStart w:id="264" w:name="_Toc193530766"/>
      <w:bookmarkStart w:id="265" w:name="_Toc193634040"/>
      <w:bookmarkStart w:id="266" w:name="_Toc20303283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w:t>
      </w:r>
      <w:r w:rsidRPr="00033A3F">
        <w:rPr>
          <w:color w:val="000000" w:themeColor="text1"/>
        </w:rPr>
        <w:fldChar w:fldCharType="end"/>
      </w:r>
      <w:bookmarkEnd w:id="255"/>
      <w:r w:rsidRPr="00033A3F">
        <w:rPr>
          <w:color w:val="000000" w:themeColor="text1"/>
        </w:rPr>
        <w:t>: OS – vyřizování civilních věcí v letech 2015–20</w:t>
      </w:r>
      <w:bookmarkEnd w:id="256"/>
      <w:bookmarkEnd w:id="257"/>
      <w:bookmarkEnd w:id="258"/>
      <w:r w:rsidRPr="00033A3F">
        <w:rPr>
          <w:color w:val="000000" w:themeColor="text1"/>
        </w:rPr>
        <w:t>2</w:t>
      </w:r>
      <w:bookmarkEnd w:id="259"/>
      <w:bookmarkEnd w:id="260"/>
      <w:bookmarkEnd w:id="261"/>
      <w:bookmarkEnd w:id="262"/>
      <w:bookmarkEnd w:id="263"/>
      <w:r w:rsidRPr="00033A3F">
        <w:rPr>
          <w:color w:val="000000" w:themeColor="text1"/>
        </w:rPr>
        <w:t>4</w:t>
      </w:r>
      <w:bookmarkEnd w:id="264"/>
      <w:bookmarkEnd w:id="265"/>
      <w:bookmarkEnd w:id="266"/>
    </w:p>
    <w:p w14:paraId="518F5916" w14:textId="11BED4F1" w:rsidR="005E4D7F" w:rsidRPr="00033A3F" w:rsidRDefault="00291CB0" w:rsidP="005E4D7F">
      <w:pPr>
        <w:rPr>
          <w:color w:val="000000" w:themeColor="text1"/>
        </w:rPr>
      </w:pPr>
      <w:r w:rsidRPr="00033A3F">
        <w:rPr>
          <w:noProof/>
          <w:color w:val="000000" w:themeColor="text1"/>
          <w:lang w:eastAsia="cs-CZ"/>
        </w:rPr>
        <w:drawing>
          <wp:inline distT="0" distB="0" distL="0" distR="0" wp14:anchorId="6E828BAC" wp14:editId="16DE8AF2">
            <wp:extent cx="5029200" cy="3657600"/>
            <wp:effectExtent l="0" t="0" r="0" b="0"/>
            <wp:docPr id="1025559281"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179F739" w14:textId="77777777" w:rsidR="00291CB0" w:rsidRPr="00033A3F" w:rsidRDefault="00291CB0" w:rsidP="00291CB0">
      <w:pPr>
        <w:rPr>
          <w:color w:val="000000" w:themeColor="text1"/>
        </w:rPr>
      </w:pPr>
    </w:p>
    <w:p w14:paraId="00EAF5D5" w14:textId="3C21E2E2" w:rsidR="00291CB0" w:rsidRDefault="00291CB0" w:rsidP="00BF0CC3">
      <w:pPr>
        <w:pStyle w:val="OdstavecASR"/>
        <w:rPr>
          <w:color w:val="000000" w:themeColor="text1"/>
        </w:rPr>
      </w:pPr>
      <w:r w:rsidRPr="00033A3F">
        <w:rPr>
          <w:color w:val="000000" w:themeColor="text1"/>
        </w:rPr>
        <w:t xml:space="preserve">V roce 2021 zůstal počet příchozích věcí v zásadě na úrovni roku 2020. Nápad byl zřejmě rovněž ovlivněn pandemií COVID-19. Počet vyřízených věcí ale výrazně narostl, což ukazuje, že počet vyřízených věcí v tomto roce pandemií příliš ovlivněn nebyl. V roce 2022 až 2024 mírně klesal počet příchozích i vyřízených věcí. Počet vyřízených věcí byl ale vždy vyšší, což vedlo k trvalému klesání v počtu věcí nevyřízených. V roce 2024 tak počet nevyřízených </w:t>
      </w:r>
      <w:r w:rsidR="00E62762" w:rsidRPr="00033A3F">
        <w:rPr>
          <w:color w:val="000000" w:themeColor="text1"/>
        </w:rPr>
        <w:t xml:space="preserve">věcí </w:t>
      </w:r>
      <w:r w:rsidRPr="00033A3F">
        <w:rPr>
          <w:color w:val="000000" w:themeColor="text1"/>
        </w:rPr>
        <w:t>poprvé ve sledovaném období klesl pod 100</w:t>
      </w:r>
      <w:r w:rsidR="00DD56EB">
        <w:rPr>
          <w:color w:val="000000" w:themeColor="text1"/>
        </w:rPr>
        <w:t> </w:t>
      </w:r>
      <w:r w:rsidRPr="00033A3F">
        <w:rPr>
          <w:color w:val="000000" w:themeColor="text1"/>
        </w:rPr>
        <w:t>000.</w:t>
      </w:r>
    </w:p>
    <w:p w14:paraId="447CC891" w14:textId="02272FA2" w:rsidR="00DD56EB" w:rsidRDefault="00DD56EB">
      <w:pPr>
        <w:spacing w:after="160" w:line="259" w:lineRule="auto"/>
        <w:jc w:val="left"/>
        <w:rPr>
          <w:color w:val="000000" w:themeColor="text1"/>
        </w:rPr>
      </w:pPr>
      <w:r>
        <w:rPr>
          <w:color w:val="000000" w:themeColor="text1"/>
        </w:rPr>
        <w:br w:type="page"/>
      </w:r>
    </w:p>
    <w:p w14:paraId="056D5AB5" w14:textId="14929AF1" w:rsidR="00291CB0" w:rsidRPr="00033A3F" w:rsidRDefault="00291CB0" w:rsidP="004C0D35">
      <w:pPr>
        <w:pStyle w:val="Podnadpis"/>
        <w:rPr>
          <w:color w:val="000000" w:themeColor="text1"/>
        </w:rPr>
      </w:pPr>
      <w:bookmarkStart w:id="267" w:name="_Toc194045582"/>
      <w:bookmarkStart w:id="268" w:name="_Toc199494991"/>
      <w:bookmarkStart w:id="269" w:name="_Toc203033051"/>
      <w:bookmarkStart w:id="270" w:name="_Toc203033129"/>
      <w:r w:rsidRPr="00033A3F">
        <w:rPr>
          <w:color w:val="000000" w:themeColor="text1"/>
        </w:rPr>
        <w:lastRenderedPageBreak/>
        <w:t xml:space="preserve">Tabulka </w:t>
      </w:r>
      <w:r w:rsidR="00BA7694" w:rsidRPr="00033A3F">
        <w:rPr>
          <w:color w:val="000000" w:themeColor="text1"/>
        </w:rPr>
        <w:fldChar w:fldCharType="begin"/>
      </w:r>
      <w:r w:rsidR="00BA7694" w:rsidRPr="00033A3F">
        <w:rPr>
          <w:color w:val="000000" w:themeColor="text1"/>
        </w:rPr>
        <w:instrText xml:space="preserve"> SEQ Tabulka \* ARABIC </w:instrText>
      </w:r>
      <w:r w:rsidR="00BA7694" w:rsidRPr="00033A3F">
        <w:rPr>
          <w:color w:val="000000" w:themeColor="text1"/>
        </w:rPr>
        <w:fldChar w:fldCharType="separate"/>
      </w:r>
      <w:r w:rsidR="00163B51">
        <w:rPr>
          <w:noProof/>
          <w:color w:val="000000" w:themeColor="text1"/>
        </w:rPr>
        <w:t>9</w:t>
      </w:r>
      <w:r w:rsidR="00BA7694" w:rsidRPr="00033A3F">
        <w:rPr>
          <w:color w:val="000000" w:themeColor="text1"/>
        </w:rPr>
        <w:fldChar w:fldCharType="end"/>
      </w:r>
      <w:r w:rsidRPr="00033A3F">
        <w:rPr>
          <w:color w:val="000000" w:themeColor="text1"/>
        </w:rPr>
        <w:t>: OS – vyřizování civilních věcí dle krajů, 2024</w:t>
      </w:r>
      <w:bookmarkEnd w:id="267"/>
      <w:bookmarkEnd w:id="268"/>
      <w:bookmarkEnd w:id="269"/>
      <w:bookmarkEnd w:id="270"/>
    </w:p>
    <w:tbl>
      <w:tblPr>
        <w:tblW w:w="9140" w:type="dxa"/>
        <w:tblCellMar>
          <w:left w:w="70" w:type="dxa"/>
          <w:right w:w="70" w:type="dxa"/>
        </w:tblCellMar>
        <w:tblLook w:val="04A0" w:firstRow="1" w:lastRow="0" w:firstColumn="1" w:lastColumn="0" w:noHBand="0" w:noVBand="1"/>
      </w:tblPr>
      <w:tblGrid>
        <w:gridCol w:w="2020"/>
        <w:gridCol w:w="1156"/>
        <w:gridCol w:w="713"/>
        <w:gridCol w:w="1156"/>
        <w:gridCol w:w="713"/>
        <w:gridCol w:w="987"/>
        <w:gridCol w:w="855"/>
        <w:gridCol w:w="1540"/>
      </w:tblGrid>
      <w:tr w:rsidR="00033A3F" w:rsidRPr="00033A3F" w14:paraId="33594931" w14:textId="77777777" w:rsidTr="00291CB0">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F01996D"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4B67AA23"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62F6DBC0"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5B9CBBD3" w14:textId="77777777" w:rsidTr="00291CB0">
        <w:trPr>
          <w:trHeight w:val="690"/>
        </w:trPr>
        <w:tc>
          <w:tcPr>
            <w:tcW w:w="2020" w:type="dxa"/>
            <w:vMerge/>
            <w:tcBorders>
              <w:top w:val="double" w:sz="6" w:space="0" w:color="auto"/>
              <w:left w:val="nil"/>
              <w:bottom w:val="double" w:sz="6" w:space="0" w:color="000000"/>
              <w:right w:val="nil"/>
            </w:tcBorders>
            <w:vAlign w:val="center"/>
            <w:hideMark/>
          </w:tcPr>
          <w:p w14:paraId="03599A9F" w14:textId="77777777" w:rsidR="00291CB0" w:rsidRPr="00033A3F" w:rsidRDefault="00291CB0" w:rsidP="00291CB0">
            <w:pPr>
              <w:spacing w:line="240" w:lineRule="auto"/>
              <w:jc w:val="left"/>
              <w:rPr>
                <w:rFonts w:eastAsia="Times New Roman"/>
                <w:b/>
                <w:bCs/>
                <w:color w:val="000000" w:themeColor="text1"/>
                <w:szCs w:val="24"/>
                <w:lang w:eastAsia="cs-CZ"/>
              </w:rPr>
            </w:pPr>
          </w:p>
        </w:tc>
        <w:tc>
          <w:tcPr>
            <w:tcW w:w="1869" w:type="dxa"/>
            <w:gridSpan w:val="2"/>
            <w:tcBorders>
              <w:top w:val="nil"/>
              <w:left w:val="nil"/>
              <w:bottom w:val="double" w:sz="6" w:space="0" w:color="auto"/>
              <w:right w:val="nil"/>
            </w:tcBorders>
            <w:shd w:val="clear" w:color="auto" w:fill="auto"/>
            <w:vAlign w:val="center"/>
            <w:hideMark/>
          </w:tcPr>
          <w:p w14:paraId="1F8D739F"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86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0995489"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42" w:type="dxa"/>
            <w:gridSpan w:val="2"/>
            <w:tcBorders>
              <w:top w:val="nil"/>
              <w:left w:val="nil"/>
              <w:bottom w:val="double" w:sz="6" w:space="0" w:color="auto"/>
              <w:right w:val="single" w:sz="4" w:space="0" w:color="000000"/>
            </w:tcBorders>
            <w:shd w:val="clear" w:color="auto" w:fill="auto"/>
            <w:noWrap/>
            <w:vAlign w:val="center"/>
            <w:hideMark/>
          </w:tcPr>
          <w:p w14:paraId="654CC0F7"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4C93C295" w14:textId="77777777" w:rsidR="00291CB0" w:rsidRPr="00033A3F" w:rsidRDefault="00291CB0" w:rsidP="00291CB0">
            <w:pPr>
              <w:spacing w:line="240" w:lineRule="auto"/>
              <w:jc w:val="left"/>
              <w:rPr>
                <w:rFonts w:eastAsia="Times New Roman"/>
                <w:b/>
                <w:bCs/>
                <w:color w:val="000000" w:themeColor="text1"/>
                <w:szCs w:val="24"/>
                <w:lang w:eastAsia="cs-CZ"/>
              </w:rPr>
            </w:pPr>
          </w:p>
        </w:tc>
      </w:tr>
      <w:tr w:rsidR="00033A3F" w:rsidRPr="00033A3F" w14:paraId="758642C0" w14:textId="77777777" w:rsidTr="00673337">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6DE647F"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156" w:type="dxa"/>
            <w:tcBorders>
              <w:top w:val="single" w:sz="4" w:space="0" w:color="auto"/>
              <w:left w:val="nil"/>
              <w:bottom w:val="single" w:sz="4" w:space="0" w:color="auto"/>
              <w:right w:val="nil"/>
            </w:tcBorders>
            <w:shd w:val="clear" w:color="auto" w:fill="auto"/>
            <w:noWrap/>
            <w:vAlign w:val="bottom"/>
            <w:hideMark/>
          </w:tcPr>
          <w:p w14:paraId="3CC2239E"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49 701</w:t>
            </w:r>
          </w:p>
        </w:tc>
        <w:tc>
          <w:tcPr>
            <w:tcW w:w="713" w:type="dxa"/>
            <w:tcBorders>
              <w:top w:val="single" w:sz="4" w:space="0" w:color="auto"/>
              <w:left w:val="nil"/>
              <w:bottom w:val="single" w:sz="4" w:space="0" w:color="auto"/>
              <w:right w:val="nil"/>
            </w:tcBorders>
            <w:shd w:val="clear" w:color="auto" w:fill="auto"/>
            <w:noWrap/>
            <w:vAlign w:val="center"/>
            <w:hideMark/>
          </w:tcPr>
          <w:p w14:paraId="7EDD492C" w14:textId="36B84FC5"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56" w:type="dxa"/>
            <w:tcBorders>
              <w:top w:val="single" w:sz="4" w:space="0" w:color="auto"/>
              <w:left w:val="single" w:sz="4" w:space="0" w:color="auto"/>
              <w:bottom w:val="single" w:sz="4" w:space="0" w:color="auto"/>
              <w:right w:val="nil"/>
            </w:tcBorders>
            <w:shd w:val="clear" w:color="auto" w:fill="auto"/>
            <w:noWrap/>
            <w:vAlign w:val="bottom"/>
            <w:hideMark/>
          </w:tcPr>
          <w:p w14:paraId="0A4D28F4"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52 539</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4D28D7CE" w14:textId="57D9085D"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87" w:type="dxa"/>
            <w:tcBorders>
              <w:top w:val="single" w:sz="4" w:space="0" w:color="auto"/>
              <w:left w:val="nil"/>
              <w:bottom w:val="single" w:sz="4" w:space="0" w:color="auto"/>
              <w:right w:val="nil"/>
            </w:tcBorders>
            <w:shd w:val="clear" w:color="auto" w:fill="auto"/>
            <w:noWrap/>
            <w:vAlign w:val="bottom"/>
            <w:hideMark/>
          </w:tcPr>
          <w:p w14:paraId="32EBD866"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18 759</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1CD97D60" w14:textId="3C22C2C9"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540" w:type="dxa"/>
            <w:tcBorders>
              <w:top w:val="nil"/>
              <w:left w:val="nil"/>
              <w:bottom w:val="single" w:sz="4" w:space="0" w:color="auto"/>
              <w:right w:val="nil"/>
            </w:tcBorders>
            <w:shd w:val="clear" w:color="auto" w:fill="auto"/>
            <w:noWrap/>
            <w:vAlign w:val="center"/>
            <w:hideMark/>
          </w:tcPr>
          <w:p w14:paraId="5EAB87D1" w14:textId="7492CFD9"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105,7 %</w:t>
            </w:r>
          </w:p>
        </w:tc>
      </w:tr>
      <w:tr w:rsidR="00033A3F" w:rsidRPr="00033A3F" w14:paraId="405D022F"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3ABBBA2F"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156" w:type="dxa"/>
            <w:tcBorders>
              <w:top w:val="nil"/>
              <w:left w:val="nil"/>
              <w:bottom w:val="single" w:sz="4" w:space="0" w:color="auto"/>
              <w:right w:val="nil"/>
            </w:tcBorders>
            <w:shd w:val="clear" w:color="auto" w:fill="auto"/>
            <w:noWrap/>
            <w:vAlign w:val="bottom"/>
            <w:hideMark/>
          </w:tcPr>
          <w:p w14:paraId="4EE26F6B"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35 722</w:t>
            </w:r>
          </w:p>
        </w:tc>
        <w:tc>
          <w:tcPr>
            <w:tcW w:w="713" w:type="dxa"/>
            <w:tcBorders>
              <w:top w:val="nil"/>
              <w:left w:val="nil"/>
              <w:bottom w:val="single" w:sz="4" w:space="0" w:color="auto"/>
              <w:right w:val="nil"/>
            </w:tcBorders>
            <w:shd w:val="clear" w:color="auto" w:fill="auto"/>
            <w:noWrap/>
            <w:vAlign w:val="center"/>
            <w:hideMark/>
          </w:tcPr>
          <w:p w14:paraId="5FD94D9C" w14:textId="1C975B2F"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6" w:type="dxa"/>
            <w:tcBorders>
              <w:top w:val="nil"/>
              <w:left w:val="single" w:sz="4" w:space="0" w:color="auto"/>
              <w:bottom w:val="single" w:sz="4" w:space="0" w:color="auto"/>
              <w:right w:val="nil"/>
            </w:tcBorders>
            <w:shd w:val="clear" w:color="auto" w:fill="auto"/>
            <w:noWrap/>
            <w:vAlign w:val="bottom"/>
            <w:hideMark/>
          </w:tcPr>
          <w:p w14:paraId="2E834F89"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35 309</w:t>
            </w:r>
          </w:p>
        </w:tc>
        <w:tc>
          <w:tcPr>
            <w:tcW w:w="713" w:type="dxa"/>
            <w:tcBorders>
              <w:top w:val="nil"/>
              <w:left w:val="nil"/>
              <w:bottom w:val="single" w:sz="4" w:space="0" w:color="auto"/>
              <w:right w:val="single" w:sz="4" w:space="0" w:color="auto"/>
            </w:tcBorders>
            <w:shd w:val="clear" w:color="auto" w:fill="auto"/>
            <w:noWrap/>
            <w:vAlign w:val="center"/>
            <w:hideMark/>
          </w:tcPr>
          <w:p w14:paraId="7E8F09E4" w14:textId="7591DC75"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87" w:type="dxa"/>
            <w:tcBorders>
              <w:top w:val="nil"/>
              <w:left w:val="nil"/>
              <w:bottom w:val="single" w:sz="4" w:space="0" w:color="auto"/>
              <w:right w:val="nil"/>
            </w:tcBorders>
            <w:shd w:val="clear" w:color="auto" w:fill="auto"/>
            <w:noWrap/>
            <w:vAlign w:val="bottom"/>
            <w:hideMark/>
          </w:tcPr>
          <w:p w14:paraId="507B68D6"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9 198</w:t>
            </w:r>
          </w:p>
        </w:tc>
        <w:tc>
          <w:tcPr>
            <w:tcW w:w="855" w:type="dxa"/>
            <w:tcBorders>
              <w:top w:val="nil"/>
              <w:left w:val="nil"/>
              <w:bottom w:val="single" w:sz="4" w:space="0" w:color="auto"/>
              <w:right w:val="single" w:sz="4" w:space="0" w:color="auto"/>
            </w:tcBorders>
            <w:shd w:val="clear" w:color="auto" w:fill="auto"/>
            <w:noWrap/>
            <w:vAlign w:val="center"/>
            <w:hideMark/>
          </w:tcPr>
          <w:p w14:paraId="2971C112" w14:textId="77C37228"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540" w:type="dxa"/>
            <w:tcBorders>
              <w:top w:val="nil"/>
              <w:left w:val="nil"/>
              <w:bottom w:val="single" w:sz="4" w:space="0" w:color="auto"/>
              <w:right w:val="nil"/>
            </w:tcBorders>
            <w:shd w:val="clear" w:color="auto" w:fill="auto"/>
            <w:noWrap/>
            <w:vAlign w:val="center"/>
            <w:hideMark/>
          </w:tcPr>
          <w:p w14:paraId="0C089587" w14:textId="14DDA081"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98,8 %</w:t>
            </w:r>
          </w:p>
        </w:tc>
      </w:tr>
      <w:tr w:rsidR="00033A3F" w:rsidRPr="00033A3F" w14:paraId="5968B3FE"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4B298A02"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156" w:type="dxa"/>
            <w:tcBorders>
              <w:top w:val="nil"/>
              <w:left w:val="nil"/>
              <w:bottom w:val="single" w:sz="4" w:space="0" w:color="auto"/>
              <w:right w:val="nil"/>
            </w:tcBorders>
            <w:shd w:val="clear" w:color="auto" w:fill="auto"/>
            <w:noWrap/>
            <w:vAlign w:val="bottom"/>
            <w:hideMark/>
          </w:tcPr>
          <w:p w14:paraId="13A04CC4"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15 971</w:t>
            </w:r>
          </w:p>
        </w:tc>
        <w:tc>
          <w:tcPr>
            <w:tcW w:w="713" w:type="dxa"/>
            <w:tcBorders>
              <w:top w:val="nil"/>
              <w:left w:val="nil"/>
              <w:bottom w:val="single" w:sz="4" w:space="0" w:color="auto"/>
              <w:right w:val="nil"/>
            </w:tcBorders>
            <w:shd w:val="clear" w:color="auto" w:fill="auto"/>
            <w:noWrap/>
            <w:vAlign w:val="center"/>
            <w:hideMark/>
          </w:tcPr>
          <w:p w14:paraId="07ADAD1C" w14:textId="1FFF59E6"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56" w:type="dxa"/>
            <w:tcBorders>
              <w:top w:val="nil"/>
              <w:left w:val="single" w:sz="4" w:space="0" w:color="auto"/>
              <w:bottom w:val="single" w:sz="4" w:space="0" w:color="auto"/>
              <w:right w:val="nil"/>
            </w:tcBorders>
            <w:shd w:val="clear" w:color="auto" w:fill="auto"/>
            <w:noWrap/>
            <w:vAlign w:val="bottom"/>
            <w:hideMark/>
          </w:tcPr>
          <w:p w14:paraId="2CD6BD9A"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15 607</w:t>
            </w:r>
          </w:p>
        </w:tc>
        <w:tc>
          <w:tcPr>
            <w:tcW w:w="713" w:type="dxa"/>
            <w:tcBorders>
              <w:top w:val="nil"/>
              <w:left w:val="nil"/>
              <w:bottom w:val="single" w:sz="4" w:space="0" w:color="auto"/>
              <w:right w:val="single" w:sz="4" w:space="0" w:color="auto"/>
            </w:tcBorders>
            <w:shd w:val="clear" w:color="auto" w:fill="auto"/>
            <w:noWrap/>
            <w:vAlign w:val="center"/>
            <w:hideMark/>
          </w:tcPr>
          <w:p w14:paraId="453479C9" w14:textId="22289FA7"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87" w:type="dxa"/>
            <w:tcBorders>
              <w:top w:val="nil"/>
              <w:left w:val="nil"/>
              <w:bottom w:val="single" w:sz="4" w:space="0" w:color="auto"/>
              <w:right w:val="nil"/>
            </w:tcBorders>
            <w:shd w:val="clear" w:color="auto" w:fill="auto"/>
            <w:noWrap/>
            <w:vAlign w:val="bottom"/>
            <w:hideMark/>
          </w:tcPr>
          <w:p w14:paraId="093100BF"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3 576</w:t>
            </w:r>
          </w:p>
        </w:tc>
        <w:tc>
          <w:tcPr>
            <w:tcW w:w="855" w:type="dxa"/>
            <w:tcBorders>
              <w:top w:val="nil"/>
              <w:left w:val="nil"/>
              <w:bottom w:val="single" w:sz="4" w:space="0" w:color="auto"/>
              <w:right w:val="single" w:sz="4" w:space="0" w:color="auto"/>
            </w:tcBorders>
            <w:shd w:val="clear" w:color="auto" w:fill="auto"/>
            <w:noWrap/>
            <w:vAlign w:val="center"/>
            <w:hideMark/>
          </w:tcPr>
          <w:p w14:paraId="37F64201" w14:textId="0B818E02"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540" w:type="dxa"/>
            <w:tcBorders>
              <w:top w:val="nil"/>
              <w:left w:val="nil"/>
              <w:bottom w:val="single" w:sz="4" w:space="0" w:color="auto"/>
              <w:right w:val="nil"/>
            </w:tcBorders>
            <w:shd w:val="clear" w:color="auto" w:fill="auto"/>
            <w:noWrap/>
            <w:vAlign w:val="center"/>
            <w:hideMark/>
          </w:tcPr>
          <w:p w14:paraId="7D4EF70D" w14:textId="1BDDD770"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97,7 %</w:t>
            </w:r>
          </w:p>
        </w:tc>
      </w:tr>
      <w:tr w:rsidR="00033A3F" w:rsidRPr="00033A3F" w14:paraId="05FAABE9"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20CE044C"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156" w:type="dxa"/>
            <w:tcBorders>
              <w:top w:val="nil"/>
              <w:left w:val="nil"/>
              <w:bottom w:val="single" w:sz="4" w:space="0" w:color="auto"/>
              <w:right w:val="nil"/>
            </w:tcBorders>
            <w:shd w:val="clear" w:color="auto" w:fill="auto"/>
            <w:noWrap/>
            <w:vAlign w:val="bottom"/>
            <w:hideMark/>
          </w:tcPr>
          <w:p w14:paraId="1A87961A"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29 231</w:t>
            </w:r>
          </w:p>
        </w:tc>
        <w:tc>
          <w:tcPr>
            <w:tcW w:w="713" w:type="dxa"/>
            <w:tcBorders>
              <w:top w:val="nil"/>
              <w:left w:val="nil"/>
              <w:bottom w:val="single" w:sz="4" w:space="0" w:color="auto"/>
              <w:right w:val="nil"/>
            </w:tcBorders>
            <w:shd w:val="clear" w:color="auto" w:fill="auto"/>
            <w:noWrap/>
            <w:vAlign w:val="center"/>
            <w:hideMark/>
          </w:tcPr>
          <w:p w14:paraId="5E9629A7" w14:textId="04318905"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6" w:type="dxa"/>
            <w:tcBorders>
              <w:top w:val="nil"/>
              <w:left w:val="single" w:sz="4" w:space="0" w:color="auto"/>
              <w:bottom w:val="single" w:sz="4" w:space="0" w:color="auto"/>
              <w:right w:val="nil"/>
            </w:tcBorders>
            <w:shd w:val="clear" w:color="auto" w:fill="auto"/>
            <w:noWrap/>
            <w:vAlign w:val="bottom"/>
            <w:hideMark/>
          </w:tcPr>
          <w:p w14:paraId="41C8CD13"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29 474</w:t>
            </w:r>
          </w:p>
        </w:tc>
        <w:tc>
          <w:tcPr>
            <w:tcW w:w="713" w:type="dxa"/>
            <w:tcBorders>
              <w:top w:val="nil"/>
              <w:left w:val="nil"/>
              <w:bottom w:val="single" w:sz="4" w:space="0" w:color="auto"/>
              <w:right w:val="single" w:sz="4" w:space="0" w:color="auto"/>
            </w:tcBorders>
            <w:shd w:val="clear" w:color="auto" w:fill="auto"/>
            <w:noWrap/>
            <w:vAlign w:val="center"/>
            <w:hideMark/>
          </w:tcPr>
          <w:p w14:paraId="4F7030D6" w14:textId="7B623152"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87" w:type="dxa"/>
            <w:tcBorders>
              <w:top w:val="nil"/>
              <w:left w:val="nil"/>
              <w:bottom w:val="single" w:sz="4" w:space="0" w:color="auto"/>
              <w:right w:val="nil"/>
            </w:tcBorders>
            <w:shd w:val="clear" w:color="auto" w:fill="auto"/>
            <w:noWrap/>
            <w:vAlign w:val="bottom"/>
            <w:hideMark/>
          </w:tcPr>
          <w:p w14:paraId="1E0E60E7"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7 704</w:t>
            </w:r>
          </w:p>
        </w:tc>
        <w:tc>
          <w:tcPr>
            <w:tcW w:w="855" w:type="dxa"/>
            <w:tcBorders>
              <w:top w:val="nil"/>
              <w:left w:val="nil"/>
              <w:bottom w:val="single" w:sz="4" w:space="0" w:color="auto"/>
              <w:right w:val="single" w:sz="4" w:space="0" w:color="auto"/>
            </w:tcBorders>
            <w:shd w:val="clear" w:color="auto" w:fill="auto"/>
            <w:noWrap/>
            <w:vAlign w:val="center"/>
            <w:hideMark/>
          </w:tcPr>
          <w:p w14:paraId="28A84B9F" w14:textId="010B12F3"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5B69D419" w14:textId="6A643209"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100,8 %</w:t>
            </w:r>
          </w:p>
        </w:tc>
      </w:tr>
      <w:tr w:rsidR="00033A3F" w:rsidRPr="00033A3F" w14:paraId="60999325"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7CA1C18A"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156" w:type="dxa"/>
            <w:tcBorders>
              <w:top w:val="nil"/>
              <w:left w:val="nil"/>
              <w:bottom w:val="single" w:sz="4" w:space="0" w:color="auto"/>
              <w:right w:val="nil"/>
            </w:tcBorders>
            <w:shd w:val="clear" w:color="auto" w:fill="auto"/>
            <w:noWrap/>
            <w:vAlign w:val="bottom"/>
            <w:hideMark/>
          </w:tcPr>
          <w:p w14:paraId="648AB84D"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46 076</w:t>
            </w:r>
          </w:p>
        </w:tc>
        <w:tc>
          <w:tcPr>
            <w:tcW w:w="713" w:type="dxa"/>
            <w:tcBorders>
              <w:top w:val="nil"/>
              <w:left w:val="nil"/>
              <w:bottom w:val="single" w:sz="4" w:space="0" w:color="auto"/>
              <w:right w:val="nil"/>
            </w:tcBorders>
            <w:shd w:val="clear" w:color="auto" w:fill="auto"/>
            <w:noWrap/>
            <w:vAlign w:val="center"/>
            <w:hideMark/>
          </w:tcPr>
          <w:p w14:paraId="38CD54D7" w14:textId="20E2A702"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56" w:type="dxa"/>
            <w:tcBorders>
              <w:top w:val="nil"/>
              <w:left w:val="single" w:sz="4" w:space="0" w:color="auto"/>
              <w:bottom w:val="single" w:sz="4" w:space="0" w:color="auto"/>
              <w:right w:val="nil"/>
            </w:tcBorders>
            <w:shd w:val="clear" w:color="auto" w:fill="auto"/>
            <w:noWrap/>
            <w:vAlign w:val="bottom"/>
            <w:hideMark/>
          </w:tcPr>
          <w:p w14:paraId="383C810A"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46 504</w:t>
            </w:r>
          </w:p>
        </w:tc>
        <w:tc>
          <w:tcPr>
            <w:tcW w:w="713" w:type="dxa"/>
            <w:tcBorders>
              <w:top w:val="nil"/>
              <w:left w:val="nil"/>
              <w:bottom w:val="single" w:sz="4" w:space="0" w:color="auto"/>
              <w:right w:val="single" w:sz="4" w:space="0" w:color="auto"/>
            </w:tcBorders>
            <w:shd w:val="clear" w:color="auto" w:fill="auto"/>
            <w:noWrap/>
            <w:vAlign w:val="center"/>
            <w:hideMark/>
          </w:tcPr>
          <w:p w14:paraId="042F3AAC" w14:textId="322DAA15"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87" w:type="dxa"/>
            <w:tcBorders>
              <w:top w:val="nil"/>
              <w:left w:val="nil"/>
              <w:bottom w:val="single" w:sz="4" w:space="0" w:color="auto"/>
              <w:right w:val="nil"/>
            </w:tcBorders>
            <w:shd w:val="clear" w:color="auto" w:fill="auto"/>
            <w:noWrap/>
            <w:vAlign w:val="bottom"/>
            <w:hideMark/>
          </w:tcPr>
          <w:p w14:paraId="22EA8A64"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15 209</w:t>
            </w:r>
          </w:p>
        </w:tc>
        <w:tc>
          <w:tcPr>
            <w:tcW w:w="855" w:type="dxa"/>
            <w:tcBorders>
              <w:top w:val="nil"/>
              <w:left w:val="nil"/>
              <w:bottom w:val="single" w:sz="4" w:space="0" w:color="auto"/>
              <w:right w:val="single" w:sz="4" w:space="0" w:color="auto"/>
            </w:tcBorders>
            <w:shd w:val="clear" w:color="auto" w:fill="auto"/>
            <w:noWrap/>
            <w:vAlign w:val="center"/>
            <w:hideMark/>
          </w:tcPr>
          <w:p w14:paraId="1ACBD0C2" w14:textId="1CE2A902"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18145F52" w14:textId="5D54CAD4"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100,9 %</w:t>
            </w:r>
          </w:p>
        </w:tc>
      </w:tr>
      <w:tr w:rsidR="00033A3F" w:rsidRPr="00033A3F" w14:paraId="1E985DD7"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7EAEE1C8"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156" w:type="dxa"/>
            <w:tcBorders>
              <w:top w:val="nil"/>
              <w:left w:val="nil"/>
              <w:bottom w:val="single" w:sz="4" w:space="0" w:color="auto"/>
              <w:right w:val="nil"/>
            </w:tcBorders>
            <w:shd w:val="clear" w:color="auto" w:fill="auto"/>
            <w:noWrap/>
            <w:vAlign w:val="bottom"/>
            <w:hideMark/>
          </w:tcPr>
          <w:p w14:paraId="1618B2B7"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27 620</w:t>
            </w:r>
          </w:p>
        </w:tc>
        <w:tc>
          <w:tcPr>
            <w:tcW w:w="713" w:type="dxa"/>
            <w:tcBorders>
              <w:top w:val="nil"/>
              <w:left w:val="nil"/>
              <w:bottom w:val="single" w:sz="4" w:space="0" w:color="auto"/>
              <w:right w:val="nil"/>
            </w:tcBorders>
            <w:shd w:val="clear" w:color="auto" w:fill="auto"/>
            <w:noWrap/>
            <w:vAlign w:val="center"/>
            <w:hideMark/>
          </w:tcPr>
          <w:p w14:paraId="4C8CD01A" w14:textId="3E7A647E"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6" w:type="dxa"/>
            <w:tcBorders>
              <w:top w:val="nil"/>
              <w:left w:val="single" w:sz="4" w:space="0" w:color="auto"/>
              <w:bottom w:val="single" w:sz="4" w:space="0" w:color="auto"/>
              <w:right w:val="nil"/>
            </w:tcBorders>
            <w:shd w:val="clear" w:color="auto" w:fill="auto"/>
            <w:noWrap/>
            <w:vAlign w:val="bottom"/>
            <w:hideMark/>
          </w:tcPr>
          <w:p w14:paraId="51184312"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27 495</w:t>
            </w:r>
          </w:p>
        </w:tc>
        <w:tc>
          <w:tcPr>
            <w:tcW w:w="713" w:type="dxa"/>
            <w:tcBorders>
              <w:top w:val="nil"/>
              <w:left w:val="nil"/>
              <w:bottom w:val="single" w:sz="4" w:space="0" w:color="auto"/>
              <w:right w:val="single" w:sz="4" w:space="0" w:color="auto"/>
            </w:tcBorders>
            <w:shd w:val="clear" w:color="auto" w:fill="auto"/>
            <w:noWrap/>
            <w:vAlign w:val="center"/>
            <w:hideMark/>
          </w:tcPr>
          <w:p w14:paraId="2AD1EA46" w14:textId="786DFECA"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87" w:type="dxa"/>
            <w:tcBorders>
              <w:top w:val="nil"/>
              <w:left w:val="nil"/>
              <w:bottom w:val="single" w:sz="4" w:space="0" w:color="auto"/>
              <w:right w:val="nil"/>
            </w:tcBorders>
            <w:shd w:val="clear" w:color="auto" w:fill="auto"/>
            <w:noWrap/>
            <w:vAlign w:val="bottom"/>
            <w:hideMark/>
          </w:tcPr>
          <w:p w14:paraId="52154603"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8 427</w:t>
            </w:r>
          </w:p>
        </w:tc>
        <w:tc>
          <w:tcPr>
            <w:tcW w:w="855" w:type="dxa"/>
            <w:tcBorders>
              <w:top w:val="nil"/>
              <w:left w:val="nil"/>
              <w:bottom w:val="single" w:sz="4" w:space="0" w:color="auto"/>
              <w:right w:val="single" w:sz="4" w:space="0" w:color="auto"/>
            </w:tcBorders>
            <w:shd w:val="clear" w:color="auto" w:fill="auto"/>
            <w:noWrap/>
            <w:vAlign w:val="center"/>
            <w:hideMark/>
          </w:tcPr>
          <w:p w14:paraId="152BBEFA" w14:textId="2ED478C8"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540" w:type="dxa"/>
            <w:tcBorders>
              <w:top w:val="nil"/>
              <w:left w:val="nil"/>
              <w:bottom w:val="single" w:sz="4" w:space="0" w:color="auto"/>
              <w:right w:val="nil"/>
            </w:tcBorders>
            <w:shd w:val="clear" w:color="auto" w:fill="auto"/>
            <w:noWrap/>
            <w:vAlign w:val="center"/>
            <w:hideMark/>
          </w:tcPr>
          <w:p w14:paraId="4A4A4726" w14:textId="34C7527A"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99,5 %</w:t>
            </w:r>
          </w:p>
        </w:tc>
      </w:tr>
      <w:tr w:rsidR="00033A3F" w:rsidRPr="00033A3F" w14:paraId="3AD865EF"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5654BD32"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156" w:type="dxa"/>
            <w:tcBorders>
              <w:top w:val="nil"/>
              <w:left w:val="nil"/>
              <w:bottom w:val="single" w:sz="4" w:space="0" w:color="auto"/>
              <w:right w:val="nil"/>
            </w:tcBorders>
            <w:shd w:val="clear" w:color="auto" w:fill="auto"/>
            <w:noWrap/>
            <w:vAlign w:val="bottom"/>
            <w:hideMark/>
          </w:tcPr>
          <w:p w14:paraId="0BEB1AEF"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42 693</w:t>
            </w:r>
          </w:p>
        </w:tc>
        <w:tc>
          <w:tcPr>
            <w:tcW w:w="713" w:type="dxa"/>
            <w:tcBorders>
              <w:top w:val="nil"/>
              <w:left w:val="nil"/>
              <w:bottom w:val="single" w:sz="4" w:space="0" w:color="auto"/>
              <w:right w:val="nil"/>
            </w:tcBorders>
            <w:shd w:val="clear" w:color="auto" w:fill="auto"/>
            <w:noWrap/>
            <w:vAlign w:val="center"/>
            <w:hideMark/>
          </w:tcPr>
          <w:p w14:paraId="5574E84A" w14:textId="282A4BA0"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56" w:type="dxa"/>
            <w:tcBorders>
              <w:top w:val="nil"/>
              <w:left w:val="single" w:sz="4" w:space="0" w:color="auto"/>
              <w:bottom w:val="single" w:sz="4" w:space="0" w:color="auto"/>
              <w:right w:val="nil"/>
            </w:tcBorders>
            <w:shd w:val="clear" w:color="auto" w:fill="auto"/>
            <w:noWrap/>
            <w:vAlign w:val="bottom"/>
            <w:hideMark/>
          </w:tcPr>
          <w:p w14:paraId="010031D5"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43 182</w:t>
            </w:r>
          </w:p>
        </w:tc>
        <w:tc>
          <w:tcPr>
            <w:tcW w:w="713" w:type="dxa"/>
            <w:tcBorders>
              <w:top w:val="nil"/>
              <w:left w:val="nil"/>
              <w:bottom w:val="single" w:sz="4" w:space="0" w:color="auto"/>
              <w:right w:val="single" w:sz="4" w:space="0" w:color="auto"/>
            </w:tcBorders>
            <w:shd w:val="clear" w:color="auto" w:fill="auto"/>
            <w:noWrap/>
            <w:vAlign w:val="center"/>
            <w:hideMark/>
          </w:tcPr>
          <w:p w14:paraId="7F846EC6" w14:textId="79A41116"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87" w:type="dxa"/>
            <w:tcBorders>
              <w:top w:val="nil"/>
              <w:left w:val="nil"/>
              <w:bottom w:val="single" w:sz="4" w:space="0" w:color="auto"/>
              <w:right w:val="nil"/>
            </w:tcBorders>
            <w:shd w:val="clear" w:color="auto" w:fill="auto"/>
            <w:noWrap/>
            <w:vAlign w:val="bottom"/>
            <w:hideMark/>
          </w:tcPr>
          <w:p w14:paraId="169A9D31"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18 142</w:t>
            </w:r>
          </w:p>
        </w:tc>
        <w:tc>
          <w:tcPr>
            <w:tcW w:w="855" w:type="dxa"/>
            <w:tcBorders>
              <w:top w:val="nil"/>
              <w:left w:val="nil"/>
              <w:bottom w:val="single" w:sz="4" w:space="0" w:color="auto"/>
              <w:right w:val="single" w:sz="4" w:space="0" w:color="auto"/>
            </w:tcBorders>
            <w:shd w:val="clear" w:color="auto" w:fill="auto"/>
            <w:noWrap/>
            <w:vAlign w:val="center"/>
            <w:hideMark/>
          </w:tcPr>
          <w:p w14:paraId="448D182C" w14:textId="263082A3"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73E532BD" w14:textId="57897452"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101,1 %</w:t>
            </w:r>
          </w:p>
        </w:tc>
      </w:tr>
      <w:tr w:rsidR="00033A3F" w:rsidRPr="00033A3F" w14:paraId="67DAE0C7" w14:textId="77777777" w:rsidTr="00673337">
        <w:trPr>
          <w:trHeight w:val="330"/>
        </w:trPr>
        <w:tc>
          <w:tcPr>
            <w:tcW w:w="2020" w:type="dxa"/>
            <w:tcBorders>
              <w:top w:val="nil"/>
              <w:left w:val="nil"/>
              <w:bottom w:val="double" w:sz="6" w:space="0" w:color="auto"/>
              <w:right w:val="nil"/>
            </w:tcBorders>
            <w:shd w:val="clear" w:color="auto" w:fill="auto"/>
            <w:noWrap/>
            <w:vAlign w:val="bottom"/>
            <w:hideMark/>
          </w:tcPr>
          <w:p w14:paraId="1ACB639C"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156" w:type="dxa"/>
            <w:tcBorders>
              <w:top w:val="nil"/>
              <w:left w:val="nil"/>
              <w:bottom w:val="double" w:sz="6" w:space="0" w:color="auto"/>
              <w:right w:val="nil"/>
            </w:tcBorders>
            <w:shd w:val="clear" w:color="auto" w:fill="auto"/>
            <w:noWrap/>
            <w:vAlign w:val="bottom"/>
            <w:hideMark/>
          </w:tcPr>
          <w:p w14:paraId="07B90CBA"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52 516</w:t>
            </w:r>
          </w:p>
        </w:tc>
        <w:tc>
          <w:tcPr>
            <w:tcW w:w="713" w:type="dxa"/>
            <w:tcBorders>
              <w:top w:val="nil"/>
              <w:left w:val="nil"/>
              <w:bottom w:val="double" w:sz="6" w:space="0" w:color="auto"/>
              <w:right w:val="nil"/>
            </w:tcBorders>
            <w:shd w:val="clear" w:color="auto" w:fill="auto"/>
            <w:noWrap/>
            <w:vAlign w:val="center"/>
            <w:hideMark/>
          </w:tcPr>
          <w:p w14:paraId="6129DFC2" w14:textId="2E10749E"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56" w:type="dxa"/>
            <w:tcBorders>
              <w:top w:val="nil"/>
              <w:left w:val="single" w:sz="4" w:space="0" w:color="auto"/>
              <w:bottom w:val="double" w:sz="6" w:space="0" w:color="auto"/>
              <w:right w:val="nil"/>
            </w:tcBorders>
            <w:shd w:val="clear" w:color="auto" w:fill="auto"/>
            <w:noWrap/>
            <w:vAlign w:val="bottom"/>
            <w:hideMark/>
          </w:tcPr>
          <w:p w14:paraId="1E7A0B6B"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53 752</w:t>
            </w:r>
          </w:p>
        </w:tc>
        <w:tc>
          <w:tcPr>
            <w:tcW w:w="713" w:type="dxa"/>
            <w:tcBorders>
              <w:top w:val="nil"/>
              <w:left w:val="nil"/>
              <w:bottom w:val="double" w:sz="6" w:space="0" w:color="auto"/>
              <w:right w:val="single" w:sz="4" w:space="0" w:color="auto"/>
            </w:tcBorders>
            <w:shd w:val="clear" w:color="auto" w:fill="auto"/>
            <w:noWrap/>
            <w:vAlign w:val="center"/>
            <w:hideMark/>
          </w:tcPr>
          <w:p w14:paraId="4B14B79A" w14:textId="48569D3A"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87" w:type="dxa"/>
            <w:tcBorders>
              <w:top w:val="nil"/>
              <w:left w:val="nil"/>
              <w:bottom w:val="double" w:sz="6" w:space="0" w:color="auto"/>
              <w:right w:val="nil"/>
            </w:tcBorders>
            <w:shd w:val="clear" w:color="auto" w:fill="auto"/>
            <w:noWrap/>
            <w:vAlign w:val="bottom"/>
            <w:hideMark/>
          </w:tcPr>
          <w:p w14:paraId="74D45D78"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18 198</w:t>
            </w:r>
          </w:p>
        </w:tc>
        <w:tc>
          <w:tcPr>
            <w:tcW w:w="855" w:type="dxa"/>
            <w:tcBorders>
              <w:top w:val="nil"/>
              <w:left w:val="nil"/>
              <w:bottom w:val="double" w:sz="6" w:space="0" w:color="auto"/>
              <w:right w:val="single" w:sz="4" w:space="0" w:color="auto"/>
            </w:tcBorders>
            <w:shd w:val="clear" w:color="auto" w:fill="auto"/>
            <w:noWrap/>
            <w:vAlign w:val="center"/>
            <w:hideMark/>
          </w:tcPr>
          <w:p w14:paraId="1212AC39" w14:textId="3DDA8D04"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540" w:type="dxa"/>
            <w:tcBorders>
              <w:top w:val="nil"/>
              <w:left w:val="nil"/>
              <w:bottom w:val="nil"/>
              <w:right w:val="nil"/>
            </w:tcBorders>
            <w:shd w:val="clear" w:color="auto" w:fill="auto"/>
            <w:noWrap/>
            <w:vAlign w:val="center"/>
            <w:hideMark/>
          </w:tcPr>
          <w:p w14:paraId="7165C246" w14:textId="702E1B7A"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102,4 %</w:t>
            </w:r>
          </w:p>
        </w:tc>
      </w:tr>
      <w:tr w:rsidR="00033A3F" w:rsidRPr="00033A3F" w14:paraId="4E629D5F" w14:textId="77777777" w:rsidTr="00673337">
        <w:trPr>
          <w:trHeight w:val="345"/>
        </w:trPr>
        <w:tc>
          <w:tcPr>
            <w:tcW w:w="2020" w:type="dxa"/>
            <w:tcBorders>
              <w:top w:val="nil"/>
              <w:left w:val="nil"/>
              <w:bottom w:val="double" w:sz="6" w:space="0" w:color="auto"/>
              <w:right w:val="nil"/>
            </w:tcBorders>
            <w:shd w:val="clear" w:color="auto" w:fill="auto"/>
            <w:noWrap/>
            <w:vAlign w:val="bottom"/>
            <w:hideMark/>
          </w:tcPr>
          <w:p w14:paraId="52EE1B1E" w14:textId="77777777" w:rsidR="00291CB0" w:rsidRPr="00033A3F" w:rsidRDefault="00291CB0" w:rsidP="00291CB0">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56" w:type="dxa"/>
            <w:tcBorders>
              <w:top w:val="nil"/>
              <w:left w:val="nil"/>
              <w:bottom w:val="double" w:sz="6" w:space="0" w:color="auto"/>
              <w:right w:val="nil"/>
            </w:tcBorders>
            <w:shd w:val="clear" w:color="auto" w:fill="auto"/>
            <w:noWrap/>
            <w:vAlign w:val="bottom"/>
            <w:hideMark/>
          </w:tcPr>
          <w:p w14:paraId="13932C29"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299 530</w:t>
            </w:r>
          </w:p>
        </w:tc>
        <w:tc>
          <w:tcPr>
            <w:tcW w:w="713" w:type="dxa"/>
            <w:tcBorders>
              <w:top w:val="nil"/>
              <w:left w:val="nil"/>
              <w:bottom w:val="double" w:sz="6" w:space="0" w:color="auto"/>
              <w:right w:val="nil"/>
            </w:tcBorders>
            <w:shd w:val="clear" w:color="auto" w:fill="auto"/>
            <w:noWrap/>
            <w:vAlign w:val="center"/>
            <w:hideMark/>
          </w:tcPr>
          <w:p w14:paraId="1011E7B4" w14:textId="0460AF38" w:rsidR="00291CB0" w:rsidRPr="00033A3F" w:rsidRDefault="00291CB0" w:rsidP="0067333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156" w:type="dxa"/>
            <w:tcBorders>
              <w:top w:val="nil"/>
              <w:left w:val="single" w:sz="4" w:space="0" w:color="auto"/>
              <w:bottom w:val="double" w:sz="6" w:space="0" w:color="auto"/>
              <w:right w:val="nil"/>
            </w:tcBorders>
            <w:shd w:val="clear" w:color="auto" w:fill="auto"/>
            <w:noWrap/>
            <w:vAlign w:val="bottom"/>
            <w:hideMark/>
          </w:tcPr>
          <w:p w14:paraId="19F2B0D2"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303 862</w:t>
            </w:r>
          </w:p>
        </w:tc>
        <w:tc>
          <w:tcPr>
            <w:tcW w:w="713" w:type="dxa"/>
            <w:tcBorders>
              <w:top w:val="nil"/>
              <w:left w:val="nil"/>
              <w:bottom w:val="double" w:sz="6" w:space="0" w:color="auto"/>
              <w:right w:val="single" w:sz="4" w:space="0" w:color="auto"/>
            </w:tcBorders>
            <w:shd w:val="clear" w:color="auto" w:fill="auto"/>
            <w:noWrap/>
            <w:vAlign w:val="center"/>
            <w:hideMark/>
          </w:tcPr>
          <w:p w14:paraId="0E762642" w14:textId="0C2EA5E1" w:rsidR="00291CB0" w:rsidRPr="00033A3F" w:rsidRDefault="00291CB0" w:rsidP="0067333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c>
          <w:tcPr>
            <w:tcW w:w="987" w:type="dxa"/>
            <w:tcBorders>
              <w:top w:val="nil"/>
              <w:left w:val="nil"/>
              <w:bottom w:val="double" w:sz="6" w:space="0" w:color="auto"/>
              <w:right w:val="nil"/>
            </w:tcBorders>
            <w:shd w:val="clear" w:color="auto" w:fill="auto"/>
            <w:noWrap/>
            <w:vAlign w:val="bottom"/>
            <w:hideMark/>
          </w:tcPr>
          <w:p w14:paraId="65A66DC4"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99 213</w:t>
            </w:r>
          </w:p>
        </w:tc>
        <w:tc>
          <w:tcPr>
            <w:tcW w:w="855" w:type="dxa"/>
            <w:tcBorders>
              <w:top w:val="nil"/>
              <w:left w:val="nil"/>
              <w:bottom w:val="double" w:sz="6" w:space="0" w:color="auto"/>
              <w:right w:val="single" w:sz="4" w:space="0" w:color="auto"/>
            </w:tcBorders>
            <w:shd w:val="clear" w:color="auto" w:fill="auto"/>
            <w:noWrap/>
            <w:vAlign w:val="center"/>
            <w:hideMark/>
          </w:tcPr>
          <w:p w14:paraId="3CCDF675" w14:textId="749E547E" w:rsidR="00291CB0" w:rsidRPr="00033A3F" w:rsidRDefault="00291CB0" w:rsidP="0067333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540" w:type="dxa"/>
            <w:tcBorders>
              <w:top w:val="double" w:sz="6" w:space="0" w:color="auto"/>
              <w:left w:val="nil"/>
              <w:bottom w:val="double" w:sz="6" w:space="0" w:color="auto"/>
              <w:right w:val="nil"/>
            </w:tcBorders>
            <w:shd w:val="clear" w:color="auto" w:fill="auto"/>
            <w:noWrap/>
            <w:vAlign w:val="center"/>
            <w:hideMark/>
          </w:tcPr>
          <w:p w14:paraId="4474C2D1" w14:textId="5AF77C8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101,4 %</w:t>
            </w:r>
          </w:p>
        </w:tc>
      </w:tr>
      <w:tr w:rsidR="00033A3F" w:rsidRPr="00033A3F" w14:paraId="6CF83021" w14:textId="77777777" w:rsidTr="00992729">
        <w:trPr>
          <w:trHeight w:val="330"/>
        </w:trPr>
        <w:tc>
          <w:tcPr>
            <w:tcW w:w="2020" w:type="dxa"/>
            <w:tcBorders>
              <w:top w:val="nil"/>
              <w:left w:val="nil"/>
              <w:bottom w:val="nil"/>
              <w:right w:val="nil"/>
            </w:tcBorders>
            <w:shd w:val="clear" w:color="auto" w:fill="auto"/>
            <w:noWrap/>
            <w:vAlign w:val="bottom"/>
          </w:tcPr>
          <w:p w14:paraId="383C305C" w14:textId="77777777" w:rsidR="00291CB0" w:rsidRPr="00033A3F" w:rsidRDefault="00291CB0" w:rsidP="00291CB0">
            <w:pPr>
              <w:spacing w:line="240" w:lineRule="auto"/>
              <w:jc w:val="center"/>
              <w:rPr>
                <w:b/>
                <w:color w:val="000000" w:themeColor="text1"/>
              </w:rPr>
            </w:pPr>
          </w:p>
        </w:tc>
        <w:tc>
          <w:tcPr>
            <w:tcW w:w="1156" w:type="dxa"/>
            <w:tcBorders>
              <w:top w:val="nil"/>
              <w:left w:val="nil"/>
              <w:bottom w:val="nil"/>
              <w:right w:val="nil"/>
            </w:tcBorders>
            <w:shd w:val="clear" w:color="auto" w:fill="auto"/>
            <w:noWrap/>
            <w:vAlign w:val="bottom"/>
          </w:tcPr>
          <w:p w14:paraId="78181402" w14:textId="77777777" w:rsidR="00291CB0" w:rsidRPr="00033A3F" w:rsidRDefault="00291CB0" w:rsidP="00291CB0">
            <w:pPr>
              <w:spacing w:line="240" w:lineRule="auto"/>
              <w:jc w:val="left"/>
              <w:rPr>
                <w:rFonts w:ascii="Times New Roman" w:hAnsi="Times New Roman"/>
                <w:color w:val="000000" w:themeColor="text1"/>
                <w:sz w:val="20"/>
              </w:rPr>
            </w:pPr>
          </w:p>
        </w:tc>
        <w:tc>
          <w:tcPr>
            <w:tcW w:w="713" w:type="dxa"/>
            <w:tcBorders>
              <w:top w:val="nil"/>
              <w:left w:val="nil"/>
              <w:bottom w:val="nil"/>
              <w:right w:val="nil"/>
            </w:tcBorders>
            <w:shd w:val="clear" w:color="auto" w:fill="auto"/>
            <w:noWrap/>
            <w:vAlign w:val="bottom"/>
          </w:tcPr>
          <w:p w14:paraId="4EC481B8" w14:textId="77777777" w:rsidR="00291CB0" w:rsidRPr="00033A3F" w:rsidRDefault="00291CB0" w:rsidP="00291CB0">
            <w:pPr>
              <w:spacing w:line="240" w:lineRule="auto"/>
              <w:jc w:val="left"/>
              <w:rPr>
                <w:rFonts w:ascii="Times New Roman" w:hAnsi="Times New Roman"/>
                <w:color w:val="000000" w:themeColor="text1"/>
                <w:sz w:val="20"/>
              </w:rPr>
            </w:pPr>
          </w:p>
        </w:tc>
        <w:tc>
          <w:tcPr>
            <w:tcW w:w="1156" w:type="dxa"/>
            <w:tcBorders>
              <w:top w:val="nil"/>
              <w:left w:val="nil"/>
              <w:bottom w:val="nil"/>
              <w:right w:val="nil"/>
            </w:tcBorders>
            <w:shd w:val="clear" w:color="auto" w:fill="auto"/>
            <w:noWrap/>
            <w:vAlign w:val="bottom"/>
          </w:tcPr>
          <w:p w14:paraId="63B14662" w14:textId="77777777" w:rsidR="00291CB0" w:rsidRPr="00033A3F" w:rsidRDefault="00291CB0" w:rsidP="00291CB0">
            <w:pPr>
              <w:spacing w:line="240" w:lineRule="auto"/>
              <w:jc w:val="left"/>
              <w:rPr>
                <w:rFonts w:ascii="Times New Roman" w:hAnsi="Times New Roman"/>
                <w:color w:val="000000" w:themeColor="text1"/>
                <w:sz w:val="20"/>
              </w:rPr>
            </w:pPr>
          </w:p>
        </w:tc>
        <w:tc>
          <w:tcPr>
            <w:tcW w:w="713" w:type="dxa"/>
            <w:tcBorders>
              <w:top w:val="nil"/>
              <w:left w:val="nil"/>
              <w:bottom w:val="nil"/>
              <w:right w:val="nil"/>
            </w:tcBorders>
            <w:shd w:val="clear" w:color="auto" w:fill="auto"/>
            <w:noWrap/>
            <w:vAlign w:val="bottom"/>
          </w:tcPr>
          <w:p w14:paraId="22E615F0" w14:textId="77777777" w:rsidR="00291CB0" w:rsidRPr="00033A3F" w:rsidRDefault="00291CB0" w:rsidP="00291CB0">
            <w:pPr>
              <w:spacing w:line="240" w:lineRule="auto"/>
              <w:jc w:val="left"/>
              <w:rPr>
                <w:rFonts w:ascii="Times New Roman" w:hAnsi="Times New Roman"/>
                <w:color w:val="000000" w:themeColor="text1"/>
                <w:sz w:val="20"/>
              </w:rPr>
            </w:pPr>
          </w:p>
        </w:tc>
        <w:tc>
          <w:tcPr>
            <w:tcW w:w="987" w:type="dxa"/>
            <w:tcBorders>
              <w:top w:val="nil"/>
              <w:left w:val="nil"/>
              <w:bottom w:val="nil"/>
              <w:right w:val="nil"/>
            </w:tcBorders>
            <w:shd w:val="clear" w:color="auto" w:fill="auto"/>
            <w:noWrap/>
            <w:vAlign w:val="bottom"/>
          </w:tcPr>
          <w:p w14:paraId="6FE46716" w14:textId="77777777" w:rsidR="00291CB0" w:rsidRPr="00033A3F" w:rsidRDefault="00291CB0" w:rsidP="00291CB0">
            <w:pPr>
              <w:spacing w:line="240" w:lineRule="auto"/>
              <w:jc w:val="left"/>
              <w:rPr>
                <w:rFonts w:ascii="Times New Roman" w:hAnsi="Times New Roman"/>
                <w:color w:val="000000" w:themeColor="text1"/>
                <w:sz w:val="20"/>
              </w:rPr>
            </w:pPr>
          </w:p>
        </w:tc>
        <w:tc>
          <w:tcPr>
            <w:tcW w:w="855" w:type="dxa"/>
            <w:tcBorders>
              <w:top w:val="nil"/>
              <w:left w:val="nil"/>
              <w:bottom w:val="nil"/>
              <w:right w:val="nil"/>
            </w:tcBorders>
            <w:shd w:val="clear" w:color="auto" w:fill="auto"/>
            <w:noWrap/>
            <w:vAlign w:val="bottom"/>
          </w:tcPr>
          <w:p w14:paraId="28539B19" w14:textId="77777777" w:rsidR="00291CB0" w:rsidRPr="00033A3F" w:rsidRDefault="00291CB0" w:rsidP="00291CB0">
            <w:pPr>
              <w:spacing w:line="240" w:lineRule="auto"/>
              <w:jc w:val="left"/>
              <w:rPr>
                <w:rFonts w:ascii="Times New Roman" w:hAnsi="Times New Roman"/>
                <w:color w:val="000000" w:themeColor="text1"/>
                <w:sz w:val="20"/>
              </w:rPr>
            </w:pPr>
          </w:p>
        </w:tc>
        <w:tc>
          <w:tcPr>
            <w:tcW w:w="1540" w:type="dxa"/>
            <w:tcBorders>
              <w:top w:val="nil"/>
              <w:left w:val="nil"/>
              <w:bottom w:val="nil"/>
              <w:right w:val="nil"/>
            </w:tcBorders>
            <w:shd w:val="clear" w:color="auto" w:fill="auto"/>
            <w:noWrap/>
            <w:vAlign w:val="bottom"/>
          </w:tcPr>
          <w:p w14:paraId="2A71DB56" w14:textId="77777777" w:rsidR="00291CB0" w:rsidRPr="00033A3F" w:rsidRDefault="00291CB0" w:rsidP="00291CB0">
            <w:pPr>
              <w:spacing w:line="240" w:lineRule="auto"/>
              <w:jc w:val="left"/>
              <w:rPr>
                <w:rFonts w:ascii="Times New Roman" w:hAnsi="Times New Roman"/>
                <w:color w:val="000000" w:themeColor="text1"/>
                <w:sz w:val="20"/>
              </w:rPr>
            </w:pPr>
          </w:p>
        </w:tc>
      </w:tr>
    </w:tbl>
    <w:p w14:paraId="61338245" w14:textId="4AE39FC2" w:rsidR="00291CB0" w:rsidRPr="00033A3F" w:rsidRDefault="00291CB0" w:rsidP="00BF0CC3">
      <w:pPr>
        <w:pStyle w:val="OdstavecASR"/>
        <w:rPr>
          <w:color w:val="000000" w:themeColor="text1"/>
        </w:rPr>
      </w:pPr>
      <w:r w:rsidRPr="00033A3F">
        <w:rPr>
          <w:color w:val="000000" w:themeColor="text1"/>
        </w:rPr>
        <w:t xml:space="preserve">V tabulce výše vidíme, že nejvyšší míru vyřizování vykázaly </w:t>
      </w:r>
      <w:r w:rsidR="00C94559" w:rsidRPr="00033A3F">
        <w:rPr>
          <w:color w:val="000000" w:themeColor="text1"/>
        </w:rPr>
        <w:t xml:space="preserve">opět </w:t>
      </w:r>
      <w:r w:rsidRPr="00033A3F">
        <w:rPr>
          <w:color w:val="000000" w:themeColor="text1"/>
        </w:rPr>
        <w:t>soudy v Praze – 10</w:t>
      </w:r>
      <w:r w:rsidR="001A080C" w:rsidRPr="00033A3F">
        <w:rPr>
          <w:color w:val="000000" w:themeColor="text1"/>
        </w:rPr>
        <w:t>5</w:t>
      </w:r>
      <w:r w:rsidRPr="00033A3F">
        <w:rPr>
          <w:color w:val="000000" w:themeColor="text1"/>
        </w:rPr>
        <w:t>,</w:t>
      </w:r>
      <w:r w:rsidR="001A080C" w:rsidRPr="00033A3F">
        <w:rPr>
          <w:color w:val="000000" w:themeColor="text1"/>
        </w:rPr>
        <w:t>7</w:t>
      </w:r>
      <w:r w:rsidRPr="00033A3F">
        <w:rPr>
          <w:color w:val="000000" w:themeColor="text1"/>
        </w:rPr>
        <w:t xml:space="preserve"> %</w:t>
      </w:r>
      <w:r w:rsidR="00C94559" w:rsidRPr="00033A3F">
        <w:rPr>
          <w:color w:val="000000" w:themeColor="text1"/>
        </w:rPr>
        <w:t xml:space="preserve"> a to již čtvrtý rok za sebou</w:t>
      </w:r>
      <w:r w:rsidRPr="00033A3F">
        <w:rPr>
          <w:color w:val="000000" w:themeColor="text1"/>
        </w:rPr>
        <w:t>. V</w:t>
      </w:r>
      <w:r w:rsidR="001A080C" w:rsidRPr="00033A3F">
        <w:rPr>
          <w:color w:val="000000" w:themeColor="text1"/>
        </w:rPr>
        <w:t xml:space="preserve"> pěti z osmi krajů byly míra vyřizování přes 100 </w:t>
      </w:r>
      <w:r w:rsidRPr="00033A3F">
        <w:rPr>
          <w:color w:val="000000" w:themeColor="text1"/>
        </w:rPr>
        <w:t>%. I tato data ukazují, že situace v civilní agendě se povětšinou velmi mírně zlepšuje nebo zůstává víceméně stabilní.</w:t>
      </w:r>
    </w:p>
    <w:p w14:paraId="3F3D3D5E" w14:textId="77777777" w:rsidR="00291CB0" w:rsidRPr="00033A3F" w:rsidRDefault="00291CB0" w:rsidP="00BF0CC3">
      <w:pPr>
        <w:pStyle w:val="OdstavecASR"/>
        <w:rPr>
          <w:color w:val="000000" w:themeColor="text1"/>
        </w:rPr>
      </w:pPr>
      <w:r w:rsidRPr="00033A3F">
        <w:rPr>
          <w:color w:val="000000" w:themeColor="text1"/>
        </w:rPr>
        <w:t>Počet napadlých, vyřízených a částečně i nevyřízených věcí se odvíjí od velikosti soudu. Nelze proto nijak porovnávat zatížení a výkonnost soudů bez toho, že budou data normalizována, tedy dokud nebude zohledněna velikost soudů. K tomu slouží dvě následující části této kapitoly. Z tohoto důvodu dále nezkoumáme jednotlivé okresní soudy pomocí kartogramu a krabicového grafu.</w:t>
      </w:r>
    </w:p>
    <w:p w14:paraId="36143133" w14:textId="43C523E5" w:rsidR="00E62233" w:rsidRPr="00033A3F" w:rsidRDefault="00E62233" w:rsidP="00E62233">
      <w:pPr>
        <w:pStyle w:val="Nadpis3"/>
        <w:numPr>
          <w:ilvl w:val="2"/>
          <w:numId w:val="1"/>
        </w:numPr>
        <w:rPr>
          <w:color w:val="000000" w:themeColor="text1"/>
        </w:rPr>
      </w:pPr>
      <w:bookmarkStart w:id="271" w:name="_Toc515871223"/>
      <w:bookmarkStart w:id="272" w:name="_Toc106092720"/>
      <w:bookmarkStart w:id="273" w:name="_Toc169250804"/>
      <w:bookmarkStart w:id="274" w:name="_Toc193530965"/>
      <w:bookmarkStart w:id="275" w:name="_Toc193957022"/>
      <w:bookmarkStart w:id="276" w:name="_Toc203032712"/>
      <w:bookmarkStart w:id="277" w:name="_Ref509226700"/>
      <w:bookmarkStart w:id="278" w:name="_Toc515871441"/>
      <w:bookmarkStart w:id="279" w:name="_Toc11133210"/>
      <w:bookmarkStart w:id="280" w:name="_Toc43931183"/>
      <w:bookmarkStart w:id="281" w:name="_Toc75952313"/>
      <w:bookmarkStart w:id="282" w:name="_Toc106106772"/>
      <w:r w:rsidRPr="00033A3F">
        <w:rPr>
          <w:color w:val="000000" w:themeColor="text1"/>
        </w:rPr>
        <w:t>Vyřizování věcí v přepočtu na soudce</w:t>
      </w:r>
      <w:bookmarkEnd w:id="271"/>
      <w:bookmarkEnd w:id="272"/>
      <w:bookmarkEnd w:id="273"/>
      <w:bookmarkEnd w:id="274"/>
      <w:bookmarkEnd w:id="275"/>
      <w:bookmarkEnd w:id="276"/>
    </w:p>
    <w:p w14:paraId="7FF3888A" w14:textId="77777777" w:rsidR="001A080C" w:rsidRPr="00033A3F" w:rsidRDefault="001A080C" w:rsidP="00BF0CC3">
      <w:pPr>
        <w:pStyle w:val="OdstavecASR"/>
        <w:rPr>
          <w:color w:val="000000" w:themeColor="text1"/>
        </w:rPr>
      </w:pPr>
      <w:r w:rsidRPr="00033A3F">
        <w:rPr>
          <w:color w:val="000000" w:themeColor="text1"/>
        </w:rPr>
        <w:t xml:space="preserve">Ministerstvo spravedlnosti má od roku 2020 k dispozici přesnější data o počtu soudců, konkrétně data o skutečném počtu úvazků, která budou využita pro přepočet. Skutečný počet úvazků je získáván dotazníkovým šetřením u soudů a zahrnuje pouze soudce, kteří danou agendu v příslušném roce reálně vyřizovali. Na rozdíl od evidenčního počtu soudců nejsou zahrnuti dlouhodobě nepřítomní soudci </w:t>
      </w:r>
      <w:r w:rsidRPr="00033A3F">
        <w:rPr>
          <w:color w:val="000000" w:themeColor="text1"/>
          <w:sz w:val="26"/>
          <w:szCs w:val="24"/>
        </w:rPr>
        <w:t>[</w:t>
      </w:r>
      <w:r w:rsidRPr="00033A3F">
        <w:rPr>
          <w:color w:val="000000" w:themeColor="text1"/>
        </w:rPr>
        <w:t>na MD/RD, dlouhodobě nemocní, dočasně zproštěni výkonu funkce soudce (§ 99, 100 a 100a zák. č. 6/2002 Sb.) nebo soudci dočasně přeložení k jinému soudu (stáž)]. Údaje jsou s přesností na desetinu soudce a jsou podrobněji členěny dle úseků a agendy, které se věnují.</w:t>
      </w:r>
    </w:p>
    <w:p w14:paraId="3CCA10F1" w14:textId="77777777" w:rsidR="001A080C" w:rsidRPr="00033A3F" w:rsidRDefault="001A080C" w:rsidP="00BF0CC3">
      <w:pPr>
        <w:pStyle w:val="OdstavecASR"/>
        <w:rPr>
          <w:color w:val="000000" w:themeColor="text1"/>
        </w:rPr>
      </w:pPr>
      <w:r w:rsidRPr="00033A3F">
        <w:rPr>
          <w:color w:val="000000" w:themeColor="text1"/>
        </w:rPr>
        <w:t>Tato data byla poprvé sbírána k lednu 2020 a nejsou tedy k dispozici v dlouhých časových řadách. Jejich výrazným přínosem je jejich podstatně vyšší přesnost, protože:</w:t>
      </w:r>
    </w:p>
    <w:p w14:paraId="2EF8BC4D" w14:textId="77777777" w:rsidR="001A080C" w:rsidRPr="00033A3F" w:rsidRDefault="001A080C" w:rsidP="001A080C">
      <w:pPr>
        <w:pStyle w:val="Odstavecseseznamem"/>
        <w:numPr>
          <w:ilvl w:val="0"/>
          <w:numId w:val="12"/>
        </w:numPr>
        <w:rPr>
          <w:color w:val="000000" w:themeColor="text1"/>
        </w:rPr>
      </w:pPr>
      <w:r w:rsidRPr="00033A3F">
        <w:rPr>
          <w:color w:val="000000" w:themeColor="text1"/>
        </w:rPr>
        <w:t>Umožňují srovnání nejen relativních údajů mezi jednotlivými soudy, ale výrazně přesnější jsou nyní i absolutní čísla, byť se stále jedná o aproximaci. Především rozlišení opatrovnických soudců výpočet výrazně zpřesnilo. Rovněž fakt, že v počtu nejsou započteni například dlouhodobě nemocní soudci, částečně předsedové a místopředsedové soudů, a především soudkyně či soudci na rodičovské/mateřské dovolené, údaje dále zkvalitňuje.</w:t>
      </w:r>
    </w:p>
    <w:p w14:paraId="175CAC25" w14:textId="77777777" w:rsidR="001A080C" w:rsidRPr="00033A3F" w:rsidRDefault="001A080C" w:rsidP="001A080C">
      <w:pPr>
        <w:pStyle w:val="Odstavecseseznamem"/>
        <w:numPr>
          <w:ilvl w:val="0"/>
          <w:numId w:val="12"/>
        </w:numPr>
        <w:rPr>
          <w:color w:val="000000" w:themeColor="text1"/>
        </w:rPr>
      </w:pPr>
      <w:r w:rsidRPr="00033A3F">
        <w:rPr>
          <w:color w:val="000000" w:themeColor="text1"/>
        </w:rPr>
        <w:t>I samotné relativní srovnání mezi soudy a kraji je přesnější. Především na úrovni soudců se v datech lépe promítnou například dlouhodobé absence.</w:t>
      </w:r>
    </w:p>
    <w:p w14:paraId="3C1CE28B" w14:textId="77777777" w:rsidR="001A080C" w:rsidRPr="00033A3F" w:rsidRDefault="001A080C" w:rsidP="00BF0CC3">
      <w:pPr>
        <w:pStyle w:val="OdstavecASR"/>
        <w:rPr>
          <w:color w:val="000000" w:themeColor="text1"/>
        </w:rPr>
      </w:pPr>
      <w:r w:rsidRPr="00033A3F">
        <w:rPr>
          <w:color w:val="000000" w:themeColor="text1"/>
        </w:rPr>
        <w:lastRenderedPageBreak/>
        <w:t>Je třeba zdůraznit, že i přes výše uvedené přepočet na soudce není relevantním ukazatelem pro sledování pracovního vytížení jednotlivých soudců. Jak bylo zmíněno v úvodu této části, soudci civilního úseku totiž vyřizují i jiné (vedlejší) agendy, než (hlavní) agendu C, a přepočet na úvazky tak nepostihuje všechny rozhodované věci; stejně tak samotný počet rozhodnutých věcí v agendě nezohledňuje eventuální rozdíly v jejich obtížnosti. Data ale mají vypovídající hodnotu pro relativní srovnání mezi soudy a zejména mezi jednotlivými roky.</w:t>
      </w:r>
    </w:p>
    <w:p w14:paraId="57555625" w14:textId="1E4A3919" w:rsidR="000310DC" w:rsidRPr="00033A3F" w:rsidRDefault="001A080C" w:rsidP="001A080C">
      <w:pPr>
        <w:pStyle w:val="Podnadpis"/>
        <w:rPr>
          <w:color w:val="000000" w:themeColor="text1"/>
        </w:rPr>
      </w:pPr>
      <w:bookmarkStart w:id="283" w:name="_Toc75952314"/>
      <w:bookmarkStart w:id="284" w:name="_Toc106106773"/>
      <w:bookmarkStart w:id="285" w:name="_Toc144104250"/>
      <w:bookmarkStart w:id="286" w:name="_Toc169251067"/>
      <w:bookmarkStart w:id="287" w:name="_Toc174080753"/>
      <w:bookmarkStart w:id="288" w:name="_Toc193530888"/>
      <w:bookmarkStart w:id="289" w:name="_Toc194045583"/>
      <w:bookmarkStart w:id="290" w:name="_Toc199494992"/>
      <w:bookmarkStart w:id="291" w:name="_Toc203033052"/>
      <w:bookmarkStart w:id="292" w:name="_Toc20303313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10</w:t>
      </w:r>
      <w:r w:rsidRPr="00033A3F">
        <w:rPr>
          <w:noProof/>
          <w:color w:val="000000" w:themeColor="text1"/>
        </w:rPr>
        <w:fldChar w:fldCharType="end"/>
      </w:r>
      <w:r w:rsidRPr="00033A3F">
        <w:rPr>
          <w:color w:val="000000" w:themeColor="text1"/>
        </w:rPr>
        <w:t>: OS – vyřizování civilních věcí na skutečný úvazek dle krajů</w:t>
      </w:r>
      <w:bookmarkEnd w:id="283"/>
      <w:bookmarkEnd w:id="284"/>
      <w:bookmarkEnd w:id="285"/>
      <w:r w:rsidRPr="00033A3F">
        <w:rPr>
          <w:color w:val="000000" w:themeColor="text1"/>
        </w:rPr>
        <w:t>, 202</w:t>
      </w:r>
      <w:bookmarkEnd w:id="286"/>
      <w:bookmarkEnd w:id="287"/>
      <w:r w:rsidRPr="00033A3F">
        <w:rPr>
          <w:color w:val="000000" w:themeColor="text1"/>
        </w:rPr>
        <w:t>4</w:t>
      </w:r>
      <w:bookmarkEnd w:id="288"/>
      <w:bookmarkEnd w:id="289"/>
      <w:bookmarkEnd w:id="290"/>
      <w:bookmarkEnd w:id="291"/>
      <w:bookmarkEnd w:id="292"/>
    </w:p>
    <w:tbl>
      <w:tblPr>
        <w:tblW w:w="9214" w:type="dxa"/>
        <w:tblCellMar>
          <w:left w:w="70" w:type="dxa"/>
          <w:right w:w="70" w:type="dxa"/>
        </w:tblCellMar>
        <w:tblLook w:val="04A0" w:firstRow="1" w:lastRow="0" w:firstColumn="1" w:lastColumn="0" w:noHBand="0" w:noVBand="1"/>
      </w:tblPr>
      <w:tblGrid>
        <w:gridCol w:w="1820"/>
        <w:gridCol w:w="1157"/>
        <w:gridCol w:w="1276"/>
        <w:gridCol w:w="709"/>
        <w:gridCol w:w="1417"/>
        <w:gridCol w:w="709"/>
        <w:gridCol w:w="1417"/>
        <w:gridCol w:w="709"/>
      </w:tblGrid>
      <w:tr w:rsidR="000310DC" w:rsidRPr="000310DC" w14:paraId="5AA6F0C3" w14:textId="77777777" w:rsidTr="0057327F">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7FD6BCC1" w14:textId="77777777" w:rsidR="000310DC" w:rsidRPr="000310DC" w:rsidRDefault="000310DC" w:rsidP="000310DC">
            <w:pPr>
              <w:spacing w:line="240" w:lineRule="auto"/>
              <w:jc w:val="left"/>
              <w:rPr>
                <w:rFonts w:eastAsia="Times New Roman"/>
                <w:b/>
                <w:bCs/>
                <w:color w:val="000000"/>
                <w:szCs w:val="24"/>
                <w:lang w:eastAsia="cs-CZ"/>
              </w:rPr>
            </w:pPr>
            <w:r w:rsidRPr="000310DC">
              <w:rPr>
                <w:rFonts w:eastAsia="Times New Roman"/>
                <w:b/>
                <w:bCs/>
                <w:color w:val="000000"/>
                <w:szCs w:val="24"/>
                <w:lang w:eastAsia="cs-CZ"/>
              </w:rPr>
              <w:t>Nadřízený soud</w:t>
            </w:r>
          </w:p>
        </w:tc>
        <w:tc>
          <w:tcPr>
            <w:tcW w:w="1157" w:type="dxa"/>
            <w:vMerge w:val="restart"/>
            <w:tcBorders>
              <w:top w:val="double" w:sz="6" w:space="0" w:color="auto"/>
              <w:left w:val="nil"/>
              <w:bottom w:val="double" w:sz="6" w:space="0" w:color="000000"/>
              <w:right w:val="nil"/>
            </w:tcBorders>
            <w:shd w:val="clear" w:color="auto" w:fill="auto"/>
            <w:noWrap/>
            <w:vAlign w:val="center"/>
            <w:hideMark/>
          </w:tcPr>
          <w:p w14:paraId="6C1426DB"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Počet úvazků</w:t>
            </w:r>
          </w:p>
        </w:tc>
        <w:tc>
          <w:tcPr>
            <w:tcW w:w="6237" w:type="dxa"/>
            <w:gridSpan w:val="6"/>
            <w:tcBorders>
              <w:top w:val="double" w:sz="6" w:space="0" w:color="auto"/>
              <w:left w:val="nil"/>
              <w:bottom w:val="nil"/>
              <w:right w:val="nil"/>
            </w:tcBorders>
            <w:shd w:val="clear" w:color="auto" w:fill="auto"/>
            <w:noWrap/>
            <w:vAlign w:val="center"/>
            <w:hideMark/>
          </w:tcPr>
          <w:p w14:paraId="5C238B61"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Počet věcí na úvazek</w:t>
            </w:r>
          </w:p>
        </w:tc>
      </w:tr>
      <w:tr w:rsidR="000310DC" w:rsidRPr="000310DC" w14:paraId="3E167A79" w14:textId="77777777" w:rsidTr="0057327F">
        <w:trPr>
          <w:trHeight w:val="330"/>
        </w:trPr>
        <w:tc>
          <w:tcPr>
            <w:tcW w:w="1820" w:type="dxa"/>
            <w:vMerge/>
            <w:tcBorders>
              <w:top w:val="double" w:sz="6" w:space="0" w:color="auto"/>
              <w:left w:val="nil"/>
              <w:bottom w:val="double" w:sz="6" w:space="0" w:color="000000"/>
              <w:right w:val="nil"/>
            </w:tcBorders>
            <w:vAlign w:val="center"/>
            <w:hideMark/>
          </w:tcPr>
          <w:p w14:paraId="516F5197" w14:textId="77777777" w:rsidR="000310DC" w:rsidRPr="000310DC" w:rsidRDefault="000310DC" w:rsidP="000310DC">
            <w:pPr>
              <w:spacing w:line="240" w:lineRule="auto"/>
              <w:jc w:val="left"/>
              <w:rPr>
                <w:rFonts w:eastAsia="Times New Roman"/>
                <w:b/>
                <w:bCs/>
                <w:color w:val="000000"/>
                <w:szCs w:val="24"/>
                <w:lang w:eastAsia="cs-CZ"/>
              </w:rPr>
            </w:pPr>
          </w:p>
        </w:tc>
        <w:tc>
          <w:tcPr>
            <w:tcW w:w="1157" w:type="dxa"/>
            <w:vMerge/>
            <w:tcBorders>
              <w:top w:val="double" w:sz="6" w:space="0" w:color="auto"/>
              <w:left w:val="nil"/>
              <w:bottom w:val="double" w:sz="6" w:space="0" w:color="000000"/>
              <w:right w:val="nil"/>
            </w:tcBorders>
            <w:vAlign w:val="center"/>
            <w:hideMark/>
          </w:tcPr>
          <w:p w14:paraId="3699E526" w14:textId="77777777" w:rsidR="000310DC" w:rsidRPr="000310DC" w:rsidRDefault="000310DC" w:rsidP="000310DC">
            <w:pPr>
              <w:spacing w:line="240" w:lineRule="auto"/>
              <w:jc w:val="left"/>
              <w:rPr>
                <w:rFonts w:eastAsia="Times New Roman"/>
                <w:b/>
                <w:bCs/>
                <w:color w:val="000000"/>
                <w:szCs w:val="24"/>
                <w:lang w:eastAsia="cs-CZ"/>
              </w:rPr>
            </w:pPr>
          </w:p>
        </w:tc>
        <w:tc>
          <w:tcPr>
            <w:tcW w:w="1985" w:type="dxa"/>
            <w:gridSpan w:val="2"/>
            <w:tcBorders>
              <w:top w:val="nil"/>
              <w:left w:val="nil"/>
              <w:bottom w:val="double" w:sz="6" w:space="0" w:color="auto"/>
              <w:right w:val="nil"/>
            </w:tcBorders>
            <w:shd w:val="clear" w:color="auto" w:fill="auto"/>
            <w:noWrap/>
            <w:vAlign w:val="center"/>
            <w:hideMark/>
          </w:tcPr>
          <w:p w14:paraId="48F8ADBC"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Nápad + obživlé věci</w:t>
            </w:r>
          </w:p>
        </w:tc>
        <w:tc>
          <w:tcPr>
            <w:tcW w:w="212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72DD15A"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Vyřízeno</w:t>
            </w:r>
          </w:p>
        </w:tc>
        <w:tc>
          <w:tcPr>
            <w:tcW w:w="2126" w:type="dxa"/>
            <w:gridSpan w:val="2"/>
            <w:tcBorders>
              <w:top w:val="nil"/>
              <w:left w:val="nil"/>
              <w:bottom w:val="double" w:sz="6" w:space="0" w:color="auto"/>
              <w:right w:val="nil"/>
            </w:tcBorders>
            <w:shd w:val="clear" w:color="auto" w:fill="auto"/>
            <w:noWrap/>
            <w:vAlign w:val="center"/>
            <w:hideMark/>
          </w:tcPr>
          <w:p w14:paraId="03C52B30"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Nevyřízeno</w:t>
            </w:r>
          </w:p>
        </w:tc>
      </w:tr>
      <w:tr w:rsidR="000310DC" w:rsidRPr="000310DC" w14:paraId="35E2AD93" w14:textId="77777777" w:rsidTr="0057327F">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7F6549F9"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MS Praha</w:t>
            </w:r>
          </w:p>
        </w:tc>
        <w:tc>
          <w:tcPr>
            <w:tcW w:w="1157" w:type="dxa"/>
            <w:tcBorders>
              <w:top w:val="single" w:sz="4" w:space="0" w:color="auto"/>
              <w:left w:val="nil"/>
              <w:bottom w:val="single" w:sz="4" w:space="0" w:color="auto"/>
              <w:right w:val="nil"/>
            </w:tcBorders>
            <w:shd w:val="clear" w:color="auto" w:fill="auto"/>
            <w:noWrap/>
            <w:vAlign w:val="bottom"/>
            <w:hideMark/>
          </w:tcPr>
          <w:p w14:paraId="6BD3C360" w14:textId="176A6C8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161</w:t>
            </w:r>
            <w:r>
              <w:rPr>
                <w:rFonts w:eastAsia="Times New Roman"/>
                <w:color w:val="000000"/>
                <w:szCs w:val="24"/>
                <w:lang w:eastAsia="cs-CZ"/>
              </w:rPr>
              <w:t>,</w:t>
            </w:r>
            <w:r w:rsidRPr="000310DC">
              <w:rPr>
                <w:rFonts w:eastAsia="Times New Roman"/>
                <w:color w:val="000000"/>
                <w:szCs w:val="24"/>
                <w:lang w:eastAsia="cs-CZ"/>
              </w:rPr>
              <w:t>35</w:t>
            </w:r>
          </w:p>
        </w:tc>
        <w:tc>
          <w:tcPr>
            <w:tcW w:w="1276" w:type="dxa"/>
            <w:tcBorders>
              <w:top w:val="single" w:sz="4" w:space="0" w:color="auto"/>
              <w:left w:val="nil"/>
              <w:bottom w:val="single" w:sz="4" w:space="0" w:color="auto"/>
              <w:right w:val="nil"/>
            </w:tcBorders>
            <w:shd w:val="clear" w:color="auto" w:fill="auto"/>
            <w:noWrap/>
            <w:vAlign w:val="bottom"/>
            <w:hideMark/>
          </w:tcPr>
          <w:p w14:paraId="35FB25B3" w14:textId="04C42E3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308</w:t>
            </w:r>
            <w:r>
              <w:rPr>
                <w:rFonts w:eastAsia="Times New Roman"/>
                <w:color w:val="000000"/>
                <w:szCs w:val="24"/>
                <w:lang w:eastAsia="cs-CZ"/>
              </w:rPr>
              <w:t>,</w:t>
            </w:r>
            <w:r w:rsidRPr="000310DC">
              <w:rPr>
                <w:rFonts w:eastAsia="Times New Roman"/>
                <w:color w:val="000000"/>
                <w:szCs w:val="24"/>
                <w:lang w:eastAsia="cs-CZ"/>
              </w:rPr>
              <w:t>03</w:t>
            </w:r>
          </w:p>
        </w:tc>
        <w:tc>
          <w:tcPr>
            <w:tcW w:w="709" w:type="dxa"/>
            <w:tcBorders>
              <w:top w:val="single" w:sz="4" w:space="0" w:color="auto"/>
              <w:left w:val="nil"/>
              <w:bottom w:val="single" w:sz="4" w:space="0" w:color="auto"/>
              <w:right w:val="nil"/>
            </w:tcBorders>
            <w:shd w:val="clear" w:color="auto" w:fill="auto"/>
            <w:noWrap/>
            <w:vAlign w:val="center"/>
            <w:hideMark/>
          </w:tcPr>
          <w:p w14:paraId="7EE2062F"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c>
          <w:tcPr>
            <w:tcW w:w="1417" w:type="dxa"/>
            <w:tcBorders>
              <w:top w:val="nil"/>
              <w:left w:val="single" w:sz="4" w:space="0" w:color="auto"/>
              <w:bottom w:val="single" w:sz="4" w:space="0" w:color="auto"/>
              <w:right w:val="nil"/>
            </w:tcBorders>
            <w:shd w:val="clear" w:color="auto" w:fill="auto"/>
            <w:noWrap/>
            <w:vAlign w:val="bottom"/>
            <w:hideMark/>
          </w:tcPr>
          <w:p w14:paraId="40144830" w14:textId="13C9113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325</w:t>
            </w:r>
            <w:r>
              <w:rPr>
                <w:rFonts w:eastAsia="Times New Roman"/>
                <w:color w:val="000000"/>
                <w:szCs w:val="24"/>
                <w:lang w:eastAsia="cs-CZ"/>
              </w:rPr>
              <w:t>,</w:t>
            </w:r>
            <w:r w:rsidRPr="000310DC">
              <w:rPr>
                <w:rFonts w:eastAsia="Times New Roman"/>
                <w:color w:val="000000"/>
                <w:szCs w:val="24"/>
                <w:lang w:eastAsia="cs-CZ"/>
              </w:rPr>
              <w:t>62</w:t>
            </w:r>
          </w:p>
        </w:tc>
        <w:tc>
          <w:tcPr>
            <w:tcW w:w="709" w:type="dxa"/>
            <w:tcBorders>
              <w:top w:val="nil"/>
              <w:left w:val="nil"/>
              <w:bottom w:val="single" w:sz="4" w:space="0" w:color="auto"/>
              <w:right w:val="single" w:sz="4" w:space="0" w:color="auto"/>
            </w:tcBorders>
            <w:shd w:val="clear" w:color="auto" w:fill="auto"/>
            <w:noWrap/>
            <w:vAlign w:val="center"/>
            <w:hideMark/>
          </w:tcPr>
          <w:p w14:paraId="652230E0"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417" w:type="dxa"/>
            <w:tcBorders>
              <w:top w:val="single" w:sz="4" w:space="0" w:color="auto"/>
              <w:left w:val="nil"/>
              <w:bottom w:val="single" w:sz="4" w:space="0" w:color="auto"/>
              <w:right w:val="nil"/>
            </w:tcBorders>
            <w:shd w:val="clear" w:color="auto" w:fill="auto"/>
            <w:noWrap/>
            <w:vAlign w:val="bottom"/>
            <w:hideMark/>
          </w:tcPr>
          <w:p w14:paraId="6BBA009A" w14:textId="59AEAFC8"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116</w:t>
            </w:r>
            <w:r>
              <w:rPr>
                <w:rFonts w:eastAsia="Times New Roman"/>
                <w:color w:val="000000"/>
                <w:szCs w:val="24"/>
                <w:lang w:eastAsia="cs-CZ"/>
              </w:rPr>
              <w:t>,</w:t>
            </w:r>
            <w:r w:rsidRPr="000310DC">
              <w:rPr>
                <w:rFonts w:eastAsia="Times New Roman"/>
                <w:color w:val="000000"/>
                <w:szCs w:val="24"/>
                <w:lang w:eastAsia="cs-CZ"/>
              </w:rPr>
              <w:t>26</w:t>
            </w:r>
          </w:p>
        </w:tc>
        <w:tc>
          <w:tcPr>
            <w:tcW w:w="709" w:type="dxa"/>
            <w:tcBorders>
              <w:top w:val="single" w:sz="4" w:space="0" w:color="auto"/>
              <w:left w:val="nil"/>
              <w:bottom w:val="single" w:sz="4" w:space="0" w:color="auto"/>
              <w:right w:val="nil"/>
            </w:tcBorders>
            <w:shd w:val="clear" w:color="auto" w:fill="auto"/>
            <w:noWrap/>
            <w:vAlign w:val="center"/>
            <w:hideMark/>
          </w:tcPr>
          <w:p w14:paraId="59B5FE1E"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-13 %  </w:t>
            </w:r>
          </w:p>
        </w:tc>
      </w:tr>
      <w:tr w:rsidR="000310DC" w:rsidRPr="000310DC" w14:paraId="3CE53518"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5429B0B9"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Praha</w:t>
            </w:r>
          </w:p>
        </w:tc>
        <w:tc>
          <w:tcPr>
            <w:tcW w:w="1157" w:type="dxa"/>
            <w:tcBorders>
              <w:top w:val="nil"/>
              <w:left w:val="nil"/>
              <w:bottom w:val="single" w:sz="4" w:space="0" w:color="auto"/>
              <w:right w:val="nil"/>
            </w:tcBorders>
            <w:shd w:val="clear" w:color="auto" w:fill="auto"/>
            <w:noWrap/>
            <w:vAlign w:val="bottom"/>
            <w:hideMark/>
          </w:tcPr>
          <w:p w14:paraId="5E6D9E9E" w14:textId="49902FA6"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95</w:t>
            </w:r>
            <w:r>
              <w:rPr>
                <w:rFonts w:eastAsia="Times New Roman"/>
                <w:color w:val="000000"/>
                <w:szCs w:val="24"/>
                <w:lang w:eastAsia="cs-CZ"/>
              </w:rPr>
              <w:t>,</w:t>
            </w:r>
            <w:r w:rsidRPr="000310DC">
              <w:rPr>
                <w:rFonts w:eastAsia="Times New Roman"/>
                <w:color w:val="000000"/>
                <w:szCs w:val="24"/>
                <w:lang w:eastAsia="cs-CZ"/>
              </w:rPr>
              <w:t>44</w:t>
            </w:r>
          </w:p>
        </w:tc>
        <w:tc>
          <w:tcPr>
            <w:tcW w:w="1276" w:type="dxa"/>
            <w:tcBorders>
              <w:top w:val="nil"/>
              <w:left w:val="nil"/>
              <w:bottom w:val="single" w:sz="4" w:space="0" w:color="auto"/>
              <w:right w:val="nil"/>
            </w:tcBorders>
            <w:shd w:val="clear" w:color="auto" w:fill="auto"/>
            <w:noWrap/>
            <w:vAlign w:val="bottom"/>
            <w:hideMark/>
          </w:tcPr>
          <w:p w14:paraId="2E6B0571" w14:textId="59C339A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374</w:t>
            </w:r>
            <w:r>
              <w:rPr>
                <w:rFonts w:eastAsia="Times New Roman"/>
                <w:color w:val="000000"/>
                <w:szCs w:val="24"/>
                <w:lang w:eastAsia="cs-CZ"/>
              </w:rPr>
              <w:t>,</w:t>
            </w:r>
            <w:r w:rsidRPr="000310DC">
              <w:rPr>
                <w:rFonts w:eastAsia="Times New Roman"/>
                <w:color w:val="000000"/>
                <w:szCs w:val="24"/>
                <w:lang w:eastAsia="cs-CZ"/>
              </w:rPr>
              <w:t>29</w:t>
            </w:r>
          </w:p>
        </w:tc>
        <w:tc>
          <w:tcPr>
            <w:tcW w:w="709" w:type="dxa"/>
            <w:tcBorders>
              <w:top w:val="nil"/>
              <w:left w:val="nil"/>
              <w:bottom w:val="single" w:sz="4" w:space="0" w:color="auto"/>
              <w:right w:val="nil"/>
            </w:tcBorders>
            <w:shd w:val="clear" w:color="auto" w:fill="auto"/>
            <w:noWrap/>
            <w:vAlign w:val="center"/>
            <w:hideMark/>
          </w:tcPr>
          <w:p w14:paraId="5ABC850F"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single" w:sz="4" w:space="0" w:color="auto"/>
              <w:bottom w:val="single" w:sz="4" w:space="0" w:color="auto"/>
              <w:right w:val="nil"/>
            </w:tcBorders>
            <w:shd w:val="clear" w:color="auto" w:fill="auto"/>
            <w:noWrap/>
            <w:vAlign w:val="bottom"/>
            <w:hideMark/>
          </w:tcPr>
          <w:p w14:paraId="0D497575" w14:textId="470A11E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369</w:t>
            </w:r>
            <w:r>
              <w:rPr>
                <w:rFonts w:eastAsia="Times New Roman"/>
                <w:color w:val="000000"/>
                <w:szCs w:val="24"/>
                <w:lang w:eastAsia="cs-CZ"/>
              </w:rPr>
              <w:t>,</w:t>
            </w:r>
            <w:r w:rsidRPr="000310DC">
              <w:rPr>
                <w:rFonts w:eastAsia="Times New Roman"/>
                <w:color w:val="000000"/>
                <w:szCs w:val="24"/>
                <w:lang w:eastAsia="cs-CZ"/>
              </w:rPr>
              <w:t>96</w:t>
            </w:r>
          </w:p>
        </w:tc>
        <w:tc>
          <w:tcPr>
            <w:tcW w:w="709" w:type="dxa"/>
            <w:tcBorders>
              <w:top w:val="nil"/>
              <w:left w:val="nil"/>
              <w:bottom w:val="single" w:sz="4" w:space="0" w:color="auto"/>
              <w:right w:val="single" w:sz="4" w:space="0" w:color="auto"/>
            </w:tcBorders>
            <w:shd w:val="clear" w:color="auto" w:fill="auto"/>
            <w:noWrap/>
            <w:vAlign w:val="center"/>
            <w:hideMark/>
          </w:tcPr>
          <w:p w14:paraId="562BB749"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nil"/>
              <w:bottom w:val="single" w:sz="4" w:space="0" w:color="auto"/>
              <w:right w:val="nil"/>
            </w:tcBorders>
            <w:shd w:val="clear" w:color="auto" w:fill="auto"/>
            <w:noWrap/>
            <w:vAlign w:val="bottom"/>
            <w:hideMark/>
          </w:tcPr>
          <w:p w14:paraId="662344AF" w14:textId="16488BA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96</w:t>
            </w:r>
            <w:r>
              <w:rPr>
                <w:rFonts w:eastAsia="Times New Roman"/>
                <w:color w:val="000000"/>
                <w:szCs w:val="24"/>
                <w:lang w:eastAsia="cs-CZ"/>
              </w:rPr>
              <w:t>,</w:t>
            </w:r>
            <w:r w:rsidRPr="000310DC">
              <w:rPr>
                <w:rFonts w:eastAsia="Times New Roman"/>
                <w:color w:val="000000"/>
                <w:szCs w:val="24"/>
                <w:lang w:eastAsia="cs-CZ"/>
              </w:rPr>
              <w:t>37</w:t>
            </w:r>
          </w:p>
        </w:tc>
        <w:tc>
          <w:tcPr>
            <w:tcW w:w="709" w:type="dxa"/>
            <w:tcBorders>
              <w:top w:val="nil"/>
              <w:left w:val="nil"/>
              <w:bottom w:val="single" w:sz="4" w:space="0" w:color="auto"/>
              <w:right w:val="nil"/>
            </w:tcBorders>
            <w:shd w:val="clear" w:color="auto" w:fill="auto"/>
            <w:noWrap/>
            <w:vAlign w:val="center"/>
            <w:hideMark/>
          </w:tcPr>
          <w:p w14:paraId="720ECD41"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+5 %  </w:t>
            </w:r>
          </w:p>
        </w:tc>
      </w:tr>
      <w:tr w:rsidR="000310DC" w:rsidRPr="000310DC" w14:paraId="12F814B4"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4032A493"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Č. Budějovice</w:t>
            </w:r>
          </w:p>
        </w:tc>
        <w:tc>
          <w:tcPr>
            <w:tcW w:w="1157" w:type="dxa"/>
            <w:tcBorders>
              <w:top w:val="nil"/>
              <w:left w:val="nil"/>
              <w:bottom w:val="single" w:sz="4" w:space="0" w:color="auto"/>
              <w:right w:val="nil"/>
            </w:tcBorders>
            <w:shd w:val="clear" w:color="auto" w:fill="auto"/>
            <w:noWrap/>
            <w:vAlign w:val="bottom"/>
            <w:hideMark/>
          </w:tcPr>
          <w:p w14:paraId="71E0607C" w14:textId="7BC80785"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44</w:t>
            </w:r>
            <w:r>
              <w:rPr>
                <w:rFonts w:eastAsia="Times New Roman"/>
                <w:color w:val="000000"/>
                <w:szCs w:val="24"/>
                <w:lang w:eastAsia="cs-CZ"/>
              </w:rPr>
              <w:t>,</w:t>
            </w:r>
            <w:r w:rsidRPr="000310DC">
              <w:rPr>
                <w:rFonts w:eastAsia="Times New Roman"/>
                <w:color w:val="000000"/>
                <w:szCs w:val="24"/>
                <w:lang w:eastAsia="cs-CZ"/>
              </w:rPr>
              <w:t>15</w:t>
            </w:r>
          </w:p>
        </w:tc>
        <w:tc>
          <w:tcPr>
            <w:tcW w:w="1276" w:type="dxa"/>
            <w:tcBorders>
              <w:top w:val="nil"/>
              <w:left w:val="nil"/>
              <w:bottom w:val="single" w:sz="4" w:space="0" w:color="auto"/>
              <w:right w:val="nil"/>
            </w:tcBorders>
            <w:shd w:val="clear" w:color="auto" w:fill="auto"/>
            <w:noWrap/>
            <w:vAlign w:val="bottom"/>
            <w:hideMark/>
          </w:tcPr>
          <w:p w14:paraId="47E26105" w14:textId="700B3068"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361</w:t>
            </w:r>
            <w:r>
              <w:rPr>
                <w:rFonts w:eastAsia="Times New Roman"/>
                <w:color w:val="000000"/>
                <w:szCs w:val="24"/>
                <w:lang w:eastAsia="cs-CZ"/>
              </w:rPr>
              <w:t>,</w:t>
            </w:r>
            <w:r w:rsidRPr="000310DC">
              <w:rPr>
                <w:rFonts w:eastAsia="Times New Roman"/>
                <w:color w:val="000000"/>
                <w:szCs w:val="24"/>
                <w:lang w:eastAsia="cs-CZ"/>
              </w:rPr>
              <w:t>74</w:t>
            </w:r>
          </w:p>
        </w:tc>
        <w:tc>
          <w:tcPr>
            <w:tcW w:w="709" w:type="dxa"/>
            <w:tcBorders>
              <w:top w:val="nil"/>
              <w:left w:val="nil"/>
              <w:bottom w:val="single" w:sz="4" w:space="0" w:color="auto"/>
              <w:right w:val="nil"/>
            </w:tcBorders>
            <w:shd w:val="clear" w:color="auto" w:fill="auto"/>
            <w:noWrap/>
            <w:vAlign w:val="center"/>
            <w:hideMark/>
          </w:tcPr>
          <w:p w14:paraId="52B0CCEA"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c>
          <w:tcPr>
            <w:tcW w:w="1417" w:type="dxa"/>
            <w:tcBorders>
              <w:top w:val="nil"/>
              <w:left w:val="single" w:sz="4" w:space="0" w:color="auto"/>
              <w:bottom w:val="single" w:sz="4" w:space="0" w:color="auto"/>
              <w:right w:val="nil"/>
            </w:tcBorders>
            <w:shd w:val="clear" w:color="auto" w:fill="auto"/>
            <w:noWrap/>
            <w:vAlign w:val="bottom"/>
            <w:hideMark/>
          </w:tcPr>
          <w:p w14:paraId="63B20D83" w14:textId="39E9348A"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353</w:t>
            </w:r>
            <w:r>
              <w:rPr>
                <w:rFonts w:eastAsia="Times New Roman"/>
                <w:color w:val="000000"/>
                <w:szCs w:val="24"/>
                <w:lang w:eastAsia="cs-CZ"/>
              </w:rPr>
              <w:t>,</w:t>
            </w:r>
            <w:r w:rsidRPr="000310DC">
              <w:rPr>
                <w:rFonts w:eastAsia="Times New Roman"/>
                <w:color w:val="000000"/>
                <w:szCs w:val="24"/>
                <w:lang w:eastAsia="cs-CZ"/>
              </w:rPr>
              <w:t>50</w:t>
            </w:r>
          </w:p>
        </w:tc>
        <w:tc>
          <w:tcPr>
            <w:tcW w:w="709" w:type="dxa"/>
            <w:tcBorders>
              <w:top w:val="nil"/>
              <w:left w:val="nil"/>
              <w:bottom w:val="single" w:sz="4" w:space="0" w:color="auto"/>
              <w:right w:val="single" w:sz="4" w:space="0" w:color="auto"/>
            </w:tcBorders>
            <w:shd w:val="clear" w:color="auto" w:fill="auto"/>
            <w:noWrap/>
            <w:vAlign w:val="center"/>
            <w:hideMark/>
          </w:tcPr>
          <w:p w14:paraId="40BD58FF"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nil"/>
              <w:bottom w:val="single" w:sz="4" w:space="0" w:color="auto"/>
              <w:right w:val="nil"/>
            </w:tcBorders>
            <w:shd w:val="clear" w:color="auto" w:fill="auto"/>
            <w:noWrap/>
            <w:vAlign w:val="bottom"/>
            <w:hideMark/>
          </w:tcPr>
          <w:p w14:paraId="3B0BF286" w14:textId="5E3314C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81</w:t>
            </w:r>
            <w:r>
              <w:rPr>
                <w:rFonts w:eastAsia="Times New Roman"/>
                <w:color w:val="000000"/>
                <w:szCs w:val="24"/>
                <w:lang w:eastAsia="cs-CZ"/>
              </w:rPr>
              <w:t>,</w:t>
            </w:r>
            <w:r w:rsidRPr="000310DC">
              <w:rPr>
                <w:rFonts w:eastAsia="Times New Roman"/>
                <w:color w:val="000000"/>
                <w:szCs w:val="24"/>
                <w:lang w:eastAsia="cs-CZ"/>
              </w:rPr>
              <w:t>00</w:t>
            </w:r>
          </w:p>
        </w:tc>
        <w:tc>
          <w:tcPr>
            <w:tcW w:w="709" w:type="dxa"/>
            <w:tcBorders>
              <w:top w:val="nil"/>
              <w:left w:val="nil"/>
              <w:bottom w:val="single" w:sz="4" w:space="0" w:color="auto"/>
              <w:right w:val="nil"/>
            </w:tcBorders>
            <w:shd w:val="clear" w:color="auto" w:fill="auto"/>
            <w:noWrap/>
            <w:vAlign w:val="center"/>
            <w:hideMark/>
          </w:tcPr>
          <w:p w14:paraId="5463C7E2"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+11 %  </w:t>
            </w:r>
          </w:p>
        </w:tc>
      </w:tr>
      <w:tr w:rsidR="000310DC" w:rsidRPr="000310DC" w14:paraId="66DA793A"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523EEA92"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Plzeň</w:t>
            </w:r>
          </w:p>
        </w:tc>
        <w:tc>
          <w:tcPr>
            <w:tcW w:w="1157" w:type="dxa"/>
            <w:tcBorders>
              <w:top w:val="nil"/>
              <w:left w:val="nil"/>
              <w:bottom w:val="single" w:sz="4" w:space="0" w:color="auto"/>
              <w:right w:val="nil"/>
            </w:tcBorders>
            <w:shd w:val="clear" w:color="auto" w:fill="auto"/>
            <w:noWrap/>
            <w:vAlign w:val="bottom"/>
            <w:hideMark/>
          </w:tcPr>
          <w:p w14:paraId="52B9D12F" w14:textId="77777777"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77</w:t>
            </w:r>
          </w:p>
        </w:tc>
        <w:tc>
          <w:tcPr>
            <w:tcW w:w="1276" w:type="dxa"/>
            <w:tcBorders>
              <w:top w:val="nil"/>
              <w:left w:val="nil"/>
              <w:bottom w:val="single" w:sz="4" w:space="0" w:color="auto"/>
              <w:right w:val="nil"/>
            </w:tcBorders>
            <w:shd w:val="clear" w:color="auto" w:fill="auto"/>
            <w:noWrap/>
            <w:vAlign w:val="bottom"/>
            <w:hideMark/>
          </w:tcPr>
          <w:p w14:paraId="3D9AD25D" w14:textId="744A40A4"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379</w:t>
            </w:r>
            <w:r>
              <w:rPr>
                <w:rFonts w:eastAsia="Times New Roman"/>
                <w:color w:val="000000"/>
                <w:szCs w:val="24"/>
                <w:lang w:eastAsia="cs-CZ"/>
              </w:rPr>
              <w:t>,</w:t>
            </w:r>
            <w:r w:rsidRPr="000310DC">
              <w:rPr>
                <w:rFonts w:eastAsia="Times New Roman"/>
                <w:color w:val="000000"/>
                <w:szCs w:val="24"/>
                <w:lang w:eastAsia="cs-CZ"/>
              </w:rPr>
              <w:t>62</w:t>
            </w:r>
          </w:p>
        </w:tc>
        <w:tc>
          <w:tcPr>
            <w:tcW w:w="709" w:type="dxa"/>
            <w:tcBorders>
              <w:top w:val="nil"/>
              <w:left w:val="nil"/>
              <w:bottom w:val="single" w:sz="4" w:space="0" w:color="auto"/>
              <w:right w:val="nil"/>
            </w:tcBorders>
            <w:shd w:val="clear" w:color="auto" w:fill="auto"/>
            <w:noWrap/>
            <w:vAlign w:val="center"/>
            <w:hideMark/>
          </w:tcPr>
          <w:p w14:paraId="77850EE7"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single" w:sz="4" w:space="0" w:color="auto"/>
              <w:bottom w:val="single" w:sz="4" w:space="0" w:color="auto"/>
              <w:right w:val="nil"/>
            </w:tcBorders>
            <w:shd w:val="clear" w:color="auto" w:fill="auto"/>
            <w:noWrap/>
            <w:vAlign w:val="bottom"/>
            <w:hideMark/>
          </w:tcPr>
          <w:p w14:paraId="46999AF2" w14:textId="68CE0CD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382</w:t>
            </w:r>
            <w:r>
              <w:rPr>
                <w:rFonts w:eastAsia="Times New Roman"/>
                <w:color w:val="000000"/>
                <w:szCs w:val="24"/>
                <w:lang w:eastAsia="cs-CZ"/>
              </w:rPr>
              <w:t>,</w:t>
            </w:r>
            <w:r w:rsidRPr="000310DC">
              <w:rPr>
                <w:rFonts w:eastAsia="Times New Roman"/>
                <w:color w:val="000000"/>
                <w:szCs w:val="24"/>
                <w:lang w:eastAsia="cs-CZ"/>
              </w:rPr>
              <w:t>78</w:t>
            </w:r>
          </w:p>
        </w:tc>
        <w:tc>
          <w:tcPr>
            <w:tcW w:w="709" w:type="dxa"/>
            <w:tcBorders>
              <w:top w:val="nil"/>
              <w:left w:val="nil"/>
              <w:bottom w:val="single" w:sz="4" w:space="0" w:color="auto"/>
              <w:right w:val="single" w:sz="4" w:space="0" w:color="auto"/>
            </w:tcBorders>
            <w:shd w:val="clear" w:color="auto" w:fill="auto"/>
            <w:noWrap/>
            <w:vAlign w:val="center"/>
            <w:hideMark/>
          </w:tcPr>
          <w:p w14:paraId="0DDA0677"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nil"/>
              <w:bottom w:val="single" w:sz="4" w:space="0" w:color="auto"/>
              <w:right w:val="nil"/>
            </w:tcBorders>
            <w:shd w:val="clear" w:color="auto" w:fill="auto"/>
            <w:noWrap/>
            <w:vAlign w:val="bottom"/>
            <w:hideMark/>
          </w:tcPr>
          <w:p w14:paraId="0036C0D3" w14:textId="6AA79D6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100</w:t>
            </w:r>
            <w:r>
              <w:rPr>
                <w:rFonts w:eastAsia="Times New Roman"/>
                <w:color w:val="000000"/>
                <w:szCs w:val="24"/>
                <w:lang w:eastAsia="cs-CZ"/>
              </w:rPr>
              <w:t>,</w:t>
            </w:r>
            <w:r w:rsidRPr="000310DC">
              <w:rPr>
                <w:rFonts w:eastAsia="Times New Roman"/>
                <w:color w:val="000000"/>
                <w:szCs w:val="24"/>
                <w:lang w:eastAsia="cs-CZ"/>
              </w:rPr>
              <w:t>05</w:t>
            </w:r>
          </w:p>
        </w:tc>
        <w:tc>
          <w:tcPr>
            <w:tcW w:w="709" w:type="dxa"/>
            <w:tcBorders>
              <w:top w:val="nil"/>
              <w:left w:val="nil"/>
              <w:bottom w:val="single" w:sz="4" w:space="0" w:color="auto"/>
              <w:right w:val="nil"/>
            </w:tcBorders>
            <w:shd w:val="clear" w:color="auto" w:fill="auto"/>
            <w:noWrap/>
            <w:vAlign w:val="center"/>
            <w:hideMark/>
          </w:tcPr>
          <w:p w14:paraId="4F901DF7"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-3 %  </w:t>
            </w:r>
          </w:p>
        </w:tc>
      </w:tr>
      <w:tr w:rsidR="000310DC" w:rsidRPr="000310DC" w14:paraId="5A4B986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66698EE5"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Ústí n. Labem</w:t>
            </w:r>
          </w:p>
        </w:tc>
        <w:tc>
          <w:tcPr>
            <w:tcW w:w="1157" w:type="dxa"/>
            <w:tcBorders>
              <w:top w:val="nil"/>
              <w:left w:val="nil"/>
              <w:bottom w:val="single" w:sz="4" w:space="0" w:color="auto"/>
              <w:right w:val="nil"/>
            </w:tcBorders>
            <w:shd w:val="clear" w:color="auto" w:fill="auto"/>
            <w:noWrap/>
            <w:vAlign w:val="bottom"/>
            <w:hideMark/>
          </w:tcPr>
          <w:p w14:paraId="7A9BC573" w14:textId="52CE545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118</w:t>
            </w:r>
            <w:r>
              <w:rPr>
                <w:rFonts w:eastAsia="Times New Roman"/>
                <w:color w:val="000000"/>
                <w:szCs w:val="24"/>
                <w:lang w:eastAsia="cs-CZ"/>
              </w:rPr>
              <w:t>,</w:t>
            </w:r>
            <w:r w:rsidRPr="000310DC">
              <w:rPr>
                <w:rFonts w:eastAsia="Times New Roman"/>
                <w:color w:val="000000"/>
                <w:szCs w:val="24"/>
                <w:lang w:eastAsia="cs-CZ"/>
              </w:rPr>
              <w:t>55</w:t>
            </w:r>
          </w:p>
        </w:tc>
        <w:tc>
          <w:tcPr>
            <w:tcW w:w="1276" w:type="dxa"/>
            <w:tcBorders>
              <w:top w:val="nil"/>
              <w:left w:val="nil"/>
              <w:bottom w:val="single" w:sz="4" w:space="0" w:color="auto"/>
              <w:right w:val="nil"/>
            </w:tcBorders>
            <w:shd w:val="clear" w:color="auto" w:fill="auto"/>
            <w:noWrap/>
            <w:vAlign w:val="bottom"/>
            <w:hideMark/>
          </w:tcPr>
          <w:p w14:paraId="44F2B9F3" w14:textId="736BD144"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388</w:t>
            </w:r>
            <w:r>
              <w:rPr>
                <w:rFonts w:eastAsia="Times New Roman"/>
                <w:color w:val="000000"/>
                <w:szCs w:val="24"/>
                <w:lang w:eastAsia="cs-CZ"/>
              </w:rPr>
              <w:t>,</w:t>
            </w:r>
            <w:r w:rsidRPr="000310DC">
              <w:rPr>
                <w:rFonts w:eastAsia="Times New Roman"/>
                <w:color w:val="000000"/>
                <w:szCs w:val="24"/>
                <w:lang w:eastAsia="cs-CZ"/>
              </w:rPr>
              <w:t>66</w:t>
            </w:r>
          </w:p>
        </w:tc>
        <w:tc>
          <w:tcPr>
            <w:tcW w:w="709" w:type="dxa"/>
            <w:tcBorders>
              <w:top w:val="nil"/>
              <w:left w:val="nil"/>
              <w:bottom w:val="single" w:sz="4" w:space="0" w:color="auto"/>
              <w:right w:val="nil"/>
            </w:tcBorders>
            <w:shd w:val="clear" w:color="auto" w:fill="auto"/>
            <w:noWrap/>
            <w:vAlign w:val="center"/>
            <w:hideMark/>
          </w:tcPr>
          <w:p w14:paraId="2ED46BC8"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single" w:sz="4" w:space="0" w:color="auto"/>
              <w:bottom w:val="single" w:sz="4" w:space="0" w:color="auto"/>
              <w:right w:val="nil"/>
            </w:tcBorders>
            <w:shd w:val="clear" w:color="auto" w:fill="auto"/>
            <w:noWrap/>
            <w:vAlign w:val="bottom"/>
            <w:hideMark/>
          </w:tcPr>
          <w:p w14:paraId="26379C98" w14:textId="0A5A0E5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392</w:t>
            </w:r>
            <w:r>
              <w:rPr>
                <w:rFonts w:eastAsia="Times New Roman"/>
                <w:color w:val="000000"/>
                <w:szCs w:val="24"/>
                <w:lang w:eastAsia="cs-CZ"/>
              </w:rPr>
              <w:t>,</w:t>
            </w:r>
            <w:r w:rsidRPr="000310DC">
              <w:rPr>
                <w:rFonts w:eastAsia="Times New Roman"/>
                <w:color w:val="000000"/>
                <w:szCs w:val="24"/>
                <w:lang w:eastAsia="cs-CZ"/>
              </w:rPr>
              <w:t>27</w:t>
            </w:r>
          </w:p>
        </w:tc>
        <w:tc>
          <w:tcPr>
            <w:tcW w:w="709" w:type="dxa"/>
            <w:tcBorders>
              <w:top w:val="nil"/>
              <w:left w:val="nil"/>
              <w:bottom w:val="single" w:sz="4" w:space="0" w:color="auto"/>
              <w:right w:val="single" w:sz="4" w:space="0" w:color="auto"/>
            </w:tcBorders>
            <w:shd w:val="clear" w:color="auto" w:fill="auto"/>
            <w:noWrap/>
            <w:vAlign w:val="center"/>
            <w:hideMark/>
          </w:tcPr>
          <w:p w14:paraId="3E7F2AE4"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nil"/>
              <w:bottom w:val="single" w:sz="4" w:space="0" w:color="auto"/>
              <w:right w:val="nil"/>
            </w:tcBorders>
            <w:shd w:val="clear" w:color="auto" w:fill="auto"/>
            <w:noWrap/>
            <w:vAlign w:val="bottom"/>
            <w:hideMark/>
          </w:tcPr>
          <w:p w14:paraId="2F9D4518" w14:textId="5EB1C90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128</w:t>
            </w:r>
            <w:r>
              <w:rPr>
                <w:rFonts w:eastAsia="Times New Roman"/>
                <w:color w:val="000000"/>
                <w:szCs w:val="24"/>
                <w:lang w:eastAsia="cs-CZ"/>
              </w:rPr>
              <w:t>,</w:t>
            </w:r>
            <w:r w:rsidRPr="000310DC">
              <w:rPr>
                <w:rFonts w:eastAsia="Times New Roman"/>
                <w:color w:val="000000"/>
                <w:szCs w:val="24"/>
                <w:lang w:eastAsia="cs-CZ"/>
              </w:rPr>
              <w:t>29</w:t>
            </w:r>
          </w:p>
        </w:tc>
        <w:tc>
          <w:tcPr>
            <w:tcW w:w="709" w:type="dxa"/>
            <w:tcBorders>
              <w:top w:val="nil"/>
              <w:left w:val="nil"/>
              <w:bottom w:val="single" w:sz="4" w:space="0" w:color="auto"/>
              <w:right w:val="nil"/>
            </w:tcBorders>
            <w:shd w:val="clear" w:color="auto" w:fill="auto"/>
            <w:noWrap/>
            <w:vAlign w:val="center"/>
            <w:hideMark/>
          </w:tcPr>
          <w:p w14:paraId="3F708282"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+1 %  </w:t>
            </w:r>
          </w:p>
        </w:tc>
      </w:tr>
      <w:tr w:rsidR="000310DC" w:rsidRPr="000310DC" w14:paraId="321689F5"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2123A0AF"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Hr. Králové</w:t>
            </w:r>
          </w:p>
        </w:tc>
        <w:tc>
          <w:tcPr>
            <w:tcW w:w="1157" w:type="dxa"/>
            <w:tcBorders>
              <w:top w:val="nil"/>
              <w:left w:val="nil"/>
              <w:bottom w:val="single" w:sz="4" w:space="0" w:color="auto"/>
              <w:right w:val="nil"/>
            </w:tcBorders>
            <w:shd w:val="clear" w:color="auto" w:fill="auto"/>
            <w:noWrap/>
            <w:vAlign w:val="bottom"/>
            <w:hideMark/>
          </w:tcPr>
          <w:p w14:paraId="6ED8228D" w14:textId="6C3CEAE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82</w:t>
            </w:r>
            <w:r>
              <w:rPr>
                <w:rFonts w:eastAsia="Times New Roman"/>
                <w:color w:val="000000"/>
                <w:szCs w:val="24"/>
                <w:lang w:eastAsia="cs-CZ"/>
              </w:rPr>
              <w:t>,</w:t>
            </w:r>
            <w:r w:rsidRPr="000310DC">
              <w:rPr>
                <w:rFonts w:eastAsia="Times New Roman"/>
                <w:color w:val="000000"/>
                <w:szCs w:val="24"/>
                <w:lang w:eastAsia="cs-CZ"/>
              </w:rPr>
              <w:t>6</w:t>
            </w:r>
          </w:p>
        </w:tc>
        <w:tc>
          <w:tcPr>
            <w:tcW w:w="1276" w:type="dxa"/>
            <w:tcBorders>
              <w:top w:val="nil"/>
              <w:left w:val="nil"/>
              <w:bottom w:val="single" w:sz="4" w:space="0" w:color="auto"/>
              <w:right w:val="nil"/>
            </w:tcBorders>
            <w:shd w:val="clear" w:color="auto" w:fill="auto"/>
            <w:noWrap/>
            <w:vAlign w:val="bottom"/>
            <w:hideMark/>
          </w:tcPr>
          <w:p w14:paraId="74B27846" w14:textId="2ACBD7B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334</w:t>
            </w:r>
            <w:r>
              <w:rPr>
                <w:rFonts w:eastAsia="Times New Roman"/>
                <w:color w:val="000000"/>
                <w:szCs w:val="24"/>
                <w:lang w:eastAsia="cs-CZ"/>
              </w:rPr>
              <w:t>,</w:t>
            </w:r>
            <w:r w:rsidRPr="000310DC">
              <w:rPr>
                <w:rFonts w:eastAsia="Times New Roman"/>
                <w:color w:val="000000"/>
                <w:szCs w:val="24"/>
                <w:lang w:eastAsia="cs-CZ"/>
              </w:rPr>
              <w:t>38</w:t>
            </w:r>
          </w:p>
        </w:tc>
        <w:tc>
          <w:tcPr>
            <w:tcW w:w="709" w:type="dxa"/>
            <w:tcBorders>
              <w:top w:val="nil"/>
              <w:left w:val="nil"/>
              <w:bottom w:val="single" w:sz="4" w:space="0" w:color="auto"/>
              <w:right w:val="nil"/>
            </w:tcBorders>
            <w:shd w:val="clear" w:color="auto" w:fill="auto"/>
            <w:noWrap/>
            <w:vAlign w:val="center"/>
            <w:hideMark/>
          </w:tcPr>
          <w:p w14:paraId="7DBD1BC6"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single" w:sz="4" w:space="0" w:color="auto"/>
              <w:bottom w:val="single" w:sz="4" w:space="0" w:color="auto"/>
              <w:right w:val="nil"/>
            </w:tcBorders>
            <w:shd w:val="clear" w:color="auto" w:fill="auto"/>
            <w:noWrap/>
            <w:vAlign w:val="bottom"/>
            <w:hideMark/>
          </w:tcPr>
          <w:p w14:paraId="5ADF6EFE" w14:textId="1572560A"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332</w:t>
            </w:r>
            <w:r>
              <w:rPr>
                <w:rFonts w:eastAsia="Times New Roman"/>
                <w:color w:val="000000"/>
                <w:szCs w:val="24"/>
                <w:lang w:eastAsia="cs-CZ"/>
              </w:rPr>
              <w:t>,</w:t>
            </w:r>
            <w:r w:rsidRPr="000310DC">
              <w:rPr>
                <w:rFonts w:eastAsia="Times New Roman"/>
                <w:color w:val="000000"/>
                <w:szCs w:val="24"/>
                <w:lang w:eastAsia="cs-CZ"/>
              </w:rPr>
              <w:t>87</w:t>
            </w:r>
          </w:p>
        </w:tc>
        <w:tc>
          <w:tcPr>
            <w:tcW w:w="709" w:type="dxa"/>
            <w:tcBorders>
              <w:top w:val="nil"/>
              <w:left w:val="nil"/>
              <w:bottom w:val="single" w:sz="4" w:space="0" w:color="auto"/>
              <w:right w:val="single" w:sz="4" w:space="0" w:color="auto"/>
            </w:tcBorders>
            <w:shd w:val="clear" w:color="auto" w:fill="auto"/>
            <w:noWrap/>
            <w:vAlign w:val="center"/>
            <w:hideMark/>
          </w:tcPr>
          <w:p w14:paraId="48B1EE0D"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nil"/>
              <w:bottom w:val="single" w:sz="4" w:space="0" w:color="auto"/>
              <w:right w:val="nil"/>
            </w:tcBorders>
            <w:shd w:val="clear" w:color="auto" w:fill="auto"/>
            <w:noWrap/>
            <w:vAlign w:val="bottom"/>
            <w:hideMark/>
          </w:tcPr>
          <w:p w14:paraId="6D063226" w14:textId="7520501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102</w:t>
            </w:r>
            <w:r>
              <w:rPr>
                <w:rFonts w:eastAsia="Times New Roman"/>
                <w:color w:val="000000"/>
                <w:szCs w:val="24"/>
                <w:lang w:eastAsia="cs-CZ"/>
              </w:rPr>
              <w:t>,</w:t>
            </w:r>
            <w:r w:rsidRPr="000310DC">
              <w:rPr>
                <w:rFonts w:eastAsia="Times New Roman"/>
                <w:color w:val="000000"/>
                <w:szCs w:val="24"/>
                <w:lang w:eastAsia="cs-CZ"/>
              </w:rPr>
              <w:t>02</w:t>
            </w:r>
          </w:p>
        </w:tc>
        <w:tc>
          <w:tcPr>
            <w:tcW w:w="709" w:type="dxa"/>
            <w:tcBorders>
              <w:top w:val="nil"/>
              <w:left w:val="nil"/>
              <w:bottom w:val="single" w:sz="4" w:space="0" w:color="auto"/>
              <w:right w:val="nil"/>
            </w:tcBorders>
            <w:shd w:val="clear" w:color="auto" w:fill="auto"/>
            <w:noWrap/>
            <w:vAlign w:val="center"/>
            <w:hideMark/>
          </w:tcPr>
          <w:p w14:paraId="21BEDC4F"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+2 %  </w:t>
            </w:r>
          </w:p>
        </w:tc>
      </w:tr>
      <w:tr w:rsidR="000310DC" w:rsidRPr="000310DC" w14:paraId="3538FE4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25B74BE1"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Brno</w:t>
            </w:r>
          </w:p>
        </w:tc>
        <w:tc>
          <w:tcPr>
            <w:tcW w:w="1157" w:type="dxa"/>
            <w:tcBorders>
              <w:top w:val="nil"/>
              <w:left w:val="nil"/>
              <w:bottom w:val="single" w:sz="4" w:space="0" w:color="auto"/>
              <w:right w:val="nil"/>
            </w:tcBorders>
            <w:shd w:val="clear" w:color="auto" w:fill="auto"/>
            <w:noWrap/>
            <w:vAlign w:val="bottom"/>
            <w:hideMark/>
          </w:tcPr>
          <w:p w14:paraId="03E6C258" w14:textId="3C32327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138</w:t>
            </w:r>
            <w:r>
              <w:rPr>
                <w:rFonts w:eastAsia="Times New Roman"/>
                <w:color w:val="000000"/>
                <w:szCs w:val="24"/>
                <w:lang w:eastAsia="cs-CZ"/>
              </w:rPr>
              <w:t>,</w:t>
            </w:r>
            <w:r w:rsidRPr="000310DC">
              <w:rPr>
                <w:rFonts w:eastAsia="Times New Roman"/>
                <w:color w:val="000000"/>
                <w:szCs w:val="24"/>
                <w:lang w:eastAsia="cs-CZ"/>
              </w:rPr>
              <w:t>16</w:t>
            </w:r>
          </w:p>
        </w:tc>
        <w:tc>
          <w:tcPr>
            <w:tcW w:w="1276" w:type="dxa"/>
            <w:tcBorders>
              <w:top w:val="nil"/>
              <w:left w:val="nil"/>
              <w:bottom w:val="single" w:sz="4" w:space="0" w:color="auto"/>
              <w:right w:val="nil"/>
            </w:tcBorders>
            <w:shd w:val="clear" w:color="auto" w:fill="auto"/>
            <w:noWrap/>
            <w:vAlign w:val="bottom"/>
            <w:hideMark/>
          </w:tcPr>
          <w:p w14:paraId="46BA6802" w14:textId="7CCB172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309</w:t>
            </w:r>
            <w:r>
              <w:rPr>
                <w:rFonts w:eastAsia="Times New Roman"/>
                <w:color w:val="000000"/>
                <w:szCs w:val="24"/>
                <w:lang w:eastAsia="cs-CZ"/>
              </w:rPr>
              <w:t>,</w:t>
            </w:r>
            <w:r w:rsidRPr="000310DC">
              <w:rPr>
                <w:rFonts w:eastAsia="Times New Roman"/>
                <w:color w:val="000000"/>
                <w:szCs w:val="24"/>
                <w:lang w:eastAsia="cs-CZ"/>
              </w:rPr>
              <w:t>01</w:t>
            </w:r>
          </w:p>
        </w:tc>
        <w:tc>
          <w:tcPr>
            <w:tcW w:w="709" w:type="dxa"/>
            <w:tcBorders>
              <w:top w:val="nil"/>
              <w:left w:val="nil"/>
              <w:bottom w:val="single" w:sz="4" w:space="0" w:color="auto"/>
              <w:right w:val="nil"/>
            </w:tcBorders>
            <w:shd w:val="clear" w:color="auto" w:fill="auto"/>
            <w:noWrap/>
            <w:vAlign w:val="center"/>
            <w:hideMark/>
          </w:tcPr>
          <w:p w14:paraId="7834FDD9"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c>
          <w:tcPr>
            <w:tcW w:w="1417" w:type="dxa"/>
            <w:tcBorders>
              <w:top w:val="nil"/>
              <w:left w:val="single" w:sz="4" w:space="0" w:color="auto"/>
              <w:bottom w:val="single" w:sz="4" w:space="0" w:color="auto"/>
              <w:right w:val="nil"/>
            </w:tcBorders>
            <w:shd w:val="clear" w:color="auto" w:fill="auto"/>
            <w:noWrap/>
            <w:vAlign w:val="bottom"/>
            <w:hideMark/>
          </w:tcPr>
          <w:p w14:paraId="23FB67F8" w14:textId="25A90DA2"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312</w:t>
            </w:r>
            <w:r>
              <w:rPr>
                <w:rFonts w:eastAsia="Times New Roman"/>
                <w:color w:val="000000"/>
                <w:szCs w:val="24"/>
                <w:lang w:eastAsia="cs-CZ"/>
              </w:rPr>
              <w:t>,</w:t>
            </w:r>
            <w:r w:rsidRPr="000310DC">
              <w:rPr>
                <w:rFonts w:eastAsia="Times New Roman"/>
                <w:color w:val="000000"/>
                <w:szCs w:val="24"/>
                <w:lang w:eastAsia="cs-CZ"/>
              </w:rPr>
              <w:t>55</w:t>
            </w:r>
          </w:p>
        </w:tc>
        <w:tc>
          <w:tcPr>
            <w:tcW w:w="709" w:type="dxa"/>
            <w:tcBorders>
              <w:top w:val="nil"/>
              <w:left w:val="nil"/>
              <w:bottom w:val="single" w:sz="4" w:space="0" w:color="auto"/>
              <w:right w:val="single" w:sz="4" w:space="0" w:color="auto"/>
            </w:tcBorders>
            <w:shd w:val="clear" w:color="auto" w:fill="auto"/>
            <w:noWrap/>
            <w:vAlign w:val="center"/>
            <w:hideMark/>
          </w:tcPr>
          <w:p w14:paraId="7ED04B90"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c>
          <w:tcPr>
            <w:tcW w:w="1417" w:type="dxa"/>
            <w:tcBorders>
              <w:top w:val="nil"/>
              <w:left w:val="nil"/>
              <w:bottom w:val="single" w:sz="4" w:space="0" w:color="auto"/>
              <w:right w:val="nil"/>
            </w:tcBorders>
            <w:shd w:val="clear" w:color="auto" w:fill="auto"/>
            <w:noWrap/>
            <w:vAlign w:val="bottom"/>
            <w:hideMark/>
          </w:tcPr>
          <w:p w14:paraId="17EFD58A" w14:textId="08A2079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131</w:t>
            </w:r>
            <w:r>
              <w:rPr>
                <w:rFonts w:eastAsia="Times New Roman"/>
                <w:color w:val="000000"/>
                <w:szCs w:val="24"/>
                <w:lang w:eastAsia="cs-CZ"/>
              </w:rPr>
              <w:t>,</w:t>
            </w:r>
            <w:r w:rsidRPr="000310DC">
              <w:rPr>
                <w:rFonts w:eastAsia="Times New Roman"/>
                <w:color w:val="000000"/>
                <w:szCs w:val="24"/>
                <w:lang w:eastAsia="cs-CZ"/>
              </w:rPr>
              <w:t>31</w:t>
            </w:r>
          </w:p>
        </w:tc>
        <w:tc>
          <w:tcPr>
            <w:tcW w:w="709" w:type="dxa"/>
            <w:tcBorders>
              <w:top w:val="nil"/>
              <w:left w:val="nil"/>
              <w:bottom w:val="single" w:sz="4" w:space="0" w:color="auto"/>
              <w:right w:val="nil"/>
            </w:tcBorders>
            <w:shd w:val="clear" w:color="auto" w:fill="auto"/>
            <w:noWrap/>
            <w:vAlign w:val="center"/>
            <w:hideMark/>
          </w:tcPr>
          <w:p w14:paraId="66DFDD48"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-4 %  </w:t>
            </w:r>
          </w:p>
        </w:tc>
      </w:tr>
      <w:tr w:rsidR="000310DC" w:rsidRPr="000310DC" w14:paraId="57309A0F" w14:textId="77777777" w:rsidTr="0057327F">
        <w:trPr>
          <w:trHeight w:val="330"/>
        </w:trPr>
        <w:tc>
          <w:tcPr>
            <w:tcW w:w="1820" w:type="dxa"/>
            <w:tcBorders>
              <w:top w:val="nil"/>
              <w:left w:val="nil"/>
              <w:bottom w:val="double" w:sz="6" w:space="0" w:color="auto"/>
              <w:right w:val="nil"/>
            </w:tcBorders>
            <w:shd w:val="clear" w:color="auto" w:fill="auto"/>
            <w:noWrap/>
            <w:vAlign w:val="bottom"/>
            <w:hideMark/>
          </w:tcPr>
          <w:p w14:paraId="6680C66F"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Ostrava</w:t>
            </w:r>
          </w:p>
        </w:tc>
        <w:tc>
          <w:tcPr>
            <w:tcW w:w="1157" w:type="dxa"/>
            <w:tcBorders>
              <w:top w:val="nil"/>
              <w:left w:val="nil"/>
              <w:bottom w:val="double" w:sz="6" w:space="0" w:color="auto"/>
              <w:right w:val="nil"/>
            </w:tcBorders>
            <w:shd w:val="clear" w:color="auto" w:fill="auto"/>
            <w:noWrap/>
            <w:vAlign w:val="bottom"/>
            <w:hideMark/>
          </w:tcPr>
          <w:p w14:paraId="754970D4" w14:textId="2A88D835"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146</w:t>
            </w:r>
            <w:r>
              <w:rPr>
                <w:rFonts w:eastAsia="Times New Roman"/>
                <w:color w:val="000000"/>
                <w:szCs w:val="24"/>
                <w:lang w:eastAsia="cs-CZ"/>
              </w:rPr>
              <w:t>,</w:t>
            </w:r>
            <w:r w:rsidRPr="000310DC">
              <w:rPr>
                <w:rFonts w:eastAsia="Times New Roman"/>
                <w:color w:val="000000"/>
                <w:szCs w:val="24"/>
                <w:lang w:eastAsia="cs-CZ"/>
              </w:rPr>
              <w:t>6</w:t>
            </w:r>
          </w:p>
        </w:tc>
        <w:tc>
          <w:tcPr>
            <w:tcW w:w="1276" w:type="dxa"/>
            <w:tcBorders>
              <w:top w:val="nil"/>
              <w:left w:val="nil"/>
              <w:bottom w:val="double" w:sz="6" w:space="0" w:color="auto"/>
              <w:right w:val="nil"/>
            </w:tcBorders>
            <w:shd w:val="clear" w:color="auto" w:fill="auto"/>
            <w:noWrap/>
            <w:vAlign w:val="bottom"/>
            <w:hideMark/>
          </w:tcPr>
          <w:p w14:paraId="1D7A736C" w14:textId="1829154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358</w:t>
            </w:r>
            <w:r>
              <w:rPr>
                <w:rFonts w:eastAsia="Times New Roman"/>
                <w:color w:val="000000"/>
                <w:szCs w:val="24"/>
                <w:lang w:eastAsia="cs-CZ"/>
              </w:rPr>
              <w:t>,</w:t>
            </w:r>
            <w:r w:rsidRPr="000310DC">
              <w:rPr>
                <w:rFonts w:eastAsia="Times New Roman"/>
                <w:color w:val="000000"/>
                <w:szCs w:val="24"/>
                <w:lang w:eastAsia="cs-CZ"/>
              </w:rPr>
              <w:t>23</w:t>
            </w:r>
          </w:p>
        </w:tc>
        <w:tc>
          <w:tcPr>
            <w:tcW w:w="709" w:type="dxa"/>
            <w:tcBorders>
              <w:top w:val="nil"/>
              <w:left w:val="nil"/>
              <w:bottom w:val="double" w:sz="6" w:space="0" w:color="auto"/>
              <w:right w:val="nil"/>
            </w:tcBorders>
            <w:shd w:val="clear" w:color="auto" w:fill="auto"/>
            <w:noWrap/>
            <w:vAlign w:val="center"/>
            <w:hideMark/>
          </w:tcPr>
          <w:p w14:paraId="7DAABA31"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single" w:sz="4" w:space="0" w:color="auto"/>
              <w:bottom w:val="double" w:sz="6" w:space="0" w:color="auto"/>
              <w:right w:val="nil"/>
            </w:tcBorders>
            <w:shd w:val="clear" w:color="auto" w:fill="auto"/>
            <w:noWrap/>
            <w:vAlign w:val="bottom"/>
            <w:hideMark/>
          </w:tcPr>
          <w:p w14:paraId="19B5E057" w14:textId="3F1EA9C3"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366</w:t>
            </w:r>
            <w:r>
              <w:rPr>
                <w:rFonts w:eastAsia="Times New Roman"/>
                <w:color w:val="000000"/>
                <w:szCs w:val="24"/>
                <w:lang w:eastAsia="cs-CZ"/>
              </w:rPr>
              <w:t>,</w:t>
            </w:r>
            <w:r w:rsidRPr="000310DC">
              <w:rPr>
                <w:rFonts w:eastAsia="Times New Roman"/>
                <w:color w:val="000000"/>
                <w:szCs w:val="24"/>
                <w:lang w:eastAsia="cs-CZ"/>
              </w:rPr>
              <w:t>66</w:t>
            </w:r>
          </w:p>
        </w:tc>
        <w:tc>
          <w:tcPr>
            <w:tcW w:w="709" w:type="dxa"/>
            <w:tcBorders>
              <w:top w:val="nil"/>
              <w:left w:val="nil"/>
              <w:bottom w:val="double" w:sz="6" w:space="0" w:color="auto"/>
              <w:right w:val="single" w:sz="4" w:space="0" w:color="auto"/>
            </w:tcBorders>
            <w:shd w:val="clear" w:color="auto" w:fill="auto"/>
            <w:noWrap/>
            <w:vAlign w:val="center"/>
            <w:hideMark/>
          </w:tcPr>
          <w:p w14:paraId="716C2ADE"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nil"/>
              <w:bottom w:val="double" w:sz="6" w:space="0" w:color="auto"/>
              <w:right w:val="nil"/>
            </w:tcBorders>
            <w:shd w:val="clear" w:color="auto" w:fill="auto"/>
            <w:noWrap/>
            <w:vAlign w:val="bottom"/>
            <w:hideMark/>
          </w:tcPr>
          <w:p w14:paraId="5DB56881" w14:textId="7DC2C49C"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124</w:t>
            </w:r>
            <w:r>
              <w:rPr>
                <w:rFonts w:eastAsia="Times New Roman"/>
                <w:color w:val="000000"/>
                <w:szCs w:val="24"/>
                <w:lang w:eastAsia="cs-CZ"/>
              </w:rPr>
              <w:t>,</w:t>
            </w:r>
            <w:r w:rsidRPr="000310DC">
              <w:rPr>
                <w:rFonts w:eastAsia="Times New Roman"/>
                <w:color w:val="000000"/>
                <w:szCs w:val="24"/>
                <w:lang w:eastAsia="cs-CZ"/>
              </w:rPr>
              <w:t>13</w:t>
            </w:r>
          </w:p>
        </w:tc>
        <w:tc>
          <w:tcPr>
            <w:tcW w:w="709" w:type="dxa"/>
            <w:tcBorders>
              <w:top w:val="nil"/>
              <w:left w:val="nil"/>
              <w:bottom w:val="double" w:sz="6" w:space="0" w:color="auto"/>
              <w:right w:val="nil"/>
            </w:tcBorders>
            <w:shd w:val="clear" w:color="auto" w:fill="auto"/>
            <w:noWrap/>
            <w:vAlign w:val="center"/>
            <w:hideMark/>
          </w:tcPr>
          <w:p w14:paraId="1376FF66"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-6 %  </w:t>
            </w:r>
          </w:p>
        </w:tc>
      </w:tr>
      <w:tr w:rsidR="000310DC" w:rsidRPr="000310DC" w14:paraId="011315DC" w14:textId="77777777" w:rsidTr="0057327F">
        <w:trPr>
          <w:trHeight w:val="345"/>
        </w:trPr>
        <w:tc>
          <w:tcPr>
            <w:tcW w:w="1820" w:type="dxa"/>
            <w:tcBorders>
              <w:top w:val="nil"/>
              <w:left w:val="nil"/>
              <w:bottom w:val="double" w:sz="6" w:space="0" w:color="auto"/>
              <w:right w:val="nil"/>
            </w:tcBorders>
            <w:shd w:val="clear" w:color="auto" w:fill="auto"/>
            <w:noWrap/>
            <w:vAlign w:val="bottom"/>
            <w:hideMark/>
          </w:tcPr>
          <w:p w14:paraId="7E931F84" w14:textId="77777777" w:rsidR="000310DC" w:rsidRPr="000310DC" w:rsidRDefault="000310DC" w:rsidP="000310DC">
            <w:pPr>
              <w:spacing w:line="240" w:lineRule="auto"/>
              <w:jc w:val="left"/>
              <w:rPr>
                <w:rFonts w:eastAsia="Times New Roman"/>
                <w:b/>
                <w:bCs/>
                <w:color w:val="000000"/>
                <w:szCs w:val="24"/>
                <w:lang w:eastAsia="cs-CZ"/>
              </w:rPr>
            </w:pPr>
            <w:r w:rsidRPr="000310DC">
              <w:rPr>
                <w:rFonts w:eastAsia="Times New Roman"/>
                <w:b/>
                <w:bCs/>
                <w:color w:val="000000"/>
                <w:szCs w:val="24"/>
                <w:lang w:eastAsia="cs-CZ"/>
              </w:rPr>
              <w:t>Celkem ČR</w:t>
            </w:r>
          </w:p>
        </w:tc>
        <w:tc>
          <w:tcPr>
            <w:tcW w:w="1157" w:type="dxa"/>
            <w:tcBorders>
              <w:top w:val="nil"/>
              <w:left w:val="nil"/>
              <w:bottom w:val="double" w:sz="6" w:space="0" w:color="auto"/>
              <w:right w:val="nil"/>
            </w:tcBorders>
            <w:shd w:val="clear" w:color="auto" w:fill="auto"/>
            <w:noWrap/>
            <w:vAlign w:val="bottom"/>
            <w:hideMark/>
          </w:tcPr>
          <w:p w14:paraId="6D2D04A2" w14:textId="1F5F887D"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863</w:t>
            </w:r>
            <w:r>
              <w:rPr>
                <w:rFonts w:eastAsia="Times New Roman"/>
                <w:b/>
                <w:bCs/>
                <w:color w:val="000000"/>
                <w:szCs w:val="24"/>
                <w:lang w:eastAsia="cs-CZ"/>
              </w:rPr>
              <w:t>,</w:t>
            </w:r>
            <w:r w:rsidRPr="000310DC">
              <w:rPr>
                <w:rFonts w:eastAsia="Times New Roman"/>
                <w:b/>
                <w:bCs/>
                <w:color w:val="000000"/>
                <w:szCs w:val="24"/>
                <w:lang w:eastAsia="cs-CZ"/>
              </w:rPr>
              <w:t>85</w:t>
            </w:r>
          </w:p>
        </w:tc>
        <w:tc>
          <w:tcPr>
            <w:tcW w:w="1276" w:type="dxa"/>
            <w:tcBorders>
              <w:top w:val="nil"/>
              <w:left w:val="nil"/>
              <w:bottom w:val="double" w:sz="6" w:space="0" w:color="auto"/>
              <w:right w:val="nil"/>
            </w:tcBorders>
            <w:shd w:val="clear" w:color="auto" w:fill="auto"/>
            <w:noWrap/>
            <w:vAlign w:val="bottom"/>
            <w:hideMark/>
          </w:tcPr>
          <w:p w14:paraId="7317BA74" w14:textId="466DB98D"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346</w:t>
            </w:r>
            <w:r>
              <w:rPr>
                <w:rFonts w:eastAsia="Times New Roman"/>
                <w:b/>
                <w:bCs/>
                <w:color w:val="000000"/>
                <w:szCs w:val="24"/>
                <w:lang w:eastAsia="cs-CZ"/>
              </w:rPr>
              <w:t>,</w:t>
            </w:r>
            <w:r w:rsidRPr="000310DC">
              <w:rPr>
                <w:rFonts w:eastAsia="Times New Roman"/>
                <w:b/>
                <w:bCs/>
                <w:color w:val="000000"/>
                <w:szCs w:val="24"/>
                <w:lang w:eastAsia="cs-CZ"/>
              </w:rPr>
              <w:t>74</w:t>
            </w:r>
          </w:p>
        </w:tc>
        <w:tc>
          <w:tcPr>
            <w:tcW w:w="709" w:type="dxa"/>
            <w:tcBorders>
              <w:top w:val="nil"/>
              <w:left w:val="nil"/>
              <w:bottom w:val="double" w:sz="6" w:space="0" w:color="auto"/>
              <w:right w:val="nil"/>
            </w:tcBorders>
            <w:shd w:val="clear" w:color="auto" w:fill="auto"/>
            <w:noWrap/>
            <w:vAlign w:val="center"/>
            <w:hideMark/>
          </w:tcPr>
          <w:p w14:paraId="7058DADD"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+2 %  </w:t>
            </w:r>
          </w:p>
        </w:tc>
        <w:tc>
          <w:tcPr>
            <w:tcW w:w="1417" w:type="dxa"/>
            <w:tcBorders>
              <w:top w:val="nil"/>
              <w:left w:val="single" w:sz="4" w:space="0" w:color="auto"/>
              <w:bottom w:val="double" w:sz="6" w:space="0" w:color="auto"/>
              <w:right w:val="nil"/>
            </w:tcBorders>
            <w:shd w:val="clear" w:color="auto" w:fill="auto"/>
            <w:noWrap/>
            <w:vAlign w:val="bottom"/>
            <w:hideMark/>
          </w:tcPr>
          <w:p w14:paraId="1BD151B0" w14:textId="5844B1E3"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351</w:t>
            </w:r>
            <w:r>
              <w:rPr>
                <w:rFonts w:eastAsia="Times New Roman"/>
                <w:b/>
                <w:bCs/>
                <w:color w:val="000000"/>
                <w:szCs w:val="24"/>
                <w:lang w:eastAsia="cs-CZ"/>
              </w:rPr>
              <w:t>,</w:t>
            </w:r>
            <w:r w:rsidRPr="000310DC">
              <w:rPr>
                <w:rFonts w:eastAsia="Times New Roman"/>
                <w:b/>
                <w:bCs/>
                <w:color w:val="000000"/>
                <w:szCs w:val="24"/>
                <w:lang w:eastAsia="cs-CZ"/>
              </w:rPr>
              <w:t>75</w:t>
            </w:r>
          </w:p>
        </w:tc>
        <w:tc>
          <w:tcPr>
            <w:tcW w:w="709" w:type="dxa"/>
            <w:tcBorders>
              <w:top w:val="nil"/>
              <w:left w:val="nil"/>
              <w:bottom w:val="double" w:sz="6" w:space="0" w:color="auto"/>
              <w:right w:val="single" w:sz="4" w:space="0" w:color="auto"/>
            </w:tcBorders>
            <w:shd w:val="clear" w:color="auto" w:fill="auto"/>
            <w:noWrap/>
            <w:vAlign w:val="center"/>
            <w:hideMark/>
          </w:tcPr>
          <w:p w14:paraId="48379B16"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+0 %  </w:t>
            </w:r>
          </w:p>
        </w:tc>
        <w:tc>
          <w:tcPr>
            <w:tcW w:w="1417" w:type="dxa"/>
            <w:tcBorders>
              <w:top w:val="nil"/>
              <w:left w:val="nil"/>
              <w:bottom w:val="double" w:sz="6" w:space="0" w:color="auto"/>
              <w:right w:val="nil"/>
            </w:tcBorders>
            <w:shd w:val="clear" w:color="auto" w:fill="auto"/>
            <w:noWrap/>
            <w:vAlign w:val="bottom"/>
            <w:hideMark/>
          </w:tcPr>
          <w:p w14:paraId="18458624" w14:textId="03F9DDA6"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114</w:t>
            </w:r>
            <w:r>
              <w:rPr>
                <w:rFonts w:eastAsia="Times New Roman"/>
                <w:b/>
                <w:bCs/>
                <w:color w:val="000000"/>
                <w:szCs w:val="24"/>
                <w:lang w:eastAsia="cs-CZ"/>
              </w:rPr>
              <w:t>,</w:t>
            </w:r>
            <w:r w:rsidRPr="000310DC">
              <w:rPr>
                <w:rFonts w:eastAsia="Times New Roman"/>
                <w:b/>
                <w:bCs/>
                <w:color w:val="000000"/>
                <w:szCs w:val="24"/>
                <w:lang w:eastAsia="cs-CZ"/>
              </w:rPr>
              <w:t>85</w:t>
            </w:r>
          </w:p>
        </w:tc>
        <w:tc>
          <w:tcPr>
            <w:tcW w:w="709" w:type="dxa"/>
            <w:tcBorders>
              <w:top w:val="nil"/>
              <w:left w:val="nil"/>
              <w:bottom w:val="double" w:sz="6" w:space="0" w:color="auto"/>
              <w:right w:val="nil"/>
            </w:tcBorders>
            <w:shd w:val="clear" w:color="auto" w:fill="auto"/>
            <w:noWrap/>
            <w:vAlign w:val="center"/>
            <w:hideMark/>
          </w:tcPr>
          <w:p w14:paraId="3E37E32D" w14:textId="77777777" w:rsidR="000310DC" w:rsidRPr="000310DC" w:rsidRDefault="000310DC" w:rsidP="000310DC">
            <w:pPr>
              <w:spacing w:line="240" w:lineRule="auto"/>
              <w:rPr>
                <w:rFonts w:eastAsia="Times New Roman"/>
                <w:b/>
                <w:bCs/>
                <w:color w:val="000000"/>
                <w:sz w:val="20"/>
                <w:szCs w:val="20"/>
                <w:lang w:eastAsia="cs-CZ"/>
              </w:rPr>
            </w:pPr>
            <w:r w:rsidRPr="000310DC">
              <w:rPr>
                <w:rFonts w:eastAsia="Times New Roman"/>
                <w:b/>
                <w:bCs/>
                <w:color w:val="000000"/>
                <w:sz w:val="20"/>
                <w:szCs w:val="20"/>
                <w:lang w:eastAsia="cs-CZ"/>
              </w:rPr>
              <w:t xml:space="preserve">-2 %  </w:t>
            </w:r>
          </w:p>
        </w:tc>
      </w:tr>
      <w:tr w:rsidR="000310DC" w:rsidRPr="000310DC" w14:paraId="359896F3" w14:textId="77777777" w:rsidTr="0057327F">
        <w:trPr>
          <w:trHeight w:val="330"/>
        </w:trPr>
        <w:tc>
          <w:tcPr>
            <w:tcW w:w="1820" w:type="dxa"/>
            <w:tcBorders>
              <w:top w:val="nil"/>
              <w:left w:val="nil"/>
              <w:bottom w:val="nil"/>
              <w:right w:val="nil"/>
            </w:tcBorders>
            <w:shd w:val="clear" w:color="auto" w:fill="auto"/>
            <w:noWrap/>
            <w:vAlign w:val="bottom"/>
            <w:hideMark/>
          </w:tcPr>
          <w:p w14:paraId="543A4A99" w14:textId="77777777" w:rsidR="000310DC" w:rsidRPr="000310DC" w:rsidRDefault="000310DC" w:rsidP="000310DC">
            <w:pPr>
              <w:spacing w:line="240" w:lineRule="auto"/>
              <w:jc w:val="center"/>
              <w:rPr>
                <w:rFonts w:eastAsia="Times New Roman"/>
                <w:b/>
                <w:bCs/>
                <w:color w:val="000000"/>
                <w:sz w:val="20"/>
                <w:szCs w:val="20"/>
                <w:lang w:eastAsia="cs-CZ"/>
              </w:rPr>
            </w:pPr>
          </w:p>
        </w:tc>
        <w:tc>
          <w:tcPr>
            <w:tcW w:w="1157" w:type="dxa"/>
            <w:tcBorders>
              <w:top w:val="nil"/>
              <w:left w:val="nil"/>
              <w:bottom w:val="nil"/>
              <w:right w:val="nil"/>
            </w:tcBorders>
            <w:shd w:val="clear" w:color="auto" w:fill="auto"/>
            <w:noWrap/>
            <w:vAlign w:val="bottom"/>
            <w:hideMark/>
          </w:tcPr>
          <w:p w14:paraId="5B4CB9D5"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2981F50D"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709" w:type="dxa"/>
            <w:tcBorders>
              <w:top w:val="nil"/>
              <w:left w:val="nil"/>
              <w:bottom w:val="nil"/>
              <w:right w:val="nil"/>
            </w:tcBorders>
            <w:shd w:val="clear" w:color="auto" w:fill="auto"/>
            <w:noWrap/>
            <w:vAlign w:val="bottom"/>
            <w:hideMark/>
          </w:tcPr>
          <w:p w14:paraId="79A2B0F0"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bottom"/>
            <w:hideMark/>
          </w:tcPr>
          <w:p w14:paraId="716AD062"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709" w:type="dxa"/>
            <w:tcBorders>
              <w:top w:val="nil"/>
              <w:left w:val="nil"/>
              <w:bottom w:val="nil"/>
              <w:right w:val="nil"/>
            </w:tcBorders>
            <w:shd w:val="clear" w:color="auto" w:fill="auto"/>
            <w:noWrap/>
            <w:vAlign w:val="bottom"/>
            <w:hideMark/>
          </w:tcPr>
          <w:p w14:paraId="29C940B4"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bottom"/>
            <w:hideMark/>
          </w:tcPr>
          <w:p w14:paraId="28C41208"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709" w:type="dxa"/>
            <w:tcBorders>
              <w:top w:val="nil"/>
              <w:left w:val="nil"/>
              <w:bottom w:val="nil"/>
              <w:right w:val="nil"/>
            </w:tcBorders>
            <w:shd w:val="clear" w:color="auto" w:fill="auto"/>
            <w:noWrap/>
            <w:vAlign w:val="bottom"/>
            <w:hideMark/>
          </w:tcPr>
          <w:p w14:paraId="04F4922E"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r>
    </w:tbl>
    <w:p w14:paraId="126F92FE" w14:textId="51B95679" w:rsidR="001A080C" w:rsidRPr="00033A3F" w:rsidRDefault="001A080C" w:rsidP="001A080C">
      <w:pPr>
        <w:pStyle w:val="OdstavecASR"/>
        <w:rPr>
          <w:color w:val="000000" w:themeColor="text1"/>
        </w:rPr>
      </w:pPr>
      <w:r w:rsidRPr="00033A3F">
        <w:rPr>
          <w:color w:val="000000" w:themeColor="text1"/>
        </w:rPr>
        <w:t>Pokud srovnáme data s předchozím rokem, vidíme, že počet příchozích věcí, vyřízených i nevyřízených věcí na soudce (na skutečný počet úvazků) se prakticky nezměnil.</w:t>
      </w:r>
    </w:p>
    <w:p w14:paraId="60A2E1B0" w14:textId="3254BA4D" w:rsidR="001A080C" w:rsidRPr="00033A3F" w:rsidRDefault="001A080C" w:rsidP="001A080C">
      <w:pPr>
        <w:pStyle w:val="Podnadpis"/>
        <w:rPr>
          <w:color w:val="000000" w:themeColor="text1"/>
        </w:rPr>
      </w:pPr>
      <w:bookmarkStart w:id="293" w:name="_Toc515871336"/>
      <w:bookmarkStart w:id="294" w:name="_Toc11135072"/>
      <w:bookmarkStart w:id="295" w:name="_Toc43841391"/>
      <w:bookmarkStart w:id="296" w:name="_Toc75952192"/>
      <w:bookmarkStart w:id="297" w:name="_Toc106106645"/>
      <w:bookmarkStart w:id="298" w:name="_Toc144104123"/>
      <w:bookmarkStart w:id="299" w:name="_Toc169250931"/>
      <w:bookmarkStart w:id="300" w:name="_Toc174080617"/>
      <w:bookmarkStart w:id="301" w:name="_Toc193530767"/>
      <w:bookmarkStart w:id="302" w:name="_Toc193634041"/>
      <w:bookmarkStart w:id="303" w:name="_Toc20303283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w:t>
      </w:r>
      <w:r w:rsidRPr="00033A3F">
        <w:rPr>
          <w:color w:val="000000" w:themeColor="text1"/>
        </w:rPr>
        <w:fldChar w:fldCharType="end"/>
      </w:r>
      <w:r w:rsidRPr="00033A3F">
        <w:rPr>
          <w:color w:val="000000" w:themeColor="text1"/>
        </w:rPr>
        <w:t>: OS – počet nevyř. civilních věcí na úvazek u jednotlivých soudů</w:t>
      </w:r>
      <w:bookmarkEnd w:id="293"/>
      <w:bookmarkEnd w:id="294"/>
      <w:bookmarkEnd w:id="295"/>
      <w:bookmarkEnd w:id="296"/>
      <w:bookmarkEnd w:id="297"/>
      <w:bookmarkEnd w:id="298"/>
      <w:r w:rsidRPr="00033A3F">
        <w:rPr>
          <w:color w:val="000000" w:themeColor="text1"/>
        </w:rPr>
        <w:t xml:space="preserve">, </w:t>
      </w:r>
      <w:bookmarkEnd w:id="299"/>
      <w:bookmarkEnd w:id="300"/>
      <w:r w:rsidR="005E53E6" w:rsidRPr="00033A3F">
        <w:rPr>
          <w:color w:val="000000" w:themeColor="text1"/>
        </w:rPr>
        <w:t>2024</w:t>
      </w:r>
      <w:bookmarkEnd w:id="301"/>
      <w:bookmarkEnd w:id="302"/>
      <w:bookmarkEnd w:id="303"/>
    </w:p>
    <w:p w14:paraId="421BABDB" w14:textId="09DA507C" w:rsidR="00DF373B" w:rsidRPr="00033A3F" w:rsidRDefault="00CD17B2" w:rsidP="00DF373B">
      <w:pPr>
        <w:rPr>
          <w:color w:val="000000" w:themeColor="text1"/>
        </w:rPr>
      </w:pPr>
      <w:r w:rsidRPr="00033A3F">
        <w:rPr>
          <w:noProof/>
          <w:color w:val="000000" w:themeColor="text1"/>
          <w:lang w:eastAsia="cs-CZ"/>
        </w:rPr>
        <w:drawing>
          <wp:anchor distT="0" distB="0" distL="114300" distR="114300" simplePos="0" relativeHeight="251683840" behindDoc="0" locked="0" layoutInCell="1" allowOverlap="1" wp14:anchorId="6D8132B0" wp14:editId="602EB1F9">
            <wp:simplePos x="0" y="0"/>
            <wp:positionH relativeFrom="margin">
              <wp:align>right</wp:align>
            </wp:positionH>
            <wp:positionV relativeFrom="paragraph">
              <wp:posOffset>13335</wp:posOffset>
            </wp:positionV>
            <wp:extent cx="1231106" cy="895350"/>
            <wp:effectExtent l="0" t="0" r="7620" b="0"/>
            <wp:wrapNone/>
            <wp:docPr id="25943371"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1106"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7B15" w:rsidRPr="00CF7B15">
        <w:rPr>
          <w:noProof/>
          <w:color w:val="000000" w:themeColor="text1"/>
        </w:rPr>
        <w:drawing>
          <wp:inline distT="0" distB="0" distL="0" distR="0" wp14:anchorId="7EA9F842" wp14:editId="7C2DCD85">
            <wp:extent cx="5760720" cy="3296920"/>
            <wp:effectExtent l="0" t="0" r="0" b="0"/>
            <wp:docPr id="1644409004"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7CC4F06F" w14:textId="2438052D" w:rsidR="00E8740C" w:rsidRPr="00033A3F" w:rsidRDefault="00E8740C" w:rsidP="00E8740C">
      <w:pPr>
        <w:pStyle w:val="OdstavecASR"/>
        <w:rPr>
          <w:color w:val="000000" w:themeColor="text1"/>
        </w:rPr>
      </w:pPr>
      <w:r w:rsidRPr="00033A3F">
        <w:rPr>
          <w:color w:val="000000" w:themeColor="text1"/>
        </w:rPr>
        <w:t>Nejvyšší počet nevyřízených věcí na soudce mají OS Litoměřice (1</w:t>
      </w:r>
      <w:r w:rsidR="00657DF0">
        <w:rPr>
          <w:color w:val="000000" w:themeColor="text1"/>
        </w:rPr>
        <w:t>9</w:t>
      </w:r>
      <w:r w:rsidRPr="00033A3F">
        <w:rPr>
          <w:color w:val="000000" w:themeColor="text1"/>
        </w:rPr>
        <w:t>7 věcí), OS Ostrava (</w:t>
      </w:r>
      <w:r w:rsidR="00A63430" w:rsidRPr="00033A3F">
        <w:rPr>
          <w:color w:val="000000" w:themeColor="text1"/>
        </w:rPr>
        <w:t>173</w:t>
      </w:r>
      <w:r w:rsidRPr="00033A3F">
        <w:rPr>
          <w:color w:val="000000" w:themeColor="text1"/>
        </w:rPr>
        <w:t> věcí)</w:t>
      </w:r>
      <w:r w:rsidR="00657DF0">
        <w:rPr>
          <w:color w:val="000000" w:themeColor="text1"/>
        </w:rPr>
        <w:t xml:space="preserve"> a OS pro Prahu 1(172 věcí)</w:t>
      </w:r>
      <w:r w:rsidRPr="00033A3F">
        <w:rPr>
          <w:color w:val="000000" w:themeColor="text1"/>
        </w:rPr>
        <w:t>. Soudy s nejmenším počtem nevyřízených věcí na soudce jsou OS Pelhřimov (55 věcí), OS Náchod (57 věcí) a OS Karlovy Vary (67 věcí).</w:t>
      </w:r>
    </w:p>
    <w:p w14:paraId="496D60D4" w14:textId="505FA911" w:rsidR="00D97669" w:rsidRPr="00033A3F" w:rsidRDefault="00D5538C" w:rsidP="00D5538C">
      <w:pPr>
        <w:pStyle w:val="Nadpis3"/>
        <w:numPr>
          <w:ilvl w:val="2"/>
          <w:numId w:val="1"/>
        </w:numPr>
        <w:rPr>
          <w:color w:val="000000" w:themeColor="text1"/>
        </w:rPr>
      </w:pPr>
      <w:bookmarkStart w:id="304" w:name="_Toc43903027"/>
      <w:bookmarkStart w:id="305" w:name="_Toc106092721"/>
      <w:bookmarkStart w:id="306" w:name="_Toc169250805"/>
      <w:bookmarkStart w:id="307" w:name="_Toc193530966"/>
      <w:bookmarkStart w:id="308" w:name="_Toc193957023"/>
      <w:bookmarkStart w:id="309" w:name="_Toc203032713"/>
      <w:bookmarkEnd w:id="277"/>
      <w:bookmarkEnd w:id="278"/>
      <w:bookmarkEnd w:id="279"/>
      <w:bookmarkEnd w:id="280"/>
      <w:bookmarkEnd w:id="281"/>
      <w:bookmarkEnd w:id="282"/>
      <w:r w:rsidRPr="00033A3F">
        <w:rPr>
          <w:color w:val="000000" w:themeColor="text1"/>
        </w:rPr>
        <w:lastRenderedPageBreak/>
        <w:t>Disposition time</w:t>
      </w:r>
      <w:bookmarkEnd w:id="304"/>
      <w:r w:rsidRPr="00033A3F">
        <w:rPr>
          <w:color w:val="000000" w:themeColor="text1"/>
        </w:rPr>
        <w:t xml:space="preserve"> (dispoziční čas)</w:t>
      </w:r>
      <w:bookmarkEnd w:id="305"/>
      <w:bookmarkEnd w:id="306"/>
      <w:bookmarkEnd w:id="307"/>
      <w:bookmarkEnd w:id="308"/>
      <w:bookmarkEnd w:id="309"/>
    </w:p>
    <w:p w14:paraId="2476BB43" w14:textId="77777777" w:rsidR="00E81100" w:rsidRPr="00033A3F" w:rsidRDefault="00E81100" w:rsidP="00E81100">
      <w:pPr>
        <w:pStyle w:val="OdstavecASR"/>
        <w:rPr>
          <w:color w:val="000000" w:themeColor="text1"/>
        </w:rPr>
      </w:pPr>
      <w:r w:rsidRPr="00033A3F">
        <w:rPr>
          <w:color w:val="000000" w:themeColor="text1"/>
        </w:rPr>
        <w:t>Disposition time je vypočítán podle metodiky CEPEJ</w:t>
      </w:r>
      <w:r w:rsidRPr="00033A3F">
        <w:rPr>
          <w:rStyle w:val="Znakapoznpodarou"/>
          <w:color w:val="000000" w:themeColor="text1"/>
        </w:rPr>
        <w:footnoteReference w:id="6"/>
      </w:r>
      <w:r w:rsidRPr="00033A3F">
        <w:rPr>
          <w:color w:val="000000" w:themeColor="text1"/>
        </w:rPr>
        <w:t xml:space="preserve"> jako (počet nevyřízených věcí na konci daného období) / (počet vyřízených věcí v daném období) × 365. Tento údaj tedy v podstatě ukazuje, za kolik dní by při stejném tempu soud vyřídil všechny nevyřízené věci, které u něj dnes „leží“, kdyby k němu již žádné další nenapadaly. Nejedná se o délku řízení, jak by se mohlo podle názvu zdát. Délka řízení je vypočtena z jiného zdroje dat a jedná se o jiný ukazatel. Disposition time (DT) se od délky řízení tedy může výrazně lišit. V případě DT je však spíše než absolutní hodnota důležité relativní srovnání mezi roky a soudy.</w:t>
      </w:r>
    </w:p>
    <w:p w14:paraId="25620A72" w14:textId="61BEBCF2" w:rsidR="00E81100" w:rsidRPr="00033A3F" w:rsidRDefault="00E81100" w:rsidP="00E81100">
      <w:pPr>
        <w:pStyle w:val="OdstavecASR"/>
        <w:rPr>
          <w:color w:val="000000" w:themeColor="text1"/>
        </w:rPr>
      </w:pPr>
      <w:r w:rsidRPr="00033A3F">
        <w:rPr>
          <w:color w:val="000000" w:themeColor="text1"/>
        </w:rPr>
        <w:t>Účel DT je podobný jako u přepočtu věcí na jednoho soudce – tedy zohlednit velikost soudů. Mezi ukazateli je ale jeden podstatný rozdíl. Počet nevyřízených věcí na soudce se zaměřuje čistě na to, jak je daný soud zatížený, a u méně zatížených soudů tedy bude vždy vykazovat příznivé hodnoty. Na druhou stranu DT zohledňuje i počet vyřízených věcí, a může tedy teoreticky vyjít vysoký i u soudů s malým počtem nevyřízených věcí, byť tomu tak většinou není. Pokud by hodnota DT byla vyšší než 365, soud by měl více nevyřízených než vyřízených věcí.</w:t>
      </w:r>
    </w:p>
    <w:p w14:paraId="3D378B1C" w14:textId="77777777" w:rsidR="00E81100" w:rsidRPr="00033A3F" w:rsidRDefault="00E81100" w:rsidP="00E81100">
      <w:pPr>
        <w:pStyle w:val="OdstavecASR"/>
        <w:rPr>
          <w:color w:val="000000" w:themeColor="text1"/>
        </w:rPr>
      </w:pPr>
      <w:r w:rsidRPr="00033A3F">
        <w:rPr>
          <w:color w:val="000000" w:themeColor="text1"/>
        </w:rPr>
        <w:t>Oba ukazatele tak mají poměrně dobrou vypovídající hodnotu o vyřizování věcí u soudů, ale každý vypovídá o jiném aspektu takového porovnání. Srovnání grafů 12 a 14 ukazuje, že výsledky jednotlivých soudů v obou ukazatelích se mírně liší.</w:t>
      </w:r>
    </w:p>
    <w:p w14:paraId="38836409" w14:textId="09E981D0" w:rsidR="00E81100" w:rsidRPr="00033A3F" w:rsidRDefault="00E81100" w:rsidP="00E81100">
      <w:pPr>
        <w:pStyle w:val="OdstavecASR"/>
        <w:rPr>
          <w:color w:val="000000" w:themeColor="text1"/>
          <w:szCs w:val="24"/>
        </w:rPr>
      </w:pPr>
      <w:r w:rsidRPr="00033A3F">
        <w:rPr>
          <w:color w:val="000000" w:themeColor="text1"/>
          <w:szCs w:val="24"/>
        </w:rPr>
        <w:t xml:space="preserve">Disposition time je samozřejmě silně ovlivněn změnami v nápadu a v počtu vyřízených věcí. Tyto změny jsou okomentovány v podkapitole 2.2.2. Celkově </w:t>
      </w:r>
      <w:r w:rsidRPr="00033A3F">
        <w:rPr>
          <w:color w:val="000000" w:themeColor="text1"/>
        </w:rPr>
        <w:t>se dá</w:t>
      </w:r>
      <w:r w:rsidRPr="00033A3F">
        <w:rPr>
          <w:color w:val="000000" w:themeColor="text1"/>
          <w:szCs w:val="24"/>
        </w:rPr>
        <w:t xml:space="preserve"> konstatovat, že DT v letech 2015 až 2019 pozvolna klesal. V roce 2020 ale došlo k prudkému nárůstu DT o 25 dnů (+19 %). Důvodem je, že klesl počet vyřízených věcí a zároveň vzrostl počet věcí nevyřízených. Při detailnějším pohledu je důležitý klesající trend DT v letech 2014–2016, a to i přes klesající nápad a počet vyřízených věcí. V roce 2021 DT opět klesl na 134 dnů, tedy stejnou hodnotu, jaké dosáhl v roce 2019, což je zapříčiněno nárůstem v počtu vyřízených věcí za stejného nápadu – </w:t>
      </w:r>
      <w:r w:rsidRPr="00033A3F">
        <w:rPr>
          <w:color w:val="000000" w:themeColor="text1"/>
        </w:rPr>
        <w:t xml:space="preserve">tato kombinace faktorů vedla </w:t>
      </w:r>
      <w:r w:rsidRPr="00033A3F">
        <w:rPr>
          <w:color w:val="000000" w:themeColor="text1"/>
          <w:szCs w:val="24"/>
        </w:rPr>
        <w:t>k poklesu v počtu nevyřízených věcí. V letech 2022 a</w:t>
      </w:r>
      <w:r w:rsidR="007427A6" w:rsidRPr="00033A3F">
        <w:rPr>
          <w:color w:val="000000" w:themeColor="text1"/>
          <w:szCs w:val="24"/>
        </w:rPr>
        <w:t>ž</w:t>
      </w:r>
      <w:r w:rsidRPr="00033A3F">
        <w:rPr>
          <w:color w:val="000000" w:themeColor="text1"/>
          <w:szCs w:val="24"/>
        </w:rPr>
        <w:t xml:space="preserve"> 202</w:t>
      </w:r>
      <w:r w:rsidR="007427A6" w:rsidRPr="00033A3F">
        <w:rPr>
          <w:color w:val="000000" w:themeColor="text1"/>
          <w:szCs w:val="24"/>
        </w:rPr>
        <w:t>4</w:t>
      </w:r>
      <w:r w:rsidRPr="00033A3F">
        <w:rPr>
          <w:color w:val="000000" w:themeColor="text1"/>
          <w:szCs w:val="24"/>
        </w:rPr>
        <w:t xml:space="preserve"> DT </w:t>
      </w:r>
      <w:r w:rsidR="00A41853" w:rsidRPr="00033A3F">
        <w:rPr>
          <w:color w:val="000000" w:themeColor="text1"/>
          <w:szCs w:val="24"/>
        </w:rPr>
        <w:t>pokračoval v</w:t>
      </w:r>
      <w:r w:rsidR="0057327F">
        <w:rPr>
          <w:color w:val="000000" w:themeColor="text1"/>
          <w:szCs w:val="24"/>
        </w:rPr>
        <w:t> </w:t>
      </w:r>
      <w:r w:rsidR="00A41853" w:rsidRPr="00033A3F">
        <w:rPr>
          <w:color w:val="000000" w:themeColor="text1"/>
          <w:szCs w:val="24"/>
        </w:rPr>
        <w:t>poklesu</w:t>
      </w:r>
      <w:r w:rsidRPr="00033A3F">
        <w:rPr>
          <w:color w:val="000000" w:themeColor="text1"/>
          <w:szCs w:val="24"/>
        </w:rPr>
        <w:t xml:space="preserve">, protože </w:t>
      </w:r>
      <w:r w:rsidR="00A41853" w:rsidRPr="00033A3F">
        <w:rPr>
          <w:color w:val="000000" w:themeColor="text1"/>
          <w:szCs w:val="24"/>
        </w:rPr>
        <w:t>se snížil</w:t>
      </w:r>
      <w:r w:rsidRPr="00033A3F">
        <w:rPr>
          <w:color w:val="000000" w:themeColor="text1"/>
          <w:szCs w:val="24"/>
        </w:rPr>
        <w:t xml:space="preserve"> počet nevyřízených věcí. </w:t>
      </w:r>
      <w:r w:rsidR="00274B4E" w:rsidRPr="00033A3F">
        <w:rPr>
          <w:color w:val="000000" w:themeColor="text1"/>
          <w:szCs w:val="24"/>
        </w:rPr>
        <w:t>Snížení</w:t>
      </w:r>
      <w:r w:rsidR="00A41853" w:rsidRPr="00033A3F">
        <w:rPr>
          <w:color w:val="000000" w:themeColor="text1"/>
          <w:szCs w:val="24"/>
        </w:rPr>
        <w:t xml:space="preserve"> DT </w:t>
      </w:r>
      <w:r w:rsidR="007427A6" w:rsidRPr="00033A3F">
        <w:rPr>
          <w:color w:val="000000" w:themeColor="text1"/>
          <w:szCs w:val="24"/>
        </w:rPr>
        <w:t>v roce 2024 byl</w:t>
      </w:r>
      <w:r w:rsidR="00274B4E" w:rsidRPr="00033A3F">
        <w:rPr>
          <w:color w:val="000000" w:themeColor="text1"/>
          <w:szCs w:val="24"/>
        </w:rPr>
        <w:t>o</w:t>
      </w:r>
      <w:r w:rsidR="007427A6" w:rsidRPr="00033A3F">
        <w:rPr>
          <w:color w:val="000000" w:themeColor="text1"/>
          <w:szCs w:val="24"/>
        </w:rPr>
        <w:t xml:space="preserve"> už ale minimální.</w:t>
      </w:r>
    </w:p>
    <w:p w14:paraId="493516D2" w14:textId="4E8CA0E2" w:rsidR="00E81100" w:rsidRPr="00033A3F" w:rsidRDefault="00E81100" w:rsidP="00E81100">
      <w:pPr>
        <w:pStyle w:val="Podnadpis"/>
        <w:rPr>
          <w:color w:val="000000" w:themeColor="text1"/>
        </w:rPr>
      </w:pPr>
      <w:bookmarkStart w:id="310" w:name="_Toc515871340"/>
      <w:bookmarkStart w:id="311" w:name="_Toc11135075"/>
      <w:bookmarkStart w:id="312" w:name="_Toc43841392"/>
      <w:bookmarkStart w:id="313" w:name="_Toc75952193"/>
      <w:bookmarkStart w:id="314" w:name="_Toc106106646"/>
      <w:bookmarkStart w:id="315" w:name="_Toc144104124"/>
      <w:bookmarkStart w:id="316" w:name="_Toc169250932"/>
      <w:bookmarkStart w:id="317" w:name="_Toc174080618"/>
      <w:bookmarkStart w:id="318" w:name="_Toc193530768"/>
      <w:bookmarkStart w:id="319" w:name="_Toc193634042"/>
      <w:bookmarkStart w:id="320" w:name="_Toc203032840"/>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w:t>
      </w:r>
      <w:r w:rsidRPr="00033A3F">
        <w:rPr>
          <w:color w:val="000000" w:themeColor="text1"/>
        </w:rPr>
        <w:fldChar w:fldCharType="end"/>
      </w:r>
      <w:r w:rsidRPr="00033A3F">
        <w:rPr>
          <w:color w:val="000000" w:themeColor="text1"/>
        </w:rPr>
        <w:t>: OS – disposition time civilního řízení v letech 2015–20</w:t>
      </w:r>
      <w:bookmarkEnd w:id="310"/>
      <w:bookmarkEnd w:id="311"/>
      <w:bookmarkEnd w:id="312"/>
      <w:r w:rsidRPr="00033A3F">
        <w:rPr>
          <w:color w:val="000000" w:themeColor="text1"/>
        </w:rPr>
        <w:t>2</w:t>
      </w:r>
      <w:bookmarkEnd w:id="313"/>
      <w:bookmarkEnd w:id="314"/>
      <w:bookmarkEnd w:id="315"/>
      <w:bookmarkEnd w:id="316"/>
      <w:bookmarkEnd w:id="317"/>
      <w:r w:rsidRPr="00033A3F">
        <w:rPr>
          <w:color w:val="000000" w:themeColor="text1"/>
        </w:rPr>
        <w:t>4</w:t>
      </w:r>
      <w:bookmarkEnd w:id="318"/>
      <w:bookmarkEnd w:id="319"/>
      <w:bookmarkEnd w:id="320"/>
    </w:p>
    <w:p w14:paraId="17E86345" w14:textId="0CA4135E" w:rsidR="00E81100" w:rsidRPr="00033A3F" w:rsidRDefault="007427A6" w:rsidP="00E81100">
      <w:pPr>
        <w:pStyle w:val="OdstavecASR"/>
        <w:rPr>
          <w:color w:val="000000" w:themeColor="text1"/>
          <w:szCs w:val="24"/>
        </w:rPr>
      </w:pPr>
      <w:r w:rsidRPr="00033A3F">
        <w:rPr>
          <w:noProof/>
          <w:color w:val="000000" w:themeColor="text1"/>
          <w:szCs w:val="24"/>
          <w:lang w:eastAsia="cs-CZ"/>
        </w:rPr>
        <w:drawing>
          <wp:inline distT="0" distB="0" distL="0" distR="0" wp14:anchorId="31C7AAC5" wp14:editId="34A56025">
            <wp:extent cx="5029200" cy="3657600"/>
            <wp:effectExtent l="0" t="0" r="0" b="0"/>
            <wp:docPr id="883600864"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432CC47" w14:textId="544968B0" w:rsidR="007427A6" w:rsidRPr="00033A3F" w:rsidRDefault="007427A6" w:rsidP="007427A6">
      <w:pPr>
        <w:pStyle w:val="Podnadpis"/>
        <w:rPr>
          <w:color w:val="000000" w:themeColor="text1"/>
        </w:rPr>
      </w:pPr>
      <w:bookmarkStart w:id="321" w:name="_Toc75952316"/>
      <w:bookmarkStart w:id="322" w:name="_Toc106106775"/>
      <w:bookmarkStart w:id="323" w:name="_Toc144104252"/>
      <w:bookmarkStart w:id="324" w:name="_Toc169251068"/>
      <w:bookmarkStart w:id="325" w:name="_Toc174080754"/>
      <w:bookmarkStart w:id="326" w:name="_Toc193530889"/>
      <w:bookmarkStart w:id="327" w:name="_Toc194045584"/>
      <w:bookmarkStart w:id="328" w:name="_Toc199494993"/>
      <w:bookmarkStart w:id="329" w:name="_Toc203033053"/>
      <w:bookmarkStart w:id="330" w:name="_Toc203033131"/>
      <w:r w:rsidRPr="00033A3F">
        <w:rPr>
          <w:color w:val="000000" w:themeColor="text1"/>
        </w:rPr>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11</w:t>
      </w:r>
      <w:r w:rsidRPr="00033A3F">
        <w:rPr>
          <w:color w:val="000000" w:themeColor="text1"/>
        </w:rPr>
        <w:fldChar w:fldCharType="end"/>
      </w:r>
      <w:r w:rsidRPr="00033A3F">
        <w:rPr>
          <w:color w:val="000000" w:themeColor="text1"/>
        </w:rPr>
        <w:t>: OS – disposition time v civilním řízení dle krajů</w:t>
      </w:r>
      <w:bookmarkEnd w:id="321"/>
      <w:bookmarkEnd w:id="322"/>
      <w:bookmarkEnd w:id="323"/>
      <w:r w:rsidRPr="00033A3F">
        <w:rPr>
          <w:color w:val="000000" w:themeColor="text1"/>
        </w:rPr>
        <w:t xml:space="preserve">, </w:t>
      </w:r>
      <w:bookmarkEnd w:id="324"/>
      <w:bookmarkEnd w:id="325"/>
      <w:bookmarkEnd w:id="326"/>
      <w:r w:rsidR="00776EBB" w:rsidRPr="00033A3F">
        <w:rPr>
          <w:color w:val="000000" w:themeColor="text1"/>
        </w:rPr>
        <w:t>2024</w:t>
      </w:r>
      <w:bookmarkEnd w:id="327"/>
      <w:bookmarkEnd w:id="328"/>
      <w:bookmarkEnd w:id="329"/>
      <w:bookmarkEnd w:id="330"/>
    </w:p>
    <w:tbl>
      <w:tblPr>
        <w:tblW w:w="5020" w:type="dxa"/>
        <w:tblCellMar>
          <w:left w:w="70" w:type="dxa"/>
          <w:right w:w="70" w:type="dxa"/>
        </w:tblCellMar>
        <w:tblLook w:val="04A0" w:firstRow="1" w:lastRow="0" w:firstColumn="1" w:lastColumn="0" w:noHBand="0" w:noVBand="1"/>
      </w:tblPr>
      <w:tblGrid>
        <w:gridCol w:w="2780"/>
        <w:gridCol w:w="883"/>
        <w:gridCol w:w="1357"/>
      </w:tblGrid>
      <w:tr w:rsidR="00033A3F" w:rsidRPr="00033A3F" w14:paraId="3285F132" w14:textId="77777777" w:rsidTr="007427A6">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E7DD58E" w14:textId="77777777" w:rsidR="007427A6" w:rsidRPr="00033A3F" w:rsidRDefault="007427A6" w:rsidP="007427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2240" w:type="dxa"/>
            <w:gridSpan w:val="2"/>
            <w:tcBorders>
              <w:top w:val="double" w:sz="6" w:space="0" w:color="auto"/>
              <w:left w:val="nil"/>
              <w:bottom w:val="double" w:sz="6" w:space="0" w:color="auto"/>
              <w:right w:val="nil"/>
            </w:tcBorders>
            <w:shd w:val="clear" w:color="auto" w:fill="auto"/>
            <w:noWrap/>
            <w:vAlign w:val="center"/>
            <w:hideMark/>
          </w:tcPr>
          <w:p w14:paraId="0C76541F" w14:textId="77777777" w:rsidR="007427A6" w:rsidRPr="00033A3F" w:rsidRDefault="007427A6" w:rsidP="007427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Disposition time</w:t>
            </w:r>
          </w:p>
        </w:tc>
      </w:tr>
      <w:tr w:rsidR="00033A3F" w:rsidRPr="00033A3F" w14:paraId="7B133BBB" w14:textId="77777777" w:rsidTr="007427A6">
        <w:trPr>
          <w:trHeight w:val="330"/>
        </w:trPr>
        <w:tc>
          <w:tcPr>
            <w:tcW w:w="2780" w:type="dxa"/>
            <w:tcBorders>
              <w:top w:val="nil"/>
              <w:left w:val="nil"/>
              <w:bottom w:val="single" w:sz="4" w:space="0" w:color="auto"/>
              <w:right w:val="nil"/>
            </w:tcBorders>
            <w:shd w:val="clear" w:color="auto" w:fill="auto"/>
            <w:noWrap/>
            <w:vAlign w:val="bottom"/>
            <w:hideMark/>
          </w:tcPr>
          <w:p w14:paraId="5782CD06"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883" w:type="dxa"/>
            <w:tcBorders>
              <w:top w:val="nil"/>
              <w:left w:val="nil"/>
              <w:bottom w:val="single" w:sz="4" w:space="0" w:color="auto"/>
              <w:right w:val="nil"/>
            </w:tcBorders>
            <w:shd w:val="clear" w:color="auto" w:fill="auto"/>
            <w:noWrap/>
            <w:vAlign w:val="bottom"/>
            <w:hideMark/>
          </w:tcPr>
          <w:p w14:paraId="5000526B"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130</w:t>
            </w:r>
          </w:p>
        </w:tc>
        <w:tc>
          <w:tcPr>
            <w:tcW w:w="1357" w:type="dxa"/>
            <w:tcBorders>
              <w:top w:val="single" w:sz="4" w:space="0" w:color="auto"/>
              <w:left w:val="nil"/>
              <w:bottom w:val="single" w:sz="4" w:space="0" w:color="auto"/>
              <w:right w:val="nil"/>
            </w:tcBorders>
            <w:shd w:val="clear" w:color="auto" w:fill="auto"/>
            <w:noWrap/>
            <w:vAlign w:val="center"/>
            <w:hideMark/>
          </w:tcPr>
          <w:p w14:paraId="3766BAA6" w14:textId="5406FB34"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308687FD"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2BE77570"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883" w:type="dxa"/>
            <w:tcBorders>
              <w:top w:val="nil"/>
              <w:left w:val="nil"/>
              <w:bottom w:val="single" w:sz="4" w:space="0" w:color="auto"/>
              <w:right w:val="nil"/>
            </w:tcBorders>
            <w:shd w:val="clear" w:color="auto" w:fill="auto"/>
            <w:noWrap/>
            <w:vAlign w:val="bottom"/>
            <w:hideMark/>
          </w:tcPr>
          <w:p w14:paraId="699110F1"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w:t>
            </w:r>
          </w:p>
        </w:tc>
        <w:tc>
          <w:tcPr>
            <w:tcW w:w="1357" w:type="dxa"/>
            <w:tcBorders>
              <w:top w:val="nil"/>
              <w:left w:val="nil"/>
              <w:bottom w:val="single" w:sz="4" w:space="0" w:color="auto"/>
              <w:right w:val="nil"/>
            </w:tcBorders>
            <w:shd w:val="clear" w:color="auto" w:fill="auto"/>
            <w:noWrap/>
            <w:vAlign w:val="center"/>
            <w:hideMark/>
          </w:tcPr>
          <w:p w14:paraId="7D43E3C9" w14:textId="2ADFDE99"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38325A54"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341BB307"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883" w:type="dxa"/>
            <w:tcBorders>
              <w:top w:val="nil"/>
              <w:left w:val="nil"/>
              <w:bottom w:val="single" w:sz="4" w:space="0" w:color="auto"/>
              <w:right w:val="nil"/>
            </w:tcBorders>
            <w:shd w:val="clear" w:color="auto" w:fill="auto"/>
            <w:noWrap/>
            <w:vAlign w:val="bottom"/>
            <w:hideMark/>
          </w:tcPr>
          <w:p w14:paraId="25AFDD46"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w:t>
            </w:r>
          </w:p>
        </w:tc>
        <w:tc>
          <w:tcPr>
            <w:tcW w:w="1357" w:type="dxa"/>
            <w:tcBorders>
              <w:top w:val="nil"/>
              <w:left w:val="nil"/>
              <w:bottom w:val="single" w:sz="4" w:space="0" w:color="auto"/>
              <w:right w:val="nil"/>
            </w:tcBorders>
            <w:shd w:val="clear" w:color="auto" w:fill="auto"/>
            <w:noWrap/>
            <w:vAlign w:val="center"/>
            <w:hideMark/>
          </w:tcPr>
          <w:p w14:paraId="66C89614" w14:textId="696B4BDA"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585D759B"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7EC012EA"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883" w:type="dxa"/>
            <w:tcBorders>
              <w:top w:val="nil"/>
              <w:left w:val="nil"/>
              <w:bottom w:val="single" w:sz="4" w:space="0" w:color="auto"/>
              <w:right w:val="nil"/>
            </w:tcBorders>
            <w:shd w:val="clear" w:color="auto" w:fill="auto"/>
            <w:noWrap/>
            <w:vAlign w:val="bottom"/>
            <w:hideMark/>
          </w:tcPr>
          <w:p w14:paraId="29A2A960"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w:t>
            </w:r>
          </w:p>
        </w:tc>
        <w:tc>
          <w:tcPr>
            <w:tcW w:w="1357" w:type="dxa"/>
            <w:tcBorders>
              <w:top w:val="nil"/>
              <w:left w:val="nil"/>
              <w:bottom w:val="single" w:sz="4" w:space="0" w:color="auto"/>
              <w:right w:val="nil"/>
            </w:tcBorders>
            <w:shd w:val="clear" w:color="auto" w:fill="auto"/>
            <w:noWrap/>
            <w:vAlign w:val="center"/>
            <w:hideMark/>
          </w:tcPr>
          <w:p w14:paraId="60487FD8" w14:textId="5449D3D8"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642FEDB6"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1475A9FB"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883" w:type="dxa"/>
            <w:tcBorders>
              <w:top w:val="nil"/>
              <w:left w:val="nil"/>
              <w:bottom w:val="single" w:sz="4" w:space="0" w:color="auto"/>
              <w:right w:val="nil"/>
            </w:tcBorders>
            <w:shd w:val="clear" w:color="auto" w:fill="auto"/>
            <w:noWrap/>
            <w:vAlign w:val="bottom"/>
            <w:hideMark/>
          </w:tcPr>
          <w:p w14:paraId="0106C087"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119</w:t>
            </w:r>
          </w:p>
        </w:tc>
        <w:tc>
          <w:tcPr>
            <w:tcW w:w="1357" w:type="dxa"/>
            <w:tcBorders>
              <w:top w:val="nil"/>
              <w:left w:val="nil"/>
              <w:bottom w:val="single" w:sz="4" w:space="0" w:color="auto"/>
              <w:right w:val="nil"/>
            </w:tcBorders>
            <w:shd w:val="clear" w:color="auto" w:fill="auto"/>
            <w:noWrap/>
            <w:vAlign w:val="center"/>
            <w:hideMark/>
          </w:tcPr>
          <w:p w14:paraId="7B14B350" w14:textId="2F50E3A8"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788A2B5E"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1DBF48D8"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883" w:type="dxa"/>
            <w:tcBorders>
              <w:top w:val="nil"/>
              <w:left w:val="nil"/>
              <w:bottom w:val="single" w:sz="4" w:space="0" w:color="auto"/>
              <w:right w:val="nil"/>
            </w:tcBorders>
            <w:shd w:val="clear" w:color="auto" w:fill="auto"/>
            <w:noWrap/>
            <w:vAlign w:val="bottom"/>
            <w:hideMark/>
          </w:tcPr>
          <w:p w14:paraId="4E5A4542"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w:t>
            </w:r>
          </w:p>
        </w:tc>
        <w:tc>
          <w:tcPr>
            <w:tcW w:w="1357" w:type="dxa"/>
            <w:tcBorders>
              <w:top w:val="nil"/>
              <w:left w:val="nil"/>
              <w:bottom w:val="single" w:sz="4" w:space="0" w:color="auto"/>
              <w:right w:val="nil"/>
            </w:tcBorders>
            <w:shd w:val="clear" w:color="auto" w:fill="auto"/>
            <w:noWrap/>
            <w:vAlign w:val="center"/>
            <w:hideMark/>
          </w:tcPr>
          <w:p w14:paraId="781FD70E" w14:textId="4D3A63DF"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033A3F" w:rsidRPr="00033A3F" w14:paraId="1BF51218"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67AEBBF1"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883" w:type="dxa"/>
            <w:tcBorders>
              <w:top w:val="nil"/>
              <w:left w:val="nil"/>
              <w:bottom w:val="single" w:sz="4" w:space="0" w:color="auto"/>
              <w:right w:val="nil"/>
            </w:tcBorders>
            <w:shd w:val="clear" w:color="auto" w:fill="auto"/>
            <w:noWrap/>
            <w:vAlign w:val="bottom"/>
            <w:hideMark/>
          </w:tcPr>
          <w:p w14:paraId="356D0410"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153</w:t>
            </w:r>
          </w:p>
        </w:tc>
        <w:tc>
          <w:tcPr>
            <w:tcW w:w="1357" w:type="dxa"/>
            <w:tcBorders>
              <w:top w:val="nil"/>
              <w:left w:val="nil"/>
              <w:bottom w:val="single" w:sz="4" w:space="0" w:color="auto"/>
              <w:right w:val="nil"/>
            </w:tcBorders>
            <w:shd w:val="clear" w:color="auto" w:fill="auto"/>
            <w:noWrap/>
            <w:vAlign w:val="center"/>
            <w:hideMark/>
          </w:tcPr>
          <w:p w14:paraId="3241A8CA" w14:textId="5416328F"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24B4052E" w14:textId="77777777" w:rsidTr="007427A6">
        <w:trPr>
          <w:trHeight w:val="330"/>
        </w:trPr>
        <w:tc>
          <w:tcPr>
            <w:tcW w:w="2780" w:type="dxa"/>
            <w:tcBorders>
              <w:top w:val="nil"/>
              <w:left w:val="nil"/>
              <w:bottom w:val="double" w:sz="6" w:space="0" w:color="auto"/>
              <w:right w:val="nil"/>
            </w:tcBorders>
            <w:shd w:val="clear" w:color="auto" w:fill="auto"/>
            <w:noWrap/>
            <w:vAlign w:val="bottom"/>
            <w:hideMark/>
          </w:tcPr>
          <w:p w14:paraId="23C3EBDA"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883" w:type="dxa"/>
            <w:tcBorders>
              <w:top w:val="nil"/>
              <w:left w:val="nil"/>
              <w:bottom w:val="double" w:sz="6" w:space="0" w:color="auto"/>
              <w:right w:val="nil"/>
            </w:tcBorders>
            <w:shd w:val="clear" w:color="auto" w:fill="auto"/>
            <w:noWrap/>
            <w:vAlign w:val="bottom"/>
            <w:hideMark/>
          </w:tcPr>
          <w:p w14:paraId="2E3BC876"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124</w:t>
            </w:r>
          </w:p>
        </w:tc>
        <w:tc>
          <w:tcPr>
            <w:tcW w:w="1357" w:type="dxa"/>
            <w:tcBorders>
              <w:top w:val="nil"/>
              <w:left w:val="nil"/>
              <w:bottom w:val="double" w:sz="6" w:space="0" w:color="auto"/>
              <w:right w:val="nil"/>
            </w:tcBorders>
            <w:shd w:val="clear" w:color="auto" w:fill="auto"/>
            <w:noWrap/>
            <w:vAlign w:val="center"/>
            <w:hideMark/>
          </w:tcPr>
          <w:p w14:paraId="46862E89" w14:textId="729E7BE7"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0FCC644A" w14:textId="77777777" w:rsidTr="007427A6">
        <w:trPr>
          <w:trHeight w:val="345"/>
        </w:trPr>
        <w:tc>
          <w:tcPr>
            <w:tcW w:w="2780" w:type="dxa"/>
            <w:tcBorders>
              <w:top w:val="nil"/>
              <w:left w:val="nil"/>
              <w:bottom w:val="double" w:sz="6" w:space="0" w:color="auto"/>
              <w:right w:val="nil"/>
            </w:tcBorders>
            <w:shd w:val="clear" w:color="auto" w:fill="auto"/>
            <w:noWrap/>
            <w:vAlign w:val="bottom"/>
            <w:hideMark/>
          </w:tcPr>
          <w:p w14:paraId="29376D29" w14:textId="77777777" w:rsidR="007427A6" w:rsidRPr="00033A3F" w:rsidRDefault="007427A6" w:rsidP="007427A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883" w:type="dxa"/>
            <w:tcBorders>
              <w:top w:val="nil"/>
              <w:left w:val="nil"/>
              <w:bottom w:val="double" w:sz="6" w:space="0" w:color="auto"/>
              <w:right w:val="nil"/>
            </w:tcBorders>
            <w:shd w:val="clear" w:color="auto" w:fill="auto"/>
            <w:noWrap/>
            <w:vAlign w:val="bottom"/>
            <w:hideMark/>
          </w:tcPr>
          <w:p w14:paraId="4E638141" w14:textId="77777777" w:rsidR="007427A6" w:rsidRPr="00033A3F" w:rsidRDefault="007427A6" w:rsidP="007427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119</w:t>
            </w:r>
          </w:p>
        </w:tc>
        <w:tc>
          <w:tcPr>
            <w:tcW w:w="1357" w:type="dxa"/>
            <w:tcBorders>
              <w:top w:val="nil"/>
              <w:left w:val="nil"/>
              <w:bottom w:val="double" w:sz="6" w:space="0" w:color="auto"/>
              <w:right w:val="nil"/>
            </w:tcBorders>
            <w:shd w:val="clear" w:color="auto" w:fill="auto"/>
            <w:noWrap/>
            <w:vAlign w:val="center"/>
            <w:hideMark/>
          </w:tcPr>
          <w:p w14:paraId="5A627FC4" w14:textId="45043298" w:rsidR="007427A6" w:rsidRPr="00033A3F" w:rsidRDefault="007427A6" w:rsidP="007427A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r>
      <w:tr w:rsidR="007427A6" w:rsidRPr="00033A3F" w14:paraId="27306B45" w14:textId="77777777" w:rsidTr="007427A6">
        <w:trPr>
          <w:trHeight w:val="330"/>
        </w:trPr>
        <w:tc>
          <w:tcPr>
            <w:tcW w:w="2780" w:type="dxa"/>
            <w:tcBorders>
              <w:top w:val="nil"/>
              <w:left w:val="nil"/>
              <w:bottom w:val="nil"/>
              <w:right w:val="nil"/>
            </w:tcBorders>
            <w:shd w:val="clear" w:color="auto" w:fill="auto"/>
            <w:noWrap/>
            <w:vAlign w:val="bottom"/>
            <w:hideMark/>
          </w:tcPr>
          <w:p w14:paraId="2F301572" w14:textId="77777777" w:rsidR="007427A6" w:rsidRPr="00033A3F" w:rsidRDefault="007427A6" w:rsidP="007427A6">
            <w:pPr>
              <w:spacing w:line="240" w:lineRule="auto"/>
              <w:jc w:val="right"/>
              <w:rPr>
                <w:rFonts w:eastAsia="Times New Roman"/>
                <w:b/>
                <w:bCs/>
                <w:color w:val="000000" w:themeColor="text1"/>
                <w:sz w:val="20"/>
                <w:szCs w:val="20"/>
                <w:lang w:eastAsia="cs-CZ"/>
              </w:rPr>
            </w:pPr>
          </w:p>
        </w:tc>
        <w:tc>
          <w:tcPr>
            <w:tcW w:w="883" w:type="dxa"/>
            <w:tcBorders>
              <w:top w:val="nil"/>
              <w:left w:val="nil"/>
              <w:bottom w:val="nil"/>
              <w:right w:val="nil"/>
            </w:tcBorders>
            <w:shd w:val="clear" w:color="auto" w:fill="auto"/>
            <w:noWrap/>
            <w:vAlign w:val="bottom"/>
            <w:hideMark/>
          </w:tcPr>
          <w:p w14:paraId="62B3707B" w14:textId="77777777" w:rsidR="007427A6" w:rsidRPr="00033A3F" w:rsidRDefault="007427A6" w:rsidP="007427A6">
            <w:pPr>
              <w:spacing w:line="240" w:lineRule="auto"/>
              <w:jc w:val="left"/>
              <w:rPr>
                <w:rFonts w:ascii="Times New Roman" w:eastAsia="Times New Roman" w:hAnsi="Times New Roman"/>
                <w:color w:val="000000" w:themeColor="text1"/>
                <w:sz w:val="20"/>
                <w:szCs w:val="20"/>
                <w:lang w:eastAsia="cs-CZ"/>
              </w:rPr>
            </w:pPr>
          </w:p>
        </w:tc>
        <w:tc>
          <w:tcPr>
            <w:tcW w:w="1357" w:type="dxa"/>
            <w:tcBorders>
              <w:top w:val="nil"/>
              <w:left w:val="nil"/>
              <w:bottom w:val="nil"/>
              <w:right w:val="nil"/>
            </w:tcBorders>
            <w:shd w:val="clear" w:color="auto" w:fill="auto"/>
            <w:noWrap/>
            <w:vAlign w:val="bottom"/>
            <w:hideMark/>
          </w:tcPr>
          <w:p w14:paraId="18EF161F" w14:textId="77777777" w:rsidR="007427A6" w:rsidRPr="00033A3F" w:rsidRDefault="007427A6" w:rsidP="007427A6">
            <w:pPr>
              <w:spacing w:line="240" w:lineRule="auto"/>
              <w:jc w:val="left"/>
              <w:rPr>
                <w:rFonts w:ascii="Times New Roman" w:eastAsia="Times New Roman" w:hAnsi="Times New Roman"/>
                <w:color w:val="000000" w:themeColor="text1"/>
                <w:sz w:val="20"/>
                <w:szCs w:val="20"/>
                <w:lang w:eastAsia="cs-CZ"/>
              </w:rPr>
            </w:pPr>
          </w:p>
        </w:tc>
      </w:tr>
    </w:tbl>
    <w:p w14:paraId="34D73849" w14:textId="77777777" w:rsidR="007427A6" w:rsidRPr="00033A3F" w:rsidRDefault="007427A6" w:rsidP="00E81100">
      <w:pPr>
        <w:pStyle w:val="OdstavecASR"/>
        <w:rPr>
          <w:color w:val="000000" w:themeColor="text1"/>
          <w:szCs w:val="24"/>
        </w:rPr>
      </w:pPr>
    </w:p>
    <w:p w14:paraId="5A06957C" w14:textId="1883D81A" w:rsidR="00657C74" w:rsidRPr="00033A3F" w:rsidRDefault="00657C74" w:rsidP="00657C74">
      <w:pPr>
        <w:pStyle w:val="Podnadpis"/>
        <w:rPr>
          <w:color w:val="000000" w:themeColor="text1"/>
        </w:rPr>
      </w:pPr>
      <w:bookmarkStart w:id="331" w:name="_Toc515871341"/>
      <w:bookmarkStart w:id="332" w:name="_Toc11135076"/>
      <w:bookmarkStart w:id="333" w:name="_Toc43841393"/>
      <w:bookmarkStart w:id="334" w:name="_Toc75952194"/>
      <w:bookmarkStart w:id="335" w:name="_Toc106106647"/>
      <w:bookmarkStart w:id="336" w:name="_Toc144104125"/>
      <w:bookmarkStart w:id="337" w:name="_Toc169250933"/>
      <w:bookmarkStart w:id="338" w:name="_Toc174080619"/>
      <w:bookmarkStart w:id="339" w:name="_Toc193530769"/>
      <w:bookmarkStart w:id="340" w:name="_Toc193634043"/>
      <w:bookmarkStart w:id="341" w:name="_Toc20303284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14</w:t>
      </w:r>
      <w:r w:rsidRPr="00033A3F">
        <w:rPr>
          <w:color w:val="000000" w:themeColor="text1"/>
        </w:rPr>
        <w:fldChar w:fldCharType="end"/>
      </w:r>
      <w:r w:rsidRPr="00033A3F">
        <w:rPr>
          <w:color w:val="000000" w:themeColor="text1"/>
        </w:rPr>
        <w:t>: OS – disposition time civilního řízení u jednotlivých soudů</w:t>
      </w:r>
      <w:bookmarkEnd w:id="331"/>
      <w:bookmarkEnd w:id="332"/>
      <w:bookmarkEnd w:id="333"/>
      <w:bookmarkEnd w:id="334"/>
      <w:bookmarkEnd w:id="335"/>
      <w:bookmarkEnd w:id="336"/>
      <w:r w:rsidRPr="00033A3F">
        <w:rPr>
          <w:color w:val="000000" w:themeColor="text1"/>
        </w:rPr>
        <w:t>, 202</w:t>
      </w:r>
      <w:bookmarkEnd w:id="337"/>
      <w:bookmarkEnd w:id="338"/>
      <w:r w:rsidRPr="00033A3F">
        <w:rPr>
          <w:color w:val="000000" w:themeColor="text1"/>
        </w:rPr>
        <w:t>4</w:t>
      </w:r>
      <w:bookmarkEnd w:id="339"/>
      <w:bookmarkEnd w:id="340"/>
      <w:bookmarkEnd w:id="341"/>
    </w:p>
    <w:p w14:paraId="06BC74A1" w14:textId="78D14DF1" w:rsidR="00E81100" w:rsidRPr="00033A3F" w:rsidRDefault="00657C74" w:rsidP="00E81100">
      <w:pPr>
        <w:rPr>
          <w:color w:val="000000" w:themeColor="text1"/>
        </w:rPr>
      </w:pPr>
      <w:r w:rsidRPr="00033A3F">
        <w:rPr>
          <w:noProof/>
          <w:color w:val="000000" w:themeColor="text1"/>
          <w:lang w:eastAsia="cs-CZ"/>
        </w:rPr>
        <w:drawing>
          <wp:inline distT="0" distB="0" distL="0" distR="0" wp14:anchorId="2414E5C4" wp14:editId="315E7937">
            <wp:extent cx="5760720" cy="3296920"/>
            <wp:effectExtent l="0" t="0" r="0" b="0"/>
            <wp:docPr id="1428233813"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AEA6FCA" w14:textId="77777777" w:rsidR="007427A6" w:rsidRPr="00033A3F" w:rsidRDefault="007427A6" w:rsidP="00E81100">
      <w:pPr>
        <w:rPr>
          <w:color w:val="000000" w:themeColor="text1"/>
        </w:rPr>
      </w:pPr>
    </w:p>
    <w:p w14:paraId="28213D96" w14:textId="77777777" w:rsidR="007427A6" w:rsidRPr="00033A3F" w:rsidRDefault="007427A6" w:rsidP="00E81100">
      <w:pPr>
        <w:rPr>
          <w:color w:val="000000" w:themeColor="text1"/>
        </w:rPr>
      </w:pPr>
    </w:p>
    <w:p w14:paraId="2A574712" w14:textId="45FFF387" w:rsidR="007427A6" w:rsidRPr="00033A3F" w:rsidRDefault="007427A6" w:rsidP="007427A6">
      <w:pPr>
        <w:pStyle w:val="Podnadpis"/>
        <w:rPr>
          <w:color w:val="000000" w:themeColor="text1"/>
        </w:rPr>
      </w:pPr>
      <w:bookmarkStart w:id="342" w:name="_Toc169250934"/>
      <w:bookmarkStart w:id="343" w:name="_Toc174080620"/>
      <w:bookmarkStart w:id="344" w:name="_Toc193530770"/>
      <w:bookmarkStart w:id="345" w:name="_Toc193634044"/>
      <w:bookmarkStart w:id="346" w:name="_Toc20303284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15</w:t>
      </w:r>
      <w:r w:rsidRPr="00033A3F">
        <w:rPr>
          <w:color w:val="000000" w:themeColor="text1"/>
        </w:rPr>
        <w:fldChar w:fldCharType="end"/>
      </w:r>
      <w:r w:rsidRPr="00033A3F">
        <w:rPr>
          <w:color w:val="000000" w:themeColor="text1"/>
        </w:rPr>
        <w:t>: OS – krabicové grafy, DT civilního řízením</w:t>
      </w:r>
      <w:r w:rsidR="009B7F4D" w:rsidRPr="00033A3F">
        <w:rPr>
          <w:color w:val="000000" w:themeColor="text1"/>
        </w:rPr>
        <w:t xml:space="preserve"> v letech 2014-</w:t>
      </w:r>
      <w:r w:rsidRPr="00033A3F">
        <w:rPr>
          <w:color w:val="000000" w:themeColor="text1"/>
        </w:rPr>
        <w:t>202</w:t>
      </w:r>
      <w:bookmarkEnd w:id="342"/>
      <w:bookmarkEnd w:id="343"/>
      <w:r w:rsidRPr="00033A3F">
        <w:rPr>
          <w:color w:val="000000" w:themeColor="text1"/>
        </w:rPr>
        <w:t>4</w:t>
      </w:r>
      <w:bookmarkEnd w:id="344"/>
      <w:bookmarkEnd w:id="345"/>
      <w:bookmarkEnd w:id="346"/>
    </w:p>
    <w:p w14:paraId="0601331E" w14:textId="1B6F5C96" w:rsidR="007427A6" w:rsidRPr="00033A3F" w:rsidRDefault="007427A6" w:rsidP="00E81100">
      <w:pPr>
        <w:rPr>
          <w:color w:val="000000" w:themeColor="text1"/>
        </w:rPr>
      </w:pPr>
      <w:r w:rsidRPr="00033A3F">
        <w:rPr>
          <w:noProof/>
          <w:color w:val="000000" w:themeColor="text1"/>
          <w:lang w:eastAsia="cs-CZ"/>
        </w:rPr>
        <w:drawing>
          <wp:inline distT="0" distB="0" distL="0" distR="0" wp14:anchorId="7039AFB5" wp14:editId="1D823FE9">
            <wp:extent cx="5029200" cy="3657600"/>
            <wp:effectExtent l="0" t="0" r="0" b="0"/>
            <wp:docPr id="2006594287"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28FB206" w14:textId="77777777" w:rsidR="00D61E6A" w:rsidRPr="00033A3F" w:rsidRDefault="00D61E6A" w:rsidP="00E81100">
      <w:pPr>
        <w:rPr>
          <w:color w:val="000000" w:themeColor="text1"/>
        </w:rPr>
      </w:pPr>
    </w:p>
    <w:p w14:paraId="791512D8" w14:textId="35F027C0" w:rsidR="00D61E6A" w:rsidRPr="00033A3F" w:rsidRDefault="00D61E6A" w:rsidP="00BF0CC3">
      <w:pPr>
        <w:pStyle w:val="OdstavecASR"/>
        <w:rPr>
          <w:color w:val="000000" w:themeColor="text1"/>
        </w:rPr>
      </w:pPr>
      <w:r w:rsidRPr="00033A3F">
        <w:rPr>
          <w:color w:val="000000" w:themeColor="text1"/>
        </w:rPr>
        <w:t xml:space="preserve">Krabicový graf ilustruje to, co už víme z předchozích dat – po zlepšení v letech 2014-2019 se situace v roce 2020 celkově zhoršila, protože DT vzrostl. Variabilita mezi soudy se nicméně nezvýšila, neboť ke zhoršení došlo v rámci celé ČR. V roce 2021 vidíme opět zlepšení situace jako celku, protože celý box se přiblížil k ose </w:t>
      </w:r>
      <w:r w:rsidRPr="00033A3F">
        <w:rPr>
          <w:i/>
          <w:color w:val="000000" w:themeColor="text1"/>
        </w:rPr>
        <w:t>x</w:t>
      </w:r>
      <w:r w:rsidRPr="00033A3F">
        <w:rPr>
          <w:color w:val="000000" w:themeColor="text1"/>
        </w:rPr>
        <w:t xml:space="preserve">; totéž platí pro rok 2022. Jako pozitivní rozhodně lze </w:t>
      </w:r>
      <w:r w:rsidRPr="00033A3F">
        <w:rPr>
          <w:color w:val="000000" w:themeColor="text1"/>
        </w:rPr>
        <w:lastRenderedPageBreak/>
        <w:t xml:space="preserve">hodnotit fakt, že poprvé za celé sledované období </w:t>
      </w:r>
      <w:r w:rsidR="00476A64" w:rsidRPr="00033A3F">
        <w:rPr>
          <w:color w:val="000000" w:themeColor="text1"/>
        </w:rPr>
        <w:t xml:space="preserve">nebyla </w:t>
      </w:r>
      <w:r w:rsidRPr="00033A3F">
        <w:rPr>
          <w:color w:val="000000" w:themeColor="text1"/>
        </w:rPr>
        <w:t xml:space="preserve">v krabicovém grafu jediná odlehlá hodnota. To znamená, že variabilita mezi soudy se zmenšila natolik, že žádný soud v DT nevykazoval mimořádně vysoké hodnoty. V roce 2023 se sice objevily dvě odlehlé hodnoty, ale box se zmenšil a vousy se dále zkrátily. V roce 2024 byla v datech </w:t>
      </w:r>
      <w:r w:rsidR="00E36FAF" w:rsidRPr="00033A3F">
        <w:rPr>
          <w:color w:val="000000" w:themeColor="text1"/>
        </w:rPr>
        <w:t xml:space="preserve">pouze </w:t>
      </w:r>
      <w:r w:rsidRPr="00033A3F">
        <w:rPr>
          <w:color w:val="000000" w:themeColor="text1"/>
        </w:rPr>
        <w:t xml:space="preserve">jedna </w:t>
      </w:r>
      <w:r w:rsidR="00E36FAF" w:rsidRPr="00033A3F">
        <w:rPr>
          <w:color w:val="000000" w:themeColor="text1"/>
        </w:rPr>
        <w:t xml:space="preserve">odlehlá </w:t>
      </w:r>
      <w:r w:rsidRPr="00033A3F">
        <w:rPr>
          <w:color w:val="000000" w:themeColor="text1"/>
        </w:rPr>
        <w:t>hodnota (OS pro Prahu 1).</w:t>
      </w:r>
    </w:p>
    <w:p w14:paraId="3880CE13" w14:textId="2378E2D4" w:rsidR="00D61E6A" w:rsidRPr="00033A3F" w:rsidRDefault="00D61E6A" w:rsidP="00D61E6A">
      <w:pPr>
        <w:pStyle w:val="OdstavecASR"/>
        <w:rPr>
          <w:color w:val="000000" w:themeColor="text1"/>
        </w:rPr>
      </w:pPr>
      <w:r w:rsidRPr="00033A3F">
        <w:rPr>
          <w:color w:val="000000" w:themeColor="text1"/>
        </w:rPr>
        <w:t>Na základě pře</w:t>
      </w:r>
      <w:r w:rsidR="00586CE5">
        <w:rPr>
          <w:color w:val="000000" w:themeColor="text1"/>
        </w:rPr>
        <w:t>d</w:t>
      </w:r>
      <w:r w:rsidRPr="00033A3F">
        <w:rPr>
          <w:color w:val="000000" w:themeColor="text1"/>
        </w:rPr>
        <w:t>chozích ukazatelů můžeme shrnout, že celkově se situace v civilním řízení u okresních soudů v letech 2015 až 2019 výrazně zlepšila – výrazně klesl počet nevyřízených věcí i délky řízení (a zlepšovala se už před začátkem sledovaného období). To bylo dáno především zmenšováním rozdílů mezi soudy, tj. zlepšováním situace u nejpomalejších a nejzatíženějších soudů. Zlepšování situace ale postupně stagnovalo. V roce 2020 došlo ve všech krajích ke zhoršení, nijak závratnému, ale rozhodně statisticky zachytitelnému. Důvodem byla zřejmě pandemie onemocnění COVID</w:t>
      </w:r>
      <w:r w:rsidRPr="00033A3F">
        <w:rPr>
          <w:color w:val="000000" w:themeColor="text1"/>
        </w:rPr>
        <w:noBreakHyphen/>
        <w:t xml:space="preserve">19 a s tím související vládní restrikce. </w:t>
      </w:r>
      <w:bookmarkStart w:id="347" w:name="_Hlk104290540"/>
      <w:r w:rsidRPr="00033A3F">
        <w:rPr>
          <w:color w:val="000000" w:themeColor="text1"/>
        </w:rPr>
        <w:t>V roce 2021 se i přes pokračování pandemie situace zlepšila – v zásadě se vrátila na úroveň roku 2019. Zdá se tedy, že soudy již byly civilní agendy schopny v plném rozsahu organizačně i personálně zvládnout. Data za roky 2022 až 2024 ukázala, že situace se dále mírně zlepšuje nebo je stabilní.</w:t>
      </w:r>
    </w:p>
    <w:p w14:paraId="141E1FA1" w14:textId="7AB02E2F" w:rsidR="00E02D12" w:rsidRPr="00033A3F" w:rsidRDefault="00AA6138" w:rsidP="00AA6138">
      <w:pPr>
        <w:pStyle w:val="Nadpis3"/>
        <w:numPr>
          <w:ilvl w:val="2"/>
          <w:numId w:val="1"/>
        </w:numPr>
        <w:rPr>
          <w:color w:val="000000" w:themeColor="text1"/>
        </w:rPr>
      </w:pPr>
      <w:bookmarkStart w:id="348" w:name="_Ref509563330"/>
      <w:bookmarkStart w:id="349" w:name="_Toc515871225"/>
      <w:bookmarkStart w:id="350" w:name="_Toc41546302"/>
      <w:bookmarkStart w:id="351" w:name="_Toc106092722"/>
      <w:bookmarkStart w:id="352" w:name="_Toc169250806"/>
      <w:bookmarkStart w:id="353" w:name="_Toc193530967"/>
      <w:bookmarkStart w:id="354" w:name="_Toc193957024"/>
      <w:bookmarkStart w:id="355" w:name="_Toc203032714"/>
      <w:bookmarkStart w:id="356" w:name="_Toc43903029"/>
      <w:bookmarkEnd w:id="347"/>
      <w:r w:rsidRPr="00033A3F">
        <w:rPr>
          <w:color w:val="000000" w:themeColor="text1"/>
        </w:rPr>
        <w:t>Další statistiky</w:t>
      </w:r>
      <w:bookmarkEnd w:id="348"/>
      <w:bookmarkEnd w:id="349"/>
      <w:bookmarkEnd w:id="350"/>
      <w:bookmarkEnd w:id="351"/>
      <w:bookmarkEnd w:id="352"/>
      <w:bookmarkEnd w:id="353"/>
      <w:bookmarkEnd w:id="354"/>
      <w:bookmarkEnd w:id="355"/>
    </w:p>
    <w:p w14:paraId="2DEDDF20" w14:textId="42ED0436" w:rsidR="00D61E6A" w:rsidRPr="00033A3F" w:rsidRDefault="00D61E6A" w:rsidP="00BF0CC3">
      <w:pPr>
        <w:pStyle w:val="OdstavecASR"/>
        <w:rPr>
          <w:color w:val="000000" w:themeColor="text1"/>
        </w:rPr>
      </w:pPr>
      <w:bookmarkStart w:id="357" w:name="_Toc106092723"/>
      <w:r w:rsidRPr="00033A3F">
        <w:rPr>
          <w:color w:val="000000" w:themeColor="text1"/>
        </w:rPr>
        <w:t xml:space="preserve">Kromě výše uvedených ukazatelů výkonnosti soudů sleduje Ministerstvo spravedlnosti řadu dalších údajů. Tato podkapitola se věnuje třem příkladům, a to míře odvolání, míře změny rozsudku a dále také </w:t>
      </w:r>
      <w:r w:rsidR="00DC747E" w:rsidRPr="00033A3F">
        <w:rPr>
          <w:color w:val="000000" w:themeColor="text1"/>
        </w:rPr>
        <w:t>počtu rozvodů od roku 1967.</w:t>
      </w:r>
    </w:p>
    <w:p w14:paraId="1995A22C" w14:textId="77777777" w:rsidR="00D61E6A" w:rsidRDefault="00D61E6A" w:rsidP="00D61E6A">
      <w:pPr>
        <w:pStyle w:val="OdstavecASR"/>
        <w:keepNext/>
        <w:outlineLvl w:val="3"/>
        <w:rPr>
          <w:b/>
          <w:bCs/>
          <w:color w:val="000000" w:themeColor="text1"/>
        </w:rPr>
      </w:pPr>
      <w:r w:rsidRPr="00033A3F">
        <w:rPr>
          <w:b/>
          <w:bCs/>
          <w:color w:val="000000" w:themeColor="text1"/>
        </w:rPr>
        <w:t>Míra odvolání</w:t>
      </w:r>
    </w:p>
    <w:p w14:paraId="5983B824" w14:textId="5227BA88" w:rsidR="00B20D86" w:rsidRDefault="00996576" w:rsidP="00996576">
      <w:pPr>
        <w:pStyle w:val="OdstavecASR"/>
        <w:rPr>
          <w:color w:val="000000" w:themeColor="text1"/>
        </w:rPr>
      </w:pPr>
      <w:bookmarkStart w:id="358" w:name="_Hlk201050257"/>
      <w:r>
        <w:rPr>
          <w:color w:val="000000" w:themeColor="text1"/>
        </w:rPr>
        <w:t xml:space="preserve">Míra odvolání i míra rozsudku jsou vypočteny ze statistických listů. </w:t>
      </w:r>
      <w:r w:rsidR="00B20D86">
        <w:rPr>
          <w:color w:val="000000" w:themeColor="text1"/>
        </w:rPr>
        <w:t>K uvedeným statistkám uvádíme následující:</w:t>
      </w:r>
    </w:p>
    <w:p w14:paraId="46FA41A0" w14:textId="7673C4A4" w:rsidR="00B20D86" w:rsidRDefault="00B20D86" w:rsidP="00B20D86">
      <w:pPr>
        <w:pStyle w:val="OdstavecASR"/>
        <w:numPr>
          <w:ilvl w:val="0"/>
          <w:numId w:val="38"/>
        </w:numPr>
        <w:rPr>
          <w:color w:val="000000" w:themeColor="text1"/>
        </w:rPr>
      </w:pPr>
      <w:r>
        <w:rPr>
          <w:color w:val="000000" w:themeColor="text1"/>
        </w:rPr>
        <w:t>t</w:t>
      </w:r>
      <w:r w:rsidR="00996576">
        <w:rPr>
          <w:color w:val="000000" w:themeColor="text1"/>
        </w:rPr>
        <w:t>ýkají</w:t>
      </w:r>
      <w:r>
        <w:rPr>
          <w:color w:val="000000" w:themeColor="text1"/>
        </w:rPr>
        <w:t xml:space="preserve"> se</w:t>
      </w:r>
      <w:r w:rsidR="00996576">
        <w:rPr>
          <w:color w:val="000000" w:themeColor="text1"/>
        </w:rPr>
        <w:t xml:space="preserve"> pouze pravomocně skončených věcí v rejstříku C, </w:t>
      </w:r>
    </w:p>
    <w:p w14:paraId="74405AF8" w14:textId="09B47E01" w:rsidR="00996576" w:rsidRDefault="00996576" w:rsidP="00B20D86">
      <w:pPr>
        <w:pStyle w:val="OdstavecASR"/>
        <w:numPr>
          <w:ilvl w:val="0"/>
          <w:numId w:val="38"/>
        </w:numPr>
        <w:rPr>
          <w:color w:val="000000" w:themeColor="text1"/>
        </w:rPr>
      </w:pPr>
      <w:r>
        <w:rPr>
          <w:color w:val="000000" w:themeColor="text1"/>
        </w:rPr>
        <w:t>jde pouze o odvolání v meritu věci</w:t>
      </w:r>
      <w:r w:rsidR="00B20D86">
        <w:rPr>
          <w:color w:val="000000" w:themeColor="text1"/>
        </w:rPr>
        <w:t>,</w:t>
      </w:r>
    </w:p>
    <w:p w14:paraId="3B0C92C9" w14:textId="608104E5" w:rsidR="00B20D86" w:rsidRDefault="00B20D86" w:rsidP="00B20D86">
      <w:pPr>
        <w:pStyle w:val="OdstavecASR"/>
        <w:numPr>
          <w:ilvl w:val="0"/>
          <w:numId w:val="38"/>
        </w:numPr>
        <w:rPr>
          <w:color w:val="000000" w:themeColor="text1"/>
        </w:rPr>
      </w:pPr>
      <w:r>
        <w:rPr>
          <w:color w:val="000000" w:themeColor="text1"/>
        </w:rPr>
        <w:t>započteny jsou i věci, kde</w:t>
      </w:r>
      <w:r w:rsidRPr="00B20D86">
        <w:rPr>
          <w:color w:val="000000" w:themeColor="text1"/>
        </w:rPr>
        <w:t xml:space="preserve"> </w:t>
      </w:r>
      <w:r>
        <w:rPr>
          <w:color w:val="000000" w:themeColor="text1"/>
        </w:rPr>
        <w:t xml:space="preserve">nadřízený </w:t>
      </w:r>
      <w:r w:rsidRPr="00033A3F">
        <w:rPr>
          <w:color w:val="000000" w:themeColor="text1"/>
        </w:rPr>
        <w:t>soud zrušil rozhodnutí soudu I. stupně a věc mu vrátil a následně již odvolání podáno nebylo</w:t>
      </w:r>
    </w:p>
    <w:p w14:paraId="7C7F6B53" w14:textId="35078D88" w:rsidR="00B20D86" w:rsidRDefault="00B20D86" w:rsidP="00B20D86">
      <w:pPr>
        <w:pStyle w:val="OdstavecASR"/>
        <w:numPr>
          <w:ilvl w:val="0"/>
          <w:numId w:val="38"/>
        </w:numPr>
        <w:rPr>
          <w:color w:val="000000" w:themeColor="text1"/>
        </w:rPr>
      </w:pPr>
      <w:r>
        <w:rPr>
          <w:color w:val="000000" w:themeColor="text1"/>
        </w:rPr>
        <w:t>data jsou očištěna o rozkazní řízení.</w:t>
      </w:r>
    </w:p>
    <w:bookmarkEnd w:id="358"/>
    <w:p w14:paraId="5DEF4F31" w14:textId="1EB72CDA" w:rsidR="00996576" w:rsidRPr="00996576" w:rsidRDefault="00996576" w:rsidP="00996576">
      <w:pPr>
        <w:pStyle w:val="OdstavecASR"/>
        <w:rPr>
          <w:color w:val="000000" w:themeColor="text1"/>
        </w:rPr>
      </w:pPr>
      <w:r w:rsidRPr="00033A3F">
        <w:rPr>
          <w:color w:val="000000" w:themeColor="text1"/>
        </w:rPr>
        <w:t>V roce 2024 Ministerstvo spravedlnosti upravilo výpočet míry odvolání – dříve byly sledovány pouze soudem přiznané nároky v dané věci. Nyní jsou sledovány i žalované nároky. Je tedy možné zpřesnit data – vyloučit bagatelní spory, ve kterých není odvolání přípustné. Dříve byl tento krok jen aproximován tak, že byly vyloučeny věci, kde soud nároku zcela vyhověl a nárok byl nižší než 10 000. Data za roky 2023 a 2024 byla přepočtena dle nové metodiky, což má za následek, že vychází poněkud vyšší míra odvolání.</w:t>
      </w:r>
    </w:p>
    <w:p w14:paraId="1C7B39C5" w14:textId="77777777" w:rsidR="00D61E6A" w:rsidRPr="00033A3F" w:rsidRDefault="00D61E6A" w:rsidP="00D61E6A">
      <w:pPr>
        <w:pStyle w:val="OdstavecASR"/>
        <w:rPr>
          <w:color w:val="000000" w:themeColor="text1"/>
        </w:rPr>
      </w:pPr>
      <w:r w:rsidRPr="00033A3F">
        <w:rPr>
          <w:color w:val="000000" w:themeColor="text1"/>
        </w:rPr>
        <w:t>Míra odvolání udává, jak často podávají účastníci sporu odvolání. Závisí na mnoha faktorech, jako je například složení agendy soudu nebo charakteristika účastníků sporu. Do určité míry může vypovídat o složitosti sporů, neboť u velmi jednoduchých sporů (typicky s procesně pasivní žalovanou stranou) je podání odvolání méně pravděpodobné. Výpočty zahrnují i věci, ve kterých odvolací soud zrušil rozhodnutí soudu I. stupně, věc mu vrátil a následně již nebylo odvolání podáno.</w:t>
      </w:r>
    </w:p>
    <w:p w14:paraId="6C835C61" w14:textId="2069D592" w:rsidR="00CB2F03" w:rsidRPr="00033A3F" w:rsidRDefault="00CB2F03">
      <w:pPr>
        <w:spacing w:after="160" w:line="259" w:lineRule="auto"/>
        <w:jc w:val="left"/>
        <w:rPr>
          <w:rFonts w:eastAsia="Times New Roman"/>
          <w:b/>
          <w:iCs/>
          <w:color w:val="000000" w:themeColor="text1"/>
          <w:spacing w:val="15"/>
          <w:szCs w:val="24"/>
        </w:rPr>
      </w:pPr>
      <w:bookmarkStart w:id="359" w:name="_Toc169251069"/>
      <w:bookmarkStart w:id="360" w:name="_Toc174080755"/>
      <w:bookmarkStart w:id="361" w:name="_Hlk160103529"/>
      <w:r w:rsidRPr="00033A3F">
        <w:rPr>
          <w:color w:val="000000" w:themeColor="text1"/>
        </w:rPr>
        <w:br w:type="page"/>
      </w:r>
    </w:p>
    <w:p w14:paraId="3E63EE7E" w14:textId="0CFCA73D" w:rsidR="00D61E6A" w:rsidRPr="00033A3F" w:rsidRDefault="00D61E6A" w:rsidP="00D61E6A">
      <w:pPr>
        <w:pStyle w:val="Podnadpis"/>
        <w:numPr>
          <w:ilvl w:val="0"/>
          <w:numId w:val="0"/>
        </w:numPr>
        <w:rPr>
          <w:color w:val="000000" w:themeColor="text1"/>
        </w:rPr>
      </w:pPr>
      <w:bookmarkStart w:id="362" w:name="_Toc193530890"/>
      <w:bookmarkStart w:id="363" w:name="_Toc194045585"/>
      <w:bookmarkStart w:id="364" w:name="_Toc199494994"/>
      <w:bookmarkStart w:id="365" w:name="_Toc203033054"/>
      <w:bookmarkStart w:id="366" w:name="_Toc203033132"/>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12</w:t>
      </w:r>
      <w:r w:rsidRPr="00033A3F">
        <w:rPr>
          <w:noProof/>
          <w:color w:val="000000" w:themeColor="text1"/>
        </w:rPr>
        <w:fldChar w:fldCharType="end"/>
      </w:r>
      <w:r w:rsidRPr="00033A3F">
        <w:rPr>
          <w:color w:val="000000" w:themeColor="text1"/>
        </w:rPr>
        <w:t>: OS – míra odvolání dle krajů v civilním řízení, 202</w:t>
      </w:r>
      <w:bookmarkEnd w:id="359"/>
      <w:bookmarkEnd w:id="360"/>
      <w:r w:rsidRPr="00033A3F">
        <w:rPr>
          <w:color w:val="000000" w:themeColor="text1"/>
        </w:rPr>
        <w:t>4</w:t>
      </w:r>
      <w:bookmarkEnd w:id="362"/>
      <w:bookmarkEnd w:id="363"/>
      <w:bookmarkEnd w:id="364"/>
      <w:bookmarkEnd w:id="365"/>
      <w:bookmarkEnd w:id="366"/>
    </w:p>
    <w:tbl>
      <w:tblPr>
        <w:tblW w:w="5620" w:type="dxa"/>
        <w:tblCellMar>
          <w:left w:w="0" w:type="dxa"/>
          <w:right w:w="0" w:type="dxa"/>
        </w:tblCellMar>
        <w:tblLook w:val="04A0" w:firstRow="1" w:lastRow="0" w:firstColumn="1" w:lastColumn="0" w:noHBand="0" w:noVBand="1"/>
      </w:tblPr>
      <w:tblGrid>
        <w:gridCol w:w="2780"/>
        <w:gridCol w:w="1469"/>
        <w:gridCol w:w="1371"/>
      </w:tblGrid>
      <w:tr w:rsidR="00033A3F" w:rsidRPr="00033A3F" w14:paraId="190DA256" w14:textId="77777777" w:rsidTr="00CB2F03">
        <w:trPr>
          <w:trHeight w:val="345"/>
        </w:trPr>
        <w:tc>
          <w:tcPr>
            <w:tcW w:w="27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bookmarkEnd w:id="361"/>
          <w:p w14:paraId="1595BF92" w14:textId="77777777" w:rsidR="00CB2F03" w:rsidRPr="00033A3F" w:rsidRDefault="00CB2F03">
            <w:pPr>
              <w:spacing w:line="240" w:lineRule="auto"/>
              <w:jc w:val="center"/>
              <w:rPr>
                <w:rFonts w:eastAsia="Times New Roman"/>
                <w:b/>
                <w:bCs/>
                <w:color w:val="000000" w:themeColor="text1"/>
              </w:rPr>
            </w:pPr>
            <w:r w:rsidRPr="00033A3F">
              <w:rPr>
                <w:b/>
                <w:bCs/>
                <w:color w:val="000000" w:themeColor="text1"/>
              </w:rPr>
              <w:t>Nadřízený soud</w:t>
            </w:r>
          </w:p>
        </w:tc>
        <w:tc>
          <w:tcPr>
            <w:tcW w:w="2840" w:type="dxa"/>
            <w:gridSpan w:val="2"/>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2CE2EF93" w14:textId="77777777" w:rsidR="00CB2F03" w:rsidRPr="00033A3F" w:rsidRDefault="00CB2F03">
            <w:pPr>
              <w:jc w:val="center"/>
              <w:rPr>
                <w:b/>
                <w:bCs/>
                <w:color w:val="000000" w:themeColor="text1"/>
              </w:rPr>
            </w:pPr>
            <w:r w:rsidRPr="00033A3F">
              <w:rPr>
                <w:b/>
                <w:bCs/>
                <w:color w:val="000000" w:themeColor="text1"/>
              </w:rPr>
              <w:t>Míra odvolání</w:t>
            </w:r>
          </w:p>
        </w:tc>
      </w:tr>
      <w:tr w:rsidR="00033A3F" w:rsidRPr="00033A3F" w14:paraId="5EA05620" w14:textId="77777777" w:rsidTr="00CB2F03">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B197F1B" w14:textId="77777777" w:rsidR="00CB2F03" w:rsidRPr="00033A3F" w:rsidRDefault="00CB2F03">
            <w:pPr>
              <w:jc w:val="left"/>
              <w:rPr>
                <w:color w:val="000000" w:themeColor="text1"/>
              </w:rPr>
            </w:pPr>
            <w:r w:rsidRPr="00033A3F">
              <w:rPr>
                <w:color w:val="000000" w:themeColor="text1"/>
              </w:rPr>
              <w:t>MS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C2DFBAF" w14:textId="64B7E496" w:rsidR="00CB2F03" w:rsidRPr="00033A3F" w:rsidRDefault="00CB2F03">
            <w:pPr>
              <w:jc w:val="center"/>
              <w:rPr>
                <w:color w:val="000000" w:themeColor="text1"/>
              </w:rPr>
            </w:pPr>
            <w:r w:rsidRPr="00033A3F">
              <w:rPr>
                <w:color w:val="000000" w:themeColor="text1"/>
              </w:rPr>
              <w:t>13</w:t>
            </w:r>
            <w:r w:rsidR="007A5249" w:rsidRPr="00033A3F">
              <w:rPr>
                <w:color w:val="000000" w:themeColor="text1"/>
              </w:rPr>
              <w:t>,</w:t>
            </w:r>
            <w:r w:rsidRPr="00033A3F">
              <w:rPr>
                <w:color w:val="000000" w:themeColor="text1"/>
              </w:rPr>
              <w:t>95 %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B1D5059" w14:textId="2663D623"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9 p.b.</w:t>
            </w:r>
          </w:p>
        </w:tc>
      </w:tr>
      <w:tr w:rsidR="00033A3F" w:rsidRPr="00033A3F" w14:paraId="2C90E5BD"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814E3C3" w14:textId="77777777" w:rsidR="00CB2F03" w:rsidRPr="00033A3F" w:rsidRDefault="00CB2F03">
            <w:pPr>
              <w:jc w:val="left"/>
              <w:rPr>
                <w:color w:val="000000" w:themeColor="text1"/>
                <w:szCs w:val="24"/>
              </w:rPr>
            </w:pPr>
            <w:r w:rsidRPr="00033A3F">
              <w:rPr>
                <w:color w:val="000000" w:themeColor="text1"/>
              </w:rPr>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4729D62" w14:textId="2A286A86" w:rsidR="00CB2F03" w:rsidRPr="00033A3F" w:rsidRDefault="00CB2F03">
            <w:pPr>
              <w:jc w:val="center"/>
              <w:rPr>
                <w:color w:val="000000" w:themeColor="text1"/>
              </w:rPr>
            </w:pPr>
            <w:r w:rsidRPr="00033A3F">
              <w:rPr>
                <w:color w:val="000000" w:themeColor="text1"/>
              </w:rPr>
              <w:t>6</w:t>
            </w:r>
            <w:r w:rsidR="007A5249" w:rsidRPr="00033A3F">
              <w:rPr>
                <w:color w:val="000000" w:themeColor="text1"/>
              </w:rPr>
              <w:t>,</w:t>
            </w:r>
            <w:r w:rsidRPr="00033A3F">
              <w:rPr>
                <w:color w:val="000000" w:themeColor="text1"/>
              </w:rPr>
              <w:t>15 %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0CA7DF" w14:textId="5F1AB9EE"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4 p.b.</w:t>
            </w:r>
          </w:p>
        </w:tc>
      </w:tr>
      <w:tr w:rsidR="00033A3F" w:rsidRPr="00033A3F" w14:paraId="2C9742DD"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CA4153" w14:textId="77777777" w:rsidR="00CB2F03" w:rsidRPr="00033A3F" w:rsidRDefault="00CB2F03">
            <w:pPr>
              <w:jc w:val="left"/>
              <w:rPr>
                <w:color w:val="000000" w:themeColor="text1"/>
                <w:szCs w:val="24"/>
              </w:rPr>
            </w:pPr>
            <w:r w:rsidRPr="00033A3F">
              <w:rPr>
                <w:color w:val="000000" w:themeColor="text1"/>
              </w:rPr>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338F9CC" w14:textId="5F686FFD" w:rsidR="00CB2F03" w:rsidRPr="00033A3F" w:rsidRDefault="00CB2F03">
            <w:pPr>
              <w:jc w:val="center"/>
              <w:rPr>
                <w:color w:val="000000" w:themeColor="text1"/>
              </w:rPr>
            </w:pPr>
            <w:r w:rsidRPr="00033A3F">
              <w:rPr>
                <w:color w:val="000000" w:themeColor="text1"/>
              </w:rPr>
              <w:t>7</w:t>
            </w:r>
            <w:r w:rsidR="007A5249" w:rsidRPr="00033A3F">
              <w:rPr>
                <w:color w:val="000000" w:themeColor="text1"/>
              </w:rPr>
              <w:t>,</w:t>
            </w:r>
            <w:r w:rsidRPr="00033A3F">
              <w:rPr>
                <w:color w:val="000000" w:themeColor="text1"/>
              </w:rPr>
              <w:t>51 %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D3EF7D" w14:textId="1F5BC8AA"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3 p.b.</w:t>
            </w:r>
          </w:p>
        </w:tc>
      </w:tr>
      <w:tr w:rsidR="00033A3F" w:rsidRPr="00033A3F" w14:paraId="2F5E5DD2"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1ECD175" w14:textId="77777777" w:rsidR="00CB2F03" w:rsidRPr="00033A3F" w:rsidRDefault="00CB2F03">
            <w:pPr>
              <w:jc w:val="left"/>
              <w:rPr>
                <w:color w:val="000000" w:themeColor="text1"/>
                <w:szCs w:val="24"/>
              </w:rPr>
            </w:pPr>
            <w:r w:rsidRPr="00033A3F">
              <w:rPr>
                <w:color w:val="000000" w:themeColor="text1"/>
              </w:rPr>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52C3FAF" w14:textId="597315F0" w:rsidR="00CB2F03" w:rsidRPr="00033A3F" w:rsidRDefault="00CB2F03">
            <w:pPr>
              <w:jc w:val="center"/>
              <w:rPr>
                <w:color w:val="000000" w:themeColor="text1"/>
              </w:rPr>
            </w:pPr>
            <w:r w:rsidRPr="00033A3F">
              <w:rPr>
                <w:color w:val="000000" w:themeColor="text1"/>
              </w:rPr>
              <w:t>5</w:t>
            </w:r>
            <w:r w:rsidR="007A5249" w:rsidRPr="00033A3F">
              <w:rPr>
                <w:color w:val="000000" w:themeColor="text1"/>
              </w:rPr>
              <w:t>,</w:t>
            </w:r>
            <w:r w:rsidRPr="00033A3F">
              <w:rPr>
                <w:color w:val="000000" w:themeColor="text1"/>
              </w:rPr>
              <w:t>06 %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93EFAB" w14:textId="1F2DD623"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7 p.b.</w:t>
            </w:r>
          </w:p>
        </w:tc>
      </w:tr>
      <w:tr w:rsidR="00033A3F" w:rsidRPr="00033A3F" w14:paraId="3A65678F"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2420DF1" w14:textId="77777777" w:rsidR="00CB2F03" w:rsidRPr="00033A3F" w:rsidRDefault="00CB2F03">
            <w:pPr>
              <w:jc w:val="left"/>
              <w:rPr>
                <w:color w:val="000000" w:themeColor="text1"/>
                <w:szCs w:val="24"/>
              </w:rPr>
            </w:pPr>
            <w:r w:rsidRPr="00033A3F">
              <w:rPr>
                <w:color w:val="000000" w:themeColor="text1"/>
              </w:rPr>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B1DA96C" w14:textId="1A136C8B" w:rsidR="00CB2F03" w:rsidRPr="00033A3F" w:rsidRDefault="00CB2F03">
            <w:pPr>
              <w:jc w:val="center"/>
              <w:rPr>
                <w:color w:val="000000" w:themeColor="text1"/>
              </w:rPr>
            </w:pPr>
            <w:r w:rsidRPr="00033A3F">
              <w:rPr>
                <w:color w:val="000000" w:themeColor="text1"/>
              </w:rPr>
              <w:t>4</w:t>
            </w:r>
            <w:r w:rsidR="007A5249" w:rsidRPr="00033A3F">
              <w:rPr>
                <w:color w:val="000000" w:themeColor="text1"/>
              </w:rPr>
              <w:t>,</w:t>
            </w:r>
            <w:r w:rsidRPr="00033A3F">
              <w:rPr>
                <w:color w:val="000000" w:themeColor="text1"/>
              </w:rPr>
              <w:t>64 %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F96A07" w14:textId="3C7CAEEB"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4 p.b.</w:t>
            </w:r>
          </w:p>
        </w:tc>
      </w:tr>
      <w:tr w:rsidR="00033A3F" w:rsidRPr="00033A3F" w14:paraId="3E74B3A6"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F42AAB2" w14:textId="77777777" w:rsidR="00CB2F03" w:rsidRPr="00033A3F" w:rsidRDefault="00CB2F03">
            <w:pPr>
              <w:jc w:val="left"/>
              <w:rPr>
                <w:color w:val="000000" w:themeColor="text1"/>
                <w:szCs w:val="24"/>
              </w:rPr>
            </w:pPr>
            <w:r w:rsidRPr="00033A3F">
              <w:rPr>
                <w:color w:val="000000" w:themeColor="text1"/>
              </w:rPr>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B9B4F06" w14:textId="5465F921" w:rsidR="00CB2F03" w:rsidRPr="00033A3F" w:rsidRDefault="00CB2F03">
            <w:pPr>
              <w:jc w:val="center"/>
              <w:rPr>
                <w:color w:val="000000" w:themeColor="text1"/>
              </w:rPr>
            </w:pPr>
            <w:r w:rsidRPr="00033A3F">
              <w:rPr>
                <w:color w:val="000000" w:themeColor="text1"/>
              </w:rPr>
              <w:t>6</w:t>
            </w:r>
            <w:r w:rsidR="007A5249" w:rsidRPr="00033A3F">
              <w:rPr>
                <w:color w:val="000000" w:themeColor="text1"/>
              </w:rPr>
              <w:t>,</w:t>
            </w:r>
            <w:r w:rsidRPr="00033A3F">
              <w:rPr>
                <w:color w:val="000000" w:themeColor="text1"/>
              </w:rPr>
              <w:t>95 %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0336349" w14:textId="164F3BAD"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7 p.b.</w:t>
            </w:r>
          </w:p>
        </w:tc>
      </w:tr>
      <w:tr w:rsidR="00033A3F" w:rsidRPr="00033A3F" w14:paraId="53F83A48"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E1CAFC3" w14:textId="77777777" w:rsidR="00CB2F03" w:rsidRPr="00033A3F" w:rsidRDefault="00CB2F03">
            <w:pPr>
              <w:jc w:val="left"/>
              <w:rPr>
                <w:color w:val="000000" w:themeColor="text1"/>
                <w:szCs w:val="24"/>
              </w:rPr>
            </w:pPr>
            <w:r w:rsidRPr="00033A3F">
              <w:rPr>
                <w:color w:val="000000" w:themeColor="text1"/>
              </w:rPr>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8F981E" w14:textId="689F5734" w:rsidR="00CB2F03" w:rsidRPr="00033A3F" w:rsidRDefault="00CB2F03">
            <w:pPr>
              <w:jc w:val="center"/>
              <w:rPr>
                <w:color w:val="000000" w:themeColor="text1"/>
              </w:rPr>
            </w:pPr>
            <w:r w:rsidRPr="00033A3F">
              <w:rPr>
                <w:color w:val="000000" w:themeColor="text1"/>
              </w:rPr>
              <w:t>8</w:t>
            </w:r>
            <w:r w:rsidR="007A5249" w:rsidRPr="00033A3F">
              <w:rPr>
                <w:color w:val="000000" w:themeColor="text1"/>
              </w:rPr>
              <w:t>,</w:t>
            </w:r>
            <w:r w:rsidRPr="00033A3F">
              <w:rPr>
                <w:color w:val="000000" w:themeColor="text1"/>
              </w:rPr>
              <w:t>05 %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8CB8D4B" w14:textId="78B10834"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9 p.b.</w:t>
            </w:r>
          </w:p>
        </w:tc>
      </w:tr>
      <w:tr w:rsidR="00033A3F" w:rsidRPr="00033A3F" w14:paraId="2B377A19" w14:textId="77777777" w:rsidTr="00CB2F03">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4E0B34C" w14:textId="77777777" w:rsidR="00CB2F03" w:rsidRPr="00033A3F" w:rsidRDefault="00CB2F03">
            <w:pPr>
              <w:jc w:val="left"/>
              <w:rPr>
                <w:color w:val="000000" w:themeColor="text1"/>
                <w:szCs w:val="24"/>
              </w:rPr>
            </w:pPr>
            <w:r w:rsidRPr="00033A3F">
              <w:rPr>
                <w:color w:val="000000" w:themeColor="text1"/>
              </w:rPr>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B4B4DF6" w14:textId="35BDDEEE" w:rsidR="00CB2F03" w:rsidRPr="00033A3F" w:rsidRDefault="00CB2F03">
            <w:pPr>
              <w:jc w:val="center"/>
              <w:rPr>
                <w:color w:val="000000" w:themeColor="text1"/>
              </w:rPr>
            </w:pPr>
            <w:r w:rsidRPr="00033A3F">
              <w:rPr>
                <w:color w:val="000000" w:themeColor="text1"/>
              </w:rPr>
              <w:t>4</w:t>
            </w:r>
            <w:r w:rsidR="007A5249" w:rsidRPr="00033A3F">
              <w:rPr>
                <w:color w:val="000000" w:themeColor="text1"/>
              </w:rPr>
              <w:t>,</w:t>
            </w:r>
            <w:r w:rsidRPr="00033A3F">
              <w:rPr>
                <w:color w:val="000000" w:themeColor="text1"/>
              </w:rPr>
              <w:t>78 %</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42FAD12D" w14:textId="3A94A11C"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9 p.b.</w:t>
            </w:r>
          </w:p>
        </w:tc>
      </w:tr>
      <w:tr w:rsidR="00033A3F" w:rsidRPr="00033A3F" w14:paraId="2841D847" w14:textId="77777777" w:rsidTr="00CB2F03">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A53E741" w14:textId="77777777" w:rsidR="00CB2F03" w:rsidRPr="00033A3F" w:rsidRDefault="00CB2F03">
            <w:pPr>
              <w:jc w:val="left"/>
              <w:rPr>
                <w:b/>
                <w:bCs/>
                <w:color w:val="000000" w:themeColor="text1"/>
                <w:szCs w:val="24"/>
              </w:rPr>
            </w:pPr>
            <w:r w:rsidRPr="00033A3F">
              <w:rPr>
                <w:b/>
                <w:bCs/>
                <w:color w:val="000000" w:themeColor="text1"/>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FDB57BE" w14:textId="30499DA5" w:rsidR="00CB2F03" w:rsidRPr="00033A3F" w:rsidRDefault="00CB2F03">
            <w:pPr>
              <w:jc w:val="center"/>
              <w:rPr>
                <w:b/>
                <w:bCs/>
                <w:color w:val="000000" w:themeColor="text1"/>
              </w:rPr>
            </w:pPr>
            <w:r w:rsidRPr="00033A3F">
              <w:rPr>
                <w:b/>
                <w:bCs/>
                <w:color w:val="000000" w:themeColor="text1"/>
              </w:rPr>
              <w:t>7</w:t>
            </w:r>
            <w:r w:rsidR="007A5249" w:rsidRPr="00033A3F">
              <w:rPr>
                <w:b/>
                <w:bCs/>
                <w:color w:val="000000" w:themeColor="text1"/>
              </w:rPr>
              <w:t>,</w:t>
            </w:r>
            <w:r w:rsidRPr="00033A3F">
              <w:rPr>
                <w:b/>
                <w:bCs/>
                <w:color w:val="000000" w:themeColor="text1"/>
              </w:rPr>
              <w:t>71 %</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2CC1F788" w14:textId="72F59080" w:rsidR="00CB2F03" w:rsidRPr="00033A3F" w:rsidRDefault="00CB2F03">
            <w:pPr>
              <w:jc w:val="center"/>
              <w:rPr>
                <w:b/>
                <w:bCs/>
                <w:color w:val="000000" w:themeColor="text1"/>
                <w:sz w:val="20"/>
                <w:szCs w:val="20"/>
              </w:rPr>
            </w:pPr>
            <w:r w:rsidRPr="00033A3F">
              <w:rPr>
                <w:b/>
                <w:bCs/>
                <w:color w:val="000000" w:themeColor="text1"/>
                <w:sz w:val="20"/>
                <w:szCs w:val="20"/>
              </w:rPr>
              <w:t>-0</w:t>
            </w:r>
            <w:r w:rsidR="007A5249" w:rsidRPr="00033A3F">
              <w:rPr>
                <w:b/>
                <w:bCs/>
                <w:color w:val="000000" w:themeColor="text1"/>
                <w:sz w:val="20"/>
                <w:szCs w:val="20"/>
              </w:rPr>
              <w:t>,</w:t>
            </w:r>
            <w:r w:rsidRPr="00033A3F">
              <w:rPr>
                <w:b/>
                <w:bCs/>
                <w:color w:val="000000" w:themeColor="text1"/>
                <w:sz w:val="20"/>
                <w:szCs w:val="20"/>
              </w:rPr>
              <w:t>3 p.b.</w:t>
            </w:r>
          </w:p>
        </w:tc>
      </w:tr>
      <w:tr w:rsidR="00033A3F" w:rsidRPr="00033A3F" w14:paraId="7C5138FE" w14:textId="77777777" w:rsidTr="00CB2F03">
        <w:trPr>
          <w:trHeight w:val="33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12D44B" w14:textId="77777777" w:rsidR="00CB2F03" w:rsidRPr="00033A3F" w:rsidRDefault="00CB2F03">
            <w:pPr>
              <w:jc w:val="center"/>
              <w:rPr>
                <w:b/>
                <w:bCs/>
                <w:color w:val="000000" w:themeColor="text1"/>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66F313" w14:textId="77777777" w:rsidR="00CB2F03" w:rsidRPr="00033A3F" w:rsidRDefault="00CB2F03">
            <w:pPr>
              <w:rPr>
                <w:color w:val="000000" w:themeColor="text1"/>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87F1B9" w14:textId="77777777" w:rsidR="00CB2F03" w:rsidRPr="00033A3F" w:rsidRDefault="00CB2F03">
            <w:pPr>
              <w:rPr>
                <w:color w:val="000000" w:themeColor="text1"/>
                <w:sz w:val="20"/>
                <w:szCs w:val="20"/>
              </w:rPr>
            </w:pPr>
          </w:p>
        </w:tc>
      </w:tr>
    </w:tbl>
    <w:p w14:paraId="14240FC6" w14:textId="6FA29556" w:rsidR="00CB2F03" w:rsidRPr="00033A3F" w:rsidRDefault="00CB2F03" w:rsidP="00CB2F03">
      <w:pPr>
        <w:pStyle w:val="OdstavecASR"/>
        <w:rPr>
          <w:color w:val="000000" w:themeColor="text1"/>
        </w:rPr>
      </w:pPr>
      <w:r w:rsidRPr="00033A3F">
        <w:rPr>
          <w:color w:val="000000" w:themeColor="text1"/>
        </w:rPr>
        <w:t>Míra odvolání byla v roce 2024 zdaleka nejvyšší v Praze a nejnižší v Severočeském kraji, což je podobné pře</w:t>
      </w:r>
      <w:r w:rsidR="00586CE5">
        <w:rPr>
          <w:color w:val="000000" w:themeColor="text1"/>
        </w:rPr>
        <w:t>d</w:t>
      </w:r>
      <w:r w:rsidRPr="00033A3F">
        <w:rPr>
          <w:color w:val="000000" w:themeColor="text1"/>
        </w:rPr>
        <w:t>chozím rokům. Zde je třeba upozornit, že změny jsou v tabulce uvedeny v procentních bodech. Z jednotlivých okresních soudů byla v roce 2024 nejvyšší míra odvolání u OS Praha 2 (</w:t>
      </w:r>
      <w:r w:rsidR="002F1529" w:rsidRPr="00033A3F">
        <w:rPr>
          <w:color w:val="000000" w:themeColor="text1"/>
        </w:rPr>
        <w:t>41</w:t>
      </w:r>
      <w:r w:rsidRPr="00033A3F">
        <w:rPr>
          <w:color w:val="000000" w:themeColor="text1"/>
        </w:rPr>
        <w:t>,</w:t>
      </w:r>
      <w:r w:rsidR="002F1529" w:rsidRPr="00033A3F">
        <w:rPr>
          <w:color w:val="000000" w:themeColor="text1"/>
        </w:rPr>
        <w:t>49</w:t>
      </w:r>
      <w:r w:rsidRPr="00033A3F">
        <w:rPr>
          <w:color w:val="000000" w:themeColor="text1"/>
        </w:rPr>
        <w:t xml:space="preserve"> %), OS Praha </w:t>
      </w:r>
      <w:r w:rsidR="002F1529" w:rsidRPr="00033A3F">
        <w:rPr>
          <w:color w:val="000000" w:themeColor="text1"/>
        </w:rPr>
        <w:t>7</w:t>
      </w:r>
      <w:r w:rsidRPr="00033A3F">
        <w:rPr>
          <w:color w:val="000000" w:themeColor="text1"/>
        </w:rPr>
        <w:t xml:space="preserve"> (1</w:t>
      </w:r>
      <w:r w:rsidR="002F1529" w:rsidRPr="00033A3F">
        <w:rPr>
          <w:color w:val="000000" w:themeColor="text1"/>
        </w:rPr>
        <w:t>6</w:t>
      </w:r>
      <w:r w:rsidRPr="00033A3F">
        <w:rPr>
          <w:color w:val="000000" w:themeColor="text1"/>
        </w:rPr>
        <w:t>,</w:t>
      </w:r>
      <w:r w:rsidR="002F1529" w:rsidRPr="00033A3F">
        <w:rPr>
          <w:color w:val="000000" w:themeColor="text1"/>
        </w:rPr>
        <w:t>89</w:t>
      </w:r>
      <w:r w:rsidRPr="00033A3F">
        <w:rPr>
          <w:color w:val="000000" w:themeColor="text1"/>
        </w:rPr>
        <w:t xml:space="preserve"> %) a OS </w:t>
      </w:r>
      <w:r w:rsidR="002F1529" w:rsidRPr="00033A3F">
        <w:rPr>
          <w:color w:val="000000" w:themeColor="text1"/>
        </w:rPr>
        <w:t>Semily</w:t>
      </w:r>
      <w:r w:rsidRPr="00033A3F">
        <w:rPr>
          <w:color w:val="000000" w:themeColor="text1"/>
        </w:rPr>
        <w:t xml:space="preserve"> (1</w:t>
      </w:r>
      <w:r w:rsidR="002F1529" w:rsidRPr="00033A3F">
        <w:rPr>
          <w:color w:val="000000" w:themeColor="text1"/>
        </w:rPr>
        <w:t>6</w:t>
      </w:r>
      <w:r w:rsidRPr="00033A3F">
        <w:rPr>
          <w:color w:val="000000" w:themeColor="text1"/>
        </w:rPr>
        <w:t>,</w:t>
      </w:r>
      <w:r w:rsidR="002F1529" w:rsidRPr="00033A3F">
        <w:rPr>
          <w:color w:val="000000" w:themeColor="text1"/>
        </w:rPr>
        <w:t>67</w:t>
      </w:r>
      <w:r w:rsidRPr="00033A3F">
        <w:rPr>
          <w:color w:val="000000" w:themeColor="text1"/>
        </w:rPr>
        <w:t xml:space="preserve"> %). Obzvlášť vysoká míra odvolání u OS Praha 2 má své odůvodnění. Tento soud je totiž specializovaný a velkou část jeho agendy tvoří spory týkající se odpovědnosti státu a územních samosprávných celků za škodu způsobenou při výkonu veřejné moci podle zákona č. 82/1998 Sb. o odpovědnosti za škodu způsobenou při výkonu veřejné moci, například spory o náhradu škody způsobené nesprávným úředním postupem nebo nepřiměřenou délku soudního řízení. Míra odvolání je v těchto sporech velmi vysoká – přibližně </w:t>
      </w:r>
      <w:r w:rsidR="002F1529" w:rsidRPr="00033A3F">
        <w:rPr>
          <w:color w:val="000000" w:themeColor="text1"/>
        </w:rPr>
        <w:t>72</w:t>
      </w:r>
      <w:r w:rsidRPr="00033A3F">
        <w:rPr>
          <w:color w:val="000000" w:themeColor="text1"/>
        </w:rPr>
        <w:t> % v roce 202</w:t>
      </w:r>
      <w:r w:rsidR="002F1529" w:rsidRPr="00033A3F">
        <w:rPr>
          <w:color w:val="000000" w:themeColor="text1"/>
        </w:rPr>
        <w:t>4</w:t>
      </w:r>
      <w:r w:rsidRPr="00033A3F">
        <w:rPr>
          <w:color w:val="000000" w:themeColor="text1"/>
        </w:rPr>
        <w:t xml:space="preserve">. </w:t>
      </w:r>
      <w:bookmarkStart w:id="367" w:name="_Hlk67043216"/>
      <w:r w:rsidRPr="00033A3F">
        <w:rPr>
          <w:color w:val="000000" w:themeColor="text1"/>
        </w:rPr>
        <w:t xml:space="preserve">Nejnižší je míra odvolání u OS </w:t>
      </w:r>
      <w:r w:rsidR="002F1529" w:rsidRPr="00033A3F">
        <w:rPr>
          <w:color w:val="000000" w:themeColor="text1"/>
        </w:rPr>
        <w:t xml:space="preserve">Mladá Boleslav </w:t>
      </w:r>
      <w:r w:rsidRPr="00033A3F">
        <w:rPr>
          <w:color w:val="000000" w:themeColor="text1"/>
        </w:rPr>
        <w:t>(1,</w:t>
      </w:r>
      <w:r w:rsidR="002F1529" w:rsidRPr="00033A3F">
        <w:rPr>
          <w:color w:val="000000" w:themeColor="text1"/>
        </w:rPr>
        <w:t>97 </w:t>
      </w:r>
      <w:r w:rsidRPr="00033A3F">
        <w:rPr>
          <w:color w:val="000000" w:themeColor="text1"/>
        </w:rPr>
        <w:t xml:space="preserve">%), OS </w:t>
      </w:r>
      <w:r w:rsidR="002F1529" w:rsidRPr="00033A3F">
        <w:rPr>
          <w:color w:val="000000" w:themeColor="text1"/>
        </w:rPr>
        <w:t>Jihlava</w:t>
      </w:r>
      <w:r w:rsidRPr="00033A3F">
        <w:rPr>
          <w:color w:val="000000" w:themeColor="text1"/>
        </w:rPr>
        <w:t xml:space="preserve"> (2,</w:t>
      </w:r>
      <w:r w:rsidR="002F1529" w:rsidRPr="00033A3F">
        <w:rPr>
          <w:color w:val="000000" w:themeColor="text1"/>
        </w:rPr>
        <w:t>55</w:t>
      </w:r>
      <w:r w:rsidRPr="00033A3F">
        <w:rPr>
          <w:color w:val="000000" w:themeColor="text1"/>
        </w:rPr>
        <w:t xml:space="preserve"> %) a OS </w:t>
      </w:r>
      <w:r w:rsidR="002F1529" w:rsidRPr="00033A3F">
        <w:rPr>
          <w:color w:val="000000" w:themeColor="text1"/>
        </w:rPr>
        <w:t>Ostrava</w:t>
      </w:r>
      <w:r w:rsidRPr="00033A3F">
        <w:rPr>
          <w:color w:val="000000" w:themeColor="text1"/>
        </w:rPr>
        <w:t xml:space="preserve"> (2,</w:t>
      </w:r>
      <w:r w:rsidR="002F1529" w:rsidRPr="00033A3F">
        <w:rPr>
          <w:color w:val="000000" w:themeColor="text1"/>
        </w:rPr>
        <w:t>63</w:t>
      </w:r>
      <w:r w:rsidRPr="00033A3F">
        <w:rPr>
          <w:color w:val="000000" w:themeColor="text1"/>
        </w:rPr>
        <w:t> %)</w:t>
      </w:r>
      <w:bookmarkEnd w:id="367"/>
      <w:r w:rsidRPr="00033A3F">
        <w:rPr>
          <w:color w:val="000000" w:themeColor="text1"/>
        </w:rPr>
        <w:t>.</w:t>
      </w:r>
    </w:p>
    <w:p w14:paraId="34522E46" w14:textId="56FE7ECB" w:rsidR="00A635A2" w:rsidRPr="00033A3F" w:rsidRDefault="00A635A2" w:rsidP="00A635A2">
      <w:pPr>
        <w:pStyle w:val="Podnadpis"/>
        <w:rPr>
          <w:color w:val="000000" w:themeColor="text1"/>
        </w:rPr>
      </w:pPr>
      <w:bookmarkStart w:id="368" w:name="_Toc43841395"/>
      <w:bookmarkStart w:id="369" w:name="_Toc75952196"/>
      <w:bookmarkStart w:id="370" w:name="_Toc106106649"/>
      <w:bookmarkStart w:id="371" w:name="_Toc144104127"/>
      <w:bookmarkStart w:id="372" w:name="_Toc169250935"/>
      <w:bookmarkStart w:id="373" w:name="_Toc174080621"/>
      <w:bookmarkStart w:id="374" w:name="_Toc193530771"/>
      <w:bookmarkStart w:id="375" w:name="_Toc193634045"/>
      <w:bookmarkStart w:id="376" w:name="_Toc20303284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16</w:t>
      </w:r>
      <w:r w:rsidRPr="00033A3F">
        <w:rPr>
          <w:color w:val="000000" w:themeColor="text1"/>
        </w:rPr>
        <w:fldChar w:fldCharType="end"/>
      </w:r>
      <w:r w:rsidRPr="00033A3F">
        <w:rPr>
          <w:color w:val="000000" w:themeColor="text1"/>
        </w:rPr>
        <w:t>: OS – míra odvolání u jednotlivých soudů v civilním řízení</w:t>
      </w:r>
      <w:bookmarkEnd w:id="368"/>
      <w:bookmarkEnd w:id="369"/>
      <w:bookmarkEnd w:id="370"/>
      <w:bookmarkEnd w:id="371"/>
      <w:r w:rsidRPr="00033A3F">
        <w:rPr>
          <w:color w:val="000000" w:themeColor="text1"/>
        </w:rPr>
        <w:t>, 202</w:t>
      </w:r>
      <w:bookmarkEnd w:id="372"/>
      <w:bookmarkEnd w:id="373"/>
      <w:r w:rsidRPr="00033A3F">
        <w:rPr>
          <w:color w:val="000000" w:themeColor="text1"/>
        </w:rPr>
        <w:t>4</w:t>
      </w:r>
      <w:bookmarkEnd w:id="374"/>
      <w:bookmarkEnd w:id="375"/>
      <w:bookmarkEnd w:id="376"/>
    </w:p>
    <w:p w14:paraId="74C1EB66" w14:textId="01B83C9B" w:rsidR="00BE6013" w:rsidRPr="00033A3F" w:rsidRDefault="007A5249" w:rsidP="00BE6013">
      <w:pPr>
        <w:rPr>
          <w:color w:val="000000" w:themeColor="text1"/>
        </w:rPr>
      </w:pPr>
      <w:r w:rsidRPr="00033A3F">
        <w:rPr>
          <w:noProof/>
          <w:color w:val="000000" w:themeColor="text1"/>
          <w:lang w:eastAsia="cs-CZ"/>
        </w:rPr>
        <w:drawing>
          <wp:anchor distT="0" distB="0" distL="114300" distR="114300" simplePos="0" relativeHeight="251684864" behindDoc="0" locked="0" layoutInCell="1" allowOverlap="1" wp14:anchorId="7DAFAA5C" wp14:editId="295E7EA1">
            <wp:simplePos x="0" y="0"/>
            <wp:positionH relativeFrom="column">
              <wp:posOffset>4540725</wp:posOffset>
            </wp:positionH>
            <wp:positionV relativeFrom="paragraph">
              <wp:posOffset>7620</wp:posOffset>
            </wp:positionV>
            <wp:extent cx="1178719" cy="857250"/>
            <wp:effectExtent l="0" t="0" r="2540" b="0"/>
            <wp:wrapNone/>
            <wp:docPr id="1329637502"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81082" cy="8589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6013" w:rsidRPr="00033A3F">
        <w:rPr>
          <w:noProof/>
          <w:color w:val="000000" w:themeColor="text1"/>
          <w:lang w:eastAsia="cs-CZ"/>
        </w:rPr>
        <w:drawing>
          <wp:inline distT="0" distB="0" distL="0" distR="0" wp14:anchorId="46A66C7F" wp14:editId="2826BA8D">
            <wp:extent cx="5760720" cy="3296920"/>
            <wp:effectExtent l="0" t="0" r="0" b="0"/>
            <wp:docPr id="440465169"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00ADFC74" w14:textId="6D4877BF" w:rsidR="001979DB" w:rsidRPr="00033A3F" w:rsidRDefault="001979DB" w:rsidP="001979DB">
      <w:pPr>
        <w:pStyle w:val="OdstavecASR"/>
        <w:keepNext/>
        <w:outlineLvl w:val="3"/>
        <w:rPr>
          <w:b/>
          <w:bCs/>
          <w:color w:val="000000" w:themeColor="text1"/>
        </w:rPr>
      </w:pPr>
      <w:r w:rsidRPr="00033A3F">
        <w:rPr>
          <w:b/>
          <w:bCs/>
          <w:color w:val="000000" w:themeColor="text1"/>
        </w:rPr>
        <w:lastRenderedPageBreak/>
        <w:t>Míra změny rozsudku</w:t>
      </w:r>
    </w:p>
    <w:p w14:paraId="2DBAA597" w14:textId="67E409B9" w:rsidR="001979DB" w:rsidRPr="00033A3F" w:rsidRDefault="001979DB" w:rsidP="001979DB">
      <w:pPr>
        <w:pStyle w:val="OdstavecASR"/>
        <w:rPr>
          <w:color w:val="000000" w:themeColor="text1"/>
        </w:rPr>
      </w:pPr>
      <w:r w:rsidRPr="00033A3F">
        <w:rPr>
          <w:color w:val="000000" w:themeColor="text1"/>
        </w:rPr>
        <w:t>Dalším sledovaným ukazatelem je míra změny rozsudku. Jedná se o podíl věcí v procentech, ve kterých odvolací soud na podkladě odvolání změnil rozhodnutí soudu I. stupně. Jako změna rozsudku jsou započítány věci, v nichž bylo odvolání vyhověno, ale i případy, kdy bylo rozhodnutí soudu I. stupně odvolacím soudem zrušeno a vráceno soudu I. stupně.</w:t>
      </w:r>
    </w:p>
    <w:p w14:paraId="6C6F5537" w14:textId="08A8EA24" w:rsidR="001979DB" w:rsidRPr="00033A3F" w:rsidRDefault="001979DB" w:rsidP="001979DB">
      <w:pPr>
        <w:pStyle w:val="Podnadpis"/>
        <w:rPr>
          <w:color w:val="000000" w:themeColor="text1"/>
        </w:rPr>
      </w:pPr>
      <w:bookmarkStart w:id="377" w:name="_Toc43931187"/>
      <w:bookmarkStart w:id="378" w:name="_Toc75952318"/>
      <w:bookmarkStart w:id="379" w:name="_Toc106106777"/>
      <w:bookmarkStart w:id="380" w:name="_Toc144104254"/>
      <w:bookmarkStart w:id="381" w:name="_Toc169251070"/>
      <w:bookmarkStart w:id="382" w:name="_Toc174080756"/>
      <w:bookmarkStart w:id="383" w:name="_Toc193530891"/>
      <w:bookmarkStart w:id="384" w:name="_Toc194045586"/>
      <w:bookmarkStart w:id="385" w:name="_Toc199494995"/>
      <w:bookmarkStart w:id="386" w:name="_Toc203033055"/>
      <w:bookmarkStart w:id="387" w:name="_Toc20303313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13</w:t>
      </w:r>
      <w:r w:rsidRPr="00033A3F">
        <w:rPr>
          <w:noProof/>
          <w:color w:val="000000" w:themeColor="text1"/>
        </w:rPr>
        <w:fldChar w:fldCharType="end"/>
      </w:r>
      <w:r w:rsidRPr="00033A3F">
        <w:rPr>
          <w:color w:val="000000" w:themeColor="text1"/>
        </w:rPr>
        <w:t>: OS – míra změny rozsudku dle krajů v civilním řízení</w:t>
      </w:r>
      <w:bookmarkEnd w:id="377"/>
      <w:bookmarkEnd w:id="378"/>
      <w:bookmarkEnd w:id="379"/>
      <w:bookmarkEnd w:id="380"/>
      <w:bookmarkEnd w:id="381"/>
      <w:bookmarkEnd w:id="382"/>
      <w:bookmarkEnd w:id="383"/>
      <w:bookmarkEnd w:id="384"/>
      <w:bookmarkEnd w:id="385"/>
      <w:bookmarkEnd w:id="386"/>
      <w:bookmarkEnd w:id="387"/>
    </w:p>
    <w:tbl>
      <w:tblPr>
        <w:tblW w:w="5920" w:type="dxa"/>
        <w:tblCellMar>
          <w:left w:w="70" w:type="dxa"/>
          <w:right w:w="70" w:type="dxa"/>
        </w:tblCellMar>
        <w:tblLook w:val="04A0" w:firstRow="1" w:lastRow="0" w:firstColumn="1" w:lastColumn="0" w:noHBand="0" w:noVBand="1"/>
      </w:tblPr>
      <w:tblGrid>
        <w:gridCol w:w="2480"/>
        <w:gridCol w:w="1794"/>
        <w:gridCol w:w="1646"/>
      </w:tblGrid>
      <w:tr w:rsidR="00033A3F" w:rsidRPr="00033A3F" w14:paraId="3D2400BD" w14:textId="77777777" w:rsidTr="00782E29">
        <w:trPr>
          <w:trHeight w:val="345"/>
        </w:trPr>
        <w:tc>
          <w:tcPr>
            <w:tcW w:w="2480" w:type="dxa"/>
            <w:tcBorders>
              <w:top w:val="double" w:sz="6" w:space="0" w:color="auto"/>
              <w:left w:val="nil"/>
              <w:bottom w:val="double" w:sz="6" w:space="0" w:color="auto"/>
              <w:right w:val="nil"/>
            </w:tcBorders>
            <w:shd w:val="clear" w:color="auto" w:fill="auto"/>
            <w:noWrap/>
            <w:vAlign w:val="center"/>
            <w:hideMark/>
          </w:tcPr>
          <w:p w14:paraId="765E9B57" w14:textId="77777777" w:rsidR="00782E29" w:rsidRPr="00033A3F" w:rsidRDefault="00782E29" w:rsidP="00782E2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440" w:type="dxa"/>
            <w:gridSpan w:val="2"/>
            <w:tcBorders>
              <w:top w:val="double" w:sz="6" w:space="0" w:color="auto"/>
              <w:left w:val="nil"/>
              <w:bottom w:val="double" w:sz="6" w:space="0" w:color="auto"/>
              <w:right w:val="nil"/>
            </w:tcBorders>
            <w:shd w:val="clear" w:color="auto" w:fill="auto"/>
            <w:noWrap/>
            <w:vAlign w:val="center"/>
            <w:hideMark/>
          </w:tcPr>
          <w:p w14:paraId="267A4E8B" w14:textId="77777777" w:rsidR="00782E29" w:rsidRPr="00033A3F" w:rsidRDefault="00782E29" w:rsidP="00782E2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změny rozsudku</w:t>
            </w:r>
          </w:p>
        </w:tc>
      </w:tr>
      <w:tr w:rsidR="00033A3F" w:rsidRPr="00033A3F" w14:paraId="10121133" w14:textId="77777777" w:rsidTr="00782E29">
        <w:trPr>
          <w:trHeight w:val="330"/>
        </w:trPr>
        <w:tc>
          <w:tcPr>
            <w:tcW w:w="2480" w:type="dxa"/>
            <w:tcBorders>
              <w:top w:val="nil"/>
              <w:left w:val="nil"/>
              <w:bottom w:val="single" w:sz="4" w:space="0" w:color="auto"/>
              <w:right w:val="nil"/>
            </w:tcBorders>
            <w:shd w:val="clear" w:color="auto" w:fill="auto"/>
            <w:noWrap/>
            <w:vAlign w:val="bottom"/>
            <w:hideMark/>
          </w:tcPr>
          <w:p w14:paraId="293D2F20"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94" w:type="dxa"/>
            <w:tcBorders>
              <w:top w:val="nil"/>
              <w:left w:val="nil"/>
              <w:bottom w:val="single" w:sz="4" w:space="0" w:color="auto"/>
              <w:right w:val="nil"/>
            </w:tcBorders>
            <w:shd w:val="clear" w:color="auto" w:fill="auto"/>
            <w:noWrap/>
            <w:vAlign w:val="bottom"/>
            <w:hideMark/>
          </w:tcPr>
          <w:p w14:paraId="2B4597A6" w14:textId="6187E0A6"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16 %</w:t>
            </w:r>
          </w:p>
        </w:tc>
        <w:tc>
          <w:tcPr>
            <w:tcW w:w="1646" w:type="dxa"/>
            <w:tcBorders>
              <w:top w:val="single" w:sz="4" w:space="0" w:color="auto"/>
              <w:left w:val="nil"/>
              <w:bottom w:val="single" w:sz="4" w:space="0" w:color="auto"/>
              <w:right w:val="nil"/>
            </w:tcBorders>
            <w:shd w:val="clear" w:color="auto" w:fill="auto"/>
            <w:noWrap/>
            <w:vAlign w:val="center"/>
            <w:hideMark/>
          </w:tcPr>
          <w:p w14:paraId="27D7778D" w14:textId="17F1A9DC"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8 </w:t>
            </w:r>
            <w:r w:rsidR="007A5249" w:rsidRPr="00033A3F">
              <w:rPr>
                <w:rFonts w:eastAsia="Times New Roman"/>
                <w:color w:val="000000" w:themeColor="text1"/>
                <w:sz w:val="20"/>
                <w:szCs w:val="20"/>
                <w:lang w:eastAsia="cs-CZ"/>
              </w:rPr>
              <w:t>p.b.</w:t>
            </w:r>
          </w:p>
        </w:tc>
      </w:tr>
      <w:tr w:rsidR="00033A3F" w:rsidRPr="00033A3F" w14:paraId="1FD4F837"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202A951D"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94" w:type="dxa"/>
            <w:tcBorders>
              <w:top w:val="nil"/>
              <w:left w:val="nil"/>
              <w:bottom w:val="single" w:sz="4" w:space="0" w:color="auto"/>
              <w:right w:val="nil"/>
            </w:tcBorders>
            <w:shd w:val="clear" w:color="auto" w:fill="auto"/>
            <w:noWrap/>
            <w:vAlign w:val="bottom"/>
            <w:hideMark/>
          </w:tcPr>
          <w:p w14:paraId="1CA74D3C" w14:textId="0CFB4FEA"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27 %</w:t>
            </w:r>
          </w:p>
        </w:tc>
        <w:tc>
          <w:tcPr>
            <w:tcW w:w="1646" w:type="dxa"/>
            <w:tcBorders>
              <w:top w:val="nil"/>
              <w:left w:val="nil"/>
              <w:bottom w:val="single" w:sz="4" w:space="0" w:color="auto"/>
              <w:right w:val="nil"/>
            </w:tcBorders>
            <w:shd w:val="clear" w:color="auto" w:fill="auto"/>
            <w:noWrap/>
            <w:vAlign w:val="center"/>
            <w:hideMark/>
          </w:tcPr>
          <w:p w14:paraId="594AA626" w14:textId="107260E7"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5 </w:t>
            </w:r>
            <w:r w:rsidR="007A5249" w:rsidRPr="00033A3F">
              <w:rPr>
                <w:rFonts w:eastAsia="Times New Roman"/>
                <w:color w:val="000000" w:themeColor="text1"/>
                <w:sz w:val="20"/>
                <w:szCs w:val="20"/>
                <w:lang w:eastAsia="cs-CZ"/>
              </w:rPr>
              <w:t>p.b.</w:t>
            </w:r>
          </w:p>
        </w:tc>
      </w:tr>
      <w:tr w:rsidR="00033A3F" w:rsidRPr="00033A3F" w14:paraId="50229FF4"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48432BD9"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94" w:type="dxa"/>
            <w:tcBorders>
              <w:top w:val="nil"/>
              <w:left w:val="nil"/>
              <w:bottom w:val="single" w:sz="4" w:space="0" w:color="auto"/>
              <w:right w:val="nil"/>
            </w:tcBorders>
            <w:shd w:val="clear" w:color="auto" w:fill="auto"/>
            <w:noWrap/>
            <w:vAlign w:val="bottom"/>
            <w:hideMark/>
          </w:tcPr>
          <w:p w14:paraId="53F603D0" w14:textId="41003FDA"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78 %</w:t>
            </w:r>
          </w:p>
        </w:tc>
        <w:tc>
          <w:tcPr>
            <w:tcW w:w="1646" w:type="dxa"/>
            <w:tcBorders>
              <w:top w:val="nil"/>
              <w:left w:val="nil"/>
              <w:bottom w:val="single" w:sz="4" w:space="0" w:color="auto"/>
              <w:right w:val="nil"/>
            </w:tcBorders>
            <w:shd w:val="clear" w:color="auto" w:fill="auto"/>
            <w:noWrap/>
            <w:vAlign w:val="center"/>
            <w:hideMark/>
          </w:tcPr>
          <w:p w14:paraId="1FFD368E" w14:textId="7AFD0D00"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4 </w:t>
            </w:r>
            <w:r w:rsidR="007A5249" w:rsidRPr="00033A3F">
              <w:rPr>
                <w:rFonts w:eastAsia="Times New Roman"/>
                <w:color w:val="000000" w:themeColor="text1"/>
                <w:sz w:val="20"/>
                <w:szCs w:val="20"/>
                <w:lang w:eastAsia="cs-CZ"/>
              </w:rPr>
              <w:t>p.b.</w:t>
            </w:r>
          </w:p>
        </w:tc>
      </w:tr>
      <w:tr w:rsidR="00033A3F" w:rsidRPr="00033A3F" w14:paraId="03F61AB6"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5B5F4096"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94" w:type="dxa"/>
            <w:tcBorders>
              <w:top w:val="nil"/>
              <w:left w:val="nil"/>
              <w:bottom w:val="single" w:sz="4" w:space="0" w:color="auto"/>
              <w:right w:val="nil"/>
            </w:tcBorders>
            <w:shd w:val="clear" w:color="auto" w:fill="auto"/>
            <w:noWrap/>
            <w:vAlign w:val="bottom"/>
            <w:hideMark/>
          </w:tcPr>
          <w:p w14:paraId="703D9860" w14:textId="6CBC7702"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07 %</w:t>
            </w:r>
          </w:p>
        </w:tc>
        <w:tc>
          <w:tcPr>
            <w:tcW w:w="1646" w:type="dxa"/>
            <w:tcBorders>
              <w:top w:val="nil"/>
              <w:left w:val="nil"/>
              <w:bottom w:val="single" w:sz="4" w:space="0" w:color="auto"/>
              <w:right w:val="nil"/>
            </w:tcBorders>
            <w:shd w:val="clear" w:color="auto" w:fill="auto"/>
            <w:noWrap/>
            <w:vAlign w:val="center"/>
            <w:hideMark/>
          </w:tcPr>
          <w:p w14:paraId="060B8B92" w14:textId="711BE865"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7 </w:t>
            </w:r>
            <w:r w:rsidR="007A5249" w:rsidRPr="00033A3F">
              <w:rPr>
                <w:rFonts w:eastAsia="Times New Roman"/>
                <w:color w:val="000000" w:themeColor="text1"/>
                <w:sz w:val="20"/>
                <w:szCs w:val="20"/>
                <w:lang w:eastAsia="cs-CZ"/>
              </w:rPr>
              <w:t>p.b.</w:t>
            </w:r>
          </w:p>
        </w:tc>
      </w:tr>
      <w:tr w:rsidR="00033A3F" w:rsidRPr="00033A3F" w14:paraId="6CE51CE2"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136B7436"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94" w:type="dxa"/>
            <w:tcBorders>
              <w:top w:val="nil"/>
              <w:left w:val="nil"/>
              <w:bottom w:val="single" w:sz="4" w:space="0" w:color="auto"/>
              <w:right w:val="nil"/>
            </w:tcBorders>
            <w:shd w:val="clear" w:color="auto" w:fill="auto"/>
            <w:noWrap/>
            <w:vAlign w:val="bottom"/>
            <w:hideMark/>
          </w:tcPr>
          <w:p w14:paraId="1C560905" w14:textId="64BE239F"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02 %</w:t>
            </w:r>
          </w:p>
        </w:tc>
        <w:tc>
          <w:tcPr>
            <w:tcW w:w="1646" w:type="dxa"/>
            <w:tcBorders>
              <w:top w:val="nil"/>
              <w:left w:val="nil"/>
              <w:bottom w:val="single" w:sz="4" w:space="0" w:color="auto"/>
              <w:right w:val="nil"/>
            </w:tcBorders>
            <w:shd w:val="clear" w:color="auto" w:fill="auto"/>
            <w:noWrap/>
            <w:vAlign w:val="center"/>
            <w:hideMark/>
          </w:tcPr>
          <w:p w14:paraId="2BA4D0A5" w14:textId="2314BFF9"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1 </w:t>
            </w:r>
            <w:r w:rsidR="007A5249" w:rsidRPr="00033A3F">
              <w:rPr>
                <w:rFonts w:eastAsia="Times New Roman"/>
                <w:color w:val="000000" w:themeColor="text1"/>
                <w:sz w:val="20"/>
                <w:szCs w:val="20"/>
                <w:lang w:eastAsia="cs-CZ"/>
              </w:rPr>
              <w:t>p.b.</w:t>
            </w:r>
          </w:p>
        </w:tc>
      </w:tr>
      <w:tr w:rsidR="00033A3F" w:rsidRPr="00033A3F" w14:paraId="508B6AF6"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2C920D3A"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94" w:type="dxa"/>
            <w:tcBorders>
              <w:top w:val="nil"/>
              <w:left w:val="nil"/>
              <w:bottom w:val="single" w:sz="4" w:space="0" w:color="auto"/>
              <w:right w:val="nil"/>
            </w:tcBorders>
            <w:shd w:val="clear" w:color="auto" w:fill="auto"/>
            <w:noWrap/>
            <w:vAlign w:val="bottom"/>
            <w:hideMark/>
          </w:tcPr>
          <w:p w14:paraId="7A123F1C" w14:textId="44EEC306"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05 %</w:t>
            </w:r>
          </w:p>
        </w:tc>
        <w:tc>
          <w:tcPr>
            <w:tcW w:w="1646" w:type="dxa"/>
            <w:tcBorders>
              <w:top w:val="nil"/>
              <w:left w:val="nil"/>
              <w:bottom w:val="single" w:sz="4" w:space="0" w:color="auto"/>
              <w:right w:val="nil"/>
            </w:tcBorders>
            <w:shd w:val="clear" w:color="auto" w:fill="auto"/>
            <w:noWrap/>
            <w:vAlign w:val="center"/>
            <w:hideMark/>
          </w:tcPr>
          <w:p w14:paraId="290C1B98" w14:textId="470945C3"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4 </w:t>
            </w:r>
            <w:r w:rsidR="007A5249" w:rsidRPr="00033A3F">
              <w:rPr>
                <w:rFonts w:eastAsia="Times New Roman"/>
                <w:color w:val="000000" w:themeColor="text1"/>
                <w:sz w:val="20"/>
                <w:szCs w:val="20"/>
                <w:lang w:eastAsia="cs-CZ"/>
              </w:rPr>
              <w:t>p.b.</w:t>
            </w:r>
          </w:p>
        </w:tc>
      </w:tr>
      <w:tr w:rsidR="00033A3F" w:rsidRPr="00033A3F" w14:paraId="2AE79EDB"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0F9349EB"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94" w:type="dxa"/>
            <w:tcBorders>
              <w:top w:val="nil"/>
              <w:left w:val="nil"/>
              <w:bottom w:val="single" w:sz="4" w:space="0" w:color="auto"/>
              <w:right w:val="nil"/>
            </w:tcBorders>
            <w:shd w:val="clear" w:color="auto" w:fill="auto"/>
            <w:noWrap/>
            <w:vAlign w:val="bottom"/>
            <w:hideMark/>
          </w:tcPr>
          <w:p w14:paraId="20877B17" w14:textId="5B9A74E9"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28 %</w:t>
            </w:r>
          </w:p>
        </w:tc>
        <w:tc>
          <w:tcPr>
            <w:tcW w:w="1646" w:type="dxa"/>
            <w:tcBorders>
              <w:top w:val="nil"/>
              <w:left w:val="nil"/>
              <w:bottom w:val="single" w:sz="4" w:space="0" w:color="auto"/>
              <w:right w:val="nil"/>
            </w:tcBorders>
            <w:shd w:val="clear" w:color="auto" w:fill="auto"/>
            <w:noWrap/>
            <w:vAlign w:val="center"/>
            <w:hideMark/>
          </w:tcPr>
          <w:p w14:paraId="0889D61C" w14:textId="51C0D6F8"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7 </w:t>
            </w:r>
            <w:r w:rsidR="007A5249" w:rsidRPr="00033A3F">
              <w:rPr>
                <w:rFonts w:eastAsia="Times New Roman"/>
                <w:color w:val="000000" w:themeColor="text1"/>
                <w:sz w:val="20"/>
                <w:szCs w:val="20"/>
                <w:lang w:eastAsia="cs-CZ"/>
              </w:rPr>
              <w:t>p.b.</w:t>
            </w:r>
          </w:p>
        </w:tc>
      </w:tr>
      <w:tr w:rsidR="00033A3F" w:rsidRPr="00033A3F" w14:paraId="09D2DB9C" w14:textId="77777777" w:rsidTr="00782E29">
        <w:trPr>
          <w:trHeight w:val="330"/>
        </w:trPr>
        <w:tc>
          <w:tcPr>
            <w:tcW w:w="2480" w:type="dxa"/>
            <w:tcBorders>
              <w:top w:val="nil"/>
              <w:left w:val="nil"/>
              <w:bottom w:val="double" w:sz="6" w:space="0" w:color="auto"/>
              <w:right w:val="nil"/>
            </w:tcBorders>
            <w:shd w:val="clear" w:color="auto" w:fill="auto"/>
            <w:noWrap/>
            <w:vAlign w:val="bottom"/>
            <w:hideMark/>
          </w:tcPr>
          <w:p w14:paraId="12C5F142"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94" w:type="dxa"/>
            <w:tcBorders>
              <w:top w:val="nil"/>
              <w:left w:val="nil"/>
              <w:bottom w:val="double" w:sz="6" w:space="0" w:color="auto"/>
              <w:right w:val="nil"/>
            </w:tcBorders>
            <w:shd w:val="clear" w:color="auto" w:fill="auto"/>
            <w:noWrap/>
            <w:vAlign w:val="bottom"/>
            <w:hideMark/>
          </w:tcPr>
          <w:p w14:paraId="4EC51F35" w14:textId="46187882"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44 %</w:t>
            </w:r>
          </w:p>
        </w:tc>
        <w:tc>
          <w:tcPr>
            <w:tcW w:w="1646" w:type="dxa"/>
            <w:tcBorders>
              <w:top w:val="nil"/>
              <w:left w:val="nil"/>
              <w:bottom w:val="double" w:sz="6" w:space="0" w:color="auto"/>
              <w:right w:val="nil"/>
            </w:tcBorders>
            <w:shd w:val="clear" w:color="auto" w:fill="auto"/>
            <w:noWrap/>
            <w:vAlign w:val="center"/>
            <w:hideMark/>
          </w:tcPr>
          <w:p w14:paraId="7B4B10DD" w14:textId="20A9C5B5"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3 </w:t>
            </w:r>
            <w:r w:rsidR="007A5249" w:rsidRPr="00033A3F">
              <w:rPr>
                <w:rFonts w:eastAsia="Times New Roman"/>
                <w:color w:val="000000" w:themeColor="text1"/>
                <w:sz w:val="20"/>
                <w:szCs w:val="20"/>
                <w:lang w:eastAsia="cs-CZ"/>
              </w:rPr>
              <w:t>p.b.</w:t>
            </w:r>
          </w:p>
        </w:tc>
      </w:tr>
      <w:tr w:rsidR="00033A3F" w:rsidRPr="00033A3F" w14:paraId="469B5CB5" w14:textId="77777777" w:rsidTr="00782E29">
        <w:trPr>
          <w:trHeight w:val="345"/>
        </w:trPr>
        <w:tc>
          <w:tcPr>
            <w:tcW w:w="2480" w:type="dxa"/>
            <w:tcBorders>
              <w:top w:val="nil"/>
              <w:left w:val="nil"/>
              <w:bottom w:val="double" w:sz="6" w:space="0" w:color="auto"/>
              <w:right w:val="nil"/>
            </w:tcBorders>
            <w:shd w:val="clear" w:color="auto" w:fill="auto"/>
            <w:noWrap/>
            <w:vAlign w:val="bottom"/>
            <w:hideMark/>
          </w:tcPr>
          <w:p w14:paraId="793FA3BE" w14:textId="77777777" w:rsidR="00782E29" w:rsidRPr="00033A3F" w:rsidRDefault="00782E29" w:rsidP="00782E29">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94" w:type="dxa"/>
            <w:tcBorders>
              <w:top w:val="nil"/>
              <w:left w:val="nil"/>
              <w:bottom w:val="double" w:sz="6" w:space="0" w:color="auto"/>
              <w:right w:val="nil"/>
            </w:tcBorders>
            <w:shd w:val="clear" w:color="auto" w:fill="auto"/>
            <w:noWrap/>
            <w:vAlign w:val="bottom"/>
            <w:hideMark/>
          </w:tcPr>
          <w:p w14:paraId="1979B972" w14:textId="30AC3291" w:rsidR="00782E29" w:rsidRPr="00033A3F" w:rsidRDefault="00782E29" w:rsidP="00782E2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42</w:t>
            </w:r>
            <w:r w:rsidR="007A5249"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67 %</w:t>
            </w:r>
          </w:p>
        </w:tc>
        <w:tc>
          <w:tcPr>
            <w:tcW w:w="1646" w:type="dxa"/>
            <w:tcBorders>
              <w:top w:val="nil"/>
              <w:left w:val="nil"/>
              <w:bottom w:val="double" w:sz="6" w:space="0" w:color="auto"/>
              <w:right w:val="nil"/>
            </w:tcBorders>
            <w:shd w:val="clear" w:color="auto" w:fill="auto"/>
            <w:noWrap/>
            <w:vAlign w:val="center"/>
            <w:hideMark/>
          </w:tcPr>
          <w:p w14:paraId="6DCC02FC" w14:textId="59767347" w:rsidR="00782E29" w:rsidRPr="00033A3F" w:rsidRDefault="00782E29" w:rsidP="007A5249">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w:t>
            </w:r>
            <w:r w:rsidR="007A5249" w:rsidRPr="00033A3F">
              <w:rPr>
                <w:rFonts w:eastAsia="Times New Roman"/>
                <w:b/>
                <w:bCs/>
                <w:color w:val="000000" w:themeColor="text1"/>
                <w:sz w:val="20"/>
                <w:szCs w:val="20"/>
                <w:lang w:eastAsia="cs-CZ"/>
              </w:rPr>
              <w:t>,</w:t>
            </w:r>
            <w:r w:rsidRPr="00033A3F">
              <w:rPr>
                <w:rFonts w:eastAsia="Times New Roman"/>
                <w:b/>
                <w:bCs/>
                <w:color w:val="000000" w:themeColor="text1"/>
                <w:sz w:val="20"/>
                <w:szCs w:val="20"/>
                <w:lang w:eastAsia="cs-CZ"/>
              </w:rPr>
              <w:t xml:space="preserve">4 </w:t>
            </w:r>
            <w:r w:rsidR="007A5249" w:rsidRPr="00033A3F">
              <w:rPr>
                <w:rFonts w:eastAsia="Times New Roman"/>
                <w:b/>
                <w:bCs/>
                <w:color w:val="000000" w:themeColor="text1"/>
                <w:sz w:val="20"/>
                <w:szCs w:val="20"/>
                <w:lang w:eastAsia="cs-CZ"/>
              </w:rPr>
              <w:t>p.b.</w:t>
            </w:r>
          </w:p>
        </w:tc>
      </w:tr>
      <w:tr w:rsidR="00033A3F" w:rsidRPr="00033A3F" w14:paraId="0863D721" w14:textId="77777777" w:rsidTr="00782E29">
        <w:trPr>
          <w:trHeight w:val="330"/>
        </w:trPr>
        <w:tc>
          <w:tcPr>
            <w:tcW w:w="2480" w:type="dxa"/>
            <w:tcBorders>
              <w:top w:val="nil"/>
              <w:left w:val="nil"/>
              <w:bottom w:val="nil"/>
              <w:right w:val="nil"/>
            </w:tcBorders>
            <w:shd w:val="clear" w:color="auto" w:fill="auto"/>
            <w:noWrap/>
            <w:vAlign w:val="bottom"/>
            <w:hideMark/>
          </w:tcPr>
          <w:p w14:paraId="5140599B" w14:textId="77777777" w:rsidR="00782E29" w:rsidRPr="00033A3F" w:rsidRDefault="00782E29" w:rsidP="00782E29">
            <w:pPr>
              <w:spacing w:line="240" w:lineRule="auto"/>
              <w:jc w:val="right"/>
              <w:rPr>
                <w:rFonts w:eastAsia="Times New Roman"/>
                <w:b/>
                <w:bCs/>
                <w:color w:val="000000" w:themeColor="text1"/>
                <w:sz w:val="20"/>
                <w:szCs w:val="20"/>
                <w:lang w:eastAsia="cs-CZ"/>
              </w:rPr>
            </w:pPr>
          </w:p>
        </w:tc>
        <w:tc>
          <w:tcPr>
            <w:tcW w:w="1794" w:type="dxa"/>
            <w:tcBorders>
              <w:top w:val="nil"/>
              <w:left w:val="nil"/>
              <w:bottom w:val="nil"/>
              <w:right w:val="nil"/>
            </w:tcBorders>
            <w:shd w:val="clear" w:color="auto" w:fill="auto"/>
            <w:noWrap/>
            <w:vAlign w:val="bottom"/>
            <w:hideMark/>
          </w:tcPr>
          <w:p w14:paraId="2CBA5E96" w14:textId="77777777" w:rsidR="00782E29" w:rsidRPr="00033A3F" w:rsidRDefault="00782E29" w:rsidP="00782E29">
            <w:pPr>
              <w:spacing w:line="240" w:lineRule="auto"/>
              <w:jc w:val="left"/>
              <w:rPr>
                <w:rFonts w:ascii="Times New Roman" w:eastAsia="Times New Roman" w:hAnsi="Times New Roman"/>
                <w:color w:val="000000" w:themeColor="text1"/>
                <w:sz w:val="20"/>
                <w:szCs w:val="20"/>
                <w:lang w:eastAsia="cs-CZ"/>
              </w:rPr>
            </w:pPr>
          </w:p>
        </w:tc>
        <w:tc>
          <w:tcPr>
            <w:tcW w:w="1646" w:type="dxa"/>
            <w:tcBorders>
              <w:top w:val="nil"/>
              <w:left w:val="nil"/>
              <w:bottom w:val="nil"/>
              <w:right w:val="nil"/>
            </w:tcBorders>
            <w:shd w:val="clear" w:color="auto" w:fill="auto"/>
            <w:noWrap/>
            <w:vAlign w:val="bottom"/>
            <w:hideMark/>
          </w:tcPr>
          <w:p w14:paraId="04CB5AB7" w14:textId="77777777" w:rsidR="00782E29" w:rsidRPr="00033A3F" w:rsidRDefault="00782E29" w:rsidP="00782E29">
            <w:pPr>
              <w:spacing w:line="240" w:lineRule="auto"/>
              <w:jc w:val="left"/>
              <w:rPr>
                <w:rFonts w:ascii="Times New Roman" w:eastAsia="Times New Roman" w:hAnsi="Times New Roman"/>
                <w:color w:val="000000" w:themeColor="text1"/>
                <w:sz w:val="20"/>
                <w:szCs w:val="20"/>
                <w:lang w:eastAsia="cs-CZ"/>
              </w:rPr>
            </w:pPr>
          </w:p>
        </w:tc>
      </w:tr>
    </w:tbl>
    <w:p w14:paraId="301CC4AF" w14:textId="189826AE" w:rsidR="00782E29" w:rsidRPr="00033A3F" w:rsidRDefault="00782E29" w:rsidP="00782E29">
      <w:pPr>
        <w:pStyle w:val="Podnadpis"/>
        <w:rPr>
          <w:color w:val="000000" w:themeColor="text1"/>
        </w:rPr>
      </w:pPr>
      <w:bookmarkStart w:id="388" w:name="_Toc75952197"/>
      <w:bookmarkStart w:id="389" w:name="_Toc106106650"/>
      <w:bookmarkStart w:id="390" w:name="_Toc144104128"/>
      <w:bookmarkStart w:id="391" w:name="_Toc169250936"/>
      <w:bookmarkStart w:id="392" w:name="_Toc174080622"/>
      <w:bookmarkStart w:id="393" w:name="_Toc193530772"/>
      <w:bookmarkStart w:id="394" w:name="_Toc193634046"/>
      <w:bookmarkStart w:id="395" w:name="_Toc20303284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17</w:t>
      </w:r>
      <w:r w:rsidRPr="00033A3F">
        <w:rPr>
          <w:color w:val="000000" w:themeColor="text1"/>
        </w:rPr>
        <w:fldChar w:fldCharType="end"/>
      </w:r>
      <w:r w:rsidRPr="00033A3F">
        <w:rPr>
          <w:color w:val="000000" w:themeColor="text1"/>
        </w:rPr>
        <w:t>: OS – míra změny rozsudku u jednotlivých soudů v civilním řízení</w:t>
      </w:r>
      <w:bookmarkEnd w:id="388"/>
      <w:bookmarkEnd w:id="389"/>
      <w:bookmarkEnd w:id="390"/>
      <w:bookmarkEnd w:id="391"/>
      <w:bookmarkEnd w:id="392"/>
      <w:bookmarkEnd w:id="393"/>
      <w:bookmarkEnd w:id="394"/>
      <w:bookmarkEnd w:id="395"/>
    </w:p>
    <w:p w14:paraId="6C92C164" w14:textId="6DC30631" w:rsidR="00782E29" w:rsidRPr="00033A3F" w:rsidRDefault="007A5249">
      <w:pPr>
        <w:spacing w:after="160" w:line="259" w:lineRule="auto"/>
        <w:jc w:val="left"/>
        <w:rPr>
          <w:color w:val="000000" w:themeColor="text1"/>
        </w:rPr>
      </w:pPr>
      <w:r w:rsidRPr="00033A3F">
        <w:rPr>
          <w:noProof/>
          <w:color w:val="000000" w:themeColor="text1"/>
          <w:lang w:eastAsia="cs-CZ"/>
        </w:rPr>
        <w:drawing>
          <wp:anchor distT="0" distB="0" distL="114300" distR="114300" simplePos="0" relativeHeight="251685888" behindDoc="0" locked="0" layoutInCell="1" allowOverlap="1" wp14:anchorId="3432E890" wp14:editId="70C119A6">
            <wp:simplePos x="0" y="0"/>
            <wp:positionH relativeFrom="column">
              <wp:posOffset>4565015</wp:posOffset>
            </wp:positionH>
            <wp:positionV relativeFrom="paragraph">
              <wp:posOffset>31750</wp:posOffset>
            </wp:positionV>
            <wp:extent cx="1178719" cy="857250"/>
            <wp:effectExtent l="0" t="0" r="2540" b="0"/>
            <wp:wrapNone/>
            <wp:docPr id="2119331616"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8719"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3769CC7F" wp14:editId="2CBF3BDA">
            <wp:extent cx="5760720" cy="3296920"/>
            <wp:effectExtent l="0" t="0" r="0" b="0"/>
            <wp:docPr id="853951815"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5120A9E" w14:textId="3268D388" w:rsidR="00316D02" w:rsidRPr="00033A3F" w:rsidRDefault="00782E29" w:rsidP="00782E29">
      <w:pPr>
        <w:pStyle w:val="OdstavecASR"/>
        <w:rPr>
          <w:color w:val="000000" w:themeColor="text1"/>
        </w:rPr>
      </w:pPr>
      <w:r w:rsidRPr="00033A3F">
        <w:rPr>
          <w:color w:val="000000" w:themeColor="text1"/>
        </w:rPr>
        <w:t xml:space="preserve">Míra změny rozsudku je nejnižší ve Východočeském kraji a v Praze, nejvyšší je v kraji Severočeském. Celorepublikově došlo k mírnému poklesu. Z okresních soudů mají nejnižší míru změny rozsudku OS Beroun (16,67 %), OS pro Prahu 7 (18,27 %) a OS Prahu 3 (23,33 %). Na druhém konci se nacházejí OS </w:t>
      </w:r>
      <w:r w:rsidR="00E52CDA" w:rsidRPr="00033A3F">
        <w:rPr>
          <w:color w:val="000000" w:themeColor="text1"/>
        </w:rPr>
        <w:t xml:space="preserve">Mladá Boleslav </w:t>
      </w:r>
      <w:r w:rsidRPr="00033A3F">
        <w:rPr>
          <w:color w:val="000000" w:themeColor="text1"/>
        </w:rPr>
        <w:t>(</w:t>
      </w:r>
      <w:r w:rsidR="00E52CDA" w:rsidRPr="00033A3F">
        <w:rPr>
          <w:color w:val="000000" w:themeColor="text1"/>
        </w:rPr>
        <w:t>60</w:t>
      </w:r>
      <w:r w:rsidRPr="00033A3F">
        <w:rPr>
          <w:color w:val="000000" w:themeColor="text1"/>
        </w:rPr>
        <w:t>,</w:t>
      </w:r>
      <w:r w:rsidR="00E52CDA" w:rsidRPr="00033A3F">
        <w:rPr>
          <w:color w:val="000000" w:themeColor="text1"/>
        </w:rPr>
        <w:t>42</w:t>
      </w:r>
      <w:r w:rsidRPr="00033A3F">
        <w:rPr>
          <w:color w:val="000000" w:themeColor="text1"/>
        </w:rPr>
        <w:t xml:space="preserve"> %), OS </w:t>
      </w:r>
      <w:r w:rsidR="00E52CDA" w:rsidRPr="00033A3F">
        <w:rPr>
          <w:color w:val="000000" w:themeColor="text1"/>
        </w:rPr>
        <w:t>Kladno</w:t>
      </w:r>
      <w:r w:rsidRPr="00033A3F">
        <w:rPr>
          <w:color w:val="000000" w:themeColor="text1"/>
        </w:rPr>
        <w:t xml:space="preserve"> (6</w:t>
      </w:r>
      <w:r w:rsidR="00E52CDA" w:rsidRPr="00033A3F">
        <w:rPr>
          <w:color w:val="000000" w:themeColor="text1"/>
        </w:rPr>
        <w:t>1</w:t>
      </w:r>
      <w:r w:rsidRPr="00033A3F">
        <w:rPr>
          <w:color w:val="000000" w:themeColor="text1"/>
        </w:rPr>
        <w:t>,</w:t>
      </w:r>
      <w:r w:rsidR="00E52CDA" w:rsidRPr="00033A3F">
        <w:rPr>
          <w:color w:val="000000" w:themeColor="text1"/>
        </w:rPr>
        <w:t>33</w:t>
      </w:r>
      <w:r w:rsidRPr="00033A3F">
        <w:rPr>
          <w:color w:val="000000" w:themeColor="text1"/>
        </w:rPr>
        <w:t> %) a OS </w:t>
      </w:r>
      <w:r w:rsidR="00E52CDA" w:rsidRPr="00033A3F">
        <w:rPr>
          <w:color w:val="000000" w:themeColor="text1"/>
        </w:rPr>
        <w:t>Jablonec nad Nisou</w:t>
      </w:r>
      <w:r w:rsidRPr="00033A3F">
        <w:rPr>
          <w:color w:val="000000" w:themeColor="text1"/>
        </w:rPr>
        <w:t xml:space="preserve"> (64,</w:t>
      </w:r>
      <w:r w:rsidR="00E52CDA" w:rsidRPr="00033A3F">
        <w:rPr>
          <w:color w:val="000000" w:themeColor="text1"/>
        </w:rPr>
        <w:t>29</w:t>
      </w:r>
      <w:r w:rsidRPr="00033A3F">
        <w:rPr>
          <w:color w:val="000000" w:themeColor="text1"/>
        </w:rPr>
        <w:t> %).</w:t>
      </w:r>
    </w:p>
    <w:p w14:paraId="3F621FC0" w14:textId="582823C8" w:rsidR="00782E29" w:rsidRPr="00033A3F" w:rsidRDefault="00316D02" w:rsidP="00DC747E">
      <w:pPr>
        <w:pStyle w:val="OdstavecASR"/>
        <w:keepNext/>
        <w:outlineLvl w:val="3"/>
        <w:rPr>
          <w:b/>
          <w:bCs/>
          <w:color w:val="000000" w:themeColor="text1"/>
        </w:rPr>
      </w:pPr>
      <w:r w:rsidRPr="00033A3F">
        <w:rPr>
          <w:b/>
          <w:bCs/>
          <w:color w:val="000000" w:themeColor="text1"/>
        </w:rPr>
        <w:lastRenderedPageBreak/>
        <w:t>Vybran</w:t>
      </w:r>
      <w:r w:rsidR="009468AE" w:rsidRPr="00033A3F">
        <w:rPr>
          <w:b/>
          <w:bCs/>
          <w:color w:val="000000" w:themeColor="text1"/>
        </w:rPr>
        <w:t>á</w:t>
      </w:r>
      <w:r w:rsidRPr="00033A3F">
        <w:rPr>
          <w:b/>
          <w:bCs/>
          <w:color w:val="000000" w:themeColor="text1"/>
        </w:rPr>
        <w:t xml:space="preserve"> data o rozvodech</w:t>
      </w:r>
    </w:p>
    <w:p w14:paraId="5455B9BE" w14:textId="515C800B" w:rsidR="00316D02" w:rsidRPr="00033A3F" w:rsidRDefault="00DC747E" w:rsidP="00782E29">
      <w:pPr>
        <w:pStyle w:val="OdstavecASR"/>
        <w:rPr>
          <w:color w:val="000000" w:themeColor="text1"/>
        </w:rPr>
      </w:pPr>
      <w:r w:rsidRPr="00033A3F">
        <w:rPr>
          <w:color w:val="000000" w:themeColor="text1"/>
        </w:rPr>
        <w:t>Většin</w:t>
      </w:r>
      <w:r w:rsidR="005B33F7" w:rsidRPr="00033A3F">
        <w:rPr>
          <w:color w:val="000000" w:themeColor="text1"/>
        </w:rPr>
        <w:t>a</w:t>
      </w:r>
      <w:r w:rsidRPr="00033A3F">
        <w:rPr>
          <w:color w:val="000000" w:themeColor="text1"/>
        </w:rPr>
        <w:t xml:space="preserve"> </w:t>
      </w:r>
      <w:r w:rsidR="005B33F7" w:rsidRPr="00033A3F">
        <w:rPr>
          <w:color w:val="000000" w:themeColor="text1"/>
        </w:rPr>
        <w:t xml:space="preserve">justičních statistických </w:t>
      </w:r>
      <w:r w:rsidRPr="00033A3F">
        <w:rPr>
          <w:color w:val="000000" w:themeColor="text1"/>
        </w:rPr>
        <w:t xml:space="preserve">dat </w:t>
      </w:r>
      <w:r w:rsidR="00224469" w:rsidRPr="00033A3F">
        <w:rPr>
          <w:color w:val="000000" w:themeColor="text1"/>
        </w:rPr>
        <w:t>v elektronické podobě</w:t>
      </w:r>
      <w:r w:rsidR="00E95197" w:rsidRPr="00033A3F">
        <w:rPr>
          <w:color w:val="000000" w:themeColor="text1"/>
        </w:rPr>
        <w:t xml:space="preserve"> </w:t>
      </w:r>
      <w:r w:rsidR="005B33F7" w:rsidRPr="00033A3F">
        <w:rPr>
          <w:color w:val="000000" w:themeColor="text1"/>
        </w:rPr>
        <w:t>je</w:t>
      </w:r>
      <w:r w:rsidRPr="00033A3F">
        <w:rPr>
          <w:color w:val="000000" w:themeColor="text1"/>
        </w:rPr>
        <w:t xml:space="preserve"> </w:t>
      </w:r>
      <w:r w:rsidR="005B33F7" w:rsidRPr="00033A3F">
        <w:rPr>
          <w:color w:val="000000" w:themeColor="text1"/>
        </w:rPr>
        <w:t xml:space="preserve">s ohledem na změny způsobu jejich sběru </w:t>
      </w:r>
      <w:r w:rsidRPr="00033A3F">
        <w:rPr>
          <w:color w:val="000000" w:themeColor="text1"/>
        </w:rPr>
        <w:t>k dispozici až od roku 2008</w:t>
      </w:r>
      <w:r w:rsidR="005B33F7" w:rsidRPr="00033A3F">
        <w:rPr>
          <w:color w:val="000000" w:themeColor="text1"/>
        </w:rPr>
        <w:t xml:space="preserve">, ale v některých případech jsou dostupná i data </w:t>
      </w:r>
      <w:r w:rsidR="005407FA" w:rsidRPr="00033A3F">
        <w:rPr>
          <w:color w:val="000000" w:themeColor="text1"/>
        </w:rPr>
        <w:t>starší</w:t>
      </w:r>
      <w:r w:rsidR="00224469" w:rsidRPr="00033A3F">
        <w:rPr>
          <w:color w:val="000000" w:themeColor="text1"/>
        </w:rPr>
        <w:t xml:space="preserve">, v tomto případě ze starých ročenek </w:t>
      </w:r>
      <w:r w:rsidR="00586CE5" w:rsidRPr="00033A3F">
        <w:rPr>
          <w:color w:val="000000" w:themeColor="text1"/>
        </w:rPr>
        <w:t>M</w:t>
      </w:r>
      <w:r w:rsidR="00586CE5">
        <w:rPr>
          <w:color w:val="000000" w:themeColor="text1"/>
        </w:rPr>
        <w:t>inisterstva spravedlnosti</w:t>
      </w:r>
      <w:r w:rsidR="005407FA" w:rsidRPr="00033A3F">
        <w:rPr>
          <w:color w:val="000000" w:themeColor="text1"/>
        </w:rPr>
        <w:t xml:space="preserve">. </w:t>
      </w:r>
      <w:r w:rsidR="005B33F7" w:rsidRPr="00033A3F">
        <w:rPr>
          <w:color w:val="000000" w:themeColor="text1"/>
        </w:rPr>
        <w:t>G</w:t>
      </w:r>
      <w:r w:rsidR="005407FA" w:rsidRPr="00033A3F">
        <w:rPr>
          <w:color w:val="000000" w:themeColor="text1"/>
        </w:rPr>
        <w:t xml:space="preserve">raf níže </w:t>
      </w:r>
      <w:r w:rsidR="005B33F7" w:rsidRPr="00033A3F">
        <w:rPr>
          <w:color w:val="000000" w:themeColor="text1"/>
        </w:rPr>
        <w:t>zachycuje</w:t>
      </w:r>
      <w:r w:rsidR="005407FA" w:rsidRPr="00033A3F">
        <w:rPr>
          <w:color w:val="000000" w:themeColor="text1"/>
        </w:rPr>
        <w:t xml:space="preserve"> počet návrhů na rozvod a podíl nerozvedených manželství (</w:t>
      </w:r>
      <w:r w:rsidR="005B33F7" w:rsidRPr="00033A3F">
        <w:rPr>
          <w:color w:val="000000" w:themeColor="text1"/>
        </w:rPr>
        <w:t xml:space="preserve">tedy případů, kdy </w:t>
      </w:r>
      <w:r w:rsidR="005407FA" w:rsidRPr="00033A3F">
        <w:rPr>
          <w:color w:val="000000" w:themeColor="text1"/>
        </w:rPr>
        <w:t>soud manželství z nějakého důvodu nerozvedl) od roku 1967 do roku 2024.</w:t>
      </w:r>
    </w:p>
    <w:p w14:paraId="1447E11F" w14:textId="46001B00" w:rsidR="005407FA" w:rsidRPr="00033A3F" w:rsidRDefault="005407FA" w:rsidP="005407FA">
      <w:pPr>
        <w:pStyle w:val="Podnadpis"/>
        <w:rPr>
          <w:color w:val="000000" w:themeColor="text1"/>
        </w:rPr>
      </w:pPr>
      <w:bookmarkStart w:id="396" w:name="_Toc193530773"/>
      <w:bookmarkStart w:id="397" w:name="_Toc193634047"/>
      <w:bookmarkStart w:id="398" w:name="_Toc203032845"/>
      <w:bookmarkStart w:id="399" w:name="_Hlk19102820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18</w:t>
      </w:r>
      <w:r w:rsidRPr="00033A3F">
        <w:rPr>
          <w:color w:val="000000" w:themeColor="text1"/>
        </w:rPr>
        <w:fldChar w:fldCharType="end"/>
      </w:r>
      <w:r w:rsidRPr="00033A3F">
        <w:rPr>
          <w:color w:val="000000" w:themeColor="text1"/>
        </w:rPr>
        <w:t>: OS – návrhy na rozvod za roky 1967 až 2024</w:t>
      </w:r>
      <w:bookmarkEnd w:id="396"/>
      <w:bookmarkEnd w:id="397"/>
      <w:bookmarkEnd w:id="398"/>
    </w:p>
    <w:bookmarkEnd w:id="399"/>
    <w:p w14:paraId="321A2273" w14:textId="0C371BE6" w:rsidR="005407FA" w:rsidRPr="00033A3F" w:rsidRDefault="005407FA">
      <w:pPr>
        <w:spacing w:after="160" w:line="259" w:lineRule="auto"/>
        <w:jc w:val="left"/>
        <w:rPr>
          <w:color w:val="000000" w:themeColor="text1"/>
        </w:rPr>
      </w:pPr>
      <w:r w:rsidRPr="00033A3F">
        <w:rPr>
          <w:noProof/>
          <w:color w:val="000000" w:themeColor="text1"/>
          <w:lang w:eastAsia="cs-CZ"/>
        </w:rPr>
        <w:drawing>
          <wp:inline distT="0" distB="0" distL="0" distR="0" wp14:anchorId="3904CD40" wp14:editId="18913314">
            <wp:extent cx="5029200" cy="3657600"/>
            <wp:effectExtent l="0" t="0" r="0" b="0"/>
            <wp:docPr id="643655753"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7475988" w14:textId="0E817637" w:rsidR="0002584C" w:rsidRPr="00033A3F" w:rsidRDefault="005407FA" w:rsidP="006468A2">
      <w:pPr>
        <w:pStyle w:val="OdstavecASR"/>
        <w:spacing w:after="0"/>
        <w:rPr>
          <w:color w:val="000000" w:themeColor="text1"/>
        </w:rPr>
      </w:pPr>
      <w:r w:rsidRPr="00033A3F">
        <w:rPr>
          <w:color w:val="000000" w:themeColor="text1"/>
        </w:rPr>
        <w:t xml:space="preserve">Na grafu vidíme, že počet návrhů na rozvod má </w:t>
      </w:r>
      <w:r w:rsidR="001F1033" w:rsidRPr="00033A3F">
        <w:rPr>
          <w:color w:val="000000" w:themeColor="text1"/>
        </w:rPr>
        <w:t xml:space="preserve">tvar </w:t>
      </w:r>
      <w:r w:rsidRPr="00033A3F">
        <w:rPr>
          <w:color w:val="000000" w:themeColor="text1"/>
        </w:rPr>
        <w:t>podobný obr</w:t>
      </w:r>
      <w:r w:rsidR="00A12129" w:rsidRPr="00033A3F">
        <w:rPr>
          <w:color w:val="000000" w:themeColor="text1"/>
        </w:rPr>
        <w:t>á</w:t>
      </w:r>
      <w:r w:rsidRPr="00033A3F">
        <w:rPr>
          <w:color w:val="000000" w:themeColor="text1"/>
        </w:rPr>
        <w:t xml:space="preserve">cenému U. </w:t>
      </w:r>
      <w:r w:rsidR="005B33F7" w:rsidRPr="00033A3F">
        <w:rPr>
          <w:color w:val="000000" w:themeColor="text1"/>
        </w:rPr>
        <w:t>P</w:t>
      </w:r>
      <w:r w:rsidRPr="00033A3F">
        <w:rPr>
          <w:color w:val="000000" w:themeColor="text1"/>
        </w:rPr>
        <w:t xml:space="preserve">očet návrhů na rozvod </w:t>
      </w:r>
      <w:r w:rsidR="005B33F7" w:rsidRPr="00033A3F">
        <w:rPr>
          <w:color w:val="000000" w:themeColor="text1"/>
        </w:rPr>
        <w:t xml:space="preserve">tedy </w:t>
      </w:r>
      <w:r w:rsidRPr="00033A3F">
        <w:rPr>
          <w:color w:val="000000" w:themeColor="text1"/>
        </w:rPr>
        <w:t>postupně rostl až do druhé poloviny 90. let a pak začal klesat.</w:t>
      </w:r>
      <w:r w:rsidR="003909F4" w:rsidRPr="00033A3F">
        <w:rPr>
          <w:color w:val="000000" w:themeColor="text1"/>
        </w:rPr>
        <w:t xml:space="preserve"> Tento pokles byl primárně způsoben tím, že od roku 19</w:t>
      </w:r>
      <w:r w:rsidR="0072089A" w:rsidRPr="00033A3F">
        <w:rPr>
          <w:color w:val="000000" w:themeColor="text1"/>
        </w:rPr>
        <w:t>90</w:t>
      </w:r>
      <w:r w:rsidR="003909F4" w:rsidRPr="00033A3F">
        <w:rPr>
          <w:color w:val="000000" w:themeColor="text1"/>
        </w:rPr>
        <w:t xml:space="preserve"> se </w:t>
      </w:r>
      <w:r w:rsidR="0072089A" w:rsidRPr="00033A3F">
        <w:rPr>
          <w:color w:val="000000" w:themeColor="text1"/>
        </w:rPr>
        <w:t>prudce</w:t>
      </w:r>
      <w:r w:rsidR="003909F4" w:rsidRPr="00033A3F">
        <w:rPr>
          <w:color w:val="000000" w:themeColor="text1"/>
        </w:rPr>
        <w:t xml:space="preserve"> snižuje počet manželství ve společnosti, tedy existuje méně manželství, která se mohou rozvést (19</w:t>
      </w:r>
      <w:r w:rsidR="0072089A" w:rsidRPr="00033A3F">
        <w:rPr>
          <w:color w:val="000000" w:themeColor="text1"/>
        </w:rPr>
        <w:t>90</w:t>
      </w:r>
      <w:r w:rsidR="003909F4" w:rsidRPr="00033A3F">
        <w:rPr>
          <w:color w:val="000000" w:themeColor="text1"/>
        </w:rPr>
        <w:t xml:space="preserve"> = </w:t>
      </w:r>
      <w:r w:rsidR="0072089A" w:rsidRPr="00033A3F">
        <w:rPr>
          <w:color w:val="000000" w:themeColor="text1"/>
        </w:rPr>
        <w:t xml:space="preserve">2 585 488 </w:t>
      </w:r>
      <w:r w:rsidR="003909F4" w:rsidRPr="00033A3F">
        <w:rPr>
          <w:color w:val="000000" w:themeColor="text1"/>
        </w:rPr>
        <w:t>manželství vs. 2023 = 2</w:t>
      </w:r>
      <w:r w:rsidR="00982781" w:rsidRPr="00033A3F">
        <w:rPr>
          <w:color w:val="000000" w:themeColor="text1"/>
        </w:rPr>
        <w:t> </w:t>
      </w:r>
      <w:r w:rsidR="003909F4" w:rsidRPr="00033A3F">
        <w:rPr>
          <w:color w:val="000000" w:themeColor="text1"/>
        </w:rPr>
        <w:t>068</w:t>
      </w:r>
      <w:r w:rsidR="00982781" w:rsidRPr="00033A3F">
        <w:rPr>
          <w:color w:val="000000" w:themeColor="text1"/>
        </w:rPr>
        <w:t> </w:t>
      </w:r>
      <w:r w:rsidR="003909F4" w:rsidRPr="00033A3F">
        <w:rPr>
          <w:color w:val="000000" w:themeColor="text1"/>
        </w:rPr>
        <w:t>487 manželství – poslední dostupný údaj</w:t>
      </w:r>
      <w:r w:rsidR="00E2171C" w:rsidRPr="00033A3F">
        <w:rPr>
          <w:rStyle w:val="Znakapoznpodarou"/>
          <w:color w:val="000000" w:themeColor="text1"/>
        </w:rPr>
        <w:footnoteReference w:id="7"/>
      </w:r>
      <w:r w:rsidR="003909F4" w:rsidRPr="00033A3F">
        <w:rPr>
          <w:color w:val="000000" w:themeColor="text1"/>
        </w:rPr>
        <w:t>).</w:t>
      </w:r>
      <w:r w:rsidR="0072089A" w:rsidRPr="00033A3F">
        <w:rPr>
          <w:color w:val="000000" w:themeColor="text1"/>
        </w:rPr>
        <w:t xml:space="preserve"> </w:t>
      </w:r>
      <w:r w:rsidR="00934DAB">
        <w:rPr>
          <w:color w:val="000000" w:themeColor="text1"/>
        </w:rPr>
        <w:t>Navíc se snížil také p</w:t>
      </w:r>
      <w:r w:rsidR="0072089A" w:rsidRPr="00033A3F">
        <w:rPr>
          <w:color w:val="000000" w:themeColor="text1"/>
        </w:rPr>
        <w:t>očet podaných návrhů na rozvod manželství</w:t>
      </w:r>
      <w:r w:rsidR="0002584C" w:rsidRPr="00033A3F">
        <w:rPr>
          <w:color w:val="000000" w:themeColor="text1"/>
        </w:rPr>
        <w:t xml:space="preserve"> přepočítaný</w:t>
      </w:r>
      <w:r w:rsidR="0072089A" w:rsidRPr="00033A3F">
        <w:rPr>
          <w:color w:val="000000" w:themeColor="text1"/>
        </w:rPr>
        <w:t xml:space="preserve"> na 100 existujících manželství (1990 = 1,6 vs. 2023 = 1,0</w:t>
      </w:r>
      <w:r w:rsidR="007A59B0" w:rsidRPr="00033A3F">
        <w:rPr>
          <w:color w:val="000000" w:themeColor="text1"/>
        </w:rPr>
        <w:t xml:space="preserve"> což je návrat k úrovni </w:t>
      </w:r>
      <w:r w:rsidR="00130FC5" w:rsidRPr="00033A3F">
        <w:rPr>
          <w:color w:val="000000" w:themeColor="text1"/>
        </w:rPr>
        <w:t>let</w:t>
      </w:r>
      <w:r w:rsidR="007A59B0" w:rsidRPr="00033A3F">
        <w:rPr>
          <w:color w:val="000000" w:themeColor="text1"/>
        </w:rPr>
        <w:t xml:space="preserve"> 197</w:t>
      </w:r>
      <w:r w:rsidR="00130FC5" w:rsidRPr="00033A3F">
        <w:rPr>
          <w:color w:val="000000" w:themeColor="text1"/>
        </w:rPr>
        <w:t>0 -71</w:t>
      </w:r>
      <w:r w:rsidR="0072089A" w:rsidRPr="00033A3F">
        <w:rPr>
          <w:color w:val="000000" w:themeColor="text1"/>
        </w:rPr>
        <w:t>).</w:t>
      </w:r>
      <w:r w:rsidRPr="00033A3F">
        <w:rPr>
          <w:color w:val="000000" w:themeColor="text1"/>
        </w:rPr>
        <w:t xml:space="preserve"> </w:t>
      </w:r>
      <w:r w:rsidR="00934DAB">
        <w:rPr>
          <w:color w:val="000000" w:themeColor="text1"/>
        </w:rPr>
        <w:t xml:space="preserve">Výsledkem je, že </w:t>
      </w:r>
      <w:r w:rsidR="00934DAB" w:rsidRPr="00033A3F">
        <w:rPr>
          <w:color w:val="000000" w:themeColor="text1"/>
        </w:rPr>
        <w:t>v letech 2022 až 2024 bylo vykázáno nejméně rozvodů od roku 1969</w:t>
      </w:r>
      <w:r w:rsidR="00934DAB">
        <w:rPr>
          <w:color w:val="000000" w:themeColor="text1"/>
        </w:rPr>
        <w:t xml:space="preserve">, a to přesto, že soudy </w:t>
      </w:r>
      <w:r w:rsidR="0002584C" w:rsidRPr="00033A3F">
        <w:rPr>
          <w:color w:val="000000" w:themeColor="text1"/>
        </w:rPr>
        <w:t>stále častěji návrhu na rozvod vyhoví</w:t>
      </w:r>
      <w:r w:rsidR="00E2171C" w:rsidRPr="00033A3F">
        <w:rPr>
          <w:color w:val="000000" w:themeColor="text1"/>
        </w:rPr>
        <w:t xml:space="preserve"> (viz červená křivka v grafu výše)</w:t>
      </w:r>
      <w:r w:rsidR="0002584C" w:rsidRPr="00033A3F">
        <w:rPr>
          <w:color w:val="000000" w:themeColor="text1"/>
        </w:rPr>
        <w:t xml:space="preserve">. </w:t>
      </w:r>
      <w:r w:rsidR="003B1002" w:rsidRPr="00033A3F">
        <w:rPr>
          <w:color w:val="000000" w:themeColor="text1"/>
        </w:rPr>
        <w:t xml:space="preserve">Tato data tedy dle našeho názoru </w:t>
      </w:r>
      <w:r w:rsidR="006468A2">
        <w:rPr>
          <w:color w:val="000000" w:themeColor="text1"/>
        </w:rPr>
        <w:t xml:space="preserve">ne </w:t>
      </w:r>
      <w:r w:rsidR="009A593B" w:rsidRPr="00033A3F">
        <w:rPr>
          <w:color w:val="000000" w:themeColor="text1"/>
        </w:rPr>
        <w:t xml:space="preserve">zcela </w:t>
      </w:r>
      <w:r w:rsidR="003B1002" w:rsidRPr="00033A3F">
        <w:rPr>
          <w:color w:val="000000" w:themeColor="text1"/>
        </w:rPr>
        <w:t xml:space="preserve">podporují obecně rozšířený názor, že čím dál více manželství se v ČR rozvádí. Navíc, </w:t>
      </w:r>
      <w:r w:rsidR="00B32D3F" w:rsidRPr="00033A3F">
        <w:rPr>
          <w:color w:val="000000" w:themeColor="text1"/>
        </w:rPr>
        <w:t xml:space="preserve">průměrná </w:t>
      </w:r>
      <w:r w:rsidR="003B1002" w:rsidRPr="00033A3F">
        <w:rPr>
          <w:color w:val="000000" w:themeColor="text1"/>
        </w:rPr>
        <w:t>délka</w:t>
      </w:r>
      <w:r w:rsidR="00B32D3F" w:rsidRPr="00033A3F">
        <w:rPr>
          <w:color w:val="000000" w:themeColor="text1"/>
        </w:rPr>
        <w:t xml:space="preserve"> trvání</w:t>
      </w:r>
      <w:r w:rsidR="003B1002" w:rsidRPr="00033A3F">
        <w:rPr>
          <w:color w:val="000000" w:themeColor="text1"/>
        </w:rPr>
        <w:t xml:space="preserve"> manželství </w:t>
      </w:r>
      <w:r w:rsidR="00C14541" w:rsidRPr="00033A3F">
        <w:rPr>
          <w:color w:val="000000" w:themeColor="text1"/>
        </w:rPr>
        <w:t>při</w:t>
      </w:r>
      <w:r w:rsidR="003B1002" w:rsidRPr="00033A3F">
        <w:rPr>
          <w:color w:val="000000" w:themeColor="text1"/>
        </w:rPr>
        <w:t xml:space="preserve"> rozvodu se postupně prodlužuje</w:t>
      </w:r>
      <w:r w:rsidR="00130FC5" w:rsidRPr="00033A3F">
        <w:rPr>
          <w:color w:val="000000" w:themeColor="text1"/>
        </w:rPr>
        <w:t>, a to v </w:t>
      </w:r>
      <w:r w:rsidR="006468A2">
        <w:rPr>
          <w:color w:val="000000" w:themeColor="text1"/>
        </w:rPr>
        <w:t>následujících</w:t>
      </w:r>
      <w:r w:rsidR="00130FC5" w:rsidRPr="00033A3F">
        <w:rPr>
          <w:color w:val="000000" w:themeColor="text1"/>
        </w:rPr>
        <w:t xml:space="preserve"> </w:t>
      </w:r>
      <w:r w:rsidR="00AB312D" w:rsidRPr="00033A3F">
        <w:rPr>
          <w:color w:val="000000" w:themeColor="text1"/>
        </w:rPr>
        <w:t>časových intervalech</w:t>
      </w:r>
      <w:r w:rsidR="004B2EA0" w:rsidRPr="00033A3F">
        <w:rPr>
          <w:rStyle w:val="Znakapoznpodarou"/>
          <w:color w:val="000000" w:themeColor="text1"/>
        </w:rPr>
        <w:footnoteReference w:id="8"/>
      </w:r>
      <w:r w:rsidR="00130FC5" w:rsidRPr="00033A3F">
        <w:rPr>
          <w:color w:val="000000" w:themeColor="text1"/>
        </w:rPr>
        <w:t>:</w:t>
      </w:r>
    </w:p>
    <w:p w14:paraId="5D0015F0" w14:textId="7595B6A7" w:rsidR="00AB312D" w:rsidRPr="00033A3F" w:rsidRDefault="00E95197" w:rsidP="006468A2">
      <w:pPr>
        <w:spacing w:line="240" w:lineRule="auto"/>
        <w:jc w:val="left"/>
        <w:rPr>
          <w:color w:val="000000" w:themeColor="text1"/>
        </w:rPr>
      </w:pPr>
      <w:r w:rsidRPr="00033A3F">
        <w:rPr>
          <w:color w:val="000000" w:themeColor="text1"/>
        </w:rPr>
        <w:t>1950 –</w:t>
      </w:r>
      <w:r w:rsidR="006468A2">
        <w:rPr>
          <w:color w:val="000000" w:themeColor="text1"/>
        </w:rPr>
        <w:t xml:space="preserve"> </w:t>
      </w:r>
      <w:r w:rsidRPr="00033A3F">
        <w:rPr>
          <w:color w:val="000000" w:themeColor="text1"/>
        </w:rPr>
        <w:t>1971</w:t>
      </w:r>
      <w:r w:rsidR="00AB312D" w:rsidRPr="00033A3F">
        <w:rPr>
          <w:color w:val="000000" w:themeColor="text1"/>
        </w:rPr>
        <w:t xml:space="preserve"> = pod 10 let (s odchylkami</w:t>
      </w:r>
      <w:r w:rsidR="003220ED" w:rsidRPr="00033A3F">
        <w:rPr>
          <w:color w:val="000000" w:themeColor="text1"/>
        </w:rPr>
        <w:t xml:space="preserve"> v letech 1956 a 1964</w:t>
      </w:r>
      <w:r w:rsidR="00AB312D" w:rsidRPr="00033A3F">
        <w:rPr>
          <w:color w:val="000000" w:themeColor="text1"/>
        </w:rPr>
        <w:t>)</w:t>
      </w:r>
    </w:p>
    <w:p w14:paraId="67569265" w14:textId="77777777" w:rsidR="00AB312D" w:rsidRPr="00033A3F" w:rsidRDefault="00AB312D" w:rsidP="00AB312D">
      <w:pPr>
        <w:spacing w:line="259" w:lineRule="auto"/>
        <w:jc w:val="left"/>
        <w:rPr>
          <w:color w:val="000000" w:themeColor="text1"/>
        </w:rPr>
      </w:pPr>
      <w:r w:rsidRPr="00033A3F">
        <w:rPr>
          <w:color w:val="000000" w:themeColor="text1"/>
        </w:rPr>
        <w:t>1972 – 1999 = 10 let</w:t>
      </w:r>
    </w:p>
    <w:p w14:paraId="7F3B1058" w14:textId="77777777" w:rsidR="00AB312D" w:rsidRPr="00033A3F" w:rsidRDefault="00AB312D" w:rsidP="00AB312D">
      <w:pPr>
        <w:spacing w:line="259" w:lineRule="auto"/>
        <w:jc w:val="left"/>
        <w:rPr>
          <w:color w:val="000000" w:themeColor="text1"/>
        </w:rPr>
      </w:pPr>
      <w:r w:rsidRPr="00033A3F">
        <w:rPr>
          <w:color w:val="000000" w:themeColor="text1"/>
        </w:rPr>
        <w:t>2000 – 2004 = 11 let</w:t>
      </w:r>
    </w:p>
    <w:p w14:paraId="17EEF024" w14:textId="77777777" w:rsidR="00AB312D" w:rsidRPr="00033A3F" w:rsidRDefault="00AB312D" w:rsidP="00AB312D">
      <w:pPr>
        <w:spacing w:line="259" w:lineRule="auto"/>
        <w:jc w:val="left"/>
        <w:rPr>
          <w:color w:val="000000" w:themeColor="text1"/>
        </w:rPr>
      </w:pPr>
      <w:r w:rsidRPr="00033A3F">
        <w:rPr>
          <w:color w:val="000000" w:themeColor="text1"/>
        </w:rPr>
        <w:t>2005 – 2012 = 12 let</w:t>
      </w:r>
    </w:p>
    <w:p w14:paraId="447F4568" w14:textId="6645D530" w:rsidR="00AB312D" w:rsidRPr="00033A3F" w:rsidRDefault="00AB312D" w:rsidP="00AB312D">
      <w:pPr>
        <w:spacing w:line="259" w:lineRule="auto"/>
        <w:jc w:val="left"/>
        <w:rPr>
          <w:color w:val="000000" w:themeColor="text1"/>
        </w:rPr>
      </w:pPr>
      <w:r w:rsidRPr="00033A3F">
        <w:rPr>
          <w:color w:val="000000" w:themeColor="text1"/>
        </w:rPr>
        <w:t>2013 – 202</w:t>
      </w:r>
      <w:r w:rsidR="00C14541" w:rsidRPr="00033A3F">
        <w:rPr>
          <w:color w:val="000000" w:themeColor="text1"/>
        </w:rPr>
        <w:t>3</w:t>
      </w:r>
      <w:r w:rsidRPr="00033A3F">
        <w:rPr>
          <w:color w:val="000000" w:themeColor="text1"/>
        </w:rPr>
        <w:t xml:space="preserve"> = 13 let</w:t>
      </w:r>
    </w:p>
    <w:p w14:paraId="6615888D" w14:textId="6C66DBF9" w:rsidR="005407FA" w:rsidRPr="00033A3F" w:rsidRDefault="005407FA" w:rsidP="00BF0CC3">
      <w:pPr>
        <w:pStyle w:val="OdstavecASR"/>
        <w:rPr>
          <w:color w:val="000000" w:themeColor="text1"/>
        </w:rPr>
      </w:pPr>
      <w:r w:rsidRPr="00033A3F">
        <w:rPr>
          <w:color w:val="000000" w:themeColor="text1"/>
        </w:rPr>
        <w:lastRenderedPageBreak/>
        <w:t>V</w:t>
      </w:r>
      <w:r w:rsidR="00E2171C" w:rsidRPr="00033A3F">
        <w:rPr>
          <w:color w:val="000000" w:themeColor="text1"/>
        </w:rPr>
        <w:t xml:space="preserve"> samotném </w:t>
      </w:r>
      <w:r w:rsidRPr="00033A3F">
        <w:rPr>
          <w:color w:val="000000" w:themeColor="text1"/>
        </w:rPr>
        <w:t>grafu jsou vidět přinejmenším dva zajímavé „s</w:t>
      </w:r>
      <w:r w:rsidR="001F1033" w:rsidRPr="00033A3F">
        <w:rPr>
          <w:color w:val="000000" w:themeColor="text1"/>
        </w:rPr>
        <w:t>k</w:t>
      </w:r>
      <w:r w:rsidRPr="00033A3F">
        <w:rPr>
          <w:color w:val="000000" w:themeColor="text1"/>
        </w:rPr>
        <w:t>oky“.</w:t>
      </w:r>
    </w:p>
    <w:p w14:paraId="7AEEB6D2" w14:textId="48EDFF55" w:rsidR="005407FA" w:rsidRPr="00033A3F" w:rsidRDefault="005407FA" w:rsidP="0057327F">
      <w:pPr>
        <w:pStyle w:val="Odstavecseseznamem"/>
        <w:numPr>
          <w:ilvl w:val="0"/>
          <w:numId w:val="27"/>
        </w:numPr>
        <w:rPr>
          <w:color w:val="000000" w:themeColor="text1"/>
        </w:rPr>
      </w:pPr>
      <w:r w:rsidRPr="00033A3F">
        <w:rPr>
          <w:color w:val="000000" w:themeColor="text1"/>
        </w:rPr>
        <w:t>Roky 1973 a 1974 – dne 1.</w:t>
      </w:r>
      <w:r w:rsidR="00BF0CC3" w:rsidRPr="00033A3F">
        <w:rPr>
          <w:color w:val="000000" w:themeColor="text1"/>
        </w:rPr>
        <w:t> </w:t>
      </w:r>
      <w:r w:rsidRPr="00033A3F">
        <w:rPr>
          <w:color w:val="000000" w:themeColor="text1"/>
        </w:rPr>
        <w:t>7.</w:t>
      </w:r>
      <w:r w:rsidR="00BF0CC3" w:rsidRPr="00033A3F">
        <w:rPr>
          <w:color w:val="000000" w:themeColor="text1"/>
        </w:rPr>
        <w:t> </w:t>
      </w:r>
      <w:r w:rsidRPr="00033A3F">
        <w:rPr>
          <w:color w:val="000000" w:themeColor="text1"/>
        </w:rPr>
        <w:t>1973 bylo zrušeno řízení o smíření manželů a stalo se součástí rozvodového řízení (zákon 49/1973</w:t>
      </w:r>
      <w:r w:rsidR="005A403B" w:rsidRPr="00033A3F">
        <w:rPr>
          <w:color w:val="000000" w:themeColor="text1"/>
        </w:rPr>
        <w:t> </w:t>
      </w:r>
      <w:r w:rsidRPr="00033A3F">
        <w:rPr>
          <w:color w:val="000000" w:themeColor="text1"/>
        </w:rPr>
        <w:t>Sb., č. sněmovního tisku 33 FS ČSSR</w:t>
      </w:r>
      <w:r w:rsidR="00691663">
        <w:rPr>
          <w:color w:val="000000" w:themeColor="text1"/>
        </w:rPr>
        <w:t>).</w:t>
      </w:r>
      <w:r w:rsidRPr="00033A3F">
        <w:rPr>
          <w:color w:val="000000" w:themeColor="text1"/>
        </w:rPr>
        <w:t xml:space="preserve"> V důsledku toho docházelo ke smíření až v rámci rozvod</w:t>
      </w:r>
      <w:r w:rsidR="00173041" w:rsidRPr="00033A3F">
        <w:rPr>
          <w:color w:val="000000" w:themeColor="text1"/>
        </w:rPr>
        <w:t>ového</w:t>
      </w:r>
      <w:r w:rsidRPr="00033A3F">
        <w:rPr>
          <w:color w:val="000000" w:themeColor="text1"/>
        </w:rPr>
        <w:t xml:space="preserve"> řízení, a proto se </w:t>
      </w:r>
      <w:r w:rsidR="005B33F7" w:rsidRPr="00033A3F">
        <w:rPr>
          <w:color w:val="000000" w:themeColor="text1"/>
        </w:rPr>
        <w:t>zvýšilo</w:t>
      </w:r>
      <w:r w:rsidR="00691663">
        <w:rPr>
          <w:color w:val="000000" w:themeColor="text1"/>
        </w:rPr>
        <w:t xml:space="preserve"> </w:t>
      </w:r>
      <w:r w:rsidR="005B33F7" w:rsidRPr="00033A3F">
        <w:rPr>
          <w:color w:val="000000" w:themeColor="text1"/>
        </w:rPr>
        <w:t>procento</w:t>
      </w:r>
      <w:r w:rsidR="00691663">
        <w:rPr>
          <w:color w:val="000000" w:themeColor="text1"/>
        </w:rPr>
        <w:t xml:space="preserve"> </w:t>
      </w:r>
      <w:r w:rsidRPr="00033A3F">
        <w:rPr>
          <w:color w:val="000000" w:themeColor="text1"/>
        </w:rPr>
        <w:t>nerozvedených</w:t>
      </w:r>
      <w:r w:rsidR="005B33F7" w:rsidRPr="00033A3F">
        <w:rPr>
          <w:color w:val="000000" w:themeColor="text1"/>
        </w:rPr>
        <w:t xml:space="preserve"> manželství</w:t>
      </w:r>
      <w:r w:rsidR="00691663">
        <w:rPr>
          <w:color w:val="000000" w:themeColor="text1"/>
        </w:rPr>
        <w:t xml:space="preserve"> (červená křivka)</w:t>
      </w:r>
      <w:r w:rsidRPr="00033A3F">
        <w:rPr>
          <w:color w:val="000000" w:themeColor="text1"/>
        </w:rPr>
        <w:t>. Rovněž se v</w:t>
      </w:r>
      <w:r w:rsidR="00691663">
        <w:rPr>
          <w:color w:val="000000" w:themeColor="text1"/>
        </w:rPr>
        <w:t xml:space="preserve"> </w:t>
      </w:r>
      <w:r w:rsidRPr="00033A3F">
        <w:rPr>
          <w:color w:val="000000" w:themeColor="text1"/>
        </w:rPr>
        <w:t>datech zvýšil počet návrhů na rozvod.</w:t>
      </w:r>
    </w:p>
    <w:p w14:paraId="08763A1E" w14:textId="77777777" w:rsidR="004034A0" w:rsidRPr="00033A3F" w:rsidRDefault="004034A0" w:rsidP="004034A0">
      <w:pPr>
        <w:pStyle w:val="Odstavecseseznamem"/>
        <w:ind w:left="357"/>
        <w:rPr>
          <w:color w:val="000000" w:themeColor="text1"/>
        </w:rPr>
      </w:pPr>
    </w:p>
    <w:p w14:paraId="44C7DAE5" w14:textId="28AE12CD" w:rsidR="00654B18" w:rsidRPr="00033A3F" w:rsidRDefault="005407FA" w:rsidP="0057327F">
      <w:pPr>
        <w:pStyle w:val="Odstavecseseznamem"/>
        <w:numPr>
          <w:ilvl w:val="0"/>
          <w:numId w:val="27"/>
        </w:numPr>
        <w:rPr>
          <w:color w:val="000000" w:themeColor="text1"/>
        </w:rPr>
      </w:pPr>
      <w:r w:rsidRPr="00033A3F">
        <w:rPr>
          <w:color w:val="000000" w:themeColor="text1"/>
        </w:rPr>
        <w:t xml:space="preserve">Výrazný výkyv </w:t>
      </w:r>
      <w:r w:rsidR="00EE46A6" w:rsidRPr="00033A3F">
        <w:rPr>
          <w:color w:val="000000" w:themeColor="text1"/>
        </w:rPr>
        <w:t xml:space="preserve">v </w:t>
      </w:r>
      <w:r w:rsidRPr="00033A3F">
        <w:rPr>
          <w:color w:val="000000" w:themeColor="text1"/>
        </w:rPr>
        <w:t xml:space="preserve">roce 1999 byl způsoben novelou zákona o rodině </w:t>
      </w:r>
      <w:r w:rsidR="005A403B" w:rsidRPr="00033A3F">
        <w:rPr>
          <w:color w:val="000000" w:themeColor="text1"/>
        </w:rPr>
        <w:t xml:space="preserve">provedenou zákonem </w:t>
      </w:r>
      <w:r w:rsidRPr="00033A3F">
        <w:rPr>
          <w:color w:val="000000" w:themeColor="text1"/>
        </w:rPr>
        <w:t>č</w:t>
      </w:r>
      <w:r w:rsidR="005A403B" w:rsidRPr="00033A3F">
        <w:rPr>
          <w:color w:val="000000" w:themeColor="text1"/>
        </w:rPr>
        <w:t>. </w:t>
      </w:r>
      <w:r w:rsidRPr="00033A3F">
        <w:rPr>
          <w:color w:val="000000" w:themeColor="text1"/>
        </w:rPr>
        <w:t>91/1998</w:t>
      </w:r>
      <w:r w:rsidR="005A403B" w:rsidRPr="00033A3F">
        <w:rPr>
          <w:color w:val="000000" w:themeColor="text1"/>
        </w:rPr>
        <w:t xml:space="preserve"> Sb., který nabyl </w:t>
      </w:r>
      <w:r w:rsidRPr="00033A3F">
        <w:rPr>
          <w:color w:val="000000" w:themeColor="text1"/>
        </w:rPr>
        <w:t>účinnosti 1.</w:t>
      </w:r>
      <w:r w:rsidR="005A403B" w:rsidRPr="00033A3F">
        <w:rPr>
          <w:color w:val="000000" w:themeColor="text1"/>
        </w:rPr>
        <w:t> </w:t>
      </w:r>
      <w:r w:rsidRPr="00033A3F">
        <w:rPr>
          <w:color w:val="000000" w:themeColor="text1"/>
        </w:rPr>
        <w:t>8.</w:t>
      </w:r>
      <w:r w:rsidR="005A403B" w:rsidRPr="00033A3F">
        <w:rPr>
          <w:color w:val="000000" w:themeColor="text1"/>
        </w:rPr>
        <w:t> </w:t>
      </w:r>
      <w:r w:rsidRPr="00033A3F">
        <w:rPr>
          <w:color w:val="000000" w:themeColor="text1"/>
        </w:rPr>
        <w:t xml:space="preserve">1998. Ta nově stanovila, že k rozvodu je nutno předložit rozhodnutí opatrovnického soudu (do účinnosti novely rozhodoval rozvodový soud v rámci rozvodového řízení). Tato novela </w:t>
      </w:r>
      <w:r w:rsidR="005B33F7" w:rsidRPr="00033A3F">
        <w:rPr>
          <w:color w:val="000000" w:themeColor="text1"/>
        </w:rPr>
        <w:t xml:space="preserve">tak přinesla </w:t>
      </w:r>
      <w:r w:rsidRPr="00033A3F">
        <w:rPr>
          <w:color w:val="000000" w:themeColor="text1"/>
        </w:rPr>
        <w:t xml:space="preserve">prodloužení rozvodů manželství </w:t>
      </w:r>
      <w:r w:rsidR="005B33F7" w:rsidRPr="00033A3F">
        <w:rPr>
          <w:color w:val="000000" w:themeColor="text1"/>
        </w:rPr>
        <w:t>s </w:t>
      </w:r>
      <w:r w:rsidRPr="00033A3F">
        <w:rPr>
          <w:color w:val="000000" w:themeColor="text1"/>
        </w:rPr>
        <w:t xml:space="preserve">nezletilými dětmi, </w:t>
      </w:r>
      <w:r w:rsidR="005B33F7" w:rsidRPr="00033A3F">
        <w:rPr>
          <w:color w:val="000000" w:themeColor="text1"/>
        </w:rPr>
        <w:t xml:space="preserve">ale také </w:t>
      </w:r>
      <w:r w:rsidRPr="00033A3F">
        <w:rPr>
          <w:color w:val="000000" w:themeColor="text1"/>
        </w:rPr>
        <w:t>znemožnění rozvodů v 1. roce manželství</w:t>
      </w:r>
      <w:r w:rsidR="005B33F7" w:rsidRPr="00033A3F">
        <w:rPr>
          <w:color w:val="000000" w:themeColor="text1"/>
        </w:rPr>
        <w:t xml:space="preserve"> a </w:t>
      </w:r>
      <w:r w:rsidRPr="00033A3F">
        <w:rPr>
          <w:color w:val="000000" w:themeColor="text1"/>
        </w:rPr>
        <w:t>zavedení tzv. „nesporného“ rozvodu (manželství muselo trvat alespoň 1 rok a manželé spolu alespoň 6</w:t>
      </w:r>
      <w:r w:rsidR="005A403B" w:rsidRPr="00033A3F">
        <w:rPr>
          <w:color w:val="000000" w:themeColor="text1"/>
        </w:rPr>
        <w:t> </w:t>
      </w:r>
      <w:r w:rsidRPr="00033A3F">
        <w:rPr>
          <w:color w:val="000000" w:themeColor="text1"/>
        </w:rPr>
        <w:t>měsíců nežili). Důsledkem byla delší řízení ukončená až v roce 2000 a v dalších letech s</w:t>
      </w:r>
      <w:r w:rsidR="005A403B" w:rsidRPr="00033A3F">
        <w:rPr>
          <w:color w:val="000000" w:themeColor="text1"/>
        </w:rPr>
        <w:t> </w:t>
      </w:r>
      <w:r w:rsidRPr="00033A3F">
        <w:rPr>
          <w:color w:val="000000" w:themeColor="text1"/>
        </w:rPr>
        <w:t>kumulací v roce 2003 s</w:t>
      </w:r>
      <w:r w:rsidR="0002584C" w:rsidRPr="00033A3F">
        <w:rPr>
          <w:color w:val="000000" w:themeColor="text1"/>
        </w:rPr>
        <w:t> </w:t>
      </w:r>
      <w:r w:rsidRPr="00033A3F">
        <w:rPr>
          <w:color w:val="000000" w:themeColor="text1"/>
        </w:rPr>
        <w:t xml:space="preserve">nejvyšší rozvodovostí ve více než stoleté historii </w:t>
      </w:r>
      <w:r w:rsidR="005B33F7" w:rsidRPr="00033A3F">
        <w:rPr>
          <w:color w:val="000000" w:themeColor="text1"/>
        </w:rPr>
        <w:t xml:space="preserve">jejího </w:t>
      </w:r>
      <w:r w:rsidRPr="00033A3F">
        <w:rPr>
          <w:color w:val="000000" w:themeColor="text1"/>
        </w:rPr>
        <w:t>statistického sledování.</w:t>
      </w:r>
      <w:bookmarkStart w:id="400" w:name="_Hlk196231339"/>
    </w:p>
    <w:p w14:paraId="78768DBB" w14:textId="0E151EA0" w:rsidR="00654B18" w:rsidRPr="00033A3F" w:rsidRDefault="00654B18" w:rsidP="00654B18">
      <w:pPr>
        <w:pStyle w:val="Podnadpis"/>
        <w:rPr>
          <w:color w:val="000000" w:themeColor="text1"/>
        </w:rPr>
      </w:pPr>
      <w:bookmarkStart w:id="401" w:name="_Toc193530774"/>
      <w:bookmarkStart w:id="402" w:name="_Toc193634048"/>
      <w:bookmarkStart w:id="403" w:name="_Toc203032846"/>
      <w:bookmarkEnd w:id="40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19</w:t>
      </w:r>
      <w:r w:rsidRPr="00033A3F">
        <w:rPr>
          <w:color w:val="000000" w:themeColor="text1"/>
        </w:rPr>
        <w:fldChar w:fldCharType="end"/>
      </w:r>
      <w:r w:rsidRPr="00033A3F">
        <w:rPr>
          <w:color w:val="000000" w:themeColor="text1"/>
        </w:rPr>
        <w:t>: OS – podíl rozvedených manželství s dětmi, 1967 až 2024</w:t>
      </w:r>
      <w:bookmarkEnd w:id="401"/>
      <w:bookmarkEnd w:id="402"/>
      <w:bookmarkEnd w:id="403"/>
    </w:p>
    <w:p w14:paraId="39612D46" w14:textId="09B3F323" w:rsidR="00654B18" w:rsidRPr="00033A3F" w:rsidRDefault="00654B18" w:rsidP="00654B18">
      <w:pPr>
        <w:spacing w:after="160" w:line="259" w:lineRule="auto"/>
        <w:jc w:val="left"/>
        <w:rPr>
          <w:color w:val="000000" w:themeColor="text1"/>
        </w:rPr>
      </w:pPr>
      <w:r w:rsidRPr="00033A3F">
        <w:rPr>
          <w:noProof/>
          <w:color w:val="000000" w:themeColor="text1"/>
          <w:lang w:eastAsia="cs-CZ"/>
        </w:rPr>
        <w:drawing>
          <wp:inline distT="0" distB="0" distL="0" distR="0" wp14:anchorId="595F4CC5" wp14:editId="7B3431C1">
            <wp:extent cx="5029200" cy="3657600"/>
            <wp:effectExtent l="0" t="0" r="0" b="0"/>
            <wp:docPr id="720769405"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95A3BF2" w14:textId="087CAA6A" w:rsidR="00654B18" w:rsidRPr="00033A3F" w:rsidRDefault="00654B18" w:rsidP="00BF0CC3">
      <w:pPr>
        <w:pStyle w:val="OdstavecASR"/>
        <w:rPr>
          <w:color w:val="000000" w:themeColor="text1"/>
        </w:rPr>
      </w:pPr>
      <w:r w:rsidRPr="00033A3F">
        <w:rPr>
          <w:color w:val="000000" w:themeColor="text1"/>
        </w:rPr>
        <w:t xml:space="preserve">V tomto grafu je zobrazen podíl rozvedených manželství s dětmi. V grafu se opět projevily výše </w:t>
      </w:r>
      <w:r w:rsidR="004768B6" w:rsidRPr="00033A3F">
        <w:rPr>
          <w:color w:val="000000" w:themeColor="text1"/>
        </w:rPr>
        <w:t xml:space="preserve">popsané </w:t>
      </w:r>
      <w:r w:rsidRPr="00033A3F">
        <w:rPr>
          <w:color w:val="000000" w:themeColor="text1"/>
        </w:rPr>
        <w:t>legislativní změny v letech 1973 a 1998. Od devadesátých let (</w:t>
      </w:r>
      <w:r w:rsidR="002C3E61" w:rsidRPr="00033A3F">
        <w:rPr>
          <w:color w:val="000000" w:themeColor="text1"/>
        </w:rPr>
        <w:t>s </w:t>
      </w:r>
      <w:r w:rsidRPr="00033A3F">
        <w:rPr>
          <w:color w:val="000000" w:themeColor="text1"/>
        </w:rPr>
        <w:t>výjimkou zmíněného výkyvu) je patrný setrvalý klesající trend, který zřejmě bude souviset s klesající porodností v ČR. Nejvyšší podíl rozvedených manželství s dětmi byl v roce 1983 (72,</w:t>
      </w:r>
      <w:r w:rsidR="002C3E61" w:rsidRPr="00033A3F">
        <w:rPr>
          <w:color w:val="000000" w:themeColor="text1"/>
        </w:rPr>
        <w:t>8 </w:t>
      </w:r>
      <w:r w:rsidRPr="00033A3F">
        <w:rPr>
          <w:color w:val="000000" w:themeColor="text1"/>
        </w:rPr>
        <w:t xml:space="preserve">%) </w:t>
      </w:r>
      <w:r w:rsidR="002C3E61" w:rsidRPr="00033A3F">
        <w:rPr>
          <w:color w:val="000000" w:themeColor="text1"/>
        </w:rPr>
        <w:t>a </w:t>
      </w:r>
      <w:r w:rsidRPr="00033A3F">
        <w:rPr>
          <w:color w:val="000000" w:themeColor="text1"/>
        </w:rPr>
        <w:t>nejnižší v roce 2015 (53,</w:t>
      </w:r>
      <w:r w:rsidR="002C3E61" w:rsidRPr="00033A3F">
        <w:rPr>
          <w:color w:val="000000" w:themeColor="text1"/>
        </w:rPr>
        <w:t>2 </w:t>
      </w:r>
      <w:r w:rsidRPr="00033A3F">
        <w:rPr>
          <w:color w:val="000000" w:themeColor="text1"/>
        </w:rPr>
        <w:t>%)</w:t>
      </w:r>
      <w:r w:rsidR="0078276B" w:rsidRPr="00033A3F">
        <w:rPr>
          <w:color w:val="000000" w:themeColor="text1"/>
        </w:rPr>
        <w:t>.</w:t>
      </w:r>
    </w:p>
    <w:p w14:paraId="011C1434" w14:textId="7E220A36" w:rsidR="00AC75EB" w:rsidRPr="00033A3F" w:rsidRDefault="00AC75EB" w:rsidP="005407FA">
      <w:pPr>
        <w:pStyle w:val="Odstavecseseznamem"/>
        <w:numPr>
          <w:ilvl w:val="0"/>
          <w:numId w:val="27"/>
        </w:numPr>
        <w:spacing w:after="160" w:line="259" w:lineRule="auto"/>
        <w:jc w:val="left"/>
        <w:rPr>
          <w:color w:val="000000" w:themeColor="text1"/>
        </w:rPr>
      </w:pPr>
      <w:r w:rsidRPr="00033A3F">
        <w:rPr>
          <w:color w:val="000000" w:themeColor="text1"/>
        </w:rPr>
        <w:br w:type="page"/>
      </w:r>
    </w:p>
    <w:p w14:paraId="0DD00635" w14:textId="0341746C" w:rsidR="008430BD" w:rsidRPr="00033A3F" w:rsidRDefault="008430BD" w:rsidP="00702E3C">
      <w:pPr>
        <w:pStyle w:val="Nadpis2"/>
        <w:numPr>
          <w:ilvl w:val="1"/>
          <w:numId w:val="1"/>
        </w:numPr>
        <w:spacing w:before="120"/>
      </w:pPr>
      <w:bookmarkStart w:id="404" w:name="_Toc169250807"/>
      <w:bookmarkStart w:id="405" w:name="_Toc193530968"/>
      <w:bookmarkStart w:id="406" w:name="_Toc193957025"/>
      <w:bookmarkStart w:id="407" w:name="_Toc203032715"/>
      <w:r w:rsidRPr="00033A3F">
        <w:lastRenderedPageBreak/>
        <w:t>Civilní agenda – elektronické rozkazní řízení</w:t>
      </w:r>
      <w:bookmarkEnd w:id="356"/>
      <w:bookmarkEnd w:id="357"/>
      <w:bookmarkEnd w:id="404"/>
      <w:bookmarkEnd w:id="405"/>
      <w:bookmarkEnd w:id="406"/>
      <w:bookmarkEnd w:id="407"/>
    </w:p>
    <w:p w14:paraId="2276C801" w14:textId="6F07E1D3" w:rsidR="00654B18" w:rsidRPr="00033A3F" w:rsidRDefault="00654B18" w:rsidP="00654B18">
      <w:pPr>
        <w:pStyle w:val="OdstavecASR"/>
        <w:rPr>
          <w:color w:val="000000" w:themeColor="text1"/>
        </w:rPr>
      </w:pPr>
      <w:r w:rsidRPr="00033A3F">
        <w:rPr>
          <w:color w:val="000000" w:themeColor="text1"/>
        </w:rPr>
        <w:t xml:space="preserve">Jak jsme uvedli v úvodu kapitoly </w:t>
      </w:r>
      <w:r w:rsidRPr="00033A3F">
        <w:rPr>
          <w:b/>
          <w:bCs/>
          <w:color w:val="000000" w:themeColor="text1"/>
        </w:rPr>
        <w:fldChar w:fldCharType="begin"/>
      </w:r>
      <w:r w:rsidRPr="00033A3F">
        <w:rPr>
          <w:color w:val="000000" w:themeColor="text1"/>
        </w:rPr>
        <w:instrText xml:space="preserve"> REF _Ref9425277 \r \h </w:instrText>
      </w:r>
      <w:r w:rsidRPr="00033A3F">
        <w:rPr>
          <w:b/>
          <w:bCs/>
          <w:color w:val="000000" w:themeColor="text1"/>
        </w:rPr>
        <w:instrText xml:space="preserve"> \* MERGEFORMAT </w:instrText>
      </w:r>
      <w:r w:rsidRPr="00033A3F">
        <w:rPr>
          <w:b/>
          <w:bCs/>
          <w:color w:val="000000" w:themeColor="text1"/>
        </w:rPr>
      </w:r>
      <w:r w:rsidRPr="00033A3F">
        <w:rPr>
          <w:b/>
          <w:bCs/>
          <w:color w:val="000000" w:themeColor="text1"/>
        </w:rPr>
        <w:fldChar w:fldCharType="separate"/>
      </w:r>
      <w:r w:rsidR="00163B51">
        <w:rPr>
          <w:color w:val="000000" w:themeColor="text1"/>
        </w:rPr>
        <w:t>2.2</w:t>
      </w:r>
      <w:r w:rsidRPr="00033A3F">
        <w:rPr>
          <w:b/>
          <w:bCs/>
          <w:color w:val="000000" w:themeColor="text1"/>
        </w:rPr>
        <w:fldChar w:fldCharType="end"/>
      </w:r>
      <w:r w:rsidRPr="00033A3F">
        <w:rPr>
          <w:color w:val="000000" w:themeColor="text1"/>
        </w:rPr>
        <w:t>, zkoumaná data jsme očistili o rozkazní řízení. Tato data ale samozřejmě mají svou informační hodnotu, a proto je analyzujeme v této části.</w:t>
      </w:r>
    </w:p>
    <w:p w14:paraId="41E39F23" w14:textId="77777777" w:rsidR="00654B18" w:rsidRPr="00033A3F" w:rsidRDefault="00654B18" w:rsidP="00654B18">
      <w:pPr>
        <w:pStyle w:val="OdstavecASR"/>
        <w:rPr>
          <w:color w:val="000000" w:themeColor="text1"/>
        </w:rPr>
      </w:pPr>
      <w:r w:rsidRPr="00033A3F">
        <w:rPr>
          <w:color w:val="000000" w:themeColor="text1"/>
        </w:rPr>
        <w:t>Jedná se o civilní řízení ve zkrácené formě, jehož cílem je skončení věci vydáním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w:t>
      </w:r>
    </w:p>
    <w:p w14:paraId="545CD436" w14:textId="74DF0C6D" w:rsidR="00654B18" w:rsidRPr="00033A3F" w:rsidRDefault="00654B18" w:rsidP="00654B18">
      <w:pPr>
        <w:pStyle w:val="OdstavecASR"/>
        <w:rPr>
          <w:color w:val="000000" w:themeColor="text1"/>
        </w:rPr>
      </w:pPr>
      <w:r w:rsidRPr="00033A3F">
        <w:rPr>
          <w:color w:val="000000" w:themeColor="text1"/>
        </w:rPr>
        <w:t>Ne všechna data, o která byla očištěna kapitola </w:t>
      </w:r>
      <w:r w:rsidRPr="00033A3F">
        <w:rPr>
          <w:bCs/>
          <w:color w:val="000000" w:themeColor="text1"/>
        </w:rPr>
        <w:fldChar w:fldCharType="begin"/>
      </w:r>
      <w:r w:rsidRPr="00033A3F">
        <w:rPr>
          <w:bCs/>
          <w:color w:val="000000" w:themeColor="text1"/>
        </w:rPr>
        <w:instrText xml:space="preserve"> REF _Ref10553167 \r \h  \* MERGEFORMAT </w:instrText>
      </w:r>
      <w:r w:rsidRPr="00033A3F">
        <w:rPr>
          <w:bCs/>
          <w:color w:val="000000" w:themeColor="text1"/>
        </w:rPr>
      </w:r>
      <w:r w:rsidRPr="00033A3F">
        <w:rPr>
          <w:bCs/>
          <w:color w:val="000000" w:themeColor="text1"/>
        </w:rPr>
        <w:fldChar w:fldCharType="separate"/>
      </w:r>
      <w:r w:rsidR="00163B51">
        <w:rPr>
          <w:bCs/>
          <w:color w:val="000000" w:themeColor="text1"/>
        </w:rPr>
        <w:t>2.2</w:t>
      </w:r>
      <w:r w:rsidRPr="00033A3F">
        <w:rPr>
          <w:bCs/>
          <w:color w:val="000000" w:themeColor="text1"/>
        </w:rPr>
        <w:fldChar w:fldCharType="end"/>
      </w:r>
      <w:r w:rsidRPr="00033A3F">
        <w:rPr>
          <w:color w:val="000000" w:themeColor="text1"/>
        </w:rPr>
        <w:t>, však zahrnujeme do této kapitoly. Občanské soudní řízení zná celkem čtyři typy platebních rozkazů, ale okresních soudů se týkají jen tři z nich, a to „běžný“ platební rozkaz, elektronický platební rozkaz a evropský platební rozkaz. Čtvrtý typ, kterým je směnečný (šekový) platební rozkaz, vydávají jen krajské soudy. Pro každý typ platí jiné podmínky a postupy. Tato kapitola se zabývá pouze elektronickým platebním rozkazem, který je zdaleka nejčastější – návrhy na vydání elektronického platebního rozkazu, které se od roku 2013 evidují v rejstříku EPR, dlouhodobě tvoří více než 85 % celé agendy rozkazního řízení.</w:t>
      </w:r>
    </w:p>
    <w:p w14:paraId="26DE335A" w14:textId="77777777" w:rsidR="00291CB0" w:rsidRPr="00033A3F" w:rsidRDefault="00291CB0" w:rsidP="00291CB0">
      <w:pPr>
        <w:pStyle w:val="Nadpis3"/>
        <w:numPr>
          <w:ilvl w:val="2"/>
          <w:numId w:val="1"/>
        </w:numPr>
        <w:rPr>
          <w:color w:val="000000" w:themeColor="text1"/>
        </w:rPr>
      </w:pPr>
      <w:bookmarkStart w:id="408" w:name="_Toc515871227"/>
      <w:bookmarkStart w:id="409" w:name="_Toc106092724"/>
      <w:bookmarkStart w:id="410" w:name="_Toc169250808"/>
      <w:bookmarkStart w:id="411" w:name="_Toc174080844"/>
      <w:bookmarkStart w:id="412" w:name="_Toc193530969"/>
      <w:bookmarkStart w:id="413" w:name="_Toc193957026"/>
      <w:bookmarkStart w:id="414" w:name="_Toc203032716"/>
      <w:r w:rsidRPr="00033A3F">
        <w:rPr>
          <w:color w:val="000000" w:themeColor="text1"/>
        </w:rPr>
        <w:t>Délka řízení</w:t>
      </w:r>
      <w:bookmarkEnd w:id="408"/>
      <w:bookmarkEnd w:id="409"/>
      <w:bookmarkEnd w:id="410"/>
      <w:bookmarkEnd w:id="411"/>
      <w:bookmarkEnd w:id="412"/>
      <w:bookmarkEnd w:id="413"/>
      <w:bookmarkEnd w:id="414"/>
    </w:p>
    <w:p w14:paraId="61C934D3" w14:textId="570956EC" w:rsidR="00847C07" w:rsidRPr="00033A3F" w:rsidRDefault="00847C07" w:rsidP="00847C07">
      <w:pPr>
        <w:pStyle w:val="OdstavecASR"/>
        <w:rPr>
          <w:color w:val="000000" w:themeColor="text1"/>
        </w:rPr>
      </w:pPr>
      <w:bookmarkStart w:id="415" w:name="_Toc515871346"/>
      <w:bookmarkStart w:id="416" w:name="_Toc11135081"/>
      <w:bookmarkStart w:id="417" w:name="_Toc43841397"/>
      <w:bookmarkStart w:id="418" w:name="_Toc75952198"/>
      <w:bookmarkStart w:id="419" w:name="_Toc106106652"/>
      <w:bookmarkStart w:id="420" w:name="_Toc144104129"/>
      <w:bookmarkStart w:id="421" w:name="_Toc169250937"/>
      <w:bookmarkStart w:id="422" w:name="_Toc174080623"/>
      <w:r w:rsidRPr="00033A3F">
        <w:rPr>
          <w:color w:val="000000" w:themeColor="text1"/>
        </w:rPr>
        <w:t>Platí stejné poznámky jako v pře</w:t>
      </w:r>
      <w:r w:rsidR="00D12324">
        <w:rPr>
          <w:color w:val="000000" w:themeColor="text1"/>
        </w:rPr>
        <w:t>d</w:t>
      </w:r>
      <w:r w:rsidRPr="00033A3F">
        <w:rPr>
          <w:color w:val="000000" w:themeColor="text1"/>
        </w:rPr>
        <w:t>chozí kapitole: délky řízení zjišťujeme ze statistických listů a uvádíme v kalendářních dnech ode dne nápadu do dne konečného rozhodnutí soudem I. stupně.</w:t>
      </w:r>
    </w:p>
    <w:p w14:paraId="27415B88" w14:textId="67B2DF04" w:rsidR="00072A1B" w:rsidRPr="00033A3F" w:rsidRDefault="00072A1B" w:rsidP="00072A1B">
      <w:pPr>
        <w:pStyle w:val="Podnadpis"/>
        <w:numPr>
          <w:ilvl w:val="0"/>
          <w:numId w:val="0"/>
        </w:numPr>
        <w:rPr>
          <w:color w:val="000000" w:themeColor="text1"/>
        </w:rPr>
      </w:pPr>
      <w:bookmarkStart w:id="423" w:name="_Toc193530775"/>
      <w:bookmarkStart w:id="424" w:name="_Toc193634049"/>
      <w:bookmarkStart w:id="425" w:name="_Toc20303284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20</w:t>
      </w:r>
      <w:r w:rsidRPr="00033A3F">
        <w:rPr>
          <w:color w:val="000000" w:themeColor="text1"/>
        </w:rPr>
        <w:fldChar w:fldCharType="end"/>
      </w:r>
      <w:r w:rsidRPr="00033A3F">
        <w:rPr>
          <w:color w:val="000000" w:themeColor="text1"/>
        </w:rPr>
        <w:t>: OS – délka civilního el. rozkazního řízení v letech 2015–20</w:t>
      </w:r>
      <w:bookmarkEnd w:id="415"/>
      <w:bookmarkEnd w:id="416"/>
      <w:bookmarkEnd w:id="417"/>
      <w:r w:rsidRPr="00033A3F">
        <w:rPr>
          <w:color w:val="000000" w:themeColor="text1"/>
        </w:rPr>
        <w:t>2</w:t>
      </w:r>
      <w:bookmarkEnd w:id="418"/>
      <w:bookmarkEnd w:id="419"/>
      <w:bookmarkEnd w:id="420"/>
      <w:bookmarkEnd w:id="421"/>
      <w:bookmarkEnd w:id="422"/>
      <w:r w:rsidRPr="00033A3F">
        <w:rPr>
          <w:color w:val="000000" w:themeColor="text1"/>
        </w:rPr>
        <w:t>4</w:t>
      </w:r>
      <w:bookmarkEnd w:id="423"/>
      <w:bookmarkEnd w:id="424"/>
      <w:bookmarkEnd w:id="425"/>
    </w:p>
    <w:p w14:paraId="5BEFAFDC" w14:textId="1BE7BB6F" w:rsidR="00072A1B" w:rsidRPr="00033A3F" w:rsidRDefault="00072A1B" w:rsidP="00291CB0">
      <w:pPr>
        <w:rPr>
          <w:color w:val="000000" w:themeColor="text1"/>
        </w:rPr>
      </w:pPr>
      <w:r w:rsidRPr="00033A3F">
        <w:rPr>
          <w:noProof/>
          <w:color w:val="000000" w:themeColor="text1"/>
          <w:lang w:eastAsia="cs-CZ"/>
        </w:rPr>
        <w:drawing>
          <wp:inline distT="0" distB="0" distL="0" distR="0" wp14:anchorId="23EB919C" wp14:editId="72AB304A">
            <wp:extent cx="5029200" cy="3657600"/>
            <wp:effectExtent l="0" t="0" r="0" b="0"/>
            <wp:docPr id="2137348324"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776A040" w14:textId="77777777" w:rsidR="00847C07" w:rsidRPr="00033A3F" w:rsidRDefault="00847C07" w:rsidP="00291CB0">
      <w:pPr>
        <w:rPr>
          <w:color w:val="000000" w:themeColor="text1"/>
        </w:rPr>
      </w:pPr>
    </w:p>
    <w:p w14:paraId="1420A7E2" w14:textId="77777777" w:rsidR="009854DA" w:rsidRPr="00033A3F" w:rsidRDefault="009854DA">
      <w:pPr>
        <w:spacing w:after="160" w:line="259" w:lineRule="auto"/>
        <w:jc w:val="left"/>
        <w:rPr>
          <w:rFonts w:eastAsia="Times New Roman"/>
          <w:b/>
          <w:iCs/>
          <w:color w:val="000000" w:themeColor="text1"/>
          <w:spacing w:val="15"/>
          <w:szCs w:val="24"/>
        </w:rPr>
      </w:pPr>
      <w:bookmarkStart w:id="426" w:name="_Toc515871448"/>
      <w:bookmarkStart w:id="427" w:name="_Toc11133216"/>
      <w:bookmarkStart w:id="428" w:name="_Toc43931190"/>
      <w:bookmarkStart w:id="429" w:name="_Toc75952320"/>
      <w:bookmarkStart w:id="430" w:name="_Toc106106779"/>
      <w:bookmarkStart w:id="431" w:name="_Toc144104257"/>
      <w:bookmarkStart w:id="432" w:name="_Toc169251073"/>
      <w:bookmarkStart w:id="433" w:name="_Toc174080759"/>
      <w:r w:rsidRPr="00033A3F">
        <w:rPr>
          <w:color w:val="000000" w:themeColor="text1"/>
        </w:rPr>
        <w:br w:type="page"/>
      </w:r>
    </w:p>
    <w:p w14:paraId="18304862" w14:textId="159EC461" w:rsidR="00847C07" w:rsidRPr="00033A3F" w:rsidRDefault="00847C07" w:rsidP="00847C07">
      <w:pPr>
        <w:pStyle w:val="Podnadpis"/>
        <w:rPr>
          <w:color w:val="000000" w:themeColor="text1"/>
        </w:rPr>
      </w:pPr>
      <w:bookmarkStart w:id="434" w:name="_Toc193530892"/>
      <w:bookmarkStart w:id="435" w:name="_Toc194045587"/>
      <w:bookmarkStart w:id="436" w:name="_Toc199494996"/>
      <w:bookmarkStart w:id="437" w:name="_Toc203033056"/>
      <w:bookmarkStart w:id="438" w:name="_Toc203033134"/>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14</w:t>
      </w:r>
      <w:r w:rsidRPr="00033A3F">
        <w:rPr>
          <w:noProof/>
          <w:color w:val="000000" w:themeColor="text1"/>
        </w:rPr>
        <w:fldChar w:fldCharType="end"/>
      </w:r>
      <w:r w:rsidRPr="00033A3F">
        <w:rPr>
          <w:color w:val="000000" w:themeColor="text1"/>
        </w:rPr>
        <w:t>: OS – délky el. rozkazního civilního řízení dle krajů</w:t>
      </w:r>
      <w:bookmarkEnd w:id="426"/>
      <w:bookmarkEnd w:id="427"/>
      <w:bookmarkEnd w:id="428"/>
      <w:bookmarkEnd w:id="429"/>
      <w:bookmarkEnd w:id="430"/>
      <w:bookmarkEnd w:id="431"/>
      <w:r w:rsidRPr="00033A3F">
        <w:rPr>
          <w:color w:val="000000" w:themeColor="text1"/>
        </w:rPr>
        <w:t>, 202</w:t>
      </w:r>
      <w:bookmarkEnd w:id="432"/>
      <w:bookmarkEnd w:id="433"/>
      <w:r w:rsidR="009854DA" w:rsidRPr="00033A3F">
        <w:rPr>
          <w:color w:val="000000" w:themeColor="text1"/>
        </w:rPr>
        <w:t>4</w:t>
      </w:r>
      <w:bookmarkEnd w:id="434"/>
      <w:bookmarkEnd w:id="435"/>
      <w:bookmarkEnd w:id="436"/>
      <w:bookmarkEnd w:id="437"/>
      <w:bookmarkEnd w:id="438"/>
    </w:p>
    <w:tbl>
      <w:tblPr>
        <w:tblW w:w="8800" w:type="dxa"/>
        <w:tblCellMar>
          <w:left w:w="70" w:type="dxa"/>
          <w:right w:w="70" w:type="dxa"/>
        </w:tblCellMar>
        <w:tblLook w:val="04A0" w:firstRow="1" w:lastRow="0" w:firstColumn="1" w:lastColumn="0" w:noHBand="0" w:noVBand="1"/>
      </w:tblPr>
      <w:tblGrid>
        <w:gridCol w:w="2320"/>
        <w:gridCol w:w="1082"/>
        <w:gridCol w:w="1078"/>
        <w:gridCol w:w="1049"/>
        <w:gridCol w:w="1111"/>
        <w:gridCol w:w="1015"/>
        <w:gridCol w:w="1145"/>
      </w:tblGrid>
      <w:tr w:rsidR="00033A3F" w:rsidRPr="00033A3F" w14:paraId="221AB03C" w14:textId="77777777" w:rsidTr="009854DA">
        <w:trPr>
          <w:trHeight w:val="330"/>
        </w:trPr>
        <w:tc>
          <w:tcPr>
            <w:tcW w:w="2320" w:type="dxa"/>
            <w:vMerge w:val="restart"/>
            <w:tcBorders>
              <w:top w:val="double" w:sz="6" w:space="0" w:color="auto"/>
              <w:left w:val="nil"/>
              <w:bottom w:val="double" w:sz="6" w:space="0" w:color="000000"/>
              <w:right w:val="nil"/>
            </w:tcBorders>
            <w:shd w:val="clear" w:color="auto" w:fill="auto"/>
            <w:noWrap/>
            <w:vAlign w:val="center"/>
            <w:hideMark/>
          </w:tcPr>
          <w:p w14:paraId="74EE62D8"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14:paraId="7852F8AB"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42EBDEF8" w14:textId="77777777" w:rsidTr="009854DA">
        <w:trPr>
          <w:trHeight w:val="330"/>
        </w:trPr>
        <w:tc>
          <w:tcPr>
            <w:tcW w:w="2320" w:type="dxa"/>
            <w:vMerge/>
            <w:tcBorders>
              <w:top w:val="double" w:sz="6" w:space="0" w:color="auto"/>
              <w:left w:val="nil"/>
              <w:bottom w:val="double" w:sz="6" w:space="0" w:color="000000"/>
              <w:right w:val="nil"/>
            </w:tcBorders>
            <w:vAlign w:val="center"/>
            <w:hideMark/>
          </w:tcPr>
          <w:p w14:paraId="74E7A7DD" w14:textId="77777777" w:rsidR="009854DA" w:rsidRPr="00033A3F" w:rsidRDefault="009854DA" w:rsidP="009854DA">
            <w:pPr>
              <w:spacing w:line="240" w:lineRule="auto"/>
              <w:jc w:val="left"/>
              <w:rPr>
                <w:rFonts w:eastAsia="Times New Roman"/>
                <w:b/>
                <w:bCs/>
                <w:color w:val="000000" w:themeColor="text1"/>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14:paraId="761FC0B8"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B31415D"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2160" w:type="dxa"/>
            <w:gridSpan w:val="2"/>
            <w:tcBorders>
              <w:top w:val="nil"/>
              <w:left w:val="nil"/>
              <w:bottom w:val="double" w:sz="6" w:space="0" w:color="auto"/>
              <w:right w:val="nil"/>
            </w:tcBorders>
            <w:shd w:val="clear" w:color="auto" w:fill="auto"/>
            <w:noWrap/>
            <w:vAlign w:val="center"/>
            <w:hideMark/>
          </w:tcPr>
          <w:p w14:paraId="6BA563A0"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00445D73" w14:textId="77777777" w:rsidTr="002C3E61">
        <w:trPr>
          <w:trHeight w:val="330"/>
        </w:trPr>
        <w:tc>
          <w:tcPr>
            <w:tcW w:w="2320" w:type="dxa"/>
            <w:tcBorders>
              <w:top w:val="single" w:sz="4" w:space="0" w:color="auto"/>
              <w:left w:val="nil"/>
              <w:bottom w:val="single" w:sz="4" w:space="0" w:color="auto"/>
              <w:right w:val="nil"/>
            </w:tcBorders>
            <w:shd w:val="clear" w:color="auto" w:fill="auto"/>
            <w:noWrap/>
            <w:vAlign w:val="bottom"/>
            <w:hideMark/>
          </w:tcPr>
          <w:p w14:paraId="6DD5B505"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82" w:type="dxa"/>
            <w:tcBorders>
              <w:top w:val="single" w:sz="4" w:space="0" w:color="auto"/>
              <w:left w:val="nil"/>
              <w:bottom w:val="single" w:sz="4" w:space="0" w:color="auto"/>
              <w:right w:val="nil"/>
            </w:tcBorders>
            <w:shd w:val="clear" w:color="auto" w:fill="auto"/>
            <w:noWrap/>
            <w:vAlign w:val="bottom"/>
            <w:hideMark/>
          </w:tcPr>
          <w:p w14:paraId="3A8E745B"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078" w:type="dxa"/>
            <w:tcBorders>
              <w:top w:val="single" w:sz="4" w:space="0" w:color="auto"/>
              <w:left w:val="nil"/>
              <w:bottom w:val="single" w:sz="4" w:space="0" w:color="auto"/>
              <w:right w:val="nil"/>
            </w:tcBorders>
            <w:shd w:val="clear" w:color="auto" w:fill="auto"/>
            <w:noWrap/>
            <w:vAlign w:val="center"/>
            <w:hideMark/>
          </w:tcPr>
          <w:p w14:paraId="0612A47F" w14:textId="240E5177"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49" w:type="dxa"/>
            <w:tcBorders>
              <w:top w:val="nil"/>
              <w:left w:val="single" w:sz="4" w:space="0" w:color="auto"/>
              <w:bottom w:val="single" w:sz="4" w:space="0" w:color="auto"/>
              <w:right w:val="nil"/>
            </w:tcBorders>
            <w:shd w:val="clear" w:color="auto" w:fill="auto"/>
            <w:noWrap/>
            <w:vAlign w:val="bottom"/>
            <w:hideMark/>
          </w:tcPr>
          <w:p w14:paraId="143D6306"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111" w:type="dxa"/>
            <w:tcBorders>
              <w:top w:val="nil"/>
              <w:left w:val="nil"/>
              <w:bottom w:val="single" w:sz="4" w:space="0" w:color="auto"/>
              <w:right w:val="single" w:sz="4" w:space="0" w:color="auto"/>
            </w:tcBorders>
            <w:shd w:val="clear" w:color="auto" w:fill="auto"/>
            <w:noWrap/>
            <w:vAlign w:val="center"/>
            <w:hideMark/>
          </w:tcPr>
          <w:p w14:paraId="120C8A37" w14:textId="5458084A"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15" w:type="dxa"/>
            <w:tcBorders>
              <w:top w:val="single" w:sz="4" w:space="0" w:color="auto"/>
              <w:left w:val="nil"/>
              <w:bottom w:val="single" w:sz="4" w:space="0" w:color="auto"/>
              <w:right w:val="nil"/>
            </w:tcBorders>
            <w:shd w:val="clear" w:color="auto" w:fill="auto"/>
            <w:noWrap/>
            <w:vAlign w:val="bottom"/>
            <w:hideMark/>
          </w:tcPr>
          <w:p w14:paraId="061F19D4"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p>
        </w:tc>
        <w:tc>
          <w:tcPr>
            <w:tcW w:w="1145" w:type="dxa"/>
            <w:tcBorders>
              <w:top w:val="single" w:sz="4" w:space="0" w:color="auto"/>
              <w:left w:val="nil"/>
              <w:bottom w:val="single" w:sz="4" w:space="0" w:color="auto"/>
              <w:right w:val="nil"/>
            </w:tcBorders>
            <w:shd w:val="clear" w:color="auto" w:fill="auto"/>
            <w:noWrap/>
            <w:vAlign w:val="center"/>
            <w:hideMark/>
          </w:tcPr>
          <w:p w14:paraId="722E962E" w14:textId="5042D25A"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7CD141BF"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59C1A645"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82" w:type="dxa"/>
            <w:tcBorders>
              <w:top w:val="nil"/>
              <w:left w:val="nil"/>
              <w:bottom w:val="single" w:sz="4" w:space="0" w:color="auto"/>
              <w:right w:val="nil"/>
            </w:tcBorders>
            <w:shd w:val="clear" w:color="auto" w:fill="auto"/>
            <w:noWrap/>
            <w:vAlign w:val="bottom"/>
            <w:hideMark/>
          </w:tcPr>
          <w:p w14:paraId="75148652"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1078" w:type="dxa"/>
            <w:tcBorders>
              <w:top w:val="nil"/>
              <w:left w:val="nil"/>
              <w:bottom w:val="single" w:sz="4" w:space="0" w:color="auto"/>
              <w:right w:val="nil"/>
            </w:tcBorders>
            <w:shd w:val="clear" w:color="auto" w:fill="auto"/>
            <w:noWrap/>
            <w:vAlign w:val="center"/>
            <w:hideMark/>
          </w:tcPr>
          <w:p w14:paraId="2F71FD8A" w14:textId="2E8CADDF"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49" w:type="dxa"/>
            <w:tcBorders>
              <w:top w:val="nil"/>
              <w:left w:val="single" w:sz="4" w:space="0" w:color="auto"/>
              <w:bottom w:val="single" w:sz="4" w:space="0" w:color="auto"/>
              <w:right w:val="nil"/>
            </w:tcBorders>
            <w:shd w:val="clear" w:color="auto" w:fill="auto"/>
            <w:noWrap/>
            <w:vAlign w:val="bottom"/>
            <w:hideMark/>
          </w:tcPr>
          <w:p w14:paraId="43185373"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111" w:type="dxa"/>
            <w:tcBorders>
              <w:top w:val="nil"/>
              <w:left w:val="nil"/>
              <w:bottom w:val="single" w:sz="4" w:space="0" w:color="auto"/>
              <w:right w:val="single" w:sz="4" w:space="0" w:color="auto"/>
            </w:tcBorders>
            <w:shd w:val="clear" w:color="auto" w:fill="auto"/>
            <w:noWrap/>
            <w:vAlign w:val="center"/>
            <w:hideMark/>
          </w:tcPr>
          <w:p w14:paraId="17464516" w14:textId="65F7226B"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15" w:type="dxa"/>
            <w:tcBorders>
              <w:top w:val="nil"/>
              <w:left w:val="nil"/>
              <w:bottom w:val="single" w:sz="4" w:space="0" w:color="auto"/>
              <w:right w:val="nil"/>
            </w:tcBorders>
            <w:shd w:val="clear" w:color="auto" w:fill="auto"/>
            <w:noWrap/>
            <w:vAlign w:val="bottom"/>
            <w:hideMark/>
          </w:tcPr>
          <w:p w14:paraId="7DD51C74"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w:t>
            </w:r>
          </w:p>
        </w:tc>
        <w:tc>
          <w:tcPr>
            <w:tcW w:w="1145" w:type="dxa"/>
            <w:tcBorders>
              <w:top w:val="nil"/>
              <w:left w:val="nil"/>
              <w:bottom w:val="single" w:sz="4" w:space="0" w:color="auto"/>
              <w:right w:val="nil"/>
            </w:tcBorders>
            <w:shd w:val="clear" w:color="auto" w:fill="auto"/>
            <w:noWrap/>
            <w:vAlign w:val="center"/>
            <w:hideMark/>
          </w:tcPr>
          <w:p w14:paraId="73B18892" w14:textId="54F05DFA"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30C113FE"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02D42E35"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82" w:type="dxa"/>
            <w:tcBorders>
              <w:top w:val="nil"/>
              <w:left w:val="nil"/>
              <w:bottom w:val="single" w:sz="4" w:space="0" w:color="auto"/>
              <w:right w:val="nil"/>
            </w:tcBorders>
            <w:shd w:val="clear" w:color="auto" w:fill="auto"/>
            <w:noWrap/>
            <w:vAlign w:val="bottom"/>
            <w:hideMark/>
          </w:tcPr>
          <w:p w14:paraId="20FD576F"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1078" w:type="dxa"/>
            <w:tcBorders>
              <w:top w:val="nil"/>
              <w:left w:val="nil"/>
              <w:bottom w:val="single" w:sz="4" w:space="0" w:color="auto"/>
              <w:right w:val="nil"/>
            </w:tcBorders>
            <w:shd w:val="clear" w:color="auto" w:fill="auto"/>
            <w:noWrap/>
            <w:vAlign w:val="center"/>
            <w:hideMark/>
          </w:tcPr>
          <w:p w14:paraId="32100F4D" w14:textId="24522A5F"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049" w:type="dxa"/>
            <w:tcBorders>
              <w:top w:val="nil"/>
              <w:left w:val="single" w:sz="4" w:space="0" w:color="auto"/>
              <w:bottom w:val="single" w:sz="4" w:space="0" w:color="auto"/>
              <w:right w:val="nil"/>
            </w:tcBorders>
            <w:shd w:val="clear" w:color="auto" w:fill="auto"/>
            <w:noWrap/>
            <w:vAlign w:val="bottom"/>
            <w:hideMark/>
          </w:tcPr>
          <w:p w14:paraId="2D27BC83"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1111" w:type="dxa"/>
            <w:tcBorders>
              <w:top w:val="nil"/>
              <w:left w:val="nil"/>
              <w:bottom w:val="single" w:sz="4" w:space="0" w:color="auto"/>
              <w:right w:val="single" w:sz="4" w:space="0" w:color="auto"/>
            </w:tcBorders>
            <w:shd w:val="clear" w:color="auto" w:fill="auto"/>
            <w:noWrap/>
            <w:vAlign w:val="center"/>
            <w:hideMark/>
          </w:tcPr>
          <w:p w14:paraId="6877C8A0" w14:textId="7F303D39"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015" w:type="dxa"/>
            <w:tcBorders>
              <w:top w:val="nil"/>
              <w:left w:val="nil"/>
              <w:bottom w:val="single" w:sz="4" w:space="0" w:color="auto"/>
              <w:right w:val="nil"/>
            </w:tcBorders>
            <w:shd w:val="clear" w:color="auto" w:fill="auto"/>
            <w:noWrap/>
            <w:vAlign w:val="bottom"/>
            <w:hideMark/>
          </w:tcPr>
          <w:p w14:paraId="56589690"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w:t>
            </w:r>
          </w:p>
        </w:tc>
        <w:tc>
          <w:tcPr>
            <w:tcW w:w="1145" w:type="dxa"/>
            <w:tcBorders>
              <w:top w:val="nil"/>
              <w:left w:val="nil"/>
              <w:bottom w:val="single" w:sz="4" w:space="0" w:color="auto"/>
              <w:right w:val="nil"/>
            </w:tcBorders>
            <w:shd w:val="clear" w:color="auto" w:fill="auto"/>
            <w:noWrap/>
            <w:vAlign w:val="center"/>
            <w:hideMark/>
          </w:tcPr>
          <w:p w14:paraId="1F94F67E" w14:textId="78A9B52E"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5D428B23"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7A28D767"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82" w:type="dxa"/>
            <w:tcBorders>
              <w:top w:val="nil"/>
              <w:left w:val="nil"/>
              <w:bottom w:val="single" w:sz="4" w:space="0" w:color="auto"/>
              <w:right w:val="nil"/>
            </w:tcBorders>
            <w:shd w:val="clear" w:color="auto" w:fill="auto"/>
            <w:noWrap/>
            <w:vAlign w:val="bottom"/>
            <w:hideMark/>
          </w:tcPr>
          <w:p w14:paraId="0BDC8C59"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078" w:type="dxa"/>
            <w:tcBorders>
              <w:top w:val="nil"/>
              <w:left w:val="nil"/>
              <w:bottom w:val="single" w:sz="4" w:space="0" w:color="auto"/>
              <w:right w:val="nil"/>
            </w:tcBorders>
            <w:shd w:val="clear" w:color="auto" w:fill="auto"/>
            <w:noWrap/>
            <w:vAlign w:val="center"/>
            <w:hideMark/>
          </w:tcPr>
          <w:p w14:paraId="2700E49C" w14:textId="2198A11F"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c>
          <w:tcPr>
            <w:tcW w:w="1049" w:type="dxa"/>
            <w:tcBorders>
              <w:top w:val="nil"/>
              <w:left w:val="single" w:sz="4" w:space="0" w:color="auto"/>
              <w:bottom w:val="single" w:sz="4" w:space="0" w:color="auto"/>
              <w:right w:val="nil"/>
            </w:tcBorders>
            <w:shd w:val="clear" w:color="auto" w:fill="auto"/>
            <w:noWrap/>
            <w:vAlign w:val="bottom"/>
            <w:hideMark/>
          </w:tcPr>
          <w:p w14:paraId="684F09F0"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111" w:type="dxa"/>
            <w:tcBorders>
              <w:top w:val="nil"/>
              <w:left w:val="nil"/>
              <w:bottom w:val="single" w:sz="4" w:space="0" w:color="auto"/>
              <w:right w:val="single" w:sz="4" w:space="0" w:color="auto"/>
            </w:tcBorders>
            <w:shd w:val="clear" w:color="auto" w:fill="auto"/>
            <w:noWrap/>
            <w:vAlign w:val="center"/>
            <w:hideMark/>
          </w:tcPr>
          <w:p w14:paraId="3B3D3127" w14:textId="7769DC07"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15" w:type="dxa"/>
            <w:tcBorders>
              <w:top w:val="nil"/>
              <w:left w:val="nil"/>
              <w:bottom w:val="single" w:sz="4" w:space="0" w:color="auto"/>
              <w:right w:val="nil"/>
            </w:tcBorders>
            <w:shd w:val="clear" w:color="auto" w:fill="auto"/>
            <w:noWrap/>
            <w:vAlign w:val="bottom"/>
            <w:hideMark/>
          </w:tcPr>
          <w:p w14:paraId="35936D66"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w:t>
            </w:r>
          </w:p>
        </w:tc>
        <w:tc>
          <w:tcPr>
            <w:tcW w:w="1145" w:type="dxa"/>
            <w:tcBorders>
              <w:top w:val="nil"/>
              <w:left w:val="nil"/>
              <w:bottom w:val="single" w:sz="4" w:space="0" w:color="auto"/>
              <w:right w:val="nil"/>
            </w:tcBorders>
            <w:shd w:val="clear" w:color="auto" w:fill="auto"/>
            <w:noWrap/>
            <w:vAlign w:val="center"/>
            <w:hideMark/>
          </w:tcPr>
          <w:p w14:paraId="73D8BFCA" w14:textId="332AFA78"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033A3F" w:rsidRPr="00033A3F" w14:paraId="48DDEE0F"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5CE0A723"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82" w:type="dxa"/>
            <w:tcBorders>
              <w:top w:val="nil"/>
              <w:left w:val="nil"/>
              <w:bottom w:val="single" w:sz="4" w:space="0" w:color="auto"/>
              <w:right w:val="nil"/>
            </w:tcBorders>
            <w:shd w:val="clear" w:color="auto" w:fill="auto"/>
            <w:noWrap/>
            <w:vAlign w:val="bottom"/>
            <w:hideMark/>
          </w:tcPr>
          <w:p w14:paraId="3178D95C"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w:t>
            </w:r>
          </w:p>
        </w:tc>
        <w:tc>
          <w:tcPr>
            <w:tcW w:w="1078" w:type="dxa"/>
            <w:tcBorders>
              <w:top w:val="nil"/>
              <w:left w:val="nil"/>
              <w:bottom w:val="single" w:sz="4" w:space="0" w:color="auto"/>
              <w:right w:val="nil"/>
            </w:tcBorders>
            <w:shd w:val="clear" w:color="auto" w:fill="auto"/>
            <w:noWrap/>
            <w:vAlign w:val="center"/>
            <w:hideMark/>
          </w:tcPr>
          <w:p w14:paraId="04376AA1" w14:textId="12D7A63D"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49" w:type="dxa"/>
            <w:tcBorders>
              <w:top w:val="nil"/>
              <w:left w:val="single" w:sz="4" w:space="0" w:color="auto"/>
              <w:bottom w:val="single" w:sz="4" w:space="0" w:color="auto"/>
              <w:right w:val="nil"/>
            </w:tcBorders>
            <w:shd w:val="clear" w:color="auto" w:fill="auto"/>
            <w:noWrap/>
            <w:vAlign w:val="bottom"/>
            <w:hideMark/>
          </w:tcPr>
          <w:p w14:paraId="5D024B8C"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1111" w:type="dxa"/>
            <w:tcBorders>
              <w:top w:val="nil"/>
              <w:left w:val="nil"/>
              <w:bottom w:val="single" w:sz="4" w:space="0" w:color="auto"/>
              <w:right w:val="single" w:sz="4" w:space="0" w:color="auto"/>
            </w:tcBorders>
            <w:shd w:val="clear" w:color="auto" w:fill="auto"/>
            <w:noWrap/>
            <w:vAlign w:val="center"/>
            <w:hideMark/>
          </w:tcPr>
          <w:p w14:paraId="3C192861" w14:textId="76112110"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15" w:type="dxa"/>
            <w:tcBorders>
              <w:top w:val="nil"/>
              <w:left w:val="nil"/>
              <w:bottom w:val="single" w:sz="4" w:space="0" w:color="auto"/>
              <w:right w:val="nil"/>
            </w:tcBorders>
            <w:shd w:val="clear" w:color="auto" w:fill="auto"/>
            <w:noWrap/>
            <w:vAlign w:val="bottom"/>
            <w:hideMark/>
          </w:tcPr>
          <w:p w14:paraId="2C2EE802"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p>
        </w:tc>
        <w:tc>
          <w:tcPr>
            <w:tcW w:w="1145" w:type="dxa"/>
            <w:tcBorders>
              <w:top w:val="nil"/>
              <w:left w:val="nil"/>
              <w:bottom w:val="single" w:sz="4" w:space="0" w:color="auto"/>
              <w:right w:val="nil"/>
            </w:tcBorders>
            <w:shd w:val="clear" w:color="auto" w:fill="auto"/>
            <w:noWrap/>
            <w:vAlign w:val="center"/>
            <w:hideMark/>
          </w:tcPr>
          <w:p w14:paraId="1E87553E" w14:textId="0A2E57C7"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r>
      <w:tr w:rsidR="00033A3F" w:rsidRPr="00033A3F" w14:paraId="0BF2DAAF"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05029AAE"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82" w:type="dxa"/>
            <w:tcBorders>
              <w:top w:val="nil"/>
              <w:left w:val="nil"/>
              <w:bottom w:val="single" w:sz="4" w:space="0" w:color="auto"/>
              <w:right w:val="nil"/>
            </w:tcBorders>
            <w:shd w:val="clear" w:color="auto" w:fill="auto"/>
            <w:noWrap/>
            <w:vAlign w:val="bottom"/>
            <w:hideMark/>
          </w:tcPr>
          <w:p w14:paraId="4FF4C7E5"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1078" w:type="dxa"/>
            <w:tcBorders>
              <w:top w:val="nil"/>
              <w:left w:val="nil"/>
              <w:bottom w:val="single" w:sz="4" w:space="0" w:color="auto"/>
              <w:right w:val="nil"/>
            </w:tcBorders>
            <w:shd w:val="clear" w:color="auto" w:fill="auto"/>
            <w:noWrap/>
            <w:vAlign w:val="center"/>
            <w:hideMark/>
          </w:tcPr>
          <w:p w14:paraId="7CA58F5A" w14:textId="2EEA359A"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c>
          <w:tcPr>
            <w:tcW w:w="1049" w:type="dxa"/>
            <w:tcBorders>
              <w:top w:val="nil"/>
              <w:left w:val="single" w:sz="4" w:space="0" w:color="auto"/>
              <w:bottom w:val="single" w:sz="4" w:space="0" w:color="auto"/>
              <w:right w:val="nil"/>
            </w:tcBorders>
            <w:shd w:val="clear" w:color="auto" w:fill="auto"/>
            <w:noWrap/>
            <w:vAlign w:val="bottom"/>
            <w:hideMark/>
          </w:tcPr>
          <w:p w14:paraId="767976DD"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111" w:type="dxa"/>
            <w:tcBorders>
              <w:top w:val="nil"/>
              <w:left w:val="nil"/>
              <w:bottom w:val="single" w:sz="4" w:space="0" w:color="auto"/>
              <w:right w:val="single" w:sz="4" w:space="0" w:color="auto"/>
            </w:tcBorders>
            <w:shd w:val="clear" w:color="auto" w:fill="auto"/>
            <w:noWrap/>
            <w:vAlign w:val="center"/>
            <w:hideMark/>
          </w:tcPr>
          <w:p w14:paraId="2CD1F033" w14:textId="6A171349"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15" w:type="dxa"/>
            <w:tcBorders>
              <w:top w:val="nil"/>
              <w:left w:val="nil"/>
              <w:bottom w:val="single" w:sz="4" w:space="0" w:color="auto"/>
              <w:right w:val="nil"/>
            </w:tcBorders>
            <w:shd w:val="clear" w:color="auto" w:fill="auto"/>
            <w:noWrap/>
            <w:vAlign w:val="bottom"/>
            <w:hideMark/>
          </w:tcPr>
          <w:p w14:paraId="0CF8AE5F"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w:t>
            </w:r>
          </w:p>
        </w:tc>
        <w:tc>
          <w:tcPr>
            <w:tcW w:w="1145" w:type="dxa"/>
            <w:tcBorders>
              <w:top w:val="nil"/>
              <w:left w:val="nil"/>
              <w:bottom w:val="single" w:sz="4" w:space="0" w:color="auto"/>
              <w:right w:val="nil"/>
            </w:tcBorders>
            <w:shd w:val="clear" w:color="auto" w:fill="auto"/>
            <w:noWrap/>
            <w:vAlign w:val="center"/>
            <w:hideMark/>
          </w:tcPr>
          <w:p w14:paraId="3B461DD2" w14:textId="124BB628"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2CA2B631"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7EBC136F"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82" w:type="dxa"/>
            <w:tcBorders>
              <w:top w:val="nil"/>
              <w:left w:val="nil"/>
              <w:bottom w:val="single" w:sz="4" w:space="0" w:color="auto"/>
              <w:right w:val="nil"/>
            </w:tcBorders>
            <w:shd w:val="clear" w:color="auto" w:fill="auto"/>
            <w:noWrap/>
            <w:vAlign w:val="bottom"/>
            <w:hideMark/>
          </w:tcPr>
          <w:p w14:paraId="10427B71"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078" w:type="dxa"/>
            <w:tcBorders>
              <w:top w:val="nil"/>
              <w:left w:val="nil"/>
              <w:bottom w:val="single" w:sz="4" w:space="0" w:color="auto"/>
              <w:right w:val="nil"/>
            </w:tcBorders>
            <w:shd w:val="clear" w:color="auto" w:fill="auto"/>
            <w:noWrap/>
            <w:vAlign w:val="center"/>
            <w:hideMark/>
          </w:tcPr>
          <w:p w14:paraId="61866A1A" w14:textId="7D97DFD0"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49" w:type="dxa"/>
            <w:tcBorders>
              <w:top w:val="nil"/>
              <w:left w:val="single" w:sz="4" w:space="0" w:color="auto"/>
              <w:bottom w:val="single" w:sz="4" w:space="0" w:color="auto"/>
              <w:right w:val="nil"/>
            </w:tcBorders>
            <w:shd w:val="clear" w:color="auto" w:fill="auto"/>
            <w:noWrap/>
            <w:vAlign w:val="bottom"/>
            <w:hideMark/>
          </w:tcPr>
          <w:p w14:paraId="7CA14F4B"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w:t>
            </w:r>
          </w:p>
        </w:tc>
        <w:tc>
          <w:tcPr>
            <w:tcW w:w="1111" w:type="dxa"/>
            <w:tcBorders>
              <w:top w:val="nil"/>
              <w:left w:val="nil"/>
              <w:bottom w:val="single" w:sz="4" w:space="0" w:color="auto"/>
              <w:right w:val="single" w:sz="4" w:space="0" w:color="auto"/>
            </w:tcBorders>
            <w:shd w:val="clear" w:color="auto" w:fill="auto"/>
            <w:noWrap/>
            <w:vAlign w:val="center"/>
            <w:hideMark/>
          </w:tcPr>
          <w:p w14:paraId="536BE702" w14:textId="4672331C"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c>
          <w:tcPr>
            <w:tcW w:w="1015" w:type="dxa"/>
            <w:tcBorders>
              <w:top w:val="nil"/>
              <w:left w:val="nil"/>
              <w:bottom w:val="single" w:sz="4" w:space="0" w:color="auto"/>
              <w:right w:val="nil"/>
            </w:tcBorders>
            <w:shd w:val="clear" w:color="auto" w:fill="auto"/>
            <w:noWrap/>
            <w:vAlign w:val="bottom"/>
            <w:hideMark/>
          </w:tcPr>
          <w:p w14:paraId="6D8A0DD1"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1145" w:type="dxa"/>
            <w:tcBorders>
              <w:top w:val="nil"/>
              <w:left w:val="nil"/>
              <w:bottom w:val="single" w:sz="4" w:space="0" w:color="auto"/>
              <w:right w:val="nil"/>
            </w:tcBorders>
            <w:shd w:val="clear" w:color="auto" w:fill="auto"/>
            <w:noWrap/>
            <w:vAlign w:val="center"/>
            <w:hideMark/>
          </w:tcPr>
          <w:p w14:paraId="6440FFD0" w14:textId="261F9F73"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0E6802E9" w14:textId="77777777" w:rsidTr="002C3E61">
        <w:trPr>
          <w:trHeight w:val="330"/>
        </w:trPr>
        <w:tc>
          <w:tcPr>
            <w:tcW w:w="2320" w:type="dxa"/>
            <w:tcBorders>
              <w:top w:val="nil"/>
              <w:left w:val="nil"/>
              <w:bottom w:val="double" w:sz="6" w:space="0" w:color="auto"/>
              <w:right w:val="nil"/>
            </w:tcBorders>
            <w:shd w:val="clear" w:color="auto" w:fill="auto"/>
            <w:noWrap/>
            <w:vAlign w:val="bottom"/>
            <w:hideMark/>
          </w:tcPr>
          <w:p w14:paraId="7934314A"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82" w:type="dxa"/>
            <w:tcBorders>
              <w:top w:val="nil"/>
              <w:left w:val="nil"/>
              <w:bottom w:val="double" w:sz="6" w:space="0" w:color="auto"/>
              <w:right w:val="nil"/>
            </w:tcBorders>
            <w:shd w:val="clear" w:color="auto" w:fill="auto"/>
            <w:noWrap/>
            <w:vAlign w:val="bottom"/>
            <w:hideMark/>
          </w:tcPr>
          <w:p w14:paraId="6253ECA0"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078" w:type="dxa"/>
            <w:tcBorders>
              <w:top w:val="nil"/>
              <w:left w:val="nil"/>
              <w:bottom w:val="double" w:sz="6" w:space="0" w:color="auto"/>
              <w:right w:val="nil"/>
            </w:tcBorders>
            <w:shd w:val="clear" w:color="auto" w:fill="auto"/>
            <w:noWrap/>
            <w:vAlign w:val="center"/>
            <w:hideMark/>
          </w:tcPr>
          <w:p w14:paraId="48A9A2FF" w14:textId="2634D64C"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049" w:type="dxa"/>
            <w:tcBorders>
              <w:top w:val="nil"/>
              <w:left w:val="single" w:sz="4" w:space="0" w:color="auto"/>
              <w:bottom w:val="double" w:sz="6" w:space="0" w:color="auto"/>
              <w:right w:val="nil"/>
            </w:tcBorders>
            <w:shd w:val="clear" w:color="auto" w:fill="auto"/>
            <w:noWrap/>
            <w:vAlign w:val="bottom"/>
            <w:hideMark/>
          </w:tcPr>
          <w:p w14:paraId="2EDEE78E"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c>
          <w:tcPr>
            <w:tcW w:w="1111" w:type="dxa"/>
            <w:tcBorders>
              <w:top w:val="nil"/>
              <w:left w:val="nil"/>
              <w:bottom w:val="double" w:sz="6" w:space="0" w:color="auto"/>
              <w:right w:val="single" w:sz="4" w:space="0" w:color="auto"/>
            </w:tcBorders>
            <w:shd w:val="clear" w:color="auto" w:fill="auto"/>
            <w:noWrap/>
            <w:vAlign w:val="center"/>
            <w:hideMark/>
          </w:tcPr>
          <w:p w14:paraId="38660109" w14:textId="540DDB14"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-33 %</w:t>
            </w:r>
          </w:p>
        </w:tc>
        <w:tc>
          <w:tcPr>
            <w:tcW w:w="1015" w:type="dxa"/>
            <w:tcBorders>
              <w:top w:val="nil"/>
              <w:left w:val="nil"/>
              <w:bottom w:val="double" w:sz="6" w:space="0" w:color="auto"/>
              <w:right w:val="nil"/>
            </w:tcBorders>
            <w:shd w:val="clear" w:color="auto" w:fill="auto"/>
            <w:noWrap/>
            <w:vAlign w:val="bottom"/>
            <w:hideMark/>
          </w:tcPr>
          <w:p w14:paraId="3C4296ED"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1145" w:type="dxa"/>
            <w:tcBorders>
              <w:top w:val="nil"/>
              <w:left w:val="nil"/>
              <w:bottom w:val="double" w:sz="6" w:space="0" w:color="auto"/>
              <w:right w:val="nil"/>
            </w:tcBorders>
            <w:shd w:val="clear" w:color="auto" w:fill="auto"/>
            <w:noWrap/>
            <w:vAlign w:val="center"/>
            <w:hideMark/>
          </w:tcPr>
          <w:p w14:paraId="61A4E813" w14:textId="329A7452"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-41 %</w:t>
            </w:r>
          </w:p>
        </w:tc>
      </w:tr>
      <w:tr w:rsidR="00033A3F" w:rsidRPr="00033A3F" w14:paraId="469B9DE1" w14:textId="77777777" w:rsidTr="002C3E61">
        <w:trPr>
          <w:trHeight w:val="345"/>
        </w:trPr>
        <w:tc>
          <w:tcPr>
            <w:tcW w:w="2320" w:type="dxa"/>
            <w:tcBorders>
              <w:top w:val="nil"/>
              <w:left w:val="nil"/>
              <w:bottom w:val="double" w:sz="6" w:space="0" w:color="auto"/>
              <w:right w:val="nil"/>
            </w:tcBorders>
            <w:shd w:val="clear" w:color="auto" w:fill="auto"/>
            <w:noWrap/>
            <w:vAlign w:val="bottom"/>
            <w:hideMark/>
          </w:tcPr>
          <w:p w14:paraId="47446E99" w14:textId="77777777" w:rsidR="009854DA" w:rsidRPr="00033A3F" w:rsidRDefault="009854DA" w:rsidP="009854DA">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82" w:type="dxa"/>
            <w:tcBorders>
              <w:top w:val="nil"/>
              <w:left w:val="nil"/>
              <w:bottom w:val="double" w:sz="6" w:space="0" w:color="auto"/>
              <w:right w:val="nil"/>
            </w:tcBorders>
            <w:shd w:val="clear" w:color="auto" w:fill="auto"/>
            <w:noWrap/>
            <w:vAlign w:val="bottom"/>
            <w:hideMark/>
          </w:tcPr>
          <w:p w14:paraId="2753C823"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w:t>
            </w:r>
          </w:p>
        </w:tc>
        <w:tc>
          <w:tcPr>
            <w:tcW w:w="1078" w:type="dxa"/>
            <w:tcBorders>
              <w:top w:val="nil"/>
              <w:left w:val="nil"/>
              <w:bottom w:val="double" w:sz="6" w:space="0" w:color="auto"/>
              <w:right w:val="nil"/>
            </w:tcBorders>
            <w:shd w:val="clear" w:color="auto" w:fill="auto"/>
            <w:noWrap/>
            <w:vAlign w:val="center"/>
            <w:hideMark/>
          </w:tcPr>
          <w:p w14:paraId="5431B769" w14:textId="6A6D3066" w:rsidR="009854DA" w:rsidRPr="00033A3F" w:rsidRDefault="009854DA" w:rsidP="009854DA">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049" w:type="dxa"/>
            <w:tcBorders>
              <w:top w:val="nil"/>
              <w:left w:val="single" w:sz="4" w:space="0" w:color="auto"/>
              <w:bottom w:val="double" w:sz="6" w:space="0" w:color="auto"/>
              <w:right w:val="nil"/>
            </w:tcBorders>
            <w:shd w:val="clear" w:color="auto" w:fill="auto"/>
            <w:noWrap/>
            <w:vAlign w:val="bottom"/>
            <w:hideMark/>
          </w:tcPr>
          <w:p w14:paraId="1256290A"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w:t>
            </w:r>
          </w:p>
        </w:tc>
        <w:tc>
          <w:tcPr>
            <w:tcW w:w="1111" w:type="dxa"/>
            <w:tcBorders>
              <w:top w:val="nil"/>
              <w:left w:val="nil"/>
              <w:bottom w:val="double" w:sz="6" w:space="0" w:color="auto"/>
              <w:right w:val="single" w:sz="4" w:space="0" w:color="auto"/>
            </w:tcBorders>
            <w:shd w:val="clear" w:color="auto" w:fill="auto"/>
            <w:noWrap/>
            <w:vAlign w:val="center"/>
            <w:hideMark/>
          </w:tcPr>
          <w:p w14:paraId="0E711BB5" w14:textId="79E6A53F" w:rsidR="009854DA" w:rsidRPr="00033A3F" w:rsidRDefault="009854DA" w:rsidP="009854DA">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-8 %</w:t>
            </w:r>
          </w:p>
        </w:tc>
        <w:tc>
          <w:tcPr>
            <w:tcW w:w="1015" w:type="dxa"/>
            <w:tcBorders>
              <w:top w:val="nil"/>
              <w:left w:val="nil"/>
              <w:bottom w:val="double" w:sz="6" w:space="0" w:color="auto"/>
              <w:right w:val="nil"/>
            </w:tcBorders>
            <w:shd w:val="clear" w:color="auto" w:fill="auto"/>
            <w:noWrap/>
            <w:vAlign w:val="bottom"/>
            <w:hideMark/>
          </w:tcPr>
          <w:p w14:paraId="2440B5A3"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49</w:t>
            </w:r>
          </w:p>
        </w:tc>
        <w:tc>
          <w:tcPr>
            <w:tcW w:w="1145" w:type="dxa"/>
            <w:tcBorders>
              <w:top w:val="nil"/>
              <w:left w:val="nil"/>
              <w:bottom w:val="double" w:sz="6" w:space="0" w:color="auto"/>
              <w:right w:val="nil"/>
            </w:tcBorders>
            <w:shd w:val="clear" w:color="auto" w:fill="auto"/>
            <w:noWrap/>
            <w:vAlign w:val="center"/>
            <w:hideMark/>
          </w:tcPr>
          <w:p w14:paraId="6185019C" w14:textId="205E6D2E" w:rsidR="009854DA" w:rsidRPr="00033A3F" w:rsidRDefault="009854DA" w:rsidP="009854DA">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-11 %</w:t>
            </w:r>
          </w:p>
        </w:tc>
      </w:tr>
      <w:tr w:rsidR="00033A3F" w:rsidRPr="00033A3F" w14:paraId="3E1EE2B4" w14:textId="77777777" w:rsidTr="002C3E61">
        <w:trPr>
          <w:trHeight w:val="330"/>
        </w:trPr>
        <w:tc>
          <w:tcPr>
            <w:tcW w:w="2320" w:type="dxa"/>
            <w:tcBorders>
              <w:top w:val="nil"/>
              <w:left w:val="nil"/>
              <w:bottom w:val="nil"/>
              <w:right w:val="nil"/>
            </w:tcBorders>
            <w:shd w:val="clear" w:color="auto" w:fill="auto"/>
            <w:noWrap/>
            <w:vAlign w:val="bottom"/>
            <w:hideMark/>
          </w:tcPr>
          <w:p w14:paraId="5B04A345" w14:textId="77777777" w:rsidR="009854DA" w:rsidRPr="00033A3F" w:rsidRDefault="009854DA" w:rsidP="009854DA">
            <w:pPr>
              <w:spacing w:line="240" w:lineRule="auto"/>
              <w:jc w:val="center"/>
              <w:rPr>
                <w:rFonts w:eastAsia="Times New Roman"/>
                <w:b/>
                <w:bCs/>
                <w:color w:val="000000" w:themeColor="text1"/>
                <w:sz w:val="20"/>
                <w:szCs w:val="20"/>
                <w:lang w:eastAsia="cs-CZ"/>
              </w:rPr>
            </w:pPr>
          </w:p>
        </w:tc>
        <w:tc>
          <w:tcPr>
            <w:tcW w:w="1082" w:type="dxa"/>
            <w:tcBorders>
              <w:top w:val="nil"/>
              <w:left w:val="nil"/>
              <w:bottom w:val="nil"/>
              <w:right w:val="nil"/>
            </w:tcBorders>
            <w:shd w:val="clear" w:color="auto" w:fill="auto"/>
            <w:noWrap/>
            <w:vAlign w:val="bottom"/>
            <w:hideMark/>
          </w:tcPr>
          <w:p w14:paraId="5BF8626F"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078" w:type="dxa"/>
            <w:tcBorders>
              <w:top w:val="nil"/>
              <w:left w:val="nil"/>
              <w:bottom w:val="nil"/>
              <w:right w:val="nil"/>
            </w:tcBorders>
            <w:shd w:val="clear" w:color="auto" w:fill="auto"/>
            <w:noWrap/>
            <w:vAlign w:val="bottom"/>
            <w:hideMark/>
          </w:tcPr>
          <w:p w14:paraId="62E52A64"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049" w:type="dxa"/>
            <w:tcBorders>
              <w:top w:val="nil"/>
              <w:left w:val="nil"/>
              <w:bottom w:val="nil"/>
              <w:right w:val="nil"/>
            </w:tcBorders>
            <w:shd w:val="clear" w:color="auto" w:fill="auto"/>
            <w:noWrap/>
            <w:vAlign w:val="bottom"/>
            <w:hideMark/>
          </w:tcPr>
          <w:p w14:paraId="0C983804"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111" w:type="dxa"/>
            <w:tcBorders>
              <w:top w:val="nil"/>
              <w:left w:val="nil"/>
              <w:bottom w:val="nil"/>
              <w:right w:val="nil"/>
            </w:tcBorders>
            <w:shd w:val="clear" w:color="auto" w:fill="auto"/>
            <w:noWrap/>
            <w:vAlign w:val="bottom"/>
            <w:hideMark/>
          </w:tcPr>
          <w:p w14:paraId="46A9A454"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015" w:type="dxa"/>
            <w:tcBorders>
              <w:top w:val="nil"/>
              <w:left w:val="nil"/>
              <w:bottom w:val="nil"/>
              <w:right w:val="nil"/>
            </w:tcBorders>
            <w:shd w:val="clear" w:color="auto" w:fill="auto"/>
            <w:noWrap/>
            <w:vAlign w:val="bottom"/>
            <w:hideMark/>
          </w:tcPr>
          <w:p w14:paraId="7512112A"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145" w:type="dxa"/>
            <w:tcBorders>
              <w:top w:val="nil"/>
              <w:left w:val="nil"/>
              <w:bottom w:val="nil"/>
              <w:right w:val="nil"/>
            </w:tcBorders>
            <w:shd w:val="clear" w:color="auto" w:fill="auto"/>
            <w:noWrap/>
            <w:vAlign w:val="bottom"/>
            <w:hideMark/>
          </w:tcPr>
          <w:p w14:paraId="5129729D"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r>
    </w:tbl>
    <w:p w14:paraId="44344010" w14:textId="780C9184" w:rsidR="009854DA" w:rsidRPr="00033A3F" w:rsidRDefault="009854DA" w:rsidP="00BF0CC3">
      <w:pPr>
        <w:pStyle w:val="OdstavecASR"/>
        <w:rPr>
          <w:color w:val="000000" w:themeColor="text1"/>
        </w:rPr>
      </w:pPr>
      <w:r w:rsidRPr="00033A3F">
        <w:rPr>
          <w:color w:val="000000" w:themeColor="text1"/>
        </w:rPr>
        <w:t>Obecně je možné konstatovat, že délky řízení se ustálily na hodnotách, které se mění jen nevýznamně a jsou řádově nižší než u klasického civilního řízení (rejstřík C). Například mediánová délka řízení v roce 2024 byla v klasickém civilním řízení 157 dnů, v elektronickém rozkazním řízení pouze 11 dnů. To je čtrnáctkrát méně. To samozřejmě plyne z již diskutované výrazně nižší obtížnosti agendy EPR. Z nižší délky logicky vyplývají i nižší absolutní rozdíly mezi jednotlivými soudy a kraji. Mezi nejrychlejšími a nejpomalejšími kraji je rozdíl pouze 8 dnů v mediánové délce řízení. Z jednotlivých soudů jsou nejrychlejší OS pro Prah</w:t>
      </w:r>
      <w:r w:rsidR="00E30B63" w:rsidRPr="00033A3F">
        <w:rPr>
          <w:color w:val="000000" w:themeColor="text1"/>
        </w:rPr>
        <w:t>u</w:t>
      </w:r>
      <w:r w:rsidRPr="00033A3F">
        <w:rPr>
          <w:color w:val="000000" w:themeColor="text1"/>
        </w:rPr>
        <w:t xml:space="preserve"> 5, OS pro Prahu 3, OS pro Prahu 4, </w:t>
      </w:r>
      <w:r w:rsidR="00E30B63" w:rsidRPr="00033A3F">
        <w:rPr>
          <w:color w:val="000000" w:themeColor="text1"/>
        </w:rPr>
        <w:t xml:space="preserve">OS </w:t>
      </w:r>
      <w:r w:rsidRPr="00033A3F">
        <w:rPr>
          <w:color w:val="000000" w:themeColor="text1"/>
        </w:rPr>
        <w:t xml:space="preserve">Rokycany a OS Uherské Hradiště (medián 6 dnů). Nejpomalejší je OS </w:t>
      </w:r>
      <w:r w:rsidR="00592DE6" w:rsidRPr="00033A3F">
        <w:rPr>
          <w:color w:val="000000" w:themeColor="text1"/>
        </w:rPr>
        <w:t>Brno-venkov</w:t>
      </w:r>
      <w:r w:rsidRPr="00033A3F">
        <w:rPr>
          <w:color w:val="000000" w:themeColor="text1"/>
        </w:rPr>
        <w:t xml:space="preserve"> (</w:t>
      </w:r>
      <w:r w:rsidR="002108DC" w:rsidRPr="00033A3F">
        <w:rPr>
          <w:color w:val="000000" w:themeColor="text1"/>
        </w:rPr>
        <w:t>65</w:t>
      </w:r>
      <w:r w:rsidRPr="00033A3F">
        <w:rPr>
          <w:color w:val="000000" w:themeColor="text1"/>
        </w:rPr>
        <w:t xml:space="preserve"> dnů), OS </w:t>
      </w:r>
      <w:r w:rsidR="00592DE6" w:rsidRPr="00033A3F">
        <w:rPr>
          <w:color w:val="000000" w:themeColor="text1"/>
        </w:rPr>
        <w:t>Žďár nad Sázavou</w:t>
      </w:r>
      <w:r w:rsidRPr="00033A3F">
        <w:rPr>
          <w:color w:val="000000" w:themeColor="text1"/>
        </w:rPr>
        <w:t xml:space="preserve"> (5</w:t>
      </w:r>
      <w:r w:rsidR="002108DC" w:rsidRPr="00033A3F">
        <w:rPr>
          <w:color w:val="000000" w:themeColor="text1"/>
        </w:rPr>
        <w:t>6</w:t>
      </w:r>
      <w:r w:rsidRPr="00033A3F">
        <w:rPr>
          <w:color w:val="000000" w:themeColor="text1"/>
        </w:rPr>
        <w:t xml:space="preserve"> dnů) OS </w:t>
      </w:r>
      <w:r w:rsidR="00592DE6" w:rsidRPr="00033A3F">
        <w:rPr>
          <w:color w:val="000000" w:themeColor="text1"/>
        </w:rPr>
        <w:t>Hodonín</w:t>
      </w:r>
      <w:r w:rsidRPr="00033A3F">
        <w:rPr>
          <w:color w:val="000000" w:themeColor="text1"/>
        </w:rPr>
        <w:t xml:space="preserve"> (4</w:t>
      </w:r>
      <w:r w:rsidR="002108DC" w:rsidRPr="00033A3F">
        <w:rPr>
          <w:color w:val="000000" w:themeColor="text1"/>
        </w:rPr>
        <w:t>8</w:t>
      </w:r>
      <w:r w:rsidRPr="00033A3F">
        <w:rPr>
          <w:color w:val="000000" w:themeColor="text1"/>
        </w:rPr>
        <w:t xml:space="preserve"> dnů).</w:t>
      </w:r>
    </w:p>
    <w:p w14:paraId="238A8520" w14:textId="618F4AF6" w:rsidR="009854DA" w:rsidRPr="00033A3F" w:rsidRDefault="009854DA" w:rsidP="00BF0CC3">
      <w:pPr>
        <w:pStyle w:val="OdstavecASR"/>
        <w:rPr>
          <w:color w:val="000000" w:themeColor="text1"/>
        </w:rPr>
      </w:pPr>
      <w:r w:rsidRPr="00033A3F">
        <w:rPr>
          <w:color w:val="000000" w:themeColor="text1"/>
        </w:rPr>
        <w:t>Z výše uvedeného také plyne menší variabilita v absolutních číslech mezi roky. Z tabulky vyplývá, že u většiny krajů došlo k velmi malé změně ve všech ukazatelích. Někde je procentní změna větší, řádově se ale jedná v absolutních číslech pouze o dny.</w:t>
      </w:r>
    </w:p>
    <w:p w14:paraId="691448A2" w14:textId="27A58A8C" w:rsidR="008430BD" w:rsidRPr="00033A3F" w:rsidRDefault="008430BD" w:rsidP="008430BD">
      <w:pPr>
        <w:pStyle w:val="Nadpis3"/>
        <w:numPr>
          <w:ilvl w:val="2"/>
          <w:numId w:val="1"/>
        </w:numPr>
        <w:rPr>
          <w:color w:val="000000" w:themeColor="text1"/>
        </w:rPr>
      </w:pPr>
      <w:bookmarkStart w:id="439" w:name="_Toc515871228"/>
      <w:bookmarkStart w:id="440" w:name="_Toc106092725"/>
      <w:bookmarkStart w:id="441" w:name="_Toc169250809"/>
      <w:bookmarkStart w:id="442" w:name="_Toc193530970"/>
      <w:bookmarkStart w:id="443" w:name="_Toc193957027"/>
      <w:bookmarkStart w:id="444" w:name="_Toc203032717"/>
      <w:r w:rsidRPr="00033A3F">
        <w:rPr>
          <w:color w:val="000000" w:themeColor="text1"/>
        </w:rPr>
        <w:t>Vyřizování věcí</w:t>
      </w:r>
      <w:bookmarkEnd w:id="439"/>
      <w:bookmarkEnd w:id="440"/>
      <w:bookmarkEnd w:id="441"/>
      <w:bookmarkEnd w:id="442"/>
      <w:bookmarkEnd w:id="443"/>
      <w:bookmarkEnd w:id="444"/>
    </w:p>
    <w:p w14:paraId="2E691929" w14:textId="78D7C569" w:rsidR="003F2DF9" w:rsidRPr="00033A3F" w:rsidRDefault="003F2DF9" w:rsidP="00BF0CC3">
      <w:pPr>
        <w:pStyle w:val="OdstavecASR"/>
        <w:rPr>
          <w:color w:val="000000" w:themeColor="text1"/>
        </w:rPr>
      </w:pPr>
      <w:r w:rsidRPr="00033A3F">
        <w:rPr>
          <w:color w:val="000000" w:themeColor="text1"/>
        </w:rPr>
        <w:t xml:space="preserve">Je zřejmé, že s vyřizováním této agendy nemají až na výjimky soudy žádné potíže. To ilustruje i poměr počtu nevyřízených věcí k počtu vyřízených věcí či k nápadu. V roce 2020 došlo k nemalému nárůstu (o 17 %) v počtu příchozích věcí oproti roku 2019. K obdobnému nárůstu došlo ve všech krajích. Pandemie COVID 19 a vládní restrikce tedy zřejmě ovlivnily nápad v opačném směru, než u rejstříku C. To koneckonců dává smysl – EPR je agenda elektronická, a tudíž nijak omezená zavedenými vládními opatřeními. Lze tedy konstatovat, že nárůst této agendy v době pandemie COVID 19 pravděpodobně souvisí s podstatným přesunem komunikace všeobecně do bezkontaktní a elektronické sféry. V posledních letech počet příchozích i vyřízených věcí fluktuuje, jednou naroste, jednou klesne. V roce 2022 narostl počet nevyřízených věcí, aby pak v roce 2023 opět klesl. Pokles lze přičíst především Severomoravskému kraji, který vykázal míru vyřizování 110,5 %. V roce 2024 počet příchozích i vyřízených </w:t>
      </w:r>
      <w:r w:rsidR="00EE46A6" w:rsidRPr="00033A3F">
        <w:rPr>
          <w:color w:val="000000" w:themeColor="text1"/>
        </w:rPr>
        <w:t xml:space="preserve">věcí </w:t>
      </w:r>
      <w:r w:rsidRPr="00033A3F">
        <w:rPr>
          <w:color w:val="000000" w:themeColor="text1"/>
        </w:rPr>
        <w:t>nadále klesal</w:t>
      </w:r>
      <w:r w:rsidR="00702E3C" w:rsidRPr="00033A3F">
        <w:rPr>
          <w:color w:val="000000" w:themeColor="text1"/>
        </w:rPr>
        <w:t>.</w:t>
      </w:r>
    </w:p>
    <w:p w14:paraId="0458D473" w14:textId="5EDAFA25" w:rsidR="003F2DF9" w:rsidRPr="00033A3F" w:rsidRDefault="003F2DF9">
      <w:pPr>
        <w:spacing w:after="160" w:line="259" w:lineRule="auto"/>
        <w:jc w:val="left"/>
        <w:rPr>
          <w:color w:val="000000" w:themeColor="text1"/>
        </w:rPr>
      </w:pPr>
      <w:r w:rsidRPr="00033A3F">
        <w:rPr>
          <w:color w:val="000000" w:themeColor="text1"/>
        </w:rPr>
        <w:br w:type="page"/>
      </w:r>
    </w:p>
    <w:p w14:paraId="592195D9" w14:textId="1F52E4BA" w:rsidR="003F2DF9" w:rsidRPr="00033A3F" w:rsidRDefault="003F2DF9" w:rsidP="003F2DF9">
      <w:pPr>
        <w:pStyle w:val="Podnadpis"/>
        <w:numPr>
          <w:ilvl w:val="0"/>
          <w:numId w:val="0"/>
        </w:numPr>
        <w:rPr>
          <w:color w:val="000000" w:themeColor="text1"/>
        </w:rPr>
      </w:pPr>
      <w:bookmarkStart w:id="445" w:name="_Toc515871347"/>
      <w:bookmarkStart w:id="446" w:name="_Toc11135082"/>
      <w:bookmarkStart w:id="447" w:name="_Toc43841398"/>
      <w:bookmarkStart w:id="448" w:name="_Toc75952199"/>
      <w:bookmarkStart w:id="449" w:name="_Toc106106653"/>
      <w:bookmarkStart w:id="450" w:name="_Toc144104130"/>
      <w:bookmarkStart w:id="451" w:name="_Toc169250938"/>
      <w:bookmarkStart w:id="452" w:name="_Toc174080624"/>
      <w:bookmarkStart w:id="453" w:name="_Toc193530776"/>
      <w:bookmarkStart w:id="454" w:name="_Toc193634050"/>
      <w:bookmarkStart w:id="455" w:name="_Toc203032848"/>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21</w:t>
      </w:r>
      <w:r w:rsidRPr="00033A3F">
        <w:rPr>
          <w:color w:val="000000" w:themeColor="text1"/>
        </w:rPr>
        <w:fldChar w:fldCharType="end"/>
      </w:r>
      <w:r w:rsidRPr="00033A3F">
        <w:rPr>
          <w:color w:val="000000" w:themeColor="text1"/>
        </w:rPr>
        <w:t>: OS – vyřizování věcí v rejstříku EPR v letech 201</w:t>
      </w:r>
      <w:r w:rsidR="00BC2371" w:rsidRPr="00033A3F">
        <w:rPr>
          <w:color w:val="000000" w:themeColor="text1"/>
        </w:rPr>
        <w:t>5</w:t>
      </w:r>
      <w:r w:rsidRPr="00033A3F">
        <w:rPr>
          <w:color w:val="000000" w:themeColor="text1"/>
        </w:rPr>
        <w:t>–</w:t>
      </w:r>
      <w:bookmarkEnd w:id="445"/>
      <w:bookmarkEnd w:id="446"/>
      <w:bookmarkEnd w:id="447"/>
      <w:bookmarkEnd w:id="448"/>
      <w:bookmarkEnd w:id="449"/>
      <w:bookmarkEnd w:id="450"/>
      <w:bookmarkEnd w:id="451"/>
      <w:bookmarkEnd w:id="452"/>
      <w:r w:rsidR="005E53E6" w:rsidRPr="00033A3F">
        <w:rPr>
          <w:color w:val="000000" w:themeColor="text1"/>
        </w:rPr>
        <w:t>2024</w:t>
      </w:r>
      <w:bookmarkEnd w:id="453"/>
      <w:bookmarkEnd w:id="454"/>
      <w:bookmarkEnd w:id="455"/>
    </w:p>
    <w:p w14:paraId="11BB4A64" w14:textId="3C980B11" w:rsidR="003F2DF9" w:rsidRPr="00033A3F" w:rsidRDefault="003F2DF9" w:rsidP="003F2DF9">
      <w:pPr>
        <w:rPr>
          <w:color w:val="000000" w:themeColor="text1"/>
        </w:rPr>
      </w:pPr>
      <w:r w:rsidRPr="00033A3F">
        <w:rPr>
          <w:noProof/>
          <w:color w:val="000000" w:themeColor="text1"/>
          <w:lang w:eastAsia="cs-CZ"/>
        </w:rPr>
        <w:drawing>
          <wp:inline distT="0" distB="0" distL="0" distR="0" wp14:anchorId="237648D4" wp14:editId="349D4228">
            <wp:extent cx="5029200" cy="3657600"/>
            <wp:effectExtent l="0" t="0" r="0" b="0"/>
            <wp:docPr id="15101469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E6A62AA" w14:textId="77777777" w:rsidR="003F2DF9" w:rsidRPr="00033A3F" w:rsidRDefault="003F2DF9" w:rsidP="003F2DF9">
      <w:pPr>
        <w:rPr>
          <w:color w:val="000000" w:themeColor="text1"/>
        </w:rPr>
      </w:pPr>
    </w:p>
    <w:p w14:paraId="046CA70C" w14:textId="290F6D6B" w:rsidR="00BC2371" w:rsidRPr="00033A3F" w:rsidRDefault="00BC2371" w:rsidP="00BC2371">
      <w:pPr>
        <w:pStyle w:val="Podnadpis"/>
        <w:numPr>
          <w:ilvl w:val="0"/>
          <w:numId w:val="0"/>
        </w:numPr>
        <w:rPr>
          <w:color w:val="000000" w:themeColor="text1"/>
        </w:rPr>
      </w:pPr>
      <w:bookmarkStart w:id="456" w:name="_Toc106106780"/>
      <w:bookmarkStart w:id="457" w:name="_Toc144104258"/>
      <w:bookmarkStart w:id="458" w:name="_Toc169251074"/>
      <w:bookmarkStart w:id="459" w:name="_Toc174080760"/>
      <w:bookmarkStart w:id="460" w:name="_Toc193530893"/>
      <w:bookmarkStart w:id="461" w:name="_Toc194045588"/>
      <w:bookmarkStart w:id="462" w:name="_Toc199494997"/>
      <w:bookmarkStart w:id="463" w:name="_Toc203033057"/>
      <w:bookmarkStart w:id="464" w:name="_Toc203033135"/>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15</w:t>
      </w:r>
      <w:r w:rsidRPr="00033A3F">
        <w:rPr>
          <w:color w:val="000000" w:themeColor="text1"/>
        </w:rPr>
        <w:fldChar w:fldCharType="end"/>
      </w:r>
      <w:r w:rsidRPr="00033A3F">
        <w:rPr>
          <w:color w:val="000000" w:themeColor="text1"/>
        </w:rPr>
        <w:t>: OS – vyřizování věcí v rejstříku EPR dle krajů</w:t>
      </w:r>
      <w:bookmarkEnd w:id="456"/>
      <w:bookmarkEnd w:id="457"/>
      <w:r w:rsidRPr="00033A3F">
        <w:rPr>
          <w:color w:val="000000" w:themeColor="text1"/>
        </w:rPr>
        <w:t>, 202</w:t>
      </w:r>
      <w:bookmarkEnd w:id="458"/>
      <w:bookmarkEnd w:id="459"/>
      <w:r w:rsidRPr="00033A3F">
        <w:rPr>
          <w:color w:val="000000" w:themeColor="text1"/>
        </w:rPr>
        <w:t>4</w:t>
      </w:r>
      <w:bookmarkEnd w:id="460"/>
      <w:bookmarkEnd w:id="461"/>
      <w:bookmarkEnd w:id="462"/>
      <w:bookmarkEnd w:id="463"/>
      <w:bookmarkEnd w:id="464"/>
    </w:p>
    <w:tbl>
      <w:tblPr>
        <w:tblW w:w="9072" w:type="dxa"/>
        <w:tblCellMar>
          <w:left w:w="70" w:type="dxa"/>
          <w:right w:w="70" w:type="dxa"/>
        </w:tblCellMar>
        <w:tblLook w:val="04A0" w:firstRow="1" w:lastRow="0" w:firstColumn="1" w:lastColumn="0" w:noHBand="0" w:noVBand="1"/>
      </w:tblPr>
      <w:tblGrid>
        <w:gridCol w:w="2020"/>
        <w:gridCol w:w="1241"/>
        <w:gridCol w:w="708"/>
        <w:gridCol w:w="1134"/>
        <w:gridCol w:w="709"/>
        <w:gridCol w:w="1134"/>
        <w:gridCol w:w="709"/>
        <w:gridCol w:w="1417"/>
      </w:tblGrid>
      <w:tr w:rsidR="00033A3F" w:rsidRPr="00033A3F" w14:paraId="2537F4BD" w14:textId="77777777" w:rsidTr="002C3E6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593507F"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635" w:type="dxa"/>
            <w:gridSpan w:val="6"/>
            <w:tcBorders>
              <w:top w:val="double" w:sz="6" w:space="0" w:color="auto"/>
              <w:left w:val="nil"/>
              <w:bottom w:val="nil"/>
              <w:right w:val="single" w:sz="4" w:space="0" w:color="000000"/>
            </w:tcBorders>
            <w:shd w:val="clear" w:color="auto" w:fill="auto"/>
            <w:noWrap/>
            <w:vAlign w:val="center"/>
            <w:hideMark/>
          </w:tcPr>
          <w:p w14:paraId="7F83C876"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417" w:type="dxa"/>
            <w:vMerge w:val="restart"/>
            <w:tcBorders>
              <w:top w:val="double" w:sz="6" w:space="0" w:color="auto"/>
              <w:left w:val="nil"/>
              <w:bottom w:val="double" w:sz="6" w:space="0" w:color="000000"/>
              <w:right w:val="nil"/>
            </w:tcBorders>
            <w:shd w:val="clear" w:color="auto" w:fill="auto"/>
            <w:vAlign w:val="center"/>
            <w:hideMark/>
          </w:tcPr>
          <w:p w14:paraId="7DAE5D23"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701090F7" w14:textId="77777777" w:rsidTr="002C3E61">
        <w:trPr>
          <w:trHeight w:val="330"/>
        </w:trPr>
        <w:tc>
          <w:tcPr>
            <w:tcW w:w="2020" w:type="dxa"/>
            <w:vMerge/>
            <w:tcBorders>
              <w:top w:val="double" w:sz="6" w:space="0" w:color="auto"/>
              <w:left w:val="nil"/>
              <w:bottom w:val="double" w:sz="6" w:space="0" w:color="000000"/>
              <w:right w:val="nil"/>
            </w:tcBorders>
            <w:vAlign w:val="center"/>
            <w:hideMark/>
          </w:tcPr>
          <w:p w14:paraId="6EB4B539" w14:textId="77777777" w:rsidR="00BC2371" w:rsidRPr="00033A3F" w:rsidRDefault="00BC2371" w:rsidP="00BC2371">
            <w:pPr>
              <w:spacing w:line="240" w:lineRule="auto"/>
              <w:jc w:val="left"/>
              <w:rPr>
                <w:rFonts w:eastAsia="Times New Roman"/>
                <w:b/>
                <w:bCs/>
                <w:color w:val="000000" w:themeColor="text1"/>
                <w:szCs w:val="24"/>
                <w:lang w:eastAsia="cs-CZ"/>
              </w:rPr>
            </w:pPr>
          </w:p>
        </w:tc>
        <w:tc>
          <w:tcPr>
            <w:tcW w:w="1949" w:type="dxa"/>
            <w:gridSpan w:val="2"/>
            <w:tcBorders>
              <w:top w:val="nil"/>
              <w:left w:val="nil"/>
              <w:bottom w:val="double" w:sz="6" w:space="0" w:color="auto"/>
              <w:right w:val="nil"/>
            </w:tcBorders>
            <w:shd w:val="clear" w:color="auto" w:fill="auto"/>
            <w:noWrap/>
            <w:vAlign w:val="center"/>
            <w:hideMark/>
          </w:tcPr>
          <w:p w14:paraId="25993F40"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84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31C3154"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noWrap/>
            <w:vAlign w:val="center"/>
            <w:hideMark/>
          </w:tcPr>
          <w:p w14:paraId="6B9D0408"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417" w:type="dxa"/>
            <w:vMerge/>
            <w:tcBorders>
              <w:top w:val="double" w:sz="6" w:space="0" w:color="auto"/>
              <w:left w:val="nil"/>
              <w:bottom w:val="double" w:sz="6" w:space="0" w:color="000000"/>
              <w:right w:val="nil"/>
            </w:tcBorders>
            <w:vAlign w:val="center"/>
            <w:hideMark/>
          </w:tcPr>
          <w:p w14:paraId="01B0A0AC" w14:textId="77777777" w:rsidR="00BC2371" w:rsidRPr="00033A3F" w:rsidRDefault="00BC2371" w:rsidP="00BC2371">
            <w:pPr>
              <w:spacing w:line="240" w:lineRule="auto"/>
              <w:jc w:val="left"/>
              <w:rPr>
                <w:rFonts w:eastAsia="Times New Roman"/>
                <w:b/>
                <w:bCs/>
                <w:color w:val="000000" w:themeColor="text1"/>
                <w:szCs w:val="24"/>
                <w:lang w:eastAsia="cs-CZ"/>
              </w:rPr>
            </w:pPr>
          </w:p>
        </w:tc>
      </w:tr>
      <w:tr w:rsidR="00033A3F" w:rsidRPr="00033A3F" w14:paraId="0BD02EF4" w14:textId="77777777" w:rsidTr="002C3E61">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4696538F"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41" w:type="dxa"/>
            <w:tcBorders>
              <w:top w:val="single" w:sz="4" w:space="0" w:color="auto"/>
              <w:left w:val="nil"/>
              <w:bottom w:val="single" w:sz="4" w:space="0" w:color="auto"/>
              <w:right w:val="nil"/>
            </w:tcBorders>
            <w:shd w:val="clear" w:color="auto" w:fill="auto"/>
            <w:noWrap/>
            <w:vAlign w:val="bottom"/>
            <w:hideMark/>
          </w:tcPr>
          <w:p w14:paraId="10108139"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50 247</w:t>
            </w:r>
          </w:p>
        </w:tc>
        <w:tc>
          <w:tcPr>
            <w:tcW w:w="708" w:type="dxa"/>
            <w:tcBorders>
              <w:top w:val="single" w:sz="4" w:space="0" w:color="auto"/>
              <w:left w:val="nil"/>
              <w:bottom w:val="single" w:sz="4" w:space="0" w:color="auto"/>
              <w:right w:val="nil"/>
            </w:tcBorders>
            <w:shd w:val="clear" w:color="auto" w:fill="auto"/>
            <w:noWrap/>
            <w:vAlign w:val="center"/>
            <w:hideMark/>
          </w:tcPr>
          <w:p w14:paraId="643A2D3D" w14:textId="2FED63E4"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34" w:type="dxa"/>
            <w:tcBorders>
              <w:top w:val="single" w:sz="4" w:space="0" w:color="auto"/>
              <w:left w:val="single" w:sz="4" w:space="0" w:color="auto"/>
              <w:bottom w:val="single" w:sz="4" w:space="0" w:color="auto"/>
              <w:right w:val="nil"/>
            </w:tcBorders>
            <w:shd w:val="clear" w:color="auto" w:fill="auto"/>
            <w:noWrap/>
            <w:vAlign w:val="bottom"/>
            <w:hideMark/>
          </w:tcPr>
          <w:p w14:paraId="26E66C95"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50 304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0E0476C" w14:textId="411DFE1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34" w:type="dxa"/>
            <w:tcBorders>
              <w:top w:val="single" w:sz="4" w:space="0" w:color="auto"/>
              <w:left w:val="nil"/>
              <w:bottom w:val="single" w:sz="4" w:space="0" w:color="auto"/>
              <w:right w:val="nil"/>
            </w:tcBorders>
            <w:shd w:val="clear" w:color="auto" w:fill="auto"/>
            <w:noWrap/>
            <w:vAlign w:val="bottom"/>
            <w:hideMark/>
          </w:tcPr>
          <w:p w14:paraId="6720FC6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1 802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77F2912" w14:textId="36A89CA8"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417" w:type="dxa"/>
            <w:tcBorders>
              <w:top w:val="nil"/>
              <w:left w:val="nil"/>
              <w:bottom w:val="single" w:sz="4" w:space="0" w:color="auto"/>
              <w:right w:val="nil"/>
            </w:tcBorders>
            <w:shd w:val="clear" w:color="auto" w:fill="auto"/>
            <w:noWrap/>
            <w:vAlign w:val="center"/>
            <w:hideMark/>
          </w:tcPr>
          <w:p w14:paraId="64577FD6" w14:textId="7D8EA1A2"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1 %</w:t>
            </w:r>
          </w:p>
        </w:tc>
      </w:tr>
      <w:tr w:rsidR="00033A3F" w:rsidRPr="00033A3F" w14:paraId="3EE0711B"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4CA603EE"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41" w:type="dxa"/>
            <w:tcBorders>
              <w:top w:val="nil"/>
              <w:left w:val="nil"/>
              <w:bottom w:val="single" w:sz="4" w:space="0" w:color="auto"/>
              <w:right w:val="nil"/>
            </w:tcBorders>
            <w:shd w:val="clear" w:color="auto" w:fill="auto"/>
            <w:noWrap/>
            <w:vAlign w:val="bottom"/>
            <w:hideMark/>
          </w:tcPr>
          <w:p w14:paraId="17F1B1A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39 861</w:t>
            </w:r>
          </w:p>
        </w:tc>
        <w:tc>
          <w:tcPr>
            <w:tcW w:w="708" w:type="dxa"/>
            <w:tcBorders>
              <w:top w:val="nil"/>
              <w:left w:val="nil"/>
              <w:bottom w:val="single" w:sz="4" w:space="0" w:color="auto"/>
              <w:right w:val="nil"/>
            </w:tcBorders>
            <w:shd w:val="clear" w:color="auto" w:fill="auto"/>
            <w:noWrap/>
            <w:vAlign w:val="center"/>
            <w:hideMark/>
          </w:tcPr>
          <w:p w14:paraId="2E38441B" w14:textId="63DBC46D"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34" w:type="dxa"/>
            <w:tcBorders>
              <w:top w:val="nil"/>
              <w:left w:val="single" w:sz="4" w:space="0" w:color="auto"/>
              <w:bottom w:val="single" w:sz="4" w:space="0" w:color="auto"/>
              <w:right w:val="nil"/>
            </w:tcBorders>
            <w:shd w:val="clear" w:color="auto" w:fill="auto"/>
            <w:noWrap/>
            <w:vAlign w:val="bottom"/>
            <w:hideMark/>
          </w:tcPr>
          <w:p w14:paraId="3F9998C0"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39 892</w:t>
            </w:r>
          </w:p>
        </w:tc>
        <w:tc>
          <w:tcPr>
            <w:tcW w:w="709" w:type="dxa"/>
            <w:tcBorders>
              <w:top w:val="nil"/>
              <w:left w:val="nil"/>
              <w:bottom w:val="single" w:sz="4" w:space="0" w:color="auto"/>
              <w:right w:val="single" w:sz="4" w:space="0" w:color="auto"/>
            </w:tcBorders>
            <w:shd w:val="clear" w:color="auto" w:fill="auto"/>
            <w:noWrap/>
            <w:vAlign w:val="center"/>
            <w:hideMark/>
          </w:tcPr>
          <w:p w14:paraId="0285C888" w14:textId="010B7E1E"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34" w:type="dxa"/>
            <w:tcBorders>
              <w:top w:val="nil"/>
              <w:left w:val="nil"/>
              <w:bottom w:val="single" w:sz="4" w:space="0" w:color="auto"/>
              <w:right w:val="nil"/>
            </w:tcBorders>
            <w:shd w:val="clear" w:color="auto" w:fill="auto"/>
            <w:noWrap/>
            <w:vAlign w:val="bottom"/>
            <w:hideMark/>
          </w:tcPr>
          <w:p w14:paraId="616AC785"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684</w:t>
            </w:r>
          </w:p>
        </w:tc>
        <w:tc>
          <w:tcPr>
            <w:tcW w:w="709" w:type="dxa"/>
            <w:tcBorders>
              <w:top w:val="nil"/>
              <w:left w:val="nil"/>
              <w:bottom w:val="single" w:sz="4" w:space="0" w:color="auto"/>
              <w:right w:val="single" w:sz="4" w:space="0" w:color="auto"/>
            </w:tcBorders>
            <w:shd w:val="clear" w:color="auto" w:fill="auto"/>
            <w:noWrap/>
            <w:vAlign w:val="center"/>
            <w:hideMark/>
          </w:tcPr>
          <w:p w14:paraId="58752969" w14:textId="30F1E352"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417" w:type="dxa"/>
            <w:tcBorders>
              <w:top w:val="nil"/>
              <w:left w:val="nil"/>
              <w:bottom w:val="single" w:sz="4" w:space="0" w:color="auto"/>
              <w:right w:val="nil"/>
            </w:tcBorders>
            <w:shd w:val="clear" w:color="auto" w:fill="auto"/>
            <w:noWrap/>
            <w:vAlign w:val="center"/>
            <w:hideMark/>
          </w:tcPr>
          <w:p w14:paraId="21C287CC" w14:textId="4AAA90E3"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1 %</w:t>
            </w:r>
          </w:p>
        </w:tc>
      </w:tr>
      <w:tr w:rsidR="00033A3F" w:rsidRPr="00033A3F" w14:paraId="2911643F"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435FE409"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41" w:type="dxa"/>
            <w:tcBorders>
              <w:top w:val="nil"/>
              <w:left w:val="nil"/>
              <w:bottom w:val="single" w:sz="4" w:space="0" w:color="auto"/>
              <w:right w:val="nil"/>
            </w:tcBorders>
            <w:shd w:val="clear" w:color="auto" w:fill="auto"/>
            <w:noWrap/>
            <w:vAlign w:val="bottom"/>
            <w:hideMark/>
          </w:tcPr>
          <w:p w14:paraId="50BC153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21 463</w:t>
            </w:r>
          </w:p>
        </w:tc>
        <w:tc>
          <w:tcPr>
            <w:tcW w:w="708" w:type="dxa"/>
            <w:tcBorders>
              <w:top w:val="nil"/>
              <w:left w:val="nil"/>
              <w:bottom w:val="single" w:sz="4" w:space="0" w:color="auto"/>
              <w:right w:val="nil"/>
            </w:tcBorders>
            <w:shd w:val="clear" w:color="auto" w:fill="auto"/>
            <w:noWrap/>
            <w:vAlign w:val="center"/>
            <w:hideMark/>
          </w:tcPr>
          <w:p w14:paraId="5A85F687" w14:textId="0C85407A"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34" w:type="dxa"/>
            <w:tcBorders>
              <w:top w:val="nil"/>
              <w:left w:val="single" w:sz="4" w:space="0" w:color="auto"/>
              <w:bottom w:val="single" w:sz="4" w:space="0" w:color="auto"/>
              <w:right w:val="nil"/>
            </w:tcBorders>
            <w:shd w:val="clear" w:color="auto" w:fill="auto"/>
            <w:noWrap/>
            <w:vAlign w:val="bottom"/>
            <w:hideMark/>
          </w:tcPr>
          <w:p w14:paraId="604F914D"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21 620</w:t>
            </w:r>
          </w:p>
        </w:tc>
        <w:tc>
          <w:tcPr>
            <w:tcW w:w="709" w:type="dxa"/>
            <w:tcBorders>
              <w:top w:val="nil"/>
              <w:left w:val="nil"/>
              <w:bottom w:val="single" w:sz="4" w:space="0" w:color="auto"/>
              <w:right w:val="single" w:sz="4" w:space="0" w:color="auto"/>
            </w:tcBorders>
            <w:shd w:val="clear" w:color="auto" w:fill="auto"/>
            <w:noWrap/>
            <w:vAlign w:val="center"/>
            <w:hideMark/>
          </w:tcPr>
          <w:p w14:paraId="67862544" w14:textId="6F07489B"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134" w:type="dxa"/>
            <w:tcBorders>
              <w:top w:val="nil"/>
              <w:left w:val="nil"/>
              <w:bottom w:val="single" w:sz="4" w:space="0" w:color="auto"/>
              <w:right w:val="nil"/>
            </w:tcBorders>
            <w:shd w:val="clear" w:color="auto" w:fill="auto"/>
            <w:noWrap/>
            <w:vAlign w:val="bottom"/>
            <w:hideMark/>
          </w:tcPr>
          <w:p w14:paraId="205089EE"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557</w:t>
            </w:r>
          </w:p>
        </w:tc>
        <w:tc>
          <w:tcPr>
            <w:tcW w:w="709" w:type="dxa"/>
            <w:tcBorders>
              <w:top w:val="nil"/>
              <w:left w:val="nil"/>
              <w:bottom w:val="single" w:sz="4" w:space="0" w:color="auto"/>
              <w:right w:val="single" w:sz="4" w:space="0" w:color="auto"/>
            </w:tcBorders>
            <w:shd w:val="clear" w:color="auto" w:fill="auto"/>
            <w:noWrap/>
            <w:vAlign w:val="center"/>
            <w:hideMark/>
          </w:tcPr>
          <w:p w14:paraId="4CC83C56" w14:textId="05795CAC"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417" w:type="dxa"/>
            <w:tcBorders>
              <w:top w:val="nil"/>
              <w:left w:val="nil"/>
              <w:bottom w:val="single" w:sz="4" w:space="0" w:color="auto"/>
              <w:right w:val="nil"/>
            </w:tcBorders>
            <w:shd w:val="clear" w:color="auto" w:fill="auto"/>
            <w:noWrap/>
            <w:vAlign w:val="center"/>
            <w:hideMark/>
          </w:tcPr>
          <w:p w14:paraId="38BF9705" w14:textId="1BE4D76D"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7 %</w:t>
            </w:r>
          </w:p>
        </w:tc>
      </w:tr>
      <w:tr w:rsidR="00033A3F" w:rsidRPr="00033A3F" w14:paraId="242218BE"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1B3F9F07"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41" w:type="dxa"/>
            <w:tcBorders>
              <w:top w:val="nil"/>
              <w:left w:val="nil"/>
              <w:bottom w:val="single" w:sz="4" w:space="0" w:color="auto"/>
              <w:right w:val="nil"/>
            </w:tcBorders>
            <w:shd w:val="clear" w:color="auto" w:fill="auto"/>
            <w:noWrap/>
            <w:vAlign w:val="bottom"/>
            <w:hideMark/>
          </w:tcPr>
          <w:p w14:paraId="72C496B9"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32 142</w:t>
            </w:r>
          </w:p>
        </w:tc>
        <w:tc>
          <w:tcPr>
            <w:tcW w:w="708" w:type="dxa"/>
            <w:tcBorders>
              <w:top w:val="nil"/>
              <w:left w:val="nil"/>
              <w:bottom w:val="single" w:sz="4" w:space="0" w:color="auto"/>
              <w:right w:val="nil"/>
            </w:tcBorders>
            <w:shd w:val="clear" w:color="auto" w:fill="auto"/>
            <w:noWrap/>
            <w:vAlign w:val="center"/>
            <w:hideMark/>
          </w:tcPr>
          <w:p w14:paraId="7AD72679" w14:textId="3529392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34" w:type="dxa"/>
            <w:tcBorders>
              <w:top w:val="nil"/>
              <w:left w:val="single" w:sz="4" w:space="0" w:color="auto"/>
              <w:bottom w:val="single" w:sz="4" w:space="0" w:color="auto"/>
              <w:right w:val="nil"/>
            </w:tcBorders>
            <w:shd w:val="clear" w:color="auto" w:fill="auto"/>
            <w:noWrap/>
            <w:vAlign w:val="bottom"/>
            <w:hideMark/>
          </w:tcPr>
          <w:p w14:paraId="2AEBE61F"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32 138</w:t>
            </w:r>
          </w:p>
        </w:tc>
        <w:tc>
          <w:tcPr>
            <w:tcW w:w="709" w:type="dxa"/>
            <w:tcBorders>
              <w:top w:val="nil"/>
              <w:left w:val="nil"/>
              <w:bottom w:val="single" w:sz="4" w:space="0" w:color="auto"/>
              <w:right w:val="single" w:sz="4" w:space="0" w:color="auto"/>
            </w:tcBorders>
            <w:shd w:val="clear" w:color="auto" w:fill="auto"/>
            <w:noWrap/>
            <w:vAlign w:val="center"/>
            <w:hideMark/>
          </w:tcPr>
          <w:p w14:paraId="36E7F7F9" w14:textId="09817A3D"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34" w:type="dxa"/>
            <w:tcBorders>
              <w:top w:val="nil"/>
              <w:left w:val="nil"/>
              <w:bottom w:val="single" w:sz="4" w:space="0" w:color="auto"/>
              <w:right w:val="nil"/>
            </w:tcBorders>
            <w:shd w:val="clear" w:color="auto" w:fill="auto"/>
            <w:noWrap/>
            <w:vAlign w:val="bottom"/>
            <w:hideMark/>
          </w:tcPr>
          <w:p w14:paraId="7C20D495"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787</w:t>
            </w:r>
          </w:p>
        </w:tc>
        <w:tc>
          <w:tcPr>
            <w:tcW w:w="709" w:type="dxa"/>
            <w:tcBorders>
              <w:top w:val="nil"/>
              <w:left w:val="nil"/>
              <w:bottom w:val="single" w:sz="4" w:space="0" w:color="auto"/>
              <w:right w:val="single" w:sz="4" w:space="0" w:color="auto"/>
            </w:tcBorders>
            <w:shd w:val="clear" w:color="auto" w:fill="auto"/>
            <w:noWrap/>
            <w:vAlign w:val="center"/>
            <w:hideMark/>
          </w:tcPr>
          <w:p w14:paraId="12886320" w14:textId="473B221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417" w:type="dxa"/>
            <w:tcBorders>
              <w:top w:val="nil"/>
              <w:left w:val="nil"/>
              <w:bottom w:val="single" w:sz="4" w:space="0" w:color="auto"/>
              <w:right w:val="nil"/>
            </w:tcBorders>
            <w:shd w:val="clear" w:color="auto" w:fill="auto"/>
            <w:noWrap/>
            <w:vAlign w:val="center"/>
            <w:hideMark/>
          </w:tcPr>
          <w:p w14:paraId="154F7401" w14:textId="4296D0F3"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7327AD7A"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4B1BE459"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41" w:type="dxa"/>
            <w:tcBorders>
              <w:top w:val="nil"/>
              <w:left w:val="nil"/>
              <w:bottom w:val="single" w:sz="4" w:space="0" w:color="auto"/>
              <w:right w:val="nil"/>
            </w:tcBorders>
            <w:shd w:val="clear" w:color="auto" w:fill="auto"/>
            <w:noWrap/>
            <w:vAlign w:val="bottom"/>
            <w:hideMark/>
          </w:tcPr>
          <w:p w14:paraId="0814146F"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55 491</w:t>
            </w:r>
          </w:p>
        </w:tc>
        <w:tc>
          <w:tcPr>
            <w:tcW w:w="708" w:type="dxa"/>
            <w:tcBorders>
              <w:top w:val="nil"/>
              <w:left w:val="nil"/>
              <w:bottom w:val="single" w:sz="4" w:space="0" w:color="auto"/>
              <w:right w:val="nil"/>
            </w:tcBorders>
            <w:shd w:val="clear" w:color="auto" w:fill="auto"/>
            <w:noWrap/>
            <w:vAlign w:val="center"/>
            <w:hideMark/>
          </w:tcPr>
          <w:p w14:paraId="0560A199" w14:textId="2EDACDE6"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134" w:type="dxa"/>
            <w:tcBorders>
              <w:top w:val="nil"/>
              <w:left w:val="single" w:sz="4" w:space="0" w:color="auto"/>
              <w:bottom w:val="single" w:sz="4" w:space="0" w:color="auto"/>
              <w:right w:val="nil"/>
            </w:tcBorders>
            <w:shd w:val="clear" w:color="auto" w:fill="auto"/>
            <w:noWrap/>
            <w:vAlign w:val="bottom"/>
            <w:hideMark/>
          </w:tcPr>
          <w:p w14:paraId="672411B1"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55 950</w:t>
            </w:r>
          </w:p>
        </w:tc>
        <w:tc>
          <w:tcPr>
            <w:tcW w:w="709" w:type="dxa"/>
            <w:tcBorders>
              <w:top w:val="nil"/>
              <w:left w:val="nil"/>
              <w:bottom w:val="single" w:sz="4" w:space="0" w:color="auto"/>
              <w:right w:val="single" w:sz="4" w:space="0" w:color="auto"/>
            </w:tcBorders>
            <w:shd w:val="clear" w:color="auto" w:fill="auto"/>
            <w:noWrap/>
            <w:vAlign w:val="center"/>
            <w:hideMark/>
          </w:tcPr>
          <w:p w14:paraId="6DC7AC75" w14:textId="1B19BF4F"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34" w:type="dxa"/>
            <w:tcBorders>
              <w:top w:val="nil"/>
              <w:left w:val="nil"/>
              <w:bottom w:val="single" w:sz="4" w:space="0" w:color="auto"/>
              <w:right w:val="nil"/>
            </w:tcBorders>
            <w:shd w:val="clear" w:color="auto" w:fill="auto"/>
            <w:noWrap/>
            <w:vAlign w:val="bottom"/>
            <w:hideMark/>
          </w:tcPr>
          <w:p w14:paraId="202FF9B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2 168</w:t>
            </w:r>
          </w:p>
        </w:tc>
        <w:tc>
          <w:tcPr>
            <w:tcW w:w="709" w:type="dxa"/>
            <w:tcBorders>
              <w:top w:val="nil"/>
              <w:left w:val="nil"/>
              <w:bottom w:val="single" w:sz="4" w:space="0" w:color="auto"/>
              <w:right w:val="single" w:sz="4" w:space="0" w:color="auto"/>
            </w:tcBorders>
            <w:shd w:val="clear" w:color="auto" w:fill="auto"/>
            <w:noWrap/>
            <w:vAlign w:val="center"/>
            <w:hideMark/>
          </w:tcPr>
          <w:p w14:paraId="6B8AD86F" w14:textId="45CCE98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417" w:type="dxa"/>
            <w:tcBorders>
              <w:top w:val="nil"/>
              <w:left w:val="nil"/>
              <w:bottom w:val="single" w:sz="4" w:space="0" w:color="auto"/>
              <w:right w:val="nil"/>
            </w:tcBorders>
            <w:shd w:val="clear" w:color="auto" w:fill="auto"/>
            <w:noWrap/>
            <w:vAlign w:val="center"/>
            <w:hideMark/>
          </w:tcPr>
          <w:p w14:paraId="489E120F" w14:textId="6126CF5B"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033A3F" w:rsidRPr="00033A3F" w14:paraId="09FEFA64"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54370DF7"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41" w:type="dxa"/>
            <w:tcBorders>
              <w:top w:val="nil"/>
              <w:left w:val="nil"/>
              <w:bottom w:val="single" w:sz="4" w:space="0" w:color="auto"/>
              <w:right w:val="nil"/>
            </w:tcBorders>
            <w:shd w:val="clear" w:color="auto" w:fill="auto"/>
            <w:noWrap/>
            <w:vAlign w:val="bottom"/>
            <w:hideMark/>
          </w:tcPr>
          <w:p w14:paraId="5F1FA541"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31 466</w:t>
            </w:r>
          </w:p>
        </w:tc>
        <w:tc>
          <w:tcPr>
            <w:tcW w:w="708" w:type="dxa"/>
            <w:tcBorders>
              <w:top w:val="nil"/>
              <w:left w:val="nil"/>
              <w:bottom w:val="single" w:sz="4" w:space="0" w:color="auto"/>
              <w:right w:val="nil"/>
            </w:tcBorders>
            <w:shd w:val="clear" w:color="auto" w:fill="auto"/>
            <w:noWrap/>
            <w:vAlign w:val="center"/>
            <w:hideMark/>
          </w:tcPr>
          <w:p w14:paraId="5C13975D" w14:textId="28EDB99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34" w:type="dxa"/>
            <w:tcBorders>
              <w:top w:val="nil"/>
              <w:left w:val="single" w:sz="4" w:space="0" w:color="auto"/>
              <w:bottom w:val="single" w:sz="4" w:space="0" w:color="auto"/>
              <w:right w:val="nil"/>
            </w:tcBorders>
            <w:shd w:val="clear" w:color="auto" w:fill="auto"/>
            <w:noWrap/>
            <w:vAlign w:val="bottom"/>
            <w:hideMark/>
          </w:tcPr>
          <w:p w14:paraId="76A2A213"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31 778</w:t>
            </w:r>
          </w:p>
        </w:tc>
        <w:tc>
          <w:tcPr>
            <w:tcW w:w="709" w:type="dxa"/>
            <w:tcBorders>
              <w:top w:val="nil"/>
              <w:left w:val="nil"/>
              <w:bottom w:val="single" w:sz="4" w:space="0" w:color="auto"/>
              <w:right w:val="single" w:sz="4" w:space="0" w:color="auto"/>
            </w:tcBorders>
            <w:shd w:val="clear" w:color="auto" w:fill="auto"/>
            <w:noWrap/>
            <w:vAlign w:val="center"/>
            <w:hideMark/>
          </w:tcPr>
          <w:p w14:paraId="5830A431" w14:textId="42F4AB8B"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34" w:type="dxa"/>
            <w:tcBorders>
              <w:top w:val="nil"/>
              <w:left w:val="nil"/>
              <w:bottom w:val="single" w:sz="4" w:space="0" w:color="auto"/>
              <w:right w:val="nil"/>
            </w:tcBorders>
            <w:shd w:val="clear" w:color="auto" w:fill="auto"/>
            <w:noWrap/>
            <w:vAlign w:val="bottom"/>
            <w:hideMark/>
          </w:tcPr>
          <w:p w14:paraId="5D17DE37"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470</w:t>
            </w:r>
          </w:p>
        </w:tc>
        <w:tc>
          <w:tcPr>
            <w:tcW w:w="709" w:type="dxa"/>
            <w:tcBorders>
              <w:top w:val="nil"/>
              <w:left w:val="nil"/>
              <w:bottom w:val="single" w:sz="4" w:space="0" w:color="auto"/>
              <w:right w:val="single" w:sz="4" w:space="0" w:color="auto"/>
            </w:tcBorders>
            <w:shd w:val="clear" w:color="auto" w:fill="auto"/>
            <w:noWrap/>
            <w:vAlign w:val="center"/>
            <w:hideMark/>
          </w:tcPr>
          <w:p w14:paraId="77B4CBD4" w14:textId="3F65D25B"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-40 %</w:t>
            </w:r>
          </w:p>
        </w:tc>
        <w:tc>
          <w:tcPr>
            <w:tcW w:w="1417" w:type="dxa"/>
            <w:tcBorders>
              <w:top w:val="nil"/>
              <w:left w:val="nil"/>
              <w:bottom w:val="single" w:sz="4" w:space="0" w:color="auto"/>
              <w:right w:val="nil"/>
            </w:tcBorders>
            <w:shd w:val="clear" w:color="auto" w:fill="auto"/>
            <w:noWrap/>
            <w:vAlign w:val="center"/>
            <w:hideMark/>
          </w:tcPr>
          <w:p w14:paraId="6DFC7AC6" w14:textId="4043C540"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24E9914F"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15D87691"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41" w:type="dxa"/>
            <w:tcBorders>
              <w:top w:val="nil"/>
              <w:left w:val="nil"/>
              <w:bottom w:val="single" w:sz="4" w:space="0" w:color="auto"/>
              <w:right w:val="nil"/>
            </w:tcBorders>
            <w:shd w:val="clear" w:color="auto" w:fill="auto"/>
            <w:noWrap/>
            <w:vAlign w:val="bottom"/>
            <w:hideMark/>
          </w:tcPr>
          <w:p w14:paraId="2C4960E8"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47 307</w:t>
            </w:r>
          </w:p>
        </w:tc>
        <w:tc>
          <w:tcPr>
            <w:tcW w:w="708" w:type="dxa"/>
            <w:tcBorders>
              <w:top w:val="nil"/>
              <w:left w:val="nil"/>
              <w:bottom w:val="single" w:sz="4" w:space="0" w:color="auto"/>
              <w:right w:val="nil"/>
            </w:tcBorders>
            <w:shd w:val="clear" w:color="auto" w:fill="auto"/>
            <w:noWrap/>
            <w:vAlign w:val="center"/>
            <w:hideMark/>
          </w:tcPr>
          <w:p w14:paraId="16178205" w14:textId="02F2FA13"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34" w:type="dxa"/>
            <w:tcBorders>
              <w:top w:val="nil"/>
              <w:left w:val="single" w:sz="4" w:space="0" w:color="auto"/>
              <w:bottom w:val="single" w:sz="4" w:space="0" w:color="auto"/>
              <w:right w:val="nil"/>
            </w:tcBorders>
            <w:shd w:val="clear" w:color="auto" w:fill="auto"/>
            <w:noWrap/>
            <w:vAlign w:val="bottom"/>
            <w:hideMark/>
          </w:tcPr>
          <w:p w14:paraId="1EE3B636"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47 225</w:t>
            </w:r>
          </w:p>
        </w:tc>
        <w:tc>
          <w:tcPr>
            <w:tcW w:w="709" w:type="dxa"/>
            <w:tcBorders>
              <w:top w:val="nil"/>
              <w:left w:val="nil"/>
              <w:bottom w:val="single" w:sz="4" w:space="0" w:color="auto"/>
              <w:right w:val="single" w:sz="4" w:space="0" w:color="auto"/>
            </w:tcBorders>
            <w:shd w:val="clear" w:color="auto" w:fill="auto"/>
            <w:noWrap/>
            <w:vAlign w:val="center"/>
            <w:hideMark/>
          </w:tcPr>
          <w:p w14:paraId="20D1F888" w14:textId="3E706BDE"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34" w:type="dxa"/>
            <w:tcBorders>
              <w:top w:val="nil"/>
              <w:left w:val="nil"/>
              <w:bottom w:val="single" w:sz="4" w:space="0" w:color="auto"/>
              <w:right w:val="nil"/>
            </w:tcBorders>
            <w:shd w:val="clear" w:color="auto" w:fill="auto"/>
            <w:noWrap/>
            <w:vAlign w:val="bottom"/>
            <w:hideMark/>
          </w:tcPr>
          <w:p w14:paraId="323834C0"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4 171</w:t>
            </w:r>
          </w:p>
        </w:tc>
        <w:tc>
          <w:tcPr>
            <w:tcW w:w="709" w:type="dxa"/>
            <w:tcBorders>
              <w:top w:val="nil"/>
              <w:left w:val="nil"/>
              <w:bottom w:val="single" w:sz="4" w:space="0" w:color="auto"/>
              <w:right w:val="single" w:sz="4" w:space="0" w:color="auto"/>
            </w:tcBorders>
            <w:shd w:val="clear" w:color="auto" w:fill="auto"/>
            <w:noWrap/>
            <w:vAlign w:val="center"/>
            <w:hideMark/>
          </w:tcPr>
          <w:p w14:paraId="314C7E32" w14:textId="79E6E9A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417" w:type="dxa"/>
            <w:tcBorders>
              <w:top w:val="nil"/>
              <w:left w:val="nil"/>
              <w:bottom w:val="single" w:sz="4" w:space="0" w:color="auto"/>
              <w:right w:val="nil"/>
            </w:tcBorders>
            <w:shd w:val="clear" w:color="auto" w:fill="auto"/>
            <w:noWrap/>
            <w:vAlign w:val="center"/>
            <w:hideMark/>
          </w:tcPr>
          <w:p w14:paraId="5E9212D6" w14:textId="2A9DCF5C"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033A3F" w:rsidRPr="00033A3F" w14:paraId="0FC1BE56" w14:textId="77777777" w:rsidTr="002C3E61">
        <w:trPr>
          <w:trHeight w:val="330"/>
        </w:trPr>
        <w:tc>
          <w:tcPr>
            <w:tcW w:w="2020" w:type="dxa"/>
            <w:tcBorders>
              <w:top w:val="nil"/>
              <w:left w:val="nil"/>
              <w:bottom w:val="double" w:sz="6" w:space="0" w:color="auto"/>
              <w:right w:val="nil"/>
            </w:tcBorders>
            <w:shd w:val="clear" w:color="auto" w:fill="auto"/>
            <w:noWrap/>
            <w:vAlign w:val="bottom"/>
            <w:hideMark/>
          </w:tcPr>
          <w:p w14:paraId="2F7836F4"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41" w:type="dxa"/>
            <w:tcBorders>
              <w:top w:val="nil"/>
              <w:left w:val="nil"/>
              <w:bottom w:val="double" w:sz="6" w:space="0" w:color="auto"/>
              <w:right w:val="nil"/>
            </w:tcBorders>
            <w:shd w:val="clear" w:color="auto" w:fill="auto"/>
            <w:noWrap/>
            <w:vAlign w:val="bottom"/>
            <w:hideMark/>
          </w:tcPr>
          <w:p w14:paraId="31E0EB69"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55 558</w:t>
            </w:r>
          </w:p>
        </w:tc>
        <w:tc>
          <w:tcPr>
            <w:tcW w:w="708" w:type="dxa"/>
            <w:tcBorders>
              <w:top w:val="nil"/>
              <w:left w:val="nil"/>
              <w:bottom w:val="double" w:sz="6" w:space="0" w:color="auto"/>
              <w:right w:val="nil"/>
            </w:tcBorders>
            <w:shd w:val="clear" w:color="auto" w:fill="auto"/>
            <w:noWrap/>
            <w:vAlign w:val="center"/>
            <w:hideMark/>
          </w:tcPr>
          <w:p w14:paraId="1CB3DA89" w14:textId="0328B84B"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134" w:type="dxa"/>
            <w:tcBorders>
              <w:top w:val="nil"/>
              <w:left w:val="single" w:sz="4" w:space="0" w:color="auto"/>
              <w:bottom w:val="double" w:sz="6" w:space="0" w:color="auto"/>
              <w:right w:val="nil"/>
            </w:tcBorders>
            <w:shd w:val="clear" w:color="auto" w:fill="auto"/>
            <w:noWrap/>
            <w:vAlign w:val="bottom"/>
            <w:hideMark/>
          </w:tcPr>
          <w:p w14:paraId="3AD386DF"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57 753</w:t>
            </w:r>
          </w:p>
        </w:tc>
        <w:tc>
          <w:tcPr>
            <w:tcW w:w="709" w:type="dxa"/>
            <w:tcBorders>
              <w:top w:val="nil"/>
              <w:left w:val="nil"/>
              <w:bottom w:val="double" w:sz="6" w:space="0" w:color="auto"/>
              <w:right w:val="single" w:sz="4" w:space="0" w:color="auto"/>
            </w:tcBorders>
            <w:shd w:val="clear" w:color="auto" w:fill="auto"/>
            <w:noWrap/>
            <w:vAlign w:val="center"/>
            <w:hideMark/>
          </w:tcPr>
          <w:p w14:paraId="5FE9EF54" w14:textId="4C32CDBE"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-20 %</w:t>
            </w:r>
          </w:p>
        </w:tc>
        <w:tc>
          <w:tcPr>
            <w:tcW w:w="1134" w:type="dxa"/>
            <w:tcBorders>
              <w:top w:val="nil"/>
              <w:left w:val="nil"/>
              <w:bottom w:val="double" w:sz="6" w:space="0" w:color="auto"/>
              <w:right w:val="nil"/>
            </w:tcBorders>
            <w:shd w:val="clear" w:color="auto" w:fill="auto"/>
            <w:noWrap/>
            <w:vAlign w:val="bottom"/>
            <w:hideMark/>
          </w:tcPr>
          <w:p w14:paraId="2C8F4CF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2 233</w:t>
            </w:r>
          </w:p>
        </w:tc>
        <w:tc>
          <w:tcPr>
            <w:tcW w:w="709" w:type="dxa"/>
            <w:tcBorders>
              <w:top w:val="nil"/>
              <w:left w:val="nil"/>
              <w:bottom w:val="double" w:sz="6" w:space="0" w:color="auto"/>
              <w:right w:val="single" w:sz="4" w:space="0" w:color="auto"/>
            </w:tcBorders>
            <w:shd w:val="clear" w:color="auto" w:fill="auto"/>
            <w:noWrap/>
            <w:vAlign w:val="center"/>
            <w:hideMark/>
          </w:tcPr>
          <w:p w14:paraId="1087BB2E" w14:textId="540BCA37"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-50 %</w:t>
            </w:r>
          </w:p>
        </w:tc>
        <w:tc>
          <w:tcPr>
            <w:tcW w:w="1417" w:type="dxa"/>
            <w:tcBorders>
              <w:top w:val="nil"/>
              <w:left w:val="nil"/>
              <w:bottom w:val="nil"/>
              <w:right w:val="nil"/>
            </w:tcBorders>
            <w:shd w:val="clear" w:color="auto" w:fill="auto"/>
            <w:noWrap/>
            <w:vAlign w:val="center"/>
            <w:hideMark/>
          </w:tcPr>
          <w:p w14:paraId="42249054" w14:textId="635988CE"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104</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5E7C725D" w14:textId="77777777" w:rsidTr="002C3E61">
        <w:trPr>
          <w:trHeight w:val="345"/>
        </w:trPr>
        <w:tc>
          <w:tcPr>
            <w:tcW w:w="2020" w:type="dxa"/>
            <w:tcBorders>
              <w:top w:val="nil"/>
              <w:left w:val="nil"/>
              <w:bottom w:val="double" w:sz="6" w:space="0" w:color="auto"/>
              <w:right w:val="nil"/>
            </w:tcBorders>
            <w:shd w:val="clear" w:color="auto" w:fill="auto"/>
            <w:noWrap/>
            <w:vAlign w:val="bottom"/>
            <w:hideMark/>
          </w:tcPr>
          <w:p w14:paraId="16AF983A" w14:textId="77777777" w:rsidR="00BC2371" w:rsidRPr="00033A3F" w:rsidRDefault="00BC2371" w:rsidP="00BC237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41" w:type="dxa"/>
            <w:tcBorders>
              <w:top w:val="nil"/>
              <w:left w:val="nil"/>
              <w:bottom w:val="double" w:sz="6" w:space="0" w:color="auto"/>
              <w:right w:val="nil"/>
            </w:tcBorders>
            <w:shd w:val="clear" w:color="auto" w:fill="auto"/>
            <w:noWrap/>
            <w:vAlign w:val="bottom"/>
            <w:hideMark/>
          </w:tcPr>
          <w:p w14:paraId="696F9846"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333 535</w:t>
            </w:r>
          </w:p>
        </w:tc>
        <w:tc>
          <w:tcPr>
            <w:tcW w:w="708" w:type="dxa"/>
            <w:tcBorders>
              <w:top w:val="nil"/>
              <w:left w:val="nil"/>
              <w:bottom w:val="double" w:sz="6" w:space="0" w:color="auto"/>
              <w:right w:val="nil"/>
            </w:tcBorders>
            <w:shd w:val="clear" w:color="auto" w:fill="auto"/>
            <w:noWrap/>
            <w:vAlign w:val="center"/>
            <w:hideMark/>
          </w:tcPr>
          <w:p w14:paraId="79319FE6" w14:textId="7CE22518" w:rsidR="00BC2371" w:rsidRPr="00033A3F" w:rsidRDefault="00BC2371" w:rsidP="00BC2371">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134" w:type="dxa"/>
            <w:tcBorders>
              <w:top w:val="nil"/>
              <w:left w:val="single" w:sz="4" w:space="0" w:color="auto"/>
              <w:bottom w:val="double" w:sz="6" w:space="0" w:color="auto"/>
              <w:right w:val="nil"/>
            </w:tcBorders>
            <w:shd w:val="clear" w:color="auto" w:fill="auto"/>
            <w:noWrap/>
            <w:vAlign w:val="bottom"/>
            <w:hideMark/>
          </w:tcPr>
          <w:p w14:paraId="7FD03F06"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336 660</w:t>
            </w:r>
          </w:p>
        </w:tc>
        <w:tc>
          <w:tcPr>
            <w:tcW w:w="709" w:type="dxa"/>
            <w:tcBorders>
              <w:top w:val="nil"/>
              <w:left w:val="nil"/>
              <w:bottom w:val="double" w:sz="6" w:space="0" w:color="auto"/>
              <w:right w:val="single" w:sz="4" w:space="0" w:color="auto"/>
            </w:tcBorders>
            <w:shd w:val="clear" w:color="auto" w:fill="auto"/>
            <w:noWrap/>
            <w:vAlign w:val="center"/>
            <w:hideMark/>
          </w:tcPr>
          <w:p w14:paraId="730ECEC6" w14:textId="0AB5F6E5" w:rsidR="00BC2371" w:rsidRPr="00033A3F" w:rsidRDefault="00BC2371" w:rsidP="00BC2371">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134" w:type="dxa"/>
            <w:tcBorders>
              <w:top w:val="nil"/>
              <w:left w:val="nil"/>
              <w:bottom w:val="double" w:sz="6" w:space="0" w:color="auto"/>
              <w:right w:val="nil"/>
            </w:tcBorders>
            <w:shd w:val="clear" w:color="auto" w:fill="auto"/>
            <w:noWrap/>
            <w:vAlign w:val="bottom"/>
            <w:hideMark/>
          </w:tcPr>
          <w:p w14:paraId="1A1F7D0A"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12 872</w:t>
            </w:r>
          </w:p>
        </w:tc>
        <w:tc>
          <w:tcPr>
            <w:tcW w:w="709" w:type="dxa"/>
            <w:tcBorders>
              <w:top w:val="nil"/>
              <w:left w:val="nil"/>
              <w:bottom w:val="double" w:sz="6" w:space="0" w:color="auto"/>
              <w:right w:val="single" w:sz="4" w:space="0" w:color="auto"/>
            </w:tcBorders>
            <w:shd w:val="clear" w:color="auto" w:fill="auto"/>
            <w:noWrap/>
            <w:vAlign w:val="center"/>
            <w:hideMark/>
          </w:tcPr>
          <w:p w14:paraId="450CACE4" w14:textId="01CD5556" w:rsidR="00BC2371" w:rsidRPr="00033A3F" w:rsidRDefault="00BC2371" w:rsidP="00BC2371">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-19 %</w:t>
            </w:r>
          </w:p>
        </w:tc>
        <w:tc>
          <w:tcPr>
            <w:tcW w:w="1417" w:type="dxa"/>
            <w:tcBorders>
              <w:top w:val="double" w:sz="6" w:space="0" w:color="auto"/>
              <w:left w:val="nil"/>
              <w:bottom w:val="double" w:sz="6" w:space="0" w:color="auto"/>
              <w:right w:val="nil"/>
            </w:tcBorders>
            <w:shd w:val="clear" w:color="auto" w:fill="auto"/>
            <w:noWrap/>
            <w:vAlign w:val="center"/>
            <w:hideMark/>
          </w:tcPr>
          <w:p w14:paraId="125192E1" w14:textId="3D4F62D0"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100</w:t>
            </w:r>
            <w:r w:rsidR="00327519"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9 %</w:t>
            </w:r>
          </w:p>
        </w:tc>
      </w:tr>
    </w:tbl>
    <w:p w14:paraId="444642A9" w14:textId="44C86D29" w:rsidR="00AC75EB" w:rsidRPr="00033A3F" w:rsidRDefault="00620C6E" w:rsidP="00620C6E">
      <w:pPr>
        <w:pStyle w:val="Nadpis3"/>
        <w:numPr>
          <w:ilvl w:val="2"/>
          <w:numId w:val="1"/>
        </w:numPr>
        <w:rPr>
          <w:color w:val="000000" w:themeColor="text1"/>
        </w:rPr>
      </w:pPr>
      <w:bookmarkStart w:id="465" w:name="_Toc75952065"/>
      <w:bookmarkStart w:id="466" w:name="_Toc106092726"/>
      <w:bookmarkStart w:id="467" w:name="_Toc144104347"/>
      <w:bookmarkStart w:id="468" w:name="_Toc169250810"/>
      <w:bookmarkStart w:id="469" w:name="_Toc193530971"/>
      <w:bookmarkStart w:id="470" w:name="_Toc193957028"/>
      <w:bookmarkStart w:id="471" w:name="_Toc203032718"/>
      <w:r w:rsidRPr="00033A3F">
        <w:rPr>
          <w:color w:val="000000" w:themeColor="text1"/>
        </w:rPr>
        <w:t>Další statistiky</w:t>
      </w:r>
      <w:bookmarkEnd w:id="465"/>
      <w:bookmarkEnd w:id="466"/>
      <w:bookmarkEnd w:id="467"/>
      <w:bookmarkEnd w:id="468"/>
      <w:bookmarkEnd w:id="469"/>
      <w:bookmarkEnd w:id="470"/>
      <w:bookmarkEnd w:id="471"/>
    </w:p>
    <w:p w14:paraId="2DB92F66" w14:textId="71AD2552" w:rsidR="00BC2371" w:rsidRPr="00033A3F" w:rsidRDefault="00BC2371" w:rsidP="00BC2371">
      <w:pPr>
        <w:pStyle w:val="OdstavecASR"/>
        <w:rPr>
          <w:color w:val="000000" w:themeColor="text1"/>
        </w:rPr>
      </w:pPr>
      <w:r w:rsidRPr="00033A3F">
        <w:rPr>
          <w:color w:val="000000" w:themeColor="text1"/>
        </w:rPr>
        <w:t xml:space="preserve">Velkou část civilních věcí tvoří spory o úhradu dlužné částky (např. neuhrazené pojistné, neuhrazené vyúčtování za spotřebovanou energii, neuhrazené jízdné včetně přirážky k jízdnému za přepravu bez platného jízdního dokladu, neuhrazené splatné pohledávky ze smluv o úvěru apod.), přičemž většina těchto sporů byla právě převedena z rejstříku EPR. V této kapitole tedy zodpovíme otázku, kolik věcí je vlastně z rejstříku EPR převedeno do rejstříku C, </w:t>
      </w:r>
      <w:r w:rsidR="00E30B63" w:rsidRPr="00033A3F">
        <w:rPr>
          <w:color w:val="000000" w:themeColor="text1"/>
        </w:rPr>
        <w:t>tedy</w:t>
      </w:r>
      <w:r w:rsidRPr="00033A3F">
        <w:rPr>
          <w:color w:val="000000" w:themeColor="text1"/>
        </w:rPr>
        <w:t xml:space="preserve"> v jaké míře se soudům nepodařilo věc vyřídit jednoduše elektronickým platebním rozkazem, ale muselo proběhnout klasické civilní řízení. Opět uvádíme časové řady za celou ČR a průřezová data po krajích za rok 2024.</w:t>
      </w:r>
    </w:p>
    <w:p w14:paraId="345C1FB7" w14:textId="65B89AED" w:rsidR="00BC2371" w:rsidRPr="00033A3F" w:rsidRDefault="00BC2371" w:rsidP="00BC2371">
      <w:pPr>
        <w:pStyle w:val="Podnadpis"/>
        <w:numPr>
          <w:ilvl w:val="0"/>
          <w:numId w:val="0"/>
        </w:numPr>
        <w:rPr>
          <w:color w:val="000000" w:themeColor="text1"/>
        </w:rPr>
      </w:pPr>
      <w:bookmarkStart w:id="472" w:name="_Toc144104131"/>
      <w:bookmarkStart w:id="473" w:name="_Toc169250939"/>
      <w:bookmarkStart w:id="474" w:name="_Toc174080625"/>
      <w:bookmarkStart w:id="475" w:name="_Toc193530777"/>
      <w:bookmarkStart w:id="476" w:name="_Toc193634051"/>
      <w:bookmarkStart w:id="477" w:name="_Toc203032849"/>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22</w:t>
      </w:r>
      <w:r w:rsidRPr="00033A3F">
        <w:rPr>
          <w:color w:val="000000" w:themeColor="text1"/>
        </w:rPr>
        <w:fldChar w:fldCharType="end"/>
      </w:r>
      <w:r w:rsidRPr="00033A3F">
        <w:rPr>
          <w:color w:val="000000" w:themeColor="text1"/>
        </w:rPr>
        <w:t>: OS – převedeno z rejstříku EPR v letech 2015–202</w:t>
      </w:r>
      <w:bookmarkEnd w:id="472"/>
      <w:bookmarkEnd w:id="473"/>
      <w:bookmarkEnd w:id="474"/>
      <w:r w:rsidRPr="00033A3F">
        <w:rPr>
          <w:color w:val="000000" w:themeColor="text1"/>
        </w:rPr>
        <w:t>4</w:t>
      </w:r>
      <w:bookmarkEnd w:id="475"/>
      <w:bookmarkEnd w:id="476"/>
      <w:bookmarkEnd w:id="477"/>
    </w:p>
    <w:p w14:paraId="7EA32051" w14:textId="602713D9" w:rsidR="00BC2371" w:rsidRPr="00033A3F" w:rsidRDefault="00BC2371">
      <w:pPr>
        <w:spacing w:after="160" w:line="259" w:lineRule="auto"/>
        <w:jc w:val="left"/>
        <w:rPr>
          <w:color w:val="000000" w:themeColor="text1"/>
        </w:rPr>
      </w:pPr>
      <w:r w:rsidRPr="00033A3F">
        <w:rPr>
          <w:noProof/>
          <w:color w:val="000000" w:themeColor="text1"/>
          <w:lang w:eastAsia="cs-CZ"/>
        </w:rPr>
        <w:drawing>
          <wp:inline distT="0" distB="0" distL="0" distR="0" wp14:anchorId="31B88838" wp14:editId="5FCDDED8">
            <wp:extent cx="5029200" cy="3657600"/>
            <wp:effectExtent l="0" t="0" r="0" b="0"/>
            <wp:docPr id="96892823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31BC341" w14:textId="723BC2BB" w:rsidR="00BC2371" w:rsidRPr="00033A3F" w:rsidRDefault="00BC2371" w:rsidP="00BC2371">
      <w:pPr>
        <w:pStyle w:val="Podnadpis"/>
        <w:rPr>
          <w:color w:val="000000" w:themeColor="text1"/>
        </w:rPr>
      </w:pPr>
      <w:bookmarkStart w:id="478" w:name="_Toc515871450"/>
      <w:bookmarkStart w:id="479" w:name="_Toc11133218"/>
      <w:bookmarkStart w:id="480" w:name="_Toc43931192"/>
      <w:bookmarkStart w:id="481" w:name="_Toc75952322"/>
      <w:bookmarkStart w:id="482" w:name="_Toc106106781"/>
      <w:bookmarkStart w:id="483" w:name="_Toc144104259"/>
      <w:bookmarkStart w:id="484" w:name="_Toc169251075"/>
      <w:bookmarkStart w:id="485" w:name="_Toc174080761"/>
      <w:bookmarkStart w:id="486" w:name="_Toc193530894"/>
      <w:bookmarkStart w:id="487" w:name="_Toc194045589"/>
      <w:bookmarkStart w:id="488" w:name="_Toc199494998"/>
      <w:bookmarkStart w:id="489" w:name="_Toc203033058"/>
      <w:bookmarkStart w:id="490" w:name="_Toc203033136"/>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16</w:t>
      </w:r>
      <w:r w:rsidRPr="00033A3F">
        <w:rPr>
          <w:color w:val="000000" w:themeColor="text1"/>
        </w:rPr>
        <w:fldChar w:fldCharType="end"/>
      </w:r>
      <w:r w:rsidRPr="00033A3F">
        <w:rPr>
          <w:color w:val="000000" w:themeColor="text1"/>
        </w:rPr>
        <w:t>: OS – převedeno z rejstříku EPR dle krajů</w:t>
      </w:r>
      <w:bookmarkEnd w:id="478"/>
      <w:bookmarkEnd w:id="479"/>
      <w:bookmarkEnd w:id="480"/>
      <w:bookmarkEnd w:id="481"/>
      <w:bookmarkEnd w:id="482"/>
      <w:bookmarkEnd w:id="483"/>
      <w:r w:rsidRPr="00033A3F">
        <w:rPr>
          <w:color w:val="000000" w:themeColor="text1"/>
        </w:rPr>
        <w:t>, 202</w:t>
      </w:r>
      <w:bookmarkEnd w:id="484"/>
      <w:bookmarkEnd w:id="485"/>
      <w:r w:rsidRPr="00033A3F">
        <w:rPr>
          <w:color w:val="000000" w:themeColor="text1"/>
        </w:rPr>
        <w:t>4</w:t>
      </w:r>
      <w:bookmarkEnd w:id="486"/>
      <w:bookmarkEnd w:id="487"/>
      <w:bookmarkEnd w:id="488"/>
      <w:bookmarkEnd w:id="489"/>
      <w:bookmarkEnd w:id="490"/>
    </w:p>
    <w:tbl>
      <w:tblPr>
        <w:tblW w:w="9072" w:type="dxa"/>
        <w:tblLayout w:type="fixed"/>
        <w:tblCellMar>
          <w:left w:w="70" w:type="dxa"/>
          <w:right w:w="70" w:type="dxa"/>
        </w:tblCellMar>
        <w:tblLook w:val="04A0" w:firstRow="1" w:lastRow="0" w:firstColumn="1" w:lastColumn="0" w:noHBand="0" w:noVBand="1"/>
      </w:tblPr>
      <w:tblGrid>
        <w:gridCol w:w="2127"/>
        <w:gridCol w:w="1417"/>
        <w:gridCol w:w="898"/>
        <w:gridCol w:w="1370"/>
        <w:gridCol w:w="945"/>
        <w:gridCol w:w="1323"/>
        <w:gridCol w:w="992"/>
      </w:tblGrid>
      <w:tr w:rsidR="00033A3F" w:rsidRPr="00033A3F" w14:paraId="391F2186" w14:textId="77777777" w:rsidTr="00BF0CC3">
        <w:trPr>
          <w:trHeight w:val="330"/>
        </w:trPr>
        <w:tc>
          <w:tcPr>
            <w:tcW w:w="2127" w:type="dxa"/>
            <w:vMerge w:val="restart"/>
            <w:tcBorders>
              <w:top w:val="double" w:sz="6" w:space="0" w:color="auto"/>
              <w:left w:val="nil"/>
              <w:bottom w:val="double" w:sz="6" w:space="0" w:color="000000"/>
              <w:right w:val="nil"/>
            </w:tcBorders>
            <w:shd w:val="clear" w:color="auto" w:fill="auto"/>
            <w:noWrap/>
            <w:vAlign w:val="center"/>
            <w:hideMark/>
          </w:tcPr>
          <w:p w14:paraId="45B39BAE"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6945" w:type="dxa"/>
            <w:gridSpan w:val="6"/>
            <w:tcBorders>
              <w:top w:val="double" w:sz="6" w:space="0" w:color="auto"/>
              <w:left w:val="nil"/>
              <w:bottom w:val="nil"/>
              <w:right w:val="nil"/>
            </w:tcBorders>
            <w:shd w:val="clear" w:color="auto" w:fill="auto"/>
            <w:noWrap/>
            <w:vAlign w:val="center"/>
            <w:hideMark/>
          </w:tcPr>
          <w:p w14:paraId="166844AB"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r>
      <w:tr w:rsidR="00033A3F" w:rsidRPr="00033A3F" w14:paraId="5425312B" w14:textId="77777777" w:rsidTr="005D35E3">
        <w:trPr>
          <w:trHeight w:val="645"/>
        </w:trPr>
        <w:tc>
          <w:tcPr>
            <w:tcW w:w="2127" w:type="dxa"/>
            <w:vMerge/>
            <w:tcBorders>
              <w:top w:val="double" w:sz="6" w:space="0" w:color="auto"/>
              <w:left w:val="nil"/>
              <w:bottom w:val="double" w:sz="6" w:space="0" w:color="000000"/>
              <w:right w:val="nil"/>
            </w:tcBorders>
            <w:vAlign w:val="center"/>
            <w:hideMark/>
          </w:tcPr>
          <w:p w14:paraId="7A55DD81" w14:textId="77777777" w:rsidR="00FB3564" w:rsidRPr="00033A3F" w:rsidRDefault="00FB3564" w:rsidP="00FB3564">
            <w:pPr>
              <w:spacing w:line="240" w:lineRule="auto"/>
              <w:jc w:val="left"/>
              <w:rPr>
                <w:rFonts w:eastAsia="Times New Roman"/>
                <w:b/>
                <w:bCs/>
                <w:color w:val="000000" w:themeColor="text1"/>
                <w:szCs w:val="24"/>
                <w:lang w:eastAsia="cs-CZ"/>
              </w:rPr>
            </w:pPr>
          </w:p>
        </w:tc>
        <w:tc>
          <w:tcPr>
            <w:tcW w:w="2315" w:type="dxa"/>
            <w:gridSpan w:val="2"/>
            <w:tcBorders>
              <w:top w:val="nil"/>
              <w:left w:val="nil"/>
              <w:bottom w:val="double" w:sz="6" w:space="0" w:color="auto"/>
              <w:right w:val="single" w:sz="4" w:space="0" w:color="000000"/>
            </w:tcBorders>
            <w:shd w:val="clear" w:color="auto" w:fill="auto"/>
            <w:noWrap/>
            <w:vAlign w:val="center"/>
            <w:hideMark/>
          </w:tcPr>
          <w:p w14:paraId="4B1F972C"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EPR zrušen soudem</w:t>
            </w:r>
          </w:p>
        </w:tc>
        <w:tc>
          <w:tcPr>
            <w:tcW w:w="2315" w:type="dxa"/>
            <w:gridSpan w:val="2"/>
            <w:tcBorders>
              <w:top w:val="nil"/>
              <w:left w:val="nil"/>
              <w:bottom w:val="double" w:sz="6" w:space="0" w:color="auto"/>
              <w:right w:val="single" w:sz="4" w:space="0" w:color="000000"/>
            </w:tcBorders>
            <w:shd w:val="clear" w:color="auto" w:fill="auto"/>
            <w:vAlign w:val="center"/>
            <w:hideMark/>
          </w:tcPr>
          <w:p w14:paraId="15F74FD3"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podán odpor, který nebyl odmítnut</w:t>
            </w:r>
          </w:p>
        </w:tc>
        <w:tc>
          <w:tcPr>
            <w:tcW w:w="2315" w:type="dxa"/>
            <w:gridSpan w:val="2"/>
            <w:tcBorders>
              <w:top w:val="nil"/>
              <w:left w:val="nil"/>
              <w:bottom w:val="double" w:sz="6" w:space="0" w:color="auto"/>
              <w:right w:val="nil"/>
            </w:tcBorders>
            <w:shd w:val="clear" w:color="auto" w:fill="auto"/>
            <w:noWrap/>
            <w:vAlign w:val="center"/>
            <w:hideMark/>
          </w:tcPr>
          <w:p w14:paraId="4BBE0727"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jiný důvod</w:t>
            </w:r>
          </w:p>
        </w:tc>
      </w:tr>
      <w:tr w:rsidR="00033A3F" w:rsidRPr="00033A3F" w14:paraId="2F4BFEC7" w14:textId="77777777" w:rsidTr="005D35E3">
        <w:trPr>
          <w:trHeight w:val="330"/>
        </w:trPr>
        <w:tc>
          <w:tcPr>
            <w:tcW w:w="2127" w:type="dxa"/>
            <w:tcBorders>
              <w:top w:val="single" w:sz="4" w:space="0" w:color="auto"/>
              <w:left w:val="nil"/>
              <w:bottom w:val="single" w:sz="4" w:space="0" w:color="auto"/>
              <w:right w:val="nil"/>
            </w:tcBorders>
            <w:shd w:val="clear" w:color="auto" w:fill="auto"/>
            <w:noWrap/>
            <w:vAlign w:val="bottom"/>
            <w:hideMark/>
          </w:tcPr>
          <w:p w14:paraId="31DC1BD5"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417" w:type="dxa"/>
            <w:tcBorders>
              <w:top w:val="single" w:sz="4" w:space="0" w:color="auto"/>
              <w:left w:val="nil"/>
              <w:bottom w:val="single" w:sz="4" w:space="0" w:color="auto"/>
              <w:right w:val="nil"/>
            </w:tcBorders>
            <w:shd w:val="clear" w:color="auto" w:fill="auto"/>
            <w:noWrap/>
            <w:vAlign w:val="bottom"/>
            <w:hideMark/>
          </w:tcPr>
          <w:p w14:paraId="642492B8"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23 832</w:t>
            </w:r>
          </w:p>
        </w:tc>
        <w:tc>
          <w:tcPr>
            <w:tcW w:w="898" w:type="dxa"/>
            <w:tcBorders>
              <w:top w:val="single" w:sz="4" w:space="0" w:color="auto"/>
              <w:left w:val="nil"/>
              <w:bottom w:val="single" w:sz="4" w:space="0" w:color="auto"/>
              <w:right w:val="single" w:sz="4" w:space="0" w:color="auto"/>
            </w:tcBorders>
            <w:shd w:val="clear" w:color="auto" w:fill="auto"/>
            <w:noWrap/>
            <w:vAlign w:val="center"/>
            <w:hideMark/>
          </w:tcPr>
          <w:p w14:paraId="6A1D7C9A" w14:textId="045AFF91"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370" w:type="dxa"/>
            <w:tcBorders>
              <w:top w:val="single" w:sz="4" w:space="0" w:color="auto"/>
              <w:left w:val="nil"/>
              <w:bottom w:val="single" w:sz="4" w:space="0" w:color="auto"/>
              <w:right w:val="nil"/>
            </w:tcBorders>
            <w:shd w:val="clear" w:color="auto" w:fill="auto"/>
            <w:noWrap/>
            <w:vAlign w:val="bottom"/>
            <w:hideMark/>
          </w:tcPr>
          <w:p w14:paraId="0841FF08"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3 207</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6E19CA3" w14:textId="784C0062"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323" w:type="dxa"/>
            <w:tcBorders>
              <w:top w:val="single" w:sz="4" w:space="0" w:color="auto"/>
              <w:left w:val="nil"/>
              <w:bottom w:val="single" w:sz="4" w:space="0" w:color="auto"/>
              <w:right w:val="nil"/>
            </w:tcBorders>
            <w:shd w:val="clear" w:color="auto" w:fill="auto"/>
            <w:noWrap/>
            <w:vAlign w:val="bottom"/>
            <w:hideMark/>
          </w:tcPr>
          <w:p w14:paraId="78430509"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1 944</w:t>
            </w:r>
          </w:p>
        </w:tc>
        <w:tc>
          <w:tcPr>
            <w:tcW w:w="992" w:type="dxa"/>
            <w:tcBorders>
              <w:top w:val="single" w:sz="4" w:space="0" w:color="auto"/>
              <w:left w:val="nil"/>
              <w:bottom w:val="single" w:sz="4" w:space="0" w:color="auto"/>
              <w:right w:val="nil"/>
            </w:tcBorders>
            <w:shd w:val="clear" w:color="auto" w:fill="auto"/>
            <w:noWrap/>
            <w:vAlign w:val="center"/>
            <w:hideMark/>
          </w:tcPr>
          <w:p w14:paraId="3E2512B8" w14:textId="653FB696"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7FFC82A5"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1179DB48"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417" w:type="dxa"/>
            <w:tcBorders>
              <w:top w:val="nil"/>
              <w:left w:val="nil"/>
              <w:bottom w:val="single" w:sz="4" w:space="0" w:color="auto"/>
              <w:right w:val="nil"/>
            </w:tcBorders>
            <w:shd w:val="clear" w:color="auto" w:fill="auto"/>
            <w:noWrap/>
            <w:vAlign w:val="bottom"/>
            <w:hideMark/>
          </w:tcPr>
          <w:p w14:paraId="0ADE1B79"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20 223</w:t>
            </w:r>
          </w:p>
        </w:tc>
        <w:tc>
          <w:tcPr>
            <w:tcW w:w="898" w:type="dxa"/>
            <w:tcBorders>
              <w:top w:val="nil"/>
              <w:left w:val="nil"/>
              <w:bottom w:val="single" w:sz="4" w:space="0" w:color="auto"/>
              <w:right w:val="single" w:sz="4" w:space="0" w:color="auto"/>
            </w:tcBorders>
            <w:shd w:val="clear" w:color="auto" w:fill="auto"/>
            <w:noWrap/>
            <w:vAlign w:val="center"/>
            <w:hideMark/>
          </w:tcPr>
          <w:p w14:paraId="05D09AEC" w14:textId="320B1712"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370" w:type="dxa"/>
            <w:tcBorders>
              <w:top w:val="nil"/>
              <w:left w:val="nil"/>
              <w:bottom w:val="single" w:sz="4" w:space="0" w:color="auto"/>
              <w:right w:val="nil"/>
            </w:tcBorders>
            <w:shd w:val="clear" w:color="auto" w:fill="auto"/>
            <w:noWrap/>
            <w:vAlign w:val="bottom"/>
            <w:hideMark/>
          </w:tcPr>
          <w:p w14:paraId="2ED3F86C"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1 298</w:t>
            </w:r>
          </w:p>
        </w:tc>
        <w:tc>
          <w:tcPr>
            <w:tcW w:w="945" w:type="dxa"/>
            <w:tcBorders>
              <w:top w:val="nil"/>
              <w:left w:val="nil"/>
              <w:bottom w:val="single" w:sz="4" w:space="0" w:color="auto"/>
              <w:right w:val="single" w:sz="4" w:space="0" w:color="auto"/>
            </w:tcBorders>
            <w:shd w:val="clear" w:color="auto" w:fill="auto"/>
            <w:noWrap/>
            <w:vAlign w:val="center"/>
            <w:hideMark/>
          </w:tcPr>
          <w:p w14:paraId="14EE12EA" w14:textId="16B7A504"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323" w:type="dxa"/>
            <w:tcBorders>
              <w:top w:val="nil"/>
              <w:left w:val="nil"/>
              <w:bottom w:val="single" w:sz="4" w:space="0" w:color="auto"/>
              <w:right w:val="nil"/>
            </w:tcBorders>
            <w:shd w:val="clear" w:color="auto" w:fill="auto"/>
            <w:noWrap/>
            <w:vAlign w:val="bottom"/>
            <w:hideMark/>
          </w:tcPr>
          <w:p w14:paraId="0C586005"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2 626</w:t>
            </w:r>
          </w:p>
        </w:tc>
        <w:tc>
          <w:tcPr>
            <w:tcW w:w="992" w:type="dxa"/>
            <w:tcBorders>
              <w:top w:val="nil"/>
              <w:left w:val="nil"/>
              <w:bottom w:val="single" w:sz="4" w:space="0" w:color="auto"/>
              <w:right w:val="nil"/>
            </w:tcBorders>
            <w:shd w:val="clear" w:color="auto" w:fill="auto"/>
            <w:noWrap/>
            <w:vAlign w:val="center"/>
            <w:hideMark/>
          </w:tcPr>
          <w:p w14:paraId="35685E75" w14:textId="584C7806"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5555BA2E"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152CF379"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417" w:type="dxa"/>
            <w:tcBorders>
              <w:top w:val="nil"/>
              <w:left w:val="nil"/>
              <w:bottom w:val="single" w:sz="4" w:space="0" w:color="auto"/>
              <w:right w:val="nil"/>
            </w:tcBorders>
            <w:shd w:val="clear" w:color="auto" w:fill="auto"/>
            <w:noWrap/>
            <w:vAlign w:val="bottom"/>
            <w:hideMark/>
          </w:tcPr>
          <w:p w14:paraId="7885226D"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9 281</w:t>
            </w:r>
          </w:p>
        </w:tc>
        <w:tc>
          <w:tcPr>
            <w:tcW w:w="898" w:type="dxa"/>
            <w:tcBorders>
              <w:top w:val="nil"/>
              <w:left w:val="nil"/>
              <w:bottom w:val="single" w:sz="4" w:space="0" w:color="auto"/>
              <w:right w:val="single" w:sz="4" w:space="0" w:color="auto"/>
            </w:tcBorders>
            <w:shd w:val="clear" w:color="auto" w:fill="auto"/>
            <w:noWrap/>
            <w:vAlign w:val="center"/>
            <w:hideMark/>
          </w:tcPr>
          <w:p w14:paraId="268695A7" w14:textId="6E80EC9F"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370" w:type="dxa"/>
            <w:tcBorders>
              <w:top w:val="nil"/>
              <w:left w:val="nil"/>
              <w:bottom w:val="single" w:sz="4" w:space="0" w:color="auto"/>
              <w:right w:val="nil"/>
            </w:tcBorders>
            <w:shd w:val="clear" w:color="auto" w:fill="auto"/>
            <w:noWrap/>
            <w:vAlign w:val="bottom"/>
            <w:hideMark/>
          </w:tcPr>
          <w:p w14:paraId="1427EA6F"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664</w:t>
            </w:r>
          </w:p>
        </w:tc>
        <w:tc>
          <w:tcPr>
            <w:tcW w:w="945" w:type="dxa"/>
            <w:tcBorders>
              <w:top w:val="nil"/>
              <w:left w:val="nil"/>
              <w:bottom w:val="single" w:sz="4" w:space="0" w:color="auto"/>
              <w:right w:val="single" w:sz="4" w:space="0" w:color="auto"/>
            </w:tcBorders>
            <w:shd w:val="clear" w:color="auto" w:fill="auto"/>
            <w:noWrap/>
            <w:vAlign w:val="center"/>
            <w:hideMark/>
          </w:tcPr>
          <w:p w14:paraId="5A5951BB" w14:textId="1E425635"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323" w:type="dxa"/>
            <w:tcBorders>
              <w:top w:val="nil"/>
              <w:left w:val="nil"/>
              <w:bottom w:val="single" w:sz="4" w:space="0" w:color="auto"/>
              <w:right w:val="nil"/>
            </w:tcBorders>
            <w:shd w:val="clear" w:color="auto" w:fill="auto"/>
            <w:noWrap/>
            <w:vAlign w:val="bottom"/>
            <w:hideMark/>
          </w:tcPr>
          <w:p w14:paraId="2FA14F9F"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745</w:t>
            </w:r>
          </w:p>
        </w:tc>
        <w:tc>
          <w:tcPr>
            <w:tcW w:w="992" w:type="dxa"/>
            <w:tcBorders>
              <w:top w:val="nil"/>
              <w:left w:val="nil"/>
              <w:bottom w:val="single" w:sz="4" w:space="0" w:color="auto"/>
              <w:right w:val="nil"/>
            </w:tcBorders>
            <w:shd w:val="clear" w:color="auto" w:fill="auto"/>
            <w:noWrap/>
            <w:vAlign w:val="center"/>
            <w:hideMark/>
          </w:tcPr>
          <w:p w14:paraId="5A7854B0" w14:textId="08A56EBA"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+84 %</w:t>
            </w:r>
          </w:p>
        </w:tc>
      </w:tr>
      <w:tr w:rsidR="00033A3F" w:rsidRPr="00033A3F" w14:paraId="72DAF047"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54D4532C"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417" w:type="dxa"/>
            <w:tcBorders>
              <w:top w:val="nil"/>
              <w:left w:val="nil"/>
              <w:bottom w:val="single" w:sz="4" w:space="0" w:color="auto"/>
              <w:right w:val="nil"/>
            </w:tcBorders>
            <w:shd w:val="clear" w:color="auto" w:fill="auto"/>
            <w:noWrap/>
            <w:vAlign w:val="bottom"/>
            <w:hideMark/>
          </w:tcPr>
          <w:p w14:paraId="70879E5E"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17 895</w:t>
            </w:r>
          </w:p>
        </w:tc>
        <w:tc>
          <w:tcPr>
            <w:tcW w:w="898" w:type="dxa"/>
            <w:tcBorders>
              <w:top w:val="nil"/>
              <w:left w:val="nil"/>
              <w:bottom w:val="single" w:sz="4" w:space="0" w:color="auto"/>
              <w:right w:val="single" w:sz="4" w:space="0" w:color="auto"/>
            </w:tcBorders>
            <w:shd w:val="clear" w:color="auto" w:fill="auto"/>
            <w:noWrap/>
            <w:vAlign w:val="center"/>
            <w:hideMark/>
          </w:tcPr>
          <w:p w14:paraId="1DD35EC2" w14:textId="63027CDB"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370" w:type="dxa"/>
            <w:tcBorders>
              <w:top w:val="nil"/>
              <w:left w:val="nil"/>
              <w:bottom w:val="single" w:sz="4" w:space="0" w:color="auto"/>
              <w:right w:val="nil"/>
            </w:tcBorders>
            <w:shd w:val="clear" w:color="auto" w:fill="auto"/>
            <w:noWrap/>
            <w:vAlign w:val="bottom"/>
            <w:hideMark/>
          </w:tcPr>
          <w:p w14:paraId="50E6ED73"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686</w:t>
            </w:r>
          </w:p>
        </w:tc>
        <w:tc>
          <w:tcPr>
            <w:tcW w:w="945" w:type="dxa"/>
            <w:tcBorders>
              <w:top w:val="nil"/>
              <w:left w:val="nil"/>
              <w:bottom w:val="single" w:sz="4" w:space="0" w:color="auto"/>
              <w:right w:val="single" w:sz="4" w:space="0" w:color="auto"/>
            </w:tcBorders>
            <w:shd w:val="clear" w:color="auto" w:fill="auto"/>
            <w:noWrap/>
            <w:vAlign w:val="center"/>
            <w:hideMark/>
          </w:tcPr>
          <w:p w14:paraId="46303EBA" w14:textId="71F1FB3A"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323" w:type="dxa"/>
            <w:tcBorders>
              <w:top w:val="nil"/>
              <w:left w:val="nil"/>
              <w:bottom w:val="single" w:sz="4" w:space="0" w:color="auto"/>
              <w:right w:val="nil"/>
            </w:tcBorders>
            <w:shd w:val="clear" w:color="auto" w:fill="auto"/>
            <w:noWrap/>
            <w:vAlign w:val="bottom"/>
            <w:hideMark/>
          </w:tcPr>
          <w:p w14:paraId="43E33944"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2 816</w:t>
            </w:r>
          </w:p>
        </w:tc>
        <w:tc>
          <w:tcPr>
            <w:tcW w:w="992" w:type="dxa"/>
            <w:tcBorders>
              <w:top w:val="nil"/>
              <w:left w:val="nil"/>
              <w:bottom w:val="single" w:sz="4" w:space="0" w:color="auto"/>
              <w:right w:val="nil"/>
            </w:tcBorders>
            <w:shd w:val="clear" w:color="auto" w:fill="auto"/>
            <w:noWrap/>
            <w:vAlign w:val="center"/>
            <w:hideMark/>
          </w:tcPr>
          <w:p w14:paraId="7F18BB6B" w14:textId="4D95824D"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5712E27A"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5440D019"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417" w:type="dxa"/>
            <w:tcBorders>
              <w:top w:val="nil"/>
              <w:left w:val="nil"/>
              <w:bottom w:val="single" w:sz="4" w:space="0" w:color="auto"/>
              <w:right w:val="nil"/>
            </w:tcBorders>
            <w:shd w:val="clear" w:color="auto" w:fill="auto"/>
            <w:noWrap/>
            <w:vAlign w:val="bottom"/>
            <w:hideMark/>
          </w:tcPr>
          <w:p w14:paraId="557C361C"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31 554</w:t>
            </w:r>
          </w:p>
        </w:tc>
        <w:tc>
          <w:tcPr>
            <w:tcW w:w="898" w:type="dxa"/>
            <w:tcBorders>
              <w:top w:val="nil"/>
              <w:left w:val="nil"/>
              <w:bottom w:val="single" w:sz="4" w:space="0" w:color="auto"/>
              <w:right w:val="single" w:sz="4" w:space="0" w:color="auto"/>
            </w:tcBorders>
            <w:shd w:val="clear" w:color="auto" w:fill="auto"/>
            <w:noWrap/>
            <w:vAlign w:val="center"/>
            <w:hideMark/>
          </w:tcPr>
          <w:p w14:paraId="1934A0A6" w14:textId="717CC961"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370" w:type="dxa"/>
            <w:tcBorders>
              <w:top w:val="nil"/>
              <w:left w:val="nil"/>
              <w:bottom w:val="single" w:sz="4" w:space="0" w:color="auto"/>
              <w:right w:val="nil"/>
            </w:tcBorders>
            <w:shd w:val="clear" w:color="auto" w:fill="auto"/>
            <w:noWrap/>
            <w:vAlign w:val="bottom"/>
            <w:hideMark/>
          </w:tcPr>
          <w:p w14:paraId="1303B6EE"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1 213</w:t>
            </w:r>
          </w:p>
        </w:tc>
        <w:tc>
          <w:tcPr>
            <w:tcW w:w="945" w:type="dxa"/>
            <w:tcBorders>
              <w:top w:val="nil"/>
              <w:left w:val="nil"/>
              <w:bottom w:val="single" w:sz="4" w:space="0" w:color="auto"/>
              <w:right w:val="single" w:sz="4" w:space="0" w:color="auto"/>
            </w:tcBorders>
            <w:shd w:val="clear" w:color="auto" w:fill="auto"/>
            <w:noWrap/>
            <w:vAlign w:val="center"/>
            <w:hideMark/>
          </w:tcPr>
          <w:p w14:paraId="108D8BE6" w14:textId="6B3FE750"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323" w:type="dxa"/>
            <w:tcBorders>
              <w:top w:val="nil"/>
              <w:left w:val="nil"/>
              <w:bottom w:val="single" w:sz="4" w:space="0" w:color="auto"/>
              <w:right w:val="nil"/>
            </w:tcBorders>
            <w:shd w:val="clear" w:color="auto" w:fill="auto"/>
            <w:noWrap/>
            <w:vAlign w:val="bottom"/>
            <w:hideMark/>
          </w:tcPr>
          <w:p w14:paraId="213CBC51"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2 671</w:t>
            </w:r>
          </w:p>
        </w:tc>
        <w:tc>
          <w:tcPr>
            <w:tcW w:w="992" w:type="dxa"/>
            <w:tcBorders>
              <w:top w:val="nil"/>
              <w:left w:val="nil"/>
              <w:bottom w:val="single" w:sz="4" w:space="0" w:color="auto"/>
              <w:right w:val="nil"/>
            </w:tcBorders>
            <w:shd w:val="clear" w:color="auto" w:fill="auto"/>
            <w:noWrap/>
            <w:vAlign w:val="center"/>
            <w:hideMark/>
          </w:tcPr>
          <w:p w14:paraId="32112706" w14:textId="7BB4AEAB"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r>
      <w:tr w:rsidR="00033A3F" w:rsidRPr="00033A3F" w14:paraId="163764A4"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0A873F3C"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417" w:type="dxa"/>
            <w:tcBorders>
              <w:top w:val="nil"/>
              <w:left w:val="nil"/>
              <w:bottom w:val="single" w:sz="4" w:space="0" w:color="auto"/>
              <w:right w:val="nil"/>
            </w:tcBorders>
            <w:shd w:val="clear" w:color="auto" w:fill="auto"/>
            <w:noWrap/>
            <w:vAlign w:val="bottom"/>
            <w:hideMark/>
          </w:tcPr>
          <w:p w14:paraId="01919D45"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15 368</w:t>
            </w:r>
          </w:p>
        </w:tc>
        <w:tc>
          <w:tcPr>
            <w:tcW w:w="898" w:type="dxa"/>
            <w:tcBorders>
              <w:top w:val="nil"/>
              <w:left w:val="nil"/>
              <w:bottom w:val="single" w:sz="4" w:space="0" w:color="auto"/>
              <w:right w:val="single" w:sz="4" w:space="0" w:color="auto"/>
            </w:tcBorders>
            <w:shd w:val="clear" w:color="auto" w:fill="auto"/>
            <w:noWrap/>
            <w:vAlign w:val="center"/>
            <w:hideMark/>
          </w:tcPr>
          <w:p w14:paraId="4A4B0395" w14:textId="5B4676B0"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370" w:type="dxa"/>
            <w:tcBorders>
              <w:top w:val="nil"/>
              <w:left w:val="nil"/>
              <w:bottom w:val="single" w:sz="4" w:space="0" w:color="auto"/>
              <w:right w:val="nil"/>
            </w:tcBorders>
            <w:shd w:val="clear" w:color="auto" w:fill="auto"/>
            <w:noWrap/>
            <w:vAlign w:val="bottom"/>
            <w:hideMark/>
          </w:tcPr>
          <w:p w14:paraId="3AD548B7"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1 092</w:t>
            </w:r>
          </w:p>
        </w:tc>
        <w:tc>
          <w:tcPr>
            <w:tcW w:w="945" w:type="dxa"/>
            <w:tcBorders>
              <w:top w:val="nil"/>
              <w:left w:val="nil"/>
              <w:bottom w:val="single" w:sz="4" w:space="0" w:color="auto"/>
              <w:right w:val="single" w:sz="4" w:space="0" w:color="auto"/>
            </w:tcBorders>
            <w:shd w:val="clear" w:color="auto" w:fill="auto"/>
            <w:noWrap/>
            <w:vAlign w:val="center"/>
            <w:hideMark/>
          </w:tcPr>
          <w:p w14:paraId="235374C4" w14:textId="0D99E306"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323" w:type="dxa"/>
            <w:tcBorders>
              <w:top w:val="nil"/>
              <w:left w:val="nil"/>
              <w:bottom w:val="single" w:sz="4" w:space="0" w:color="auto"/>
              <w:right w:val="nil"/>
            </w:tcBorders>
            <w:shd w:val="clear" w:color="auto" w:fill="auto"/>
            <w:noWrap/>
            <w:vAlign w:val="bottom"/>
            <w:hideMark/>
          </w:tcPr>
          <w:p w14:paraId="53B34657"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1 374</w:t>
            </w:r>
          </w:p>
        </w:tc>
        <w:tc>
          <w:tcPr>
            <w:tcW w:w="992" w:type="dxa"/>
            <w:tcBorders>
              <w:top w:val="nil"/>
              <w:left w:val="nil"/>
              <w:bottom w:val="single" w:sz="4" w:space="0" w:color="auto"/>
              <w:right w:val="nil"/>
            </w:tcBorders>
            <w:shd w:val="clear" w:color="auto" w:fill="auto"/>
            <w:noWrap/>
            <w:vAlign w:val="center"/>
            <w:hideMark/>
          </w:tcPr>
          <w:p w14:paraId="1F9E47DB" w14:textId="5D9DC922"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30A18901"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661CB760"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417" w:type="dxa"/>
            <w:tcBorders>
              <w:top w:val="nil"/>
              <w:left w:val="nil"/>
              <w:bottom w:val="single" w:sz="4" w:space="0" w:color="auto"/>
              <w:right w:val="nil"/>
            </w:tcBorders>
            <w:shd w:val="clear" w:color="auto" w:fill="auto"/>
            <w:noWrap/>
            <w:vAlign w:val="bottom"/>
            <w:hideMark/>
          </w:tcPr>
          <w:p w14:paraId="76B3C8DF"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22 876</w:t>
            </w:r>
          </w:p>
        </w:tc>
        <w:tc>
          <w:tcPr>
            <w:tcW w:w="898" w:type="dxa"/>
            <w:tcBorders>
              <w:top w:val="nil"/>
              <w:left w:val="nil"/>
              <w:bottom w:val="single" w:sz="4" w:space="0" w:color="auto"/>
              <w:right w:val="single" w:sz="4" w:space="0" w:color="auto"/>
            </w:tcBorders>
            <w:shd w:val="clear" w:color="auto" w:fill="auto"/>
            <w:noWrap/>
            <w:vAlign w:val="center"/>
            <w:hideMark/>
          </w:tcPr>
          <w:p w14:paraId="6A2DFB89" w14:textId="39441FDF"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370" w:type="dxa"/>
            <w:tcBorders>
              <w:top w:val="nil"/>
              <w:left w:val="nil"/>
              <w:bottom w:val="single" w:sz="4" w:space="0" w:color="auto"/>
              <w:right w:val="nil"/>
            </w:tcBorders>
            <w:shd w:val="clear" w:color="auto" w:fill="auto"/>
            <w:noWrap/>
            <w:vAlign w:val="bottom"/>
            <w:hideMark/>
          </w:tcPr>
          <w:p w14:paraId="01179F99"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1 826</w:t>
            </w:r>
          </w:p>
        </w:tc>
        <w:tc>
          <w:tcPr>
            <w:tcW w:w="945" w:type="dxa"/>
            <w:tcBorders>
              <w:top w:val="nil"/>
              <w:left w:val="nil"/>
              <w:bottom w:val="single" w:sz="4" w:space="0" w:color="auto"/>
              <w:right w:val="single" w:sz="4" w:space="0" w:color="auto"/>
            </w:tcBorders>
            <w:shd w:val="clear" w:color="auto" w:fill="auto"/>
            <w:noWrap/>
            <w:vAlign w:val="center"/>
            <w:hideMark/>
          </w:tcPr>
          <w:p w14:paraId="0252687C" w14:textId="63A71380"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323" w:type="dxa"/>
            <w:tcBorders>
              <w:top w:val="nil"/>
              <w:left w:val="nil"/>
              <w:bottom w:val="single" w:sz="4" w:space="0" w:color="auto"/>
              <w:right w:val="nil"/>
            </w:tcBorders>
            <w:shd w:val="clear" w:color="auto" w:fill="auto"/>
            <w:noWrap/>
            <w:vAlign w:val="bottom"/>
            <w:hideMark/>
          </w:tcPr>
          <w:p w14:paraId="2E7EFD7E"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2 224</w:t>
            </w:r>
          </w:p>
        </w:tc>
        <w:tc>
          <w:tcPr>
            <w:tcW w:w="992" w:type="dxa"/>
            <w:tcBorders>
              <w:top w:val="nil"/>
              <w:left w:val="nil"/>
              <w:bottom w:val="single" w:sz="4" w:space="0" w:color="auto"/>
              <w:right w:val="nil"/>
            </w:tcBorders>
            <w:shd w:val="clear" w:color="auto" w:fill="auto"/>
            <w:noWrap/>
            <w:vAlign w:val="center"/>
            <w:hideMark/>
          </w:tcPr>
          <w:p w14:paraId="58CFA2B3" w14:textId="093A16AA"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r>
      <w:tr w:rsidR="00033A3F" w:rsidRPr="00033A3F" w14:paraId="57EDD311" w14:textId="77777777" w:rsidTr="005D35E3">
        <w:trPr>
          <w:trHeight w:val="330"/>
        </w:trPr>
        <w:tc>
          <w:tcPr>
            <w:tcW w:w="2127" w:type="dxa"/>
            <w:tcBorders>
              <w:top w:val="nil"/>
              <w:left w:val="nil"/>
              <w:bottom w:val="double" w:sz="6" w:space="0" w:color="auto"/>
              <w:right w:val="nil"/>
            </w:tcBorders>
            <w:shd w:val="clear" w:color="auto" w:fill="auto"/>
            <w:noWrap/>
            <w:vAlign w:val="bottom"/>
            <w:hideMark/>
          </w:tcPr>
          <w:p w14:paraId="4011B099"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417" w:type="dxa"/>
            <w:tcBorders>
              <w:top w:val="nil"/>
              <w:left w:val="nil"/>
              <w:bottom w:val="double" w:sz="6" w:space="0" w:color="auto"/>
              <w:right w:val="nil"/>
            </w:tcBorders>
            <w:shd w:val="clear" w:color="auto" w:fill="auto"/>
            <w:noWrap/>
            <w:vAlign w:val="bottom"/>
            <w:hideMark/>
          </w:tcPr>
          <w:p w14:paraId="01B0B122"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31 250</w:t>
            </w:r>
          </w:p>
        </w:tc>
        <w:tc>
          <w:tcPr>
            <w:tcW w:w="898" w:type="dxa"/>
            <w:tcBorders>
              <w:top w:val="nil"/>
              <w:left w:val="nil"/>
              <w:bottom w:val="double" w:sz="6" w:space="0" w:color="auto"/>
              <w:right w:val="single" w:sz="4" w:space="0" w:color="auto"/>
            </w:tcBorders>
            <w:shd w:val="clear" w:color="auto" w:fill="auto"/>
            <w:noWrap/>
            <w:vAlign w:val="center"/>
            <w:hideMark/>
          </w:tcPr>
          <w:p w14:paraId="728806C4" w14:textId="05877100"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370" w:type="dxa"/>
            <w:tcBorders>
              <w:top w:val="nil"/>
              <w:left w:val="nil"/>
              <w:bottom w:val="double" w:sz="6" w:space="0" w:color="auto"/>
              <w:right w:val="nil"/>
            </w:tcBorders>
            <w:shd w:val="clear" w:color="auto" w:fill="auto"/>
            <w:noWrap/>
            <w:vAlign w:val="bottom"/>
            <w:hideMark/>
          </w:tcPr>
          <w:p w14:paraId="67788DDB"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1 540</w:t>
            </w:r>
          </w:p>
        </w:tc>
        <w:tc>
          <w:tcPr>
            <w:tcW w:w="945" w:type="dxa"/>
            <w:tcBorders>
              <w:top w:val="nil"/>
              <w:left w:val="nil"/>
              <w:bottom w:val="double" w:sz="6" w:space="0" w:color="auto"/>
              <w:right w:val="single" w:sz="4" w:space="0" w:color="auto"/>
            </w:tcBorders>
            <w:shd w:val="clear" w:color="auto" w:fill="auto"/>
            <w:noWrap/>
            <w:vAlign w:val="center"/>
            <w:hideMark/>
          </w:tcPr>
          <w:p w14:paraId="16E6F6AF" w14:textId="1BA409CB"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323" w:type="dxa"/>
            <w:tcBorders>
              <w:top w:val="nil"/>
              <w:left w:val="nil"/>
              <w:bottom w:val="double" w:sz="6" w:space="0" w:color="auto"/>
              <w:right w:val="nil"/>
            </w:tcBorders>
            <w:shd w:val="clear" w:color="auto" w:fill="auto"/>
            <w:noWrap/>
            <w:vAlign w:val="bottom"/>
            <w:hideMark/>
          </w:tcPr>
          <w:p w14:paraId="35924F2C"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4 802</w:t>
            </w:r>
          </w:p>
        </w:tc>
        <w:tc>
          <w:tcPr>
            <w:tcW w:w="992" w:type="dxa"/>
            <w:tcBorders>
              <w:top w:val="nil"/>
              <w:left w:val="nil"/>
              <w:bottom w:val="double" w:sz="6" w:space="0" w:color="auto"/>
              <w:right w:val="nil"/>
            </w:tcBorders>
            <w:shd w:val="clear" w:color="auto" w:fill="auto"/>
            <w:noWrap/>
            <w:vAlign w:val="center"/>
            <w:hideMark/>
          </w:tcPr>
          <w:p w14:paraId="48F41C48" w14:textId="14842E29"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033A3F" w:rsidRPr="00033A3F" w14:paraId="79A18994" w14:textId="77777777" w:rsidTr="005D35E3">
        <w:trPr>
          <w:trHeight w:val="345"/>
        </w:trPr>
        <w:tc>
          <w:tcPr>
            <w:tcW w:w="2127" w:type="dxa"/>
            <w:tcBorders>
              <w:top w:val="nil"/>
              <w:left w:val="nil"/>
              <w:bottom w:val="double" w:sz="6" w:space="0" w:color="auto"/>
              <w:right w:val="nil"/>
            </w:tcBorders>
            <w:shd w:val="clear" w:color="auto" w:fill="auto"/>
            <w:noWrap/>
            <w:vAlign w:val="bottom"/>
            <w:hideMark/>
          </w:tcPr>
          <w:p w14:paraId="59C71601" w14:textId="77777777" w:rsidR="00FB3564" w:rsidRPr="00033A3F" w:rsidRDefault="00FB3564" w:rsidP="00FB3564">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417" w:type="dxa"/>
            <w:tcBorders>
              <w:top w:val="nil"/>
              <w:left w:val="nil"/>
              <w:bottom w:val="double" w:sz="6" w:space="0" w:color="auto"/>
              <w:right w:val="nil"/>
            </w:tcBorders>
            <w:shd w:val="clear" w:color="auto" w:fill="auto"/>
            <w:noWrap/>
            <w:vAlign w:val="bottom"/>
            <w:hideMark/>
          </w:tcPr>
          <w:p w14:paraId="45A4149B"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172 279</w:t>
            </w:r>
          </w:p>
        </w:tc>
        <w:tc>
          <w:tcPr>
            <w:tcW w:w="898" w:type="dxa"/>
            <w:tcBorders>
              <w:top w:val="nil"/>
              <w:left w:val="nil"/>
              <w:bottom w:val="double" w:sz="6" w:space="0" w:color="auto"/>
              <w:right w:val="single" w:sz="4" w:space="0" w:color="auto"/>
            </w:tcBorders>
            <w:shd w:val="clear" w:color="auto" w:fill="auto"/>
            <w:noWrap/>
            <w:vAlign w:val="center"/>
            <w:hideMark/>
          </w:tcPr>
          <w:p w14:paraId="42B75BE5" w14:textId="3806CF50" w:rsidR="00FB3564" w:rsidRPr="00033A3F" w:rsidRDefault="00FB3564" w:rsidP="00FB3564">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370" w:type="dxa"/>
            <w:tcBorders>
              <w:top w:val="nil"/>
              <w:left w:val="nil"/>
              <w:bottom w:val="double" w:sz="6" w:space="0" w:color="auto"/>
              <w:right w:val="nil"/>
            </w:tcBorders>
            <w:shd w:val="clear" w:color="auto" w:fill="auto"/>
            <w:noWrap/>
            <w:vAlign w:val="bottom"/>
            <w:hideMark/>
          </w:tcPr>
          <w:p w14:paraId="0F4D3503"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11 526</w:t>
            </w:r>
          </w:p>
        </w:tc>
        <w:tc>
          <w:tcPr>
            <w:tcW w:w="945" w:type="dxa"/>
            <w:tcBorders>
              <w:top w:val="nil"/>
              <w:left w:val="nil"/>
              <w:bottom w:val="double" w:sz="6" w:space="0" w:color="auto"/>
              <w:right w:val="single" w:sz="4" w:space="0" w:color="auto"/>
            </w:tcBorders>
            <w:shd w:val="clear" w:color="auto" w:fill="auto"/>
            <w:noWrap/>
            <w:vAlign w:val="center"/>
            <w:hideMark/>
          </w:tcPr>
          <w:p w14:paraId="1FF77F3F" w14:textId="7F18609F" w:rsidR="00FB3564" w:rsidRPr="00033A3F" w:rsidRDefault="00FB3564" w:rsidP="00FB3564">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+7 %</w:t>
            </w:r>
          </w:p>
        </w:tc>
        <w:tc>
          <w:tcPr>
            <w:tcW w:w="1323" w:type="dxa"/>
            <w:tcBorders>
              <w:top w:val="nil"/>
              <w:left w:val="nil"/>
              <w:bottom w:val="double" w:sz="6" w:space="0" w:color="auto"/>
              <w:right w:val="nil"/>
            </w:tcBorders>
            <w:shd w:val="clear" w:color="auto" w:fill="auto"/>
            <w:noWrap/>
            <w:vAlign w:val="bottom"/>
            <w:hideMark/>
          </w:tcPr>
          <w:p w14:paraId="74D94E7A"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19 202</w:t>
            </w:r>
          </w:p>
        </w:tc>
        <w:tc>
          <w:tcPr>
            <w:tcW w:w="992" w:type="dxa"/>
            <w:tcBorders>
              <w:top w:val="nil"/>
              <w:left w:val="nil"/>
              <w:bottom w:val="double" w:sz="6" w:space="0" w:color="auto"/>
              <w:right w:val="nil"/>
            </w:tcBorders>
            <w:shd w:val="clear" w:color="auto" w:fill="auto"/>
            <w:noWrap/>
            <w:vAlign w:val="center"/>
            <w:hideMark/>
          </w:tcPr>
          <w:p w14:paraId="4FA4A02C" w14:textId="2DEB896D" w:rsidR="00FB3564" w:rsidRPr="00033A3F" w:rsidRDefault="00FB3564" w:rsidP="00FB3564">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r>
      <w:tr w:rsidR="00BF0CC3" w:rsidRPr="00033A3F" w14:paraId="0A943CAA" w14:textId="77777777" w:rsidTr="005D35E3">
        <w:trPr>
          <w:trHeight w:val="330"/>
        </w:trPr>
        <w:tc>
          <w:tcPr>
            <w:tcW w:w="2127" w:type="dxa"/>
            <w:tcBorders>
              <w:top w:val="nil"/>
              <w:left w:val="nil"/>
              <w:bottom w:val="nil"/>
              <w:right w:val="nil"/>
            </w:tcBorders>
            <w:shd w:val="clear" w:color="auto" w:fill="auto"/>
            <w:noWrap/>
            <w:vAlign w:val="bottom"/>
            <w:hideMark/>
          </w:tcPr>
          <w:p w14:paraId="4527EB8D" w14:textId="77777777" w:rsidR="00FB3564" w:rsidRPr="00033A3F" w:rsidRDefault="00FB3564" w:rsidP="00FB3564">
            <w:pPr>
              <w:spacing w:line="240" w:lineRule="auto"/>
              <w:jc w:val="right"/>
              <w:rPr>
                <w:rFonts w:eastAsia="Times New Roman"/>
                <w:b/>
                <w:bCs/>
                <w:color w:val="000000" w:themeColor="text1"/>
                <w:sz w:val="20"/>
                <w:szCs w:val="20"/>
                <w:lang w:eastAsia="cs-CZ"/>
              </w:rPr>
            </w:pPr>
          </w:p>
        </w:tc>
        <w:tc>
          <w:tcPr>
            <w:tcW w:w="1417" w:type="dxa"/>
            <w:tcBorders>
              <w:top w:val="nil"/>
              <w:left w:val="nil"/>
              <w:bottom w:val="nil"/>
              <w:right w:val="nil"/>
            </w:tcBorders>
            <w:shd w:val="clear" w:color="auto" w:fill="auto"/>
            <w:noWrap/>
            <w:vAlign w:val="bottom"/>
            <w:hideMark/>
          </w:tcPr>
          <w:p w14:paraId="27845292"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898" w:type="dxa"/>
            <w:tcBorders>
              <w:top w:val="nil"/>
              <w:left w:val="nil"/>
              <w:bottom w:val="nil"/>
              <w:right w:val="nil"/>
            </w:tcBorders>
            <w:shd w:val="clear" w:color="auto" w:fill="auto"/>
            <w:noWrap/>
            <w:vAlign w:val="bottom"/>
            <w:hideMark/>
          </w:tcPr>
          <w:p w14:paraId="1A60766B"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1370" w:type="dxa"/>
            <w:tcBorders>
              <w:top w:val="nil"/>
              <w:left w:val="nil"/>
              <w:bottom w:val="nil"/>
              <w:right w:val="nil"/>
            </w:tcBorders>
            <w:shd w:val="clear" w:color="auto" w:fill="auto"/>
            <w:noWrap/>
            <w:vAlign w:val="bottom"/>
            <w:hideMark/>
          </w:tcPr>
          <w:p w14:paraId="01ABB660"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945" w:type="dxa"/>
            <w:tcBorders>
              <w:top w:val="nil"/>
              <w:left w:val="nil"/>
              <w:bottom w:val="nil"/>
              <w:right w:val="nil"/>
            </w:tcBorders>
            <w:shd w:val="clear" w:color="auto" w:fill="auto"/>
            <w:noWrap/>
            <w:vAlign w:val="bottom"/>
            <w:hideMark/>
          </w:tcPr>
          <w:p w14:paraId="338029A3"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1323" w:type="dxa"/>
            <w:tcBorders>
              <w:top w:val="nil"/>
              <w:left w:val="nil"/>
              <w:bottom w:val="nil"/>
              <w:right w:val="nil"/>
            </w:tcBorders>
            <w:shd w:val="clear" w:color="auto" w:fill="auto"/>
            <w:noWrap/>
            <w:vAlign w:val="bottom"/>
            <w:hideMark/>
          </w:tcPr>
          <w:p w14:paraId="56CA24DD"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992" w:type="dxa"/>
            <w:tcBorders>
              <w:top w:val="nil"/>
              <w:left w:val="nil"/>
              <w:bottom w:val="nil"/>
              <w:right w:val="nil"/>
            </w:tcBorders>
            <w:shd w:val="clear" w:color="auto" w:fill="auto"/>
            <w:noWrap/>
            <w:vAlign w:val="bottom"/>
            <w:hideMark/>
          </w:tcPr>
          <w:p w14:paraId="23F50A2E"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r>
    </w:tbl>
    <w:p w14:paraId="71E03BED" w14:textId="77777777" w:rsidR="00FB3564" w:rsidRPr="00033A3F" w:rsidRDefault="00FB3564" w:rsidP="00FB3564">
      <w:pPr>
        <w:rPr>
          <w:color w:val="000000" w:themeColor="text1"/>
        </w:rPr>
      </w:pPr>
    </w:p>
    <w:p w14:paraId="3C14FC86" w14:textId="77777777" w:rsidR="00FB3564" w:rsidRPr="00033A3F" w:rsidRDefault="00FB3564" w:rsidP="00FB3564">
      <w:pPr>
        <w:pStyle w:val="OdstavecASR"/>
        <w:rPr>
          <w:color w:val="000000" w:themeColor="text1"/>
        </w:rPr>
      </w:pPr>
      <w:r w:rsidRPr="00033A3F">
        <w:rPr>
          <w:color w:val="000000" w:themeColor="text1"/>
        </w:rPr>
        <w:t>Statisticky jsou sledovány tři důvody, proč je věc převedena z rejstříku EPR do rejstříku C:</w:t>
      </w:r>
    </w:p>
    <w:p w14:paraId="0C287DF8" w14:textId="77777777" w:rsidR="00FB3564" w:rsidRPr="00033A3F" w:rsidRDefault="00FB3564" w:rsidP="00FB3564">
      <w:pPr>
        <w:pStyle w:val="OdstavecASR"/>
        <w:numPr>
          <w:ilvl w:val="0"/>
          <w:numId w:val="7"/>
        </w:numPr>
        <w:rPr>
          <w:color w:val="000000" w:themeColor="text1"/>
        </w:rPr>
      </w:pPr>
      <w:r w:rsidRPr="00033A3F">
        <w:rPr>
          <w:b/>
          <w:color w:val="000000" w:themeColor="text1"/>
        </w:rPr>
        <w:t>EPR zrušen soudem</w:t>
      </w:r>
      <w:r w:rsidRPr="00033A3F">
        <w:rPr>
          <w:color w:val="000000" w:themeColor="text1"/>
        </w:rPr>
        <w:t>: elektronický platební rozkaz je zrušen, protože ho nebylo možné doručit. To může mít různé důvody, například pokud se účastník sporu přestěhoval bez udání další či nové adresy nebo má hlášenou adresu bydliště na městském úřadu a dále ho není možné nikterak dohledat.</w:t>
      </w:r>
    </w:p>
    <w:p w14:paraId="08754C0B" w14:textId="77777777" w:rsidR="00FB3564" w:rsidRPr="00033A3F" w:rsidRDefault="00FB3564" w:rsidP="00FB3564">
      <w:pPr>
        <w:pStyle w:val="OdstavecASR"/>
        <w:numPr>
          <w:ilvl w:val="0"/>
          <w:numId w:val="7"/>
        </w:numPr>
        <w:rPr>
          <w:color w:val="000000" w:themeColor="text1"/>
        </w:rPr>
      </w:pPr>
      <w:r w:rsidRPr="00033A3F">
        <w:rPr>
          <w:rFonts w:eastAsia="Times New Roman"/>
          <w:b/>
          <w:bCs/>
          <w:color w:val="000000" w:themeColor="text1"/>
          <w:szCs w:val="24"/>
          <w:lang w:eastAsia="cs-CZ"/>
        </w:rPr>
        <w:t xml:space="preserve">Podán odpor, který nebyl odmítnut: </w:t>
      </w:r>
      <w:r w:rsidRPr="00033A3F">
        <w:rPr>
          <w:rFonts w:eastAsia="Times New Roman"/>
          <w:bCs/>
          <w:color w:val="000000" w:themeColor="text1"/>
          <w:szCs w:val="24"/>
          <w:lang w:eastAsia="cs-CZ"/>
        </w:rPr>
        <w:t>byl podán odpor proti elektronickému platebnímu rozkazu. Odpor byl podán včas a oprávněnou osobou.</w:t>
      </w:r>
    </w:p>
    <w:p w14:paraId="16F2F746" w14:textId="3BE6C695" w:rsidR="00FB3564" w:rsidRPr="00033A3F" w:rsidRDefault="00FB3564" w:rsidP="00FB3564">
      <w:pPr>
        <w:pStyle w:val="OdstavecASR"/>
        <w:numPr>
          <w:ilvl w:val="0"/>
          <w:numId w:val="7"/>
        </w:numPr>
        <w:rPr>
          <w:color w:val="000000" w:themeColor="text1"/>
        </w:rPr>
      </w:pPr>
      <w:r w:rsidRPr="00033A3F">
        <w:rPr>
          <w:rFonts w:eastAsia="Times New Roman"/>
          <w:b/>
          <w:bCs/>
          <w:color w:val="000000" w:themeColor="text1"/>
          <w:szCs w:val="24"/>
          <w:lang w:eastAsia="cs-CZ"/>
        </w:rPr>
        <w:lastRenderedPageBreak/>
        <w:t>Jiný důvod:</w:t>
      </w:r>
      <w:r w:rsidRPr="00033A3F">
        <w:rPr>
          <w:color w:val="000000" w:themeColor="text1"/>
        </w:rPr>
        <w:t xml:space="preserve"> zahrnuje všechny ostatní důvody pro převedení věci, zpravidla proto, že nebylo možné z jiného důvodu vydat EPR (platební rozkaz by například měl být doručen žalovanému do ciziny nebo</w:t>
      </w:r>
      <w:r w:rsidR="00F06A3A" w:rsidRPr="00033A3F">
        <w:rPr>
          <w:color w:val="000000" w:themeColor="text1"/>
        </w:rPr>
        <w:t xml:space="preserve"> směřuje proti nezletilému, který není plně svéprávný</w:t>
      </w:r>
      <w:r w:rsidRPr="00033A3F">
        <w:rPr>
          <w:color w:val="000000" w:themeColor="text1"/>
        </w:rPr>
        <w:t>).</w:t>
      </w:r>
    </w:p>
    <w:p w14:paraId="64C8F324" w14:textId="1FFA2DB4" w:rsidR="00FB3564" w:rsidRPr="00033A3F" w:rsidRDefault="00FB3564" w:rsidP="00BF0CC3">
      <w:pPr>
        <w:pStyle w:val="OdstavecASR"/>
        <w:rPr>
          <w:color w:val="000000" w:themeColor="text1"/>
        </w:rPr>
      </w:pPr>
      <w:r w:rsidRPr="00033A3F">
        <w:rPr>
          <w:color w:val="000000" w:themeColor="text1"/>
        </w:rPr>
        <w:t>V datech vidíme, že převedených věcí je opravdu velké množství. Porovnáme-li počet převedených věcí s počtem věcí vyřízených, vidíme, že tento podíl v letech 2013 až 2017 tvořil 51 až 56 %.</w:t>
      </w:r>
      <w:r w:rsidRPr="00033A3F">
        <w:rPr>
          <w:rStyle w:val="Znakapoznpodarou"/>
          <w:color w:val="000000" w:themeColor="text1"/>
        </w:rPr>
        <w:footnoteReference w:id="9"/>
      </w:r>
      <w:r w:rsidRPr="00033A3F">
        <w:rPr>
          <w:color w:val="000000" w:themeColor="text1"/>
        </w:rPr>
        <w:t xml:space="preserve"> V zásadě každá druhá věc v rejstříku EPR tak byla převedena do klasického civilního řízení. V letech 2018 a 2019 tento podíl přesáhl 60 %. V roce 2020 byl tento podíl 54 %,</w:t>
      </w:r>
      <w:r w:rsidR="00FC40F0" w:rsidRPr="00033A3F">
        <w:rPr>
          <w:color w:val="000000" w:themeColor="text1"/>
        </w:rPr>
        <w:t xml:space="preserve"> </w:t>
      </w:r>
      <w:r w:rsidRPr="00033A3F">
        <w:rPr>
          <w:color w:val="000000" w:themeColor="text1"/>
        </w:rPr>
        <w:t>v roce 2021 dosáhl 62 %, v letech 2022 a 2023 činil 59 % a v roce 2024 to bylo 60 %. Zároveň tak platí, že více než polovina všech věcí nově napadlých do rejstříku C odpovídá nedoručeným EPR.</w:t>
      </w:r>
    </w:p>
    <w:p w14:paraId="54EEAE0C" w14:textId="25CE83CD" w:rsidR="00AC75EB" w:rsidRPr="00033A3F" w:rsidRDefault="00AC75EB">
      <w:pPr>
        <w:spacing w:after="160" w:line="259" w:lineRule="auto"/>
        <w:jc w:val="left"/>
        <w:rPr>
          <w:rFonts w:eastAsia="Times New Roman"/>
          <w:b/>
          <w:bCs/>
          <w:color w:val="000000" w:themeColor="text1"/>
        </w:rPr>
      </w:pPr>
      <w:r w:rsidRPr="00033A3F">
        <w:rPr>
          <w:color w:val="000000" w:themeColor="text1"/>
        </w:rPr>
        <w:br w:type="page"/>
      </w:r>
    </w:p>
    <w:p w14:paraId="67F1B57F" w14:textId="1BE26B46" w:rsidR="00E26C17" w:rsidRPr="00033A3F" w:rsidRDefault="008430BD" w:rsidP="00E26C17">
      <w:pPr>
        <w:pStyle w:val="Nadpis2"/>
        <w:numPr>
          <w:ilvl w:val="1"/>
          <w:numId w:val="1"/>
        </w:numPr>
        <w:spacing w:before="120"/>
      </w:pPr>
      <w:bookmarkStart w:id="491" w:name="_Ref511307908"/>
      <w:bookmarkStart w:id="492" w:name="_Toc515871230"/>
      <w:bookmarkStart w:id="493" w:name="_Toc106092727"/>
      <w:bookmarkStart w:id="494" w:name="_Toc169250811"/>
      <w:bookmarkStart w:id="495" w:name="_Toc193530972"/>
      <w:bookmarkStart w:id="496" w:name="_Toc193957029"/>
      <w:bookmarkStart w:id="497" w:name="_Toc203032719"/>
      <w:r w:rsidRPr="00033A3F">
        <w:lastRenderedPageBreak/>
        <w:t>Trestní agenda</w:t>
      </w:r>
      <w:bookmarkEnd w:id="491"/>
      <w:bookmarkEnd w:id="492"/>
      <w:bookmarkEnd w:id="493"/>
      <w:bookmarkEnd w:id="494"/>
      <w:bookmarkEnd w:id="495"/>
      <w:bookmarkEnd w:id="496"/>
      <w:bookmarkEnd w:id="497"/>
    </w:p>
    <w:p w14:paraId="4E071378" w14:textId="20D2CEF2" w:rsidR="00312A92" w:rsidRPr="00033A3F" w:rsidRDefault="00312A92" w:rsidP="00312A92">
      <w:pPr>
        <w:pStyle w:val="OdstavecASR"/>
        <w:rPr>
          <w:color w:val="000000" w:themeColor="text1"/>
        </w:rPr>
      </w:pPr>
      <w:r w:rsidRPr="00033A3F">
        <w:rPr>
          <w:color w:val="000000" w:themeColor="text1"/>
        </w:rPr>
        <w:t>Z hlediska statistického sledování je situace na trestním úseku soudů jednodušší. Vedlejší agendy jsou zde v zásadě pouze dvě – všeobecné trestní věci včetně rozhodování soudce ve zkráceném přípravném řízení a u soudů, v jejichž obvodu se nachází věznice, též agenda podmíněného propuštění</w:t>
      </w:r>
      <w:r w:rsidR="00342977" w:rsidRPr="00033A3F">
        <w:rPr>
          <w:color w:val="000000" w:themeColor="text1"/>
        </w:rPr>
        <w:t xml:space="preserve"> (rejstřík PP)</w:t>
      </w:r>
      <w:r w:rsidRPr="00033A3F">
        <w:rPr>
          <w:color w:val="000000" w:themeColor="text1"/>
        </w:rPr>
        <w:t xml:space="preserve">. </w:t>
      </w:r>
      <w:r w:rsidR="00342977" w:rsidRPr="00033A3F">
        <w:rPr>
          <w:color w:val="000000" w:themeColor="text1"/>
        </w:rPr>
        <w:t xml:space="preserve">V této výroční zprávě jsou údaje o podmíněném propuštění zařazeny v podkapitole další statistiky. </w:t>
      </w:r>
      <w:r w:rsidRPr="00033A3F">
        <w:rPr>
          <w:color w:val="000000" w:themeColor="text1"/>
        </w:rPr>
        <w:t>Soudy tedy vyřizují hlavně prvostupňové trestní věci a prvostupňové trestní věci mladistvých (rejstříky T a Tm). Způsob vykazování se na rozdíl od civilního řízení během let neměnil a není se tedy třeba obávat zkreslení v časových řadách. Data v podkapitolách délky řízení a jiné statistiky jsou očištěna pouze o věci vyřízené trestním příkazem. Trestní příkaz je obdobou platebního rozkazu v civilním řízení. Jedná se o jednoduché a velmi rychle vyřízené věci, a proto v této zprávě nejsou v datech zahrnuty. Délky řízení zahrnující věci vyřízené trestním příkazem je možné dohledat na internetových stránkách InfoData nebo ve statistických ročenkách.</w:t>
      </w:r>
    </w:p>
    <w:p w14:paraId="3884094D" w14:textId="77777777" w:rsidR="000E0762" w:rsidRPr="00033A3F" w:rsidRDefault="000E0762" w:rsidP="000E0762">
      <w:pPr>
        <w:pStyle w:val="Nadpis3"/>
        <w:numPr>
          <w:ilvl w:val="2"/>
          <w:numId w:val="1"/>
        </w:numPr>
        <w:rPr>
          <w:color w:val="000000" w:themeColor="text1"/>
        </w:rPr>
      </w:pPr>
      <w:bookmarkStart w:id="498" w:name="_Toc169250812"/>
      <w:bookmarkStart w:id="499" w:name="_Toc193530973"/>
      <w:bookmarkStart w:id="500" w:name="_Toc193957030"/>
      <w:bookmarkStart w:id="501" w:name="_Toc203032720"/>
      <w:r w:rsidRPr="00033A3F">
        <w:rPr>
          <w:color w:val="000000" w:themeColor="text1"/>
        </w:rPr>
        <w:t>Délka řízení</w:t>
      </w:r>
      <w:bookmarkEnd w:id="498"/>
      <w:bookmarkEnd w:id="499"/>
      <w:bookmarkEnd w:id="500"/>
      <w:bookmarkEnd w:id="501"/>
    </w:p>
    <w:p w14:paraId="2178DB49" w14:textId="663ACA9D" w:rsidR="009F53D4" w:rsidRPr="00033A3F" w:rsidRDefault="009F53D4" w:rsidP="009F53D4">
      <w:pPr>
        <w:pStyle w:val="Podnadpis"/>
        <w:numPr>
          <w:ilvl w:val="0"/>
          <w:numId w:val="0"/>
        </w:numPr>
        <w:rPr>
          <w:color w:val="000000" w:themeColor="text1"/>
        </w:rPr>
      </w:pPr>
      <w:bookmarkStart w:id="502" w:name="_Toc144104132"/>
      <w:bookmarkStart w:id="503" w:name="_Toc169250940"/>
      <w:bookmarkStart w:id="504" w:name="_Toc174080626"/>
      <w:bookmarkStart w:id="505" w:name="_Toc193530778"/>
      <w:bookmarkStart w:id="506" w:name="_Toc193634052"/>
      <w:bookmarkStart w:id="507" w:name="_Toc20303285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23</w:t>
      </w:r>
      <w:r w:rsidRPr="00033A3F">
        <w:rPr>
          <w:color w:val="000000" w:themeColor="text1"/>
        </w:rPr>
        <w:fldChar w:fldCharType="end"/>
      </w:r>
      <w:r w:rsidRPr="00033A3F">
        <w:rPr>
          <w:color w:val="000000" w:themeColor="text1"/>
        </w:rPr>
        <w:t>: OS – délka trestního řízení v letech 2015–202</w:t>
      </w:r>
      <w:bookmarkEnd w:id="502"/>
      <w:bookmarkEnd w:id="503"/>
      <w:bookmarkEnd w:id="504"/>
      <w:r w:rsidRPr="00033A3F">
        <w:rPr>
          <w:color w:val="000000" w:themeColor="text1"/>
        </w:rPr>
        <w:t>4</w:t>
      </w:r>
      <w:bookmarkEnd w:id="505"/>
      <w:bookmarkEnd w:id="506"/>
      <w:bookmarkEnd w:id="507"/>
    </w:p>
    <w:p w14:paraId="00D28B2E" w14:textId="5BB81467" w:rsidR="009F53D4" w:rsidRPr="00033A3F" w:rsidRDefault="009F53D4" w:rsidP="009F53D4">
      <w:pPr>
        <w:rPr>
          <w:color w:val="000000" w:themeColor="text1"/>
        </w:rPr>
      </w:pPr>
      <w:r w:rsidRPr="00033A3F">
        <w:rPr>
          <w:noProof/>
          <w:color w:val="000000" w:themeColor="text1"/>
          <w:lang w:eastAsia="cs-CZ"/>
        </w:rPr>
        <w:drawing>
          <wp:inline distT="0" distB="0" distL="0" distR="0" wp14:anchorId="3707F4F7" wp14:editId="2DBCCA3F">
            <wp:extent cx="5029200" cy="3657600"/>
            <wp:effectExtent l="0" t="0" r="0" b="0"/>
            <wp:docPr id="142961644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B018193" w14:textId="77777777" w:rsidR="004F6F3F" w:rsidRPr="00033A3F" w:rsidRDefault="004F6F3F" w:rsidP="009F53D4">
      <w:pPr>
        <w:rPr>
          <w:color w:val="000000" w:themeColor="text1"/>
        </w:rPr>
      </w:pPr>
    </w:p>
    <w:p w14:paraId="750E81D2" w14:textId="4FD88EA4" w:rsidR="004F6F3F" w:rsidRPr="00033A3F" w:rsidRDefault="004F6F3F" w:rsidP="004F6F3F">
      <w:pPr>
        <w:pStyle w:val="OdstavecASR"/>
        <w:rPr>
          <w:color w:val="000000" w:themeColor="text1"/>
        </w:rPr>
      </w:pPr>
      <w:r w:rsidRPr="00033A3F">
        <w:rPr>
          <w:color w:val="000000" w:themeColor="text1"/>
        </w:rPr>
        <w:t>V letech 2014 až 2021 je vývoj ve všech ukazatelích stabilní s přirozenými výkyvy v obou směrech. Průměrná délka řízení je více než dvojnásobná, než je délka mediánová. To naznačuje, že existuje malá skupina řízení, která se oproti standardu velmi dlouho „táhnou“, což je stav, který trvá po celé vykazované období. Tuto domněnku potvrzuje i poměrně vysoký percentil 90. V letech 2020 a 2021 došlo k mírnému růstu délek řízení, nicméně jde jen o velmi malou změnu a nelze říct, že by tato statistika naznačovala zhoršení situace v trestní agendě. Zdá se, že pandemie COVID</w:t>
      </w:r>
      <w:r w:rsidRPr="00033A3F">
        <w:rPr>
          <w:color w:val="000000" w:themeColor="text1"/>
        </w:rPr>
        <w:noBreakHyphen/>
        <w:t xml:space="preserve">19 vykazovanou délku řízení v zásadě neovlivnila. V roce 2022 došlo po mnoha letech k citelnému poklesu v délce řízení. V letech 2023 a 2024 pokles pokračoval, především pak pokles průměru </w:t>
      </w:r>
      <w:r w:rsidR="006C308E" w:rsidRPr="00033A3F">
        <w:rPr>
          <w:color w:val="000000" w:themeColor="text1"/>
        </w:rPr>
        <w:t>a </w:t>
      </w:r>
      <w:r w:rsidRPr="00033A3F">
        <w:rPr>
          <w:color w:val="000000" w:themeColor="text1"/>
        </w:rPr>
        <w:t>percentilu 90.</w:t>
      </w:r>
    </w:p>
    <w:p w14:paraId="6492F6AF" w14:textId="77777777" w:rsidR="004F6F3F" w:rsidRPr="00033A3F" w:rsidRDefault="004F6F3F" w:rsidP="009F53D4">
      <w:pPr>
        <w:rPr>
          <w:color w:val="000000" w:themeColor="text1"/>
        </w:rPr>
      </w:pPr>
    </w:p>
    <w:p w14:paraId="6EC0C4EB" w14:textId="260E6E9B" w:rsidR="004F6F3F" w:rsidRPr="00033A3F" w:rsidRDefault="004F6F3F" w:rsidP="004F6F3F">
      <w:pPr>
        <w:pStyle w:val="OdstavecASR"/>
        <w:rPr>
          <w:color w:val="000000" w:themeColor="text1"/>
        </w:rPr>
      </w:pPr>
      <w:r w:rsidRPr="00033A3F">
        <w:rPr>
          <w:color w:val="000000" w:themeColor="text1"/>
        </w:rPr>
        <w:t xml:space="preserve">Hodnoty jsou tak </w:t>
      </w:r>
      <w:r w:rsidR="00E2171C" w:rsidRPr="00033A3F">
        <w:rPr>
          <w:color w:val="000000" w:themeColor="text1"/>
        </w:rPr>
        <w:t xml:space="preserve">v roce 2024 </w:t>
      </w:r>
      <w:r w:rsidRPr="00033A3F">
        <w:rPr>
          <w:color w:val="000000" w:themeColor="text1"/>
        </w:rPr>
        <w:t>nejnižší ve vykazovaném období</w:t>
      </w:r>
      <w:r w:rsidR="00412261" w:rsidRPr="00033A3F">
        <w:rPr>
          <w:color w:val="000000" w:themeColor="text1"/>
        </w:rPr>
        <w:t xml:space="preserve"> </w:t>
      </w:r>
      <w:r w:rsidR="00E2171C" w:rsidRPr="00033A3F">
        <w:rPr>
          <w:color w:val="000000" w:themeColor="text1"/>
        </w:rPr>
        <w:t xml:space="preserve">a </w:t>
      </w:r>
      <w:r w:rsidRPr="00033A3F">
        <w:rPr>
          <w:color w:val="000000" w:themeColor="text1"/>
        </w:rPr>
        <w:t xml:space="preserve">jak ukazuje tabulka níže, k poklesu došlo u všech krajů s výjimkou </w:t>
      </w:r>
      <w:r w:rsidR="008A1041" w:rsidRPr="00033A3F">
        <w:rPr>
          <w:color w:val="000000" w:themeColor="text1"/>
        </w:rPr>
        <w:t xml:space="preserve">Východočeského </w:t>
      </w:r>
      <w:r w:rsidRPr="00033A3F">
        <w:rPr>
          <w:color w:val="000000" w:themeColor="text1"/>
        </w:rPr>
        <w:t xml:space="preserve">kraje. Bez hlubší analýzy není možné určit příčinu tohoto jevu. Je možné, že dlouhodobý pokles v počtu nevyřízených věcí se konečně projevil </w:t>
      </w:r>
      <w:r w:rsidR="005D35E3" w:rsidRPr="00033A3F">
        <w:rPr>
          <w:color w:val="000000" w:themeColor="text1"/>
        </w:rPr>
        <w:t>i </w:t>
      </w:r>
      <w:r w:rsidRPr="00033A3F">
        <w:rPr>
          <w:color w:val="000000" w:themeColor="text1"/>
        </w:rPr>
        <w:t xml:space="preserve">v délkách řízení. Přispět mohl i stále rostoucí počet dohod o vině a trestu. </w:t>
      </w:r>
      <w:r w:rsidR="008A1041" w:rsidRPr="00033A3F">
        <w:rPr>
          <w:color w:val="000000" w:themeColor="text1"/>
        </w:rPr>
        <w:t xml:space="preserve">Soudní řízení </w:t>
      </w:r>
      <w:r w:rsidR="001405D0" w:rsidRPr="00033A3F">
        <w:rPr>
          <w:color w:val="000000" w:themeColor="text1"/>
        </w:rPr>
        <w:t>rovněž urychluje</w:t>
      </w:r>
      <w:r w:rsidR="008A1041" w:rsidRPr="00033A3F">
        <w:rPr>
          <w:color w:val="000000" w:themeColor="text1"/>
        </w:rPr>
        <w:t xml:space="preserve">, pokud </w:t>
      </w:r>
      <w:r w:rsidR="006C308E" w:rsidRPr="00033A3F">
        <w:rPr>
          <w:color w:val="000000" w:themeColor="text1"/>
        </w:rPr>
        <w:t>obžalovaný</w:t>
      </w:r>
      <w:r w:rsidR="008A1041" w:rsidRPr="00033A3F">
        <w:rPr>
          <w:color w:val="000000" w:themeColor="text1"/>
        </w:rPr>
        <w:t xml:space="preserve"> v řízení před soudem </w:t>
      </w:r>
      <w:r w:rsidR="006C308E" w:rsidRPr="00033A3F">
        <w:rPr>
          <w:color w:val="000000" w:themeColor="text1"/>
        </w:rPr>
        <w:t xml:space="preserve">učiní </w:t>
      </w:r>
      <w:r w:rsidR="008A1041" w:rsidRPr="00033A3F">
        <w:rPr>
          <w:color w:val="000000" w:themeColor="text1"/>
        </w:rPr>
        <w:t>prohlášení viny podle § 206c tr. ř. Využívání tohoto institutu Ministerstvo spravedlnosti sleduje až od roku 2024</w:t>
      </w:r>
      <w:r w:rsidR="006C308E" w:rsidRPr="00033A3F">
        <w:rPr>
          <w:color w:val="000000" w:themeColor="text1"/>
        </w:rPr>
        <w:t>,</w:t>
      </w:r>
      <w:r w:rsidR="008A1041" w:rsidRPr="00033A3F">
        <w:rPr>
          <w:color w:val="000000" w:themeColor="text1"/>
        </w:rPr>
        <w:t xml:space="preserve"> a </w:t>
      </w:r>
      <w:r w:rsidR="006C308E" w:rsidRPr="00033A3F">
        <w:rPr>
          <w:color w:val="000000" w:themeColor="text1"/>
        </w:rPr>
        <w:t xml:space="preserve">nejsou pro něj tedy prozatím dostupné </w:t>
      </w:r>
      <w:r w:rsidR="00E2171C" w:rsidRPr="00033A3F">
        <w:rPr>
          <w:color w:val="000000" w:themeColor="text1"/>
        </w:rPr>
        <w:t xml:space="preserve">zatím </w:t>
      </w:r>
      <w:r w:rsidR="008A1041" w:rsidRPr="00033A3F">
        <w:rPr>
          <w:color w:val="000000" w:themeColor="text1"/>
        </w:rPr>
        <w:t>časov</w:t>
      </w:r>
      <w:r w:rsidR="006C308E" w:rsidRPr="00033A3F">
        <w:rPr>
          <w:color w:val="000000" w:themeColor="text1"/>
        </w:rPr>
        <w:t>é</w:t>
      </w:r>
      <w:r w:rsidR="008A1041" w:rsidRPr="00033A3F">
        <w:rPr>
          <w:color w:val="000000" w:themeColor="text1"/>
        </w:rPr>
        <w:t xml:space="preserve"> řad</w:t>
      </w:r>
      <w:r w:rsidR="006C308E" w:rsidRPr="00033A3F">
        <w:rPr>
          <w:color w:val="000000" w:themeColor="text1"/>
        </w:rPr>
        <w:t>y</w:t>
      </w:r>
      <w:r w:rsidR="008A1041" w:rsidRPr="00033A3F">
        <w:rPr>
          <w:color w:val="000000" w:themeColor="text1"/>
        </w:rPr>
        <w:t xml:space="preserve">. </w:t>
      </w:r>
      <w:r w:rsidR="006C308E" w:rsidRPr="00033A3F">
        <w:rPr>
          <w:color w:val="000000" w:themeColor="text1"/>
        </w:rPr>
        <w:t xml:space="preserve">V roce 2024 nicméně </w:t>
      </w:r>
      <w:r w:rsidR="001C5730" w:rsidRPr="00033A3F">
        <w:rPr>
          <w:color w:val="000000" w:themeColor="text1"/>
        </w:rPr>
        <w:t>prohlášení viny</w:t>
      </w:r>
      <w:r w:rsidR="008A1041" w:rsidRPr="00033A3F">
        <w:rPr>
          <w:color w:val="000000" w:themeColor="text1"/>
        </w:rPr>
        <w:t xml:space="preserve"> využila asi polovina </w:t>
      </w:r>
      <w:r w:rsidR="006C308E" w:rsidRPr="00033A3F">
        <w:rPr>
          <w:color w:val="000000" w:themeColor="text1"/>
        </w:rPr>
        <w:t xml:space="preserve">osob </w:t>
      </w:r>
      <w:r w:rsidR="008A1041" w:rsidRPr="00033A3F">
        <w:rPr>
          <w:color w:val="000000" w:themeColor="text1"/>
        </w:rPr>
        <w:t xml:space="preserve">odsouzených </w:t>
      </w:r>
      <w:r w:rsidR="006C308E" w:rsidRPr="00033A3F">
        <w:rPr>
          <w:color w:val="000000" w:themeColor="text1"/>
        </w:rPr>
        <w:t xml:space="preserve">v hlavním líčení </w:t>
      </w:r>
      <w:r w:rsidR="008A1041" w:rsidRPr="00033A3F">
        <w:rPr>
          <w:color w:val="000000" w:themeColor="text1"/>
        </w:rPr>
        <w:t>(či osob</w:t>
      </w:r>
      <w:r w:rsidR="00FC40F0" w:rsidRPr="00033A3F">
        <w:rPr>
          <w:color w:val="000000" w:themeColor="text1"/>
        </w:rPr>
        <w:t>,</w:t>
      </w:r>
      <w:r w:rsidR="008A1041" w:rsidRPr="00033A3F">
        <w:rPr>
          <w:color w:val="000000" w:themeColor="text1"/>
        </w:rPr>
        <w:t xml:space="preserve"> jímž byl uložen souhrnný trest)</w:t>
      </w:r>
      <w:r w:rsidR="006C308E" w:rsidRPr="00033A3F">
        <w:rPr>
          <w:color w:val="000000" w:themeColor="text1"/>
        </w:rPr>
        <w:t xml:space="preserve">, což naznačuje, že </w:t>
      </w:r>
      <w:r w:rsidR="001C5730" w:rsidRPr="00033A3F">
        <w:rPr>
          <w:color w:val="000000" w:themeColor="text1"/>
        </w:rPr>
        <w:t>je v praxi široce využíván</w:t>
      </w:r>
      <w:r w:rsidR="008A1041" w:rsidRPr="00033A3F">
        <w:rPr>
          <w:color w:val="000000" w:themeColor="text1"/>
        </w:rPr>
        <w:t xml:space="preserve">. </w:t>
      </w:r>
      <w:r w:rsidR="006C308E" w:rsidRPr="00033A3F">
        <w:rPr>
          <w:color w:val="000000" w:themeColor="text1"/>
        </w:rPr>
        <w:t>Vyloučit nemůžeme ani další d</w:t>
      </w:r>
      <w:r w:rsidRPr="00033A3F">
        <w:rPr>
          <w:color w:val="000000" w:themeColor="text1"/>
        </w:rPr>
        <w:t>ůvody</w:t>
      </w:r>
      <w:r w:rsidR="008A1041" w:rsidRPr="00033A3F">
        <w:rPr>
          <w:color w:val="000000" w:themeColor="text1"/>
        </w:rPr>
        <w:t xml:space="preserve"> pokles</w:t>
      </w:r>
      <w:r w:rsidR="00C14725" w:rsidRPr="00033A3F">
        <w:rPr>
          <w:color w:val="000000" w:themeColor="text1"/>
        </w:rPr>
        <w:t>u</w:t>
      </w:r>
      <w:r w:rsidRPr="00033A3F">
        <w:rPr>
          <w:color w:val="000000" w:themeColor="text1"/>
        </w:rPr>
        <w:t>.</w:t>
      </w:r>
    </w:p>
    <w:p w14:paraId="744F6DBE" w14:textId="10442151" w:rsidR="004F6F3F" w:rsidRPr="00033A3F" w:rsidRDefault="004F6F3F" w:rsidP="004F6F3F">
      <w:pPr>
        <w:pStyle w:val="Podnadpis"/>
        <w:rPr>
          <w:color w:val="000000" w:themeColor="text1"/>
          <w:sz w:val="20"/>
          <w:szCs w:val="20"/>
          <w:lang w:eastAsia="cs-CZ"/>
        </w:rPr>
      </w:pPr>
      <w:bookmarkStart w:id="508" w:name="_Ref510084261"/>
      <w:bookmarkStart w:id="509" w:name="_Ref510084255"/>
      <w:bookmarkStart w:id="510" w:name="_Toc515871451"/>
      <w:bookmarkStart w:id="511" w:name="_Toc11133219"/>
      <w:bookmarkStart w:id="512" w:name="_Toc43931193"/>
      <w:bookmarkStart w:id="513" w:name="_Toc75952323"/>
      <w:bookmarkStart w:id="514" w:name="_Toc106106782"/>
      <w:bookmarkStart w:id="515" w:name="_Toc144104260"/>
      <w:bookmarkStart w:id="516" w:name="_Toc169251076"/>
      <w:bookmarkStart w:id="517" w:name="_Toc174080762"/>
      <w:bookmarkStart w:id="518" w:name="_Toc193530895"/>
      <w:bookmarkStart w:id="519" w:name="_Toc194045590"/>
      <w:bookmarkStart w:id="520" w:name="_Toc199494999"/>
      <w:bookmarkStart w:id="521" w:name="_Toc203033059"/>
      <w:bookmarkStart w:id="522" w:name="_Toc203033137"/>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17</w:t>
      </w:r>
      <w:r w:rsidRPr="00033A3F">
        <w:rPr>
          <w:noProof/>
          <w:color w:val="000000" w:themeColor="text1"/>
        </w:rPr>
        <w:fldChar w:fldCharType="end"/>
      </w:r>
      <w:bookmarkEnd w:id="508"/>
      <w:r w:rsidRPr="00033A3F">
        <w:rPr>
          <w:color w:val="000000" w:themeColor="text1"/>
        </w:rPr>
        <w:t>: OS – délky trestního řízení dle krajů</w:t>
      </w:r>
      <w:bookmarkEnd w:id="509"/>
      <w:bookmarkEnd w:id="510"/>
      <w:bookmarkEnd w:id="511"/>
      <w:bookmarkEnd w:id="512"/>
      <w:bookmarkEnd w:id="513"/>
      <w:bookmarkEnd w:id="514"/>
      <w:bookmarkEnd w:id="515"/>
      <w:r w:rsidRPr="00033A3F">
        <w:rPr>
          <w:color w:val="000000" w:themeColor="text1"/>
        </w:rPr>
        <w:t>, 202</w:t>
      </w:r>
      <w:bookmarkEnd w:id="516"/>
      <w:bookmarkEnd w:id="517"/>
      <w:r w:rsidRPr="00033A3F">
        <w:rPr>
          <w:color w:val="000000" w:themeColor="text1"/>
        </w:rPr>
        <w:t>4</w:t>
      </w:r>
      <w:bookmarkEnd w:id="518"/>
      <w:bookmarkEnd w:id="519"/>
      <w:bookmarkEnd w:id="520"/>
      <w:bookmarkEnd w:id="521"/>
      <w:bookmarkEnd w:id="522"/>
    </w:p>
    <w:tbl>
      <w:tblPr>
        <w:tblW w:w="8921" w:type="dxa"/>
        <w:tblLayout w:type="fixed"/>
        <w:tblCellMar>
          <w:left w:w="70" w:type="dxa"/>
          <w:right w:w="70" w:type="dxa"/>
        </w:tblCellMar>
        <w:tblLook w:val="04A0" w:firstRow="1" w:lastRow="0" w:firstColumn="1" w:lastColumn="0" w:noHBand="0" w:noVBand="1"/>
      </w:tblPr>
      <w:tblGrid>
        <w:gridCol w:w="2440"/>
        <w:gridCol w:w="1080"/>
        <w:gridCol w:w="1080"/>
        <w:gridCol w:w="1080"/>
        <w:gridCol w:w="1080"/>
        <w:gridCol w:w="1080"/>
        <w:gridCol w:w="1081"/>
      </w:tblGrid>
      <w:tr w:rsidR="00033A3F" w:rsidRPr="00033A3F" w14:paraId="794DAC4B" w14:textId="77777777" w:rsidTr="00BF0CC3">
        <w:trPr>
          <w:trHeight w:val="330"/>
        </w:trPr>
        <w:tc>
          <w:tcPr>
            <w:tcW w:w="2440" w:type="dxa"/>
            <w:vMerge w:val="restart"/>
            <w:tcBorders>
              <w:top w:val="double" w:sz="6" w:space="0" w:color="auto"/>
              <w:left w:val="nil"/>
              <w:bottom w:val="double" w:sz="6" w:space="0" w:color="000000"/>
              <w:right w:val="nil"/>
            </w:tcBorders>
            <w:shd w:val="clear" w:color="auto" w:fill="auto"/>
            <w:noWrap/>
            <w:vAlign w:val="center"/>
            <w:hideMark/>
          </w:tcPr>
          <w:p w14:paraId="382EE12F" w14:textId="77777777" w:rsidR="005F572D" w:rsidRPr="00033A3F" w:rsidRDefault="005F572D" w:rsidP="00BF0CC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6481" w:type="dxa"/>
            <w:gridSpan w:val="6"/>
            <w:tcBorders>
              <w:top w:val="double" w:sz="6" w:space="0" w:color="auto"/>
              <w:left w:val="nil"/>
              <w:bottom w:val="nil"/>
              <w:right w:val="nil"/>
            </w:tcBorders>
            <w:shd w:val="clear" w:color="auto" w:fill="auto"/>
            <w:noWrap/>
            <w:vAlign w:val="center"/>
            <w:hideMark/>
          </w:tcPr>
          <w:p w14:paraId="7981880F"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1E922A62" w14:textId="77777777" w:rsidTr="00884000">
        <w:trPr>
          <w:trHeight w:val="330"/>
        </w:trPr>
        <w:tc>
          <w:tcPr>
            <w:tcW w:w="2440" w:type="dxa"/>
            <w:vMerge/>
            <w:tcBorders>
              <w:top w:val="double" w:sz="6" w:space="0" w:color="auto"/>
              <w:left w:val="nil"/>
              <w:bottom w:val="double" w:sz="6" w:space="0" w:color="000000"/>
              <w:right w:val="nil"/>
            </w:tcBorders>
            <w:vAlign w:val="center"/>
            <w:hideMark/>
          </w:tcPr>
          <w:p w14:paraId="33D7BB66" w14:textId="77777777" w:rsidR="005F572D" w:rsidRPr="00033A3F" w:rsidRDefault="005F572D" w:rsidP="005F572D">
            <w:pPr>
              <w:spacing w:line="240" w:lineRule="auto"/>
              <w:jc w:val="left"/>
              <w:rPr>
                <w:rFonts w:eastAsia="Times New Roman"/>
                <w:b/>
                <w:bCs/>
                <w:color w:val="000000" w:themeColor="text1"/>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14:paraId="763CFF29"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D15B032"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2161" w:type="dxa"/>
            <w:gridSpan w:val="2"/>
            <w:tcBorders>
              <w:top w:val="nil"/>
              <w:left w:val="nil"/>
              <w:bottom w:val="double" w:sz="6" w:space="0" w:color="auto"/>
              <w:right w:val="nil"/>
            </w:tcBorders>
            <w:shd w:val="clear" w:color="auto" w:fill="auto"/>
            <w:noWrap/>
            <w:vAlign w:val="center"/>
            <w:hideMark/>
          </w:tcPr>
          <w:p w14:paraId="64154202"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52FC8F47" w14:textId="77777777" w:rsidTr="00884000">
        <w:trPr>
          <w:trHeight w:val="330"/>
        </w:trPr>
        <w:tc>
          <w:tcPr>
            <w:tcW w:w="2440" w:type="dxa"/>
            <w:tcBorders>
              <w:top w:val="single" w:sz="4" w:space="0" w:color="auto"/>
              <w:left w:val="nil"/>
              <w:bottom w:val="single" w:sz="4" w:space="0" w:color="auto"/>
              <w:right w:val="nil"/>
            </w:tcBorders>
            <w:shd w:val="clear" w:color="auto" w:fill="auto"/>
            <w:noWrap/>
            <w:vAlign w:val="bottom"/>
            <w:hideMark/>
          </w:tcPr>
          <w:p w14:paraId="6870BB67"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80" w:type="dxa"/>
            <w:tcBorders>
              <w:top w:val="single" w:sz="4" w:space="0" w:color="auto"/>
              <w:left w:val="nil"/>
              <w:bottom w:val="single" w:sz="4" w:space="0" w:color="auto"/>
              <w:right w:val="nil"/>
            </w:tcBorders>
            <w:shd w:val="clear" w:color="auto" w:fill="auto"/>
            <w:noWrap/>
            <w:vAlign w:val="bottom"/>
            <w:hideMark/>
          </w:tcPr>
          <w:p w14:paraId="47D25B66"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w:t>
            </w:r>
          </w:p>
        </w:tc>
        <w:tc>
          <w:tcPr>
            <w:tcW w:w="1080" w:type="dxa"/>
            <w:tcBorders>
              <w:top w:val="single" w:sz="4" w:space="0" w:color="auto"/>
              <w:left w:val="nil"/>
              <w:bottom w:val="single" w:sz="4" w:space="0" w:color="auto"/>
              <w:right w:val="nil"/>
            </w:tcBorders>
            <w:shd w:val="clear" w:color="auto" w:fill="auto"/>
            <w:noWrap/>
            <w:vAlign w:val="center"/>
            <w:hideMark/>
          </w:tcPr>
          <w:p w14:paraId="6C0930FE" w14:textId="23299046"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0" w:type="dxa"/>
            <w:tcBorders>
              <w:top w:val="nil"/>
              <w:left w:val="single" w:sz="4" w:space="0" w:color="auto"/>
              <w:bottom w:val="single" w:sz="4" w:space="0" w:color="auto"/>
              <w:right w:val="nil"/>
            </w:tcBorders>
            <w:shd w:val="clear" w:color="auto" w:fill="auto"/>
            <w:noWrap/>
            <w:vAlign w:val="bottom"/>
            <w:hideMark/>
          </w:tcPr>
          <w:p w14:paraId="37A9716A"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1080" w:type="dxa"/>
            <w:tcBorders>
              <w:top w:val="nil"/>
              <w:left w:val="nil"/>
              <w:bottom w:val="single" w:sz="4" w:space="0" w:color="auto"/>
              <w:right w:val="single" w:sz="4" w:space="0" w:color="auto"/>
            </w:tcBorders>
            <w:shd w:val="clear" w:color="auto" w:fill="auto"/>
            <w:noWrap/>
            <w:vAlign w:val="center"/>
            <w:hideMark/>
          </w:tcPr>
          <w:p w14:paraId="7A70D422" w14:textId="0C90A0AE"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0" w:type="dxa"/>
            <w:tcBorders>
              <w:top w:val="single" w:sz="4" w:space="0" w:color="auto"/>
              <w:left w:val="nil"/>
              <w:bottom w:val="single" w:sz="4" w:space="0" w:color="auto"/>
              <w:right w:val="nil"/>
            </w:tcBorders>
            <w:shd w:val="clear" w:color="auto" w:fill="auto"/>
            <w:noWrap/>
            <w:vAlign w:val="bottom"/>
            <w:hideMark/>
          </w:tcPr>
          <w:p w14:paraId="55871A61"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307</w:t>
            </w:r>
          </w:p>
        </w:tc>
        <w:tc>
          <w:tcPr>
            <w:tcW w:w="1081" w:type="dxa"/>
            <w:tcBorders>
              <w:top w:val="single" w:sz="4" w:space="0" w:color="auto"/>
              <w:left w:val="nil"/>
              <w:bottom w:val="single" w:sz="4" w:space="0" w:color="auto"/>
              <w:right w:val="nil"/>
            </w:tcBorders>
            <w:shd w:val="clear" w:color="auto" w:fill="auto"/>
            <w:noWrap/>
            <w:vAlign w:val="center"/>
            <w:hideMark/>
          </w:tcPr>
          <w:p w14:paraId="3B0BE929" w14:textId="2370DF1F"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7E5F4ED9"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3E117846"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3F3FFB55"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108</w:t>
            </w:r>
          </w:p>
        </w:tc>
        <w:tc>
          <w:tcPr>
            <w:tcW w:w="1080" w:type="dxa"/>
            <w:tcBorders>
              <w:top w:val="nil"/>
              <w:left w:val="nil"/>
              <w:bottom w:val="single" w:sz="4" w:space="0" w:color="auto"/>
              <w:right w:val="nil"/>
            </w:tcBorders>
            <w:shd w:val="clear" w:color="auto" w:fill="auto"/>
            <w:noWrap/>
            <w:vAlign w:val="center"/>
            <w:hideMark/>
          </w:tcPr>
          <w:p w14:paraId="1499C6EB" w14:textId="3C2C6CAC"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80" w:type="dxa"/>
            <w:tcBorders>
              <w:top w:val="nil"/>
              <w:left w:val="single" w:sz="4" w:space="0" w:color="auto"/>
              <w:bottom w:val="single" w:sz="4" w:space="0" w:color="auto"/>
              <w:right w:val="nil"/>
            </w:tcBorders>
            <w:shd w:val="clear" w:color="auto" w:fill="auto"/>
            <w:noWrap/>
            <w:vAlign w:val="bottom"/>
            <w:hideMark/>
          </w:tcPr>
          <w:p w14:paraId="6A70F372"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w:t>
            </w:r>
          </w:p>
        </w:tc>
        <w:tc>
          <w:tcPr>
            <w:tcW w:w="1080" w:type="dxa"/>
            <w:tcBorders>
              <w:top w:val="nil"/>
              <w:left w:val="nil"/>
              <w:bottom w:val="single" w:sz="4" w:space="0" w:color="auto"/>
              <w:right w:val="single" w:sz="4" w:space="0" w:color="auto"/>
            </w:tcBorders>
            <w:shd w:val="clear" w:color="auto" w:fill="auto"/>
            <w:noWrap/>
            <w:vAlign w:val="center"/>
            <w:hideMark/>
          </w:tcPr>
          <w:p w14:paraId="0A384099" w14:textId="0F51D61C"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0" w:type="dxa"/>
            <w:tcBorders>
              <w:top w:val="nil"/>
              <w:left w:val="nil"/>
              <w:bottom w:val="single" w:sz="4" w:space="0" w:color="auto"/>
              <w:right w:val="nil"/>
            </w:tcBorders>
            <w:shd w:val="clear" w:color="auto" w:fill="auto"/>
            <w:noWrap/>
            <w:vAlign w:val="bottom"/>
            <w:hideMark/>
          </w:tcPr>
          <w:p w14:paraId="2B12DB71"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204</w:t>
            </w:r>
          </w:p>
        </w:tc>
        <w:tc>
          <w:tcPr>
            <w:tcW w:w="1081" w:type="dxa"/>
            <w:tcBorders>
              <w:top w:val="nil"/>
              <w:left w:val="nil"/>
              <w:bottom w:val="single" w:sz="4" w:space="0" w:color="auto"/>
              <w:right w:val="nil"/>
            </w:tcBorders>
            <w:shd w:val="clear" w:color="auto" w:fill="auto"/>
            <w:noWrap/>
            <w:vAlign w:val="center"/>
            <w:hideMark/>
          </w:tcPr>
          <w:p w14:paraId="0D7937D3" w14:textId="518F988F"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r>
      <w:tr w:rsidR="00033A3F" w:rsidRPr="00033A3F" w14:paraId="28815777"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2960D9B0"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80" w:type="dxa"/>
            <w:tcBorders>
              <w:top w:val="nil"/>
              <w:left w:val="nil"/>
              <w:bottom w:val="single" w:sz="4" w:space="0" w:color="auto"/>
              <w:right w:val="nil"/>
            </w:tcBorders>
            <w:shd w:val="clear" w:color="auto" w:fill="auto"/>
            <w:noWrap/>
            <w:vAlign w:val="bottom"/>
            <w:hideMark/>
          </w:tcPr>
          <w:p w14:paraId="038BFC59"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w:t>
            </w:r>
          </w:p>
        </w:tc>
        <w:tc>
          <w:tcPr>
            <w:tcW w:w="1080" w:type="dxa"/>
            <w:tcBorders>
              <w:top w:val="nil"/>
              <w:left w:val="nil"/>
              <w:bottom w:val="single" w:sz="4" w:space="0" w:color="auto"/>
              <w:right w:val="nil"/>
            </w:tcBorders>
            <w:shd w:val="clear" w:color="auto" w:fill="auto"/>
            <w:noWrap/>
            <w:vAlign w:val="center"/>
            <w:hideMark/>
          </w:tcPr>
          <w:p w14:paraId="2C5C99C8" w14:textId="0CDC7C1F"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080" w:type="dxa"/>
            <w:tcBorders>
              <w:top w:val="nil"/>
              <w:left w:val="single" w:sz="4" w:space="0" w:color="auto"/>
              <w:bottom w:val="single" w:sz="4" w:space="0" w:color="auto"/>
              <w:right w:val="nil"/>
            </w:tcBorders>
            <w:shd w:val="clear" w:color="auto" w:fill="auto"/>
            <w:noWrap/>
            <w:vAlign w:val="bottom"/>
            <w:hideMark/>
          </w:tcPr>
          <w:p w14:paraId="77845104"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w:t>
            </w:r>
          </w:p>
        </w:tc>
        <w:tc>
          <w:tcPr>
            <w:tcW w:w="1080" w:type="dxa"/>
            <w:tcBorders>
              <w:top w:val="nil"/>
              <w:left w:val="nil"/>
              <w:bottom w:val="single" w:sz="4" w:space="0" w:color="auto"/>
              <w:right w:val="single" w:sz="4" w:space="0" w:color="auto"/>
            </w:tcBorders>
            <w:shd w:val="clear" w:color="auto" w:fill="auto"/>
            <w:noWrap/>
            <w:vAlign w:val="center"/>
            <w:hideMark/>
          </w:tcPr>
          <w:p w14:paraId="2A24EB9C" w14:textId="01926065"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0" w:type="dxa"/>
            <w:tcBorders>
              <w:top w:val="nil"/>
              <w:left w:val="nil"/>
              <w:bottom w:val="single" w:sz="4" w:space="0" w:color="auto"/>
              <w:right w:val="nil"/>
            </w:tcBorders>
            <w:shd w:val="clear" w:color="auto" w:fill="auto"/>
            <w:noWrap/>
            <w:vAlign w:val="bottom"/>
            <w:hideMark/>
          </w:tcPr>
          <w:p w14:paraId="656F7B8A"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272</w:t>
            </w:r>
          </w:p>
        </w:tc>
        <w:tc>
          <w:tcPr>
            <w:tcW w:w="1081" w:type="dxa"/>
            <w:tcBorders>
              <w:top w:val="nil"/>
              <w:left w:val="nil"/>
              <w:bottom w:val="single" w:sz="4" w:space="0" w:color="auto"/>
              <w:right w:val="nil"/>
            </w:tcBorders>
            <w:shd w:val="clear" w:color="auto" w:fill="auto"/>
            <w:noWrap/>
            <w:vAlign w:val="center"/>
            <w:hideMark/>
          </w:tcPr>
          <w:p w14:paraId="00E33BFF" w14:textId="6788BFD5"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3A4E5423"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0505420F"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35C3DF8D"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151</w:t>
            </w:r>
          </w:p>
        </w:tc>
        <w:tc>
          <w:tcPr>
            <w:tcW w:w="1080" w:type="dxa"/>
            <w:tcBorders>
              <w:top w:val="nil"/>
              <w:left w:val="nil"/>
              <w:bottom w:val="single" w:sz="4" w:space="0" w:color="auto"/>
              <w:right w:val="nil"/>
            </w:tcBorders>
            <w:shd w:val="clear" w:color="auto" w:fill="auto"/>
            <w:noWrap/>
            <w:vAlign w:val="center"/>
            <w:hideMark/>
          </w:tcPr>
          <w:p w14:paraId="3663F8DB" w14:textId="0434309D"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080" w:type="dxa"/>
            <w:tcBorders>
              <w:top w:val="nil"/>
              <w:left w:val="single" w:sz="4" w:space="0" w:color="auto"/>
              <w:bottom w:val="single" w:sz="4" w:space="0" w:color="auto"/>
              <w:right w:val="nil"/>
            </w:tcBorders>
            <w:shd w:val="clear" w:color="auto" w:fill="auto"/>
            <w:noWrap/>
            <w:vAlign w:val="bottom"/>
            <w:hideMark/>
          </w:tcPr>
          <w:p w14:paraId="344EB670"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80</w:t>
            </w:r>
          </w:p>
        </w:tc>
        <w:tc>
          <w:tcPr>
            <w:tcW w:w="1080" w:type="dxa"/>
            <w:tcBorders>
              <w:top w:val="nil"/>
              <w:left w:val="nil"/>
              <w:bottom w:val="single" w:sz="4" w:space="0" w:color="auto"/>
              <w:right w:val="single" w:sz="4" w:space="0" w:color="auto"/>
            </w:tcBorders>
            <w:shd w:val="clear" w:color="auto" w:fill="auto"/>
            <w:noWrap/>
            <w:vAlign w:val="center"/>
            <w:hideMark/>
          </w:tcPr>
          <w:p w14:paraId="4AB9A819" w14:textId="6139BAFE"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80" w:type="dxa"/>
            <w:tcBorders>
              <w:top w:val="nil"/>
              <w:left w:val="nil"/>
              <w:bottom w:val="single" w:sz="4" w:space="0" w:color="auto"/>
              <w:right w:val="nil"/>
            </w:tcBorders>
            <w:shd w:val="clear" w:color="auto" w:fill="auto"/>
            <w:noWrap/>
            <w:vAlign w:val="bottom"/>
            <w:hideMark/>
          </w:tcPr>
          <w:p w14:paraId="4F72B6E0"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332</w:t>
            </w:r>
          </w:p>
        </w:tc>
        <w:tc>
          <w:tcPr>
            <w:tcW w:w="1081" w:type="dxa"/>
            <w:tcBorders>
              <w:top w:val="nil"/>
              <w:left w:val="nil"/>
              <w:bottom w:val="single" w:sz="4" w:space="0" w:color="auto"/>
              <w:right w:val="nil"/>
            </w:tcBorders>
            <w:shd w:val="clear" w:color="auto" w:fill="auto"/>
            <w:noWrap/>
            <w:vAlign w:val="center"/>
            <w:hideMark/>
          </w:tcPr>
          <w:p w14:paraId="7EDE8983" w14:textId="7EC798CE"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r>
      <w:tr w:rsidR="00033A3F" w:rsidRPr="00033A3F" w14:paraId="75714804"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69FE8BC5"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80" w:type="dxa"/>
            <w:tcBorders>
              <w:top w:val="nil"/>
              <w:left w:val="nil"/>
              <w:bottom w:val="single" w:sz="4" w:space="0" w:color="auto"/>
              <w:right w:val="nil"/>
            </w:tcBorders>
            <w:shd w:val="clear" w:color="auto" w:fill="auto"/>
            <w:noWrap/>
            <w:vAlign w:val="bottom"/>
            <w:hideMark/>
          </w:tcPr>
          <w:p w14:paraId="6544E23A"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191</w:t>
            </w:r>
          </w:p>
        </w:tc>
        <w:tc>
          <w:tcPr>
            <w:tcW w:w="1080" w:type="dxa"/>
            <w:tcBorders>
              <w:top w:val="nil"/>
              <w:left w:val="nil"/>
              <w:bottom w:val="single" w:sz="4" w:space="0" w:color="auto"/>
              <w:right w:val="nil"/>
            </w:tcBorders>
            <w:shd w:val="clear" w:color="auto" w:fill="auto"/>
            <w:noWrap/>
            <w:vAlign w:val="center"/>
            <w:hideMark/>
          </w:tcPr>
          <w:p w14:paraId="1EA7A6DC" w14:textId="4A3E24AD"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80" w:type="dxa"/>
            <w:tcBorders>
              <w:top w:val="nil"/>
              <w:left w:val="single" w:sz="4" w:space="0" w:color="auto"/>
              <w:bottom w:val="single" w:sz="4" w:space="0" w:color="auto"/>
              <w:right w:val="nil"/>
            </w:tcBorders>
            <w:shd w:val="clear" w:color="auto" w:fill="auto"/>
            <w:noWrap/>
            <w:vAlign w:val="bottom"/>
            <w:hideMark/>
          </w:tcPr>
          <w:p w14:paraId="20B90CF5"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w:t>
            </w:r>
          </w:p>
        </w:tc>
        <w:tc>
          <w:tcPr>
            <w:tcW w:w="1080" w:type="dxa"/>
            <w:tcBorders>
              <w:top w:val="nil"/>
              <w:left w:val="nil"/>
              <w:bottom w:val="single" w:sz="4" w:space="0" w:color="auto"/>
              <w:right w:val="single" w:sz="4" w:space="0" w:color="auto"/>
            </w:tcBorders>
            <w:shd w:val="clear" w:color="auto" w:fill="auto"/>
            <w:noWrap/>
            <w:vAlign w:val="center"/>
            <w:hideMark/>
          </w:tcPr>
          <w:p w14:paraId="7632CDF8" w14:textId="4D11D4D8"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0" w:type="dxa"/>
            <w:tcBorders>
              <w:top w:val="nil"/>
              <w:left w:val="nil"/>
              <w:bottom w:val="single" w:sz="4" w:space="0" w:color="auto"/>
              <w:right w:val="nil"/>
            </w:tcBorders>
            <w:shd w:val="clear" w:color="auto" w:fill="auto"/>
            <w:noWrap/>
            <w:vAlign w:val="bottom"/>
            <w:hideMark/>
          </w:tcPr>
          <w:p w14:paraId="1614A16D"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425</w:t>
            </w:r>
          </w:p>
        </w:tc>
        <w:tc>
          <w:tcPr>
            <w:tcW w:w="1081" w:type="dxa"/>
            <w:tcBorders>
              <w:top w:val="nil"/>
              <w:left w:val="nil"/>
              <w:bottom w:val="single" w:sz="4" w:space="0" w:color="auto"/>
              <w:right w:val="nil"/>
            </w:tcBorders>
            <w:shd w:val="clear" w:color="auto" w:fill="auto"/>
            <w:noWrap/>
            <w:vAlign w:val="center"/>
            <w:hideMark/>
          </w:tcPr>
          <w:p w14:paraId="30818FAA" w14:textId="401F2DB2"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033A3F" w:rsidRPr="00033A3F" w14:paraId="1693C4B1"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15E4CACD"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80" w:type="dxa"/>
            <w:tcBorders>
              <w:top w:val="nil"/>
              <w:left w:val="nil"/>
              <w:bottom w:val="single" w:sz="4" w:space="0" w:color="auto"/>
              <w:right w:val="nil"/>
            </w:tcBorders>
            <w:shd w:val="clear" w:color="auto" w:fill="auto"/>
            <w:noWrap/>
            <w:vAlign w:val="bottom"/>
            <w:hideMark/>
          </w:tcPr>
          <w:p w14:paraId="0544CC01"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109</w:t>
            </w:r>
          </w:p>
        </w:tc>
        <w:tc>
          <w:tcPr>
            <w:tcW w:w="1080" w:type="dxa"/>
            <w:tcBorders>
              <w:top w:val="nil"/>
              <w:left w:val="nil"/>
              <w:bottom w:val="single" w:sz="4" w:space="0" w:color="auto"/>
              <w:right w:val="nil"/>
            </w:tcBorders>
            <w:shd w:val="clear" w:color="auto" w:fill="auto"/>
            <w:noWrap/>
            <w:vAlign w:val="center"/>
            <w:hideMark/>
          </w:tcPr>
          <w:p w14:paraId="3B52F850" w14:textId="0728ED98"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80" w:type="dxa"/>
            <w:tcBorders>
              <w:top w:val="nil"/>
              <w:left w:val="single" w:sz="4" w:space="0" w:color="auto"/>
              <w:bottom w:val="single" w:sz="4" w:space="0" w:color="auto"/>
              <w:right w:val="nil"/>
            </w:tcBorders>
            <w:shd w:val="clear" w:color="auto" w:fill="auto"/>
            <w:noWrap/>
            <w:vAlign w:val="bottom"/>
            <w:hideMark/>
          </w:tcPr>
          <w:p w14:paraId="790CE682"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w:t>
            </w:r>
          </w:p>
        </w:tc>
        <w:tc>
          <w:tcPr>
            <w:tcW w:w="1080" w:type="dxa"/>
            <w:tcBorders>
              <w:top w:val="nil"/>
              <w:left w:val="nil"/>
              <w:bottom w:val="single" w:sz="4" w:space="0" w:color="auto"/>
              <w:right w:val="single" w:sz="4" w:space="0" w:color="auto"/>
            </w:tcBorders>
            <w:shd w:val="clear" w:color="auto" w:fill="auto"/>
            <w:noWrap/>
            <w:vAlign w:val="center"/>
            <w:hideMark/>
          </w:tcPr>
          <w:p w14:paraId="7EF3F412" w14:textId="482F9139"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80" w:type="dxa"/>
            <w:tcBorders>
              <w:top w:val="nil"/>
              <w:left w:val="nil"/>
              <w:bottom w:val="single" w:sz="4" w:space="0" w:color="auto"/>
              <w:right w:val="nil"/>
            </w:tcBorders>
            <w:shd w:val="clear" w:color="auto" w:fill="auto"/>
            <w:noWrap/>
            <w:vAlign w:val="bottom"/>
            <w:hideMark/>
          </w:tcPr>
          <w:p w14:paraId="6FE757A3"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219</w:t>
            </w:r>
          </w:p>
        </w:tc>
        <w:tc>
          <w:tcPr>
            <w:tcW w:w="1081" w:type="dxa"/>
            <w:tcBorders>
              <w:top w:val="nil"/>
              <w:left w:val="nil"/>
              <w:bottom w:val="single" w:sz="4" w:space="0" w:color="auto"/>
              <w:right w:val="nil"/>
            </w:tcBorders>
            <w:shd w:val="clear" w:color="auto" w:fill="auto"/>
            <w:noWrap/>
            <w:vAlign w:val="center"/>
            <w:hideMark/>
          </w:tcPr>
          <w:p w14:paraId="191A0739" w14:textId="63E3099A"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429972D1"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3DED6982"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57F56456"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119</w:t>
            </w:r>
          </w:p>
        </w:tc>
        <w:tc>
          <w:tcPr>
            <w:tcW w:w="1080" w:type="dxa"/>
            <w:tcBorders>
              <w:top w:val="nil"/>
              <w:left w:val="nil"/>
              <w:bottom w:val="single" w:sz="4" w:space="0" w:color="auto"/>
              <w:right w:val="nil"/>
            </w:tcBorders>
            <w:shd w:val="clear" w:color="auto" w:fill="auto"/>
            <w:noWrap/>
            <w:vAlign w:val="center"/>
            <w:hideMark/>
          </w:tcPr>
          <w:p w14:paraId="7C171559" w14:textId="17F4473E"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80" w:type="dxa"/>
            <w:tcBorders>
              <w:top w:val="nil"/>
              <w:left w:val="single" w:sz="4" w:space="0" w:color="auto"/>
              <w:bottom w:val="single" w:sz="4" w:space="0" w:color="auto"/>
              <w:right w:val="nil"/>
            </w:tcBorders>
            <w:shd w:val="clear" w:color="auto" w:fill="auto"/>
            <w:noWrap/>
            <w:vAlign w:val="bottom"/>
            <w:hideMark/>
          </w:tcPr>
          <w:p w14:paraId="1C9AFCEF"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1080" w:type="dxa"/>
            <w:tcBorders>
              <w:top w:val="nil"/>
              <w:left w:val="nil"/>
              <w:bottom w:val="single" w:sz="4" w:space="0" w:color="auto"/>
              <w:right w:val="single" w:sz="4" w:space="0" w:color="auto"/>
            </w:tcBorders>
            <w:shd w:val="clear" w:color="auto" w:fill="auto"/>
            <w:noWrap/>
            <w:vAlign w:val="center"/>
            <w:hideMark/>
          </w:tcPr>
          <w:p w14:paraId="00E60B36" w14:textId="115DD763"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80" w:type="dxa"/>
            <w:tcBorders>
              <w:top w:val="nil"/>
              <w:left w:val="nil"/>
              <w:bottom w:val="single" w:sz="4" w:space="0" w:color="auto"/>
              <w:right w:val="nil"/>
            </w:tcBorders>
            <w:shd w:val="clear" w:color="auto" w:fill="auto"/>
            <w:noWrap/>
            <w:vAlign w:val="bottom"/>
            <w:hideMark/>
          </w:tcPr>
          <w:p w14:paraId="1448B471"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249</w:t>
            </w:r>
          </w:p>
        </w:tc>
        <w:tc>
          <w:tcPr>
            <w:tcW w:w="1081" w:type="dxa"/>
            <w:tcBorders>
              <w:top w:val="nil"/>
              <w:left w:val="nil"/>
              <w:bottom w:val="single" w:sz="4" w:space="0" w:color="auto"/>
              <w:right w:val="nil"/>
            </w:tcBorders>
            <w:shd w:val="clear" w:color="auto" w:fill="auto"/>
            <w:noWrap/>
            <w:vAlign w:val="center"/>
            <w:hideMark/>
          </w:tcPr>
          <w:p w14:paraId="443F11C4" w14:textId="581CBDD7"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033A3F" w:rsidRPr="00033A3F" w14:paraId="61C76F69" w14:textId="77777777" w:rsidTr="00884000">
        <w:trPr>
          <w:trHeight w:val="330"/>
        </w:trPr>
        <w:tc>
          <w:tcPr>
            <w:tcW w:w="2440" w:type="dxa"/>
            <w:tcBorders>
              <w:top w:val="nil"/>
              <w:left w:val="nil"/>
              <w:bottom w:val="double" w:sz="6" w:space="0" w:color="auto"/>
              <w:right w:val="nil"/>
            </w:tcBorders>
            <w:shd w:val="clear" w:color="auto" w:fill="auto"/>
            <w:noWrap/>
            <w:vAlign w:val="bottom"/>
            <w:hideMark/>
          </w:tcPr>
          <w:p w14:paraId="13D69F95"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80" w:type="dxa"/>
            <w:tcBorders>
              <w:top w:val="nil"/>
              <w:left w:val="nil"/>
              <w:bottom w:val="double" w:sz="6" w:space="0" w:color="auto"/>
              <w:right w:val="nil"/>
            </w:tcBorders>
            <w:shd w:val="clear" w:color="auto" w:fill="auto"/>
            <w:noWrap/>
            <w:vAlign w:val="bottom"/>
            <w:hideMark/>
          </w:tcPr>
          <w:p w14:paraId="2BB4E0EF"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181</w:t>
            </w:r>
          </w:p>
        </w:tc>
        <w:tc>
          <w:tcPr>
            <w:tcW w:w="1080" w:type="dxa"/>
            <w:tcBorders>
              <w:top w:val="nil"/>
              <w:left w:val="nil"/>
              <w:bottom w:val="double" w:sz="6" w:space="0" w:color="auto"/>
              <w:right w:val="nil"/>
            </w:tcBorders>
            <w:shd w:val="clear" w:color="auto" w:fill="auto"/>
            <w:noWrap/>
            <w:vAlign w:val="center"/>
            <w:hideMark/>
          </w:tcPr>
          <w:p w14:paraId="55260771" w14:textId="61ABC8E1"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0" w:type="dxa"/>
            <w:tcBorders>
              <w:top w:val="nil"/>
              <w:left w:val="single" w:sz="4" w:space="0" w:color="auto"/>
              <w:bottom w:val="double" w:sz="6" w:space="0" w:color="auto"/>
              <w:right w:val="nil"/>
            </w:tcBorders>
            <w:shd w:val="clear" w:color="auto" w:fill="auto"/>
            <w:noWrap/>
            <w:vAlign w:val="bottom"/>
            <w:hideMark/>
          </w:tcPr>
          <w:p w14:paraId="2EF852FE"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p>
        </w:tc>
        <w:tc>
          <w:tcPr>
            <w:tcW w:w="1080" w:type="dxa"/>
            <w:tcBorders>
              <w:top w:val="nil"/>
              <w:left w:val="nil"/>
              <w:bottom w:val="double" w:sz="6" w:space="0" w:color="auto"/>
              <w:right w:val="single" w:sz="4" w:space="0" w:color="auto"/>
            </w:tcBorders>
            <w:shd w:val="clear" w:color="auto" w:fill="auto"/>
            <w:noWrap/>
            <w:vAlign w:val="center"/>
            <w:hideMark/>
          </w:tcPr>
          <w:p w14:paraId="0794A50E" w14:textId="16464F89"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80" w:type="dxa"/>
            <w:tcBorders>
              <w:top w:val="nil"/>
              <w:left w:val="nil"/>
              <w:bottom w:val="double" w:sz="6" w:space="0" w:color="auto"/>
              <w:right w:val="nil"/>
            </w:tcBorders>
            <w:shd w:val="clear" w:color="auto" w:fill="auto"/>
            <w:noWrap/>
            <w:vAlign w:val="bottom"/>
            <w:hideMark/>
          </w:tcPr>
          <w:p w14:paraId="6C8CC833"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413</w:t>
            </w:r>
          </w:p>
        </w:tc>
        <w:tc>
          <w:tcPr>
            <w:tcW w:w="1081" w:type="dxa"/>
            <w:tcBorders>
              <w:top w:val="nil"/>
              <w:left w:val="nil"/>
              <w:bottom w:val="double" w:sz="6" w:space="0" w:color="auto"/>
              <w:right w:val="nil"/>
            </w:tcBorders>
            <w:shd w:val="clear" w:color="auto" w:fill="auto"/>
            <w:noWrap/>
            <w:vAlign w:val="center"/>
            <w:hideMark/>
          </w:tcPr>
          <w:p w14:paraId="6FE93C9E" w14:textId="2265EE8C"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0157C6B3" w14:textId="77777777" w:rsidTr="00884000">
        <w:trPr>
          <w:trHeight w:val="345"/>
        </w:trPr>
        <w:tc>
          <w:tcPr>
            <w:tcW w:w="2440" w:type="dxa"/>
            <w:tcBorders>
              <w:top w:val="nil"/>
              <w:left w:val="nil"/>
              <w:bottom w:val="double" w:sz="6" w:space="0" w:color="auto"/>
              <w:right w:val="nil"/>
            </w:tcBorders>
            <w:shd w:val="clear" w:color="auto" w:fill="auto"/>
            <w:noWrap/>
            <w:vAlign w:val="bottom"/>
            <w:hideMark/>
          </w:tcPr>
          <w:p w14:paraId="3B09EC48" w14:textId="77777777" w:rsidR="005F572D" w:rsidRPr="00033A3F" w:rsidRDefault="005F572D" w:rsidP="005F572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80" w:type="dxa"/>
            <w:tcBorders>
              <w:top w:val="nil"/>
              <w:left w:val="nil"/>
              <w:bottom w:val="double" w:sz="6" w:space="0" w:color="auto"/>
              <w:right w:val="nil"/>
            </w:tcBorders>
            <w:shd w:val="clear" w:color="auto" w:fill="auto"/>
            <w:noWrap/>
            <w:vAlign w:val="bottom"/>
            <w:hideMark/>
          </w:tcPr>
          <w:p w14:paraId="06BA5788"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149</w:t>
            </w:r>
          </w:p>
        </w:tc>
        <w:tc>
          <w:tcPr>
            <w:tcW w:w="1080" w:type="dxa"/>
            <w:tcBorders>
              <w:top w:val="nil"/>
              <w:left w:val="nil"/>
              <w:bottom w:val="double" w:sz="6" w:space="0" w:color="auto"/>
              <w:right w:val="nil"/>
            </w:tcBorders>
            <w:shd w:val="clear" w:color="auto" w:fill="auto"/>
            <w:noWrap/>
            <w:vAlign w:val="center"/>
            <w:hideMark/>
          </w:tcPr>
          <w:p w14:paraId="35BCB9EC" w14:textId="3B7D380B" w:rsidR="005F572D" w:rsidRPr="00033A3F" w:rsidRDefault="005F572D" w:rsidP="005F572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-10 %</w:t>
            </w:r>
          </w:p>
        </w:tc>
        <w:tc>
          <w:tcPr>
            <w:tcW w:w="1080" w:type="dxa"/>
            <w:tcBorders>
              <w:top w:val="nil"/>
              <w:left w:val="single" w:sz="4" w:space="0" w:color="auto"/>
              <w:bottom w:val="double" w:sz="6" w:space="0" w:color="auto"/>
              <w:right w:val="nil"/>
            </w:tcBorders>
            <w:shd w:val="clear" w:color="auto" w:fill="auto"/>
            <w:noWrap/>
            <w:vAlign w:val="bottom"/>
            <w:hideMark/>
          </w:tcPr>
          <w:p w14:paraId="24357172"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74</w:t>
            </w:r>
          </w:p>
        </w:tc>
        <w:tc>
          <w:tcPr>
            <w:tcW w:w="1080" w:type="dxa"/>
            <w:tcBorders>
              <w:top w:val="nil"/>
              <w:left w:val="nil"/>
              <w:bottom w:val="double" w:sz="6" w:space="0" w:color="auto"/>
              <w:right w:val="single" w:sz="4" w:space="0" w:color="auto"/>
            </w:tcBorders>
            <w:shd w:val="clear" w:color="auto" w:fill="auto"/>
            <w:noWrap/>
            <w:vAlign w:val="center"/>
            <w:hideMark/>
          </w:tcPr>
          <w:p w14:paraId="314DECAB" w14:textId="4DDBC6E7" w:rsidR="005F572D" w:rsidRPr="00033A3F" w:rsidRDefault="005F572D" w:rsidP="005F572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080" w:type="dxa"/>
            <w:tcBorders>
              <w:top w:val="nil"/>
              <w:left w:val="nil"/>
              <w:bottom w:val="double" w:sz="6" w:space="0" w:color="auto"/>
              <w:right w:val="nil"/>
            </w:tcBorders>
            <w:shd w:val="clear" w:color="auto" w:fill="auto"/>
            <w:noWrap/>
            <w:vAlign w:val="bottom"/>
            <w:hideMark/>
          </w:tcPr>
          <w:p w14:paraId="157D3630"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323</w:t>
            </w:r>
          </w:p>
        </w:tc>
        <w:tc>
          <w:tcPr>
            <w:tcW w:w="1081" w:type="dxa"/>
            <w:tcBorders>
              <w:top w:val="nil"/>
              <w:left w:val="nil"/>
              <w:bottom w:val="double" w:sz="6" w:space="0" w:color="auto"/>
              <w:right w:val="nil"/>
            </w:tcBorders>
            <w:shd w:val="clear" w:color="auto" w:fill="auto"/>
            <w:noWrap/>
            <w:vAlign w:val="center"/>
            <w:hideMark/>
          </w:tcPr>
          <w:p w14:paraId="7F948FA6" w14:textId="036A5BA5" w:rsidR="005F572D" w:rsidRPr="00033A3F" w:rsidRDefault="005F572D" w:rsidP="005F572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-8 %</w:t>
            </w:r>
          </w:p>
        </w:tc>
      </w:tr>
      <w:tr w:rsidR="00033A3F" w:rsidRPr="00033A3F" w14:paraId="4D828393" w14:textId="77777777" w:rsidTr="00BF0CC3">
        <w:trPr>
          <w:trHeight w:val="330"/>
        </w:trPr>
        <w:tc>
          <w:tcPr>
            <w:tcW w:w="2440" w:type="dxa"/>
            <w:tcBorders>
              <w:top w:val="nil"/>
              <w:left w:val="nil"/>
              <w:bottom w:val="nil"/>
              <w:right w:val="nil"/>
            </w:tcBorders>
            <w:shd w:val="clear" w:color="auto" w:fill="auto"/>
            <w:noWrap/>
            <w:vAlign w:val="bottom"/>
            <w:hideMark/>
          </w:tcPr>
          <w:p w14:paraId="1F6E6A04" w14:textId="77777777" w:rsidR="005F572D" w:rsidRPr="00033A3F" w:rsidRDefault="005F572D" w:rsidP="005F572D">
            <w:pPr>
              <w:spacing w:line="240" w:lineRule="auto"/>
              <w:jc w:val="center"/>
              <w:rPr>
                <w:rFonts w:eastAsia="Times New Roman"/>
                <w:b/>
                <w:bCs/>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69E5DCA4"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324E65F8"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04AAA9EC"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22457982"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5E534199"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1" w:type="dxa"/>
            <w:tcBorders>
              <w:top w:val="nil"/>
              <w:left w:val="nil"/>
              <w:bottom w:val="nil"/>
              <w:right w:val="nil"/>
            </w:tcBorders>
            <w:shd w:val="clear" w:color="auto" w:fill="auto"/>
            <w:noWrap/>
            <w:vAlign w:val="bottom"/>
            <w:hideMark/>
          </w:tcPr>
          <w:p w14:paraId="3B086E76"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r>
    </w:tbl>
    <w:p w14:paraId="4E0D02FA" w14:textId="4CA19484" w:rsidR="00BD154C" w:rsidRPr="00033A3F" w:rsidRDefault="00BD154C" w:rsidP="00BD154C">
      <w:pPr>
        <w:pStyle w:val="OdstavecASR"/>
        <w:rPr>
          <w:color w:val="000000" w:themeColor="text1"/>
        </w:rPr>
      </w:pPr>
      <w:r w:rsidRPr="00033A3F">
        <w:rPr>
          <w:color w:val="000000" w:themeColor="text1"/>
        </w:rPr>
        <w:t xml:space="preserve">Tři soudy s nejkratší mediánovou délkou řízení jsou OS Domažlice (36 dnů), OS Svitavy (40 dnů) a OS Kutná Hora (41 dnů). Délky řízení u nejpomalejších soudů byly v tomto roce asi </w:t>
      </w:r>
      <w:r w:rsidR="000665F5" w:rsidRPr="00033A3F">
        <w:rPr>
          <w:color w:val="000000" w:themeColor="text1"/>
        </w:rPr>
        <w:t>třikrát až čtyřikrát</w:t>
      </w:r>
      <w:r w:rsidRPr="00033A3F">
        <w:rPr>
          <w:color w:val="000000" w:themeColor="text1"/>
        </w:rPr>
        <w:t xml:space="preserve"> vyšší</w:t>
      </w:r>
      <w:r w:rsidR="000665F5" w:rsidRPr="00033A3F">
        <w:rPr>
          <w:color w:val="000000" w:themeColor="text1"/>
        </w:rPr>
        <w:t xml:space="preserve"> (</w:t>
      </w:r>
      <w:r w:rsidR="004A5468" w:rsidRPr="00033A3F">
        <w:rPr>
          <w:color w:val="000000" w:themeColor="text1"/>
        </w:rPr>
        <w:t>dříve byla tato hodnota podstatně vyšší</w:t>
      </w:r>
      <w:r w:rsidR="000665F5" w:rsidRPr="00033A3F">
        <w:rPr>
          <w:color w:val="000000" w:themeColor="text1"/>
        </w:rPr>
        <w:t>)</w:t>
      </w:r>
      <w:r w:rsidRPr="00033A3F">
        <w:rPr>
          <w:color w:val="000000" w:themeColor="text1"/>
        </w:rPr>
        <w:t xml:space="preserve"> – OS Plzeň-sever (155 dnů), OS Chomutov (127 dnů) a OS Šumperk (122 dnů). Za zmínku dále rozhodně stojí vylepšení statistik u OS v Ústí nad Labem. Tento soud „tradičně“ patřil mezi 3 soudy s nejdelší délkou řízení. V roce 2019 již byla jeho délka řízení pod 200 dny (přesně řečeno 187 dnů), tedy pod celorepublikovým průměrem. V roce 2020 si délku řízení pod 200 dnů udržel (190 dnů), v roce 2021 vykázal mediánovou délku řízení 142</w:t>
      </w:r>
      <w:r w:rsidR="005A403B" w:rsidRPr="00033A3F">
        <w:rPr>
          <w:color w:val="000000" w:themeColor="text1"/>
        </w:rPr>
        <w:t> </w:t>
      </w:r>
      <w:r w:rsidRPr="00033A3F">
        <w:rPr>
          <w:color w:val="000000" w:themeColor="text1"/>
        </w:rPr>
        <w:t>dnů, v roce 2022 pak už jen 104 dnů. V roce 2023 se „dostal“ pod 100 dnů s</w:t>
      </w:r>
      <w:r w:rsidR="00A94128" w:rsidRPr="00033A3F">
        <w:rPr>
          <w:color w:val="000000" w:themeColor="text1"/>
        </w:rPr>
        <w:t xml:space="preserve"> mediánovou </w:t>
      </w:r>
      <w:r w:rsidRPr="00033A3F">
        <w:rPr>
          <w:color w:val="000000" w:themeColor="text1"/>
        </w:rPr>
        <w:t>délkou řízení 97 dnů</w:t>
      </w:r>
      <w:r w:rsidR="000665F5" w:rsidRPr="00033A3F">
        <w:rPr>
          <w:color w:val="000000" w:themeColor="text1"/>
        </w:rPr>
        <w:t xml:space="preserve"> a</w:t>
      </w:r>
      <w:r w:rsidR="005A403B" w:rsidRPr="00033A3F">
        <w:rPr>
          <w:color w:val="000000" w:themeColor="text1"/>
        </w:rPr>
        <w:t> </w:t>
      </w:r>
      <w:r w:rsidR="000665F5" w:rsidRPr="00033A3F">
        <w:rPr>
          <w:color w:val="000000" w:themeColor="text1"/>
        </w:rPr>
        <w:t>v roce 2024 pokles pokračoval na 85 dnů.</w:t>
      </w:r>
    </w:p>
    <w:p w14:paraId="64380FFA" w14:textId="77777777" w:rsidR="00BD154C" w:rsidRPr="00033A3F" w:rsidRDefault="00BD154C" w:rsidP="00BD154C">
      <w:pPr>
        <w:spacing w:after="160" w:line="259" w:lineRule="auto"/>
        <w:jc w:val="left"/>
        <w:rPr>
          <w:rFonts w:eastAsia="Times New Roman"/>
          <w:b/>
          <w:iCs/>
          <w:color w:val="000000" w:themeColor="text1"/>
          <w:spacing w:val="15"/>
          <w:szCs w:val="24"/>
        </w:rPr>
      </w:pPr>
      <w:r w:rsidRPr="00033A3F">
        <w:rPr>
          <w:color w:val="000000" w:themeColor="text1"/>
        </w:rPr>
        <w:br w:type="page"/>
      </w:r>
    </w:p>
    <w:p w14:paraId="55C9DDE2" w14:textId="787A9E5F" w:rsidR="00BD154C" w:rsidRPr="00033A3F" w:rsidRDefault="00707983" w:rsidP="00BD154C">
      <w:pPr>
        <w:pStyle w:val="Podnadpis"/>
        <w:rPr>
          <w:color w:val="000000" w:themeColor="text1"/>
        </w:rPr>
      </w:pPr>
      <w:bookmarkStart w:id="523" w:name="_Toc144104133"/>
      <w:bookmarkStart w:id="524" w:name="_Toc169250941"/>
      <w:bookmarkStart w:id="525" w:name="_Toc174080627"/>
      <w:bookmarkStart w:id="526" w:name="_Toc193530779"/>
      <w:bookmarkStart w:id="527" w:name="_Toc193634053"/>
      <w:bookmarkStart w:id="528" w:name="_Toc203032851"/>
      <w:r w:rsidRPr="00033A3F">
        <w:rPr>
          <w:noProof/>
          <w:color w:val="000000" w:themeColor="text1"/>
          <w:lang w:eastAsia="cs-CZ"/>
        </w:rPr>
        <w:lastRenderedPageBreak/>
        <w:drawing>
          <wp:anchor distT="0" distB="0" distL="114300" distR="114300" simplePos="0" relativeHeight="251686912" behindDoc="0" locked="0" layoutInCell="1" allowOverlap="1" wp14:anchorId="42FD3EC4" wp14:editId="35098FD2">
            <wp:simplePos x="0" y="0"/>
            <wp:positionH relativeFrom="margin">
              <wp:posOffset>4481195</wp:posOffset>
            </wp:positionH>
            <wp:positionV relativeFrom="paragraph">
              <wp:posOffset>175895</wp:posOffset>
            </wp:positionV>
            <wp:extent cx="1279525" cy="930564"/>
            <wp:effectExtent l="0" t="0" r="0" b="3175"/>
            <wp:wrapNone/>
            <wp:docPr id="4858254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82922" cy="933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154C" w:rsidRPr="00033A3F">
        <w:rPr>
          <w:color w:val="000000" w:themeColor="text1"/>
        </w:rPr>
        <w:t xml:space="preserve">Graf </w:t>
      </w:r>
      <w:r w:rsidR="00BD154C" w:rsidRPr="00033A3F">
        <w:rPr>
          <w:color w:val="000000" w:themeColor="text1"/>
        </w:rPr>
        <w:fldChar w:fldCharType="begin"/>
      </w:r>
      <w:r w:rsidR="00BD154C" w:rsidRPr="00033A3F">
        <w:rPr>
          <w:color w:val="000000" w:themeColor="text1"/>
        </w:rPr>
        <w:instrText xml:space="preserve"> SEQ Graf \* ARABIC </w:instrText>
      </w:r>
      <w:r w:rsidR="00BD154C" w:rsidRPr="00033A3F">
        <w:rPr>
          <w:color w:val="000000" w:themeColor="text1"/>
        </w:rPr>
        <w:fldChar w:fldCharType="separate"/>
      </w:r>
      <w:r w:rsidR="00163B51">
        <w:rPr>
          <w:noProof/>
          <w:color w:val="000000" w:themeColor="text1"/>
        </w:rPr>
        <w:t>24</w:t>
      </w:r>
      <w:r w:rsidR="00BD154C" w:rsidRPr="00033A3F">
        <w:rPr>
          <w:color w:val="000000" w:themeColor="text1"/>
        </w:rPr>
        <w:fldChar w:fldCharType="end"/>
      </w:r>
      <w:r w:rsidR="00BD154C" w:rsidRPr="00033A3F">
        <w:rPr>
          <w:color w:val="000000" w:themeColor="text1"/>
        </w:rPr>
        <w:t>: OS – mediánové délky trestního řízení u jednotlivých soudů</w:t>
      </w:r>
      <w:bookmarkEnd w:id="523"/>
      <w:r w:rsidR="00BD154C" w:rsidRPr="00033A3F">
        <w:rPr>
          <w:color w:val="000000" w:themeColor="text1"/>
        </w:rPr>
        <w:t>, 202</w:t>
      </w:r>
      <w:bookmarkEnd w:id="524"/>
      <w:bookmarkEnd w:id="525"/>
      <w:r w:rsidR="001B0B37" w:rsidRPr="00033A3F">
        <w:rPr>
          <w:color w:val="000000" w:themeColor="text1"/>
        </w:rPr>
        <w:t>4</w:t>
      </w:r>
      <w:bookmarkEnd w:id="526"/>
      <w:bookmarkEnd w:id="527"/>
      <w:bookmarkEnd w:id="528"/>
    </w:p>
    <w:p w14:paraId="79FF7254" w14:textId="0390DD45" w:rsidR="00BD154C" w:rsidRPr="00033A3F" w:rsidRDefault="001B0B37" w:rsidP="00312A92">
      <w:pPr>
        <w:rPr>
          <w:color w:val="000000" w:themeColor="text1"/>
        </w:rPr>
      </w:pPr>
      <w:r w:rsidRPr="00033A3F">
        <w:rPr>
          <w:noProof/>
          <w:color w:val="000000" w:themeColor="text1"/>
          <w:lang w:eastAsia="cs-CZ"/>
        </w:rPr>
        <w:drawing>
          <wp:inline distT="0" distB="0" distL="0" distR="0" wp14:anchorId="7C5D3EB2" wp14:editId="6C6BFAF1">
            <wp:extent cx="5760720" cy="3296920"/>
            <wp:effectExtent l="0" t="0" r="0" b="0"/>
            <wp:docPr id="193701289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FB7C9C4" w14:textId="77777777" w:rsidR="001B0B37" w:rsidRPr="00033A3F" w:rsidRDefault="001B0B37" w:rsidP="00BD154C">
      <w:pPr>
        <w:pStyle w:val="Podnadpis"/>
        <w:rPr>
          <w:color w:val="000000" w:themeColor="text1"/>
        </w:rPr>
      </w:pPr>
      <w:bookmarkStart w:id="529" w:name="_Toc169250942"/>
      <w:bookmarkStart w:id="530" w:name="_Toc174080628"/>
    </w:p>
    <w:p w14:paraId="65058E75" w14:textId="0EE27A30" w:rsidR="00BD154C" w:rsidRPr="00033A3F" w:rsidRDefault="00BD154C" w:rsidP="00BD154C">
      <w:pPr>
        <w:pStyle w:val="Podnadpis"/>
        <w:rPr>
          <w:color w:val="000000" w:themeColor="text1"/>
        </w:rPr>
      </w:pPr>
      <w:bookmarkStart w:id="531" w:name="_Toc193530780"/>
      <w:bookmarkStart w:id="532" w:name="_Toc193634054"/>
      <w:bookmarkStart w:id="533" w:name="_Toc20303285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25</w:t>
      </w:r>
      <w:r w:rsidRPr="00033A3F">
        <w:rPr>
          <w:color w:val="000000" w:themeColor="text1"/>
        </w:rPr>
        <w:fldChar w:fldCharType="end"/>
      </w:r>
      <w:r w:rsidRPr="00033A3F">
        <w:rPr>
          <w:color w:val="000000" w:themeColor="text1"/>
        </w:rPr>
        <w:t>: OS – krabicové grafy, mediánové délky trestního řízení</w:t>
      </w:r>
      <w:bookmarkEnd w:id="529"/>
      <w:bookmarkEnd w:id="530"/>
      <w:bookmarkEnd w:id="531"/>
      <w:bookmarkEnd w:id="532"/>
      <w:bookmarkEnd w:id="533"/>
    </w:p>
    <w:p w14:paraId="2C7E3B18" w14:textId="6785593C" w:rsidR="00BD154C" w:rsidRPr="00033A3F" w:rsidRDefault="00BD154C" w:rsidP="00312A92">
      <w:pPr>
        <w:rPr>
          <w:color w:val="000000" w:themeColor="text1"/>
        </w:rPr>
      </w:pPr>
      <w:r w:rsidRPr="00033A3F">
        <w:rPr>
          <w:noProof/>
          <w:color w:val="000000" w:themeColor="text1"/>
          <w:lang w:eastAsia="cs-CZ"/>
        </w:rPr>
        <w:drawing>
          <wp:inline distT="0" distB="0" distL="0" distR="0" wp14:anchorId="4DA61482" wp14:editId="79684ED1">
            <wp:extent cx="5029200" cy="3657600"/>
            <wp:effectExtent l="0" t="0" r="0" b="0"/>
            <wp:docPr id="1503771688"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405E90" w14:textId="77777777" w:rsidR="00BD154C" w:rsidRPr="00033A3F" w:rsidRDefault="00BD154C" w:rsidP="00312A92">
      <w:pPr>
        <w:rPr>
          <w:color w:val="000000" w:themeColor="text1"/>
        </w:rPr>
      </w:pPr>
    </w:p>
    <w:p w14:paraId="104E827B" w14:textId="2539DF64" w:rsidR="001B0B37" w:rsidRPr="00033A3F" w:rsidRDefault="001B0B37" w:rsidP="001B0B37">
      <w:pPr>
        <w:pStyle w:val="OdstavecASR"/>
        <w:rPr>
          <w:color w:val="000000" w:themeColor="text1"/>
        </w:rPr>
      </w:pPr>
      <w:r w:rsidRPr="00033A3F">
        <w:rPr>
          <w:color w:val="000000" w:themeColor="text1"/>
        </w:rPr>
        <w:t xml:space="preserve">Z krabicového grafu vidíme, že rozdíly mezi soudy se v letech 2018 až 2021 příliš neměnily. V roce 2018 však přeci jen došlo ke zlepšení u nejpomalejších soudů, kdy se odlehlé hodnoty přiblížily „ke krabici“. V roce 2019 se z hlediska variability oproti roku 2018 nic nezměnilo. Klesla sice délka řízení u některých nejpomalejších soudů, u jiných soudů ale vzrostla, a tak je zlepšující se soudy vlastně „nahradily“. V roce 2020 došlo k mírnému snížení variability. Několik odlehlých hodnot </w:t>
      </w:r>
      <w:r w:rsidR="004A5468" w:rsidRPr="00033A3F">
        <w:rPr>
          <w:color w:val="000000" w:themeColor="text1"/>
        </w:rPr>
        <w:t>s</w:t>
      </w:r>
      <w:r w:rsidRPr="00033A3F">
        <w:rPr>
          <w:color w:val="000000" w:themeColor="text1"/>
        </w:rPr>
        <w:t xml:space="preserve">e </w:t>
      </w:r>
      <w:r w:rsidR="004A5468" w:rsidRPr="00033A3F">
        <w:rPr>
          <w:color w:val="000000" w:themeColor="text1"/>
        </w:rPr>
        <w:lastRenderedPageBreak/>
        <w:t>dostalo do</w:t>
      </w:r>
      <w:r w:rsidRPr="00033A3F">
        <w:rPr>
          <w:color w:val="000000" w:themeColor="text1"/>
        </w:rPr>
        <w:t xml:space="preserve"> boxu. Pouze jeden soud (OS Děčín) vykazoval délku řízení přes 200 dnů, a jak je vidět na grafu, jednalo se o bod, který </w:t>
      </w:r>
      <w:r w:rsidR="004A5468" w:rsidRPr="00033A3F">
        <w:rPr>
          <w:color w:val="000000" w:themeColor="text1"/>
        </w:rPr>
        <w:t>byl</w:t>
      </w:r>
      <w:r w:rsidRPr="00033A3F">
        <w:rPr>
          <w:color w:val="000000" w:themeColor="text1"/>
        </w:rPr>
        <w:t xml:space="preserve"> zdaleka nejdále od boxu. V roce 2021 pak „odskočily“ dva body (soudy), a to OS Děčín a OS Chomutov, kde se délka řízení v roce 2021 prodloužila. Celkové snížení délky řízení v roce 2022 se odrazilo i v krabicovém grafu, kdy se celý box posunul dolů. Rovněž se k němu značně přiblížily odlehlé hodnoty, což je pozitivní jev ukazující na snižování variability mezi soudy. V roce 2023 tento pozitivní jev pokračoval, když se box i vousy zmenšily a zbyla pouze jediná odlehlá hodnota – OS v Chomutově. V roce 202</w:t>
      </w:r>
      <w:r w:rsidR="00707983" w:rsidRPr="00033A3F">
        <w:rPr>
          <w:color w:val="000000" w:themeColor="text1"/>
        </w:rPr>
        <w:t>4</w:t>
      </w:r>
      <w:r w:rsidRPr="00033A3F">
        <w:rPr>
          <w:color w:val="000000" w:themeColor="text1"/>
        </w:rPr>
        <w:t xml:space="preserve"> došlo ke </w:t>
      </w:r>
      <w:r w:rsidR="009C3C4A" w:rsidRPr="00033A3F">
        <w:rPr>
          <w:color w:val="000000" w:themeColor="text1"/>
        </w:rPr>
        <w:t>snížení</w:t>
      </w:r>
      <w:r w:rsidRPr="00033A3F">
        <w:rPr>
          <w:color w:val="000000" w:themeColor="text1"/>
        </w:rPr>
        <w:t xml:space="preserve"> </w:t>
      </w:r>
      <w:r w:rsidR="00707983" w:rsidRPr="00033A3F">
        <w:rPr>
          <w:color w:val="000000" w:themeColor="text1"/>
        </w:rPr>
        <w:t>délek</w:t>
      </w:r>
      <w:r w:rsidRPr="00033A3F">
        <w:rPr>
          <w:color w:val="000000" w:themeColor="text1"/>
        </w:rPr>
        <w:t xml:space="preserve"> řízení, </w:t>
      </w:r>
      <w:r w:rsidR="009C3C4A" w:rsidRPr="00033A3F">
        <w:rPr>
          <w:color w:val="000000" w:themeColor="text1"/>
        </w:rPr>
        <w:t xml:space="preserve">celý blok se opět posunul mírně dolů, </w:t>
      </w:r>
      <w:r w:rsidRPr="00033A3F">
        <w:rPr>
          <w:color w:val="000000" w:themeColor="text1"/>
        </w:rPr>
        <w:t>ale variabilita s</w:t>
      </w:r>
      <w:r w:rsidR="004A5468" w:rsidRPr="00033A3F">
        <w:rPr>
          <w:color w:val="000000" w:themeColor="text1"/>
        </w:rPr>
        <w:t>e</w:t>
      </w:r>
      <w:r w:rsidRPr="00033A3F">
        <w:rPr>
          <w:color w:val="000000" w:themeColor="text1"/>
        </w:rPr>
        <w:t> nezměnila. Odlehl</w:t>
      </w:r>
      <w:r w:rsidR="004A5468" w:rsidRPr="00033A3F">
        <w:rPr>
          <w:color w:val="000000" w:themeColor="text1"/>
        </w:rPr>
        <w:t>ou</w:t>
      </w:r>
      <w:r w:rsidRPr="00033A3F">
        <w:rPr>
          <w:color w:val="000000" w:themeColor="text1"/>
        </w:rPr>
        <w:t xml:space="preserve"> hodnot</w:t>
      </w:r>
      <w:r w:rsidR="004A5468" w:rsidRPr="00033A3F">
        <w:rPr>
          <w:color w:val="000000" w:themeColor="text1"/>
        </w:rPr>
        <w:t>ou</w:t>
      </w:r>
      <w:r w:rsidRPr="00033A3F">
        <w:rPr>
          <w:color w:val="000000" w:themeColor="text1"/>
        </w:rPr>
        <w:t xml:space="preserve"> je tentokrát OS Plzeň-sever.</w:t>
      </w:r>
    </w:p>
    <w:p w14:paraId="3C3BE446" w14:textId="4351D06B" w:rsidR="00707983" w:rsidRPr="00033A3F" w:rsidRDefault="00707983" w:rsidP="00707983">
      <w:pPr>
        <w:pStyle w:val="OdstavecASR"/>
        <w:rPr>
          <w:color w:val="000000" w:themeColor="text1"/>
        </w:rPr>
      </w:pPr>
      <w:r w:rsidRPr="00033A3F">
        <w:rPr>
          <w:color w:val="000000" w:themeColor="text1"/>
        </w:rPr>
        <w:t xml:space="preserve">Stejně jako u civilního řízení se na délky řízení v roce 2024 zaměříme ještě pomocí histogramu. Šířka jednoho intervalu (sloupce) je 25 dnů. Pro lepší přehlednost uvádíme všechny délky řízení delší než 800 dnů v jednom sloupci (na grafu nejvíce vpravo). Proto je tento sloupec výrazně „vyšší“ než sloupce předchozí. Distribuce délek se oproti předchozím letům mírně </w:t>
      </w:r>
      <w:r w:rsidR="00274B4E" w:rsidRPr="00033A3F">
        <w:rPr>
          <w:color w:val="000000" w:themeColor="text1"/>
        </w:rPr>
        <w:t>změnila – lze</w:t>
      </w:r>
      <w:r w:rsidRPr="00033A3F">
        <w:rPr>
          <w:color w:val="000000" w:themeColor="text1"/>
        </w:rPr>
        <w:t xml:space="preserve"> říci, že se zlepšila.</w:t>
      </w:r>
    </w:p>
    <w:p w14:paraId="60B12D97" w14:textId="5189DFED" w:rsidR="00707983" w:rsidRPr="00033A3F" w:rsidRDefault="00707983" w:rsidP="00707983">
      <w:pPr>
        <w:pStyle w:val="Odstavecseseznamem"/>
        <w:numPr>
          <w:ilvl w:val="0"/>
          <w:numId w:val="6"/>
        </w:numPr>
        <w:rPr>
          <w:color w:val="000000" w:themeColor="text1"/>
        </w:rPr>
      </w:pPr>
      <w:r w:rsidRPr="00033A3F">
        <w:rPr>
          <w:color w:val="000000" w:themeColor="text1"/>
        </w:rPr>
        <w:t xml:space="preserve">Jen </w:t>
      </w:r>
      <w:r w:rsidR="00056A4E" w:rsidRPr="00033A3F">
        <w:rPr>
          <w:color w:val="000000" w:themeColor="text1"/>
        </w:rPr>
        <w:t>2,5</w:t>
      </w:r>
      <w:r w:rsidRPr="00033A3F">
        <w:rPr>
          <w:color w:val="000000" w:themeColor="text1"/>
        </w:rPr>
        <w:t> % věcí bylo vyřízeno za více než 800 dnů</w:t>
      </w:r>
      <w:r w:rsidR="00056A4E" w:rsidRPr="00033A3F">
        <w:rPr>
          <w:color w:val="000000" w:themeColor="text1"/>
        </w:rPr>
        <w:t xml:space="preserve"> (v roce 2023 cca 4 %)</w:t>
      </w:r>
      <w:r w:rsidR="00CD3302" w:rsidRPr="00033A3F">
        <w:rPr>
          <w:color w:val="000000" w:themeColor="text1"/>
        </w:rPr>
        <w:t>.</w:t>
      </w:r>
    </w:p>
    <w:p w14:paraId="082EE3BC" w14:textId="7BDEA227" w:rsidR="00707983" w:rsidRPr="00033A3F" w:rsidRDefault="00056A4E" w:rsidP="00BF0CC3">
      <w:pPr>
        <w:pStyle w:val="Odstavecseseznamem"/>
        <w:numPr>
          <w:ilvl w:val="0"/>
          <w:numId w:val="5"/>
        </w:numPr>
        <w:ind w:left="714" w:hanging="357"/>
        <w:rPr>
          <w:color w:val="000000" w:themeColor="text1"/>
        </w:rPr>
      </w:pPr>
      <w:r w:rsidRPr="00033A3F">
        <w:rPr>
          <w:color w:val="000000" w:themeColor="text1"/>
        </w:rPr>
        <w:t>Stejně jako v roce 2023 bylo c</w:t>
      </w:r>
      <w:r w:rsidR="00707983" w:rsidRPr="00033A3F">
        <w:rPr>
          <w:color w:val="000000" w:themeColor="text1"/>
        </w:rPr>
        <w:t xml:space="preserve">ca 33 % věcí vyřízeno </w:t>
      </w:r>
      <w:r w:rsidR="003E17D2" w:rsidRPr="00033A3F">
        <w:rPr>
          <w:color w:val="000000" w:themeColor="text1"/>
        </w:rPr>
        <w:t xml:space="preserve">velmi </w:t>
      </w:r>
      <w:r w:rsidR="00707983" w:rsidRPr="00033A3F">
        <w:rPr>
          <w:color w:val="000000" w:themeColor="text1"/>
        </w:rPr>
        <w:t>rychle – do 50 dnů ode dne nápadu u soudu (v roce 2022 přibližně 30 %).</w:t>
      </w:r>
    </w:p>
    <w:p w14:paraId="5A036A52" w14:textId="77777777" w:rsidR="003E17D2" w:rsidRPr="00033A3F" w:rsidRDefault="003E17D2" w:rsidP="003E17D2">
      <w:pPr>
        <w:pStyle w:val="Odstavecseseznamem"/>
        <w:numPr>
          <w:ilvl w:val="0"/>
          <w:numId w:val="5"/>
        </w:numPr>
        <w:rPr>
          <w:color w:val="000000" w:themeColor="text1"/>
        </w:rPr>
      </w:pPr>
      <w:r w:rsidRPr="00033A3F">
        <w:rPr>
          <w:color w:val="000000" w:themeColor="text1"/>
        </w:rPr>
        <w:t>Největší skupina věcí je již mnoho let vyřízena za 26 až 50 dnů, přičemž tato skupina se postupně zvětšuje (cca 23% v roce 2024 vs. 22,5 % v roce 2023 vs.  16% v roce 2020).</w:t>
      </w:r>
    </w:p>
    <w:p w14:paraId="09E349AA" w14:textId="33899BBB" w:rsidR="00707983" w:rsidRPr="00033A3F" w:rsidRDefault="00707983" w:rsidP="00BF0CC3">
      <w:pPr>
        <w:pStyle w:val="Odstavecseseznamem"/>
        <w:numPr>
          <w:ilvl w:val="0"/>
          <w:numId w:val="5"/>
        </w:numPr>
        <w:ind w:left="714" w:hanging="357"/>
        <w:rPr>
          <w:color w:val="000000" w:themeColor="text1"/>
        </w:rPr>
      </w:pPr>
      <w:r w:rsidRPr="00033A3F">
        <w:rPr>
          <w:color w:val="000000" w:themeColor="text1"/>
        </w:rPr>
        <w:t>S přibývající délkou řízení četnost klesá.</w:t>
      </w:r>
    </w:p>
    <w:p w14:paraId="6F8DB23B" w14:textId="77777777" w:rsidR="00707983" w:rsidRPr="00033A3F" w:rsidRDefault="00707983" w:rsidP="00BF0CC3">
      <w:pPr>
        <w:pStyle w:val="Odstavecseseznamem"/>
        <w:numPr>
          <w:ilvl w:val="0"/>
          <w:numId w:val="5"/>
        </w:numPr>
        <w:ind w:left="714" w:hanging="357"/>
        <w:rPr>
          <w:color w:val="000000" w:themeColor="text1"/>
        </w:rPr>
      </w:pPr>
      <w:r w:rsidRPr="00033A3F">
        <w:rPr>
          <w:color w:val="000000" w:themeColor="text1"/>
        </w:rPr>
        <w:t>Rozdělení délek řízení je obecně podobné rozdělení v civilním řízení, absolutní hodnoty jsou ale výrazně nižší.</w:t>
      </w:r>
    </w:p>
    <w:p w14:paraId="29FB7978" w14:textId="3507B0C5" w:rsidR="00707983" w:rsidRPr="00033A3F" w:rsidRDefault="00707983" w:rsidP="00707983">
      <w:pPr>
        <w:pStyle w:val="Podnadpis"/>
        <w:rPr>
          <w:color w:val="000000" w:themeColor="text1"/>
        </w:rPr>
      </w:pPr>
      <w:bookmarkStart w:id="534" w:name="_Toc515871352"/>
      <w:bookmarkStart w:id="535" w:name="_Toc11135087"/>
      <w:bookmarkStart w:id="536" w:name="_Toc43841403"/>
      <w:bookmarkStart w:id="537" w:name="_Toc75952205"/>
      <w:bookmarkStart w:id="538" w:name="_Toc106106658"/>
      <w:bookmarkStart w:id="539" w:name="_Toc144104135"/>
      <w:bookmarkStart w:id="540" w:name="_Toc169250943"/>
      <w:bookmarkStart w:id="541" w:name="_Toc174080629"/>
      <w:bookmarkStart w:id="542" w:name="_Toc193530781"/>
      <w:bookmarkStart w:id="543" w:name="_Toc193634055"/>
      <w:bookmarkStart w:id="544" w:name="_Toc20303285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26</w:t>
      </w:r>
      <w:r w:rsidRPr="00033A3F">
        <w:rPr>
          <w:color w:val="000000" w:themeColor="text1"/>
        </w:rPr>
        <w:fldChar w:fldCharType="end"/>
      </w:r>
      <w:r w:rsidRPr="00033A3F">
        <w:rPr>
          <w:color w:val="000000" w:themeColor="text1"/>
        </w:rPr>
        <w:t>: OS – distribuce délek trestního řízení</w:t>
      </w:r>
      <w:bookmarkEnd w:id="534"/>
      <w:bookmarkEnd w:id="535"/>
      <w:bookmarkEnd w:id="536"/>
      <w:bookmarkEnd w:id="537"/>
      <w:bookmarkEnd w:id="538"/>
      <w:bookmarkEnd w:id="539"/>
      <w:r w:rsidRPr="00033A3F">
        <w:rPr>
          <w:color w:val="000000" w:themeColor="text1"/>
        </w:rPr>
        <w:t xml:space="preserve">, </w:t>
      </w:r>
      <w:bookmarkEnd w:id="540"/>
      <w:bookmarkEnd w:id="541"/>
      <w:r w:rsidR="00936B01" w:rsidRPr="00033A3F">
        <w:rPr>
          <w:color w:val="000000" w:themeColor="text1"/>
        </w:rPr>
        <w:t>2024</w:t>
      </w:r>
      <w:bookmarkEnd w:id="542"/>
      <w:bookmarkEnd w:id="543"/>
      <w:bookmarkEnd w:id="544"/>
    </w:p>
    <w:p w14:paraId="20657F38" w14:textId="0F8A2912" w:rsidR="001B0B37" w:rsidRPr="00033A3F" w:rsidRDefault="00056A4E" w:rsidP="00312A92">
      <w:pPr>
        <w:rPr>
          <w:color w:val="000000" w:themeColor="text1"/>
        </w:rPr>
      </w:pPr>
      <w:r w:rsidRPr="00033A3F">
        <w:rPr>
          <w:noProof/>
          <w:color w:val="000000" w:themeColor="text1"/>
          <w:lang w:eastAsia="cs-CZ"/>
        </w:rPr>
        <w:drawing>
          <wp:inline distT="0" distB="0" distL="0" distR="0" wp14:anchorId="6F6613F9" wp14:editId="75B13B0F">
            <wp:extent cx="5029200" cy="3657600"/>
            <wp:effectExtent l="0" t="0" r="0" b="0"/>
            <wp:docPr id="614094227"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926987F" w14:textId="77777777" w:rsidR="00BD154C" w:rsidRPr="00033A3F" w:rsidRDefault="00BD154C" w:rsidP="00312A92">
      <w:pPr>
        <w:rPr>
          <w:color w:val="000000" w:themeColor="text1"/>
        </w:rPr>
      </w:pPr>
    </w:p>
    <w:p w14:paraId="0C617C80" w14:textId="77777777" w:rsidR="008430BD" w:rsidRPr="00033A3F" w:rsidRDefault="008430BD" w:rsidP="008430BD">
      <w:pPr>
        <w:pStyle w:val="Nadpis3"/>
        <w:numPr>
          <w:ilvl w:val="2"/>
          <w:numId w:val="1"/>
        </w:numPr>
        <w:rPr>
          <w:color w:val="000000" w:themeColor="text1"/>
        </w:rPr>
      </w:pPr>
      <w:bookmarkStart w:id="545" w:name="_Toc515871232"/>
      <w:bookmarkStart w:id="546" w:name="_Toc106092729"/>
      <w:bookmarkStart w:id="547" w:name="_Toc169250813"/>
      <w:bookmarkStart w:id="548" w:name="_Toc193530974"/>
      <w:bookmarkStart w:id="549" w:name="_Toc193957031"/>
      <w:bookmarkStart w:id="550" w:name="_Toc203032721"/>
      <w:r w:rsidRPr="00033A3F">
        <w:rPr>
          <w:color w:val="000000" w:themeColor="text1"/>
        </w:rPr>
        <w:lastRenderedPageBreak/>
        <w:t>Vyřizování věcí</w:t>
      </w:r>
      <w:bookmarkEnd w:id="545"/>
      <w:bookmarkEnd w:id="546"/>
      <w:bookmarkEnd w:id="547"/>
      <w:bookmarkEnd w:id="548"/>
      <w:bookmarkEnd w:id="549"/>
      <w:bookmarkEnd w:id="550"/>
    </w:p>
    <w:p w14:paraId="26391D46" w14:textId="020059F6" w:rsidR="00056A4E" w:rsidRPr="00033A3F" w:rsidRDefault="00056A4E" w:rsidP="00056A4E">
      <w:pPr>
        <w:pStyle w:val="Podnadpis"/>
        <w:numPr>
          <w:ilvl w:val="0"/>
          <w:numId w:val="0"/>
        </w:numPr>
        <w:rPr>
          <w:color w:val="000000" w:themeColor="text1"/>
        </w:rPr>
      </w:pPr>
      <w:bookmarkStart w:id="551" w:name="_Toc515871353"/>
      <w:bookmarkStart w:id="552" w:name="_Toc11135088"/>
      <w:bookmarkStart w:id="553" w:name="_Toc43841404"/>
      <w:bookmarkStart w:id="554" w:name="_Toc75952206"/>
      <w:bookmarkStart w:id="555" w:name="_Toc106106659"/>
      <w:bookmarkStart w:id="556" w:name="_Toc144104136"/>
      <w:bookmarkStart w:id="557" w:name="_Toc169250944"/>
      <w:bookmarkStart w:id="558" w:name="_Toc174080630"/>
      <w:bookmarkStart w:id="559" w:name="_Toc193530782"/>
      <w:bookmarkStart w:id="560" w:name="_Toc193634056"/>
      <w:bookmarkStart w:id="561" w:name="_Toc20303285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27</w:t>
      </w:r>
      <w:r w:rsidRPr="00033A3F">
        <w:rPr>
          <w:color w:val="000000" w:themeColor="text1"/>
        </w:rPr>
        <w:fldChar w:fldCharType="end"/>
      </w:r>
      <w:r w:rsidRPr="00033A3F">
        <w:rPr>
          <w:color w:val="000000" w:themeColor="text1"/>
        </w:rPr>
        <w:t>: OS – vyřizování trestních věcí v letech 2014–</w:t>
      </w:r>
      <w:bookmarkEnd w:id="551"/>
      <w:bookmarkEnd w:id="552"/>
      <w:bookmarkEnd w:id="553"/>
      <w:bookmarkEnd w:id="554"/>
      <w:bookmarkEnd w:id="555"/>
      <w:bookmarkEnd w:id="556"/>
      <w:bookmarkEnd w:id="557"/>
      <w:bookmarkEnd w:id="558"/>
      <w:r w:rsidR="00936B01" w:rsidRPr="00033A3F">
        <w:rPr>
          <w:color w:val="000000" w:themeColor="text1"/>
        </w:rPr>
        <w:t>2024</w:t>
      </w:r>
      <w:bookmarkEnd w:id="559"/>
      <w:bookmarkEnd w:id="560"/>
      <w:bookmarkEnd w:id="561"/>
    </w:p>
    <w:p w14:paraId="2A94B6E4" w14:textId="5C5A4DDA" w:rsidR="00056A4E" w:rsidRPr="00033A3F" w:rsidRDefault="00874B26" w:rsidP="00056A4E">
      <w:pPr>
        <w:rPr>
          <w:color w:val="000000" w:themeColor="text1"/>
        </w:rPr>
      </w:pPr>
      <w:r w:rsidRPr="00033A3F">
        <w:rPr>
          <w:noProof/>
          <w:color w:val="000000" w:themeColor="text1"/>
          <w:lang w:eastAsia="cs-CZ"/>
        </w:rPr>
        <w:drawing>
          <wp:inline distT="0" distB="0" distL="0" distR="0" wp14:anchorId="4B379A0E" wp14:editId="2E218FAE">
            <wp:extent cx="5029200" cy="3657600"/>
            <wp:effectExtent l="0" t="0" r="0" b="0"/>
            <wp:docPr id="492146557"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E403428" w14:textId="77777777" w:rsidR="00874B26" w:rsidRPr="00033A3F" w:rsidRDefault="00874B26" w:rsidP="00056A4E">
      <w:pPr>
        <w:rPr>
          <w:color w:val="000000" w:themeColor="text1"/>
        </w:rPr>
      </w:pPr>
    </w:p>
    <w:p w14:paraId="48D46EBE" w14:textId="0F698322" w:rsidR="00874B26" w:rsidRPr="00033A3F" w:rsidRDefault="00874B26" w:rsidP="00874B26">
      <w:pPr>
        <w:pStyle w:val="OdstavecASR"/>
        <w:rPr>
          <w:color w:val="000000" w:themeColor="text1"/>
        </w:rPr>
      </w:pPr>
      <w:r w:rsidRPr="00033A3F">
        <w:rPr>
          <w:color w:val="000000" w:themeColor="text1"/>
        </w:rPr>
        <w:t>V grafu je na první pohled patrný výrazný a setrvalý pokles v nápadu a počtu vyřízených věcí do roku 2018. Trend začal již před sledovaným obdobím, je velmi výrazný a vyplývá z poklesu kriminality na území ČR. Pokles nápadu se projevil i v poklesu počtu nevyřízených věcí. Trend se přerušil v roce 2019, kdy byl nápad víceméně na úrovni roku 2018. V roce 2020 došlo k prudkému poklesu v počtu příchozích věcí, a to o 13 %. Tento jev lze zřejmě připsat pandemii onemocnění COVID</w:t>
      </w:r>
      <w:r w:rsidRPr="00033A3F">
        <w:rPr>
          <w:color w:val="000000" w:themeColor="text1"/>
        </w:rPr>
        <w:noBreakHyphen/>
        <w:t>19 a vládním opatřením, která měla bránit jejímu šíření a mohla mít za následek, že nebyly dány podmínky pro páchání některých druhů trestné činnosti. Počet vyřízených věcí klesl proporcionálně k poklesu nápadu. COVID</w:t>
      </w:r>
      <w:r w:rsidRPr="00033A3F">
        <w:rPr>
          <w:color w:val="000000" w:themeColor="text1"/>
        </w:rPr>
        <w:noBreakHyphen/>
        <w:t>19 tak stejně jako v civilní agendě snížil nápad (zde dokonce výrazněji), ale nevedl na rozdíl od ní ke zvýšení v počtu nevyřízených věcí. V roce 2021 pandemie pokračovala a počet příchozích věcí dále mírně poklesl o 4 %. Mezi roky 2022 a 2024 se pak počet příchozích i vyřízených věcí příliš nemění a osciluje kolem 65 000. Počet nevyřízených věcí se také stabilizoval na hodnotách nad 9</w:t>
      </w:r>
      <w:r w:rsidR="005D35E3" w:rsidRPr="00033A3F">
        <w:rPr>
          <w:color w:val="000000" w:themeColor="text1"/>
        </w:rPr>
        <w:t> </w:t>
      </w:r>
      <w:r w:rsidRPr="00033A3F">
        <w:rPr>
          <w:color w:val="000000" w:themeColor="text1"/>
        </w:rPr>
        <w:t>000.</w:t>
      </w:r>
    </w:p>
    <w:p w14:paraId="18A93FB9" w14:textId="63CD1D76" w:rsidR="00874B26" w:rsidRPr="00033A3F" w:rsidRDefault="00874B26" w:rsidP="00874B26">
      <w:pPr>
        <w:pStyle w:val="OdstavecASR"/>
        <w:rPr>
          <w:color w:val="000000" w:themeColor="text1"/>
        </w:rPr>
      </w:pPr>
      <w:r w:rsidRPr="00033A3F">
        <w:rPr>
          <w:color w:val="000000" w:themeColor="text1"/>
        </w:rPr>
        <w:t>Zajímavé je, že po skončení pandemie onemocnění COVID-19 se počet příchozích věcí nevrátil na úroveň roku 2019.</w:t>
      </w:r>
    </w:p>
    <w:p w14:paraId="6F275316" w14:textId="5E49FC40" w:rsidR="00823117" w:rsidRPr="00033A3F" w:rsidRDefault="00211FB2" w:rsidP="00823117">
      <w:pPr>
        <w:pStyle w:val="OdstavecASR"/>
        <w:rPr>
          <w:color w:val="000000" w:themeColor="text1"/>
        </w:rPr>
      </w:pPr>
      <w:bookmarkStart w:id="562" w:name="_Hlk104291263"/>
      <w:r w:rsidRPr="00033A3F">
        <w:rPr>
          <w:color w:val="000000" w:themeColor="text1"/>
        </w:rPr>
        <w:t xml:space="preserve">Všechny kraje měly míru vyřizování kolem 100 </w:t>
      </w:r>
      <w:bookmarkEnd w:id="562"/>
      <w:r w:rsidR="00412261" w:rsidRPr="00033A3F">
        <w:rPr>
          <w:color w:val="000000" w:themeColor="text1"/>
        </w:rPr>
        <w:t xml:space="preserve">%. </w:t>
      </w:r>
      <w:r w:rsidRPr="00033A3F">
        <w:rPr>
          <w:color w:val="000000" w:themeColor="text1"/>
        </w:rPr>
        <w:t>Soudní kraj Severní Čechy (nadřízený soud KS Ústí nad Labem) měl opět nejvyšší míru vyřizování – 101,9 %. Situace v tomto kraji se tedy i nadále postupně zlepšuje.</w:t>
      </w:r>
      <w:r w:rsidR="00412261" w:rsidRPr="00033A3F">
        <w:rPr>
          <w:color w:val="000000" w:themeColor="text1"/>
        </w:rPr>
        <w:t xml:space="preserve"> </w:t>
      </w:r>
    </w:p>
    <w:p w14:paraId="7288FFAF" w14:textId="77777777" w:rsidR="00823117" w:rsidRPr="00033A3F" w:rsidRDefault="00823117" w:rsidP="00823117">
      <w:pPr>
        <w:pStyle w:val="OdstavecASR"/>
        <w:rPr>
          <w:color w:val="000000" w:themeColor="text1"/>
        </w:rPr>
      </w:pPr>
      <w:r w:rsidRPr="00033A3F">
        <w:rPr>
          <w:color w:val="000000" w:themeColor="text1"/>
        </w:rPr>
        <w:t>Už ale velmi pomalu, protože se téměř není kam posouvat (počet nevyřízených věcí prostě nelze snížit pod určitou úroveň).</w:t>
      </w:r>
    </w:p>
    <w:p w14:paraId="20D60F0F" w14:textId="3DDCD3CF" w:rsidR="00211FB2" w:rsidRPr="00033A3F" w:rsidRDefault="00211FB2" w:rsidP="00211FB2">
      <w:pPr>
        <w:pStyle w:val="OdstavecASR"/>
        <w:rPr>
          <w:color w:val="000000" w:themeColor="text1"/>
        </w:rPr>
      </w:pPr>
    </w:p>
    <w:p w14:paraId="4B182DDD" w14:textId="4ACE9DAB" w:rsidR="00874B26" w:rsidRPr="00033A3F" w:rsidRDefault="00874B26" w:rsidP="00874B26">
      <w:pPr>
        <w:pStyle w:val="Podnadpis"/>
        <w:rPr>
          <w:color w:val="000000" w:themeColor="text1"/>
        </w:rPr>
      </w:pPr>
      <w:bookmarkStart w:id="563" w:name="_Toc75952324"/>
      <w:bookmarkStart w:id="564" w:name="_Toc106106783"/>
      <w:bookmarkStart w:id="565" w:name="_Toc144104261"/>
      <w:bookmarkStart w:id="566" w:name="_Toc169251077"/>
      <w:bookmarkStart w:id="567" w:name="_Toc174080763"/>
      <w:bookmarkStart w:id="568" w:name="_Toc193530896"/>
      <w:bookmarkStart w:id="569" w:name="_Toc194045591"/>
      <w:bookmarkStart w:id="570" w:name="_Toc199495000"/>
      <w:bookmarkStart w:id="571" w:name="_Toc203033060"/>
      <w:bookmarkStart w:id="572" w:name="_Toc203033138"/>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18</w:t>
      </w:r>
      <w:r w:rsidRPr="00033A3F">
        <w:rPr>
          <w:noProof/>
          <w:color w:val="000000" w:themeColor="text1"/>
        </w:rPr>
        <w:fldChar w:fldCharType="end"/>
      </w:r>
      <w:r w:rsidRPr="00033A3F">
        <w:rPr>
          <w:color w:val="000000" w:themeColor="text1"/>
        </w:rPr>
        <w:t>: OS – vyřizování trestních věcí dle krajů</w:t>
      </w:r>
      <w:bookmarkEnd w:id="563"/>
      <w:bookmarkEnd w:id="564"/>
      <w:bookmarkEnd w:id="565"/>
      <w:r w:rsidRPr="00033A3F">
        <w:rPr>
          <w:color w:val="000000" w:themeColor="text1"/>
        </w:rPr>
        <w:t xml:space="preserve">, </w:t>
      </w:r>
      <w:bookmarkEnd w:id="566"/>
      <w:bookmarkEnd w:id="567"/>
      <w:r w:rsidR="00936B01" w:rsidRPr="00033A3F">
        <w:rPr>
          <w:color w:val="000000" w:themeColor="text1"/>
        </w:rPr>
        <w:t>2024</w:t>
      </w:r>
      <w:bookmarkEnd w:id="568"/>
      <w:bookmarkEnd w:id="569"/>
      <w:bookmarkEnd w:id="570"/>
      <w:bookmarkEnd w:id="571"/>
      <w:bookmarkEnd w:id="572"/>
    </w:p>
    <w:tbl>
      <w:tblPr>
        <w:tblW w:w="9072" w:type="dxa"/>
        <w:tblLayout w:type="fixed"/>
        <w:tblCellMar>
          <w:left w:w="70" w:type="dxa"/>
          <w:right w:w="70" w:type="dxa"/>
        </w:tblCellMar>
        <w:tblLook w:val="04A0" w:firstRow="1" w:lastRow="0" w:firstColumn="1" w:lastColumn="0" w:noHBand="0" w:noVBand="1"/>
      </w:tblPr>
      <w:tblGrid>
        <w:gridCol w:w="2020"/>
        <w:gridCol w:w="1099"/>
        <w:gridCol w:w="826"/>
        <w:gridCol w:w="1158"/>
        <w:gridCol w:w="768"/>
        <w:gridCol w:w="1217"/>
        <w:gridCol w:w="709"/>
        <w:gridCol w:w="1275"/>
      </w:tblGrid>
      <w:tr w:rsidR="00033A3F" w:rsidRPr="00033A3F" w14:paraId="3309E390" w14:textId="77777777" w:rsidTr="00884000">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16C71E59"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777" w:type="dxa"/>
            <w:gridSpan w:val="6"/>
            <w:tcBorders>
              <w:top w:val="double" w:sz="6" w:space="0" w:color="auto"/>
              <w:left w:val="nil"/>
              <w:bottom w:val="nil"/>
              <w:right w:val="single" w:sz="4" w:space="0" w:color="000000"/>
            </w:tcBorders>
            <w:shd w:val="clear" w:color="auto" w:fill="auto"/>
            <w:noWrap/>
            <w:vAlign w:val="center"/>
            <w:hideMark/>
          </w:tcPr>
          <w:p w14:paraId="6FE3F68C"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75" w:type="dxa"/>
            <w:vMerge w:val="restart"/>
            <w:tcBorders>
              <w:top w:val="double" w:sz="6" w:space="0" w:color="auto"/>
              <w:left w:val="nil"/>
              <w:bottom w:val="double" w:sz="6" w:space="0" w:color="000000"/>
              <w:right w:val="nil"/>
            </w:tcBorders>
            <w:shd w:val="clear" w:color="auto" w:fill="auto"/>
            <w:vAlign w:val="center"/>
            <w:hideMark/>
          </w:tcPr>
          <w:p w14:paraId="17765E3C"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1F5B076A" w14:textId="77777777" w:rsidTr="00884000">
        <w:trPr>
          <w:trHeight w:val="330"/>
        </w:trPr>
        <w:tc>
          <w:tcPr>
            <w:tcW w:w="2020" w:type="dxa"/>
            <w:vMerge/>
            <w:tcBorders>
              <w:top w:val="double" w:sz="6" w:space="0" w:color="auto"/>
              <w:left w:val="nil"/>
              <w:bottom w:val="double" w:sz="6" w:space="0" w:color="000000"/>
              <w:right w:val="nil"/>
            </w:tcBorders>
            <w:vAlign w:val="center"/>
            <w:hideMark/>
          </w:tcPr>
          <w:p w14:paraId="1D6BD4E5" w14:textId="77777777" w:rsidR="00211FB2" w:rsidRPr="00033A3F" w:rsidRDefault="00211FB2" w:rsidP="00211FB2">
            <w:pPr>
              <w:spacing w:line="240" w:lineRule="auto"/>
              <w:jc w:val="left"/>
              <w:rPr>
                <w:rFonts w:eastAsia="Times New Roman"/>
                <w:b/>
                <w:bCs/>
                <w:color w:val="000000" w:themeColor="text1"/>
                <w:szCs w:val="24"/>
                <w:lang w:eastAsia="cs-CZ"/>
              </w:rPr>
            </w:pPr>
          </w:p>
        </w:tc>
        <w:tc>
          <w:tcPr>
            <w:tcW w:w="1925" w:type="dxa"/>
            <w:gridSpan w:val="2"/>
            <w:tcBorders>
              <w:top w:val="nil"/>
              <w:left w:val="nil"/>
              <w:bottom w:val="double" w:sz="6" w:space="0" w:color="auto"/>
              <w:right w:val="nil"/>
            </w:tcBorders>
            <w:shd w:val="clear" w:color="auto" w:fill="auto"/>
            <w:noWrap/>
            <w:vAlign w:val="center"/>
            <w:hideMark/>
          </w:tcPr>
          <w:p w14:paraId="4CD316E7"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2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9228138"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26" w:type="dxa"/>
            <w:gridSpan w:val="2"/>
            <w:tcBorders>
              <w:top w:val="nil"/>
              <w:left w:val="nil"/>
              <w:bottom w:val="double" w:sz="6" w:space="0" w:color="auto"/>
              <w:right w:val="single" w:sz="4" w:space="0" w:color="000000"/>
            </w:tcBorders>
            <w:shd w:val="clear" w:color="auto" w:fill="auto"/>
            <w:noWrap/>
            <w:vAlign w:val="center"/>
            <w:hideMark/>
          </w:tcPr>
          <w:p w14:paraId="1BC4315D"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75" w:type="dxa"/>
            <w:vMerge/>
            <w:tcBorders>
              <w:top w:val="double" w:sz="6" w:space="0" w:color="auto"/>
              <w:left w:val="nil"/>
              <w:bottom w:val="double" w:sz="6" w:space="0" w:color="000000"/>
              <w:right w:val="nil"/>
            </w:tcBorders>
            <w:vAlign w:val="center"/>
            <w:hideMark/>
          </w:tcPr>
          <w:p w14:paraId="50A68577" w14:textId="77777777" w:rsidR="00211FB2" w:rsidRPr="00033A3F" w:rsidRDefault="00211FB2" w:rsidP="00211FB2">
            <w:pPr>
              <w:spacing w:line="240" w:lineRule="auto"/>
              <w:jc w:val="left"/>
              <w:rPr>
                <w:rFonts w:eastAsia="Times New Roman"/>
                <w:b/>
                <w:bCs/>
                <w:color w:val="000000" w:themeColor="text1"/>
                <w:szCs w:val="24"/>
                <w:lang w:eastAsia="cs-CZ"/>
              </w:rPr>
            </w:pPr>
          </w:p>
        </w:tc>
      </w:tr>
      <w:tr w:rsidR="00033A3F" w:rsidRPr="00033A3F" w14:paraId="22A49056" w14:textId="77777777" w:rsidTr="00884000">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238378B"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99" w:type="dxa"/>
            <w:tcBorders>
              <w:top w:val="single" w:sz="4" w:space="0" w:color="auto"/>
              <w:left w:val="nil"/>
              <w:bottom w:val="single" w:sz="4" w:space="0" w:color="auto"/>
              <w:right w:val="nil"/>
            </w:tcBorders>
            <w:shd w:val="clear" w:color="auto" w:fill="auto"/>
            <w:noWrap/>
            <w:vAlign w:val="bottom"/>
            <w:hideMark/>
          </w:tcPr>
          <w:p w14:paraId="41B76E4B"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8 529</w:t>
            </w:r>
          </w:p>
        </w:tc>
        <w:tc>
          <w:tcPr>
            <w:tcW w:w="826" w:type="dxa"/>
            <w:tcBorders>
              <w:top w:val="single" w:sz="4" w:space="0" w:color="auto"/>
              <w:left w:val="nil"/>
              <w:bottom w:val="single" w:sz="4" w:space="0" w:color="auto"/>
              <w:right w:val="nil"/>
            </w:tcBorders>
            <w:shd w:val="clear" w:color="auto" w:fill="auto"/>
            <w:noWrap/>
            <w:vAlign w:val="center"/>
            <w:hideMark/>
          </w:tcPr>
          <w:p w14:paraId="350EFFD3" w14:textId="48DC04F9"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58" w:type="dxa"/>
            <w:tcBorders>
              <w:top w:val="single" w:sz="4" w:space="0" w:color="auto"/>
              <w:left w:val="single" w:sz="4" w:space="0" w:color="auto"/>
              <w:bottom w:val="single" w:sz="4" w:space="0" w:color="auto"/>
              <w:right w:val="nil"/>
            </w:tcBorders>
            <w:shd w:val="clear" w:color="auto" w:fill="auto"/>
            <w:noWrap/>
            <w:vAlign w:val="bottom"/>
            <w:hideMark/>
          </w:tcPr>
          <w:p w14:paraId="1B79248F"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8 530</w:t>
            </w:r>
          </w:p>
        </w:tc>
        <w:tc>
          <w:tcPr>
            <w:tcW w:w="768" w:type="dxa"/>
            <w:tcBorders>
              <w:top w:val="single" w:sz="4" w:space="0" w:color="auto"/>
              <w:left w:val="nil"/>
              <w:bottom w:val="single" w:sz="4" w:space="0" w:color="auto"/>
              <w:right w:val="single" w:sz="4" w:space="0" w:color="auto"/>
            </w:tcBorders>
            <w:shd w:val="clear" w:color="auto" w:fill="auto"/>
            <w:noWrap/>
            <w:vAlign w:val="center"/>
            <w:hideMark/>
          </w:tcPr>
          <w:p w14:paraId="117C52CD" w14:textId="3BB7B1A1"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217" w:type="dxa"/>
            <w:tcBorders>
              <w:top w:val="single" w:sz="4" w:space="0" w:color="auto"/>
              <w:left w:val="nil"/>
              <w:bottom w:val="single" w:sz="4" w:space="0" w:color="auto"/>
              <w:right w:val="nil"/>
            </w:tcBorders>
            <w:shd w:val="clear" w:color="auto" w:fill="auto"/>
            <w:noWrap/>
            <w:vAlign w:val="bottom"/>
            <w:hideMark/>
          </w:tcPr>
          <w:p w14:paraId="69813592"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1 053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CF11D99" w14:textId="5258233D"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275" w:type="dxa"/>
            <w:tcBorders>
              <w:top w:val="nil"/>
              <w:left w:val="nil"/>
              <w:bottom w:val="single" w:sz="4" w:space="0" w:color="auto"/>
              <w:right w:val="nil"/>
            </w:tcBorders>
            <w:shd w:val="clear" w:color="auto" w:fill="auto"/>
            <w:noWrap/>
            <w:vAlign w:val="center"/>
            <w:hideMark/>
          </w:tcPr>
          <w:p w14:paraId="69093E36" w14:textId="2D1A3594"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0AA0C6F1"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1E41EA3E"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99" w:type="dxa"/>
            <w:tcBorders>
              <w:top w:val="nil"/>
              <w:left w:val="nil"/>
              <w:bottom w:val="single" w:sz="4" w:space="0" w:color="auto"/>
              <w:right w:val="nil"/>
            </w:tcBorders>
            <w:shd w:val="clear" w:color="auto" w:fill="auto"/>
            <w:noWrap/>
            <w:vAlign w:val="bottom"/>
            <w:hideMark/>
          </w:tcPr>
          <w:p w14:paraId="61C40C6F" w14:textId="3ABC73A5"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597</w:t>
            </w:r>
          </w:p>
        </w:tc>
        <w:tc>
          <w:tcPr>
            <w:tcW w:w="826" w:type="dxa"/>
            <w:tcBorders>
              <w:top w:val="nil"/>
              <w:left w:val="nil"/>
              <w:bottom w:val="single" w:sz="4" w:space="0" w:color="auto"/>
              <w:right w:val="nil"/>
            </w:tcBorders>
            <w:shd w:val="clear" w:color="auto" w:fill="auto"/>
            <w:noWrap/>
            <w:vAlign w:val="center"/>
            <w:hideMark/>
          </w:tcPr>
          <w:p w14:paraId="391DFC34" w14:textId="5D9E31FD"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158" w:type="dxa"/>
            <w:tcBorders>
              <w:top w:val="nil"/>
              <w:left w:val="single" w:sz="4" w:space="0" w:color="auto"/>
              <w:bottom w:val="single" w:sz="4" w:space="0" w:color="auto"/>
              <w:right w:val="nil"/>
            </w:tcBorders>
            <w:shd w:val="clear" w:color="auto" w:fill="auto"/>
            <w:noWrap/>
            <w:vAlign w:val="bottom"/>
            <w:hideMark/>
          </w:tcPr>
          <w:p w14:paraId="4E6136B9" w14:textId="52A35719"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534</w:t>
            </w:r>
          </w:p>
        </w:tc>
        <w:tc>
          <w:tcPr>
            <w:tcW w:w="768" w:type="dxa"/>
            <w:tcBorders>
              <w:top w:val="nil"/>
              <w:left w:val="nil"/>
              <w:bottom w:val="single" w:sz="4" w:space="0" w:color="auto"/>
              <w:right w:val="single" w:sz="4" w:space="0" w:color="auto"/>
            </w:tcBorders>
            <w:shd w:val="clear" w:color="auto" w:fill="auto"/>
            <w:noWrap/>
            <w:vAlign w:val="center"/>
            <w:hideMark/>
          </w:tcPr>
          <w:p w14:paraId="027D3D43" w14:textId="18F08E5B"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217" w:type="dxa"/>
            <w:tcBorders>
              <w:top w:val="nil"/>
              <w:left w:val="nil"/>
              <w:bottom w:val="single" w:sz="4" w:space="0" w:color="auto"/>
              <w:right w:val="nil"/>
            </w:tcBorders>
            <w:shd w:val="clear" w:color="auto" w:fill="auto"/>
            <w:noWrap/>
            <w:vAlign w:val="bottom"/>
            <w:hideMark/>
          </w:tcPr>
          <w:p w14:paraId="19A3F5F4"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489</w:t>
            </w:r>
          </w:p>
        </w:tc>
        <w:tc>
          <w:tcPr>
            <w:tcW w:w="709" w:type="dxa"/>
            <w:tcBorders>
              <w:top w:val="nil"/>
              <w:left w:val="nil"/>
              <w:bottom w:val="single" w:sz="4" w:space="0" w:color="auto"/>
              <w:right w:val="single" w:sz="4" w:space="0" w:color="auto"/>
            </w:tcBorders>
            <w:shd w:val="clear" w:color="auto" w:fill="auto"/>
            <w:noWrap/>
            <w:vAlign w:val="center"/>
            <w:hideMark/>
          </w:tcPr>
          <w:p w14:paraId="421F577A" w14:textId="5F91EB8F"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275" w:type="dxa"/>
            <w:tcBorders>
              <w:top w:val="nil"/>
              <w:left w:val="nil"/>
              <w:bottom w:val="single" w:sz="4" w:space="0" w:color="auto"/>
              <w:right w:val="nil"/>
            </w:tcBorders>
            <w:shd w:val="clear" w:color="auto" w:fill="auto"/>
            <w:noWrap/>
            <w:vAlign w:val="center"/>
            <w:hideMark/>
          </w:tcPr>
          <w:p w14:paraId="476BB8E3" w14:textId="743DDAC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2 %</w:t>
            </w:r>
          </w:p>
        </w:tc>
      </w:tr>
      <w:tr w:rsidR="00033A3F" w:rsidRPr="00033A3F" w14:paraId="68B02085"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54FCC34C"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99" w:type="dxa"/>
            <w:tcBorders>
              <w:top w:val="nil"/>
              <w:left w:val="nil"/>
              <w:bottom w:val="single" w:sz="4" w:space="0" w:color="auto"/>
              <w:right w:val="nil"/>
            </w:tcBorders>
            <w:shd w:val="clear" w:color="auto" w:fill="auto"/>
            <w:noWrap/>
            <w:vAlign w:val="bottom"/>
            <w:hideMark/>
          </w:tcPr>
          <w:p w14:paraId="7FDD19D7" w14:textId="6AAD539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077</w:t>
            </w:r>
          </w:p>
        </w:tc>
        <w:tc>
          <w:tcPr>
            <w:tcW w:w="826" w:type="dxa"/>
            <w:tcBorders>
              <w:top w:val="nil"/>
              <w:left w:val="nil"/>
              <w:bottom w:val="single" w:sz="4" w:space="0" w:color="auto"/>
              <w:right w:val="nil"/>
            </w:tcBorders>
            <w:shd w:val="clear" w:color="auto" w:fill="auto"/>
            <w:noWrap/>
            <w:vAlign w:val="center"/>
            <w:hideMark/>
          </w:tcPr>
          <w:p w14:paraId="60354823" w14:textId="7C06B71F"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58" w:type="dxa"/>
            <w:tcBorders>
              <w:top w:val="nil"/>
              <w:left w:val="single" w:sz="4" w:space="0" w:color="auto"/>
              <w:bottom w:val="single" w:sz="4" w:space="0" w:color="auto"/>
              <w:right w:val="nil"/>
            </w:tcBorders>
            <w:shd w:val="clear" w:color="auto" w:fill="auto"/>
            <w:noWrap/>
            <w:vAlign w:val="bottom"/>
            <w:hideMark/>
          </w:tcPr>
          <w:p w14:paraId="771D4A71" w14:textId="5F513EEF"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113</w:t>
            </w:r>
          </w:p>
        </w:tc>
        <w:tc>
          <w:tcPr>
            <w:tcW w:w="768" w:type="dxa"/>
            <w:tcBorders>
              <w:top w:val="nil"/>
              <w:left w:val="nil"/>
              <w:bottom w:val="single" w:sz="4" w:space="0" w:color="auto"/>
              <w:right w:val="single" w:sz="4" w:space="0" w:color="auto"/>
            </w:tcBorders>
            <w:shd w:val="clear" w:color="auto" w:fill="auto"/>
            <w:noWrap/>
            <w:vAlign w:val="center"/>
            <w:hideMark/>
          </w:tcPr>
          <w:p w14:paraId="39BDC830" w14:textId="28AC08DD"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217" w:type="dxa"/>
            <w:tcBorders>
              <w:top w:val="nil"/>
              <w:left w:val="nil"/>
              <w:bottom w:val="single" w:sz="4" w:space="0" w:color="auto"/>
              <w:right w:val="nil"/>
            </w:tcBorders>
            <w:shd w:val="clear" w:color="auto" w:fill="auto"/>
            <w:noWrap/>
            <w:vAlign w:val="bottom"/>
            <w:hideMark/>
          </w:tcPr>
          <w:p w14:paraId="40B5AC15"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482</w:t>
            </w:r>
          </w:p>
        </w:tc>
        <w:tc>
          <w:tcPr>
            <w:tcW w:w="709" w:type="dxa"/>
            <w:tcBorders>
              <w:top w:val="nil"/>
              <w:left w:val="nil"/>
              <w:bottom w:val="single" w:sz="4" w:space="0" w:color="auto"/>
              <w:right w:val="single" w:sz="4" w:space="0" w:color="auto"/>
            </w:tcBorders>
            <w:shd w:val="clear" w:color="auto" w:fill="auto"/>
            <w:noWrap/>
            <w:vAlign w:val="center"/>
            <w:hideMark/>
          </w:tcPr>
          <w:p w14:paraId="149788E2" w14:textId="6ADCCFA3"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75" w:type="dxa"/>
            <w:tcBorders>
              <w:top w:val="nil"/>
              <w:left w:val="nil"/>
              <w:bottom w:val="single" w:sz="4" w:space="0" w:color="auto"/>
              <w:right w:val="nil"/>
            </w:tcBorders>
            <w:shd w:val="clear" w:color="auto" w:fill="auto"/>
            <w:noWrap/>
            <w:vAlign w:val="center"/>
            <w:hideMark/>
          </w:tcPr>
          <w:p w14:paraId="146B051F" w14:textId="64D8C1DF"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9 %</w:t>
            </w:r>
          </w:p>
        </w:tc>
      </w:tr>
      <w:tr w:rsidR="00033A3F" w:rsidRPr="00033A3F" w14:paraId="2094F265"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47DC793D"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99" w:type="dxa"/>
            <w:tcBorders>
              <w:top w:val="nil"/>
              <w:left w:val="nil"/>
              <w:bottom w:val="single" w:sz="4" w:space="0" w:color="auto"/>
              <w:right w:val="nil"/>
            </w:tcBorders>
            <w:shd w:val="clear" w:color="auto" w:fill="auto"/>
            <w:noWrap/>
            <w:vAlign w:val="bottom"/>
            <w:hideMark/>
          </w:tcPr>
          <w:p w14:paraId="7023FAB7" w14:textId="166C88BF"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596</w:t>
            </w:r>
          </w:p>
        </w:tc>
        <w:tc>
          <w:tcPr>
            <w:tcW w:w="826" w:type="dxa"/>
            <w:tcBorders>
              <w:top w:val="nil"/>
              <w:left w:val="nil"/>
              <w:bottom w:val="single" w:sz="4" w:space="0" w:color="auto"/>
              <w:right w:val="nil"/>
            </w:tcBorders>
            <w:shd w:val="clear" w:color="auto" w:fill="auto"/>
            <w:noWrap/>
            <w:vAlign w:val="center"/>
            <w:hideMark/>
          </w:tcPr>
          <w:p w14:paraId="2F562B5A" w14:textId="341699C0"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8" w:type="dxa"/>
            <w:tcBorders>
              <w:top w:val="nil"/>
              <w:left w:val="single" w:sz="4" w:space="0" w:color="auto"/>
              <w:bottom w:val="single" w:sz="4" w:space="0" w:color="auto"/>
              <w:right w:val="nil"/>
            </w:tcBorders>
            <w:shd w:val="clear" w:color="auto" w:fill="auto"/>
            <w:noWrap/>
            <w:vAlign w:val="bottom"/>
            <w:hideMark/>
          </w:tcPr>
          <w:p w14:paraId="17C9F2B1" w14:textId="4AE84365"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539</w:t>
            </w:r>
          </w:p>
        </w:tc>
        <w:tc>
          <w:tcPr>
            <w:tcW w:w="768" w:type="dxa"/>
            <w:tcBorders>
              <w:top w:val="nil"/>
              <w:left w:val="nil"/>
              <w:bottom w:val="single" w:sz="4" w:space="0" w:color="auto"/>
              <w:right w:val="single" w:sz="4" w:space="0" w:color="auto"/>
            </w:tcBorders>
            <w:shd w:val="clear" w:color="auto" w:fill="auto"/>
            <w:noWrap/>
            <w:vAlign w:val="center"/>
            <w:hideMark/>
          </w:tcPr>
          <w:p w14:paraId="39701F5B" w14:textId="62152633"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217" w:type="dxa"/>
            <w:tcBorders>
              <w:top w:val="nil"/>
              <w:left w:val="nil"/>
              <w:bottom w:val="single" w:sz="4" w:space="0" w:color="auto"/>
              <w:right w:val="nil"/>
            </w:tcBorders>
            <w:shd w:val="clear" w:color="auto" w:fill="auto"/>
            <w:noWrap/>
            <w:vAlign w:val="bottom"/>
            <w:hideMark/>
          </w:tcPr>
          <w:p w14:paraId="1D6FC299"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914</w:t>
            </w:r>
          </w:p>
        </w:tc>
        <w:tc>
          <w:tcPr>
            <w:tcW w:w="709" w:type="dxa"/>
            <w:tcBorders>
              <w:top w:val="nil"/>
              <w:left w:val="nil"/>
              <w:bottom w:val="single" w:sz="4" w:space="0" w:color="auto"/>
              <w:right w:val="single" w:sz="4" w:space="0" w:color="auto"/>
            </w:tcBorders>
            <w:shd w:val="clear" w:color="auto" w:fill="auto"/>
            <w:noWrap/>
            <w:vAlign w:val="center"/>
            <w:hideMark/>
          </w:tcPr>
          <w:p w14:paraId="63892792" w14:textId="60676F5B"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75" w:type="dxa"/>
            <w:tcBorders>
              <w:top w:val="nil"/>
              <w:left w:val="nil"/>
              <w:bottom w:val="single" w:sz="4" w:space="0" w:color="auto"/>
              <w:right w:val="nil"/>
            </w:tcBorders>
            <w:shd w:val="clear" w:color="auto" w:fill="auto"/>
            <w:noWrap/>
            <w:vAlign w:val="center"/>
            <w:hideMark/>
          </w:tcPr>
          <w:p w14:paraId="1FBFEA87" w14:textId="0EC9027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5C94B580"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0D23CCC2"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99" w:type="dxa"/>
            <w:tcBorders>
              <w:top w:val="nil"/>
              <w:left w:val="nil"/>
              <w:bottom w:val="single" w:sz="4" w:space="0" w:color="auto"/>
              <w:right w:val="nil"/>
            </w:tcBorders>
            <w:shd w:val="clear" w:color="auto" w:fill="auto"/>
            <w:noWrap/>
            <w:vAlign w:val="bottom"/>
            <w:hideMark/>
          </w:tcPr>
          <w:p w14:paraId="3172ED91" w14:textId="5CC6C66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120</w:t>
            </w:r>
          </w:p>
        </w:tc>
        <w:tc>
          <w:tcPr>
            <w:tcW w:w="826" w:type="dxa"/>
            <w:tcBorders>
              <w:top w:val="nil"/>
              <w:left w:val="nil"/>
              <w:bottom w:val="single" w:sz="4" w:space="0" w:color="auto"/>
              <w:right w:val="nil"/>
            </w:tcBorders>
            <w:shd w:val="clear" w:color="auto" w:fill="auto"/>
            <w:noWrap/>
            <w:vAlign w:val="center"/>
            <w:hideMark/>
          </w:tcPr>
          <w:p w14:paraId="2110AB45" w14:textId="7B27E76C"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58" w:type="dxa"/>
            <w:tcBorders>
              <w:top w:val="nil"/>
              <w:left w:val="single" w:sz="4" w:space="0" w:color="auto"/>
              <w:bottom w:val="single" w:sz="4" w:space="0" w:color="auto"/>
              <w:right w:val="nil"/>
            </w:tcBorders>
            <w:shd w:val="clear" w:color="auto" w:fill="auto"/>
            <w:noWrap/>
            <w:vAlign w:val="bottom"/>
            <w:hideMark/>
          </w:tcPr>
          <w:p w14:paraId="17873682" w14:textId="4B6E5B19"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308</w:t>
            </w:r>
          </w:p>
        </w:tc>
        <w:tc>
          <w:tcPr>
            <w:tcW w:w="768" w:type="dxa"/>
            <w:tcBorders>
              <w:top w:val="nil"/>
              <w:left w:val="nil"/>
              <w:bottom w:val="single" w:sz="4" w:space="0" w:color="auto"/>
              <w:right w:val="single" w:sz="4" w:space="0" w:color="auto"/>
            </w:tcBorders>
            <w:shd w:val="clear" w:color="auto" w:fill="auto"/>
            <w:noWrap/>
            <w:vAlign w:val="center"/>
            <w:hideMark/>
          </w:tcPr>
          <w:p w14:paraId="3942D4CC" w14:textId="44E6139E"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217" w:type="dxa"/>
            <w:tcBorders>
              <w:top w:val="nil"/>
              <w:left w:val="nil"/>
              <w:bottom w:val="single" w:sz="4" w:space="0" w:color="auto"/>
              <w:right w:val="nil"/>
            </w:tcBorders>
            <w:shd w:val="clear" w:color="auto" w:fill="auto"/>
            <w:noWrap/>
            <w:vAlign w:val="bottom"/>
            <w:hideMark/>
          </w:tcPr>
          <w:p w14:paraId="53EA5918" w14:textId="2B773113"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101</w:t>
            </w:r>
          </w:p>
        </w:tc>
        <w:tc>
          <w:tcPr>
            <w:tcW w:w="709" w:type="dxa"/>
            <w:tcBorders>
              <w:top w:val="nil"/>
              <w:left w:val="nil"/>
              <w:bottom w:val="single" w:sz="4" w:space="0" w:color="auto"/>
              <w:right w:val="single" w:sz="4" w:space="0" w:color="auto"/>
            </w:tcBorders>
            <w:shd w:val="clear" w:color="auto" w:fill="auto"/>
            <w:noWrap/>
            <w:vAlign w:val="center"/>
            <w:hideMark/>
          </w:tcPr>
          <w:p w14:paraId="6068D664" w14:textId="498B7821"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275" w:type="dxa"/>
            <w:tcBorders>
              <w:top w:val="nil"/>
              <w:left w:val="nil"/>
              <w:bottom w:val="single" w:sz="4" w:space="0" w:color="auto"/>
              <w:right w:val="nil"/>
            </w:tcBorders>
            <w:shd w:val="clear" w:color="auto" w:fill="auto"/>
            <w:noWrap/>
            <w:vAlign w:val="center"/>
            <w:hideMark/>
          </w:tcPr>
          <w:p w14:paraId="30F5B104" w14:textId="7B1E298E"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9 %</w:t>
            </w:r>
          </w:p>
        </w:tc>
      </w:tr>
      <w:tr w:rsidR="00033A3F" w:rsidRPr="00033A3F" w14:paraId="3283105B"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5003E18A"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99" w:type="dxa"/>
            <w:tcBorders>
              <w:top w:val="nil"/>
              <w:left w:val="nil"/>
              <w:bottom w:val="single" w:sz="4" w:space="0" w:color="auto"/>
              <w:right w:val="nil"/>
            </w:tcBorders>
            <w:shd w:val="clear" w:color="auto" w:fill="auto"/>
            <w:noWrap/>
            <w:vAlign w:val="bottom"/>
            <w:hideMark/>
          </w:tcPr>
          <w:p w14:paraId="3FF05681" w14:textId="50B62E0A"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717</w:t>
            </w:r>
          </w:p>
        </w:tc>
        <w:tc>
          <w:tcPr>
            <w:tcW w:w="826" w:type="dxa"/>
            <w:tcBorders>
              <w:top w:val="nil"/>
              <w:left w:val="nil"/>
              <w:bottom w:val="single" w:sz="4" w:space="0" w:color="auto"/>
              <w:right w:val="nil"/>
            </w:tcBorders>
            <w:shd w:val="clear" w:color="auto" w:fill="auto"/>
            <w:noWrap/>
            <w:vAlign w:val="center"/>
            <w:hideMark/>
          </w:tcPr>
          <w:p w14:paraId="023377DF" w14:textId="068C5AC4"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8" w:type="dxa"/>
            <w:tcBorders>
              <w:top w:val="nil"/>
              <w:left w:val="single" w:sz="4" w:space="0" w:color="auto"/>
              <w:bottom w:val="single" w:sz="4" w:space="0" w:color="auto"/>
              <w:right w:val="nil"/>
            </w:tcBorders>
            <w:shd w:val="clear" w:color="auto" w:fill="auto"/>
            <w:noWrap/>
            <w:vAlign w:val="bottom"/>
            <w:hideMark/>
          </w:tcPr>
          <w:p w14:paraId="0B8A53CC" w14:textId="63A9AD04"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689</w:t>
            </w:r>
          </w:p>
        </w:tc>
        <w:tc>
          <w:tcPr>
            <w:tcW w:w="768" w:type="dxa"/>
            <w:tcBorders>
              <w:top w:val="nil"/>
              <w:left w:val="nil"/>
              <w:bottom w:val="single" w:sz="4" w:space="0" w:color="auto"/>
              <w:right w:val="single" w:sz="4" w:space="0" w:color="auto"/>
            </w:tcBorders>
            <w:shd w:val="clear" w:color="auto" w:fill="auto"/>
            <w:noWrap/>
            <w:vAlign w:val="center"/>
            <w:hideMark/>
          </w:tcPr>
          <w:p w14:paraId="54BD6BEA" w14:textId="5182BD56"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217" w:type="dxa"/>
            <w:tcBorders>
              <w:top w:val="nil"/>
              <w:left w:val="nil"/>
              <w:bottom w:val="single" w:sz="4" w:space="0" w:color="auto"/>
              <w:right w:val="nil"/>
            </w:tcBorders>
            <w:shd w:val="clear" w:color="auto" w:fill="auto"/>
            <w:noWrap/>
            <w:vAlign w:val="bottom"/>
            <w:hideMark/>
          </w:tcPr>
          <w:p w14:paraId="01E1C053"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570</w:t>
            </w:r>
          </w:p>
        </w:tc>
        <w:tc>
          <w:tcPr>
            <w:tcW w:w="709" w:type="dxa"/>
            <w:tcBorders>
              <w:top w:val="nil"/>
              <w:left w:val="nil"/>
              <w:bottom w:val="single" w:sz="4" w:space="0" w:color="auto"/>
              <w:right w:val="single" w:sz="4" w:space="0" w:color="auto"/>
            </w:tcBorders>
            <w:shd w:val="clear" w:color="auto" w:fill="auto"/>
            <w:noWrap/>
            <w:vAlign w:val="center"/>
            <w:hideMark/>
          </w:tcPr>
          <w:p w14:paraId="4C9BEFEA" w14:textId="1FA6658F"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75" w:type="dxa"/>
            <w:tcBorders>
              <w:top w:val="nil"/>
              <w:left w:val="nil"/>
              <w:bottom w:val="single" w:sz="4" w:space="0" w:color="auto"/>
              <w:right w:val="nil"/>
            </w:tcBorders>
            <w:shd w:val="clear" w:color="auto" w:fill="auto"/>
            <w:noWrap/>
            <w:vAlign w:val="center"/>
            <w:hideMark/>
          </w:tcPr>
          <w:p w14:paraId="154FD3F5" w14:textId="1335F1E5"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5 %</w:t>
            </w:r>
          </w:p>
        </w:tc>
      </w:tr>
      <w:tr w:rsidR="00033A3F" w:rsidRPr="00033A3F" w14:paraId="5029CA8C"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69174F4B"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99" w:type="dxa"/>
            <w:tcBorders>
              <w:top w:val="nil"/>
              <w:left w:val="nil"/>
              <w:bottom w:val="single" w:sz="4" w:space="0" w:color="auto"/>
              <w:right w:val="nil"/>
            </w:tcBorders>
            <w:shd w:val="clear" w:color="auto" w:fill="auto"/>
            <w:noWrap/>
            <w:vAlign w:val="bottom"/>
            <w:hideMark/>
          </w:tcPr>
          <w:p w14:paraId="3E49E117" w14:textId="7811208D"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356</w:t>
            </w:r>
          </w:p>
        </w:tc>
        <w:tc>
          <w:tcPr>
            <w:tcW w:w="826" w:type="dxa"/>
            <w:tcBorders>
              <w:top w:val="nil"/>
              <w:left w:val="nil"/>
              <w:bottom w:val="single" w:sz="4" w:space="0" w:color="auto"/>
              <w:right w:val="nil"/>
            </w:tcBorders>
            <w:shd w:val="clear" w:color="auto" w:fill="auto"/>
            <w:noWrap/>
            <w:vAlign w:val="center"/>
            <w:hideMark/>
          </w:tcPr>
          <w:p w14:paraId="334CF7F6" w14:textId="4D92E635"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58" w:type="dxa"/>
            <w:tcBorders>
              <w:top w:val="nil"/>
              <w:left w:val="single" w:sz="4" w:space="0" w:color="auto"/>
              <w:bottom w:val="single" w:sz="4" w:space="0" w:color="auto"/>
              <w:right w:val="nil"/>
            </w:tcBorders>
            <w:shd w:val="clear" w:color="auto" w:fill="auto"/>
            <w:noWrap/>
            <w:vAlign w:val="bottom"/>
            <w:hideMark/>
          </w:tcPr>
          <w:p w14:paraId="2AD17295" w14:textId="7F5F519C"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305</w:t>
            </w:r>
          </w:p>
        </w:tc>
        <w:tc>
          <w:tcPr>
            <w:tcW w:w="768" w:type="dxa"/>
            <w:tcBorders>
              <w:top w:val="nil"/>
              <w:left w:val="nil"/>
              <w:bottom w:val="single" w:sz="4" w:space="0" w:color="auto"/>
              <w:right w:val="single" w:sz="4" w:space="0" w:color="auto"/>
            </w:tcBorders>
            <w:shd w:val="clear" w:color="auto" w:fill="auto"/>
            <w:noWrap/>
            <w:vAlign w:val="center"/>
            <w:hideMark/>
          </w:tcPr>
          <w:p w14:paraId="40258C48" w14:textId="17964F21" w:rsidR="00211FB2" w:rsidRPr="00033A3F" w:rsidRDefault="00211FB2" w:rsidP="00884000">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17" w:type="dxa"/>
            <w:tcBorders>
              <w:top w:val="nil"/>
              <w:left w:val="nil"/>
              <w:bottom w:val="single" w:sz="4" w:space="0" w:color="auto"/>
              <w:right w:val="nil"/>
            </w:tcBorders>
            <w:shd w:val="clear" w:color="auto" w:fill="auto"/>
            <w:noWrap/>
            <w:vAlign w:val="bottom"/>
            <w:hideMark/>
          </w:tcPr>
          <w:p w14:paraId="7B836AF0" w14:textId="16A26F5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426</w:t>
            </w:r>
          </w:p>
        </w:tc>
        <w:tc>
          <w:tcPr>
            <w:tcW w:w="709" w:type="dxa"/>
            <w:tcBorders>
              <w:top w:val="nil"/>
              <w:left w:val="nil"/>
              <w:bottom w:val="single" w:sz="4" w:space="0" w:color="auto"/>
              <w:right w:val="single" w:sz="4" w:space="0" w:color="auto"/>
            </w:tcBorders>
            <w:shd w:val="clear" w:color="auto" w:fill="auto"/>
            <w:noWrap/>
            <w:vAlign w:val="center"/>
            <w:hideMark/>
          </w:tcPr>
          <w:p w14:paraId="7BAA6FA5" w14:textId="7C667096"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275" w:type="dxa"/>
            <w:tcBorders>
              <w:top w:val="nil"/>
              <w:left w:val="nil"/>
              <w:bottom w:val="single" w:sz="4" w:space="0" w:color="auto"/>
              <w:right w:val="nil"/>
            </w:tcBorders>
            <w:shd w:val="clear" w:color="auto" w:fill="auto"/>
            <w:noWrap/>
            <w:vAlign w:val="center"/>
            <w:hideMark/>
          </w:tcPr>
          <w:p w14:paraId="548A13E3" w14:textId="2D39BD5F"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5 %</w:t>
            </w:r>
          </w:p>
        </w:tc>
      </w:tr>
      <w:tr w:rsidR="00033A3F" w:rsidRPr="00033A3F" w14:paraId="0418E81B" w14:textId="77777777" w:rsidTr="00884000">
        <w:trPr>
          <w:trHeight w:val="330"/>
        </w:trPr>
        <w:tc>
          <w:tcPr>
            <w:tcW w:w="2020" w:type="dxa"/>
            <w:tcBorders>
              <w:top w:val="nil"/>
              <w:left w:val="nil"/>
              <w:bottom w:val="double" w:sz="6" w:space="0" w:color="auto"/>
              <w:right w:val="nil"/>
            </w:tcBorders>
            <w:shd w:val="clear" w:color="auto" w:fill="auto"/>
            <w:noWrap/>
            <w:vAlign w:val="bottom"/>
            <w:hideMark/>
          </w:tcPr>
          <w:p w14:paraId="6E4C49F4"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99" w:type="dxa"/>
            <w:tcBorders>
              <w:top w:val="nil"/>
              <w:left w:val="nil"/>
              <w:bottom w:val="double" w:sz="6" w:space="0" w:color="auto"/>
              <w:right w:val="nil"/>
            </w:tcBorders>
            <w:shd w:val="clear" w:color="auto" w:fill="auto"/>
            <w:noWrap/>
            <w:vAlign w:val="bottom"/>
            <w:hideMark/>
          </w:tcPr>
          <w:p w14:paraId="7FBE0175" w14:textId="441AC925"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215</w:t>
            </w:r>
          </w:p>
        </w:tc>
        <w:tc>
          <w:tcPr>
            <w:tcW w:w="826" w:type="dxa"/>
            <w:tcBorders>
              <w:top w:val="nil"/>
              <w:left w:val="nil"/>
              <w:bottom w:val="double" w:sz="6" w:space="0" w:color="auto"/>
              <w:right w:val="nil"/>
            </w:tcBorders>
            <w:shd w:val="clear" w:color="auto" w:fill="auto"/>
            <w:noWrap/>
            <w:vAlign w:val="center"/>
            <w:hideMark/>
          </w:tcPr>
          <w:p w14:paraId="374AF465" w14:textId="00FA3543"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58" w:type="dxa"/>
            <w:tcBorders>
              <w:top w:val="nil"/>
              <w:left w:val="single" w:sz="4" w:space="0" w:color="auto"/>
              <w:bottom w:val="double" w:sz="6" w:space="0" w:color="auto"/>
              <w:right w:val="nil"/>
            </w:tcBorders>
            <w:shd w:val="clear" w:color="auto" w:fill="auto"/>
            <w:noWrap/>
            <w:vAlign w:val="bottom"/>
            <w:hideMark/>
          </w:tcPr>
          <w:p w14:paraId="518E8927" w14:textId="06CAC1BD"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186</w:t>
            </w:r>
          </w:p>
        </w:tc>
        <w:tc>
          <w:tcPr>
            <w:tcW w:w="768" w:type="dxa"/>
            <w:tcBorders>
              <w:top w:val="nil"/>
              <w:left w:val="nil"/>
              <w:bottom w:val="double" w:sz="6" w:space="0" w:color="auto"/>
              <w:right w:val="single" w:sz="4" w:space="0" w:color="auto"/>
            </w:tcBorders>
            <w:shd w:val="clear" w:color="auto" w:fill="auto"/>
            <w:noWrap/>
            <w:vAlign w:val="center"/>
            <w:hideMark/>
          </w:tcPr>
          <w:p w14:paraId="64307B6D" w14:textId="19DA0E1B"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17" w:type="dxa"/>
            <w:tcBorders>
              <w:top w:val="nil"/>
              <w:left w:val="nil"/>
              <w:bottom w:val="double" w:sz="6" w:space="0" w:color="auto"/>
              <w:right w:val="nil"/>
            </w:tcBorders>
            <w:shd w:val="clear" w:color="auto" w:fill="auto"/>
            <w:noWrap/>
            <w:vAlign w:val="bottom"/>
            <w:hideMark/>
          </w:tcPr>
          <w:p w14:paraId="32FBF1C5" w14:textId="7095EA04"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230</w:t>
            </w:r>
          </w:p>
        </w:tc>
        <w:tc>
          <w:tcPr>
            <w:tcW w:w="709" w:type="dxa"/>
            <w:tcBorders>
              <w:top w:val="nil"/>
              <w:left w:val="nil"/>
              <w:bottom w:val="double" w:sz="6" w:space="0" w:color="auto"/>
              <w:right w:val="single" w:sz="4" w:space="0" w:color="auto"/>
            </w:tcBorders>
            <w:shd w:val="clear" w:color="auto" w:fill="auto"/>
            <w:noWrap/>
            <w:vAlign w:val="center"/>
            <w:hideMark/>
          </w:tcPr>
          <w:p w14:paraId="0676DEFF" w14:textId="5D5BCF37"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275" w:type="dxa"/>
            <w:tcBorders>
              <w:top w:val="nil"/>
              <w:left w:val="nil"/>
              <w:bottom w:val="nil"/>
              <w:right w:val="nil"/>
            </w:tcBorders>
            <w:shd w:val="clear" w:color="auto" w:fill="auto"/>
            <w:noWrap/>
            <w:vAlign w:val="center"/>
            <w:hideMark/>
          </w:tcPr>
          <w:p w14:paraId="19559A9B" w14:textId="1DF71E2C"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033A3F" w:rsidRPr="00033A3F" w14:paraId="34D39ABE" w14:textId="77777777" w:rsidTr="00884000">
        <w:trPr>
          <w:trHeight w:val="345"/>
        </w:trPr>
        <w:tc>
          <w:tcPr>
            <w:tcW w:w="2020" w:type="dxa"/>
            <w:tcBorders>
              <w:top w:val="nil"/>
              <w:left w:val="nil"/>
              <w:bottom w:val="double" w:sz="6" w:space="0" w:color="auto"/>
              <w:right w:val="nil"/>
            </w:tcBorders>
            <w:shd w:val="clear" w:color="auto" w:fill="auto"/>
            <w:noWrap/>
            <w:vAlign w:val="bottom"/>
            <w:hideMark/>
          </w:tcPr>
          <w:p w14:paraId="4A8D0556" w14:textId="77777777" w:rsidR="00211FB2" w:rsidRPr="00033A3F" w:rsidRDefault="00211FB2" w:rsidP="00211FB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99" w:type="dxa"/>
            <w:tcBorders>
              <w:top w:val="nil"/>
              <w:left w:val="nil"/>
              <w:bottom w:val="double" w:sz="6" w:space="0" w:color="auto"/>
              <w:right w:val="nil"/>
            </w:tcBorders>
            <w:shd w:val="clear" w:color="auto" w:fill="auto"/>
            <w:noWrap/>
            <w:vAlign w:val="bottom"/>
            <w:hideMark/>
          </w:tcPr>
          <w:p w14:paraId="1F12908E" w14:textId="2629592C"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63</w:t>
            </w:r>
            <w:r w:rsidR="002C3E61"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207</w:t>
            </w:r>
          </w:p>
        </w:tc>
        <w:tc>
          <w:tcPr>
            <w:tcW w:w="826" w:type="dxa"/>
            <w:tcBorders>
              <w:top w:val="nil"/>
              <w:left w:val="nil"/>
              <w:bottom w:val="double" w:sz="6" w:space="0" w:color="auto"/>
              <w:right w:val="nil"/>
            </w:tcBorders>
            <w:shd w:val="clear" w:color="auto" w:fill="auto"/>
            <w:noWrap/>
            <w:vAlign w:val="center"/>
            <w:hideMark/>
          </w:tcPr>
          <w:p w14:paraId="26406909" w14:textId="1B4EA33C" w:rsidR="00211FB2" w:rsidRPr="00033A3F" w:rsidRDefault="00211FB2" w:rsidP="00211FB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158" w:type="dxa"/>
            <w:tcBorders>
              <w:top w:val="nil"/>
              <w:left w:val="single" w:sz="4" w:space="0" w:color="auto"/>
              <w:bottom w:val="double" w:sz="6" w:space="0" w:color="auto"/>
              <w:right w:val="nil"/>
            </w:tcBorders>
            <w:shd w:val="clear" w:color="auto" w:fill="auto"/>
            <w:noWrap/>
            <w:vAlign w:val="bottom"/>
            <w:hideMark/>
          </w:tcPr>
          <w:p w14:paraId="100A42C2" w14:textId="32D8FBC1"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63</w:t>
            </w:r>
            <w:r w:rsidR="002C3E61"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204</w:t>
            </w:r>
          </w:p>
        </w:tc>
        <w:tc>
          <w:tcPr>
            <w:tcW w:w="768" w:type="dxa"/>
            <w:tcBorders>
              <w:top w:val="nil"/>
              <w:left w:val="nil"/>
              <w:bottom w:val="double" w:sz="6" w:space="0" w:color="auto"/>
              <w:right w:val="single" w:sz="4" w:space="0" w:color="auto"/>
            </w:tcBorders>
            <w:shd w:val="clear" w:color="auto" w:fill="auto"/>
            <w:noWrap/>
            <w:vAlign w:val="center"/>
            <w:hideMark/>
          </w:tcPr>
          <w:p w14:paraId="74AFC0B3" w14:textId="493EF57A" w:rsidR="00211FB2" w:rsidRPr="00033A3F" w:rsidRDefault="00211FB2" w:rsidP="00211FB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217" w:type="dxa"/>
            <w:tcBorders>
              <w:top w:val="nil"/>
              <w:left w:val="nil"/>
              <w:bottom w:val="double" w:sz="6" w:space="0" w:color="auto"/>
              <w:right w:val="nil"/>
            </w:tcBorders>
            <w:shd w:val="clear" w:color="auto" w:fill="auto"/>
            <w:noWrap/>
            <w:vAlign w:val="bottom"/>
            <w:hideMark/>
          </w:tcPr>
          <w:p w14:paraId="15808406" w14:textId="0F5C2569"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w:t>
            </w:r>
            <w:r w:rsidR="002C3E61"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265</w:t>
            </w:r>
          </w:p>
        </w:tc>
        <w:tc>
          <w:tcPr>
            <w:tcW w:w="709" w:type="dxa"/>
            <w:tcBorders>
              <w:top w:val="nil"/>
              <w:left w:val="nil"/>
              <w:bottom w:val="double" w:sz="6" w:space="0" w:color="auto"/>
              <w:right w:val="single" w:sz="4" w:space="0" w:color="auto"/>
            </w:tcBorders>
            <w:shd w:val="clear" w:color="auto" w:fill="auto"/>
            <w:noWrap/>
            <w:vAlign w:val="center"/>
            <w:hideMark/>
          </w:tcPr>
          <w:p w14:paraId="7E558A5B" w14:textId="5D13E9AF" w:rsidR="00211FB2" w:rsidRPr="00033A3F" w:rsidRDefault="00211FB2" w:rsidP="00211FB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1275" w:type="dxa"/>
            <w:tcBorders>
              <w:top w:val="double" w:sz="6" w:space="0" w:color="auto"/>
              <w:left w:val="nil"/>
              <w:bottom w:val="double" w:sz="6" w:space="0" w:color="auto"/>
              <w:right w:val="nil"/>
            </w:tcBorders>
            <w:shd w:val="clear" w:color="auto" w:fill="auto"/>
            <w:noWrap/>
            <w:vAlign w:val="center"/>
            <w:hideMark/>
          </w:tcPr>
          <w:p w14:paraId="32A9BD65" w14:textId="2C044449"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100</w:t>
            </w:r>
            <w:r w:rsidR="00723557"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0 %</w:t>
            </w:r>
          </w:p>
        </w:tc>
      </w:tr>
      <w:tr w:rsidR="00033A3F" w:rsidRPr="00033A3F" w14:paraId="02F3E3A1" w14:textId="77777777" w:rsidTr="00884000">
        <w:trPr>
          <w:trHeight w:val="330"/>
        </w:trPr>
        <w:tc>
          <w:tcPr>
            <w:tcW w:w="2020" w:type="dxa"/>
            <w:tcBorders>
              <w:top w:val="nil"/>
              <w:left w:val="nil"/>
              <w:bottom w:val="nil"/>
              <w:right w:val="nil"/>
            </w:tcBorders>
            <w:shd w:val="clear" w:color="auto" w:fill="auto"/>
            <w:noWrap/>
            <w:vAlign w:val="bottom"/>
            <w:hideMark/>
          </w:tcPr>
          <w:p w14:paraId="34E436B4" w14:textId="77777777" w:rsidR="00211FB2" w:rsidRPr="00033A3F" w:rsidRDefault="00211FB2" w:rsidP="00211FB2">
            <w:pPr>
              <w:spacing w:line="240" w:lineRule="auto"/>
              <w:jc w:val="center"/>
              <w:rPr>
                <w:rFonts w:eastAsia="Times New Roman"/>
                <w:b/>
                <w:bCs/>
                <w:color w:val="000000" w:themeColor="text1"/>
                <w:szCs w:val="24"/>
                <w:lang w:eastAsia="cs-CZ"/>
              </w:rPr>
            </w:pPr>
          </w:p>
        </w:tc>
        <w:tc>
          <w:tcPr>
            <w:tcW w:w="1099" w:type="dxa"/>
            <w:tcBorders>
              <w:top w:val="nil"/>
              <w:left w:val="nil"/>
              <w:bottom w:val="nil"/>
              <w:right w:val="nil"/>
            </w:tcBorders>
            <w:shd w:val="clear" w:color="auto" w:fill="auto"/>
            <w:noWrap/>
            <w:vAlign w:val="bottom"/>
            <w:hideMark/>
          </w:tcPr>
          <w:p w14:paraId="32135C67"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826" w:type="dxa"/>
            <w:tcBorders>
              <w:top w:val="nil"/>
              <w:left w:val="nil"/>
              <w:bottom w:val="nil"/>
              <w:right w:val="nil"/>
            </w:tcBorders>
            <w:shd w:val="clear" w:color="auto" w:fill="auto"/>
            <w:noWrap/>
            <w:vAlign w:val="bottom"/>
            <w:hideMark/>
          </w:tcPr>
          <w:p w14:paraId="2BCC9A0F"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1158" w:type="dxa"/>
            <w:tcBorders>
              <w:top w:val="nil"/>
              <w:left w:val="nil"/>
              <w:bottom w:val="nil"/>
              <w:right w:val="nil"/>
            </w:tcBorders>
            <w:shd w:val="clear" w:color="auto" w:fill="auto"/>
            <w:noWrap/>
            <w:vAlign w:val="bottom"/>
            <w:hideMark/>
          </w:tcPr>
          <w:p w14:paraId="633F0598"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768" w:type="dxa"/>
            <w:tcBorders>
              <w:top w:val="nil"/>
              <w:left w:val="nil"/>
              <w:bottom w:val="nil"/>
              <w:right w:val="nil"/>
            </w:tcBorders>
            <w:shd w:val="clear" w:color="auto" w:fill="auto"/>
            <w:noWrap/>
            <w:vAlign w:val="bottom"/>
            <w:hideMark/>
          </w:tcPr>
          <w:p w14:paraId="03C67163"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1217" w:type="dxa"/>
            <w:tcBorders>
              <w:top w:val="nil"/>
              <w:left w:val="nil"/>
              <w:bottom w:val="nil"/>
              <w:right w:val="nil"/>
            </w:tcBorders>
            <w:shd w:val="clear" w:color="auto" w:fill="auto"/>
            <w:noWrap/>
            <w:vAlign w:val="bottom"/>
            <w:hideMark/>
          </w:tcPr>
          <w:p w14:paraId="6EF89C48"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709" w:type="dxa"/>
            <w:tcBorders>
              <w:top w:val="nil"/>
              <w:left w:val="nil"/>
              <w:bottom w:val="nil"/>
              <w:right w:val="nil"/>
            </w:tcBorders>
            <w:shd w:val="clear" w:color="auto" w:fill="auto"/>
            <w:noWrap/>
            <w:vAlign w:val="bottom"/>
            <w:hideMark/>
          </w:tcPr>
          <w:p w14:paraId="529074A2"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1275" w:type="dxa"/>
            <w:tcBorders>
              <w:top w:val="nil"/>
              <w:left w:val="nil"/>
              <w:bottom w:val="nil"/>
              <w:right w:val="nil"/>
            </w:tcBorders>
            <w:shd w:val="clear" w:color="auto" w:fill="auto"/>
            <w:noWrap/>
            <w:vAlign w:val="bottom"/>
            <w:hideMark/>
          </w:tcPr>
          <w:p w14:paraId="0AD75C12"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r>
    </w:tbl>
    <w:p w14:paraId="2AECAAD8" w14:textId="77777777" w:rsidR="005D634F" w:rsidRPr="00033A3F" w:rsidRDefault="005D634F" w:rsidP="005D634F">
      <w:pPr>
        <w:pStyle w:val="Nadpis3"/>
        <w:numPr>
          <w:ilvl w:val="2"/>
          <w:numId w:val="1"/>
        </w:numPr>
        <w:rPr>
          <w:color w:val="000000" w:themeColor="text1"/>
        </w:rPr>
      </w:pPr>
      <w:bookmarkStart w:id="573" w:name="_Toc169250814"/>
      <w:bookmarkStart w:id="574" w:name="_Toc193530975"/>
      <w:bookmarkStart w:id="575" w:name="_Toc193957032"/>
      <w:bookmarkStart w:id="576" w:name="_Toc203032722"/>
      <w:r w:rsidRPr="00033A3F">
        <w:rPr>
          <w:color w:val="000000" w:themeColor="text1"/>
        </w:rPr>
        <w:t>Vyřizování věcí v přepočtu na soudce</w:t>
      </w:r>
      <w:bookmarkEnd w:id="573"/>
      <w:bookmarkEnd w:id="574"/>
      <w:bookmarkEnd w:id="575"/>
      <w:bookmarkEnd w:id="576"/>
    </w:p>
    <w:p w14:paraId="74034F0F" w14:textId="77777777" w:rsidR="006148E3" w:rsidRPr="00033A3F" w:rsidRDefault="006148E3" w:rsidP="006148E3">
      <w:pPr>
        <w:pStyle w:val="OdstavecASR"/>
        <w:rPr>
          <w:color w:val="000000" w:themeColor="text1"/>
        </w:rPr>
      </w:pPr>
      <w:r w:rsidRPr="00033A3F">
        <w:rPr>
          <w:color w:val="000000" w:themeColor="text1"/>
        </w:rPr>
        <w:t>Trestní úsek je výrazně menší než úsek civilní. Proto může v přepočtu na soudce docházet k určitým výkyvům, a to především na úrovni jednotlivých soudů. U nejmenších soudů působí na trestním úseku pouze dva soudci. Dočasný pokles nebo nárůst v počtu soudců tedy může vést ke značnému nárůstu nebo poklesu nevyřízených věcí v přepočtu na soudce.</w:t>
      </w:r>
    </w:p>
    <w:p w14:paraId="3DFCE46A" w14:textId="172EA3DB" w:rsidR="006148E3" w:rsidRPr="00033A3F" w:rsidRDefault="006148E3" w:rsidP="00412261">
      <w:pPr>
        <w:rPr>
          <w:color w:val="000000" w:themeColor="text1"/>
        </w:rPr>
      </w:pPr>
      <w:r w:rsidRPr="00033A3F">
        <w:rPr>
          <w:color w:val="000000" w:themeColor="text1"/>
        </w:rPr>
        <w:t xml:space="preserve">Stejně jako u civilní agendy má Ministerstvo spravedlnosti za posledních pět let k dispozici přesnější data o počtu soudců. Detailnější </w:t>
      </w:r>
      <w:r w:rsidR="000023E6" w:rsidRPr="00033A3F">
        <w:rPr>
          <w:color w:val="000000" w:themeColor="text1"/>
        </w:rPr>
        <w:t xml:space="preserve">popis dat o skutečném počtu úvazků využitých pro přepočet </w:t>
      </w:r>
      <w:r w:rsidRPr="00033A3F">
        <w:rPr>
          <w:color w:val="000000" w:themeColor="text1"/>
        </w:rPr>
        <w:t>lze najít v podkapitole 2.2.3.</w:t>
      </w:r>
    </w:p>
    <w:p w14:paraId="29D39AFD" w14:textId="399B70B6" w:rsidR="006148E3" w:rsidRPr="00033A3F" w:rsidRDefault="006148E3" w:rsidP="006148E3">
      <w:pPr>
        <w:pStyle w:val="Podnadpis"/>
        <w:numPr>
          <w:ilvl w:val="0"/>
          <w:numId w:val="0"/>
        </w:numPr>
        <w:rPr>
          <w:color w:val="000000" w:themeColor="text1"/>
        </w:rPr>
      </w:pPr>
      <w:bookmarkStart w:id="577" w:name="_Toc515871454"/>
      <w:bookmarkStart w:id="578" w:name="_Toc11133222"/>
      <w:bookmarkStart w:id="579" w:name="_Toc43931195"/>
      <w:bookmarkStart w:id="580" w:name="_Hlk67407410"/>
      <w:bookmarkStart w:id="581" w:name="_Toc75952325"/>
      <w:bookmarkStart w:id="582" w:name="_Toc106106784"/>
      <w:bookmarkStart w:id="583" w:name="_Toc144104262"/>
      <w:bookmarkStart w:id="584" w:name="_Toc169251078"/>
      <w:bookmarkStart w:id="585" w:name="_Toc174080764"/>
      <w:bookmarkStart w:id="586" w:name="_Toc193530897"/>
      <w:bookmarkStart w:id="587" w:name="_Toc194045592"/>
      <w:bookmarkStart w:id="588" w:name="_Toc199495001"/>
      <w:bookmarkStart w:id="589" w:name="_Toc203033061"/>
      <w:bookmarkStart w:id="590" w:name="_Toc203033139"/>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19</w:t>
      </w:r>
      <w:r w:rsidRPr="00033A3F">
        <w:rPr>
          <w:noProof/>
          <w:color w:val="000000" w:themeColor="text1"/>
        </w:rPr>
        <w:fldChar w:fldCharType="end"/>
      </w:r>
      <w:r w:rsidRPr="00033A3F">
        <w:rPr>
          <w:color w:val="000000" w:themeColor="text1"/>
        </w:rPr>
        <w:t>: OS – vyřizování trestních věcí na skutečný úvazek dle krajů</w:t>
      </w:r>
      <w:bookmarkEnd w:id="577"/>
      <w:bookmarkEnd w:id="578"/>
      <w:bookmarkEnd w:id="579"/>
      <w:bookmarkEnd w:id="580"/>
      <w:bookmarkEnd w:id="581"/>
      <w:bookmarkEnd w:id="582"/>
      <w:bookmarkEnd w:id="583"/>
      <w:r w:rsidRPr="00033A3F">
        <w:rPr>
          <w:color w:val="000000" w:themeColor="text1"/>
        </w:rPr>
        <w:t>, 202</w:t>
      </w:r>
      <w:bookmarkEnd w:id="584"/>
      <w:bookmarkEnd w:id="585"/>
      <w:r w:rsidRPr="00033A3F">
        <w:rPr>
          <w:color w:val="000000" w:themeColor="text1"/>
        </w:rPr>
        <w:t>4</w:t>
      </w:r>
      <w:bookmarkEnd w:id="586"/>
      <w:bookmarkEnd w:id="587"/>
      <w:bookmarkEnd w:id="588"/>
      <w:bookmarkEnd w:id="589"/>
      <w:bookmarkEnd w:id="590"/>
    </w:p>
    <w:tbl>
      <w:tblPr>
        <w:tblW w:w="9214" w:type="dxa"/>
        <w:tblCellMar>
          <w:left w:w="70" w:type="dxa"/>
          <w:right w:w="70" w:type="dxa"/>
        </w:tblCellMar>
        <w:tblLook w:val="04A0" w:firstRow="1" w:lastRow="0" w:firstColumn="1" w:lastColumn="0" w:noHBand="0" w:noVBand="1"/>
      </w:tblPr>
      <w:tblGrid>
        <w:gridCol w:w="1820"/>
        <w:gridCol w:w="1157"/>
        <w:gridCol w:w="1134"/>
        <w:gridCol w:w="992"/>
        <w:gridCol w:w="1134"/>
        <w:gridCol w:w="851"/>
        <w:gridCol w:w="1276"/>
        <w:gridCol w:w="850"/>
      </w:tblGrid>
      <w:tr w:rsidR="000310DC" w:rsidRPr="000310DC" w14:paraId="7941C1D0" w14:textId="77777777" w:rsidTr="0057327F">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6186CA0E" w14:textId="77777777" w:rsidR="000310DC" w:rsidRPr="000310DC" w:rsidRDefault="000310DC" w:rsidP="000310DC">
            <w:pPr>
              <w:spacing w:line="240" w:lineRule="auto"/>
              <w:jc w:val="left"/>
              <w:rPr>
                <w:rFonts w:eastAsia="Times New Roman"/>
                <w:b/>
                <w:bCs/>
                <w:color w:val="000000"/>
                <w:szCs w:val="24"/>
                <w:lang w:eastAsia="cs-CZ"/>
              </w:rPr>
            </w:pPr>
            <w:r w:rsidRPr="000310DC">
              <w:rPr>
                <w:rFonts w:eastAsia="Times New Roman"/>
                <w:b/>
                <w:bCs/>
                <w:color w:val="000000"/>
                <w:szCs w:val="24"/>
                <w:lang w:eastAsia="cs-CZ"/>
              </w:rPr>
              <w:t>Nadřízený soud</w:t>
            </w:r>
          </w:p>
        </w:tc>
        <w:tc>
          <w:tcPr>
            <w:tcW w:w="1157" w:type="dxa"/>
            <w:vMerge w:val="restart"/>
            <w:tcBorders>
              <w:top w:val="double" w:sz="6" w:space="0" w:color="auto"/>
              <w:left w:val="nil"/>
              <w:bottom w:val="double" w:sz="6" w:space="0" w:color="000000"/>
              <w:right w:val="nil"/>
            </w:tcBorders>
            <w:shd w:val="clear" w:color="auto" w:fill="auto"/>
            <w:noWrap/>
            <w:vAlign w:val="center"/>
            <w:hideMark/>
          </w:tcPr>
          <w:p w14:paraId="0B02748C"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Počet úvazků</w:t>
            </w:r>
          </w:p>
        </w:tc>
        <w:tc>
          <w:tcPr>
            <w:tcW w:w="6237" w:type="dxa"/>
            <w:gridSpan w:val="6"/>
            <w:tcBorders>
              <w:top w:val="double" w:sz="6" w:space="0" w:color="auto"/>
              <w:left w:val="nil"/>
              <w:bottom w:val="nil"/>
              <w:right w:val="nil"/>
            </w:tcBorders>
            <w:shd w:val="clear" w:color="auto" w:fill="auto"/>
            <w:noWrap/>
            <w:vAlign w:val="center"/>
            <w:hideMark/>
          </w:tcPr>
          <w:p w14:paraId="783DE331" w14:textId="4BE6D3D1" w:rsidR="000310DC" w:rsidRPr="000310DC" w:rsidRDefault="00966798"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Počet věcí na úvazek</w:t>
            </w:r>
          </w:p>
        </w:tc>
      </w:tr>
      <w:tr w:rsidR="000310DC" w:rsidRPr="000310DC" w14:paraId="03BBEE62" w14:textId="77777777" w:rsidTr="0057327F">
        <w:trPr>
          <w:trHeight w:val="330"/>
        </w:trPr>
        <w:tc>
          <w:tcPr>
            <w:tcW w:w="1820" w:type="dxa"/>
            <w:vMerge/>
            <w:tcBorders>
              <w:top w:val="double" w:sz="6" w:space="0" w:color="auto"/>
              <w:left w:val="nil"/>
              <w:bottom w:val="double" w:sz="6" w:space="0" w:color="000000"/>
              <w:right w:val="nil"/>
            </w:tcBorders>
            <w:vAlign w:val="center"/>
            <w:hideMark/>
          </w:tcPr>
          <w:p w14:paraId="6AB541DE" w14:textId="77777777" w:rsidR="000310DC" w:rsidRPr="000310DC" w:rsidRDefault="000310DC" w:rsidP="000310DC">
            <w:pPr>
              <w:spacing w:line="240" w:lineRule="auto"/>
              <w:jc w:val="left"/>
              <w:rPr>
                <w:rFonts w:eastAsia="Times New Roman"/>
                <w:b/>
                <w:bCs/>
                <w:color w:val="000000"/>
                <w:szCs w:val="24"/>
                <w:lang w:eastAsia="cs-CZ"/>
              </w:rPr>
            </w:pPr>
          </w:p>
        </w:tc>
        <w:tc>
          <w:tcPr>
            <w:tcW w:w="1157" w:type="dxa"/>
            <w:vMerge/>
            <w:tcBorders>
              <w:top w:val="double" w:sz="6" w:space="0" w:color="auto"/>
              <w:left w:val="nil"/>
              <w:bottom w:val="double" w:sz="6" w:space="0" w:color="000000"/>
              <w:right w:val="nil"/>
            </w:tcBorders>
            <w:vAlign w:val="center"/>
            <w:hideMark/>
          </w:tcPr>
          <w:p w14:paraId="46ACE4D9" w14:textId="77777777" w:rsidR="000310DC" w:rsidRPr="000310DC" w:rsidRDefault="000310DC" w:rsidP="000310DC">
            <w:pPr>
              <w:spacing w:line="240" w:lineRule="auto"/>
              <w:jc w:val="left"/>
              <w:rPr>
                <w:rFonts w:eastAsia="Times New Roman"/>
                <w:b/>
                <w:bCs/>
                <w:color w:val="000000"/>
                <w:szCs w:val="24"/>
                <w:lang w:eastAsia="cs-CZ"/>
              </w:rPr>
            </w:pPr>
          </w:p>
        </w:tc>
        <w:tc>
          <w:tcPr>
            <w:tcW w:w="2126" w:type="dxa"/>
            <w:gridSpan w:val="2"/>
            <w:tcBorders>
              <w:top w:val="nil"/>
              <w:left w:val="nil"/>
              <w:bottom w:val="double" w:sz="6" w:space="0" w:color="auto"/>
              <w:right w:val="nil"/>
            </w:tcBorders>
            <w:shd w:val="clear" w:color="auto" w:fill="auto"/>
            <w:noWrap/>
            <w:vAlign w:val="center"/>
            <w:hideMark/>
          </w:tcPr>
          <w:p w14:paraId="71D434B1"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Nápad + obživlé věci</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4F65EA9"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Vyřízeno</w:t>
            </w:r>
          </w:p>
        </w:tc>
        <w:tc>
          <w:tcPr>
            <w:tcW w:w="2126" w:type="dxa"/>
            <w:gridSpan w:val="2"/>
            <w:tcBorders>
              <w:top w:val="nil"/>
              <w:left w:val="nil"/>
              <w:bottom w:val="double" w:sz="6" w:space="0" w:color="auto"/>
              <w:right w:val="nil"/>
            </w:tcBorders>
            <w:shd w:val="clear" w:color="auto" w:fill="auto"/>
            <w:noWrap/>
            <w:vAlign w:val="center"/>
            <w:hideMark/>
          </w:tcPr>
          <w:p w14:paraId="2A9A7D0C"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Nevyřízeno</w:t>
            </w:r>
          </w:p>
        </w:tc>
      </w:tr>
      <w:tr w:rsidR="000310DC" w:rsidRPr="000310DC" w14:paraId="38593059" w14:textId="77777777" w:rsidTr="0057327F">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5BB4E1D8"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MS Praha</w:t>
            </w:r>
          </w:p>
        </w:tc>
        <w:tc>
          <w:tcPr>
            <w:tcW w:w="1157" w:type="dxa"/>
            <w:tcBorders>
              <w:top w:val="single" w:sz="4" w:space="0" w:color="auto"/>
              <w:left w:val="nil"/>
              <w:bottom w:val="single" w:sz="4" w:space="0" w:color="auto"/>
              <w:right w:val="nil"/>
            </w:tcBorders>
            <w:shd w:val="clear" w:color="auto" w:fill="auto"/>
            <w:noWrap/>
            <w:vAlign w:val="bottom"/>
            <w:hideMark/>
          </w:tcPr>
          <w:p w14:paraId="4548F6CE" w14:textId="413846F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58</w:t>
            </w:r>
            <w:r>
              <w:rPr>
                <w:rFonts w:eastAsia="Times New Roman"/>
                <w:color w:val="000000"/>
                <w:szCs w:val="24"/>
                <w:lang w:eastAsia="cs-CZ"/>
              </w:rPr>
              <w:t>,</w:t>
            </w:r>
            <w:r w:rsidRPr="000310DC">
              <w:rPr>
                <w:rFonts w:eastAsia="Times New Roman"/>
                <w:color w:val="000000"/>
                <w:szCs w:val="24"/>
                <w:lang w:eastAsia="cs-CZ"/>
              </w:rPr>
              <w:t>25</w:t>
            </w:r>
          </w:p>
        </w:tc>
        <w:tc>
          <w:tcPr>
            <w:tcW w:w="1134" w:type="dxa"/>
            <w:tcBorders>
              <w:top w:val="single" w:sz="4" w:space="0" w:color="auto"/>
              <w:left w:val="nil"/>
              <w:bottom w:val="single" w:sz="4" w:space="0" w:color="auto"/>
              <w:right w:val="nil"/>
            </w:tcBorders>
            <w:shd w:val="clear" w:color="auto" w:fill="auto"/>
            <w:noWrap/>
            <w:vAlign w:val="bottom"/>
            <w:hideMark/>
          </w:tcPr>
          <w:p w14:paraId="1B3126CA" w14:textId="0016082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146</w:t>
            </w:r>
            <w:r>
              <w:rPr>
                <w:rFonts w:eastAsia="Times New Roman"/>
                <w:color w:val="000000"/>
                <w:szCs w:val="24"/>
                <w:lang w:eastAsia="cs-CZ"/>
              </w:rPr>
              <w:t>,</w:t>
            </w:r>
            <w:r w:rsidRPr="000310DC">
              <w:rPr>
                <w:rFonts w:eastAsia="Times New Roman"/>
                <w:color w:val="000000"/>
                <w:szCs w:val="24"/>
                <w:lang w:eastAsia="cs-CZ"/>
              </w:rPr>
              <w:t>42</w:t>
            </w:r>
          </w:p>
        </w:tc>
        <w:tc>
          <w:tcPr>
            <w:tcW w:w="992" w:type="dxa"/>
            <w:tcBorders>
              <w:top w:val="single" w:sz="4" w:space="0" w:color="auto"/>
              <w:left w:val="nil"/>
              <w:bottom w:val="single" w:sz="4" w:space="0" w:color="auto"/>
              <w:right w:val="nil"/>
            </w:tcBorders>
            <w:shd w:val="clear" w:color="auto" w:fill="auto"/>
            <w:noWrap/>
            <w:vAlign w:val="center"/>
            <w:hideMark/>
          </w:tcPr>
          <w:p w14:paraId="47A9C0B7"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134" w:type="dxa"/>
            <w:tcBorders>
              <w:top w:val="nil"/>
              <w:left w:val="single" w:sz="4" w:space="0" w:color="auto"/>
              <w:bottom w:val="single" w:sz="4" w:space="0" w:color="auto"/>
              <w:right w:val="nil"/>
            </w:tcBorders>
            <w:shd w:val="clear" w:color="auto" w:fill="auto"/>
            <w:noWrap/>
            <w:vAlign w:val="bottom"/>
            <w:hideMark/>
          </w:tcPr>
          <w:p w14:paraId="56530233" w14:textId="21CF1E7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146</w:t>
            </w:r>
            <w:r>
              <w:rPr>
                <w:rFonts w:eastAsia="Times New Roman"/>
                <w:color w:val="000000"/>
                <w:szCs w:val="24"/>
                <w:lang w:eastAsia="cs-CZ"/>
              </w:rPr>
              <w:t>,</w:t>
            </w:r>
            <w:r w:rsidRPr="000310DC">
              <w:rPr>
                <w:rFonts w:eastAsia="Times New Roman"/>
                <w:color w:val="000000"/>
                <w:szCs w:val="24"/>
                <w:lang w:eastAsia="cs-CZ"/>
              </w:rPr>
              <w:t>44</w:t>
            </w:r>
          </w:p>
        </w:tc>
        <w:tc>
          <w:tcPr>
            <w:tcW w:w="851" w:type="dxa"/>
            <w:tcBorders>
              <w:top w:val="nil"/>
              <w:left w:val="nil"/>
              <w:bottom w:val="single" w:sz="4" w:space="0" w:color="auto"/>
              <w:right w:val="single" w:sz="4" w:space="0" w:color="auto"/>
            </w:tcBorders>
            <w:shd w:val="clear" w:color="auto" w:fill="auto"/>
            <w:noWrap/>
            <w:vAlign w:val="center"/>
            <w:hideMark/>
          </w:tcPr>
          <w:p w14:paraId="49883093"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-6 %  </w:t>
            </w:r>
          </w:p>
        </w:tc>
        <w:tc>
          <w:tcPr>
            <w:tcW w:w="1276" w:type="dxa"/>
            <w:tcBorders>
              <w:top w:val="single" w:sz="4" w:space="0" w:color="auto"/>
              <w:left w:val="nil"/>
              <w:bottom w:val="single" w:sz="4" w:space="0" w:color="auto"/>
              <w:right w:val="nil"/>
            </w:tcBorders>
            <w:shd w:val="clear" w:color="auto" w:fill="auto"/>
            <w:noWrap/>
            <w:vAlign w:val="bottom"/>
            <w:hideMark/>
          </w:tcPr>
          <w:p w14:paraId="08BC4D46" w14:textId="637097E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18</w:t>
            </w:r>
            <w:r>
              <w:rPr>
                <w:rFonts w:eastAsia="Times New Roman"/>
                <w:color w:val="000000"/>
                <w:szCs w:val="24"/>
                <w:lang w:eastAsia="cs-CZ"/>
              </w:rPr>
              <w:t>,</w:t>
            </w:r>
            <w:r w:rsidRPr="000310DC">
              <w:rPr>
                <w:rFonts w:eastAsia="Times New Roman"/>
                <w:color w:val="000000"/>
                <w:szCs w:val="24"/>
                <w:lang w:eastAsia="cs-CZ"/>
              </w:rPr>
              <w:t>08</w:t>
            </w:r>
          </w:p>
        </w:tc>
        <w:tc>
          <w:tcPr>
            <w:tcW w:w="850" w:type="dxa"/>
            <w:tcBorders>
              <w:top w:val="single" w:sz="4" w:space="0" w:color="auto"/>
              <w:left w:val="nil"/>
              <w:bottom w:val="single" w:sz="4" w:space="0" w:color="auto"/>
              <w:right w:val="nil"/>
            </w:tcBorders>
            <w:shd w:val="clear" w:color="auto" w:fill="auto"/>
            <w:noWrap/>
            <w:vAlign w:val="center"/>
            <w:hideMark/>
          </w:tcPr>
          <w:p w14:paraId="3AED300D"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-0 %  </w:t>
            </w:r>
          </w:p>
        </w:tc>
      </w:tr>
      <w:tr w:rsidR="000310DC" w:rsidRPr="000310DC" w14:paraId="6EE3357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50A0A710"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Praha</w:t>
            </w:r>
          </w:p>
        </w:tc>
        <w:tc>
          <w:tcPr>
            <w:tcW w:w="1157" w:type="dxa"/>
            <w:tcBorders>
              <w:top w:val="nil"/>
              <w:left w:val="nil"/>
              <w:bottom w:val="single" w:sz="4" w:space="0" w:color="auto"/>
              <w:right w:val="nil"/>
            </w:tcBorders>
            <w:shd w:val="clear" w:color="auto" w:fill="auto"/>
            <w:noWrap/>
            <w:vAlign w:val="bottom"/>
            <w:hideMark/>
          </w:tcPr>
          <w:p w14:paraId="3E35FDC2" w14:textId="0C70F04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41</w:t>
            </w:r>
            <w:r>
              <w:rPr>
                <w:rFonts w:eastAsia="Times New Roman"/>
                <w:color w:val="000000"/>
                <w:szCs w:val="24"/>
                <w:lang w:eastAsia="cs-CZ"/>
              </w:rPr>
              <w:t>,</w:t>
            </w:r>
            <w:r w:rsidRPr="000310DC">
              <w:rPr>
                <w:rFonts w:eastAsia="Times New Roman"/>
                <w:color w:val="000000"/>
                <w:szCs w:val="24"/>
                <w:lang w:eastAsia="cs-CZ"/>
              </w:rPr>
              <w:t>90</w:t>
            </w:r>
          </w:p>
        </w:tc>
        <w:tc>
          <w:tcPr>
            <w:tcW w:w="1134" w:type="dxa"/>
            <w:tcBorders>
              <w:top w:val="nil"/>
              <w:left w:val="nil"/>
              <w:bottom w:val="single" w:sz="4" w:space="0" w:color="auto"/>
              <w:right w:val="nil"/>
            </w:tcBorders>
            <w:shd w:val="clear" w:color="auto" w:fill="auto"/>
            <w:noWrap/>
            <w:vAlign w:val="bottom"/>
            <w:hideMark/>
          </w:tcPr>
          <w:p w14:paraId="3854D95D" w14:textId="36B8E67C"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181</w:t>
            </w:r>
            <w:r>
              <w:rPr>
                <w:rFonts w:eastAsia="Times New Roman"/>
                <w:color w:val="000000"/>
                <w:szCs w:val="24"/>
                <w:lang w:eastAsia="cs-CZ"/>
              </w:rPr>
              <w:t>,</w:t>
            </w:r>
            <w:r w:rsidRPr="000310DC">
              <w:rPr>
                <w:rFonts w:eastAsia="Times New Roman"/>
                <w:color w:val="000000"/>
                <w:szCs w:val="24"/>
                <w:lang w:eastAsia="cs-CZ"/>
              </w:rPr>
              <w:t>31</w:t>
            </w:r>
          </w:p>
        </w:tc>
        <w:tc>
          <w:tcPr>
            <w:tcW w:w="992" w:type="dxa"/>
            <w:tcBorders>
              <w:top w:val="nil"/>
              <w:left w:val="nil"/>
              <w:bottom w:val="single" w:sz="4" w:space="0" w:color="auto"/>
              <w:right w:val="nil"/>
            </w:tcBorders>
            <w:shd w:val="clear" w:color="auto" w:fill="auto"/>
            <w:noWrap/>
            <w:vAlign w:val="center"/>
            <w:hideMark/>
          </w:tcPr>
          <w:p w14:paraId="2A238F1E"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134" w:type="dxa"/>
            <w:tcBorders>
              <w:top w:val="nil"/>
              <w:left w:val="single" w:sz="4" w:space="0" w:color="auto"/>
              <w:bottom w:val="single" w:sz="4" w:space="0" w:color="auto"/>
              <w:right w:val="nil"/>
            </w:tcBorders>
            <w:shd w:val="clear" w:color="auto" w:fill="auto"/>
            <w:noWrap/>
            <w:vAlign w:val="bottom"/>
            <w:hideMark/>
          </w:tcPr>
          <w:p w14:paraId="31362C92" w14:textId="2F170E1C"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179</w:t>
            </w:r>
            <w:r>
              <w:rPr>
                <w:rFonts w:eastAsia="Times New Roman"/>
                <w:color w:val="000000"/>
                <w:szCs w:val="24"/>
                <w:lang w:eastAsia="cs-CZ"/>
              </w:rPr>
              <w:t>,</w:t>
            </w:r>
            <w:r w:rsidRPr="000310DC">
              <w:rPr>
                <w:rFonts w:eastAsia="Times New Roman"/>
                <w:color w:val="000000"/>
                <w:szCs w:val="24"/>
                <w:lang w:eastAsia="cs-CZ"/>
              </w:rPr>
              <w:t>81</w:t>
            </w:r>
          </w:p>
        </w:tc>
        <w:tc>
          <w:tcPr>
            <w:tcW w:w="851" w:type="dxa"/>
            <w:tcBorders>
              <w:top w:val="nil"/>
              <w:left w:val="nil"/>
              <w:bottom w:val="single" w:sz="4" w:space="0" w:color="auto"/>
              <w:right w:val="single" w:sz="4" w:space="0" w:color="auto"/>
            </w:tcBorders>
            <w:shd w:val="clear" w:color="auto" w:fill="auto"/>
            <w:noWrap/>
            <w:vAlign w:val="center"/>
            <w:hideMark/>
          </w:tcPr>
          <w:p w14:paraId="06589923"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c>
          <w:tcPr>
            <w:tcW w:w="1276" w:type="dxa"/>
            <w:tcBorders>
              <w:top w:val="nil"/>
              <w:left w:val="nil"/>
              <w:bottom w:val="single" w:sz="4" w:space="0" w:color="auto"/>
              <w:right w:val="nil"/>
            </w:tcBorders>
            <w:shd w:val="clear" w:color="auto" w:fill="auto"/>
            <w:noWrap/>
            <w:vAlign w:val="bottom"/>
            <w:hideMark/>
          </w:tcPr>
          <w:p w14:paraId="0FF77AC1" w14:textId="65ADBED5"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11</w:t>
            </w:r>
            <w:r>
              <w:rPr>
                <w:rFonts w:eastAsia="Times New Roman"/>
                <w:color w:val="000000"/>
                <w:szCs w:val="24"/>
                <w:lang w:eastAsia="cs-CZ"/>
              </w:rPr>
              <w:t>,</w:t>
            </w:r>
            <w:r w:rsidRPr="000310DC">
              <w:rPr>
                <w:rFonts w:eastAsia="Times New Roman"/>
                <w:color w:val="000000"/>
                <w:szCs w:val="24"/>
                <w:lang w:eastAsia="cs-CZ"/>
              </w:rPr>
              <w:t>67</w:t>
            </w:r>
          </w:p>
        </w:tc>
        <w:tc>
          <w:tcPr>
            <w:tcW w:w="850" w:type="dxa"/>
            <w:tcBorders>
              <w:top w:val="nil"/>
              <w:left w:val="nil"/>
              <w:bottom w:val="single" w:sz="4" w:space="0" w:color="auto"/>
              <w:right w:val="nil"/>
            </w:tcBorders>
            <w:shd w:val="clear" w:color="auto" w:fill="auto"/>
            <w:noWrap/>
            <w:vAlign w:val="center"/>
            <w:hideMark/>
          </w:tcPr>
          <w:p w14:paraId="242D09F1"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+14 %  </w:t>
            </w:r>
          </w:p>
        </w:tc>
      </w:tr>
      <w:tr w:rsidR="000310DC" w:rsidRPr="000310DC" w14:paraId="195C269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1D8825E6"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Č. Budějovice</w:t>
            </w:r>
          </w:p>
        </w:tc>
        <w:tc>
          <w:tcPr>
            <w:tcW w:w="1157" w:type="dxa"/>
            <w:tcBorders>
              <w:top w:val="nil"/>
              <w:left w:val="nil"/>
              <w:bottom w:val="single" w:sz="4" w:space="0" w:color="auto"/>
              <w:right w:val="nil"/>
            </w:tcBorders>
            <w:shd w:val="clear" w:color="auto" w:fill="auto"/>
            <w:noWrap/>
            <w:vAlign w:val="bottom"/>
            <w:hideMark/>
          </w:tcPr>
          <w:p w14:paraId="0B22BD9A" w14:textId="7FE48B5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21</w:t>
            </w:r>
            <w:r>
              <w:rPr>
                <w:rFonts w:eastAsia="Times New Roman"/>
                <w:color w:val="000000"/>
                <w:szCs w:val="24"/>
                <w:lang w:eastAsia="cs-CZ"/>
              </w:rPr>
              <w:t>,</w:t>
            </w:r>
            <w:r w:rsidRPr="000310DC">
              <w:rPr>
                <w:rFonts w:eastAsia="Times New Roman"/>
                <w:color w:val="000000"/>
                <w:szCs w:val="24"/>
                <w:lang w:eastAsia="cs-CZ"/>
              </w:rPr>
              <w:t>60</w:t>
            </w:r>
          </w:p>
        </w:tc>
        <w:tc>
          <w:tcPr>
            <w:tcW w:w="1134" w:type="dxa"/>
            <w:tcBorders>
              <w:top w:val="nil"/>
              <w:left w:val="nil"/>
              <w:bottom w:val="single" w:sz="4" w:space="0" w:color="auto"/>
              <w:right w:val="nil"/>
            </w:tcBorders>
            <w:shd w:val="clear" w:color="auto" w:fill="auto"/>
            <w:noWrap/>
            <w:vAlign w:val="bottom"/>
            <w:hideMark/>
          </w:tcPr>
          <w:p w14:paraId="4ED076A4" w14:textId="558FD50F"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188</w:t>
            </w:r>
            <w:r>
              <w:rPr>
                <w:rFonts w:eastAsia="Times New Roman"/>
                <w:color w:val="000000"/>
                <w:szCs w:val="24"/>
                <w:lang w:eastAsia="cs-CZ"/>
              </w:rPr>
              <w:t>,</w:t>
            </w:r>
            <w:r w:rsidRPr="000310DC">
              <w:rPr>
                <w:rFonts w:eastAsia="Times New Roman"/>
                <w:color w:val="000000"/>
                <w:szCs w:val="24"/>
                <w:lang w:eastAsia="cs-CZ"/>
              </w:rPr>
              <w:t>75</w:t>
            </w:r>
          </w:p>
        </w:tc>
        <w:tc>
          <w:tcPr>
            <w:tcW w:w="992" w:type="dxa"/>
            <w:tcBorders>
              <w:top w:val="nil"/>
              <w:left w:val="nil"/>
              <w:bottom w:val="single" w:sz="4" w:space="0" w:color="auto"/>
              <w:right w:val="nil"/>
            </w:tcBorders>
            <w:shd w:val="clear" w:color="auto" w:fill="auto"/>
            <w:noWrap/>
            <w:vAlign w:val="center"/>
            <w:hideMark/>
          </w:tcPr>
          <w:p w14:paraId="2E64462C"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-6 %  </w:t>
            </w:r>
          </w:p>
        </w:tc>
        <w:tc>
          <w:tcPr>
            <w:tcW w:w="1134" w:type="dxa"/>
            <w:tcBorders>
              <w:top w:val="nil"/>
              <w:left w:val="single" w:sz="4" w:space="0" w:color="auto"/>
              <w:bottom w:val="single" w:sz="4" w:space="0" w:color="auto"/>
              <w:right w:val="nil"/>
            </w:tcBorders>
            <w:shd w:val="clear" w:color="auto" w:fill="auto"/>
            <w:noWrap/>
            <w:vAlign w:val="bottom"/>
            <w:hideMark/>
          </w:tcPr>
          <w:p w14:paraId="57E4E298" w14:textId="77F4A97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190</w:t>
            </w:r>
            <w:r>
              <w:rPr>
                <w:rFonts w:eastAsia="Times New Roman"/>
                <w:color w:val="000000"/>
                <w:szCs w:val="24"/>
                <w:lang w:eastAsia="cs-CZ"/>
              </w:rPr>
              <w:t>,</w:t>
            </w:r>
            <w:r w:rsidRPr="000310DC">
              <w:rPr>
                <w:rFonts w:eastAsia="Times New Roman"/>
                <w:color w:val="000000"/>
                <w:szCs w:val="24"/>
                <w:lang w:eastAsia="cs-CZ"/>
              </w:rPr>
              <w:t>42</w:t>
            </w:r>
          </w:p>
        </w:tc>
        <w:tc>
          <w:tcPr>
            <w:tcW w:w="851" w:type="dxa"/>
            <w:tcBorders>
              <w:top w:val="nil"/>
              <w:left w:val="nil"/>
              <w:bottom w:val="single" w:sz="4" w:space="0" w:color="auto"/>
              <w:right w:val="single" w:sz="4" w:space="0" w:color="auto"/>
            </w:tcBorders>
            <w:shd w:val="clear" w:color="auto" w:fill="auto"/>
            <w:noWrap/>
            <w:vAlign w:val="center"/>
            <w:hideMark/>
          </w:tcPr>
          <w:p w14:paraId="02D5CE8B"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276" w:type="dxa"/>
            <w:tcBorders>
              <w:top w:val="nil"/>
              <w:left w:val="nil"/>
              <w:bottom w:val="single" w:sz="4" w:space="0" w:color="auto"/>
              <w:right w:val="nil"/>
            </w:tcBorders>
            <w:shd w:val="clear" w:color="auto" w:fill="auto"/>
            <w:noWrap/>
            <w:vAlign w:val="bottom"/>
            <w:hideMark/>
          </w:tcPr>
          <w:p w14:paraId="5F615E7F" w14:textId="05B1C9E4"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22</w:t>
            </w:r>
            <w:r>
              <w:rPr>
                <w:rFonts w:eastAsia="Times New Roman"/>
                <w:color w:val="000000"/>
                <w:szCs w:val="24"/>
                <w:lang w:eastAsia="cs-CZ"/>
              </w:rPr>
              <w:t>,</w:t>
            </w:r>
            <w:r w:rsidRPr="000310DC">
              <w:rPr>
                <w:rFonts w:eastAsia="Times New Roman"/>
                <w:color w:val="000000"/>
                <w:szCs w:val="24"/>
                <w:lang w:eastAsia="cs-CZ"/>
              </w:rPr>
              <w:t>31</w:t>
            </w:r>
          </w:p>
        </w:tc>
        <w:tc>
          <w:tcPr>
            <w:tcW w:w="850" w:type="dxa"/>
            <w:tcBorders>
              <w:top w:val="nil"/>
              <w:left w:val="nil"/>
              <w:bottom w:val="single" w:sz="4" w:space="0" w:color="auto"/>
              <w:right w:val="nil"/>
            </w:tcBorders>
            <w:shd w:val="clear" w:color="auto" w:fill="auto"/>
            <w:noWrap/>
            <w:vAlign w:val="center"/>
            <w:hideMark/>
          </w:tcPr>
          <w:p w14:paraId="35730A3A"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-6 %  </w:t>
            </w:r>
          </w:p>
        </w:tc>
      </w:tr>
      <w:tr w:rsidR="000310DC" w:rsidRPr="000310DC" w14:paraId="7F8342A9"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7F42432D"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Plzeň</w:t>
            </w:r>
          </w:p>
        </w:tc>
        <w:tc>
          <w:tcPr>
            <w:tcW w:w="1157" w:type="dxa"/>
            <w:tcBorders>
              <w:top w:val="nil"/>
              <w:left w:val="nil"/>
              <w:bottom w:val="single" w:sz="4" w:space="0" w:color="auto"/>
              <w:right w:val="nil"/>
            </w:tcBorders>
            <w:shd w:val="clear" w:color="auto" w:fill="auto"/>
            <w:noWrap/>
            <w:vAlign w:val="bottom"/>
            <w:hideMark/>
          </w:tcPr>
          <w:p w14:paraId="2C181600" w14:textId="1F517AB6"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w:t>
            </w:r>
            <w:r>
              <w:rPr>
                <w:rFonts w:eastAsia="Times New Roman"/>
                <w:color w:val="000000"/>
                <w:szCs w:val="24"/>
                <w:lang w:eastAsia="cs-CZ"/>
              </w:rPr>
              <w:t>,</w:t>
            </w:r>
            <w:r w:rsidRPr="000310DC">
              <w:rPr>
                <w:rFonts w:eastAsia="Times New Roman"/>
                <w:color w:val="000000"/>
                <w:szCs w:val="24"/>
                <w:lang w:eastAsia="cs-CZ"/>
              </w:rPr>
              <w:t>52</w:t>
            </w:r>
          </w:p>
        </w:tc>
        <w:tc>
          <w:tcPr>
            <w:tcW w:w="1134" w:type="dxa"/>
            <w:tcBorders>
              <w:top w:val="nil"/>
              <w:left w:val="nil"/>
              <w:bottom w:val="single" w:sz="4" w:space="0" w:color="auto"/>
              <w:right w:val="nil"/>
            </w:tcBorders>
            <w:shd w:val="clear" w:color="auto" w:fill="auto"/>
            <w:noWrap/>
            <w:vAlign w:val="bottom"/>
            <w:hideMark/>
          </w:tcPr>
          <w:p w14:paraId="3310D332" w14:textId="2E7EEF4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153</w:t>
            </w:r>
            <w:r>
              <w:rPr>
                <w:rFonts w:eastAsia="Times New Roman"/>
                <w:color w:val="000000"/>
                <w:szCs w:val="24"/>
                <w:lang w:eastAsia="cs-CZ"/>
              </w:rPr>
              <w:t>,</w:t>
            </w:r>
            <w:r w:rsidRPr="000310DC">
              <w:rPr>
                <w:rFonts w:eastAsia="Times New Roman"/>
                <w:color w:val="000000"/>
                <w:szCs w:val="24"/>
                <w:lang w:eastAsia="cs-CZ"/>
              </w:rPr>
              <w:t>23</w:t>
            </w:r>
          </w:p>
        </w:tc>
        <w:tc>
          <w:tcPr>
            <w:tcW w:w="992" w:type="dxa"/>
            <w:tcBorders>
              <w:top w:val="nil"/>
              <w:left w:val="nil"/>
              <w:bottom w:val="single" w:sz="4" w:space="0" w:color="auto"/>
              <w:right w:val="nil"/>
            </w:tcBorders>
            <w:shd w:val="clear" w:color="auto" w:fill="auto"/>
            <w:noWrap/>
            <w:vAlign w:val="center"/>
            <w:hideMark/>
          </w:tcPr>
          <w:p w14:paraId="2782ECCC"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134" w:type="dxa"/>
            <w:tcBorders>
              <w:top w:val="nil"/>
              <w:left w:val="single" w:sz="4" w:space="0" w:color="auto"/>
              <w:bottom w:val="single" w:sz="4" w:space="0" w:color="auto"/>
              <w:right w:val="nil"/>
            </w:tcBorders>
            <w:shd w:val="clear" w:color="auto" w:fill="auto"/>
            <w:noWrap/>
            <w:vAlign w:val="bottom"/>
            <w:hideMark/>
          </w:tcPr>
          <w:p w14:paraId="64C31A76" w14:textId="4F36E23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151</w:t>
            </w:r>
            <w:r>
              <w:rPr>
                <w:rFonts w:eastAsia="Times New Roman"/>
                <w:color w:val="000000"/>
                <w:szCs w:val="24"/>
                <w:lang w:eastAsia="cs-CZ"/>
              </w:rPr>
              <w:t>,</w:t>
            </w:r>
            <w:r w:rsidRPr="000310DC">
              <w:rPr>
                <w:rFonts w:eastAsia="Times New Roman"/>
                <w:color w:val="000000"/>
                <w:szCs w:val="24"/>
                <w:lang w:eastAsia="cs-CZ"/>
              </w:rPr>
              <w:t>67</w:t>
            </w:r>
          </w:p>
        </w:tc>
        <w:tc>
          <w:tcPr>
            <w:tcW w:w="851" w:type="dxa"/>
            <w:tcBorders>
              <w:top w:val="nil"/>
              <w:left w:val="nil"/>
              <w:bottom w:val="single" w:sz="4" w:space="0" w:color="auto"/>
              <w:right w:val="single" w:sz="4" w:space="0" w:color="auto"/>
            </w:tcBorders>
            <w:shd w:val="clear" w:color="auto" w:fill="auto"/>
            <w:noWrap/>
            <w:vAlign w:val="center"/>
            <w:hideMark/>
          </w:tcPr>
          <w:p w14:paraId="2BDAFE3B"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276" w:type="dxa"/>
            <w:tcBorders>
              <w:top w:val="nil"/>
              <w:left w:val="nil"/>
              <w:bottom w:val="single" w:sz="4" w:space="0" w:color="auto"/>
              <w:right w:val="nil"/>
            </w:tcBorders>
            <w:shd w:val="clear" w:color="auto" w:fill="auto"/>
            <w:noWrap/>
            <w:vAlign w:val="bottom"/>
            <w:hideMark/>
          </w:tcPr>
          <w:p w14:paraId="0B57DD5A" w14:textId="1329C80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25</w:t>
            </w:r>
            <w:r>
              <w:rPr>
                <w:rFonts w:eastAsia="Times New Roman"/>
                <w:color w:val="000000"/>
                <w:szCs w:val="24"/>
                <w:lang w:eastAsia="cs-CZ"/>
              </w:rPr>
              <w:t>,</w:t>
            </w:r>
            <w:r w:rsidRPr="000310DC">
              <w:rPr>
                <w:rFonts w:eastAsia="Times New Roman"/>
                <w:color w:val="000000"/>
                <w:szCs w:val="24"/>
                <w:lang w:eastAsia="cs-CZ"/>
              </w:rPr>
              <w:t>03</w:t>
            </w:r>
          </w:p>
        </w:tc>
        <w:tc>
          <w:tcPr>
            <w:tcW w:w="850" w:type="dxa"/>
            <w:tcBorders>
              <w:top w:val="nil"/>
              <w:left w:val="nil"/>
              <w:bottom w:val="single" w:sz="4" w:space="0" w:color="auto"/>
              <w:right w:val="nil"/>
            </w:tcBorders>
            <w:shd w:val="clear" w:color="auto" w:fill="auto"/>
            <w:noWrap/>
            <w:vAlign w:val="center"/>
            <w:hideMark/>
          </w:tcPr>
          <w:p w14:paraId="44D376D9"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+6 %  </w:t>
            </w:r>
          </w:p>
        </w:tc>
      </w:tr>
      <w:tr w:rsidR="000310DC" w:rsidRPr="000310DC" w14:paraId="664AAE27"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69A159CF"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Ústí n. Labem</w:t>
            </w:r>
          </w:p>
        </w:tc>
        <w:tc>
          <w:tcPr>
            <w:tcW w:w="1157" w:type="dxa"/>
            <w:tcBorders>
              <w:top w:val="nil"/>
              <w:left w:val="nil"/>
              <w:bottom w:val="single" w:sz="4" w:space="0" w:color="auto"/>
              <w:right w:val="nil"/>
            </w:tcBorders>
            <w:shd w:val="clear" w:color="auto" w:fill="auto"/>
            <w:noWrap/>
            <w:vAlign w:val="bottom"/>
            <w:hideMark/>
          </w:tcPr>
          <w:p w14:paraId="6DFF4352" w14:textId="20D83CB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57</w:t>
            </w:r>
            <w:r>
              <w:rPr>
                <w:rFonts w:eastAsia="Times New Roman"/>
                <w:color w:val="000000"/>
                <w:szCs w:val="24"/>
                <w:lang w:eastAsia="cs-CZ"/>
              </w:rPr>
              <w:t>,</w:t>
            </w:r>
            <w:r w:rsidRPr="000310DC">
              <w:rPr>
                <w:rFonts w:eastAsia="Times New Roman"/>
                <w:color w:val="000000"/>
                <w:szCs w:val="24"/>
                <w:lang w:eastAsia="cs-CZ"/>
              </w:rPr>
              <w:t>27</w:t>
            </w:r>
          </w:p>
        </w:tc>
        <w:tc>
          <w:tcPr>
            <w:tcW w:w="1134" w:type="dxa"/>
            <w:tcBorders>
              <w:top w:val="nil"/>
              <w:left w:val="nil"/>
              <w:bottom w:val="single" w:sz="4" w:space="0" w:color="auto"/>
              <w:right w:val="nil"/>
            </w:tcBorders>
            <w:shd w:val="clear" w:color="auto" w:fill="auto"/>
            <w:noWrap/>
            <w:vAlign w:val="bottom"/>
            <w:hideMark/>
          </w:tcPr>
          <w:p w14:paraId="74C69AEB" w14:textId="7ED37F5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176</w:t>
            </w:r>
            <w:r>
              <w:rPr>
                <w:rFonts w:eastAsia="Times New Roman"/>
                <w:color w:val="000000"/>
                <w:szCs w:val="24"/>
                <w:lang w:eastAsia="cs-CZ"/>
              </w:rPr>
              <w:t>,</w:t>
            </w:r>
            <w:r w:rsidRPr="000310DC">
              <w:rPr>
                <w:rFonts w:eastAsia="Times New Roman"/>
                <w:color w:val="000000"/>
                <w:szCs w:val="24"/>
                <w:lang w:eastAsia="cs-CZ"/>
              </w:rPr>
              <w:t>71</w:t>
            </w:r>
          </w:p>
        </w:tc>
        <w:tc>
          <w:tcPr>
            <w:tcW w:w="992" w:type="dxa"/>
            <w:tcBorders>
              <w:top w:val="nil"/>
              <w:left w:val="nil"/>
              <w:bottom w:val="single" w:sz="4" w:space="0" w:color="auto"/>
              <w:right w:val="nil"/>
            </w:tcBorders>
            <w:shd w:val="clear" w:color="auto" w:fill="auto"/>
            <w:noWrap/>
            <w:vAlign w:val="center"/>
            <w:hideMark/>
          </w:tcPr>
          <w:p w14:paraId="02322C93"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134" w:type="dxa"/>
            <w:tcBorders>
              <w:top w:val="nil"/>
              <w:left w:val="single" w:sz="4" w:space="0" w:color="auto"/>
              <w:bottom w:val="single" w:sz="4" w:space="0" w:color="auto"/>
              <w:right w:val="nil"/>
            </w:tcBorders>
            <w:shd w:val="clear" w:color="auto" w:fill="auto"/>
            <w:noWrap/>
            <w:vAlign w:val="bottom"/>
            <w:hideMark/>
          </w:tcPr>
          <w:p w14:paraId="59E4B8FA" w14:textId="6D8F225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179</w:t>
            </w:r>
            <w:r>
              <w:rPr>
                <w:rFonts w:eastAsia="Times New Roman"/>
                <w:color w:val="000000"/>
                <w:szCs w:val="24"/>
                <w:lang w:eastAsia="cs-CZ"/>
              </w:rPr>
              <w:t>,</w:t>
            </w:r>
            <w:r w:rsidRPr="000310DC">
              <w:rPr>
                <w:rFonts w:eastAsia="Times New Roman"/>
                <w:color w:val="000000"/>
                <w:szCs w:val="24"/>
                <w:lang w:eastAsia="cs-CZ"/>
              </w:rPr>
              <w:t>99</w:t>
            </w:r>
          </w:p>
        </w:tc>
        <w:tc>
          <w:tcPr>
            <w:tcW w:w="851" w:type="dxa"/>
            <w:tcBorders>
              <w:top w:val="nil"/>
              <w:left w:val="nil"/>
              <w:bottom w:val="single" w:sz="4" w:space="0" w:color="auto"/>
              <w:right w:val="single" w:sz="4" w:space="0" w:color="auto"/>
            </w:tcBorders>
            <w:shd w:val="clear" w:color="auto" w:fill="auto"/>
            <w:noWrap/>
            <w:vAlign w:val="center"/>
            <w:hideMark/>
          </w:tcPr>
          <w:p w14:paraId="369923CB"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c>
          <w:tcPr>
            <w:tcW w:w="1276" w:type="dxa"/>
            <w:tcBorders>
              <w:top w:val="nil"/>
              <w:left w:val="nil"/>
              <w:bottom w:val="single" w:sz="4" w:space="0" w:color="auto"/>
              <w:right w:val="nil"/>
            </w:tcBorders>
            <w:shd w:val="clear" w:color="auto" w:fill="auto"/>
            <w:noWrap/>
            <w:vAlign w:val="bottom"/>
            <w:hideMark/>
          </w:tcPr>
          <w:p w14:paraId="2BFEEC7A" w14:textId="67F017C2"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w:t>
            </w:r>
            <w:r>
              <w:rPr>
                <w:rFonts w:eastAsia="Times New Roman"/>
                <w:color w:val="000000"/>
                <w:szCs w:val="24"/>
                <w:lang w:eastAsia="cs-CZ"/>
              </w:rPr>
              <w:t>,</w:t>
            </w:r>
            <w:r w:rsidRPr="000310DC">
              <w:rPr>
                <w:rFonts w:eastAsia="Times New Roman"/>
                <w:color w:val="000000"/>
                <w:szCs w:val="24"/>
                <w:lang w:eastAsia="cs-CZ"/>
              </w:rPr>
              <w:t>69</w:t>
            </w:r>
          </w:p>
        </w:tc>
        <w:tc>
          <w:tcPr>
            <w:tcW w:w="850" w:type="dxa"/>
            <w:tcBorders>
              <w:top w:val="nil"/>
              <w:left w:val="nil"/>
              <w:bottom w:val="single" w:sz="4" w:space="0" w:color="auto"/>
              <w:right w:val="nil"/>
            </w:tcBorders>
            <w:shd w:val="clear" w:color="auto" w:fill="auto"/>
            <w:noWrap/>
            <w:vAlign w:val="center"/>
            <w:hideMark/>
          </w:tcPr>
          <w:p w14:paraId="6DC2D3F7"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-0 %  </w:t>
            </w:r>
          </w:p>
        </w:tc>
      </w:tr>
      <w:tr w:rsidR="000310DC" w:rsidRPr="000310DC" w14:paraId="25E88436"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5A07FF15"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Hr. Králové</w:t>
            </w:r>
          </w:p>
        </w:tc>
        <w:tc>
          <w:tcPr>
            <w:tcW w:w="1157" w:type="dxa"/>
            <w:tcBorders>
              <w:top w:val="nil"/>
              <w:left w:val="nil"/>
              <w:bottom w:val="single" w:sz="4" w:space="0" w:color="auto"/>
              <w:right w:val="nil"/>
            </w:tcBorders>
            <w:shd w:val="clear" w:color="auto" w:fill="auto"/>
            <w:noWrap/>
            <w:vAlign w:val="bottom"/>
            <w:hideMark/>
          </w:tcPr>
          <w:p w14:paraId="7FD1BE90" w14:textId="3BE0B1AC"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w:t>
            </w:r>
            <w:r>
              <w:rPr>
                <w:rFonts w:eastAsia="Times New Roman"/>
                <w:color w:val="000000"/>
                <w:szCs w:val="24"/>
                <w:lang w:eastAsia="cs-CZ"/>
              </w:rPr>
              <w:t>,</w:t>
            </w:r>
            <w:r w:rsidRPr="000310DC">
              <w:rPr>
                <w:rFonts w:eastAsia="Times New Roman"/>
                <w:color w:val="000000"/>
                <w:szCs w:val="24"/>
                <w:lang w:eastAsia="cs-CZ"/>
              </w:rPr>
              <w:t>00</w:t>
            </w:r>
          </w:p>
        </w:tc>
        <w:tc>
          <w:tcPr>
            <w:tcW w:w="1134" w:type="dxa"/>
            <w:tcBorders>
              <w:top w:val="nil"/>
              <w:left w:val="nil"/>
              <w:bottom w:val="single" w:sz="4" w:space="0" w:color="auto"/>
              <w:right w:val="nil"/>
            </w:tcBorders>
            <w:shd w:val="clear" w:color="auto" w:fill="auto"/>
            <w:noWrap/>
            <w:vAlign w:val="bottom"/>
            <w:hideMark/>
          </w:tcPr>
          <w:p w14:paraId="2C8896C5" w14:textId="25A96C7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158</w:t>
            </w:r>
            <w:r>
              <w:rPr>
                <w:rFonts w:eastAsia="Times New Roman"/>
                <w:color w:val="000000"/>
                <w:szCs w:val="24"/>
                <w:lang w:eastAsia="cs-CZ"/>
              </w:rPr>
              <w:t>,</w:t>
            </w:r>
            <w:r w:rsidRPr="000310DC">
              <w:rPr>
                <w:rFonts w:eastAsia="Times New Roman"/>
                <w:color w:val="000000"/>
                <w:szCs w:val="24"/>
                <w:lang w:eastAsia="cs-CZ"/>
              </w:rPr>
              <w:t>81</w:t>
            </w:r>
          </w:p>
        </w:tc>
        <w:tc>
          <w:tcPr>
            <w:tcW w:w="992" w:type="dxa"/>
            <w:tcBorders>
              <w:top w:val="nil"/>
              <w:left w:val="nil"/>
              <w:bottom w:val="single" w:sz="4" w:space="0" w:color="auto"/>
              <w:right w:val="nil"/>
            </w:tcBorders>
            <w:shd w:val="clear" w:color="auto" w:fill="auto"/>
            <w:noWrap/>
            <w:vAlign w:val="center"/>
            <w:hideMark/>
          </w:tcPr>
          <w:p w14:paraId="0F0CD22B"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134" w:type="dxa"/>
            <w:tcBorders>
              <w:top w:val="nil"/>
              <w:left w:val="single" w:sz="4" w:space="0" w:color="auto"/>
              <w:bottom w:val="single" w:sz="4" w:space="0" w:color="auto"/>
              <w:right w:val="nil"/>
            </w:tcBorders>
            <w:shd w:val="clear" w:color="auto" w:fill="auto"/>
            <w:noWrap/>
            <w:vAlign w:val="bottom"/>
            <w:hideMark/>
          </w:tcPr>
          <w:p w14:paraId="79E783D9" w14:textId="186493A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158</w:t>
            </w:r>
            <w:r>
              <w:rPr>
                <w:rFonts w:eastAsia="Times New Roman"/>
                <w:color w:val="000000"/>
                <w:szCs w:val="24"/>
                <w:lang w:eastAsia="cs-CZ"/>
              </w:rPr>
              <w:t>,</w:t>
            </w:r>
            <w:r w:rsidRPr="000310DC">
              <w:rPr>
                <w:rFonts w:eastAsia="Times New Roman"/>
                <w:color w:val="000000"/>
                <w:szCs w:val="24"/>
                <w:lang w:eastAsia="cs-CZ"/>
              </w:rPr>
              <w:t>03</w:t>
            </w:r>
          </w:p>
        </w:tc>
        <w:tc>
          <w:tcPr>
            <w:tcW w:w="851" w:type="dxa"/>
            <w:tcBorders>
              <w:top w:val="nil"/>
              <w:left w:val="nil"/>
              <w:bottom w:val="single" w:sz="4" w:space="0" w:color="auto"/>
              <w:right w:val="single" w:sz="4" w:space="0" w:color="auto"/>
            </w:tcBorders>
            <w:shd w:val="clear" w:color="auto" w:fill="auto"/>
            <w:noWrap/>
            <w:vAlign w:val="center"/>
            <w:hideMark/>
          </w:tcPr>
          <w:p w14:paraId="41BA1FEE"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276" w:type="dxa"/>
            <w:tcBorders>
              <w:top w:val="nil"/>
              <w:left w:val="nil"/>
              <w:bottom w:val="single" w:sz="4" w:space="0" w:color="auto"/>
              <w:right w:val="nil"/>
            </w:tcBorders>
            <w:shd w:val="clear" w:color="auto" w:fill="auto"/>
            <w:noWrap/>
            <w:vAlign w:val="bottom"/>
            <w:hideMark/>
          </w:tcPr>
          <w:p w14:paraId="1C67D04B" w14:textId="4F55FCA4"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w:t>
            </w:r>
            <w:r>
              <w:rPr>
                <w:rFonts w:eastAsia="Times New Roman"/>
                <w:color w:val="000000"/>
                <w:szCs w:val="24"/>
                <w:lang w:eastAsia="cs-CZ"/>
              </w:rPr>
              <w:t>,</w:t>
            </w:r>
            <w:r w:rsidRPr="000310DC">
              <w:rPr>
                <w:rFonts w:eastAsia="Times New Roman"/>
                <w:color w:val="000000"/>
                <w:szCs w:val="24"/>
                <w:lang w:eastAsia="cs-CZ"/>
              </w:rPr>
              <w:t>83</w:t>
            </w:r>
          </w:p>
        </w:tc>
        <w:tc>
          <w:tcPr>
            <w:tcW w:w="850" w:type="dxa"/>
            <w:tcBorders>
              <w:top w:val="nil"/>
              <w:left w:val="nil"/>
              <w:bottom w:val="single" w:sz="4" w:space="0" w:color="auto"/>
              <w:right w:val="nil"/>
            </w:tcBorders>
            <w:shd w:val="clear" w:color="auto" w:fill="auto"/>
            <w:noWrap/>
            <w:vAlign w:val="center"/>
            <w:hideMark/>
          </w:tcPr>
          <w:p w14:paraId="55AE9720"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r>
      <w:tr w:rsidR="000310DC" w:rsidRPr="000310DC" w14:paraId="2C032C5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6424E06F"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Brno</w:t>
            </w:r>
          </w:p>
        </w:tc>
        <w:tc>
          <w:tcPr>
            <w:tcW w:w="1157" w:type="dxa"/>
            <w:tcBorders>
              <w:top w:val="nil"/>
              <w:left w:val="nil"/>
              <w:bottom w:val="single" w:sz="4" w:space="0" w:color="auto"/>
              <w:right w:val="nil"/>
            </w:tcBorders>
            <w:shd w:val="clear" w:color="auto" w:fill="auto"/>
            <w:noWrap/>
            <w:vAlign w:val="bottom"/>
            <w:hideMark/>
          </w:tcPr>
          <w:p w14:paraId="75C2F3D6" w14:textId="51AB75F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52</w:t>
            </w:r>
            <w:r>
              <w:rPr>
                <w:rFonts w:eastAsia="Times New Roman"/>
                <w:color w:val="000000"/>
                <w:szCs w:val="24"/>
                <w:lang w:eastAsia="cs-CZ"/>
              </w:rPr>
              <w:t>,</w:t>
            </w:r>
            <w:r w:rsidRPr="000310DC">
              <w:rPr>
                <w:rFonts w:eastAsia="Times New Roman"/>
                <w:color w:val="000000"/>
                <w:szCs w:val="24"/>
                <w:lang w:eastAsia="cs-CZ"/>
              </w:rPr>
              <w:t>30</w:t>
            </w:r>
          </w:p>
        </w:tc>
        <w:tc>
          <w:tcPr>
            <w:tcW w:w="1134" w:type="dxa"/>
            <w:tcBorders>
              <w:top w:val="nil"/>
              <w:left w:val="nil"/>
              <w:bottom w:val="single" w:sz="4" w:space="0" w:color="auto"/>
              <w:right w:val="nil"/>
            </w:tcBorders>
            <w:shd w:val="clear" w:color="auto" w:fill="auto"/>
            <w:noWrap/>
            <w:vAlign w:val="bottom"/>
            <w:hideMark/>
          </w:tcPr>
          <w:p w14:paraId="53116010" w14:textId="3931BAD7"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178</w:t>
            </w:r>
            <w:r>
              <w:rPr>
                <w:rFonts w:eastAsia="Times New Roman"/>
                <w:color w:val="000000"/>
                <w:szCs w:val="24"/>
                <w:lang w:eastAsia="cs-CZ"/>
              </w:rPr>
              <w:t>,</w:t>
            </w:r>
            <w:r w:rsidRPr="000310DC">
              <w:rPr>
                <w:rFonts w:eastAsia="Times New Roman"/>
                <w:color w:val="000000"/>
                <w:szCs w:val="24"/>
                <w:lang w:eastAsia="cs-CZ"/>
              </w:rPr>
              <w:t>89</w:t>
            </w:r>
          </w:p>
        </w:tc>
        <w:tc>
          <w:tcPr>
            <w:tcW w:w="992" w:type="dxa"/>
            <w:tcBorders>
              <w:top w:val="nil"/>
              <w:left w:val="nil"/>
              <w:bottom w:val="single" w:sz="4" w:space="0" w:color="auto"/>
              <w:right w:val="nil"/>
            </w:tcBorders>
            <w:shd w:val="clear" w:color="auto" w:fill="auto"/>
            <w:noWrap/>
            <w:vAlign w:val="center"/>
            <w:hideMark/>
          </w:tcPr>
          <w:p w14:paraId="5C9F2173"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134" w:type="dxa"/>
            <w:tcBorders>
              <w:top w:val="nil"/>
              <w:left w:val="single" w:sz="4" w:space="0" w:color="auto"/>
              <w:bottom w:val="single" w:sz="4" w:space="0" w:color="auto"/>
              <w:right w:val="nil"/>
            </w:tcBorders>
            <w:shd w:val="clear" w:color="auto" w:fill="auto"/>
            <w:noWrap/>
            <w:vAlign w:val="bottom"/>
            <w:hideMark/>
          </w:tcPr>
          <w:p w14:paraId="5FD3183C" w14:textId="0C54308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177</w:t>
            </w:r>
            <w:r>
              <w:rPr>
                <w:rFonts w:eastAsia="Times New Roman"/>
                <w:color w:val="000000"/>
                <w:szCs w:val="24"/>
                <w:lang w:eastAsia="cs-CZ"/>
              </w:rPr>
              <w:t>,</w:t>
            </w:r>
            <w:r w:rsidRPr="000310DC">
              <w:rPr>
                <w:rFonts w:eastAsia="Times New Roman"/>
                <w:color w:val="000000"/>
                <w:szCs w:val="24"/>
                <w:lang w:eastAsia="cs-CZ"/>
              </w:rPr>
              <w:t>92</w:t>
            </w:r>
          </w:p>
        </w:tc>
        <w:tc>
          <w:tcPr>
            <w:tcW w:w="851" w:type="dxa"/>
            <w:tcBorders>
              <w:top w:val="nil"/>
              <w:left w:val="nil"/>
              <w:bottom w:val="single" w:sz="4" w:space="0" w:color="auto"/>
              <w:right w:val="single" w:sz="4" w:space="0" w:color="auto"/>
            </w:tcBorders>
            <w:shd w:val="clear" w:color="auto" w:fill="auto"/>
            <w:noWrap/>
            <w:vAlign w:val="center"/>
            <w:hideMark/>
          </w:tcPr>
          <w:p w14:paraId="40559F5F"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276" w:type="dxa"/>
            <w:tcBorders>
              <w:top w:val="nil"/>
              <w:left w:val="nil"/>
              <w:bottom w:val="single" w:sz="4" w:space="0" w:color="auto"/>
              <w:right w:val="nil"/>
            </w:tcBorders>
            <w:shd w:val="clear" w:color="auto" w:fill="auto"/>
            <w:noWrap/>
            <w:vAlign w:val="bottom"/>
            <w:hideMark/>
          </w:tcPr>
          <w:p w14:paraId="2FCFD6BB" w14:textId="151966F6"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27</w:t>
            </w:r>
            <w:r>
              <w:rPr>
                <w:rFonts w:eastAsia="Times New Roman"/>
                <w:color w:val="000000"/>
                <w:szCs w:val="24"/>
                <w:lang w:eastAsia="cs-CZ"/>
              </w:rPr>
              <w:t>,</w:t>
            </w:r>
            <w:r w:rsidRPr="000310DC">
              <w:rPr>
                <w:rFonts w:eastAsia="Times New Roman"/>
                <w:color w:val="000000"/>
                <w:szCs w:val="24"/>
                <w:lang w:eastAsia="cs-CZ"/>
              </w:rPr>
              <w:t>27</w:t>
            </w:r>
          </w:p>
        </w:tc>
        <w:tc>
          <w:tcPr>
            <w:tcW w:w="850" w:type="dxa"/>
            <w:tcBorders>
              <w:top w:val="nil"/>
              <w:left w:val="nil"/>
              <w:bottom w:val="single" w:sz="4" w:space="0" w:color="auto"/>
              <w:right w:val="nil"/>
            </w:tcBorders>
            <w:shd w:val="clear" w:color="auto" w:fill="auto"/>
            <w:noWrap/>
            <w:vAlign w:val="center"/>
            <w:hideMark/>
          </w:tcPr>
          <w:p w14:paraId="536D87E5"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r>
      <w:tr w:rsidR="000310DC" w:rsidRPr="000310DC" w14:paraId="2F9C2775" w14:textId="77777777" w:rsidTr="0057327F">
        <w:trPr>
          <w:trHeight w:val="330"/>
        </w:trPr>
        <w:tc>
          <w:tcPr>
            <w:tcW w:w="1820" w:type="dxa"/>
            <w:tcBorders>
              <w:top w:val="nil"/>
              <w:left w:val="nil"/>
              <w:bottom w:val="double" w:sz="6" w:space="0" w:color="auto"/>
              <w:right w:val="nil"/>
            </w:tcBorders>
            <w:shd w:val="clear" w:color="auto" w:fill="auto"/>
            <w:noWrap/>
            <w:vAlign w:val="bottom"/>
            <w:hideMark/>
          </w:tcPr>
          <w:p w14:paraId="10C9D344"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Ostrava</w:t>
            </w:r>
          </w:p>
        </w:tc>
        <w:tc>
          <w:tcPr>
            <w:tcW w:w="1157" w:type="dxa"/>
            <w:tcBorders>
              <w:top w:val="nil"/>
              <w:left w:val="nil"/>
              <w:bottom w:val="double" w:sz="6" w:space="0" w:color="auto"/>
              <w:right w:val="nil"/>
            </w:tcBorders>
            <w:shd w:val="clear" w:color="auto" w:fill="auto"/>
            <w:noWrap/>
            <w:vAlign w:val="bottom"/>
            <w:hideMark/>
          </w:tcPr>
          <w:p w14:paraId="29BA8543" w14:textId="43ADCC0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69</w:t>
            </w:r>
            <w:r>
              <w:rPr>
                <w:rFonts w:eastAsia="Times New Roman"/>
                <w:color w:val="000000"/>
                <w:szCs w:val="24"/>
                <w:lang w:eastAsia="cs-CZ"/>
              </w:rPr>
              <w:t>,</w:t>
            </w:r>
            <w:r w:rsidRPr="000310DC">
              <w:rPr>
                <w:rFonts w:eastAsia="Times New Roman"/>
                <w:color w:val="000000"/>
                <w:szCs w:val="24"/>
                <w:lang w:eastAsia="cs-CZ"/>
              </w:rPr>
              <w:t>35</w:t>
            </w:r>
          </w:p>
        </w:tc>
        <w:tc>
          <w:tcPr>
            <w:tcW w:w="1134" w:type="dxa"/>
            <w:tcBorders>
              <w:top w:val="nil"/>
              <w:left w:val="nil"/>
              <w:bottom w:val="double" w:sz="6" w:space="0" w:color="auto"/>
              <w:right w:val="nil"/>
            </w:tcBorders>
            <w:shd w:val="clear" w:color="auto" w:fill="auto"/>
            <w:noWrap/>
            <w:vAlign w:val="bottom"/>
            <w:hideMark/>
          </w:tcPr>
          <w:p w14:paraId="73971F99" w14:textId="4C5C85A2"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176</w:t>
            </w:r>
            <w:r>
              <w:rPr>
                <w:rFonts w:eastAsia="Times New Roman"/>
                <w:color w:val="000000"/>
                <w:szCs w:val="24"/>
                <w:lang w:eastAsia="cs-CZ"/>
              </w:rPr>
              <w:t>,</w:t>
            </w:r>
            <w:r w:rsidRPr="000310DC">
              <w:rPr>
                <w:rFonts w:eastAsia="Times New Roman"/>
                <w:color w:val="000000"/>
                <w:szCs w:val="24"/>
                <w:lang w:eastAsia="cs-CZ"/>
              </w:rPr>
              <w:t>14</w:t>
            </w:r>
          </w:p>
        </w:tc>
        <w:tc>
          <w:tcPr>
            <w:tcW w:w="992" w:type="dxa"/>
            <w:tcBorders>
              <w:top w:val="nil"/>
              <w:left w:val="nil"/>
              <w:bottom w:val="double" w:sz="6" w:space="0" w:color="auto"/>
              <w:right w:val="nil"/>
            </w:tcBorders>
            <w:shd w:val="clear" w:color="auto" w:fill="auto"/>
            <w:noWrap/>
            <w:vAlign w:val="center"/>
            <w:hideMark/>
          </w:tcPr>
          <w:p w14:paraId="07A41CA2"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c>
          <w:tcPr>
            <w:tcW w:w="1134" w:type="dxa"/>
            <w:tcBorders>
              <w:top w:val="nil"/>
              <w:left w:val="single" w:sz="4" w:space="0" w:color="auto"/>
              <w:bottom w:val="double" w:sz="6" w:space="0" w:color="auto"/>
              <w:right w:val="nil"/>
            </w:tcBorders>
            <w:shd w:val="clear" w:color="auto" w:fill="auto"/>
            <w:noWrap/>
            <w:vAlign w:val="bottom"/>
            <w:hideMark/>
          </w:tcPr>
          <w:p w14:paraId="3DEB23A1" w14:textId="7AF6C56A"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175</w:t>
            </w:r>
            <w:r>
              <w:rPr>
                <w:rFonts w:eastAsia="Times New Roman"/>
                <w:color w:val="000000"/>
                <w:szCs w:val="24"/>
                <w:lang w:eastAsia="cs-CZ"/>
              </w:rPr>
              <w:t>,</w:t>
            </w:r>
            <w:r w:rsidRPr="000310DC">
              <w:rPr>
                <w:rFonts w:eastAsia="Times New Roman"/>
                <w:color w:val="000000"/>
                <w:szCs w:val="24"/>
                <w:lang w:eastAsia="cs-CZ"/>
              </w:rPr>
              <w:t>72</w:t>
            </w:r>
          </w:p>
        </w:tc>
        <w:tc>
          <w:tcPr>
            <w:tcW w:w="851" w:type="dxa"/>
            <w:tcBorders>
              <w:top w:val="nil"/>
              <w:left w:val="nil"/>
              <w:bottom w:val="double" w:sz="6" w:space="0" w:color="auto"/>
              <w:right w:val="single" w:sz="4" w:space="0" w:color="auto"/>
            </w:tcBorders>
            <w:shd w:val="clear" w:color="auto" w:fill="auto"/>
            <w:noWrap/>
            <w:vAlign w:val="center"/>
            <w:hideMark/>
          </w:tcPr>
          <w:p w14:paraId="00C2BAD9"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c>
          <w:tcPr>
            <w:tcW w:w="1276" w:type="dxa"/>
            <w:tcBorders>
              <w:top w:val="nil"/>
              <w:left w:val="nil"/>
              <w:bottom w:val="double" w:sz="6" w:space="0" w:color="auto"/>
              <w:right w:val="nil"/>
            </w:tcBorders>
            <w:shd w:val="clear" w:color="auto" w:fill="auto"/>
            <w:noWrap/>
            <w:vAlign w:val="bottom"/>
            <w:hideMark/>
          </w:tcPr>
          <w:p w14:paraId="4986C4C3" w14:textId="731C2D9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32</w:t>
            </w:r>
            <w:r>
              <w:rPr>
                <w:rFonts w:eastAsia="Times New Roman"/>
                <w:color w:val="000000"/>
                <w:szCs w:val="24"/>
                <w:lang w:eastAsia="cs-CZ"/>
              </w:rPr>
              <w:t>,</w:t>
            </w:r>
            <w:r w:rsidRPr="000310DC">
              <w:rPr>
                <w:rFonts w:eastAsia="Times New Roman"/>
                <w:color w:val="000000"/>
                <w:szCs w:val="24"/>
                <w:lang w:eastAsia="cs-CZ"/>
              </w:rPr>
              <w:t>16</w:t>
            </w:r>
          </w:p>
        </w:tc>
        <w:tc>
          <w:tcPr>
            <w:tcW w:w="850" w:type="dxa"/>
            <w:tcBorders>
              <w:top w:val="nil"/>
              <w:left w:val="nil"/>
              <w:bottom w:val="double" w:sz="6" w:space="0" w:color="auto"/>
              <w:right w:val="nil"/>
            </w:tcBorders>
            <w:shd w:val="clear" w:color="auto" w:fill="auto"/>
            <w:noWrap/>
            <w:vAlign w:val="center"/>
            <w:hideMark/>
          </w:tcPr>
          <w:p w14:paraId="523753F1"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r>
      <w:tr w:rsidR="000310DC" w:rsidRPr="000310DC" w14:paraId="6F943107" w14:textId="77777777" w:rsidTr="0057327F">
        <w:trPr>
          <w:trHeight w:val="345"/>
        </w:trPr>
        <w:tc>
          <w:tcPr>
            <w:tcW w:w="1820" w:type="dxa"/>
            <w:tcBorders>
              <w:top w:val="nil"/>
              <w:left w:val="nil"/>
              <w:bottom w:val="double" w:sz="6" w:space="0" w:color="auto"/>
              <w:right w:val="nil"/>
            </w:tcBorders>
            <w:shd w:val="clear" w:color="auto" w:fill="auto"/>
            <w:noWrap/>
            <w:vAlign w:val="bottom"/>
            <w:hideMark/>
          </w:tcPr>
          <w:p w14:paraId="14A2845B" w14:textId="77777777" w:rsidR="000310DC" w:rsidRPr="000310DC" w:rsidRDefault="000310DC" w:rsidP="000310DC">
            <w:pPr>
              <w:spacing w:line="240" w:lineRule="auto"/>
              <w:jc w:val="left"/>
              <w:rPr>
                <w:rFonts w:eastAsia="Times New Roman"/>
                <w:b/>
                <w:bCs/>
                <w:color w:val="000000"/>
                <w:szCs w:val="24"/>
                <w:lang w:eastAsia="cs-CZ"/>
              </w:rPr>
            </w:pPr>
            <w:r w:rsidRPr="000310DC">
              <w:rPr>
                <w:rFonts w:eastAsia="Times New Roman"/>
                <w:b/>
                <w:bCs/>
                <w:color w:val="000000"/>
                <w:szCs w:val="24"/>
                <w:lang w:eastAsia="cs-CZ"/>
              </w:rPr>
              <w:t>Celkem ČR</w:t>
            </w:r>
          </w:p>
        </w:tc>
        <w:tc>
          <w:tcPr>
            <w:tcW w:w="1157" w:type="dxa"/>
            <w:tcBorders>
              <w:top w:val="nil"/>
              <w:left w:val="nil"/>
              <w:bottom w:val="double" w:sz="6" w:space="0" w:color="auto"/>
              <w:right w:val="nil"/>
            </w:tcBorders>
            <w:shd w:val="clear" w:color="auto" w:fill="auto"/>
            <w:noWrap/>
            <w:vAlign w:val="bottom"/>
            <w:hideMark/>
          </w:tcPr>
          <w:p w14:paraId="39BC4A29" w14:textId="15E260EF"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373</w:t>
            </w:r>
            <w:r>
              <w:rPr>
                <w:rFonts w:eastAsia="Times New Roman"/>
                <w:b/>
                <w:bCs/>
                <w:color w:val="000000"/>
                <w:szCs w:val="24"/>
                <w:lang w:eastAsia="cs-CZ"/>
              </w:rPr>
              <w:t>,</w:t>
            </w:r>
            <w:r w:rsidRPr="000310DC">
              <w:rPr>
                <w:rFonts w:eastAsia="Times New Roman"/>
                <w:b/>
                <w:bCs/>
                <w:color w:val="000000"/>
                <w:szCs w:val="24"/>
                <w:lang w:eastAsia="cs-CZ"/>
              </w:rPr>
              <w:t>19</w:t>
            </w:r>
          </w:p>
        </w:tc>
        <w:tc>
          <w:tcPr>
            <w:tcW w:w="1134" w:type="dxa"/>
            <w:tcBorders>
              <w:top w:val="nil"/>
              <w:left w:val="nil"/>
              <w:bottom w:val="double" w:sz="6" w:space="0" w:color="auto"/>
              <w:right w:val="nil"/>
            </w:tcBorders>
            <w:shd w:val="clear" w:color="auto" w:fill="auto"/>
            <w:noWrap/>
            <w:vAlign w:val="bottom"/>
            <w:hideMark/>
          </w:tcPr>
          <w:p w14:paraId="0775DC17" w14:textId="1F8BC889"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169</w:t>
            </w:r>
            <w:r>
              <w:rPr>
                <w:rFonts w:eastAsia="Times New Roman"/>
                <w:b/>
                <w:bCs/>
                <w:color w:val="000000"/>
                <w:szCs w:val="24"/>
                <w:lang w:eastAsia="cs-CZ"/>
              </w:rPr>
              <w:t>,</w:t>
            </w:r>
            <w:r w:rsidRPr="000310DC">
              <w:rPr>
                <w:rFonts w:eastAsia="Times New Roman"/>
                <w:b/>
                <w:bCs/>
                <w:color w:val="000000"/>
                <w:szCs w:val="24"/>
                <w:lang w:eastAsia="cs-CZ"/>
              </w:rPr>
              <w:t>37</w:t>
            </w:r>
          </w:p>
        </w:tc>
        <w:tc>
          <w:tcPr>
            <w:tcW w:w="992" w:type="dxa"/>
            <w:tcBorders>
              <w:top w:val="nil"/>
              <w:left w:val="nil"/>
              <w:bottom w:val="double" w:sz="6" w:space="0" w:color="auto"/>
              <w:right w:val="nil"/>
            </w:tcBorders>
            <w:shd w:val="clear" w:color="auto" w:fill="auto"/>
            <w:noWrap/>
            <w:vAlign w:val="center"/>
            <w:hideMark/>
          </w:tcPr>
          <w:p w14:paraId="4F8925FC"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-3 %  </w:t>
            </w:r>
          </w:p>
        </w:tc>
        <w:tc>
          <w:tcPr>
            <w:tcW w:w="1134" w:type="dxa"/>
            <w:tcBorders>
              <w:top w:val="nil"/>
              <w:left w:val="single" w:sz="4" w:space="0" w:color="auto"/>
              <w:bottom w:val="double" w:sz="6" w:space="0" w:color="auto"/>
              <w:right w:val="nil"/>
            </w:tcBorders>
            <w:shd w:val="clear" w:color="auto" w:fill="auto"/>
            <w:noWrap/>
            <w:vAlign w:val="bottom"/>
            <w:hideMark/>
          </w:tcPr>
          <w:p w14:paraId="5B832743" w14:textId="14C89442"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169</w:t>
            </w:r>
            <w:r>
              <w:rPr>
                <w:rFonts w:eastAsia="Times New Roman"/>
                <w:b/>
                <w:bCs/>
                <w:color w:val="000000"/>
                <w:szCs w:val="24"/>
                <w:lang w:eastAsia="cs-CZ"/>
              </w:rPr>
              <w:t>,</w:t>
            </w:r>
            <w:r w:rsidRPr="000310DC">
              <w:rPr>
                <w:rFonts w:eastAsia="Times New Roman"/>
                <w:b/>
                <w:bCs/>
                <w:color w:val="000000"/>
                <w:szCs w:val="24"/>
                <w:lang w:eastAsia="cs-CZ"/>
              </w:rPr>
              <w:t>36</w:t>
            </w:r>
          </w:p>
        </w:tc>
        <w:tc>
          <w:tcPr>
            <w:tcW w:w="851" w:type="dxa"/>
            <w:tcBorders>
              <w:top w:val="nil"/>
              <w:left w:val="nil"/>
              <w:bottom w:val="double" w:sz="6" w:space="0" w:color="auto"/>
              <w:right w:val="single" w:sz="4" w:space="0" w:color="auto"/>
            </w:tcBorders>
            <w:shd w:val="clear" w:color="auto" w:fill="auto"/>
            <w:noWrap/>
            <w:vAlign w:val="center"/>
            <w:hideMark/>
          </w:tcPr>
          <w:p w14:paraId="518612B3"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-3 %  </w:t>
            </w:r>
          </w:p>
        </w:tc>
        <w:tc>
          <w:tcPr>
            <w:tcW w:w="1276" w:type="dxa"/>
            <w:tcBorders>
              <w:top w:val="nil"/>
              <w:left w:val="nil"/>
              <w:bottom w:val="double" w:sz="6" w:space="0" w:color="auto"/>
              <w:right w:val="nil"/>
            </w:tcBorders>
            <w:shd w:val="clear" w:color="auto" w:fill="auto"/>
            <w:noWrap/>
            <w:vAlign w:val="bottom"/>
            <w:hideMark/>
          </w:tcPr>
          <w:p w14:paraId="1F88434F" w14:textId="22D8BC25"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24</w:t>
            </w:r>
            <w:r>
              <w:rPr>
                <w:rFonts w:eastAsia="Times New Roman"/>
                <w:b/>
                <w:bCs/>
                <w:color w:val="000000"/>
                <w:szCs w:val="24"/>
                <w:lang w:eastAsia="cs-CZ"/>
              </w:rPr>
              <w:t>,</w:t>
            </w:r>
            <w:r w:rsidRPr="000310DC">
              <w:rPr>
                <w:rFonts w:eastAsia="Times New Roman"/>
                <w:b/>
                <w:bCs/>
                <w:color w:val="000000"/>
                <w:szCs w:val="24"/>
                <w:lang w:eastAsia="cs-CZ"/>
              </w:rPr>
              <w:t>83</w:t>
            </w:r>
          </w:p>
        </w:tc>
        <w:tc>
          <w:tcPr>
            <w:tcW w:w="850" w:type="dxa"/>
            <w:tcBorders>
              <w:top w:val="nil"/>
              <w:left w:val="nil"/>
              <w:bottom w:val="double" w:sz="6" w:space="0" w:color="auto"/>
              <w:right w:val="nil"/>
            </w:tcBorders>
            <w:shd w:val="clear" w:color="auto" w:fill="auto"/>
            <w:noWrap/>
            <w:vAlign w:val="center"/>
            <w:hideMark/>
          </w:tcPr>
          <w:p w14:paraId="498ADEDA"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+2 %  </w:t>
            </w:r>
          </w:p>
        </w:tc>
      </w:tr>
      <w:tr w:rsidR="000310DC" w:rsidRPr="000310DC" w14:paraId="4D6ACC41" w14:textId="77777777" w:rsidTr="0057327F">
        <w:trPr>
          <w:trHeight w:val="330"/>
        </w:trPr>
        <w:tc>
          <w:tcPr>
            <w:tcW w:w="1820" w:type="dxa"/>
            <w:tcBorders>
              <w:top w:val="nil"/>
              <w:left w:val="nil"/>
              <w:bottom w:val="nil"/>
              <w:right w:val="nil"/>
            </w:tcBorders>
            <w:shd w:val="clear" w:color="auto" w:fill="auto"/>
            <w:noWrap/>
            <w:vAlign w:val="bottom"/>
            <w:hideMark/>
          </w:tcPr>
          <w:p w14:paraId="2329BF99" w14:textId="77777777" w:rsidR="000310DC" w:rsidRPr="000310DC" w:rsidRDefault="000310DC" w:rsidP="000310DC">
            <w:pPr>
              <w:spacing w:line="240" w:lineRule="auto"/>
              <w:jc w:val="center"/>
              <w:rPr>
                <w:rFonts w:eastAsia="Times New Roman"/>
                <w:b/>
                <w:bCs/>
                <w:color w:val="000000"/>
                <w:sz w:val="20"/>
                <w:szCs w:val="20"/>
                <w:lang w:eastAsia="cs-CZ"/>
              </w:rPr>
            </w:pPr>
          </w:p>
        </w:tc>
        <w:tc>
          <w:tcPr>
            <w:tcW w:w="1157" w:type="dxa"/>
            <w:tcBorders>
              <w:top w:val="nil"/>
              <w:left w:val="nil"/>
              <w:bottom w:val="nil"/>
              <w:right w:val="nil"/>
            </w:tcBorders>
            <w:shd w:val="clear" w:color="auto" w:fill="auto"/>
            <w:noWrap/>
            <w:vAlign w:val="bottom"/>
            <w:hideMark/>
          </w:tcPr>
          <w:p w14:paraId="13A81359"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31FAEABD"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020C315A"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28CDF142"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7FAD4738"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359222CF"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850" w:type="dxa"/>
            <w:tcBorders>
              <w:top w:val="nil"/>
              <w:left w:val="nil"/>
              <w:bottom w:val="nil"/>
              <w:right w:val="nil"/>
            </w:tcBorders>
            <w:shd w:val="clear" w:color="auto" w:fill="auto"/>
            <w:noWrap/>
            <w:vAlign w:val="bottom"/>
            <w:hideMark/>
          </w:tcPr>
          <w:p w14:paraId="424E3597"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r>
    </w:tbl>
    <w:p w14:paraId="7B7B4856" w14:textId="2B3C6D6D" w:rsidR="006148E3" w:rsidRPr="00033A3F" w:rsidRDefault="006148E3" w:rsidP="006148E3">
      <w:pPr>
        <w:pStyle w:val="OdstavecASR"/>
        <w:rPr>
          <w:color w:val="000000" w:themeColor="text1"/>
        </w:rPr>
      </w:pPr>
      <w:r w:rsidRPr="00033A3F">
        <w:rPr>
          <w:color w:val="000000" w:themeColor="text1"/>
        </w:rPr>
        <w:t>Počet úvazků se za rok téměř nezměnil, takže změny v počtu příchozích, vyřízených a nevyřízených věcí na soudce odpovídají vývoji v absolutních počtech.</w:t>
      </w:r>
    </w:p>
    <w:p w14:paraId="4393042D" w14:textId="0AE02335" w:rsidR="006148E3" w:rsidRPr="00033A3F" w:rsidRDefault="00CB33B2" w:rsidP="006148E3">
      <w:pPr>
        <w:pStyle w:val="Podnadpis"/>
        <w:rPr>
          <w:color w:val="000000" w:themeColor="text1"/>
        </w:rPr>
      </w:pPr>
      <w:bookmarkStart w:id="591" w:name="_Toc515871354"/>
      <w:bookmarkStart w:id="592" w:name="_Toc11135089"/>
      <w:bookmarkStart w:id="593" w:name="_Toc43841405"/>
      <w:bookmarkStart w:id="594" w:name="_Toc75952208"/>
      <w:bookmarkStart w:id="595" w:name="_Toc106106660"/>
      <w:bookmarkStart w:id="596" w:name="_Toc144104137"/>
      <w:bookmarkStart w:id="597" w:name="_Toc169250945"/>
      <w:bookmarkStart w:id="598" w:name="_Toc174080631"/>
      <w:bookmarkStart w:id="599" w:name="_Toc193530783"/>
      <w:bookmarkStart w:id="600" w:name="_Toc193634057"/>
      <w:bookmarkStart w:id="601" w:name="_Toc203032855"/>
      <w:r w:rsidRPr="00033A3F">
        <w:rPr>
          <w:noProof/>
          <w:color w:val="000000" w:themeColor="text1"/>
          <w:lang w:eastAsia="cs-CZ"/>
        </w:rPr>
        <w:lastRenderedPageBreak/>
        <w:drawing>
          <wp:anchor distT="0" distB="0" distL="114300" distR="114300" simplePos="0" relativeHeight="251688960" behindDoc="0" locked="0" layoutInCell="1" allowOverlap="1" wp14:anchorId="480FCE3A" wp14:editId="3B76F53B">
            <wp:simplePos x="0" y="0"/>
            <wp:positionH relativeFrom="margin">
              <wp:align>right</wp:align>
            </wp:positionH>
            <wp:positionV relativeFrom="paragraph">
              <wp:posOffset>156845</wp:posOffset>
            </wp:positionV>
            <wp:extent cx="1305560" cy="949498"/>
            <wp:effectExtent l="0" t="0" r="8890" b="3175"/>
            <wp:wrapNone/>
            <wp:docPr id="1578275431"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05560" cy="9494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8E3" w:rsidRPr="00033A3F">
        <w:rPr>
          <w:color w:val="000000" w:themeColor="text1"/>
        </w:rPr>
        <w:t xml:space="preserve">Graf </w:t>
      </w:r>
      <w:r w:rsidR="006148E3" w:rsidRPr="00033A3F">
        <w:rPr>
          <w:color w:val="000000" w:themeColor="text1"/>
        </w:rPr>
        <w:fldChar w:fldCharType="begin"/>
      </w:r>
      <w:r w:rsidR="006148E3" w:rsidRPr="00033A3F">
        <w:rPr>
          <w:color w:val="000000" w:themeColor="text1"/>
        </w:rPr>
        <w:instrText xml:space="preserve"> SEQ Graf \* ARABIC </w:instrText>
      </w:r>
      <w:r w:rsidR="006148E3" w:rsidRPr="00033A3F">
        <w:rPr>
          <w:color w:val="000000" w:themeColor="text1"/>
        </w:rPr>
        <w:fldChar w:fldCharType="separate"/>
      </w:r>
      <w:r w:rsidR="00163B51">
        <w:rPr>
          <w:noProof/>
          <w:color w:val="000000" w:themeColor="text1"/>
        </w:rPr>
        <w:t>28</w:t>
      </w:r>
      <w:r w:rsidR="006148E3" w:rsidRPr="00033A3F">
        <w:rPr>
          <w:color w:val="000000" w:themeColor="text1"/>
        </w:rPr>
        <w:fldChar w:fldCharType="end"/>
      </w:r>
      <w:r w:rsidR="006148E3" w:rsidRPr="00033A3F">
        <w:rPr>
          <w:color w:val="000000" w:themeColor="text1"/>
        </w:rPr>
        <w:t>: OS – počet nevyř. trestních věcí na úvazek u jednotlivých soudů</w:t>
      </w:r>
      <w:bookmarkEnd w:id="591"/>
      <w:bookmarkEnd w:id="592"/>
      <w:bookmarkEnd w:id="593"/>
      <w:bookmarkEnd w:id="594"/>
      <w:bookmarkEnd w:id="595"/>
      <w:bookmarkEnd w:id="596"/>
      <w:r w:rsidR="006148E3" w:rsidRPr="00033A3F">
        <w:rPr>
          <w:color w:val="000000" w:themeColor="text1"/>
        </w:rPr>
        <w:t>, 202</w:t>
      </w:r>
      <w:bookmarkEnd w:id="597"/>
      <w:bookmarkEnd w:id="598"/>
      <w:r w:rsidR="006148E3" w:rsidRPr="00033A3F">
        <w:rPr>
          <w:color w:val="000000" w:themeColor="text1"/>
        </w:rPr>
        <w:t>4</w:t>
      </w:r>
      <w:bookmarkEnd w:id="599"/>
      <w:bookmarkEnd w:id="600"/>
      <w:bookmarkEnd w:id="601"/>
    </w:p>
    <w:p w14:paraId="290BF674" w14:textId="268EA3A8" w:rsidR="00642F37" w:rsidRPr="00033A3F" w:rsidRDefault="001426B9" w:rsidP="00642F37">
      <w:pPr>
        <w:rPr>
          <w:color w:val="000000" w:themeColor="text1"/>
        </w:rPr>
      </w:pPr>
      <w:r w:rsidRPr="001426B9">
        <w:rPr>
          <w:noProof/>
          <w:color w:val="000000" w:themeColor="text1"/>
        </w:rPr>
        <w:drawing>
          <wp:inline distT="0" distB="0" distL="0" distR="0" wp14:anchorId="359C40A4" wp14:editId="2939DA28">
            <wp:extent cx="5760720" cy="3296920"/>
            <wp:effectExtent l="0" t="0" r="0" b="0"/>
            <wp:docPr id="32541522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67C67623" w14:textId="17F93024" w:rsidR="00584839" w:rsidRPr="00033A3F" w:rsidRDefault="00584839" w:rsidP="00584839">
      <w:pPr>
        <w:pStyle w:val="OdstavecASR"/>
        <w:rPr>
          <w:color w:val="000000" w:themeColor="text1"/>
        </w:rPr>
      </w:pPr>
      <w:r w:rsidRPr="00033A3F">
        <w:rPr>
          <w:color w:val="000000" w:themeColor="text1"/>
        </w:rPr>
        <w:t>Soudy s nejmenším počtem nevyřízených věcí v přepočtu na soudce jsou OS pro Prahu 7 (5 věcí), OS Jičín a OS Kladno (oba 7 věcí). Naopak soudy s nejvyšším počtem nevyřízených věcí na soudce jsou OS Hodonín (</w:t>
      </w:r>
      <w:r w:rsidR="00CB33B2" w:rsidRPr="00033A3F">
        <w:rPr>
          <w:color w:val="000000" w:themeColor="text1"/>
        </w:rPr>
        <w:t>54 věcí</w:t>
      </w:r>
      <w:r w:rsidRPr="00033A3F">
        <w:rPr>
          <w:color w:val="000000" w:themeColor="text1"/>
        </w:rPr>
        <w:t xml:space="preserve">), OS </w:t>
      </w:r>
      <w:r w:rsidR="001426B9">
        <w:rPr>
          <w:color w:val="000000" w:themeColor="text1"/>
        </w:rPr>
        <w:t>Jablonec nad Nisou</w:t>
      </w:r>
      <w:r w:rsidRPr="00033A3F">
        <w:rPr>
          <w:color w:val="000000" w:themeColor="text1"/>
        </w:rPr>
        <w:t xml:space="preserve"> (53 věcí) a OS </w:t>
      </w:r>
      <w:r w:rsidR="001426B9">
        <w:rPr>
          <w:color w:val="000000" w:themeColor="text1"/>
        </w:rPr>
        <w:t>Blansko</w:t>
      </w:r>
      <w:r w:rsidRPr="00033A3F">
        <w:rPr>
          <w:color w:val="000000" w:themeColor="text1"/>
        </w:rPr>
        <w:t xml:space="preserve"> (4</w:t>
      </w:r>
      <w:r w:rsidR="001426B9">
        <w:rPr>
          <w:color w:val="000000" w:themeColor="text1"/>
        </w:rPr>
        <w:t>6</w:t>
      </w:r>
      <w:r w:rsidRPr="00033A3F">
        <w:rPr>
          <w:color w:val="000000" w:themeColor="text1"/>
        </w:rPr>
        <w:t xml:space="preserve"> věcí).</w:t>
      </w:r>
    </w:p>
    <w:p w14:paraId="479BB0DB" w14:textId="3556E7FE" w:rsidR="008430BD" w:rsidRPr="00033A3F" w:rsidRDefault="008430BD" w:rsidP="008430BD">
      <w:pPr>
        <w:pStyle w:val="Nadpis3"/>
        <w:numPr>
          <w:ilvl w:val="2"/>
          <w:numId w:val="1"/>
        </w:numPr>
        <w:rPr>
          <w:color w:val="000000" w:themeColor="text1"/>
        </w:rPr>
      </w:pPr>
      <w:bookmarkStart w:id="602" w:name="_Toc193530976"/>
      <w:bookmarkStart w:id="603" w:name="_Toc193531433"/>
      <w:bookmarkStart w:id="604" w:name="_Toc515871234"/>
      <w:bookmarkStart w:id="605" w:name="_Toc106092731"/>
      <w:bookmarkStart w:id="606" w:name="_Toc169250815"/>
      <w:bookmarkStart w:id="607" w:name="_Toc193530977"/>
      <w:bookmarkStart w:id="608" w:name="_Toc193957033"/>
      <w:bookmarkStart w:id="609" w:name="_Toc203032723"/>
      <w:bookmarkEnd w:id="602"/>
      <w:bookmarkEnd w:id="603"/>
      <w:r w:rsidRPr="00033A3F">
        <w:rPr>
          <w:color w:val="000000" w:themeColor="text1"/>
        </w:rPr>
        <w:t>Disposition time</w:t>
      </w:r>
      <w:bookmarkEnd w:id="604"/>
      <w:r w:rsidRPr="00033A3F">
        <w:rPr>
          <w:color w:val="000000" w:themeColor="text1"/>
        </w:rPr>
        <w:t xml:space="preserve"> (dispoziční čas)</w:t>
      </w:r>
      <w:bookmarkEnd w:id="605"/>
      <w:bookmarkEnd w:id="606"/>
      <w:bookmarkEnd w:id="607"/>
      <w:bookmarkEnd w:id="608"/>
      <w:bookmarkEnd w:id="609"/>
    </w:p>
    <w:p w14:paraId="7F2E5D70" w14:textId="77777777" w:rsidR="00CB33B2" w:rsidRPr="00033A3F" w:rsidRDefault="00CB33B2" w:rsidP="004C0D35">
      <w:pPr>
        <w:pStyle w:val="OdstavecASR"/>
        <w:rPr>
          <w:color w:val="000000" w:themeColor="text1"/>
        </w:rPr>
      </w:pPr>
      <w:r w:rsidRPr="00033A3F">
        <w:rPr>
          <w:color w:val="000000" w:themeColor="text1"/>
        </w:rPr>
        <w:t>Základní popis způsobu výpočtu a účelu tohoto ukazatele se nachází v části věnované civilnímu řízení u OS. Výsledky DT velmi silně korespondují s výsledky z předchozích podkapitol.</w:t>
      </w:r>
    </w:p>
    <w:p w14:paraId="30C39B1B" w14:textId="0445222E" w:rsidR="00CB33B2" w:rsidRPr="00033A3F" w:rsidRDefault="00CB33B2" w:rsidP="00CB33B2">
      <w:pPr>
        <w:pStyle w:val="OdstavecASR"/>
        <w:rPr>
          <w:color w:val="000000" w:themeColor="text1"/>
        </w:rPr>
      </w:pPr>
      <w:r w:rsidRPr="00033A3F">
        <w:rPr>
          <w:color w:val="000000" w:themeColor="text1"/>
        </w:rPr>
        <w:t xml:space="preserve">V letech 2014 až 2019 byl DT velmi stabilní. Pokles počtu vyřízených i nevyřízených věcí za celou ČR pokračoval přibližně stejným tempem. V roce 2020 významně poklesl nápad (o 13 %), logicky tak poklesl i počet vyřízených věcí (také o 13 %), ale počet nevyřízených věcí poklesl jen nepatrně o 1 % oproti roku 2019. To pak vedlo k růstu DT. V roce 2021 se podařilo snížit počet nevyřízených věcí. To se pak samozřejmě odrazilo v poklesu DT. Totéž platí i pro roky 2022 a 2023. Díky tomu klesl DT </w:t>
      </w:r>
      <w:r w:rsidR="00A83F8E" w:rsidRPr="00033A3F">
        <w:rPr>
          <w:color w:val="000000" w:themeColor="text1"/>
        </w:rPr>
        <w:t>v roce 2023</w:t>
      </w:r>
      <w:r w:rsidRPr="00033A3F">
        <w:rPr>
          <w:color w:val="000000" w:themeColor="text1"/>
        </w:rPr>
        <w:t xml:space="preserve"> na nejnižší hodnotu </w:t>
      </w:r>
      <w:r w:rsidR="00274B4E" w:rsidRPr="00033A3F">
        <w:rPr>
          <w:color w:val="000000" w:themeColor="text1"/>
        </w:rPr>
        <w:t>ve sledovaném období</w:t>
      </w:r>
      <w:r w:rsidRPr="00033A3F">
        <w:rPr>
          <w:color w:val="000000" w:themeColor="text1"/>
        </w:rPr>
        <w:t>. V roce 2024</w:t>
      </w:r>
      <w:r w:rsidR="00F37D91" w:rsidRPr="00033A3F">
        <w:rPr>
          <w:color w:val="000000" w:themeColor="text1"/>
        </w:rPr>
        <w:t xml:space="preserve"> o</w:t>
      </w:r>
      <w:r w:rsidRPr="00033A3F">
        <w:rPr>
          <w:color w:val="000000" w:themeColor="text1"/>
        </w:rPr>
        <w:t xml:space="preserve"> pár dnů narostl, protože se mírně snížil počet vyřízených věcí.</w:t>
      </w:r>
    </w:p>
    <w:p w14:paraId="1AC6DDD5" w14:textId="3CE6EB2D" w:rsidR="00584839" w:rsidRPr="00033A3F" w:rsidRDefault="00584839" w:rsidP="00584839">
      <w:pPr>
        <w:pStyle w:val="Podnadpis"/>
        <w:numPr>
          <w:ilvl w:val="0"/>
          <w:numId w:val="0"/>
        </w:numPr>
        <w:rPr>
          <w:color w:val="000000" w:themeColor="text1"/>
        </w:rPr>
      </w:pPr>
      <w:bookmarkStart w:id="610" w:name="_Toc515871358"/>
      <w:bookmarkStart w:id="611" w:name="_Toc11135092"/>
      <w:bookmarkStart w:id="612" w:name="_Toc43841406"/>
      <w:bookmarkStart w:id="613" w:name="_Toc75952209"/>
      <w:bookmarkStart w:id="614" w:name="_Toc106106661"/>
      <w:bookmarkStart w:id="615" w:name="_Toc144104138"/>
      <w:bookmarkStart w:id="616" w:name="_Toc169250946"/>
      <w:bookmarkStart w:id="617" w:name="_Toc174080632"/>
      <w:bookmarkStart w:id="618" w:name="_Toc193530784"/>
      <w:bookmarkStart w:id="619" w:name="_Toc193634058"/>
      <w:bookmarkStart w:id="620" w:name="_Toc203032856"/>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29</w:t>
      </w:r>
      <w:r w:rsidRPr="00033A3F">
        <w:rPr>
          <w:color w:val="000000" w:themeColor="text1"/>
        </w:rPr>
        <w:fldChar w:fldCharType="end"/>
      </w:r>
      <w:r w:rsidRPr="00033A3F">
        <w:rPr>
          <w:color w:val="000000" w:themeColor="text1"/>
        </w:rPr>
        <w:t>: OS – disposition time trestního řízení v letech 201</w:t>
      </w:r>
      <w:r w:rsidR="00CB33B2" w:rsidRPr="00033A3F">
        <w:rPr>
          <w:color w:val="000000" w:themeColor="text1"/>
        </w:rPr>
        <w:t>5</w:t>
      </w:r>
      <w:r w:rsidRPr="00033A3F">
        <w:rPr>
          <w:color w:val="000000" w:themeColor="text1"/>
        </w:rPr>
        <w:t>–</w:t>
      </w:r>
      <w:bookmarkEnd w:id="610"/>
      <w:bookmarkEnd w:id="611"/>
      <w:bookmarkEnd w:id="612"/>
      <w:bookmarkEnd w:id="613"/>
      <w:bookmarkEnd w:id="614"/>
      <w:bookmarkEnd w:id="615"/>
      <w:bookmarkEnd w:id="616"/>
      <w:bookmarkEnd w:id="617"/>
      <w:r w:rsidR="00936B01" w:rsidRPr="00033A3F">
        <w:rPr>
          <w:color w:val="000000" w:themeColor="text1"/>
        </w:rPr>
        <w:t>2024</w:t>
      </w:r>
      <w:bookmarkEnd w:id="618"/>
      <w:bookmarkEnd w:id="619"/>
      <w:bookmarkEnd w:id="620"/>
    </w:p>
    <w:p w14:paraId="651D72A9" w14:textId="7337099D" w:rsidR="00C25086" w:rsidRPr="00033A3F" w:rsidRDefault="00584839" w:rsidP="00C25086">
      <w:pPr>
        <w:rPr>
          <w:color w:val="000000" w:themeColor="text1"/>
        </w:rPr>
      </w:pPr>
      <w:r w:rsidRPr="00033A3F">
        <w:rPr>
          <w:noProof/>
          <w:color w:val="000000" w:themeColor="text1"/>
          <w:lang w:eastAsia="cs-CZ"/>
        </w:rPr>
        <w:drawing>
          <wp:inline distT="0" distB="0" distL="0" distR="0" wp14:anchorId="4894DA4A" wp14:editId="1366D9D1">
            <wp:extent cx="5029200" cy="3657600"/>
            <wp:effectExtent l="0" t="0" r="0" b="0"/>
            <wp:docPr id="1393956485"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9C8BE5E" w14:textId="77777777" w:rsidR="00CB33B2" w:rsidRPr="00033A3F" w:rsidRDefault="00CB33B2" w:rsidP="004C0D35">
      <w:pPr>
        <w:rPr>
          <w:color w:val="000000" w:themeColor="text1"/>
        </w:rPr>
      </w:pPr>
      <w:bookmarkStart w:id="621" w:name="_Toc169251079"/>
      <w:bookmarkStart w:id="622" w:name="_Toc174080765"/>
    </w:p>
    <w:p w14:paraId="160706EC" w14:textId="27DDA421" w:rsidR="00CB33B2" w:rsidRPr="00033A3F" w:rsidRDefault="00CB33B2" w:rsidP="00CB33B2">
      <w:pPr>
        <w:pStyle w:val="Podnadpis"/>
        <w:rPr>
          <w:color w:val="000000" w:themeColor="text1"/>
        </w:rPr>
      </w:pPr>
      <w:bookmarkStart w:id="623" w:name="_Toc193530898"/>
      <w:bookmarkStart w:id="624" w:name="_Toc194045593"/>
      <w:bookmarkStart w:id="625" w:name="_Toc199495002"/>
      <w:bookmarkStart w:id="626" w:name="_Toc203033062"/>
      <w:bookmarkStart w:id="627" w:name="_Toc20303314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20</w:t>
      </w:r>
      <w:r w:rsidRPr="00033A3F">
        <w:rPr>
          <w:noProof/>
          <w:color w:val="000000" w:themeColor="text1"/>
        </w:rPr>
        <w:fldChar w:fldCharType="end"/>
      </w:r>
      <w:r w:rsidRPr="00033A3F">
        <w:rPr>
          <w:color w:val="000000" w:themeColor="text1"/>
        </w:rPr>
        <w:t>: OS – disposition time trestního řízení dle krajů</w:t>
      </w:r>
      <w:bookmarkEnd w:id="621"/>
      <w:bookmarkEnd w:id="622"/>
      <w:bookmarkEnd w:id="623"/>
      <w:bookmarkEnd w:id="624"/>
      <w:bookmarkEnd w:id="625"/>
      <w:bookmarkEnd w:id="626"/>
      <w:bookmarkEnd w:id="627"/>
    </w:p>
    <w:tbl>
      <w:tblPr>
        <w:tblW w:w="5960" w:type="dxa"/>
        <w:tblCellMar>
          <w:left w:w="70" w:type="dxa"/>
          <w:right w:w="70" w:type="dxa"/>
        </w:tblCellMar>
        <w:tblLook w:val="04A0" w:firstRow="1" w:lastRow="0" w:firstColumn="1" w:lastColumn="0" w:noHBand="0" w:noVBand="1"/>
      </w:tblPr>
      <w:tblGrid>
        <w:gridCol w:w="2780"/>
        <w:gridCol w:w="1615"/>
        <w:gridCol w:w="1565"/>
      </w:tblGrid>
      <w:tr w:rsidR="00033A3F" w:rsidRPr="00033A3F" w14:paraId="68B856DE" w14:textId="77777777" w:rsidTr="00CB33B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F2BDA9A" w14:textId="77777777" w:rsidR="00CB33B2" w:rsidRPr="00033A3F" w:rsidRDefault="00CB33B2" w:rsidP="00CB33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106E0B68" w14:textId="77777777" w:rsidR="00CB33B2" w:rsidRPr="00033A3F" w:rsidRDefault="00CB33B2" w:rsidP="00CB33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Disposition time</w:t>
            </w:r>
          </w:p>
        </w:tc>
      </w:tr>
      <w:tr w:rsidR="00033A3F" w:rsidRPr="00033A3F" w14:paraId="299DFE8A" w14:textId="77777777" w:rsidTr="004C0D35">
        <w:trPr>
          <w:trHeight w:val="330"/>
        </w:trPr>
        <w:tc>
          <w:tcPr>
            <w:tcW w:w="2780" w:type="dxa"/>
            <w:tcBorders>
              <w:top w:val="nil"/>
              <w:left w:val="nil"/>
              <w:bottom w:val="single" w:sz="4" w:space="0" w:color="auto"/>
              <w:right w:val="nil"/>
            </w:tcBorders>
            <w:shd w:val="clear" w:color="auto" w:fill="auto"/>
            <w:noWrap/>
            <w:vAlign w:val="bottom"/>
            <w:hideMark/>
          </w:tcPr>
          <w:p w14:paraId="02E9646F"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615" w:type="dxa"/>
            <w:tcBorders>
              <w:top w:val="nil"/>
              <w:left w:val="nil"/>
              <w:bottom w:val="single" w:sz="4" w:space="0" w:color="auto"/>
              <w:right w:val="nil"/>
            </w:tcBorders>
            <w:shd w:val="clear" w:color="auto" w:fill="auto"/>
            <w:noWrap/>
            <w:vAlign w:val="bottom"/>
            <w:hideMark/>
          </w:tcPr>
          <w:p w14:paraId="4EBEAB5F"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w:t>
            </w:r>
          </w:p>
        </w:tc>
        <w:tc>
          <w:tcPr>
            <w:tcW w:w="1565" w:type="dxa"/>
            <w:tcBorders>
              <w:top w:val="nil"/>
              <w:left w:val="nil"/>
              <w:bottom w:val="single" w:sz="4" w:space="0" w:color="auto"/>
              <w:right w:val="nil"/>
            </w:tcBorders>
            <w:shd w:val="clear" w:color="auto" w:fill="auto"/>
            <w:noWrap/>
            <w:vAlign w:val="center"/>
            <w:hideMark/>
          </w:tcPr>
          <w:p w14:paraId="03C14C6F" w14:textId="2178AE1E"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657F36CA"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2D3AC129"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615" w:type="dxa"/>
            <w:tcBorders>
              <w:top w:val="nil"/>
              <w:left w:val="nil"/>
              <w:bottom w:val="single" w:sz="4" w:space="0" w:color="auto"/>
              <w:right w:val="nil"/>
            </w:tcBorders>
            <w:shd w:val="clear" w:color="auto" w:fill="auto"/>
            <w:noWrap/>
            <w:vAlign w:val="bottom"/>
            <w:hideMark/>
          </w:tcPr>
          <w:p w14:paraId="4211113E"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w:t>
            </w:r>
          </w:p>
        </w:tc>
        <w:tc>
          <w:tcPr>
            <w:tcW w:w="1565" w:type="dxa"/>
            <w:tcBorders>
              <w:top w:val="nil"/>
              <w:left w:val="nil"/>
              <w:bottom w:val="single" w:sz="4" w:space="0" w:color="auto"/>
              <w:right w:val="nil"/>
            </w:tcBorders>
            <w:shd w:val="clear" w:color="auto" w:fill="auto"/>
            <w:noWrap/>
            <w:vAlign w:val="center"/>
            <w:hideMark/>
          </w:tcPr>
          <w:p w14:paraId="23CF5F14" w14:textId="2DBC85E6"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+20 %</w:t>
            </w:r>
          </w:p>
        </w:tc>
      </w:tr>
      <w:tr w:rsidR="00033A3F" w:rsidRPr="00033A3F" w14:paraId="6F5A67FA"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5C65C9E2"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615" w:type="dxa"/>
            <w:tcBorders>
              <w:top w:val="nil"/>
              <w:left w:val="nil"/>
              <w:bottom w:val="single" w:sz="4" w:space="0" w:color="auto"/>
              <w:right w:val="nil"/>
            </w:tcBorders>
            <w:shd w:val="clear" w:color="auto" w:fill="auto"/>
            <w:noWrap/>
            <w:vAlign w:val="bottom"/>
            <w:hideMark/>
          </w:tcPr>
          <w:p w14:paraId="47FECF86"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w:t>
            </w:r>
          </w:p>
        </w:tc>
        <w:tc>
          <w:tcPr>
            <w:tcW w:w="1565" w:type="dxa"/>
            <w:tcBorders>
              <w:top w:val="nil"/>
              <w:left w:val="nil"/>
              <w:bottom w:val="single" w:sz="4" w:space="0" w:color="auto"/>
              <w:right w:val="nil"/>
            </w:tcBorders>
            <w:shd w:val="clear" w:color="auto" w:fill="auto"/>
            <w:noWrap/>
            <w:vAlign w:val="center"/>
            <w:hideMark/>
          </w:tcPr>
          <w:p w14:paraId="156C1B27" w14:textId="34698998"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033A3F" w:rsidRPr="00033A3F" w14:paraId="1E895209"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7A53E697"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615" w:type="dxa"/>
            <w:tcBorders>
              <w:top w:val="nil"/>
              <w:left w:val="nil"/>
              <w:bottom w:val="single" w:sz="4" w:space="0" w:color="auto"/>
              <w:right w:val="nil"/>
            </w:tcBorders>
            <w:shd w:val="clear" w:color="auto" w:fill="auto"/>
            <w:noWrap/>
            <w:vAlign w:val="bottom"/>
            <w:hideMark/>
          </w:tcPr>
          <w:p w14:paraId="7FC229F6"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w:t>
            </w:r>
          </w:p>
        </w:tc>
        <w:tc>
          <w:tcPr>
            <w:tcW w:w="1565" w:type="dxa"/>
            <w:tcBorders>
              <w:top w:val="nil"/>
              <w:left w:val="nil"/>
              <w:bottom w:val="single" w:sz="4" w:space="0" w:color="auto"/>
              <w:right w:val="nil"/>
            </w:tcBorders>
            <w:shd w:val="clear" w:color="auto" w:fill="auto"/>
            <w:noWrap/>
            <w:vAlign w:val="center"/>
            <w:hideMark/>
          </w:tcPr>
          <w:p w14:paraId="56D0ACFD" w14:textId="4FD0592B"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7054E07B"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151CDADF"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615" w:type="dxa"/>
            <w:tcBorders>
              <w:top w:val="nil"/>
              <w:left w:val="nil"/>
              <w:bottom w:val="single" w:sz="4" w:space="0" w:color="auto"/>
              <w:right w:val="nil"/>
            </w:tcBorders>
            <w:shd w:val="clear" w:color="auto" w:fill="auto"/>
            <w:noWrap/>
            <w:vAlign w:val="bottom"/>
            <w:hideMark/>
          </w:tcPr>
          <w:p w14:paraId="0F0547F3"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w:t>
            </w:r>
          </w:p>
        </w:tc>
        <w:tc>
          <w:tcPr>
            <w:tcW w:w="1565" w:type="dxa"/>
            <w:tcBorders>
              <w:top w:val="nil"/>
              <w:left w:val="nil"/>
              <w:bottom w:val="single" w:sz="4" w:space="0" w:color="auto"/>
              <w:right w:val="nil"/>
            </w:tcBorders>
            <w:shd w:val="clear" w:color="auto" w:fill="auto"/>
            <w:noWrap/>
            <w:vAlign w:val="center"/>
            <w:hideMark/>
          </w:tcPr>
          <w:p w14:paraId="58A5EBD3" w14:textId="06F9B55E"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6EFDCDA0"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0334BEEE"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615" w:type="dxa"/>
            <w:tcBorders>
              <w:top w:val="nil"/>
              <w:left w:val="nil"/>
              <w:bottom w:val="single" w:sz="4" w:space="0" w:color="auto"/>
              <w:right w:val="nil"/>
            </w:tcBorders>
            <w:shd w:val="clear" w:color="auto" w:fill="auto"/>
            <w:noWrap/>
            <w:vAlign w:val="bottom"/>
            <w:hideMark/>
          </w:tcPr>
          <w:p w14:paraId="198D67D6"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565" w:type="dxa"/>
            <w:tcBorders>
              <w:top w:val="nil"/>
              <w:left w:val="nil"/>
              <w:bottom w:val="single" w:sz="4" w:space="0" w:color="auto"/>
              <w:right w:val="nil"/>
            </w:tcBorders>
            <w:shd w:val="clear" w:color="auto" w:fill="auto"/>
            <w:noWrap/>
            <w:vAlign w:val="center"/>
            <w:hideMark/>
          </w:tcPr>
          <w:p w14:paraId="60D53923" w14:textId="34AF9C75"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18E4830A"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19C67222"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615" w:type="dxa"/>
            <w:tcBorders>
              <w:top w:val="nil"/>
              <w:left w:val="nil"/>
              <w:bottom w:val="single" w:sz="4" w:space="0" w:color="auto"/>
              <w:right w:val="nil"/>
            </w:tcBorders>
            <w:shd w:val="clear" w:color="auto" w:fill="auto"/>
            <w:noWrap/>
            <w:vAlign w:val="bottom"/>
            <w:hideMark/>
          </w:tcPr>
          <w:p w14:paraId="6D153154"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1565" w:type="dxa"/>
            <w:tcBorders>
              <w:top w:val="nil"/>
              <w:left w:val="nil"/>
              <w:bottom w:val="single" w:sz="4" w:space="0" w:color="auto"/>
              <w:right w:val="nil"/>
            </w:tcBorders>
            <w:shd w:val="clear" w:color="auto" w:fill="auto"/>
            <w:noWrap/>
            <w:vAlign w:val="center"/>
            <w:hideMark/>
          </w:tcPr>
          <w:p w14:paraId="61125F72" w14:textId="50120F04"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2A2A2F6C" w14:textId="77777777" w:rsidTr="004C0D35">
        <w:trPr>
          <w:trHeight w:val="330"/>
        </w:trPr>
        <w:tc>
          <w:tcPr>
            <w:tcW w:w="2780" w:type="dxa"/>
            <w:tcBorders>
              <w:top w:val="nil"/>
              <w:left w:val="nil"/>
              <w:bottom w:val="double" w:sz="6" w:space="0" w:color="auto"/>
              <w:right w:val="nil"/>
            </w:tcBorders>
            <w:shd w:val="clear" w:color="auto" w:fill="auto"/>
            <w:noWrap/>
            <w:vAlign w:val="bottom"/>
            <w:hideMark/>
          </w:tcPr>
          <w:p w14:paraId="1183DC52"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615" w:type="dxa"/>
            <w:tcBorders>
              <w:top w:val="nil"/>
              <w:left w:val="nil"/>
              <w:bottom w:val="double" w:sz="6" w:space="0" w:color="auto"/>
              <w:right w:val="nil"/>
            </w:tcBorders>
            <w:shd w:val="clear" w:color="auto" w:fill="auto"/>
            <w:noWrap/>
            <w:vAlign w:val="bottom"/>
            <w:hideMark/>
          </w:tcPr>
          <w:p w14:paraId="0AA7E66C"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w:t>
            </w:r>
          </w:p>
        </w:tc>
        <w:tc>
          <w:tcPr>
            <w:tcW w:w="1565" w:type="dxa"/>
            <w:tcBorders>
              <w:top w:val="nil"/>
              <w:left w:val="nil"/>
              <w:bottom w:val="double" w:sz="6" w:space="0" w:color="auto"/>
              <w:right w:val="nil"/>
            </w:tcBorders>
            <w:shd w:val="clear" w:color="auto" w:fill="auto"/>
            <w:noWrap/>
            <w:vAlign w:val="center"/>
            <w:hideMark/>
          </w:tcPr>
          <w:p w14:paraId="663F6C4A" w14:textId="5FD6F67A"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3EFF8A04" w14:textId="77777777" w:rsidTr="004C0D35">
        <w:trPr>
          <w:trHeight w:val="345"/>
        </w:trPr>
        <w:tc>
          <w:tcPr>
            <w:tcW w:w="2780" w:type="dxa"/>
            <w:tcBorders>
              <w:top w:val="nil"/>
              <w:left w:val="nil"/>
              <w:bottom w:val="double" w:sz="6" w:space="0" w:color="auto"/>
              <w:right w:val="nil"/>
            </w:tcBorders>
            <w:shd w:val="clear" w:color="auto" w:fill="auto"/>
            <w:noWrap/>
            <w:vAlign w:val="bottom"/>
            <w:hideMark/>
          </w:tcPr>
          <w:p w14:paraId="2F6A0239" w14:textId="77777777" w:rsidR="00CB33B2" w:rsidRPr="00033A3F" w:rsidRDefault="00CB33B2" w:rsidP="00CB33B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615" w:type="dxa"/>
            <w:tcBorders>
              <w:top w:val="nil"/>
              <w:left w:val="nil"/>
              <w:bottom w:val="double" w:sz="6" w:space="0" w:color="auto"/>
              <w:right w:val="nil"/>
            </w:tcBorders>
            <w:shd w:val="clear" w:color="auto" w:fill="auto"/>
            <w:noWrap/>
            <w:vAlign w:val="bottom"/>
            <w:hideMark/>
          </w:tcPr>
          <w:p w14:paraId="10E42332" w14:textId="77777777" w:rsidR="00CB33B2" w:rsidRPr="00033A3F" w:rsidRDefault="00CB33B2" w:rsidP="00CB33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54</w:t>
            </w:r>
          </w:p>
        </w:tc>
        <w:tc>
          <w:tcPr>
            <w:tcW w:w="1565" w:type="dxa"/>
            <w:tcBorders>
              <w:top w:val="nil"/>
              <w:left w:val="nil"/>
              <w:bottom w:val="double" w:sz="6" w:space="0" w:color="auto"/>
              <w:right w:val="nil"/>
            </w:tcBorders>
            <w:shd w:val="clear" w:color="auto" w:fill="auto"/>
            <w:noWrap/>
            <w:vAlign w:val="center"/>
            <w:hideMark/>
          </w:tcPr>
          <w:p w14:paraId="1B26EA84" w14:textId="54BA80FC" w:rsidR="00CB33B2" w:rsidRPr="00033A3F" w:rsidRDefault="00CB33B2"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r>
      <w:tr w:rsidR="00033A3F" w:rsidRPr="00033A3F" w14:paraId="68B12D5D" w14:textId="77777777" w:rsidTr="004C0D35">
        <w:trPr>
          <w:trHeight w:val="330"/>
        </w:trPr>
        <w:tc>
          <w:tcPr>
            <w:tcW w:w="2780" w:type="dxa"/>
            <w:tcBorders>
              <w:top w:val="nil"/>
              <w:left w:val="nil"/>
              <w:bottom w:val="nil"/>
              <w:right w:val="nil"/>
            </w:tcBorders>
            <w:shd w:val="clear" w:color="auto" w:fill="auto"/>
            <w:noWrap/>
            <w:vAlign w:val="bottom"/>
            <w:hideMark/>
          </w:tcPr>
          <w:p w14:paraId="6C5EA0E7" w14:textId="77777777" w:rsidR="00CB33B2" w:rsidRPr="00033A3F" w:rsidRDefault="00CB33B2" w:rsidP="00CB33B2">
            <w:pPr>
              <w:spacing w:line="240" w:lineRule="auto"/>
              <w:jc w:val="center"/>
              <w:rPr>
                <w:rFonts w:eastAsia="Times New Roman"/>
                <w:b/>
                <w:bCs/>
                <w:color w:val="000000" w:themeColor="text1"/>
                <w:sz w:val="20"/>
                <w:szCs w:val="20"/>
                <w:lang w:eastAsia="cs-CZ"/>
              </w:rPr>
            </w:pPr>
          </w:p>
        </w:tc>
        <w:tc>
          <w:tcPr>
            <w:tcW w:w="1615" w:type="dxa"/>
            <w:tcBorders>
              <w:top w:val="nil"/>
              <w:left w:val="nil"/>
              <w:bottom w:val="nil"/>
              <w:right w:val="nil"/>
            </w:tcBorders>
            <w:shd w:val="clear" w:color="auto" w:fill="auto"/>
            <w:noWrap/>
            <w:vAlign w:val="bottom"/>
            <w:hideMark/>
          </w:tcPr>
          <w:p w14:paraId="054FBBE0" w14:textId="77777777" w:rsidR="00CB33B2" w:rsidRPr="00033A3F" w:rsidRDefault="00CB33B2" w:rsidP="00CB33B2">
            <w:pPr>
              <w:spacing w:line="240" w:lineRule="auto"/>
              <w:jc w:val="left"/>
              <w:rPr>
                <w:rFonts w:ascii="Times New Roman" w:eastAsia="Times New Roman" w:hAnsi="Times New Roman"/>
                <w:color w:val="000000" w:themeColor="text1"/>
                <w:sz w:val="20"/>
                <w:szCs w:val="20"/>
                <w:lang w:eastAsia="cs-CZ"/>
              </w:rPr>
            </w:pPr>
          </w:p>
        </w:tc>
        <w:tc>
          <w:tcPr>
            <w:tcW w:w="1565" w:type="dxa"/>
            <w:tcBorders>
              <w:top w:val="nil"/>
              <w:left w:val="nil"/>
              <w:bottom w:val="nil"/>
              <w:right w:val="nil"/>
            </w:tcBorders>
            <w:shd w:val="clear" w:color="auto" w:fill="auto"/>
            <w:noWrap/>
            <w:vAlign w:val="bottom"/>
            <w:hideMark/>
          </w:tcPr>
          <w:p w14:paraId="5EE740E3" w14:textId="77777777" w:rsidR="00CB33B2" w:rsidRPr="00033A3F" w:rsidRDefault="00CB33B2" w:rsidP="00CB33B2">
            <w:pPr>
              <w:spacing w:line="240" w:lineRule="auto"/>
              <w:jc w:val="left"/>
              <w:rPr>
                <w:rFonts w:ascii="Times New Roman" w:eastAsia="Times New Roman" w:hAnsi="Times New Roman"/>
                <w:color w:val="000000" w:themeColor="text1"/>
                <w:sz w:val="20"/>
                <w:szCs w:val="20"/>
                <w:lang w:eastAsia="cs-CZ"/>
              </w:rPr>
            </w:pPr>
          </w:p>
        </w:tc>
      </w:tr>
    </w:tbl>
    <w:p w14:paraId="6DA7C90D" w14:textId="575F0A46" w:rsidR="00CB33B2" w:rsidRPr="00033A3F" w:rsidRDefault="00CB33B2" w:rsidP="00CB33B2">
      <w:pPr>
        <w:pStyle w:val="OdstavecASR"/>
        <w:rPr>
          <w:color w:val="000000" w:themeColor="text1"/>
        </w:rPr>
      </w:pPr>
      <w:r w:rsidRPr="00033A3F">
        <w:rPr>
          <w:color w:val="000000" w:themeColor="text1"/>
        </w:rPr>
        <w:t>DT dle krajů víceméně odpovídá výsledkům dle počtu nevyřízených věcí na soudce. Nejvyšší DT má Severočeský kraj, nejnižší kraj Středočeský. DT v tomto roce klesl jen v jednom kraji</w:t>
      </w:r>
      <w:r w:rsidR="001405D0" w:rsidRPr="00033A3F">
        <w:rPr>
          <w:color w:val="000000" w:themeColor="text1"/>
        </w:rPr>
        <w:t>,</w:t>
      </w:r>
      <w:r w:rsidRPr="00033A3F">
        <w:rPr>
          <w:color w:val="000000" w:themeColor="text1"/>
        </w:rPr>
        <w:t xml:space="preserve"> </w:t>
      </w:r>
      <w:r w:rsidR="001405D0" w:rsidRPr="00033A3F">
        <w:rPr>
          <w:color w:val="000000" w:themeColor="text1"/>
        </w:rPr>
        <w:t>n</w:t>
      </w:r>
      <w:r w:rsidRPr="00033A3F">
        <w:rPr>
          <w:color w:val="000000" w:themeColor="text1"/>
        </w:rPr>
        <w:t xml:space="preserve">árůsty ale byly </w:t>
      </w:r>
      <w:r w:rsidR="00617DFA" w:rsidRPr="00033A3F">
        <w:rPr>
          <w:color w:val="000000" w:themeColor="text1"/>
        </w:rPr>
        <w:t xml:space="preserve">v absolutních hodnotách </w:t>
      </w:r>
      <w:r w:rsidRPr="00033A3F">
        <w:rPr>
          <w:color w:val="000000" w:themeColor="text1"/>
        </w:rPr>
        <w:t>marginální.</w:t>
      </w:r>
      <w:r w:rsidR="001405D0" w:rsidRPr="00033A3F">
        <w:rPr>
          <w:color w:val="000000" w:themeColor="text1"/>
        </w:rPr>
        <w:t xml:space="preserve"> Celkové hodnoty jsou zároveň výrazně nižší, než v civilní agendě.</w:t>
      </w:r>
    </w:p>
    <w:p w14:paraId="56CFF215" w14:textId="3986B9D5" w:rsidR="00C4779E" w:rsidRPr="00033A3F" w:rsidRDefault="00C4779E">
      <w:pPr>
        <w:spacing w:after="160" w:line="259" w:lineRule="auto"/>
        <w:jc w:val="left"/>
        <w:rPr>
          <w:color w:val="000000" w:themeColor="text1"/>
        </w:rPr>
      </w:pPr>
      <w:r w:rsidRPr="00033A3F">
        <w:rPr>
          <w:color w:val="000000" w:themeColor="text1"/>
        </w:rPr>
        <w:br w:type="page"/>
      </w:r>
    </w:p>
    <w:p w14:paraId="4541270E" w14:textId="344B1003" w:rsidR="00C4779E" w:rsidRPr="00033A3F" w:rsidRDefault="00C4779E" w:rsidP="00C4779E">
      <w:pPr>
        <w:pStyle w:val="Podnadpis"/>
        <w:rPr>
          <w:color w:val="000000" w:themeColor="text1"/>
        </w:rPr>
      </w:pPr>
      <w:bookmarkStart w:id="628" w:name="_Toc515871359"/>
      <w:bookmarkStart w:id="629" w:name="_Toc11135093"/>
      <w:bookmarkStart w:id="630" w:name="_Toc43841407"/>
      <w:bookmarkStart w:id="631" w:name="_Toc75952210"/>
      <w:bookmarkStart w:id="632" w:name="_Toc106106662"/>
      <w:bookmarkStart w:id="633" w:name="_Toc109801986"/>
      <w:bookmarkStart w:id="634" w:name="_Toc144104139"/>
      <w:bookmarkStart w:id="635" w:name="_Toc169250947"/>
      <w:bookmarkStart w:id="636" w:name="_Toc174080633"/>
      <w:bookmarkStart w:id="637" w:name="_Toc193530785"/>
      <w:bookmarkStart w:id="638" w:name="_Toc193634059"/>
      <w:bookmarkStart w:id="639" w:name="_Toc203032857"/>
      <w:r w:rsidRPr="00033A3F">
        <w:rPr>
          <w:color w:val="000000" w:themeColor="text1"/>
        </w:rPr>
        <w:lastRenderedPageBreak/>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30</w:t>
      </w:r>
      <w:r w:rsidRPr="00033A3F">
        <w:rPr>
          <w:noProof/>
          <w:color w:val="000000" w:themeColor="text1"/>
        </w:rPr>
        <w:fldChar w:fldCharType="end"/>
      </w:r>
      <w:r w:rsidRPr="00033A3F">
        <w:rPr>
          <w:color w:val="000000" w:themeColor="text1"/>
        </w:rPr>
        <w:t>: OS – disposition time trestního řízení u jednotlivých soudů</w:t>
      </w:r>
      <w:bookmarkEnd w:id="628"/>
      <w:bookmarkEnd w:id="629"/>
      <w:bookmarkEnd w:id="630"/>
      <w:bookmarkEnd w:id="631"/>
      <w:bookmarkEnd w:id="632"/>
      <w:bookmarkEnd w:id="633"/>
      <w:bookmarkEnd w:id="634"/>
      <w:r w:rsidRPr="00033A3F">
        <w:rPr>
          <w:color w:val="000000" w:themeColor="text1"/>
        </w:rPr>
        <w:t xml:space="preserve">, </w:t>
      </w:r>
      <w:bookmarkEnd w:id="635"/>
      <w:bookmarkEnd w:id="636"/>
      <w:r w:rsidR="00936B01" w:rsidRPr="00033A3F">
        <w:rPr>
          <w:color w:val="000000" w:themeColor="text1"/>
        </w:rPr>
        <w:t>2024</w:t>
      </w:r>
      <w:bookmarkEnd w:id="637"/>
      <w:bookmarkEnd w:id="638"/>
      <w:bookmarkEnd w:id="639"/>
    </w:p>
    <w:p w14:paraId="0093E83D" w14:textId="3B5599B9" w:rsidR="00C25086" w:rsidRPr="00033A3F" w:rsidRDefault="00C4779E" w:rsidP="00C25086">
      <w:pPr>
        <w:rPr>
          <w:color w:val="000000" w:themeColor="text1"/>
        </w:rPr>
      </w:pPr>
      <w:r w:rsidRPr="00033A3F">
        <w:rPr>
          <w:noProof/>
          <w:color w:val="000000" w:themeColor="text1"/>
          <w:lang w:eastAsia="cs-CZ"/>
        </w:rPr>
        <w:drawing>
          <wp:anchor distT="0" distB="0" distL="114300" distR="114300" simplePos="0" relativeHeight="251687936" behindDoc="0" locked="0" layoutInCell="1" allowOverlap="1" wp14:anchorId="3CAA1914" wp14:editId="4FE20C41">
            <wp:simplePos x="0" y="0"/>
            <wp:positionH relativeFrom="margin">
              <wp:align>right</wp:align>
            </wp:positionH>
            <wp:positionV relativeFrom="paragraph">
              <wp:posOffset>13971</wp:posOffset>
            </wp:positionV>
            <wp:extent cx="1231038" cy="895350"/>
            <wp:effectExtent l="0" t="0" r="7620" b="0"/>
            <wp:wrapNone/>
            <wp:docPr id="1795037665"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31038"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33AC9BDD" wp14:editId="6EF686FE">
            <wp:extent cx="5760720" cy="3296920"/>
            <wp:effectExtent l="0" t="0" r="0" b="0"/>
            <wp:docPr id="2118497184"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2BDC48BF" w14:textId="77777777" w:rsidR="00C25086" w:rsidRPr="00033A3F" w:rsidRDefault="00C25086" w:rsidP="00C25086">
      <w:pPr>
        <w:rPr>
          <w:color w:val="000000" w:themeColor="text1"/>
        </w:rPr>
      </w:pPr>
    </w:p>
    <w:p w14:paraId="65A050C5" w14:textId="12C481EE" w:rsidR="00C25086" w:rsidRPr="00033A3F" w:rsidRDefault="00C25086" w:rsidP="00C25086">
      <w:pPr>
        <w:pStyle w:val="Podnadpis"/>
        <w:rPr>
          <w:color w:val="000000" w:themeColor="text1"/>
        </w:rPr>
      </w:pPr>
      <w:bookmarkStart w:id="640" w:name="_Toc169250948"/>
      <w:bookmarkStart w:id="641" w:name="_Toc174080634"/>
      <w:bookmarkStart w:id="642" w:name="_Toc193530786"/>
      <w:bookmarkStart w:id="643" w:name="_Toc193634060"/>
      <w:bookmarkStart w:id="644" w:name="_Toc20303285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31</w:t>
      </w:r>
      <w:r w:rsidRPr="00033A3F">
        <w:rPr>
          <w:color w:val="000000" w:themeColor="text1"/>
        </w:rPr>
        <w:fldChar w:fldCharType="end"/>
      </w:r>
      <w:r w:rsidRPr="00033A3F">
        <w:rPr>
          <w:color w:val="000000" w:themeColor="text1"/>
        </w:rPr>
        <w:t>: OS – krabicové grafy, DT trestního řízení</w:t>
      </w:r>
      <w:bookmarkEnd w:id="640"/>
      <w:bookmarkEnd w:id="641"/>
      <w:bookmarkEnd w:id="642"/>
      <w:bookmarkEnd w:id="643"/>
      <w:bookmarkEnd w:id="644"/>
    </w:p>
    <w:p w14:paraId="2300A4F3" w14:textId="2C856A40" w:rsidR="00C25086" w:rsidRPr="00033A3F" w:rsidRDefault="00C25086" w:rsidP="00C25086">
      <w:pPr>
        <w:rPr>
          <w:color w:val="000000" w:themeColor="text1"/>
        </w:rPr>
      </w:pPr>
      <w:r w:rsidRPr="00033A3F">
        <w:rPr>
          <w:noProof/>
          <w:color w:val="000000" w:themeColor="text1"/>
          <w:lang w:eastAsia="cs-CZ"/>
        </w:rPr>
        <w:drawing>
          <wp:inline distT="0" distB="0" distL="0" distR="0" wp14:anchorId="1ADD0BC9" wp14:editId="4C26A13D">
            <wp:extent cx="5029200" cy="3657600"/>
            <wp:effectExtent l="0" t="0" r="0" b="0"/>
            <wp:docPr id="1230306934"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0CC33D1" w14:textId="77777777" w:rsidR="00CB33B2" w:rsidRPr="00033A3F" w:rsidRDefault="00CB33B2" w:rsidP="00C25086">
      <w:pPr>
        <w:rPr>
          <w:color w:val="000000" w:themeColor="text1"/>
        </w:rPr>
      </w:pPr>
    </w:p>
    <w:p w14:paraId="2856267F" w14:textId="5E79FDC8" w:rsidR="00CB33B2" w:rsidRPr="00033A3F" w:rsidRDefault="00CB33B2" w:rsidP="00CB33B2">
      <w:pPr>
        <w:pStyle w:val="OdstavecASR"/>
        <w:rPr>
          <w:color w:val="000000" w:themeColor="text1"/>
        </w:rPr>
      </w:pPr>
      <w:r w:rsidRPr="00033A3F">
        <w:rPr>
          <w:color w:val="000000" w:themeColor="text1"/>
        </w:rPr>
        <w:t xml:space="preserve">Variabilita zůstala tento rok víceméně stejná. Místo dvou odlehlých hodnot zůstala jen jedna. </w:t>
      </w:r>
      <w:r w:rsidR="0091233A" w:rsidRPr="00033A3F">
        <w:rPr>
          <w:color w:val="000000" w:themeColor="text1"/>
        </w:rPr>
        <w:t>Odlehlou hodnotu</w:t>
      </w:r>
      <w:r w:rsidRPr="00033A3F">
        <w:rPr>
          <w:color w:val="000000" w:themeColor="text1"/>
        </w:rPr>
        <w:t xml:space="preserve"> DT na grafu </w:t>
      </w:r>
      <w:r w:rsidR="00E1476F" w:rsidRPr="00033A3F">
        <w:rPr>
          <w:color w:val="000000" w:themeColor="text1"/>
        </w:rPr>
        <w:t xml:space="preserve">již třetím rokem za sebou </w:t>
      </w:r>
      <w:r w:rsidRPr="00033A3F">
        <w:rPr>
          <w:color w:val="000000" w:themeColor="text1"/>
        </w:rPr>
        <w:t xml:space="preserve">představuje OS Chomutov, který </w:t>
      </w:r>
      <w:r w:rsidR="0091233A" w:rsidRPr="00033A3F">
        <w:rPr>
          <w:color w:val="000000" w:themeColor="text1"/>
        </w:rPr>
        <w:t>se ale přiblížil k</w:t>
      </w:r>
      <w:r w:rsidR="00E1476F" w:rsidRPr="00033A3F">
        <w:rPr>
          <w:color w:val="000000" w:themeColor="text1"/>
        </w:rPr>
        <w:t> </w:t>
      </w:r>
      <w:r w:rsidR="0091233A" w:rsidRPr="00033A3F">
        <w:rPr>
          <w:color w:val="000000" w:themeColor="text1"/>
        </w:rPr>
        <w:t>boxu</w:t>
      </w:r>
      <w:r w:rsidR="00E1476F" w:rsidRPr="00033A3F">
        <w:rPr>
          <w:color w:val="000000" w:themeColor="text1"/>
        </w:rPr>
        <w:t xml:space="preserve"> (před ním to byl několik let OS Děčín)</w:t>
      </w:r>
      <w:r w:rsidR="0091233A" w:rsidRPr="00033A3F">
        <w:rPr>
          <w:color w:val="000000" w:themeColor="text1"/>
        </w:rPr>
        <w:t>.</w:t>
      </w:r>
    </w:p>
    <w:p w14:paraId="2B50CF84" w14:textId="77777777" w:rsidR="00CB33B2" w:rsidRPr="00033A3F" w:rsidRDefault="00CB33B2" w:rsidP="00C25086">
      <w:pPr>
        <w:rPr>
          <w:color w:val="000000" w:themeColor="text1"/>
        </w:rPr>
      </w:pPr>
    </w:p>
    <w:p w14:paraId="72FECD01" w14:textId="5222ED64" w:rsidR="00AC75EB" w:rsidRPr="00033A3F" w:rsidRDefault="008430BD" w:rsidP="008430BD">
      <w:pPr>
        <w:pStyle w:val="Nadpis3"/>
        <w:numPr>
          <w:ilvl w:val="2"/>
          <w:numId w:val="1"/>
        </w:numPr>
        <w:rPr>
          <w:color w:val="000000" w:themeColor="text1"/>
        </w:rPr>
      </w:pPr>
      <w:bookmarkStart w:id="645" w:name="_Toc515871235"/>
      <w:bookmarkStart w:id="646" w:name="_Toc106092732"/>
      <w:bookmarkStart w:id="647" w:name="_Toc169250816"/>
      <w:bookmarkStart w:id="648" w:name="_Toc193530978"/>
      <w:bookmarkStart w:id="649" w:name="_Toc193957034"/>
      <w:bookmarkStart w:id="650" w:name="_Toc203032724"/>
      <w:r w:rsidRPr="00033A3F">
        <w:rPr>
          <w:color w:val="000000" w:themeColor="text1"/>
        </w:rPr>
        <w:lastRenderedPageBreak/>
        <w:t>Další statistiky</w:t>
      </w:r>
      <w:bookmarkEnd w:id="645"/>
      <w:bookmarkEnd w:id="646"/>
      <w:bookmarkEnd w:id="647"/>
      <w:bookmarkEnd w:id="648"/>
      <w:bookmarkEnd w:id="649"/>
      <w:bookmarkEnd w:id="650"/>
    </w:p>
    <w:p w14:paraId="6B986115" w14:textId="32ABEC5F" w:rsidR="00E51875" w:rsidRPr="00033A3F" w:rsidRDefault="00E51875" w:rsidP="00E51875">
      <w:pPr>
        <w:pStyle w:val="OdstavecASR"/>
        <w:rPr>
          <w:color w:val="000000" w:themeColor="text1"/>
        </w:rPr>
      </w:pPr>
      <w:r w:rsidRPr="00033A3F">
        <w:rPr>
          <w:color w:val="000000" w:themeColor="text1"/>
        </w:rPr>
        <w:t xml:space="preserve">Data pochází ze statistických listů, zkoumáme tedy agendy T a Tm. I zde uvádíme několik příkladů dalších sledovaných statistik. Podobně jako u civilního řízení je to míra odvolání a míra změny rozsudku. Dále se v této kapitole zabýváme vývojem ukládání peněžitých trestů od roku 2014. Připomínáme, že jsme u trestních statistik vyřadili věci vyřízené trestním příkazem, jejichž podíl na celkovém počtu věcí však v této podkapitole také zkoumáme. </w:t>
      </w:r>
      <w:r w:rsidR="00B21AA6" w:rsidRPr="00033A3F">
        <w:rPr>
          <w:color w:val="000000" w:themeColor="text1"/>
        </w:rPr>
        <w:t>N</w:t>
      </w:r>
      <w:r w:rsidRPr="00033A3F">
        <w:rPr>
          <w:color w:val="000000" w:themeColor="text1"/>
        </w:rPr>
        <w:t xml:space="preserve">akonec se </w:t>
      </w:r>
      <w:r w:rsidR="00B21AA6" w:rsidRPr="00033A3F">
        <w:rPr>
          <w:color w:val="000000" w:themeColor="text1"/>
        </w:rPr>
        <w:t xml:space="preserve">zaměříme </w:t>
      </w:r>
      <w:r w:rsidRPr="00033A3F">
        <w:rPr>
          <w:color w:val="000000" w:themeColor="text1"/>
        </w:rPr>
        <w:t>na to, v jaké výši jsou ukládány nepodmíněné tresty odnětí</w:t>
      </w:r>
      <w:r w:rsidR="00B21AA6" w:rsidRPr="00033A3F">
        <w:rPr>
          <w:color w:val="000000" w:themeColor="text1"/>
        </w:rPr>
        <w:t xml:space="preserve"> svobody</w:t>
      </w:r>
      <w:r w:rsidR="00342977" w:rsidRPr="00033A3F">
        <w:rPr>
          <w:color w:val="000000" w:themeColor="text1"/>
        </w:rPr>
        <w:t xml:space="preserve"> a na údaje o podmíněném propuštění.</w:t>
      </w:r>
    </w:p>
    <w:p w14:paraId="23BDDC8F" w14:textId="77777777" w:rsidR="00B20D86" w:rsidRDefault="00177E38" w:rsidP="00B20D86">
      <w:pPr>
        <w:pStyle w:val="OdstavecASR"/>
        <w:rPr>
          <w:b/>
          <w:bCs/>
          <w:color w:val="000000" w:themeColor="text1"/>
        </w:rPr>
      </w:pPr>
      <w:r w:rsidRPr="00033A3F">
        <w:rPr>
          <w:b/>
          <w:bCs/>
          <w:color w:val="000000" w:themeColor="text1"/>
        </w:rPr>
        <w:t>Míra odvolání</w:t>
      </w:r>
    </w:p>
    <w:p w14:paraId="268CEE70" w14:textId="45C30FD3" w:rsidR="00B20D86" w:rsidRDefault="00B20D86" w:rsidP="00B20D86">
      <w:pPr>
        <w:pStyle w:val="OdstavecASR"/>
        <w:rPr>
          <w:color w:val="000000" w:themeColor="text1"/>
        </w:rPr>
      </w:pPr>
      <w:r>
        <w:rPr>
          <w:color w:val="000000" w:themeColor="text1"/>
        </w:rPr>
        <w:t>Míra odvolání i míra rozsudku jsou vypočteny ze statistických listů. K uvedeným statistkám uvádíme následující:</w:t>
      </w:r>
    </w:p>
    <w:p w14:paraId="07A408A5" w14:textId="57E4C061" w:rsidR="00B20D86" w:rsidRDefault="00B20D86" w:rsidP="00B20D86">
      <w:pPr>
        <w:pStyle w:val="OdstavecASR"/>
        <w:numPr>
          <w:ilvl w:val="0"/>
          <w:numId w:val="38"/>
        </w:numPr>
        <w:rPr>
          <w:color w:val="000000" w:themeColor="text1"/>
        </w:rPr>
      </w:pPr>
      <w:r>
        <w:rPr>
          <w:color w:val="000000" w:themeColor="text1"/>
        </w:rPr>
        <w:t>týkají se pouze pravomocně skončených věcí v </w:t>
      </w:r>
      <w:r w:rsidR="002F4034">
        <w:rPr>
          <w:color w:val="000000" w:themeColor="text1"/>
        </w:rPr>
        <w:t>rejstřících</w:t>
      </w:r>
      <w:r>
        <w:rPr>
          <w:color w:val="000000" w:themeColor="text1"/>
        </w:rPr>
        <w:t xml:space="preserve"> T a Tm, </w:t>
      </w:r>
    </w:p>
    <w:p w14:paraId="3AEC6022" w14:textId="77777777" w:rsidR="00B20D86" w:rsidRDefault="00B20D86" w:rsidP="00B20D86">
      <w:pPr>
        <w:pStyle w:val="OdstavecASR"/>
        <w:numPr>
          <w:ilvl w:val="0"/>
          <w:numId w:val="38"/>
        </w:numPr>
        <w:rPr>
          <w:color w:val="000000" w:themeColor="text1"/>
        </w:rPr>
      </w:pPr>
      <w:r>
        <w:rPr>
          <w:color w:val="000000" w:themeColor="text1"/>
        </w:rPr>
        <w:t>jde pouze o odvolání v meritu věci,</w:t>
      </w:r>
    </w:p>
    <w:p w14:paraId="1930C90D" w14:textId="77777777" w:rsidR="00B20D86" w:rsidRDefault="00B20D86" w:rsidP="00B20D86">
      <w:pPr>
        <w:pStyle w:val="OdstavecASR"/>
        <w:numPr>
          <w:ilvl w:val="0"/>
          <w:numId w:val="38"/>
        </w:numPr>
        <w:rPr>
          <w:color w:val="000000" w:themeColor="text1"/>
        </w:rPr>
      </w:pPr>
      <w:r>
        <w:rPr>
          <w:color w:val="000000" w:themeColor="text1"/>
        </w:rPr>
        <w:t>započteny jsou i věci, kde</w:t>
      </w:r>
      <w:r w:rsidRPr="00B20D86">
        <w:rPr>
          <w:color w:val="000000" w:themeColor="text1"/>
        </w:rPr>
        <w:t xml:space="preserve"> </w:t>
      </w:r>
      <w:r>
        <w:rPr>
          <w:color w:val="000000" w:themeColor="text1"/>
        </w:rPr>
        <w:t xml:space="preserve">nadřízený </w:t>
      </w:r>
      <w:r w:rsidRPr="00033A3F">
        <w:rPr>
          <w:color w:val="000000" w:themeColor="text1"/>
        </w:rPr>
        <w:t>soud zrušil rozhodnutí soudu I. stupně a věc mu vrátil a následně již odvolání podáno nebylo</w:t>
      </w:r>
    </w:p>
    <w:p w14:paraId="7F9DC33F" w14:textId="54941C78" w:rsidR="00B20D86" w:rsidRDefault="00B20D86" w:rsidP="00B20D86">
      <w:pPr>
        <w:pStyle w:val="OdstavecASR"/>
        <w:numPr>
          <w:ilvl w:val="0"/>
          <w:numId w:val="38"/>
        </w:numPr>
        <w:rPr>
          <w:color w:val="000000" w:themeColor="text1"/>
        </w:rPr>
      </w:pPr>
      <w:r>
        <w:rPr>
          <w:color w:val="000000" w:themeColor="text1"/>
        </w:rPr>
        <w:t xml:space="preserve">data jsou očištěna o </w:t>
      </w:r>
      <w:r w:rsidR="002F4034">
        <w:rPr>
          <w:color w:val="000000" w:themeColor="text1"/>
        </w:rPr>
        <w:t>věc vyřízené trestním příkazem a věci, kde byla uzavřena dohoda o vině a trestu.</w:t>
      </w:r>
    </w:p>
    <w:p w14:paraId="3F949B26" w14:textId="77777777" w:rsidR="0057327F" w:rsidRDefault="0057327F" w:rsidP="0057327F">
      <w:pPr>
        <w:pStyle w:val="OdstavecASR"/>
        <w:rPr>
          <w:color w:val="000000" w:themeColor="text1"/>
        </w:rPr>
      </w:pPr>
    </w:p>
    <w:p w14:paraId="142ED177" w14:textId="4030E8C7" w:rsidR="00E51875" w:rsidRPr="00033A3F" w:rsidRDefault="00E51875" w:rsidP="00E51875">
      <w:pPr>
        <w:pStyle w:val="Podnadpis"/>
        <w:rPr>
          <w:color w:val="000000" w:themeColor="text1"/>
        </w:rPr>
      </w:pPr>
      <w:bookmarkStart w:id="651" w:name="_Toc144104264"/>
      <w:bookmarkStart w:id="652" w:name="_Toc169251080"/>
      <w:bookmarkStart w:id="653" w:name="_Toc174080766"/>
      <w:bookmarkStart w:id="654" w:name="_Toc193530899"/>
      <w:bookmarkStart w:id="655" w:name="_Toc194045594"/>
      <w:bookmarkStart w:id="656" w:name="_Toc199495003"/>
      <w:bookmarkStart w:id="657" w:name="_Toc203033063"/>
      <w:bookmarkStart w:id="658" w:name="_Toc203033141"/>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21</w:t>
      </w:r>
      <w:r w:rsidRPr="00033A3F">
        <w:rPr>
          <w:noProof/>
          <w:color w:val="000000" w:themeColor="text1"/>
        </w:rPr>
        <w:fldChar w:fldCharType="end"/>
      </w:r>
      <w:r w:rsidRPr="00033A3F">
        <w:rPr>
          <w:color w:val="000000" w:themeColor="text1"/>
        </w:rPr>
        <w:t>: OS – míra odvolání dle krajů v trestním řízení</w:t>
      </w:r>
      <w:bookmarkEnd w:id="651"/>
      <w:r w:rsidRPr="00033A3F">
        <w:rPr>
          <w:color w:val="000000" w:themeColor="text1"/>
        </w:rPr>
        <w:t>, 202</w:t>
      </w:r>
      <w:bookmarkEnd w:id="652"/>
      <w:bookmarkEnd w:id="653"/>
      <w:r w:rsidRPr="00033A3F">
        <w:rPr>
          <w:color w:val="000000" w:themeColor="text1"/>
        </w:rPr>
        <w:t>4</w:t>
      </w:r>
      <w:bookmarkEnd w:id="654"/>
      <w:bookmarkEnd w:id="655"/>
      <w:bookmarkEnd w:id="656"/>
      <w:bookmarkEnd w:id="657"/>
      <w:bookmarkEnd w:id="658"/>
    </w:p>
    <w:tbl>
      <w:tblPr>
        <w:tblW w:w="6300" w:type="dxa"/>
        <w:tblCellMar>
          <w:left w:w="70" w:type="dxa"/>
          <w:right w:w="70" w:type="dxa"/>
        </w:tblCellMar>
        <w:tblLook w:val="04A0" w:firstRow="1" w:lastRow="0" w:firstColumn="1" w:lastColumn="0" w:noHBand="0" w:noVBand="1"/>
      </w:tblPr>
      <w:tblGrid>
        <w:gridCol w:w="2780"/>
        <w:gridCol w:w="1788"/>
        <w:gridCol w:w="1732"/>
      </w:tblGrid>
      <w:tr w:rsidR="00033A3F" w:rsidRPr="00033A3F" w14:paraId="0F0572FD" w14:textId="77777777" w:rsidTr="005C68A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34E7445" w14:textId="77777777" w:rsidR="005C68A2" w:rsidRPr="00033A3F" w:rsidRDefault="005C68A2" w:rsidP="005C68A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13CF33DD" w14:textId="77777777" w:rsidR="005C68A2" w:rsidRPr="00033A3F" w:rsidRDefault="005C68A2" w:rsidP="005C68A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Míra odvolání </w:t>
            </w:r>
          </w:p>
        </w:tc>
      </w:tr>
      <w:tr w:rsidR="00033A3F" w:rsidRPr="00033A3F" w14:paraId="5C2EAE0B" w14:textId="77777777" w:rsidTr="005C68A2">
        <w:trPr>
          <w:trHeight w:val="330"/>
        </w:trPr>
        <w:tc>
          <w:tcPr>
            <w:tcW w:w="2780" w:type="dxa"/>
            <w:tcBorders>
              <w:top w:val="nil"/>
              <w:left w:val="nil"/>
              <w:bottom w:val="single" w:sz="4" w:space="0" w:color="auto"/>
              <w:right w:val="nil"/>
            </w:tcBorders>
            <w:shd w:val="clear" w:color="auto" w:fill="auto"/>
            <w:noWrap/>
            <w:vAlign w:val="bottom"/>
            <w:hideMark/>
          </w:tcPr>
          <w:p w14:paraId="5F19153F"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88" w:type="dxa"/>
            <w:tcBorders>
              <w:top w:val="nil"/>
              <w:left w:val="nil"/>
              <w:bottom w:val="single" w:sz="4" w:space="0" w:color="auto"/>
              <w:right w:val="nil"/>
            </w:tcBorders>
            <w:shd w:val="clear" w:color="auto" w:fill="auto"/>
            <w:noWrap/>
            <w:vAlign w:val="bottom"/>
            <w:hideMark/>
          </w:tcPr>
          <w:p w14:paraId="6050FAB6" w14:textId="422AAE63"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27,95 %</w:t>
            </w:r>
          </w:p>
        </w:tc>
        <w:tc>
          <w:tcPr>
            <w:tcW w:w="1732" w:type="dxa"/>
            <w:tcBorders>
              <w:top w:val="nil"/>
              <w:left w:val="nil"/>
              <w:bottom w:val="single" w:sz="4" w:space="0" w:color="auto"/>
              <w:right w:val="nil"/>
            </w:tcBorders>
            <w:shd w:val="clear" w:color="auto" w:fill="auto"/>
            <w:noWrap/>
            <w:vAlign w:val="center"/>
            <w:hideMark/>
          </w:tcPr>
          <w:p w14:paraId="1DAEF661" w14:textId="2E73C7C5"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p.b.</w:t>
            </w:r>
          </w:p>
        </w:tc>
      </w:tr>
      <w:tr w:rsidR="00033A3F" w:rsidRPr="00033A3F" w14:paraId="2B194C4D"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05D7CECA"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88" w:type="dxa"/>
            <w:tcBorders>
              <w:top w:val="nil"/>
              <w:left w:val="nil"/>
              <w:bottom w:val="single" w:sz="4" w:space="0" w:color="auto"/>
              <w:right w:val="nil"/>
            </w:tcBorders>
            <w:shd w:val="clear" w:color="auto" w:fill="auto"/>
            <w:noWrap/>
            <w:vAlign w:val="bottom"/>
            <w:hideMark/>
          </w:tcPr>
          <w:p w14:paraId="4324D959" w14:textId="556CA131"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25,38 %</w:t>
            </w:r>
          </w:p>
        </w:tc>
        <w:tc>
          <w:tcPr>
            <w:tcW w:w="1732" w:type="dxa"/>
            <w:tcBorders>
              <w:top w:val="nil"/>
              <w:left w:val="nil"/>
              <w:bottom w:val="single" w:sz="4" w:space="0" w:color="auto"/>
              <w:right w:val="nil"/>
            </w:tcBorders>
            <w:shd w:val="clear" w:color="auto" w:fill="auto"/>
            <w:noWrap/>
            <w:vAlign w:val="center"/>
            <w:hideMark/>
          </w:tcPr>
          <w:p w14:paraId="77B30D7C" w14:textId="2DD38BE2"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p.b.</w:t>
            </w:r>
          </w:p>
        </w:tc>
      </w:tr>
      <w:tr w:rsidR="00033A3F" w:rsidRPr="00033A3F" w14:paraId="3D6F618F"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0491025D"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88" w:type="dxa"/>
            <w:tcBorders>
              <w:top w:val="nil"/>
              <w:left w:val="nil"/>
              <w:bottom w:val="single" w:sz="4" w:space="0" w:color="auto"/>
              <w:right w:val="nil"/>
            </w:tcBorders>
            <w:shd w:val="clear" w:color="auto" w:fill="auto"/>
            <w:noWrap/>
            <w:vAlign w:val="bottom"/>
            <w:hideMark/>
          </w:tcPr>
          <w:p w14:paraId="4A145BD6" w14:textId="56AEC6D1"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20,75 %</w:t>
            </w:r>
          </w:p>
        </w:tc>
        <w:tc>
          <w:tcPr>
            <w:tcW w:w="1732" w:type="dxa"/>
            <w:tcBorders>
              <w:top w:val="nil"/>
              <w:left w:val="nil"/>
              <w:bottom w:val="single" w:sz="4" w:space="0" w:color="auto"/>
              <w:right w:val="nil"/>
            </w:tcBorders>
            <w:shd w:val="clear" w:color="auto" w:fill="auto"/>
            <w:noWrap/>
            <w:vAlign w:val="center"/>
            <w:hideMark/>
          </w:tcPr>
          <w:p w14:paraId="0A140779" w14:textId="46DE2ABD"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-0,6 p.b.</w:t>
            </w:r>
          </w:p>
        </w:tc>
      </w:tr>
      <w:tr w:rsidR="00033A3F" w:rsidRPr="00033A3F" w14:paraId="28DB50DB"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74FE720E"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88" w:type="dxa"/>
            <w:tcBorders>
              <w:top w:val="nil"/>
              <w:left w:val="nil"/>
              <w:bottom w:val="single" w:sz="4" w:space="0" w:color="auto"/>
              <w:right w:val="nil"/>
            </w:tcBorders>
            <w:shd w:val="clear" w:color="auto" w:fill="auto"/>
            <w:noWrap/>
            <w:vAlign w:val="bottom"/>
            <w:hideMark/>
          </w:tcPr>
          <w:p w14:paraId="606A6B62" w14:textId="5A1644D7"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25,97 %</w:t>
            </w:r>
          </w:p>
        </w:tc>
        <w:tc>
          <w:tcPr>
            <w:tcW w:w="1732" w:type="dxa"/>
            <w:tcBorders>
              <w:top w:val="nil"/>
              <w:left w:val="nil"/>
              <w:bottom w:val="single" w:sz="4" w:space="0" w:color="auto"/>
              <w:right w:val="nil"/>
            </w:tcBorders>
            <w:shd w:val="clear" w:color="auto" w:fill="auto"/>
            <w:noWrap/>
            <w:vAlign w:val="center"/>
            <w:hideMark/>
          </w:tcPr>
          <w:p w14:paraId="6DA688CF" w14:textId="3F3A28C3"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p.b.</w:t>
            </w:r>
          </w:p>
        </w:tc>
      </w:tr>
      <w:tr w:rsidR="00033A3F" w:rsidRPr="00033A3F" w14:paraId="76153537"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00B9AB84"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88" w:type="dxa"/>
            <w:tcBorders>
              <w:top w:val="nil"/>
              <w:left w:val="nil"/>
              <w:bottom w:val="single" w:sz="4" w:space="0" w:color="auto"/>
              <w:right w:val="nil"/>
            </w:tcBorders>
            <w:shd w:val="clear" w:color="auto" w:fill="auto"/>
            <w:noWrap/>
            <w:vAlign w:val="bottom"/>
            <w:hideMark/>
          </w:tcPr>
          <w:p w14:paraId="6DF5A524" w14:textId="13835E0E"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15,21 %</w:t>
            </w:r>
          </w:p>
        </w:tc>
        <w:tc>
          <w:tcPr>
            <w:tcW w:w="1732" w:type="dxa"/>
            <w:tcBorders>
              <w:top w:val="nil"/>
              <w:left w:val="nil"/>
              <w:bottom w:val="single" w:sz="4" w:space="0" w:color="auto"/>
              <w:right w:val="nil"/>
            </w:tcBorders>
            <w:shd w:val="clear" w:color="auto" w:fill="auto"/>
            <w:noWrap/>
            <w:vAlign w:val="center"/>
            <w:hideMark/>
          </w:tcPr>
          <w:p w14:paraId="03CD4D25" w14:textId="487CB357"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-0,4 p.b.</w:t>
            </w:r>
          </w:p>
        </w:tc>
      </w:tr>
      <w:tr w:rsidR="00033A3F" w:rsidRPr="00033A3F" w14:paraId="79F50D0C"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26A788B3"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88" w:type="dxa"/>
            <w:tcBorders>
              <w:top w:val="nil"/>
              <w:left w:val="nil"/>
              <w:bottom w:val="single" w:sz="4" w:space="0" w:color="auto"/>
              <w:right w:val="nil"/>
            </w:tcBorders>
            <w:shd w:val="clear" w:color="auto" w:fill="auto"/>
            <w:noWrap/>
            <w:vAlign w:val="bottom"/>
            <w:hideMark/>
          </w:tcPr>
          <w:p w14:paraId="04340F7A" w14:textId="11BFD6B6"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25,45 %</w:t>
            </w:r>
          </w:p>
        </w:tc>
        <w:tc>
          <w:tcPr>
            <w:tcW w:w="1732" w:type="dxa"/>
            <w:tcBorders>
              <w:top w:val="nil"/>
              <w:left w:val="nil"/>
              <w:bottom w:val="single" w:sz="4" w:space="0" w:color="auto"/>
              <w:right w:val="nil"/>
            </w:tcBorders>
            <w:shd w:val="clear" w:color="auto" w:fill="auto"/>
            <w:noWrap/>
            <w:vAlign w:val="center"/>
            <w:hideMark/>
          </w:tcPr>
          <w:p w14:paraId="5C4263A1" w14:textId="52C56365"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+2,0 p.b.</w:t>
            </w:r>
          </w:p>
        </w:tc>
      </w:tr>
      <w:tr w:rsidR="00033A3F" w:rsidRPr="00033A3F" w14:paraId="075D66CF"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49028556"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88" w:type="dxa"/>
            <w:tcBorders>
              <w:top w:val="nil"/>
              <w:left w:val="nil"/>
              <w:bottom w:val="single" w:sz="4" w:space="0" w:color="auto"/>
              <w:right w:val="nil"/>
            </w:tcBorders>
            <w:shd w:val="clear" w:color="auto" w:fill="auto"/>
            <w:noWrap/>
            <w:vAlign w:val="bottom"/>
            <w:hideMark/>
          </w:tcPr>
          <w:p w14:paraId="00C21760" w14:textId="25892DDF"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20,80 %</w:t>
            </w:r>
          </w:p>
        </w:tc>
        <w:tc>
          <w:tcPr>
            <w:tcW w:w="1732" w:type="dxa"/>
            <w:tcBorders>
              <w:top w:val="nil"/>
              <w:left w:val="nil"/>
              <w:bottom w:val="single" w:sz="4" w:space="0" w:color="auto"/>
              <w:right w:val="nil"/>
            </w:tcBorders>
            <w:shd w:val="clear" w:color="auto" w:fill="auto"/>
            <w:noWrap/>
            <w:vAlign w:val="center"/>
            <w:hideMark/>
          </w:tcPr>
          <w:p w14:paraId="31077D44" w14:textId="2BA68C7C"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+0,8 p.b.</w:t>
            </w:r>
          </w:p>
        </w:tc>
      </w:tr>
      <w:tr w:rsidR="00033A3F" w:rsidRPr="00033A3F" w14:paraId="4F6FA289" w14:textId="77777777" w:rsidTr="005C68A2">
        <w:trPr>
          <w:trHeight w:val="330"/>
        </w:trPr>
        <w:tc>
          <w:tcPr>
            <w:tcW w:w="2780" w:type="dxa"/>
            <w:tcBorders>
              <w:top w:val="nil"/>
              <w:left w:val="nil"/>
              <w:bottom w:val="double" w:sz="6" w:space="0" w:color="auto"/>
              <w:right w:val="nil"/>
            </w:tcBorders>
            <w:shd w:val="clear" w:color="auto" w:fill="auto"/>
            <w:noWrap/>
            <w:vAlign w:val="bottom"/>
            <w:hideMark/>
          </w:tcPr>
          <w:p w14:paraId="253DCEA8"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88" w:type="dxa"/>
            <w:tcBorders>
              <w:top w:val="nil"/>
              <w:left w:val="nil"/>
              <w:bottom w:val="double" w:sz="6" w:space="0" w:color="auto"/>
              <w:right w:val="nil"/>
            </w:tcBorders>
            <w:shd w:val="clear" w:color="auto" w:fill="auto"/>
            <w:noWrap/>
            <w:vAlign w:val="bottom"/>
            <w:hideMark/>
          </w:tcPr>
          <w:p w14:paraId="4F2DCEBF" w14:textId="2797AD2F"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21,12 %</w:t>
            </w:r>
          </w:p>
        </w:tc>
        <w:tc>
          <w:tcPr>
            <w:tcW w:w="1732" w:type="dxa"/>
            <w:tcBorders>
              <w:top w:val="nil"/>
              <w:left w:val="nil"/>
              <w:bottom w:val="double" w:sz="6" w:space="0" w:color="auto"/>
              <w:right w:val="nil"/>
            </w:tcBorders>
            <w:shd w:val="clear" w:color="auto" w:fill="auto"/>
            <w:noWrap/>
            <w:vAlign w:val="center"/>
            <w:hideMark/>
          </w:tcPr>
          <w:p w14:paraId="2B615110" w14:textId="5DA69893"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+0,7 p.b.</w:t>
            </w:r>
          </w:p>
        </w:tc>
      </w:tr>
      <w:tr w:rsidR="00033A3F" w:rsidRPr="00033A3F" w14:paraId="7A85E138" w14:textId="77777777" w:rsidTr="005C68A2">
        <w:trPr>
          <w:trHeight w:val="345"/>
        </w:trPr>
        <w:tc>
          <w:tcPr>
            <w:tcW w:w="2780" w:type="dxa"/>
            <w:tcBorders>
              <w:top w:val="nil"/>
              <w:left w:val="nil"/>
              <w:bottom w:val="double" w:sz="6" w:space="0" w:color="auto"/>
              <w:right w:val="nil"/>
            </w:tcBorders>
            <w:shd w:val="clear" w:color="auto" w:fill="auto"/>
            <w:noWrap/>
            <w:vAlign w:val="bottom"/>
            <w:hideMark/>
          </w:tcPr>
          <w:p w14:paraId="08BB45CD" w14:textId="77777777" w:rsidR="005C68A2" w:rsidRPr="00033A3F" w:rsidRDefault="005C68A2" w:rsidP="005C68A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88" w:type="dxa"/>
            <w:tcBorders>
              <w:top w:val="nil"/>
              <w:left w:val="nil"/>
              <w:bottom w:val="double" w:sz="6" w:space="0" w:color="auto"/>
              <w:right w:val="nil"/>
            </w:tcBorders>
            <w:shd w:val="clear" w:color="auto" w:fill="auto"/>
            <w:noWrap/>
            <w:vAlign w:val="bottom"/>
            <w:hideMark/>
          </w:tcPr>
          <w:p w14:paraId="13718FC2" w14:textId="07066339" w:rsidR="005C68A2" w:rsidRPr="00033A3F" w:rsidRDefault="005C68A2" w:rsidP="005C68A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22,06 %</w:t>
            </w:r>
          </w:p>
        </w:tc>
        <w:tc>
          <w:tcPr>
            <w:tcW w:w="1732" w:type="dxa"/>
            <w:tcBorders>
              <w:top w:val="nil"/>
              <w:left w:val="nil"/>
              <w:bottom w:val="double" w:sz="6" w:space="0" w:color="auto"/>
              <w:right w:val="nil"/>
            </w:tcBorders>
            <w:shd w:val="clear" w:color="auto" w:fill="auto"/>
            <w:noWrap/>
            <w:vAlign w:val="center"/>
            <w:hideMark/>
          </w:tcPr>
          <w:p w14:paraId="06A4C77E" w14:textId="294D81C6" w:rsidR="005C68A2" w:rsidRPr="00033A3F" w:rsidRDefault="005C68A2" w:rsidP="005C68A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+0,6 p.b.</w:t>
            </w:r>
          </w:p>
        </w:tc>
      </w:tr>
      <w:tr w:rsidR="00033A3F" w:rsidRPr="00033A3F" w14:paraId="714E5C81" w14:textId="77777777" w:rsidTr="005C68A2">
        <w:trPr>
          <w:trHeight w:val="330"/>
        </w:trPr>
        <w:tc>
          <w:tcPr>
            <w:tcW w:w="2780" w:type="dxa"/>
            <w:tcBorders>
              <w:top w:val="nil"/>
              <w:left w:val="nil"/>
              <w:bottom w:val="nil"/>
              <w:right w:val="nil"/>
            </w:tcBorders>
            <w:shd w:val="clear" w:color="auto" w:fill="auto"/>
            <w:noWrap/>
            <w:vAlign w:val="bottom"/>
            <w:hideMark/>
          </w:tcPr>
          <w:p w14:paraId="7D1E273D" w14:textId="77777777" w:rsidR="005C68A2" w:rsidRPr="00033A3F" w:rsidRDefault="005C68A2" w:rsidP="005C68A2">
            <w:pPr>
              <w:spacing w:line="240" w:lineRule="auto"/>
              <w:jc w:val="right"/>
              <w:rPr>
                <w:rFonts w:eastAsia="Times New Roman"/>
                <w:b/>
                <w:bCs/>
                <w:color w:val="000000" w:themeColor="text1"/>
                <w:sz w:val="20"/>
                <w:szCs w:val="20"/>
                <w:lang w:eastAsia="cs-CZ"/>
              </w:rPr>
            </w:pPr>
          </w:p>
        </w:tc>
        <w:tc>
          <w:tcPr>
            <w:tcW w:w="1788" w:type="dxa"/>
            <w:tcBorders>
              <w:top w:val="nil"/>
              <w:left w:val="nil"/>
              <w:bottom w:val="nil"/>
              <w:right w:val="nil"/>
            </w:tcBorders>
            <w:shd w:val="clear" w:color="auto" w:fill="auto"/>
            <w:noWrap/>
            <w:vAlign w:val="bottom"/>
            <w:hideMark/>
          </w:tcPr>
          <w:p w14:paraId="08D43FC8" w14:textId="77777777" w:rsidR="005C68A2" w:rsidRPr="00033A3F" w:rsidRDefault="005C68A2" w:rsidP="005C68A2">
            <w:pPr>
              <w:spacing w:line="240" w:lineRule="auto"/>
              <w:jc w:val="left"/>
              <w:rPr>
                <w:rFonts w:ascii="Times New Roman" w:eastAsia="Times New Roman" w:hAnsi="Times New Roman"/>
                <w:color w:val="000000" w:themeColor="text1"/>
                <w:sz w:val="20"/>
                <w:szCs w:val="20"/>
                <w:lang w:eastAsia="cs-CZ"/>
              </w:rPr>
            </w:pPr>
          </w:p>
        </w:tc>
        <w:tc>
          <w:tcPr>
            <w:tcW w:w="1732" w:type="dxa"/>
            <w:tcBorders>
              <w:top w:val="nil"/>
              <w:left w:val="nil"/>
              <w:bottom w:val="nil"/>
              <w:right w:val="nil"/>
            </w:tcBorders>
            <w:shd w:val="clear" w:color="auto" w:fill="auto"/>
            <w:noWrap/>
            <w:vAlign w:val="bottom"/>
            <w:hideMark/>
          </w:tcPr>
          <w:p w14:paraId="519F8F6E" w14:textId="1E7DFD9D" w:rsidR="005C68A2" w:rsidRPr="00033A3F" w:rsidRDefault="005C68A2" w:rsidP="005C68A2">
            <w:pPr>
              <w:spacing w:line="240" w:lineRule="auto"/>
              <w:jc w:val="left"/>
              <w:rPr>
                <w:rFonts w:ascii="Times New Roman" w:eastAsia="Times New Roman" w:hAnsi="Times New Roman"/>
                <w:color w:val="000000" w:themeColor="text1"/>
                <w:sz w:val="20"/>
                <w:szCs w:val="20"/>
                <w:lang w:eastAsia="cs-CZ"/>
              </w:rPr>
            </w:pPr>
          </w:p>
        </w:tc>
      </w:tr>
    </w:tbl>
    <w:p w14:paraId="73A27764" w14:textId="3F47B0A2" w:rsidR="005C68A2" w:rsidRPr="00033A3F" w:rsidRDefault="005C68A2" w:rsidP="005C68A2">
      <w:pPr>
        <w:pStyle w:val="Podnadpis"/>
        <w:rPr>
          <w:color w:val="000000" w:themeColor="text1"/>
        </w:rPr>
      </w:pPr>
      <w:bookmarkStart w:id="659" w:name="_Toc515871361"/>
      <w:bookmarkStart w:id="660" w:name="_Toc11135095"/>
      <w:bookmarkStart w:id="661" w:name="_Toc43841409"/>
      <w:bookmarkStart w:id="662" w:name="_Toc75952212"/>
      <w:bookmarkStart w:id="663" w:name="_Toc106106664"/>
      <w:bookmarkStart w:id="664" w:name="_Toc109801988"/>
      <w:bookmarkStart w:id="665" w:name="_Toc144104141"/>
      <w:bookmarkStart w:id="666" w:name="_Toc169250949"/>
      <w:bookmarkStart w:id="667" w:name="_Toc174080635"/>
      <w:bookmarkStart w:id="668" w:name="_Toc193530787"/>
      <w:bookmarkStart w:id="669" w:name="_Toc193634061"/>
      <w:bookmarkStart w:id="670" w:name="_Toc203032859"/>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32</w:t>
      </w:r>
      <w:r w:rsidRPr="00033A3F">
        <w:rPr>
          <w:color w:val="000000" w:themeColor="text1"/>
        </w:rPr>
        <w:fldChar w:fldCharType="end"/>
      </w:r>
      <w:r w:rsidRPr="00033A3F">
        <w:rPr>
          <w:color w:val="000000" w:themeColor="text1"/>
        </w:rPr>
        <w:t>: OS – míra odvolání u jednotlivých soudů v trestním řízení</w:t>
      </w:r>
      <w:bookmarkEnd w:id="659"/>
      <w:bookmarkEnd w:id="660"/>
      <w:bookmarkEnd w:id="661"/>
      <w:bookmarkEnd w:id="662"/>
      <w:bookmarkEnd w:id="663"/>
      <w:bookmarkEnd w:id="664"/>
      <w:bookmarkEnd w:id="665"/>
      <w:r w:rsidRPr="00033A3F">
        <w:rPr>
          <w:color w:val="000000" w:themeColor="text1"/>
        </w:rPr>
        <w:t>, 202</w:t>
      </w:r>
      <w:bookmarkEnd w:id="666"/>
      <w:bookmarkEnd w:id="667"/>
      <w:r w:rsidR="00177E38" w:rsidRPr="00033A3F">
        <w:rPr>
          <w:color w:val="000000" w:themeColor="text1"/>
        </w:rPr>
        <w:t>4</w:t>
      </w:r>
      <w:bookmarkEnd w:id="668"/>
      <w:bookmarkEnd w:id="669"/>
      <w:bookmarkEnd w:id="670"/>
    </w:p>
    <w:p w14:paraId="53102704" w14:textId="75412B84" w:rsidR="005C68A2" w:rsidRPr="00033A3F" w:rsidRDefault="00ED1B34">
      <w:pPr>
        <w:spacing w:after="160" w:line="259" w:lineRule="auto"/>
        <w:jc w:val="left"/>
        <w:rPr>
          <w:color w:val="000000" w:themeColor="text1"/>
        </w:rPr>
      </w:pPr>
      <w:r w:rsidRPr="00033A3F">
        <w:rPr>
          <w:noProof/>
          <w:color w:val="000000" w:themeColor="text1"/>
          <w:lang w:eastAsia="cs-CZ"/>
        </w:rPr>
        <w:drawing>
          <wp:anchor distT="0" distB="0" distL="114300" distR="114300" simplePos="0" relativeHeight="251689984" behindDoc="0" locked="0" layoutInCell="1" allowOverlap="1" wp14:anchorId="7A61E948" wp14:editId="382AD109">
            <wp:simplePos x="0" y="0"/>
            <wp:positionH relativeFrom="margin">
              <wp:align>right</wp:align>
            </wp:positionH>
            <wp:positionV relativeFrom="paragraph">
              <wp:posOffset>11430</wp:posOffset>
            </wp:positionV>
            <wp:extent cx="1152525" cy="838200"/>
            <wp:effectExtent l="0" t="0" r="9525" b="0"/>
            <wp:wrapNone/>
            <wp:docPr id="616232974"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5252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E38" w:rsidRPr="00033A3F">
        <w:rPr>
          <w:noProof/>
          <w:color w:val="000000" w:themeColor="text1"/>
          <w:lang w:eastAsia="cs-CZ"/>
        </w:rPr>
        <w:drawing>
          <wp:inline distT="0" distB="0" distL="0" distR="0" wp14:anchorId="14D62C28" wp14:editId="626441CD">
            <wp:extent cx="5760720" cy="3296920"/>
            <wp:effectExtent l="0" t="0" r="0" b="0"/>
            <wp:docPr id="1872284379"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058DAF7C" w14:textId="77777777" w:rsidR="00177E38" w:rsidRPr="00033A3F" w:rsidRDefault="00177E38" w:rsidP="005C68A2">
      <w:pPr>
        <w:pStyle w:val="OdstavecASR"/>
        <w:rPr>
          <w:color w:val="000000" w:themeColor="text1"/>
        </w:rPr>
      </w:pPr>
    </w:p>
    <w:p w14:paraId="60CB4E78" w14:textId="6B1E541C" w:rsidR="005C68A2" w:rsidRPr="00033A3F" w:rsidRDefault="005C68A2" w:rsidP="005C68A2">
      <w:pPr>
        <w:pStyle w:val="OdstavecASR"/>
        <w:rPr>
          <w:color w:val="000000" w:themeColor="text1"/>
        </w:rPr>
      </w:pPr>
      <w:r w:rsidRPr="00033A3F">
        <w:rPr>
          <w:color w:val="000000" w:themeColor="text1"/>
        </w:rPr>
        <w:t>Soudy s nejnižší mírou odvolání v roce 2024 jsou OS Děčín (9,61 %), OS Prachatice (9,90 %) a OS Ústí nad Labem (10,27 %). Nejvyšší míra odvolání naopak je u OS pro Prahu 1 (38,03 %), OS Pardubice (37,32 %) a OS Plzeň-město (34,12 %).</w:t>
      </w:r>
    </w:p>
    <w:p w14:paraId="728E4AE6" w14:textId="77777777" w:rsidR="005C68A2" w:rsidRPr="00033A3F" w:rsidRDefault="005C68A2" w:rsidP="005C68A2">
      <w:pPr>
        <w:pStyle w:val="OdstavecASR"/>
        <w:keepNext/>
        <w:rPr>
          <w:color w:val="000000" w:themeColor="text1"/>
        </w:rPr>
      </w:pPr>
      <w:r w:rsidRPr="00033A3F">
        <w:rPr>
          <w:color w:val="000000" w:themeColor="text1"/>
        </w:rPr>
        <w:t>Při pohledu na data o míře odvolání je třeba poukázat na několik věcí:</w:t>
      </w:r>
    </w:p>
    <w:p w14:paraId="57DC5CAE" w14:textId="77777777" w:rsidR="005C68A2" w:rsidRPr="00033A3F" w:rsidRDefault="005C68A2" w:rsidP="005C68A2">
      <w:pPr>
        <w:pStyle w:val="OdstavecASR"/>
        <w:numPr>
          <w:ilvl w:val="0"/>
          <w:numId w:val="8"/>
        </w:numPr>
        <w:rPr>
          <w:color w:val="000000" w:themeColor="text1"/>
        </w:rPr>
      </w:pPr>
      <w:r w:rsidRPr="00033A3F">
        <w:rPr>
          <w:color w:val="000000" w:themeColor="text1"/>
        </w:rPr>
        <w:t>Míra odvolání v trestním řízení je vysoká – asi třikrát vyšší než v řízení občanskoprávním. Odvolání je podáno přibližně v každém čtvrtém až pátém trestním řízení u okresního soudu.</w:t>
      </w:r>
    </w:p>
    <w:p w14:paraId="3BDC5441" w14:textId="421BDB42" w:rsidR="005C68A2" w:rsidRPr="00033A3F" w:rsidRDefault="005C68A2" w:rsidP="005C68A2">
      <w:pPr>
        <w:pStyle w:val="OdstavecASR"/>
        <w:numPr>
          <w:ilvl w:val="0"/>
          <w:numId w:val="8"/>
        </w:numPr>
        <w:rPr>
          <w:color w:val="000000" w:themeColor="text1"/>
        </w:rPr>
      </w:pPr>
      <w:r w:rsidRPr="00033A3F">
        <w:rPr>
          <w:color w:val="000000" w:themeColor="text1"/>
        </w:rPr>
        <w:t xml:space="preserve">Na celorepublikové úrovni </w:t>
      </w:r>
      <w:r w:rsidR="005557B3" w:rsidRPr="00033A3F">
        <w:rPr>
          <w:color w:val="000000" w:themeColor="text1"/>
        </w:rPr>
        <w:t xml:space="preserve">se </w:t>
      </w:r>
      <w:r w:rsidRPr="00033A3F">
        <w:rPr>
          <w:color w:val="000000" w:themeColor="text1"/>
        </w:rPr>
        <w:t>míra odvolání</w:t>
      </w:r>
      <w:r w:rsidR="00823117" w:rsidRPr="00033A3F">
        <w:rPr>
          <w:color w:val="000000" w:themeColor="text1"/>
        </w:rPr>
        <w:t xml:space="preserve"> příliš nemění,</w:t>
      </w:r>
      <w:r w:rsidRPr="00033A3F">
        <w:rPr>
          <w:color w:val="000000" w:themeColor="text1"/>
        </w:rPr>
        <w:t xml:space="preserve"> na úrovni krajů</w:t>
      </w:r>
      <w:r w:rsidR="00823117" w:rsidRPr="00033A3F">
        <w:rPr>
          <w:color w:val="000000" w:themeColor="text1"/>
        </w:rPr>
        <w:t xml:space="preserve"> </w:t>
      </w:r>
      <w:r w:rsidRPr="00033A3F">
        <w:rPr>
          <w:color w:val="000000" w:themeColor="text1"/>
        </w:rPr>
        <w:t>jsou patrné větší odchylky, stále však nijak zásadní. U jednotlivých soudů se míra odvolání může mezi roky lišit nejvýrazněji.</w:t>
      </w:r>
    </w:p>
    <w:p w14:paraId="0E9921AD" w14:textId="4FFF5FA0" w:rsidR="005C68A2" w:rsidRPr="00033A3F" w:rsidRDefault="005C68A2" w:rsidP="005C68A2">
      <w:pPr>
        <w:pStyle w:val="OdstavecASR"/>
        <w:numPr>
          <w:ilvl w:val="0"/>
          <w:numId w:val="8"/>
        </w:numPr>
        <w:rPr>
          <w:color w:val="000000" w:themeColor="text1"/>
        </w:rPr>
      </w:pPr>
      <w:r w:rsidRPr="00033A3F">
        <w:rPr>
          <w:color w:val="000000" w:themeColor="text1"/>
        </w:rPr>
        <w:t>V míře odvolání jsou mezi jednotlivými soudy velké rozdíly – až čtyřnásobek u soudů s nejvyšší mírou odvolání oproti soudům s nejnižší mírou odvolání</w:t>
      </w:r>
      <w:r w:rsidR="00E04EF9" w:rsidRPr="00033A3F">
        <w:rPr>
          <w:color w:val="000000" w:themeColor="text1"/>
        </w:rPr>
        <w:t xml:space="preserve"> (v několika předchozích letech to však byl až šestinásobek)</w:t>
      </w:r>
      <w:r w:rsidRPr="00033A3F">
        <w:rPr>
          <w:color w:val="000000" w:themeColor="text1"/>
        </w:rPr>
        <w:t>.</w:t>
      </w:r>
    </w:p>
    <w:p w14:paraId="23AD9815" w14:textId="00FBD68E" w:rsidR="005C68A2" w:rsidRPr="00033A3F" w:rsidRDefault="005C68A2" w:rsidP="005C68A2">
      <w:pPr>
        <w:pStyle w:val="OdstavecASR"/>
        <w:numPr>
          <w:ilvl w:val="0"/>
          <w:numId w:val="8"/>
        </w:numPr>
        <w:rPr>
          <w:color w:val="000000" w:themeColor="text1"/>
        </w:rPr>
      </w:pPr>
      <w:r w:rsidRPr="00033A3F">
        <w:rPr>
          <w:color w:val="000000" w:themeColor="text1"/>
        </w:rPr>
        <w:t xml:space="preserve">Nejvyšší míra odvolání je </w:t>
      </w:r>
      <w:r w:rsidR="00E04EF9" w:rsidRPr="00033A3F">
        <w:rPr>
          <w:color w:val="000000" w:themeColor="text1"/>
        </w:rPr>
        <w:t>již stabilně</w:t>
      </w:r>
      <w:r w:rsidRPr="00033A3F">
        <w:rPr>
          <w:color w:val="000000" w:themeColor="text1"/>
        </w:rPr>
        <w:t xml:space="preserve"> </w:t>
      </w:r>
      <w:r w:rsidR="00782099" w:rsidRPr="00033A3F">
        <w:rPr>
          <w:color w:val="000000" w:themeColor="text1"/>
        </w:rPr>
        <w:t>v Praze</w:t>
      </w:r>
      <w:r w:rsidRPr="00033A3F">
        <w:rPr>
          <w:color w:val="000000" w:themeColor="text1"/>
        </w:rPr>
        <w:t xml:space="preserve"> a suverénně nejnižší </w:t>
      </w:r>
      <w:r w:rsidR="005557B3" w:rsidRPr="00033A3F">
        <w:rPr>
          <w:color w:val="000000" w:themeColor="text1"/>
        </w:rPr>
        <w:t>je také již několik let</w:t>
      </w:r>
      <w:r w:rsidRPr="00033A3F">
        <w:rPr>
          <w:color w:val="000000" w:themeColor="text1"/>
        </w:rPr>
        <w:t xml:space="preserve"> v Severočeském kraji. Částečně to zřejmě souvisí s rozdílnou agendou a s rozdíly v socioekonomických ukazatelích, uspokojivé vysvětlení pro takto markantní rozdíl to však není. Rozdíly jsou totiž někdy značné i v rámci jednoho kraje.</w:t>
      </w:r>
    </w:p>
    <w:p w14:paraId="013080EE" w14:textId="766C0119" w:rsidR="003F0957" w:rsidRPr="00033A3F" w:rsidRDefault="003F0957" w:rsidP="005C68A2">
      <w:pPr>
        <w:pStyle w:val="OdstavecASR"/>
        <w:numPr>
          <w:ilvl w:val="0"/>
          <w:numId w:val="8"/>
        </w:numPr>
        <w:rPr>
          <w:color w:val="000000" w:themeColor="text1"/>
        </w:rPr>
      </w:pPr>
      <w:r w:rsidRPr="00033A3F">
        <w:rPr>
          <w:color w:val="000000" w:themeColor="text1"/>
        </w:rPr>
        <w:t>Pro úplnost doplňujeme, že míra odvolání je očištěna o věci, kde došlo k dohodě o vině a</w:t>
      </w:r>
      <w:r w:rsidR="0057327F">
        <w:rPr>
          <w:color w:val="000000" w:themeColor="text1"/>
        </w:rPr>
        <w:t> </w:t>
      </w:r>
      <w:r w:rsidRPr="00033A3F">
        <w:rPr>
          <w:color w:val="000000" w:themeColor="text1"/>
        </w:rPr>
        <w:t>trestu, ale ne o věci, kde osoba obviněná</w:t>
      </w:r>
      <w:r w:rsidR="00E112AF">
        <w:rPr>
          <w:color w:val="000000" w:themeColor="text1"/>
        </w:rPr>
        <w:t xml:space="preserve"> </w:t>
      </w:r>
      <w:r w:rsidRPr="00033A3F">
        <w:rPr>
          <w:color w:val="000000" w:themeColor="text1"/>
        </w:rPr>
        <w:t>v řízení před soudem učinila prohlášení viny podle § 206c tr. ř. I když soud přiznání viny přijme, může jít jen o přiznání viny za některé skutky nebo</w:t>
      </w:r>
      <w:r w:rsidR="00E112AF">
        <w:rPr>
          <w:color w:val="000000" w:themeColor="text1"/>
        </w:rPr>
        <w:t xml:space="preserve"> obviněná osoba</w:t>
      </w:r>
      <w:r w:rsidRPr="00033A3F">
        <w:rPr>
          <w:color w:val="000000" w:themeColor="text1"/>
        </w:rPr>
        <w:t xml:space="preserve"> nesouhlasí s výší trestu. V takovýchto případech se </w:t>
      </w:r>
      <w:r w:rsidR="00322B63">
        <w:rPr>
          <w:color w:val="000000" w:themeColor="text1"/>
        </w:rPr>
        <w:t>odsouzené</w:t>
      </w:r>
      <w:r w:rsidR="00E112AF">
        <w:rPr>
          <w:color w:val="000000" w:themeColor="text1"/>
        </w:rPr>
        <w:t xml:space="preserve"> osoby</w:t>
      </w:r>
      <w:r w:rsidRPr="00033A3F">
        <w:rPr>
          <w:color w:val="000000" w:themeColor="text1"/>
        </w:rPr>
        <w:t xml:space="preserve"> mohou odvolat (a také odvolávají)</w:t>
      </w:r>
      <w:r w:rsidR="0004686F" w:rsidRPr="00033A3F">
        <w:rPr>
          <w:color w:val="000000" w:themeColor="text1"/>
        </w:rPr>
        <w:t>.</w:t>
      </w:r>
    </w:p>
    <w:p w14:paraId="609C0CAE" w14:textId="013FEEF6" w:rsidR="00782099" w:rsidRPr="00033A3F" w:rsidRDefault="00782099" w:rsidP="00782099">
      <w:pPr>
        <w:pStyle w:val="OdstavecASR"/>
        <w:keepNext/>
        <w:outlineLvl w:val="3"/>
        <w:rPr>
          <w:b/>
          <w:bCs/>
          <w:color w:val="000000" w:themeColor="text1"/>
        </w:rPr>
      </w:pPr>
      <w:r w:rsidRPr="00033A3F">
        <w:rPr>
          <w:b/>
          <w:bCs/>
          <w:color w:val="000000" w:themeColor="text1"/>
        </w:rPr>
        <w:lastRenderedPageBreak/>
        <w:t>Míra změny rozsudku</w:t>
      </w:r>
    </w:p>
    <w:p w14:paraId="5D9F660C" w14:textId="77777777" w:rsidR="00782099" w:rsidRPr="00033A3F" w:rsidRDefault="00782099" w:rsidP="00782099">
      <w:pPr>
        <w:pStyle w:val="OdstavecASR"/>
        <w:rPr>
          <w:color w:val="000000" w:themeColor="text1"/>
        </w:rPr>
      </w:pPr>
      <w:r w:rsidRPr="00033A3F">
        <w:rPr>
          <w:color w:val="000000" w:themeColor="text1"/>
        </w:rPr>
        <w:t>Dalším sledovaným ukazatelem je míra změny rozsudku. Jedná se o podíl věcí v procentech, ve kterých odvolací soud na základě odvolání změnil rozhodnutí soudu I. stupně. Jako změna rozsudku jsou započítány věci, v nichž bylo odvolání vyhověno, ale i případy, kdy bylo rozhodnutí soudu I. stupně odvolacím soudem zrušeno a vráceno soudu I. stupně.</w:t>
      </w:r>
    </w:p>
    <w:p w14:paraId="471AB758" w14:textId="4F835231" w:rsidR="00782099" w:rsidRPr="00033A3F" w:rsidRDefault="00782099" w:rsidP="00782099">
      <w:pPr>
        <w:pStyle w:val="Podnadpis"/>
        <w:rPr>
          <w:color w:val="000000" w:themeColor="text1"/>
        </w:rPr>
      </w:pPr>
      <w:bookmarkStart w:id="671" w:name="_Toc75952328"/>
      <w:bookmarkStart w:id="672" w:name="_Toc106106786"/>
      <w:bookmarkStart w:id="673" w:name="_Toc109802109"/>
      <w:bookmarkStart w:id="674" w:name="_Toc144104265"/>
      <w:bookmarkStart w:id="675" w:name="_Toc169251081"/>
      <w:bookmarkStart w:id="676" w:name="_Toc174080767"/>
      <w:bookmarkStart w:id="677" w:name="_Toc193530900"/>
      <w:bookmarkStart w:id="678" w:name="_Toc194045595"/>
      <w:bookmarkStart w:id="679" w:name="_Toc199495004"/>
      <w:bookmarkStart w:id="680" w:name="_Toc203033064"/>
      <w:bookmarkStart w:id="681" w:name="_Toc203033142"/>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22</w:t>
      </w:r>
      <w:r w:rsidRPr="00033A3F">
        <w:rPr>
          <w:noProof/>
          <w:color w:val="000000" w:themeColor="text1"/>
        </w:rPr>
        <w:fldChar w:fldCharType="end"/>
      </w:r>
      <w:r w:rsidRPr="00033A3F">
        <w:rPr>
          <w:color w:val="000000" w:themeColor="text1"/>
        </w:rPr>
        <w:t>: OS – míra změny rozsudku dle krajů v trestním řízení</w:t>
      </w:r>
      <w:bookmarkEnd w:id="671"/>
      <w:bookmarkEnd w:id="672"/>
      <w:bookmarkEnd w:id="673"/>
      <w:bookmarkEnd w:id="674"/>
      <w:r w:rsidRPr="00033A3F">
        <w:rPr>
          <w:color w:val="000000" w:themeColor="text1"/>
        </w:rPr>
        <w:t xml:space="preserve">, </w:t>
      </w:r>
      <w:bookmarkEnd w:id="675"/>
      <w:bookmarkEnd w:id="676"/>
      <w:r w:rsidR="00936B01" w:rsidRPr="00033A3F">
        <w:rPr>
          <w:color w:val="000000" w:themeColor="text1"/>
        </w:rPr>
        <w:t>2024</w:t>
      </w:r>
      <w:bookmarkEnd w:id="677"/>
      <w:bookmarkEnd w:id="678"/>
      <w:bookmarkEnd w:id="679"/>
      <w:bookmarkEnd w:id="680"/>
      <w:bookmarkEnd w:id="681"/>
    </w:p>
    <w:tbl>
      <w:tblPr>
        <w:tblW w:w="6980" w:type="dxa"/>
        <w:tblCellMar>
          <w:left w:w="70" w:type="dxa"/>
          <w:right w:w="70" w:type="dxa"/>
        </w:tblCellMar>
        <w:tblLook w:val="04A0" w:firstRow="1" w:lastRow="0" w:firstColumn="1" w:lastColumn="0" w:noHBand="0" w:noVBand="1"/>
      </w:tblPr>
      <w:tblGrid>
        <w:gridCol w:w="2780"/>
        <w:gridCol w:w="2190"/>
        <w:gridCol w:w="2010"/>
      </w:tblGrid>
      <w:tr w:rsidR="00033A3F" w:rsidRPr="00033A3F" w14:paraId="0B53DF2C" w14:textId="77777777" w:rsidTr="00782099">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BB7E237" w14:textId="77777777" w:rsidR="00782099" w:rsidRPr="00033A3F" w:rsidRDefault="00782099" w:rsidP="0078209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086E5231" w14:textId="6B04BCD0" w:rsidR="00782099" w:rsidRPr="00033A3F" w:rsidRDefault="00782099" w:rsidP="0078209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změny rozsudku</w:t>
            </w:r>
          </w:p>
        </w:tc>
      </w:tr>
      <w:tr w:rsidR="00033A3F" w:rsidRPr="00033A3F" w14:paraId="79E40B5E" w14:textId="77777777" w:rsidTr="00782099">
        <w:trPr>
          <w:trHeight w:val="330"/>
        </w:trPr>
        <w:tc>
          <w:tcPr>
            <w:tcW w:w="2780" w:type="dxa"/>
            <w:tcBorders>
              <w:top w:val="nil"/>
              <w:left w:val="nil"/>
              <w:bottom w:val="single" w:sz="4" w:space="0" w:color="auto"/>
              <w:right w:val="nil"/>
            </w:tcBorders>
            <w:shd w:val="clear" w:color="auto" w:fill="auto"/>
            <w:noWrap/>
            <w:vAlign w:val="bottom"/>
            <w:hideMark/>
          </w:tcPr>
          <w:p w14:paraId="2BA54565"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2190" w:type="dxa"/>
            <w:tcBorders>
              <w:top w:val="nil"/>
              <w:left w:val="nil"/>
              <w:bottom w:val="single" w:sz="4" w:space="0" w:color="auto"/>
              <w:right w:val="nil"/>
            </w:tcBorders>
            <w:shd w:val="clear" w:color="auto" w:fill="auto"/>
            <w:noWrap/>
            <w:vAlign w:val="bottom"/>
            <w:hideMark/>
          </w:tcPr>
          <w:p w14:paraId="7E64062F" w14:textId="44C78A01"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39,78 %</w:t>
            </w:r>
          </w:p>
        </w:tc>
        <w:tc>
          <w:tcPr>
            <w:tcW w:w="2010" w:type="dxa"/>
            <w:tcBorders>
              <w:top w:val="nil"/>
              <w:left w:val="nil"/>
              <w:bottom w:val="single" w:sz="4" w:space="0" w:color="auto"/>
              <w:right w:val="nil"/>
            </w:tcBorders>
            <w:shd w:val="clear" w:color="auto" w:fill="auto"/>
            <w:noWrap/>
            <w:vAlign w:val="center"/>
            <w:hideMark/>
          </w:tcPr>
          <w:p w14:paraId="5E4E38C0" w14:textId="326E1A7E"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p.b.</w:t>
            </w:r>
          </w:p>
        </w:tc>
      </w:tr>
      <w:tr w:rsidR="00033A3F" w:rsidRPr="00033A3F" w14:paraId="74DA1F2B"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3C950B63"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2190" w:type="dxa"/>
            <w:tcBorders>
              <w:top w:val="nil"/>
              <w:left w:val="nil"/>
              <w:bottom w:val="single" w:sz="4" w:space="0" w:color="auto"/>
              <w:right w:val="nil"/>
            </w:tcBorders>
            <w:shd w:val="clear" w:color="auto" w:fill="auto"/>
            <w:noWrap/>
            <w:vAlign w:val="bottom"/>
            <w:hideMark/>
          </w:tcPr>
          <w:p w14:paraId="3CE2A0B8" w14:textId="26719E82"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33,28 %</w:t>
            </w:r>
          </w:p>
        </w:tc>
        <w:tc>
          <w:tcPr>
            <w:tcW w:w="2010" w:type="dxa"/>
            <w:tcBorders>
              <w:top w:val="nil"/>
              <w:left w:val="nil"/>
              <w:bottom w:val="single" w:sz="4" w:space="0" w:color="auto"/>
              <w:right w:val="nil"/>
            </w:tcBorders>
            <w:shd w:val="clear" w:color="auto" w:fill="auto"/>
            <w:noWrap/>
            <w:vAlign w:val="center"/>
            <w:hideMark/>
          </w:tcPr>
          <w:p w14:paraId="5D3C7ED2" w14:textId="72B895B7"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-3,5 p.b.</w:t>
            </w:r>
          </w:p>
        </w:tc>
      </w:tr>
      <w:tr w:rsidR="00033A3F" w:rsidRPr="00033A3F" w14:paraId="61C93D32"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6EEAAF80"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2190" w:type="dxa"/>
            <w:tcBorders>
              <w:top w:val="nil"/>
              <w:left w:val="nil"/>
              <w:bottom w:val="single" w:sz="4" w:space="0" w:color="auto"/>
              <w:right w:val="nil"/>
            </w:tcBorders>
            <w:shd w:val="clear" w:color="auto" w:fill="auto"/>
            <w:noWrap/>
            <w:vAlign w:val="bottom"/>
            <w:hideMark/>
          </w:tcPr>
          <w:p w14:paraId="3C5BBD82" w14:textId="3552CC55"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36,36 %</w:t>
            </w:r>
          </w:p>
        </w:tc>
        <w:tc>
          <w:tcPr>
            <w:tcW w:w="2010" w:type="dxa"/>
            <w:tcBorders>
              <w:top w:val="nil"/>
              <w:left w:val="nil"/>
              <w:bottom w:val="single" w:sz="4" w:space="0" w:color="auto"/>
              <w:right w:val="nil"/>
            </w:tcBorders>
            <w:shd w:val="clear" w:color="auto" w:fill="auto"/>
            <w:noWrap/>
            <w:vAlign w:val="center"/>
            <w:hideMark/>
          </w:tcPr>
          <w:p w14:paraId="2681EF62" w14:textId="78E11187"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p.b.</w:t>
            </w:r>
          </w:p>
        </w:tc>
      </w:tr>
      <w:tr w:rsidR="00033A3F" w:rsidRPr="00033A3F" w14:paraId="0C8B7B78"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003D82A8"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2190" w:type="dxa"/>
            <w:tcBorders>
              <w:top w:val="nil"/>
              <w:left w:val="nil"/>
              <w:bottom w:val="single" w:sz="4" w:space="0" w:color="auto"/>
              <w:right w:val="nil"/>
            </w:tcBorders>
            <w:shd w:val="clear" w:color="auto" w:fill="auto"/>
            <w:noWrap/>
            <w:vAlign w:val="bottom"/>
            <w:hideMark/>
          </w:tcPr>
          <w:p w14:paraId="52CA1230" w14:textId="6FD22B7B"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49,31 %</w:t>
            </w:r>
          </w:p>
        </w:tc>
        <w:tc>
          <w:tcPr>
            <w:tcW w:w="2010" w:type="dxa"/>
            <w:tcBorders>
              <w:top w:val="nil"/>
              <w:left w:val="nil"/>
              <w:bottom w:val="single" w:sz="4" w:space="0" w:color="auto"/>
              <w:right w:val="nil"/>
            </w:tcBorders>
            <w:shd w:val="clear" w:color="auto" w:fill="auto"/>
            <w:noWrap/>
            <w:vAlign w:val="center"/>
            <w:hideMark/>
          </w:tcPr>
          <w:p w14:paraId="2D28AD42" w14:textId="25453530"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-2,7 p.b.</w:t>
            </w:r>
          </w:p>
        </w:tc>
      </w:tr>
      <w:tr w:rsidR="00033A3F" w:rsidRPr="00033A3F" w14:paraId="6F4574A4"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5E0C70CD"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2190" w:type="dxa"/>
            <w:tcBorders>
              <w:top w:val="nil"/>
              <w:left w:val="nil"/>
              <w:bottom w:val="single" w:sz="4" w:space="0" w:color="auto"/>
              <w:right w:val="nil"/>
            </w:tcBorders>
            <w:shd w:val="clear" w:color="auto" w:fill="auto"/>
            <w:noWrap/>
            <w:vAlign w:val="bottom"/>
            <w:hideMark/>
          </w:tcPr>
          <w:p w14:paraId="1E5049E2" w14:textId="2AFB4BDA"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49,71 %</w:t>
            </w:r>
          </w:p>
        </w:tc>
        <w:tc>
          <w:tcPr>
            <w:tcW w:w="2010" w:type="dxa"/>
            <w:tcBorders>
              <w:top w:val="nil"/>
              <w:left w:val="nil"/>
              <w:bottom w:val="single" w:sz="4" w:space="0" w:color="auto"/>
              <w:right w:val="nil"/>
            </w:tcBorders>
            <w:shd w:val="clear" w:color="auto" w:fill="auto"/>
            <w:noWrap/>
            <w:vAlign w:val="center"/>
            <w:hideMark/>
          </w:tcPr>
          <w:p w14:paraId="092F1BAD" w14:textId="4C09D00F"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+0,1 p.b.</w:t>
            </w:r>
          </w:p>
        </w:tc>
      </w:tr>
      <w:tr w:rsidR="00033A3F" w:rsidRPr="00033A3F" w14:paraId="0890BB8D"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5698ABA4"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2190" w:type="dxa"/>
            <w:tcBorders>
              <w:top w:val="nil"/>
              <w:left w:val="nil"/>
              <w:bottom w:val="single" w:sz="4" w:space="0" w:color="auto"/>
              <w:right w:val="nil"/>
            </w:tcBorders>
            <w:shd w:val="clear" w:color="auto" w:fill="auto"/>
            <w:noWrap/>
            <w:vAlign w:val="bottom"/>
            <w:hideMark/>
          </w:tcPr>
          <w:p w14:paraId="39FD9A5B" w14:textId="73704810"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30,49 %</w:t>
            </w:r>
          </w:p>
        </w:tc>
        <w:tc>
          <w:tcPr>
            <w:tcW w:w="2010" w:type="dxa"/>
            <w:tcBorders>
              <w:top w:val="nil"/>
              <w:left w:val="nil"/>
              <w:bottom w:val="single" w:sz="4" w:space="0" w:color="auto"/>
              <w:right w:val="nil"/>
            </w:tcBorders>
            <w:shd w:val="clear" w:color="auto" w:fill="auto"/>
            <w:noWrap/>
            <w:vAlign w:val="center"/>
            <w:hideMark/>
          </w:tcPr>
          <w:p w14:paraId="51175E7D" w14:textId="4F774E97"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p.b.</w:t>
            </w:r>
          </w:p>
        </w:tc>
      </w:tr>
      <w:tr w:rsidR="00033A3F" w:rsidRPr="00033A3F" w14:paraId="7C574B6C"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3377D768"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2190" w:type="dxa"/>
            <w:tcBorders>
              <w:top w:val="nil"/>
              <w:left w:val="nil"/>
              <w:bottom w:val="single" w:sz="4" w:space="0" w:color="auto"/>
              <w:right w:val="nil"/>
            </w:tcBorders>
            <w:shd w:val="clear" w:color="auto" w:fill="auto"/>
            <w:noWrap/>
            <w:vAlign w:val="bottom"/>
            <w:hideMark/>
          </w:tcPr>
          <w:p w14:paraId="178F79B0" w14:textId="79F4775E"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24,15 %</w:t>
            </w:r>
          </w:p>
        </w:tc>
        <w:tc>
          <w:tcPr>
            <w:tcW w:w="2010" w:type="dxa"/>
            <w:tcBorders>
              <w:top w:val="nil"/>
              <w:left w:val="nil"/>
              <w:bottom w:val="single" w:sz="4" w:space="0" w:color="auto"/>
              <w:right w:val="nil"/>
            </w:tcBorders>
            <w:shd w:val="clear" w:color="auto" w:fill="auto"/>
            <w:noWrap/>
            <w:vAlign w:val="center"/>
            <w:hideMark/>
          </w:tcPr>
          <w:p w14:paraId="763C24A9" w14:textId="6588D86C"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-5,1 p.b.</w:t>
            </w:r>
          </w:p>
        </w:tc>
      </w:tr>
      <w:tr w:rsidR="00033A3F" w:rsidRPr="00033A3F" w14:paraId="1B54D8F6" w14:textId="77777777" w:rsidTr="00782099">
        <w:trPr>
          <w:trHeight w:val="330"/>
        </w:trPr>
        <w:tc>
          <w:tcPr>
            <w:tcW w:w="2780" w:type="dxa"/>
            <w:tcBorders>
              <w:top w:val="nil"/>
              <w:left w:val="nil"/>
              <w:bottom w:val="double" w:sz="6" w:space="0" w:color="auto"/>
              <w:right w:val="nil"/>
            </w:tcBorders>
            <w:shd w:val="clear" w:color="auto" w:fill="auto"/>
            <w:noWrap/>
            <w:vAlign w:val="bottom"/>
            <w:hideMark/>
          </w:tcPr>
          <w:p w14:paraId="3BF55AF5"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2190" w:type="dxa"/>
            <w:tcBorders>
              <w:top w:val="nil"/>
              <w:left w:val="nil"/>
              <w:bottom w:val="double" w:sz="6" w:space="0" w:color="auto"/>
              <w:right w:val="nil"/>
            </w:tcBorders>
            <w:shd w:val="clear" w:color="auto" w:fill="auto"/>
            <w:noWrap/>
            <w:vAlign w:val="bottom"/>
            <w:hideMark/>
          </w:tcPr>
          <w:p w14:paraId="4EAF320F" w14:textId="7F0A5B20"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45,10 %</w:t>
            </w:r>
          </w:p>
        </w:tc>
        <w:tc>
          <w:tcPr>
            <w:tcW w:w="2010" w:type="dxa"/>
            <w:tcBorders>
              <w:top w:val="nil"/>
              <w:left w:val="nil"/>
              <w:bottom w:val="double" w:sz="6" w:space="0" w:color="auto"/>
              <w:right w:val="nil"/>
            </w:tcBorders>
            <w:shd w:val="clear" w:color="auto" w:fill="auto"/>
            <w:noWrap/>
            <w:vAlign w:val="center"/>
            <w:hideMark/>
          </w:tcPr>
          <w:p w14:paraId="3220471C" w14:textId="2DF7EF43"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p.b.</w:t>
            </w:r>
          </w:p>
        </w:tc>
      </w:tr>
      <w:tr w:rsidR="00033A3F" w:rsidRPr="00033A3F" w14:paraId="694FECBD" w14:textId="77777777" w:rsidTr="00782099">
        <w:trPr>
          <w:trHeight w:val="345"/>
        </w:trPr>
        <w:tc>
          <w:tcPr>
            <w:tcW w:w="2780" w:type="dxa"/>
            <w:tcBorders>
              <w:top w:val="nil"/>
              <w:left w:val="nil"/>
              <w:bottom w:val="double" w:sz="6" w:space="0" w:color="auto"/>
              <w:right w:val="nil"/>
            </w:tcBorders>
            <w:shd w:val="clear" w:color="auto" w:fill="auto"/>
            <w:noWrap/>
            <w:vAlign w:val="bottom"/>
            <w:hideMark/>
          </w:tcPr>
          <w:p w14:paraId="21141C67" w14:textId="77777777" w:rsidR="00782099" w:rsidRPr="00033A3F" w:rsidRDefault="00782099" w:rsidP="00782099">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2190" w:type="dxa"/>
            <w:tcBorders>
              <w:top w:val="nil"/>
              <w:left w:val="nil"/>
              <w:bottom w:val="double" w:sz="6" w:space="0" w:color="auto"/>
              <w:right w:val="nil"/>
            </w:tcBorders>
            <w:shd w:val="clear" w:color="auto" w:fill="auto"/>
            <w:noWrap/>
            <w:vAlign w:val="bottom"/>
            <w:hideMark/>
          </w:tcPr>
          <w:p w14:paraId="1B925664" w14:textId="5E40E6E5" w:rsidR="00782099" w:rsidRPr="00033A3F" w:rsidRDefault="00782099" w:rsidP="0078209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38,98 %</w:t>
            </w:r>
          </w:p>
        </w:tc>
        <w:tc>
          <w:tcPr>
            <w:tcW w:w="2010" w:type="dxa"/>
            <w:tcBorders>
              <w:top w:val="nil"/>
              <w:left w:val="nil"/>
              <w:bottom w:val="double" w:sz="6" w:space="0" w:color="auto"/>
              <w:right w:val="nil"/>
            </w:tcBorders>
            <w:shd w:val="clear" w:color="auto" w:fill="auto"/>
            <w:noWrap/>
            <w:vAlign w:val="center"/>
            <w:hideMark/>
          </w:tcPr>
          <w:p w14:paraId="5808EBEE" w14:textId="4B297F17" w:rsidR="00782099" w:rsidRPr="00033A3F" w:rsidRDefault="00782099" w:rsidP="00177E38">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-1,5 p.b.</w:t>
            </w:r>
          </w:p>
        </w:tc>
      </w:tr>
      <w:tr w:rsidR="00033A3F" w:rsidRPr="00033A3F" w14:paraId="4A4ADC0E" w14:textId="77777777" w:rsidTr="00782099">
        <w:trPr>
          <w:trHeight w:val="330"/>
        </w:trPr>
        <w:tc>
          <w:tcPr>
            <w:tcW w:w="2780" w:type="dxa"/>
            <w:tcBorders>
              <w:top w:val="nil"/>
              <w:left w:val="nil"/>
              <w:bottom w:val="nil"/>
              <w:right w:val="nil"/>
            </w:tcBorders>
            <w:shd w:val="clear" w:color="auto" w:fill="auto"/>
            <w:noWrap/>
            <w:vAlign w:val="bottom"/>
            <w:hideMark/>
          </w:tcPr>
          <w:p w14:paraId="3A3A025A" w14:textId="77777777" w:rsidR="00782099" w:rsidRPr="00033A3F" w:rsidRDefault="00782099" w:rsidP="00782099">
            <w:pPr>
              <w:spacing w:line="240" w:lineRule="auto"/>
              <w:jc w:val="right"/>
              <w:rPr>
                <w:rFonts w:eastAsia="Times New Roman"/>
                <w:b/>
                <w:bCs/>
                <w:color w:val="000000" w:themeColor="text1"/>
                <w:sz w:val="20"/>
                <w:szCs w:val="20"/>
                <w:lang w:eastAsia="cs-CZ"/>
              </w:rPr>
            </w:pPr>
          </w:p>
        </w:tc>
        <w:tc>
          <w:tcPr>
            <w:tcW w:w="2190" w:type="dxa"/>
            <w:tcBorders>
              <w:top w:val="nil"/>
              <w:left w:val="nil"/>
              <w:bottom w:val="nil"/>
              <w:right w:val="nil"/>
            </w:tcBorders>
            <w:shd w:val="clear" w:color="auto" w:fill="auto"/>
            <w:noWrap/>
            <w:vAlign w:val="bottom"/>
            <w:hideMark/>
          </w:tcPr>
          <w:p w14:paraId="5E78FB8E" w14:textId="77777777" w:rsidR="00782099" w:rsidRPr="00033A3F" w:rsidRDefault="00782099" w:rsidP="00782099">
            <w:pPr>
              <w:spacing w:line="240" w:lineRule="auto"/>
              <w:jc w:val="left"/>
              <w:rPr>
                <w:rFonts w:ascii="Times New Roman" w:eastAsia="Times New Roman" w:hAnsi="Times New Roman"/>
                <w:color w:val="000000" w:themeColor="text1"/>
                <w:sz w:val="20"/>
                <w:szCs w:val="20"/>
                <w:lang w:eastAsia="cs-CZ"/>
              </w:rPr>
            </w:pPr>
          </w:p>
        </w:tc>
        <w:tc>
          <w:tcPr>
            <w:tcW w:w="2010" w:type="dxa"/>
            <w:tcBorders>
              <w:top w:val="nil"/>
              <w:left w:val="nil"/>
              <w:bottom w:val="nil"/>
              <w:right w:val="nil"/>
            </w:tcBorders>
            <w:shd w:val="clear" w:color="auto" w:fill="auto"/>
            <w:noWrap/>
            <w:vAlign w:val="bottom"/>
            <w:hideMark/>
          </w:tcPr>
          <w:p w14:paraId="62574DA7" w14:textId="77777777" w:rsidR="00782099" w:rsidRPr="00033A3F" w:rsidRDefault="00782099" w:rsidP="00782099">
            <w:pPr>
              <w:spacing w:line="240" w:lineRule="auto"/>
              <w:jc w:val="left"/>
              <w:rPr>
                <w:rFonts w:ascii="Times New Roman" w:eastAsia="Times New Roman" w:hAnsi="Times New Roman"/>
                <w:color w:val="000000" w:themeColor="text1"/>
                <w:sz w:val="20"/>
                <w:szCs w:val="20"/>
                <w:lang w:eastAsia="cs-CZ"/>
              </w:rPr>
            </w:pPr>
          </w:p>
        </w:tc>
      </w:tr>
    </w:tbl>
    <w:p w14:paraId="40D2B57A" w14:textId="3FA9114A" w:rsidR="00782099" w:rsidRPr="00033A3F" w:rsidRDefault="00782099" w:rsidP="00782099">
      <w:pPr>
        <w:pStyle w:val="OdstavecASR"/>
        <w:rPr>
          <w:color w:val="000000" w:themeColor="text1"/>
        </w:rPr>
      </w:pPr>
      <w:r w:rsidRPr="00033A3F">
        <w:rPr>
          <w:color w:val="000000" w:themeColor="text1"/>
        </w:rPr>
        <w:t>Jak vidíme, celkem za ČR se míra změny rozsudku oproti roku 2023 snížila. Nejnižší byla v Jihomoravském kraji (</w:t>
      </w:r>
      <w:r w:rsidR="00B21AA6" w:rsidRPr="00033A3F">
        <w:rPr>
          <w:color w:val="000000" w:themeColor="text1"/>
        </w:rPr>
        <w:t>v důsledku výrazného poklesu</w:t>
      </w:r>
      <w:r w:rsidRPr="00033A3F">
        <w:rPr>
          <w:color w:val="000000" w:themeColor="text1"/>
        </w:rPr>
        <w:t>), nejvyšší zůstává v Severočeském a Západočeském kraji</w:t>
      </w:r>
      <w:r w:rsidR="003F0957" w:rsidRPr="00033A3F">
        <w:rPr>
          <w:color w:val="000000" w:themeColor="text1"/>
        </w:rPr>
        <w:t>.</w:t>
      </w:r>
    </w:p>
    <w:p w14:paraId="6E88D8F7" w14:textId="563E5925" w:rsidR="00782099" w:rsidRPr="00033A3F" w:rsidRDefault="00782099" w:rsidP="00782099">
      <w:pPr>
        <w:pStyle w:val="OdstavecASR"/>
        <w:rPr>
          <w:color w:val="000000" w:themeColor="text1"/>
        </w:rPr>
      </w:pPr>
      <w:r w:rsidRPr="00033A3F">
        <w:rPr>
          <w:color w:val="000000" w:themeColor="text1"/>
        </w:rPr>
        <w:t>Z okresních soudů má dle dat nejnižší míru změny rozsudku OS pro Prahu 7 (9,09 %). Následují OS Benešov (12,77 %) a OS Vyškov (15,00 %). Na druhém konci se nacházejí OS pro Prahu 6 (68,00 %), OS Litoměřice (67,31 %) a OS Teplice (66,66 %).</w:t>
      </w:r>
    </w:p>
    <w:p w14:paraId="12F87F28" w14:textId="29B5B497" w:rsidR="00782099" w:rsidRPr="00033A3F" w:rsidRDefault="00ED1B34" w:rsidP="00782099">
      <w:pPr>
        <w:pStyle w:val="Podnadpis"/>
        <w:rPr>
          <w:color w:val="000000" w:themeColor="text1"/>
        </w:rPr>
      </w:pPr>
      <w:bookmarkStart w:id="682" w:name="_Toc515871362"/>
      <w:bookmarkStart w:id="683" w:name="_Toc11135096"/>
      <w:bookmarkStart w:id="684" w:name="_Toc43841410"/>
      <w:bookmarkStart w:id="685" w:name="_Toc75952213"/>
      <w:bookmarkStart w:id="686" w:name="_Toc106106665"/>
      <w:bookmarkStart w:id="687" w:name="_Toc109801989"/>
      <w:bookmarkStart w:id="688" w:name="_Toc144104142"/>
      <w:bookmarkStart w:id="689" w:name="_Toc169250950"/>
      <w:bookmarkStart w:id="690" w:name="_Toc174080636"/>
      <w:bookmarkStart w:id="691" w:name="_Toc193530788"/>
      <w:bookmarkStart w:id="692" w:name="_Toc193634062"/>
      <w:bookmarkStart w:id="693" w:name="_Toc203032860"/>
      <w:r w:rsidRPr="00033A3F">
        <w:rPr>
          <w:noProof/>
          <w:color w:val="000000" w:themeColor="text1"/>
          <w:lang w:eastAsia="cs-CZ"/>
        </w:rPr>
        <w:drawing>
          <wp:anchor distT="0" distB="0" distL="114300" distR="114300" simplePos="0" relativeHeight="251691008" behindDoc="0" locked="0" layoutInCell="1" allowOverlap="1" wp14:anchorId="5473B751" wp14:editId="26F6052B">
            <wp:simplePos x="0" y="0"/>
            <wp:positionH relativeFrom="margin">
              <wp:align>right</wp:align>
            </wp:positionH>
            <wp:positionV relativeFrom="paragraph">
              <wp:posOffset>175894</wp:posOffset>
            </wp:positionV>
            <wp:extent cx="1316355" cy="957349"/>
            <wp:effectExtent l="0" t="0" r="0" b="0"/>
            <wp:wrapNone/>
            <wp:docPr id="486689221"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16355" cy="9573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2099" w:rsidRPr="00033A3F">
        <w:rPr>
          <w:color w:val="000000" w:themeColor="text1"/>
        </w:rPr>
        <w:t xml:space="preserve">Graf </w:t>
      </w:r>
      <w:r w:rsidR="00782099" w:rsidRPr="00033A3F">
        <w:rPr>
          <w:color w:val="000000" w:themeColor="text1"/>
        </w:rPr>
        <w:fldChar w:fldCharType="begin"/>
      </w:r>
      <w:r w:rsidR="00782099" w:rsidRPr="00033A3F">
        <w:rPr>
          <w:color w:val="000000" w:themeColor="text1"/>
        </w:rPr>
        <w:instrText xml:space="preserve"> SEQ Graf \* ARABIC </w:instrText>
      </w:r>
      <w:r w:rsidR="00782099" w:rsidRPr="00033A3F">
        <w:rPr>
          <w:color w:val="000000" w:themeColor="text1"/>
        </w:rPr>
        <w:fldChar w:fldCharType="separate"/>
      </w:r>
      <w:r w:rsidR="00163B51">
        <w:rPr>
          <w:noProof/>
          <w:color w:val="000000" w:themeColor="text1"/>
        </w:rPr>
        <w:t>33</w:t>
      </w:r>
      <w:r w:rsidR="00782099" w:rsidRPr="00033A3F">
        <w:rPr>
          <w:color w:val="000000" w:themeColor="text1"/>
        </w:rPr>
        <w:fldChar w:fldCharType="end"/>
      </w:r>
      <w:r w:rsidR="00782099" w:rsidRPr="00033A3F">
        <w:rPr>
          <w:color w:val="000000" w:themeColor="text1"/>
        </w:rPr>
        <w:t>: OS – míra zm. rozsudku u jednotlivých soudů v trestním řízení</w:t>
      </w:r>
      <w:bookmarkEnd w:id="682"/>
      <w:bookmarkEnd w:id="683"/>
      <w:bookmarkEnd w:id="684"/>
      <w:bookmarkEnd w:id="685"/>
      <w:bookmarkEnd w:id="686"/>
      <w:bookmarkEnd w:id="687"/>
      <w:bookmarkEnd w:id="688"/>
      <w:r w:rsidR="00782099" w:rsidRPr="00033A3F">
        <w:rPr>
          <w:color w:val="000000" w:themeColor="text1"/>
        </w:rPr>
        <w:t>, 202</w:t>
      </w:r>
      <w:bookmarkEnd w:id="689"/>
      <w:bookmarkEnd w:id="690"/>
      <w:r w:rsidR="00782099" w:rsidRPr="00033A3F">
        <w:rPr>
          <w:color w:val="000000" w:themeColor="text1"/>
        </w:rPr>
        <w:t>4</w:t>
      </w:r>
      <w:bookmarkEnd w:id="691"/>
      <w:bookmarkEnd w:id="692"/>
      <w:bookmarkEnd w:id="693"/>
    </w:p>
    <w:p w14:paraId="705F9580" w14:textId="4C5A7A6A" w:rsidR="001B6385" w:rsidRPr="00033A3F" w:rsidRDefault="00177E38">
      <w:pPr>
        <w:spacing w:after="160" w:line="259" w:lineRule="auto"/>
        <w:jc w:val="left"/>
        <w:rPr>
          <w:color w:val="000000" w:themeColor="text1"/>
        </w:rPr>
      </w:pPr>
      <w:r w:rsidRPr="00033A3F">
        <w:rPr>
          <w:noProof/>
          <w:color w:val="000000" w:themeColor="text1"/>
          <w:lang w:eastAsia="cs-CZ"/>
        </w:rPr>
        <w:drawing>
          <wp:inline distT="0" distB="0" distL="0" distR="0" wp14:anchorId="4AE5BD54" wp14:editId="1E480820">
            <wp:extent cx="5760720" cy="3296920"/>
            <wp:effectExtent l="0" t="0" r="0" b="0"/>
            <wp:docPr id="52136696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0692F01A" w14:textId="77777777" w:rsidR="001B6385" w:rsidRPr="00033A3F" w:rsidRDefault="001B6385" w:rsidP="001B6385">
      <w:pPr>
        <w:pStyle w:val="OdstavecASR"/>
        <w:keepNext/>
        <w:outlineLvl w:val="3"/>
        <w:rPr>
          <w:b/>
          <w:bCs/>
          <w:color w:val="000000" w:themeColor="text1"/>
        </w:rPr>
      </w:pPr>
      <w:r w:rsidRPr="00033A3F">
        <w:rPr>
          <w:b/>
          <w:bCs/>
          <w:color w:val="000000" w:themeColor="text1"/>
        </w:rPr>
        <w:lastRenderedPageBreak/>
        <w:t>Peněžité tresty</w:t>
      </w:r>
    </w:p>
    <w:p w14:paraId="78CE28BF" w14:textId="77777777" w:rsidR="001B6385" w:rsidRPr="00033A3F" w:rsidRDefault="001B6385" w:rsidP="001B6385">
      <w:pPr>
        <w:pStyle w:val="OdstavecASR"/>
        <w:rPr>
          <w:color w:val="000000" w:themeColor="text1"/>
        </w:rPr>
      </w:pPr>
      <w:r w:rsidRPr="00033A3F">
        <w:rPr>
          <w:color w:val="000000" w:themeColor="text1"/>
        </w:rPr>
        <w:t xml:space="preserve">Stejně jako v předchozích zprávách se zaměříme na ukládání peněžitých trestů. Níže uvedená data jsou získána ze statistických listů a týkají se </w:t>
      </w:r>
      <w:r w:rsidR="00467977" w:rsidRPr="00033A3F">
        <w:rPr>
          <w:color w:val="000000" w:themeColor="text1"/>
        </w:rPr>
        <w:t xml:space="preserve">pravomocně </w:t>
      </w:r>
      <w:r w:rsidRPr="00033A3F">
        <w:rPr>
          <w:color w:val="000000" w:themeColor="text1"/>
        </w:rPr>
        <w:t>odsouzených osob. Nejsou proto zahrnuty souhrnné a společné tresty. Data se vztahují ke všem případům, kdy byl uložen peněžitý trest, tedy jak k těm, kdy byl trest uložen jako hlavní sankce, tak k případům, kdy byl trest uložen jako další sankce, například vedle trestu odnětí svobody.</w:t>
      </w:r>
    </w:p>
    <w:p w14:paraId="4D695D91" w14:textId="77777777" w:rsidR="001B6385" w:rsidRPr="00033A3F" w:rsidRDefault="001B6385" w:rsidP="001B6385">
      <w:pPr>
        <w:pStyle w:val="OdstavecASR"/>
        <w:rPr>
          <w:color w:val="000000" w:themeColor="text1"/>
        </w:rPr>
      </w:pPr>
      <w:r w:rsidRPr="00033A3F">
        <w:rPr>
          <w:color w:val="000000" w:themeColor="text1"/>
        </w:rPr>
        <w:t>Tento statistický údaj je sledován s ohledem na dlouhodobou snahu o zvýšení počtu ukládaných peněžitých trestů, která se projevila řadou legislativních i nelegislativních opatření. V počtu (a podílu na celkovém počtu odsouzených osob) uložených peněžitých trestů totiž ČR dlouhodobě výrazně zaostávala za okolními státy. Zdá se tedy vhodné sledovat, zda přijatá opatření opravdu vedou ke zvýšení počtu uložených peněžitých trestů. Nejedná se nicméně o podrobnou analýzu, která by přesahovala plánovaný rozsah zprávy.</w:t>
      </w:r>
    </w:p>
    <w:p w14:paraId="5E377291" w14:textId="77777777" w:rsidR="001B6385" w:rsidRPr="00033A3F" w:rsidRDefault="001B6385" w:rsidP="001B6385">
      <w:pPr>
        <w:pStyle w:val="OdstavecASR"/>
        <w:rPr>
          <w:color w:val="000000" w:themeColor="text1"/>
        </w:rPr>
      </w:pPr>
      <w:r w:rsidRPr="00033A3F">
        <w:rPr>
          <w:color w:val="000000" w:themeColor="text1"/>
        </w:rPr>
        <w:t>V prvním grafu je zachycena celková částka peněžitých trestů uložených odsouzeným osobám u okresních soudů. Kolem roku 2015 došlo k přijetí výše uvedených opatření a částka začala velmi rychle růst. Skokově vzrostla především mezi lety 2017 a 2018. V roce 2019 byla celková suma uložených peněžitých trestů 252 592 000 Kč, tedy téměř trojnásobek částky v roce 2015.</w:t>
      </w:r>
    </w:p>
    <w:p w14:paraId="10331E4A" w14:textId="49A51F71" w:rsidR="001B6385" w:rsidRPr="00033A3F" w:rsidRDefault="001B6385" w:rsidP="001B6385">
      <w:pPr>
        <w:pStyle w:val="OdstavecASR"/>
        <w:rPr>
          <w:color w:val="000000" w:themeColor="text1"/>
        </w:rPr>
      </w:pPr>
      <w:r w:rsidRPr="00033A3F">
        <w:rPr>
          <w:color w:val="000000" w:themeColor="text1"/>
        </w:rPr>
        <w:t xml:space="preserve">Výrazný růst nadále pokračoval, až v roce 2023 dosáhla suma peněžitých trestů částky 463 955 000 Kč. </w:t>
      </w:r>
      <w:bookmarkStart w:id="694" w:name="_Hlk104291512"/>
      <w:r w:rsidRPr="00033A3F">
        <w:rPr>
          <w:color w:val="000000" w:themeColor="text1"/>
        </w:rPr>
        <w:t>Částka peněžitých trestů uložená okresními soudy tak oproti roku 2015 narostla téměř o 450 %.</w:t>
      </w:r>
      <w:r w:rsidR="002639DB" w:rsidRPr="00033A3F">
        <w:rPr>
          <w:color w:val="000000" w:themeColor="text1"/>
        </w:rPr>
        <w:t xml:space="preserve"> V roce 2024 po dlouhé době suma uložených trestů poklesla asi o 50 000 000 Kč na 413 222 000 Kč.</w:t>
      </w:r>
    </w:p>
    <w:p w14:paraId="525C81F2" w14:textId="2AF90D80" w:rsidR="002639DB" w:rsidRPr="00033A3F" w:rsidRDefault="002639DB" w:rsidP="002639DB">
      <w:pPr>
        <w:pStyle w:val="Podnadpis"/>
        <w:rPr>
          <w:color w:val="000000" w:themeColor="text1"/>
        </w:rPr>
      </w:pPr>
      <w:bookmarkStart w:id="695" w:name="_Toc43841413"/>
      <w:bookmarkStart w:id="696" w:name="_Toc75952215"/>
      <w:bookmarkStart w:id="697" w:name="_Toc106106667"/>
      <w:bookmarkStart w:id="698" w:name="_Toc144104143"/>
      <w:bookmarkStart w:id="699" w:name="_Toc169250951"/>
      <w:bookmarkStart w:id="700" w:name="_Toc174080637"/>
      <w:bookmarkStart w:id="701" w:name="_Hlk129594512"/>
      <w:bookmarkStart w:id="702" w:name="_Toc193530789"/>
      <w:bookmarkStart w:id="703" w:name="_Toc193634063"/>
      <w:bookmarkStart w:id="704" w:name="_Toc203032861"/>
      <w:bookmarkEnd w:id="69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34</w:t>
      </w:r>
      <w:r w:rsidRPr="00033A3F">
        <w:rPr>
          <w:color w:val="000000" w:themeColor="text1"/>
        </w:rPr>
        <w:fldChar w:fldCharType="end"/>
      </w:r>
      <w:r w:rsidRPr="00033A3F">
        <w:rPr>
          <w:color w:val="000000" w:themeColor="text1"/>
        </w:rPr>
        <w:t>: OS – suma uložených peněžitých trestů</w:t>
      </w:r>
      <w:bookmarkEnd w:id="695"/>
      <w:bookmarkEnd w:id="696"/>
      <w:bookmarkEnd w:id="697"/>
      <w:bookmarkEnd w:id="698"/>
      <w:bookmarkEnd w:id="699"/>
      <w:bookmarkEnd w:id="700"/>
      <w:bookmarkEnd w:id="701"/>
      <w:bookmarkEnd w:id="702"/>
      <w:bookmarkEnd w:id="703"/>
      <w:bookmarkEnd w:id="704"/>
    </w:p>
    <w:p w14:paraId="7C2A8467" w14:textId="46172041" w:rsidR="002639DB" w:rsidRPr="00033A3F" w:rsidRDefault="002639DB" w:rsidP="001B6385">
      <w:pPr>
        <w:pStyle w:val="OdstavecASR"/>
        <w:rPr>
          <w:color w:val="000000" w:themeColor="text1"/>
        </w:rPr>
      </w:pPr>
      <w:r w:rsidRPr="00033A3F">
        <w:rPr>
          <w:noProof/>
          <w:color w:val="000000" w:themeColor="text1"/>
          <w:lang w:eastAsia="cs-CZ"/>
        </w:rPr>
        <w:drawing>
          <wp:inline distT="0" distB="0" distL="0" distR="0" wp14:anchorId="6AB2959B" wp14:editId="2CD666E8">
            <wp:extent cx="5029200" cy="3657600"/>
            <wp:effectExtent l="0" t="0" r="0" b="0"/>
            <wp:docPr id="261856"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C412596" w14:textId="500156D4" w:rsidR="002639DB" w:rsidRPr="00033A3F" w:rsidRDefault="002639DB" w:rsidP="002639DB">
      <w:pPr>
        <w:pStyle w:val="OdstavecASR"/>
        <w:rPr>
          <w:color w:val="000000" w:themeColor="text1"/>
        </w:rPr>
      </w:pPr>
      <w:r w:rsidRPr="00033A3F">
        <w:rPr>
          <w:color w:val="000000" w:themeColor="text1"/>
        </w:rPr>
        <w:t>Při pohledu na d</w:t>
      </w:r>
      <w:r w:rsidR="00D12324">
        <w:rPr>
          <w:color w:val="000000" w:themeColor="text1"/>
        </w:rPr>
        <w:t>e</w:t>
      </w:r>
      <w:r w:rsidRPr="00033A3F">
        <w:rPr>
          <w:color w:val="000000" w:themeColor="text1"/>
        </w:rPr>
        <w:t>lší časovou řadu</w:t>
      </w:r>
      <w:r w:rsidR="00BA3F89">
        <w:rPr>
          <w:color w:val="000000" w:themeColor="text1"/>
        </w:rPr>
        <w:t>,</w:t>
      </w:r>
      <w:r w:rsidR="00D12324">
        <w:rPr>
          <w:color w:val="000000" w:themeColor="text1"/>
        </w:rPr>
        <w:t xml:space="preserve"> než je zobrazena na grafu</w:t>
      </w:r>
      <w:r w:rsidRPr="00033A3F">
        <w:rPr>
          <w:color w:val="000000" w:themeColor="text1"/>
        </w:rPr>
        <w:t xml:space="preserve"> lze nejprve konstatovat, že v letech 2012 až 2019 byla průměrná výše peněžitých trestů v nominálních hodnotách stále přibližně stejná a výrazně se neměnila. Téměř celý růst v celkové částce uložených trestů byl způsoben nárůstem </w:t>
      </w:r>
      <w:r w:rsidRPr="00033A3F">
        <w:rPr>
          <w:color w:val="000000" w:themeColor="text1"/>
        </w:rPr>
        <w:lastRenderedPageBreak/>
        <w:t>počtu uložených peněžitých trestů. V roce 2020 ale narostla průměrná výše uložených trestů na 31 000 Kč, tedy o více než 5 000 Kč (o 20 %). V roce 2021 došlo k dalšímu nárůstu průměrné výše uložených peněžitých trestů i jejich počtu; v roce 2022 došlo k dalšímu výraznému nárůstu počtu uložených trestů, ale jejich průměrná částka se mírně snížila. V roce 2023 pak opět došlo k</w:t>
      </w:r>
      <w:r w:rsidR="0057327F">
        <w:rPr>
          <w:color w:val="000000" w:themeColor="text1"/>
        </w:rPr>
        <w:t> </w:t>
      </w:r>
      <w:r w:rsidRPr="00033A3F">
        <w:rPr>
          <w:color w:val="000000" w:themeColor="text1"/>
        </w:rPr>
        <w:t>citelnému nárůstu průměrné částky uložených trestů i mírnějšímu růstu jejich počtu. Zajímavou otázkou v této souvislosti je, zda soudy v roce 202</w:t>
      </w:r>
      <w:r w:rsidR="00FC337A" w:rsidRPr="00033A3F">
        <w:rPr>
          <w:color w:val="000000" w:themeColor="text1"/>
        </w:rPr>
        <w:t>4</w:t>
      </w:r>
      <w:r w:rsidRPr="00033A3F">
        <w:rPr>
          <w:color w:val="000000" w:themeColor="text1"/>
        </w:rPr>
        <w:t xml:space="preserve"> při ukládání trestů zohlednily výraznou inflaci. Vývoj průměrné výše peněžitého trestu v roce 202</w:t>
      </w:r>
      <w:r w:rsidR="00FC337A" w:rsidRPr="00033A3F">
        <w:rPr>
          <w:color w:val="000000" w:themeColor="text1"/>
        </w:rPr>
        <w:t>4</w:t>
      </w:r>
      <w:r w:rsidRPr="00033A3F">
        <w:rPr>
          <w:color w:val="000000" w:themeColor="text1"/>
        </w:rPr>
        <w:t xml:space="preserve"> tomu spíše nenasvědčuje.</w:t>
      </w:r>
    </w:p>
    <w:p w14:paraId="1F83E2C0" w14:textId="2C075AD6" w:rsidR="00763665" w:rsidRPr="00033A3F" w:rsidRDefault="00763665" w:rsidP="002639DB">
      <w:pPr>
        <w:pStyle w:val="OdstavecASR"/>
        <w:rPr>
          <w:color w:val="000000" w:themeColor="text1"/>
        </w:rPr>
      </w:pPr>
      <w:r w:rsidRPr="00033A3F">
        <w:rPr>
          <w:color w:val="000000" w:themeColor="text1"/>
        </w:rPr>
        <w:t>Výše zmíněný pokles v sumě uložených peněžitých trestů plyne z nižšího počtu uložených trestů (jejich průměrná výše je v zásadě stále stejná). To souvisí i s poklesem v počtu odsouzených osob.</w:t>
      </w:r>
      <w:r w:rsidR="00FC337A" w:rsidRPr="00033A3F">
        <w:rPr>
          <w:color w:val="000000" w:themeColor="text1"/>
        </w:rPr>
        <w:t xml:space="preserve"> Důležité je se v tomto případě podívat na podíl odsouzených osob, kterým byl uložen peněžitý trest. Data ukazují, že mírně poklesl z 19,1 % v roce 2023 na 18,7 % v roce 2024.</w:t>
      </w:r>
    </w:p>
    <w:p w14:paraId="4A4BD092" w14:textId="77777777" w:rsidR="002639DB" w:rsidRPr="00033A3F" w:rsidRDefault="002639DB" w:rsidP="002639DB">
      <w:pPr>
        <w:pStyle w:val="OdstavecASR"/>
        <w:rPr>
          <w:color w:val="000000" w:themeColor="text1"/>
        </w:rPr>
      </w:pPr>
      <w:r w:rsidRPr="00033A3F">
        <w:rPr>
          <w:color w:val="000000" w:themeColor="text1"/>
        </w:rPr>
        <w:t>Zajímavé jsou rovněž nejčastěji ukládané částky peněžitých trestů. Soudy celkem pochopitelně ukládají velmi často „kulaté“ částky. Tresty ve výši 40 000 Kč, 30 000 Kč, 20 000 Kč, 25 000 Kč, 15 000 Kč a 10 000 Kč tvořily dohromady více než polovinu uložených trestů.</w:t>
      </w:r>
    </w:p>
    <w:p w14:paraId="4E9FBC96" w14:textId="038B3E5C" w:rsidR="002639DB" w:rsidRPr="00033A3F" w:rsidRDefault="002639DB" w:rsidP="002639DB">
      <w:pPr>
        <w:pStyle w:val="Podnadpis"/>
        <w:rPr>
          <w:color w:val="000000" w:themeColor="text1"/>
        </w:rPr>
      </w:pPr>
      <w:bookmarkStart w:id="705" w:name="_Toc106106668"/>
      <w:bookmarkStart w:id="706" w:name="_Toc144104144"/>
      <w:bookmarkStart w:id="707" w:name="_Toc169250952"/>
      <w:bookmarkStart w:id="708" w:name="_Toc174080638"/>
      <w:bookmarkStart w:id="709" w:name="_Toc193530790"/>
      <w:bookmarkStart w:id="710" w:name="_Toc193634064"/>
      <w:bookmarkStart w:id="711" w:name="_Toc20303286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35</w:t>
      </w:r>
      <w:r w:rsidRPr="00033A3F">
        <w:rPr>
          <w:color w:val="000000" w:themeColor="text1"/>
        </w:rPr>
        <w:fldChar w:fldCharType="end"/>
      </w:r>
      <w:r w:rsidRPr="00033A3F">
        <w:rPr>
          <w:color w:val="000000" w:themeColor="text1"/>
        </w:rPr>
        <w:t xml:space="preserve">: OS </w:t>
      </w:r>
      <w:bookmarkStart w:id="712" w:name="_Hlk129594852"/>
      <w:r w:rsidRPr="00033A3F">
        <w:rPr>
          <w:color w:val="000000" w:themeColor="text1"/>
        </w:rPr>
        <w:t>– počet a průměrná výše uložených peněžitých trestů</w:t>
      </w:r>
      <w:bookmarkEnd w:id="705"/>
      <w:bookmarkEnd w:id="706"/>
      <w:bookmarkEnd w:id="707"/>
      <w:bookmarkEnd w:id="708"/>
      <w:bookmarkEnd w:id="709"/>
      <w:bookmarkEnd w:id="710"/>
      <w:bookmarkEnd w:id="712"/>
      <w:bookmarkEnd w:id="711"/>
    </w:p>
    <w:p w14:paraId="17B721CC" w14:textId="003D3F19" w:rsidR="00763665" w:rsidRPr="00033A3F" w:rsidRDefault="00763665">
      <w:pPr>
        <w:spacing w:after="160" w:line="259" w:lineRule="auto"/>
        <w:jc w:val="left"/>
        <w:rPr>
          <w:color w:val="000000" w:themeColor="text1"/>
        </w:rPr>
      </w:pPr>
      <w:r w:rsidRPr="00033A3F">
        <w:rPr>
          <w:noProof/>
          <w:color w:val="000000" w:themeColor="text1"/>
          <w:lang w:eastAsia="cs-CZ"/>
        </w:rPr>
        <w:drawing>
          <wp:inline distT="0" distB="0" distL="0" distR="0" wp14:anchorId="02059454" wp14:editId="2E64F538">
            <wp:extent cx="5029200" cy="3657600"/>
            <wp:effectExtent l="0" t="0" r="0" b="0"/>
            <wp:docPr id="2018743279"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B1659EF" w14:textId="24617EE1" w:rsidR="00763665" w:rsidRPr="00033A3F" w:rsidRDefault="00FC337A" w:rsidP="00FC337A">
      <w:pPr>
        <w:pStyle w:val="OdstavecASR"/>
        <w:rPr>
          <w:color w:val="000000" w:themeColor="text1"/>
        </w:rPr>
      </w:pPr>
      <w:r w:rsidRPr="00033A3F">
        <w:rPr>
          <w:color w:val="000000" w:themeColor="text1"/>
        </w:rPr>
        <w:t>Výše uvedené údaje se týkají pouze ukládání peněžitých trestů. Druhou stranou mince je otázka, zda je peněžitý trest splněn, nebo zda v důsledku jeho neplnění (tedy neplacení, byť jen zčásti) musí soud rozhodnout o tzv. přeměně na trest jiný. V následující tabulce se tedy ještě krátce zaměříme na pravomocné přeměny peněžitých trestů v jiný trest.</w:t>
      </w:r>
    </w:p>
    <w:p w14:paraId="03850942" w14:textId="6F3DEAB5" w:rsidR="00763665" w:rsidRPr="00033A3F" w:rsidRDefault="00763665" w:rsidP="00763665">
      <w:pPr>
        <w:pStyle w:val="OdstavecASR"/>
        <w:rPr>
          <w:color w:val="000000" w:themeColor="text1"/>
        </w:rPr>
      </w:pPr>
      <w:r w:rsidRPr="00033A3F">
        <w:rPr>
          <w:color w:val="000000" w:themeColor="text1"/>
        </w:rPr>
        <w:t>V této souvislosti uvádíme, že od roku 2013 novelou provedenou zákonem č. 390/2012 Sb. přibyly k běžnému nařízení výkonu náhradního trestu odnětí svobody</w:t>
      </w:r>
      <w:r w:rsidRPr="00033A3F">
        <w:rPr>
          <w:rStyle w:val="Znakapoznpodarou"/>
          <w:color w:val="000000" w:themeColor="text1"/>
        </w:rPr>
        <w:footnoteReference w:id="10"/>
      </w:r>
      <w:r w:rsidRPr="00033A3F">
        <w:rPr>
          <w:color w:val="000000" w:themeColor="text1"/>
        </w:rPr>
        <w:t xml:space="preserve"> (NEPO) další dvě alternativní přeměny, a to v trest domácího vězení (DV) nebo v trest obecně prospěšných prací (OPP). V roce </w:t>
      </w:r>
      <w:r w:rsidRPr="00033A3F">
        <w:rPr>
          <w:color w:val="000000" w:themeColor="text1"/>
        </w:rPr>
        <w:lastRenderedPageBreak/>
        <w:t>2020 došlo v této oblasti opět k úpravě, a to novelou provedenou zákonem č. 333/2020 Sb., která zrušila při ukládání peněžitého trestu povinnost stanovit náhradní trest odnětí svobody</w:t>
      </w:r>
      <w:r w:rsidR="0053579B">
        <w:rPr>
          <w:color w:val="000000" w:themeColor="text1"/>
        </w:rPr>
        <w:t>,</w:t>
      </w:r>
      <w:r w:rsidRPr="00033A3F">
        <w:rPr>
          <w:color w:val="000000" w:themeColor="text1"/>
        </w:rPr>
        <w:t> naproti tomu zavedla pevný přepočet nevykonaných peněžitých trestů nebo jejich zbytků v trest odnětí svobody</w:t>
      </w:r>
      <w:r w:rsidR="0053579B">
        <w:rPr>
          <w:color w:val="000000" w:themeColor="text1"/>
        </w:rPr>
        <w:t xml:space="preserve"> a </w:t>
      </w:r>
      <w:r w:rsidR="0053579B" w:rsidRPr="0053579B">
        <w:rPr>
          <w:color w:val="000000" w:themeColor="text1"/>
        </w:rPr>
        <w:t>došlo také ke zrušení možnosti přeměny peněžitého trestu v trest domácího vězení nebo obecně prospěšných prací</w:t>
      </w:r>
      <w:r w:rsidRPr="00033A3F">
        <w:rPr>
          <w:color w:val="000000" w:themeColor="text1"/>
        </w:rPr>
        <w:t>. Tato novela nabyla účinnosti 1. října 2020.</w:t>
      </w:r>
    </w:p>
    <w:p w14:paraId="7F0CBD5A" w14:textId="1C766502" w:rsidR="00763665" w:rsidRPr="00033A3F" w:rsidRDefault="00763665" w:rsidP="00763665">
      <w:pPr>
        <w:pStyle w:val="Podnadpis"/>
        <w:rPr>
          <w:color w:val="000000" w:themeColor="text1"/>
        </w:rPr>
      </w:pPr>
      <w:bookmarkStart w:id="713" w:name="_Toc75952331"/>
      <w:bookmarkStart w:id="714" w:name="_Toc106106788"/>
      <w:bookmarkStart w:id="715" w:name="_Toc109802111"/>
      <w:bookmarkStart w:id="716" w:name="_Toc169251082"/>
      <w:bookmarkStart w:id="717" w:name="_Toc174080768"/>
      <w:bookmarkStart w:id="718" w:name="_Toc193530901"/>
      <w:bookmarkStart w:id="719" w:name="_Toc194045596"/>
      <w:bookmarkStart w:id="720" w:name="_Toc199495005"/>
      <w:bookmarkStart w:id="721" w:name="_Toc203033065"/>
      <w:bookmarkStart w:id="722" w:name="_Toc20303314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23</w:t>
      </w:r>
      <w:r w:rsidRPr="00033A3F">
        <w:rPr>
          <w:color w:val="000000" w:themeColor="text1"/>
        </w:rPr>
        <w:fldChar w:fldCharType="end"/>
      </w:r>
      <w:r w:rsidRPr="00033A3F">
        <w:rPr>
          <w:color w:val="000000" w:themeColor="text1"/>
        </w:rPr>
        <w:t>: OS – pravomocné přeměny peněžitého trestu v jiný trest</w:t>
      </w:r>
      <w:bookmarkEnd w:id="713"/>
      <w:bookmarkEnd w:id="714"/>
      <w:bookmarkEnd w:id="715"/>
      <w:bookmarkEnd w:id="716"/>
      <w:bookmarkEnd w:id="717"/>
      <w:bookmarkEnd w:id="718"/>
      <w:bookmarkEnd w:id="719"/>
      <w:bookmarkEnd w:id="720"/>
      <w:bookmarkEnd w:id="721"/>
      <w:bookmarkEnd w:id="722"/>
    </w:p>
    <w:tbl>
      <w:tblPr>
        <w:tblW w:w="5400" w:type="dxa"/>
        <w:tblCellMar>
          <w:left w:w="70" w:type="dxa"/>
          <w:right w:w="70" w:type="dxa"/>
        </w:tblCellMar>
        <w:tblLook w:val="04A0" w:firstRow="1" w:lastRow="0" w:firstColumn="1" w:lastColumn="0" w:noHBand="0" w:noVBand="1"/>
      </w:tblPr>
      <w:tblGrid>
        <w:gridCol w:w="1080"/>
        <w:gridCol w:w="1309"/>
        <w:gridCol w:w="668"/>
        <w:gridCol w:w="912"/>
        <w:gridCol w:w="1431"/>
      </w:tblGrid>
      <w:tr w:rsidR="00033A3F" w:rsidRPr="00033A3F" w14:paraId="3100BA75" w14:textId="77777777" w:rsidTr="00763665">
        <w:trPr>
          <w:trHeight w:val="330"/>
        </w:trPr>
        <w:tc>
          <w:tcPr>
            <w:tcW w:w="1080" w:type="dxa"/>
            <w:vMerge w:val="restart"/>
            <w:tcBorders>
              <w:top w:val="double" w:sz="6" w:space="0" w:color="auto"/>
              <w:left w:val="nil"/>
              <w:bottom w:val="double" w:sz="6" w:space="0" w:color="000000"/>
              <w:right w:val="nil"/>
            </w:tcBorders>
            <w:shd w:val="clear" w:color="auto" w:fill="auto"/>
            <w:noWrap/>
            <w:vAlign w:val="center"/>
            <w:hideMark/>
          </w:tcPr>
          <w:p w14:paraId="5888D2E5"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Rok</w:t>
            </w:r>
          </w:p>
        </w:tc>
        <w:tc>
          <w:tcPr>
            <w:tcW w:w="4320" w:type="dxa"/>
            <w:gridSpan w:val="4"/>
            <w:tcBorders>
              <w:top w:val="double" w:sz="6" w:space="0" w:color="auto"/>
              <w:left w:val="nil"/>
              <w:bottom w:val="nil"/>
              <w:right w:val="nil"/>
            </w:tcBorders>
            <w:shd w:val="clear" w:color="auto" w:fill="auto"/>
            <w:noWrap/>
            <w:vAlign w:val="center"/>
            <w:hideMark/>
          </w:tcPr>
          <w:p w14:paraId="140F7B7A"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Pravomocná přeměna v</w:t>
            </w:r>
          </w:p>
        </w:tc>
      </w:tr>
      <w:tr w:rsidR="00033A3F" w:rsidRPr="00033A3F" w14:paraId="47965673" w14:textId="77777777" w:rsidTr="00763665">
        <w:trPr>
          <w:trHeight w:val="330"/>
        </w:trPr>
        <w:tc>
          <w:tcPr>
            <w:tcW w:w="1080" w:type="dxa"/>
            <w:vMerge/>
            <w:tcBorders>
              <w:top w:val="double" w:sz="6" w:space="0" w:color="auto"/>
              <w:left w:val="nil"/>
              <w:bottom w:val="double" w:sz="6" w:space="0" w:color="000000"/>
              <w:right w:val="nil"/>
            </w:tcBorders>
            <w:vAlign w:val="center"/>
            <w:hideMark/>
          </w:tcPr>
          <w:p w14:paraId="03FDEAC2" w14:textId="77777777" w:rsidR="00763665" w:rsidRPr="00033A3F" w:rsidRDefault="00763665" w:rsidP="00763665">
            <w:pPr>
              <w:spacing w:line="240" w:lineRule="auto"/>
              <w:jc w:val="left"/>
              <w:rPr>
                <w:rFonts w:eastAsia="Times New Roman"/>
                <w:b/>
                <w:bCs/>
                <w:color w:val="000000" w:themeColor="text1"/>
                <w:szCs w:val="24"/>
                <w:lang w:eastAsia="cs-CZ"/>
              </w:rPr>
            </w:pPr>
          </w:p>
        </w:tc>
        <w:tc>
          <w:tcPr>
            <w:tcW w:w="1309" w:type="dxa"/>
            <w:tcBorders>
              <w:top w:val="nil"/>
              <w:left w:val="nil"/>
              <w:bottom w:val="double" w:sz="6" w:space="0" w:color="auto"/>
              <w:right w:val="nil"/>
            </w:tcBorders>
            <w:shd w:val="clear" w:color="auto" w:fill="auto"/>
            <w:noWrap/>
            <w:vAlign w:val="center"/>
            <w:hideMark/>
          </w:tcPr>
          <w:p w14:paraId="3F23B632"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NEPO</w:t>
            </w:r>
          </w:p>
        </w:tc>
        <w:tc>
          <w:tcPr>
            <w:tcW w:w="668" w:type="dxa"/>
            <w:tcBorders>
              <w:top w:val="nil"/>
              <w:left w:val="nil"/>
              <w:bottom w:val="double" w:sz="6" w:space="0" w:color="auto"/>
              <w:right w:val="nil"/>
            </w:tcBorders>
            <w:shd w:val="clear" w:color="auto" w:fill="auto"/>
            <w:noWrap/>
            <w:vAlign w:val="center"/>
            <w:hideMark/>
          </w:tcPr>
          <w:p w14:paraId="58116BF6"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DV</w:t>
            </w:r>
          </w:p>
        </w:tc>
        <w:tc>
          <w:tcPr>
            <w:tcW w:w="912" w:type="dxa"/>
            <w:tcBorders>
              <w:top w:val="nil"/>
              <w:left w:val="nil"/>
              <w:bottom w:val="double" w:sz="6" w:space="0" w:color="auto"/>
              <w:right w:val="nil"/>
            </w:tcBorders>
            <w:shd w:val="clear" w:color="auto" w:fill="auto"/>
            <w:noWrap/>
            <w:vAlign w:val="center"/>
            <w:hideMark/>
          </w:tcPr>
          <w:p w14:paraId="2F67A75E"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OPP</w:t>
            </w:r>
          </w:p>
        </w:tc>
        <w:tc>
          <w:tcPr>
            <w:tcW w:w="1431" w:type="dxa"/>
            <w:tcBorders>
              <w:top w:val="nil"/>
              <w:left w:val="nil"/>
              <w:bottom w:val="double" w:sz="6" w:space="0" w:color="auto"/>
              <w:right w:val="nil"/>
            </w:tcBorders>
            <w:shd w:val="clear" w:color="auto" w:fill="auto"/>
            <w:noWrap/>
            <w:vAlign w:val="center"/>
            <w:hideMark/>
          </w:tcPr>
          <w:p w14:paraId="368C8350"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r>
      <w:tr w:rsidR="00033A3F" w:rsidRPr="00033A3F" w14:paraId="13738376" w14:textId="77777777" w:rsidTr="00763665">
        <w:trPr>
          <w:trHeight w:val="330"/>
        </w:trPr>
        <w:tc>
          <w:tcPr>
            <w:tcW w:w="1080" w:type="dxa"/>
            <w:tcBorders>
              <w:top w:val="nil"/>
              <w:left w:val="nil"/>
              <w:bottom w:val="single" w:sz="4" w:space="0" w:color="auto"/>
              <w:right w:val="nil"/>
            </w:tcBorders>
            <w:shd w:val="clear" w:color="auto" w:fill="auto"/>
            <w:noWrap/>
            <w:vAlign w:val="center"/>
            <w:hideMark/>
          </w:tcPr>
          <w:p w14:paraId="6D7F5111"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2008</w:t>
            </w:r>
          </w:p>
        </w:tc>
        <w:tc>
          <w:tcPr>
            <w:tcW w:w="1309" w:type="dxa"/>
            <w:tcBorders>
              <w:top w:val="nil"/>
              <w:left w:val="nil"/>
              <w:bottom w:val="single" w:sz="4" w:space="0" w:color="auto"/>
              <w:right w:val="nil"/>
            </w:tcBorders>
            <w:shd w:val="clear" w:color="auto" w:fill="auto"/>
            <w:noWrap/>
            <w:vAlign w:val="center"/>
            <w:hideMark/>
          </w:tcPr>
          <w:p w14:paraId="4855EA7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697</w:t>
            </w:r>
          </w:p>
        </w:tc>
        <w:tc>
          <w:tcPr>
            <w:tcW w:w="668" w:type="dxa"/>
            <w:tcBorders>
              <w:top w:val="nil"/>
              <w:left w:val="nil"/>
              <w:bottom w:val="single" w:sz="4" w:space="0" w:color="auto"/>
              <w:right w:val="nil"/>
            </w:tcBorders>
            <w:shd w:val="clear" w:color="auto" w:fill="auto"/>
            <w:noWrap/>
            <w:vAlign w:val="center"/>
            <w:hideMark/>
          </w:tcPr>
          <w:p w14:paraId="2310C9A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5614A6C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714F8A24"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697</w:t>
            </w:r>
          </w:p>
        </w:tc>
      </w:tr>
      <w:tr w:rsidR="00033A3F" w:rsidRPr="00033A3F" w14:paraId="134B767A"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51870D6C"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2009</w:t>
            </w:r>
          </w:p>
        </w:tc>
        <w:tc>
          <w:tcPr>
            <w:tcW w:w="1309" w:type="dxa"/>
            <w:tcBorders>
              <w:top w:val="nil"/>
              <w:left w:val="nil"/>
              <w:bottom w:val="single" w:sz="4" w:space="0" w:color="auto"/>
              <w:right w:val="nil"/>
            </w:tcBorders>
            <w:shd w:val="clear" w:color="auto" w:fill="auto"/>
            <w:noWrap/>
            <w:vAlign w:val="center"/>
            <w:hideMark/>
          </w:tcPr>
          <w:p w14:paraId="451AD3F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903</w:t>
            </w:r>
          </w:p>
        </w:tc>
        <w:tc>
          <w:tcPr>
            <w:tcW w:w="668" w:type="dxa"/>
            <w:tcBorders>
              <w:top w:val="nil"/>
              <w:left w:val="nil"/>
              <w:bottom w:val="single" w:sz="4" w:space="0" w:color="auto"/>
              <w:right w:val="nil"/>
            </w:tcBorders>
            <w:shd w:val="clear" w:color="auto" w:fill="auto"/>
            <w:noWrap/>
            <w:vAlign w:val="center"/>
            <w:hideMark/>
          </w:tcPr>
          <w:p w14:paraId="314325A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7808D0A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0539BE7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903</w:t>
            </w:r>
          </w:p>
        </w:tc>
      </w:tr>
      <w:tr w:rsidR="00033A3F" w:rsidRPr="00033A3F" w14:paraId="7F24A61F"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510CEB1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2010</w:t>
            </w:r>
          </w:p>
        </w:tc>
        <w:tc>
          <w:tcPr>
            <w:tcW w:w="1309" w:type="dxa"/>
            <w:tcBorders>
              <w:top w:val="nil"/>
              <w:left w:val="nil"/>
              <w:bottom w:val="single" w:sz="4" w:space="0" w:color="auto"/>
              <w:right w:val="nil"/>
            </w:tcBorders>
            <w:shd w:val="clear" w:color="auto" w:fill="auto"/>
            <w:noWrap/>
            <w:vAlign w:val="center"/>
            <w:hideMark/>
          </w:tcPr>
          <w:p w14:paraId="77A43AE7"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317</w:t>
            </w:r>
          </w:p>
        </w:tc>
        <w:tc>
          <w:tcPr>
            <w:tcW w:w="668" w:type="dxa"/>
            <w:tcBorders>
              <w:top w:val="nil"/>
              <w:left w:val="nil"/>
              <w:bottom w:val="single" w:sz="4" w:space="0" w:color="auto"/>
              <w:right w:val="nil"/>
            </w:tcBorders>
            <w:shd w:val="clear" w:color="auto" w:fill="auto"/>
            <w:noWrap/>
            <w:vAlign w:val="center"/>
            <w:hideMark/>
          </w:tcPr>
          <w:p w14:paraId="7274B6C9"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02953B6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3215888F"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317</w:t>
            </w:r>
          </w:p>
        </w:tc>
      </w:tr>
      <w:tr w:rsidR="00033A3F" w:rsidRPr="00033A3F" w14:paraId="7E5E9B31"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3C05F1B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2011</w:t>
            </w:r>
          </w:p>
        </w:tc>
        <w:tc>
          <w:tcPr>
            <w:tcW w:w="1309" w:type="dxa"/>
            <w:tcBorders>
              <w:top w:val="nil"/>
              <w:left w:val="nil"/>
              <w:bottom w:val="single" w:sz="4" w:space="0" w:color="auto"/>
              <w:right w:val="nil"/>
            </w:tcBorders>
            <w:shd w:val="clear" w:color="auto" w:fill="auto"/>
            <w:noWrap/>
            <w:vAlign w:val="center"/>
            <w:hideMark/>
          </w:tcPr>
          <w:p w14:paraId="4B17D0E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c>
          <w:tcPr>
            <w:tcW w:w="668" w:type="dxa"/>
            <w:tcBorders>
              <w:top w:val="nil"/>
              <w:left w:val="nil"/>
              <w:bottom w:val="single" w:sz="4" w:space="0" w:color="auto"/>
              <w:right w:val="nil"/>
            </w:tcBorders>
            <w:shd w:val="clear" w:color="auto" w:fill="auto"/>
            <w:noWrap/>
            <w:vAlign w:val="center"/>
            <w:hideMark/>
          </w:tcPr>
          <w:p w14:paraId="6BB50CD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1BB9C043"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40119A7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r>
      <w:tr w:rsidR="00033A3F" w:rsidRPr="00033A3F" w14:paraId="6AB7DE8B"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0E74A53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2012</w:t>
            </w:r>
          </w:p>
        </w:tc>
        <w:tc>
          <w:tcPr>
            <w:tcW w:w="1309" w:type="dxa"/>
            <w:tcBorders>
              <w:top w:val="nil"/>
              <w:left w:val="nil"/>
              <w:bottom w:val="single" w:sz="4" w:space="0" w:color="auto"/>
              <w:right w:val="nil"/>
            </w:tcBorders>
            <w:shd w:val="clear" w:color="auto" w:fill="auto"/>
            <w:noWrap/>
            <w:vAlign w:val="center"/>
            <w:hideMark/>
          </w:tcPr>
          <w:p w14:paraId="2BF2A637"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w:t>
            </w:r>
          </w:p>
        </w:tc>
        <w:tc>
          <w:tcPr>
            <w:tcW w:w="668" w:type="dxa"/>
            <w:tcBorders>
              <w:top w:val="nil"/>
              <w:left w:val="nil"/>
              <w:bottom w:val="single" w:sz="4" w:space="0" w:color="auto"/>
              <w:right w:val="nil"/>
            </w:tcBorders>
            <w:shd w:val="clear" w:color="auto" w:fill="auto"/>
            <w:noWrap/>
            <w:vAlign w:val="center"/>
            <w:hideMark/>
          </w:tcPr>
          <w:p w14:paraId="16DF5C2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11DF2BA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399A2CD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w:t>
            </w:r>
          </w:p>
        </w:tc>
      </w:tr>
      <w:tr w:rsidR="00033A3F" w:rsidRPr="00033A3F" w14:paraId="6B6BB2E2"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2AE1668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2013</w:t>
            </w:r>
          </w:p>
        </w:tc>
        <w:tc>
          <w:tcPr>
            <w:tcW w:w="1309" w:type="dxa"/>
            <w:tcBorders>
              <w:top w:val="nil"/>
              <w:left w:val="nil"/>
              <w:bottom w:val="single" w:sz="4" w:space="0" w:color="auto"/>
              <w:right w:val="nil"/>
            </w:tcBorders>
            <w:shd w:val="clear" w:color="auto" w:fill="auto"/>
            <w:noWrap/>
            <w:vAlign w:val="center"/>
            <w:hideMark/>
          </w:tcPr>
          <w:p w14:paraId="2427B97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w:t>
            </w:r>
          </w:p>
        </w:tc>
        <w:tc>
          <w:tcPr>
            <w:tcW w:w="668" w:type="dxa"/>
            <w:tcBorders>
              <w:top w:val="nil"/>
              <w:left w:val="nil"/>
              <w:bottom w:val="single" w:sz="4" w:space="0" w:color="auto"/>
              <w:right w:val="nil"/>
            </w:tcBorders>
            <w:shd w:val="clear" w:color="auto" w:fill="auto"/>
            <w:noWrap/>
            <w:vAlign w:val="center"/>
            <w:hideMark/>
          </w:tcPr>
          <w:p w14:paraId="2303C5D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912" w:type="dxa"/>
            <w:tcBorders>
              <w:top w:val="nil"/>
              <w:left w:val="nil"/>
              <w:bottom w:val="single" w:sz="4" w:space="0" w:color="auto"/>
              <w:right w:val="nil"/>
            </w:tcBorders>
            <w:shd w:val="clear" w:color="auto" w:fill="auto"/>
            <w:noWrap/>
            <w:vAlign w:val="center"/>
            <w:hideMark/>
          </w:tcPr>
          <w:p w14:paraId="62C9328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w:t>
            </w:r>
          </w:p>
        </w:tc>
        <w:tc>
          <w:tcPr>
            <w:tcW w:w="1431" w:type="dxa"/>
            <w:tcBorders>
              <w:top w:val="nil"/>
              <w:left w:val="nil"/>
              <w:bottom w:val="single" w:sz="4" w:space="0" w:color="auto"/>
              <w:right w:val="nil"/>
            </w:tcBorders>
            <w:shd w:val="clear" w:color="auto" w:fill="auto"/>
            <w:noWrap/>
            <w:vAlign w:val="center"/>
            <w:hideMark/>
          </w:tcPr>
          <w:p w14:paraId="5BA53193"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165</w:t>
            </w:r>
          </w:p>
        </w:tc>
      </w:tr>
      <w:tr w:rsidR="00033A3F" w:rsidRPr="00033A3F" w14:paraId="6425F5E0"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1DBA8A2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2014</w:t>
            </w:r>
          </w:p>
        </w:tc>
        <w:tc>
          <w:tcPr>
            <w:tcW w:w="1309" w:type="dxa"/>
            <w:tcBorders>
              <w:top w:val="nil"/>
              <w:left w:val="nil"/>
              <w:bottom w:val="single" w:sz="4" w:space="0" w:color="auto"/>
              <w:right w:val="nil"/>
            </w:tcBorders>
            <w:shd w:val="clear" w:color="auto" w:fill="auto"/>
            <w:noWrap/>
            <w:vAlign w:val="center"/>
            <w:hideMark/>
          </w:tcPr>
          <w:p w14:paraId="1853C6C7"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82</w:t>
            </w:r>
          </w:p>
        </w:tc>
        <w:tc>
          <w:tcPr>
            <w:tcW w:w="668" w:type="dxa"/>
            <w:tcBorders>
              <w:top w:val="nil"/>
              <w:left w:val="nil"/>
              <w:bottom w:val="single" w:sz="4" w:space="0" w:color="auto"/>
              <w:right w:val="nil"/>
            </w:tcBorders>
            <w:shd w:val="clear" w:color="auto" w:fill="auto"/>
            <w:noWrap/>
            <w:vAlign w:val="center"/>
            <w:hideMark/>
          </w:tcPr>
          <w:p w14:paraId="60FD7F6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780CAA31"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w:t>
            </w:r>
          </w:p>
        </w:tc>
        <w:tc>
          <w:tcPr>
            <w:tcW w:w="1431" w:type="dxa"/>
            <w:tcBorders>
              <w:top w:val="nil"/>
              <w:left w:val="nil"/>
              <w:bottom w:val="single" w:sz="4" w:space="0" w:color="auto"/>
              <w:right w:val="nil"/>
            </w:tcBorders>
            <w:shd w:val="clear" w:color="auto" w:fill="auto"/>
            <w:noWrap/>
            <w:vAlign w:val="center"/>
            <w:hideMark/>
          </w:tcPr>
          <w:p w14:paraId="18EA009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171</w:t>
            </w:r>
          </w:p>
        </w:tc>
      </w:tr>
      <w:tr w:rsidR="00033A3F" w:rsidRPr="00033A3F" w14:paraId="66E8A18E"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1F567BB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2015</w:t>
            </w:r>
          </w:p>
        </w:tc>
        <w:tc>
          <w:tcPr>
            <w:tcW w:w="1309" w:type="dxa"/>
            <w:tcBorders>
              <w:top w:val="nil"/>
              <w:left w:val="nil"/>
              <w:bottom w:val="single" w:sz="4" w:space="0" w:color="auto"/>
              <w:right w:val="nil"/>
            </w:tcBorders>
            <w:shd w:val="clear" w:color="auto" w:fill="auto"/>
            <w:noWrap/>
            <w:vAlign w:val="center"/>
            <w:hideMark/>
          </w:tcPr>
          <w:p w14:paraId="53D550E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w:t>
            </w:r>
          </w:p>
        </w:tc>
        <w:tc>
          <w:tcPr>
            <w:tcW w:w="668" w:type="dxa"/>
            <w:tcBorders>
              <w:top w:val="nil"/>
              <w:left w:val="nil"/>
              <w:bottom w:val="single" w:sz="4" w:space="0" w:color="auto"/>
              <w:right w:val="nil"/>
            </w:tcBorders>
            <w:shd w:val="clear" w:color="auto" w:fill="auto"/>
            <w:noWrap/>
            <w:vAlign w:val="center"/>
            <w:hideMark/>
          </w:tcPr>
          <w:p w14:paraId="398CBE6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67722AA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1431" w:type="dxa"/>
            <w:tcBorders>
              <w:top w:val="nil"/>
              <w:left w:val="nil"/>
              <w:bottom w:val="single" w:sz="4" w:space="0" w:color="auto"/>
              <w:right w:val="nil"/>
            </w:tcBorders>
            <w:shd w:val="clear" w:color="auto" w:fill="auto"/>
            <w:noWrap/>
            <w:vAlign w:val="center"/>
            <w:hideMark/>
          </w:tcPr>
          <w:p w14:paraId="21DAEDFC"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119</w:t>
            </w:r>
          </w:p>
        </w:tc>
      </w:tr>
      <w:tr w:rsidR="00033A3F" w:rsidRPr="00033A3F" w14:paraId="49A39CF9"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058AA99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2016</w:t>
            </w:r>
          </w:p>
        </w:tc>
        <w:tc>
          <w:tcPr>
            <w:tcW w:w="1309" w:type="dxa"/>
            <w:tcBorders>
              <w:top w:val="nil"/>
              <w:left w:val="nil"/>
              <w:bottom w:val="single" w:sz="4" w:space="0" w:color="auto"/>
              <w:right w:val="nil"/>
            </w:tcBorders>
            <w:shd w:val="clear" w:color="auto" w:fill="auto"/>
            <w:noWrap/>
            <w:vAlign w:val="center"/>
            <w:hideMark/>
          </w:tcPr>
          <w:p w14:paraId="3398DA0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w:t>
            </w:r>
          </w:p>
        </w:tc>
        <w:tc>
          <w:tcPr>
            <w:tcW w:w="668" w:type="dxa"/>
            <w:tcBorders>
              <w:top w:val="nil"/>
              <w:left w:val="nil"/>
              <w:bottom w:val="single" w:sz="4" w:space="0" w:color="auto"/>
              <w:right w:val="nil"/>
            </w:tcBorders>
            <w:shd w:val="clear" w:color="auto" w:fill="auto"/>
            <w:noWrap/>
            <w:vAlign w:val="center"/>
            <w:hideMark/>
          </w:tcPr>
          <w:p w14:paraId="09F00B2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p>
        </w:tc>
        <w:tc>
          <w:tcPr>
            <w:tcW w:w="912" w:type="dxa"/>
            <w:tcBorders>
              <w:top w:val="nil"/>
              <w:left w:val="nil"/>
              <w:bottom w:val="single" w:sz="4" w:space="0" w:color="auto"/>
              <w:right w:val="nil"/>
            </w:tcBorders>
            <w:shd w:val="clear" w:color="auto" w:fill="auto"/>
            <w:noWrap/>
            <w:vAlign w:val="center"/>
            <w:hideMark/>
          </w:tcPr>
          <w:p w14:paraId="58E929F1"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w:t>
            </w:r>
          </w:p>
        </w:tc>
        <w:tc>
          <w:tcPr>
            <w:tcW w:w="1431" w:type="dxa"/>
            <w:tcBorders>
              <w:top w:val="nil"/>
              <w:left w:val="nil"/>
              <w:bottom w:val="single" w:sz="4" w:space="0" w:color="auto"/>
              <w:right w:val="nil"/>
            </w:tcBorders>
            <w:shd w:val="clear" w:color="auto" w:fill="auto"/>
            <w:noWrap/>
            <w:vAlign w:val="center"/>
            <w:hideMark/>
          </w:tcPr>
          <w:p w14:paraId="03FADAAC"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121</w:t>
            </w:r>
          </w:p>
        </w:tc>
      </w:tr>
      <w:tr w:rsidR="00033A3F" w:rsidRPr="00033A3F" w14:paraId="0F1E9488"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24C9E7E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2017</w:t>
            </w:r>
          </w:p>
        </w:tc>
        <w:tc>
          <w:tcPr>
            <w:tcW w:w="1309" w:type="dxa"/>
            <w:tcBorders>
              <w:top w:val="nil"/>
              <w:left w:val="nil"/>
              <w:bottom w:val="single" w:sz="4" w:space="0" w:color="auto"/>
              <w:right w:val="nil"/>
            </w:tcBorders>
            <w:shd w:val="clear" w:color="auto" w:fill="auto"/>
            <w:noWrap/>
            <w:vAlign w:val="center"/>
            <w:hideMark/>
          </w:tcPr>
          <w:p w14:paraId="70D274E3"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668" w:type="dxa"/>
            <w:tcBorders>
              <w:top w:val="nil"/>
              <w:left w:val="nil"/>
              <w:bottom w:val="single" w:sz="4" w:space="0" w:color="auto"/>
              <w:right w:val="nil"/>
            </w:tcBorders>
            <w:shd w:val="clear" w:color="auto" w:fill="auto"/>
            <w:noWrap/>
            <w:vAlign w:val="center"/>
            <w:hideMark/>
          </w:tcPr>
          <w:p w14:paraId="54DB1ED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nil"/>
              <w:left w:val="nil"/>
              <w:bottom w:val="single" w:sz="4" w:space="0" w:color="auto"/>
              <w:right w:val="nil"/>
            </w:tcBorders>
            <w:shd w:val="clear" w:color="auto" w:fill="auto"/>
            <w:noWrap/>
            <w:vAlign w:val="center"/>
            <w:hideMark/>
          </w:tcPr>
          <w:p w14:paraId="753B6AB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w:t>
            </w:r>
          </w:p>
        </w:tc>
        <w:tc>
          <w:tcPr>
            <w:tcW w:w="1431" w:type="dxa"/>
            <w:tcBorders>
              <w:top w:val="nil"/>
              <w:left w:val="nil"/>
              <w:bottom w:val="single" w:sz="4" w:space="0" w:color="auto"/>
              <w:right w:val="nil"/>
            </w:tcBorders>
            <w:shd w:val="clear" w:color="auto" w:fill="auto"/>
            <w:noWrap/>
            <w:vAlign w:val="center"/>
            <w:hideMark/>
          </w:tcPr>
          <w:p w14:paraId="037A8A7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131</w:t>
            </w:r>
          </w:p>
        </w:tc>
      </w:tr>
      <w:tr w:rsidR="00033A3F" w:rsidRPr="00033A3F" w14:paraId="2C927613"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2334D9B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2018</w:t>
            </w:r>
          </w:p>
        </w:tc>
        <w:tc>
          <w:tcPr>
            <w:tcW w:w="1309" w:type="dxa"/>
            <w:tcBorders>
              <w:top w:val="nil"/>
              <w:left w:val="nil"/>
              <w:bottom w:val="single" w:sz="4" w:space="0" w:color="auto"/>
              <w:right w:val="nil"/>
            </w:tcBorders>
            <w:shd w:val="clear" w:color="auto" w:fill="auto"/>
            <w:noWrap/>
            <w:vAlign w:val="center"/>
            <w:hideMark/>
          </w:tcPr>
          <w:p w14:paraId="3D90C65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w:t>
            </w:r>
          </w:p>
        </w:tc>
        <w:tc>
          <w:tcPr>
            <w:tcW w:w="668" w:type="dxa"/>
            <w:tcBorders>
              <w:top w:val="nil"/>
              <w:left w:val="nil"/>
              <w:bottom w:val="single" w:sz="4" w:space="0" w:color="auto"/>
              <w:right w:val="nil"/>
            </w:tcBorders>
            <w:shd w:val="clear" w:color="auto" w:fill="auto"/>
            <w:noWrap/>
            <w:vAlign w:val="center"/>
            <w:hideMark/>
          </w:tcPr>
          <w:p w14:paraId="76163D1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4E337A3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1431" w:type="dxa"/>
            <w:tcBorders>
              <w:top w:val="nil"/>
              <w:left w:val="nil"/>
              <w:bottom w:val="single" w:sz="4" w:space="0" w:color="auto"/>
              <w:right w:val="nil"/>
            </w:tcBorders>
            <w:shd w:val="clear" w:color="auto" w:fill="auto"/>
            <w:noWrap/>
            <w:vAlign w:val="center"/>
            <w:hideMark/>
          </w:tcPr>
          <w:p w14:paraId="27E58E57"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182</w:t>
            </w:r>
          </w:p>
        </w:tc>
      </w:tr>
      <w:tr w:rsidR="00033A3F" w:rsidRPr="00033A3F" w14:paraId="44A832C8"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09C881E9"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2019</w:t>
            </w:r>
          </w:p>
        </w:tc>
        <w:tc>
          <w:tcPr>
            <w:tcW w:w="1309" w:type="dxa"/>
            <w:tcBorders>
              <w:top w:val="nil"/>
              <w:left w:val="nil"/>
              <w:bottom w:val="single" w:sz="4" w:space="0" w:color="auto"/>
              <w:right w:val="nil"/>
            </w:tcBorders>
            <w:shd w:val="clear" w:color="auto" w:fill="auto"/>
            <w:noWrap/>
            <w:vAlign w:val="center"/>
            <w:hideMark/>
          </w:tcPr>
          <w:p w14:paraId="6C2C744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w:t>
            </w:r>
          </w:p>
        </w:tc>
        <w:tc>
          <w:tcPr>
            <w:tcW w:w="668" w:type="dxa"/>
            <w:tcBorders>
              <w:top w:val="nil"/>
              <w:left w:val="nil"/>
              <w:bottom w:val="single" w:sz="4" w:space="0" w:color="auto"/>
              <w:right w:val="nil"/>
            </w:tcBorders>
            <w:shd w:val="clear" w:color="auto" w:fill="auto"/>
            <w:noWrap/>
            <w:vAlign w:val="center"/>
            <w:hideMark/>
          </w:tcPr>
          <w:p w14:paraId="007691B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5FC0773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w:t>
            </w:r>
          </w:p>
        </w:tc>
        <w:tc>
          <w:tcPr>
            <w:tcW w:w="1431" w:type="dxa"/>
            <w:tcBorders>
              <w:top w:val="nil"/>
              <w:left w:val="nil"/>
              <w:bottom w:val="single" w:sz="4" w:space="0" w:color="auto"/>
              <w:right w:val="nil"/>
            </w:tcBorders>
            <w:shd w:val="clear" w:color="auto" w:fill="auto"/>
            <w:noWrap/>
            <w:vAlign w:val="center"/>
            <w:hideMark/>
          </w:tcPr>
          <w:p w14:paraId="75AB389F"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236</w:t>
            </w:r>
          </w:p>
        </w:tc>
      </w:tr>
      <w:tr w:rsidR="00033A3F" w:rsidRPr="00033A3F" w14:paraId="0077D73D"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03B108C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2020</w:t>
            </w:r>
          </w:p>
        </w:tc>
        <w:tc>
          <w:tcPr>
            <w:tcW w:w="1309" w:type="dxa"/>
            <w:tcBorders>
              <w:top w:val="nil"/>
              <w:left w:val="nil"/>
              <w:bottom w:val="single" w:sz="4" w:space="0" w:color="auto"/>
              <w:right w:val="nil"/>
            </w:tcBorders>
            <w:shd w:val="clear" w:color="auto" w:fill="auto"/>
            <w:noWrap/>
            <w:vAlign w:val="center"/>
            <w:hideMark/>
          </w:tcPr>
          <w:p w14:paraId="39AAD09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139</w:t>
            </w:r>
          </w:p>
        </w:tc>
        <w:tc>
          <w:tcPr>
            <w:tcW w:w="668" w:type="dxa"/>
            <w:tcBorders>
              <w:top w:val="nil"/>
              <w:left w:val="nil"/>
              <w:bottom w:val="single" w:sz="4" w:space="0" w:color="auto"/>
              <w:right w:val="nil"/>
            </w:tcBorders>
            <w:shd w:val="clear" w:color="auto" w:fill="auto"/>
            <w:noWrap/>
            <w:vAlign w:val="center"/>
            <w:hideMark/>
          </w:tcPr>
          <w:p w14:paraId="691165A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nil"/>
              <w:left w:val="nil"/>
              <w:bottom w:val="single" w:sz="4" w:space="0" w:color="auto"/>
              <w:right w:val="nil"/>
            </w:tcBorders>
            <w:shd w:val="clear" w:color="auto" w:fill="auto"/>
            <w:noWrap/>
            <w:vAlign w:val="center"/>
            <w:hideMark/>
          </w:tcPr>
          <w:p w14:paraId="5B75C35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p>
        </w:tc>
        <w:tc>
          <w:tcPr>
            <w:tcW w:w="1431" w:type="dxa"/>
            <w:tcBorders>
              <w:top w:val="nil"/>
              <w:left w:val="nil"/>
              <w:bottom w:val="single" w:sz="4" w:space="0" w:color="auto"/>
              <w:right w:val="nil"/>
            </w:tcBorders>
            <w:shd w:val="clear" w:color="auto" w:fill="auto"/>
            <w:noWrap/>
            <w:vAlign w:val="center"/>
            <w:hideMark/>
          </w:tcPr>
          <w:p w14:paraId="4FD383E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233</w:t>
            </w:r>
          </w:p>
        </w:tc>
      </w:tr>
      <w:tr w:rsidR="00033A3F" w:rsidRPr="00033A3F" w14:paraId="22EF9CB3" w14:textId="77777777" w:rsidTr="00763665">
        <w:trPr>
          <w:trHeight w:val="315"/>
        </w:trPr>
        <w:tc>
          <w:tcPr>
            <w:tcW w:w="1080" w:type="dxa"/>
            <w:tcBorders>
              <w:top w:val="nil"/>
              <w:left w:val="nil"/>
              <w:bottom w:val="nil"/>
              <w:right w:val="nil"/>
            </w:tcBorders>
            <w:shd w:val="clear" w:color="auto" w:fill="auto"/>
            <w:noWrap/>
            <w:vAlign w:val="center"/>
            <w:hideMark/>
          </w:tcPr>
          <w:p w14:paraId="1088F9F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2021</w:t>
            </w:r>
          </w:p>
        </w:tc>
        <w:tc>
          <w:tcPr>
            <w:tcW w:w="1309" w:type="dxa"/>
            <w:tcBorders>
              <w:top w:val="nil"/>
              <w:left w:val="nil"/>
              <w:bottom w:val="nil"/>
              <w:right w:val="nil"/>
            </w:tcBorders>
            <w:shd w:val="clear" w:color="auto" w:fill="auto"/>
            <w:noWrap/>
            <w:vAlign w:val="center"/>
            <w:hideMark/>
          </w:tcPr>
          <w:p w14:paraId="71EADC3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222</w:t>
            </w:r>
          </w:p>
        </w:tc>
        <w:tc>
          <w:tcPr>
            <w:tcW w:w="668" w:type="dxa"/>
            <w:tcBorders>
              <w:top w:val="nil"/>
              <w:left w:val="nil"/>
              <w:bottom w:val="nil"/>
              <w:right w:val="nil"/>
            </w:tcBorders>
            <w:shd w:val="clear" w:color="auto" w:fill="auto"/>
            <w:noWrap/>
            <w:vAlign w:val="center"/>
            <w:hideMark/>
          </w:tcPr>
          <w:p w14:paraId="5A0EFAA4"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nil"/>
              <w:left w:val="nil"/>
              <w:bottom w:val="nil"/>
              <w:right w:val="nil"/>
            </w:tcBorders>
            <w:shd w:val="clear" w:color="auto" w:fill="auto"/>
            <w:noWrap/>
            <w:vAlign w:val="center"/>
            <w:hideMark/>
          </w:tcPr>
          <w:p w14:paraId="0BB240E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w:t>
            </w:r>
          </w:p>
        </w:tc>
        <w:tc>
          <w:tcPr>
            <w:tcW w:w="1431" w:type="dxa"/>
            <w:tcBorders>
              <w:top w:val="nil"/>
              <w:left w:val="nil"/>
              <w:bottom w:val="nil"/>
              <w:right w:val="nil"/>
            </w:tcBorders>
            <w:shd w:val="clear" w:color="auto" w:fill="auto"/>
            <w:noWrap/>
            <w:vAlign w:val="center"/>
            <w:hideMark/>
          </w:tcPr>
          <w:p w14:paraId="50713AF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246</w:t>
            </w:r>
          </w:p>
        </w:tc>
      </w:tr>
      <w:tr w:rsidR="00033A3F" w:rsidRPr="00033A3F" w14:paraId="171BE2AD" w14:textId="77777777" w:rsidTr="00763665">
        <w:trPr>
          <w:trHeight w:val="315"/>
        </w:trPr>
        <w:tc>
          <w:tcPr>
            <w:tcW w:w="1080" w:type="dxa"/>
            <w:tcBorders>
              <w:top w:val="single" w:sz="4" w:space="0" w:color="auto"/>
              <w:left w:val="nil"/>
              <w:bottom w:val="nil"/>
              <w:right w:val="nil"/>
            </w:tcBorders>
            <w:shd w:val="clear" w:color="auto" w:fill="auto"/>
            <w:noWrap/>
            <w:vAlign w:val="bottom"/>
            <w:hideMark/>
          </w:tcPr>
          <w:p w14:paraId="5D5B54B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2022</w:t>
            </w:r>
          </w:p>
        </w:tc>
        <w:tc>
          <w:tcPr>
            <w:tcW w:w="1309" w:type="dxa"/>
            <w:tcBorders>
              <w:top w:val="single" w:sz="4" w:space="0" w:color="auto"/>
              <w:left w:val="nil"/>
              <w:bottom w:val="nil"/>
              <w:right w:val="nil"/>
            </w:tcBorders>
            <w:shd w:val="clear" w:color="auto" w:fill="auto"/>
            <w:noWrap/>
            <w:vAlign w:val="bottom"/>
            <w:hideMark/>
          </w:tcPr>
          <w:p w14:paraId="13CEF57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251</w:t>
            </w:r>
          </w:p>
        </w:tc>
        <w:tc>
          <w:tcPr>
            <w:tcW w:w="668" w:type="dxa"/>
            <w:tcBorders>
              <w:top w:val="single" w:sz="4" w:space="0" w:color="auto"/>
              <w:left w:val="nil"/>
              <w:bottom w:val="nil"/>
              <w:right w:val="nil"/>
            </w:tcBorders>
            <w:shd w:val="clear" w:color="auto" w:fill="auto"/>
            <w:noWrap/>
            <w:vAlign w:val="bottom"/>
            <w:hideMark/>
          </w:tcPr>
          <w:p w14:paraId="05AA793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single" w:sz="4" w:space="0" w:color="auto"/>
              <w:left w:val="nil"/>
              <w:bottom w:val="nil"/>
              <w:right w:val="nil"/>
            </w:tcBorders>
            <w:shd w:val="clear" w:color="auto" w:fill="auto"/>
            <w:noWrap/>
            <w:vAlign w:val="bottom"/>
            <w:hideMark/>
          </w:tcPr>
          <w:p w14:paraId="77F82CC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431" w:type="dxa"/>
            <w:tcBorders>
              <w:top w:val="single" w:sz="4" w:space="0" w:color="auto"/>
              <w:left w:val="nil"/>
              <w:bottom w:val="nil"/>
              <w:right w:val="nil"/>
            </w:tcBorders>
            <w:shd w:val="clear" w:color="auto" w:fill="auto"/>
            <w:noWrap/>
            <w:vAlign w:val="bottom"/>
            <w:hideMark/>
          </w:tcPr>
          <w:p w14:paraId="06DAE8A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258</w:t>
            </w:r>
          </w:p>
        </w:tc>
      </w:tr>
      <w:tr w:rsidR="00033A3F" w:rsidRPr="00033A3F" w14:paraId="5A7B0CFC" w14:textId="77777777" w:rsidTr="00763665">
        <w:trPr>
          <w:trHeight w:val="315"/>
        </w:trPr>
        <w:tc>
          <w:tcPr>
            <w:tcW w:w="1080" w:type="dxa"/>
            <w:tcBorders>
              <w:top w:val="single" w:sz="4" w:space="0" w:color="auto"/>
              <w:left w:val="nil"/>
              <w:bottom w:val="nil"/>
              <w:right w:val="nil"/>
            </w:tcBorders>
            <w:shd w:val="clear" w:color="auto" w:fill="auto"/>
            <w:noWrap/>
            <w:vAlign w:val="bottom"/>
            <w:hideMark/>
          </w:tcPr>
          <w:p w14:paraId="23D3CD6F"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2023</w:t>
            </w:r>
          </w:p>
        </w:tc>
        <w:tc>
          <w:tcPr>
            <w:tcW w:w="1309" w:type="dxa"/>
            <w:tcBorders>
              <w:top w:val="single" w:sz="4" w:space="0" w:color="auto"/>
              <w:left w:val="nil"/>
              <w:bottom w:val="nil"/>
              <w:right w:val="nil"/>
            </w:tcBorders>
            <w:shd w:val="clear" w:color="auto" w:fill="auto"/>
            <w:noWrap/>
            <w:vAlign w:val="bottom"/>
            <w:hideMark/>
          </w:tcPr>
          <w:p w14:paraId="0F7CD2D9"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293</w:t>
            </w:r>
          </w:p>
        </w:tc>
        <w:tc>
          <w:tcPr>
            <w:tcW w:w="668" w:type="dxa"/>
            <w:tcBorders>
              <w:top w:val="single" w:sz="4" w:space="0" w:color="auto"/>
              <w:left w:val="nil"/>
              <w:bottom w:val="nil"/>
              <w:right w:val="nil"/>
            </w:tcBorders>
            <w:shd w:val="clear" w:color="auto" w:fill="auto"/>
            <w:noWrap/>
            <w:vAlign w:val="bottom"/>
            <w:hideMark/>
          </w:tcPr>
          <w:p w14:paraId="42B19929"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single" w:sz="4" w:space="0" w:color="auto"/>
              <w:left w:val="nil"/>
              <w:bottom w:val="nil"/>
              <w:right w:val="nil"/>
            </w:tcBorders>
            <w:shd w:val="clear" w:color="auto" w:fill="auto"/>
            <w:noWrap/>
            <w:vAlign w:val="bottom"/>
            <w:hideMark/>
          </w:tcPr>
          <w:p w14:paraId="324D9AE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431" w:type="dxa"/>
            <w:tcBorders>
              <w:top w:val="single" w:sz="4" w:space="0" w:color="auto"/>
              <w:left w:val="nil"/>
              <w:bottom w:val="nil"/>
              <w:right w:val="nil"/>
            </w:tcBorders>
            <w:shd w:val="clear" w:color="auto" w:fill="auto"/>
            <w:noWrap/>
            <w:vAlign w:val="bottom"/>
            <w:hideMark/>
          </w:tcPr>
          <w:p w14:paraId="663D588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298</w:t>
            </w:r>
          </w:p>
        </w:tc>
      </w:tr>
      <w:tr w:rsidR="00033A3F" w:rsidRPr="00033A3F" w14:paraId="48AD7A40" w14:textId="77777777" w:rsidTr="00763665">
        <w:trPr>
          <w:trHeight w:val="330"/>
        </w:trPr>
        <w:tc>
          <w:tcPr>
            <w:tcW w:w="1080" w:type="dxa"/>
            <w:tcBorders>
              <w:top w:val="single" w:sz="4" w:space="0" w:color="auto"/>
              <w:left w:val="nil"/>
              <w:bottom w:val="double" w:sz="6" w:space="0" w:color="auto"/>
              <w:right w:val="nil"/>
            </w:tcBorders>
            <w:shd w:val="clear" w:color="auto" w:fill="auto"/>
            <w:noWrap/>
            <w:vAlign w:val="bottom"/>
            <w:hideMark/>
          </w:tcPr>
          <w:p w14:paraId="3DAE11B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2024</w:t>
            </w:r>
          </w:p>
        </w:tc>
        <w:tc>
          <w:tcPr>
            <w:tcW w:w="1309" w:type="dxa"/>
            <w:tcBorders>
              <w:top w:val="single" w:sz="4" w:space="0" w:color="auto"/>
              <w:left w:val="nil"/>
              <w:bottom w:val="double" w:sz="6" w:space="0" w:color="auto"/>
              <w:right w:val="nil"/>
            </w:tcBorders>
            <w:shd w:val="clear" w:color="auto" w:fill="auto"/>
            <w:noWrap/>
            <w:vAlign w:val="bottom"/>
            <w:hideMark/>
          </w:tcPr>
          <w:p w14:paraId="59EB529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279</w:t>
            </w:r>
          </w:p>
        </w:tc>
        <w:tc>
          <w:tcPr>
            <w:tcW w:w="668" w:type="dxa"/>
            <w:tcBorders>
              <w:top w:val="single" w:sz="4" w:space="0" w:color="auto"/>
              <w:left w:val="nil"/>
              <w:bottom w:val="double" w:sz="6" w:space="0" w:color="auto"/>
              <w:right w:val="nil"/>
            </w:tcBorders>
            <w:shd w:val="clear" w:color="auto" w:fill="auto"/>
            <w:noWrap/>
            <w:vAlign w:val="bottom"/>
            <w:hideMark/>
          </w:tcPr>
          <w:p w14:paraId="33CCE11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single" w:sz="4" w:space="0" w:color="auto"/>
              <w:left w:val="nil"/>
              <w:bottom w:val="double" w:sz="6" w:space="0" w:color="auto"/>
              <w:right w:val="nil"/>
            </w:tcBorders>
            <w:shd w:val="clear" w:color="auto" w:fill="auto"/>
            <w:noWrap/>
            <w:vAlign w:val="bottom"/>
            <w:hideMark/>
          </w:tcPr>
          <w:p w14:paraId="55E3446F"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1431" w:type="dxa"/>
            <w:tcBorders>
              <w:top w:val="single" w:sz="4" w:space="0" w:color="auto"/>
              <w:left w:val="nil"/>
              <w:bottom w:val="double" w:sz="6" w:space="0" w:color="auto"/>
              <w:right w:val="nil"/>
            </w:tcBorders>
            <w:shd w:val="clear" w:color="auto" w:fill="auto"/>
            <w:noWrap/>
            <w:vAlign w:val="bottom"/>
            <w:hideMark/>
          </w:tcPr>
          <w:p w14:paraId="0AC52873"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280</w:t>
            </w:r>
          </w:p>
        </w:tc>
      </w:tr>
      <w:tr w:rsidR="00033A3F" w:rsidRPr="00033A3F" w14:paraId="31AB83C6" w14:textId="77777777" w:rsidTr="00763665">
        <w:trPr>
          <w:trHeight w:val="330"/>
        </w:trPr>
        <w:tc>
          <w:tcPr>
            <w:tcW w:w="1080" w:type="dxa"/>
            <w:tcBorders>
              <w:top w:val="nil"/>
              <w:left w:val="nil"/>
              <w:bottom w:val="nil"/>
              <w:right w:val="nil"/>
            </w:tcBorders>
            <w:shd w:val="clear" w:color="auto" w:fill="auto"/>
            <w:noWrap/>
            <w:vAlign w:val="bottom"/>
            <w:hideMark/>
          </w:tcPr>
          <w:p w14:paraId="4237C51D" w14:textId="77777777" w:rsidR="00763665" w:rsidRPr="00033A3F" w:rsidRDefault="00763665" w:rsidP="00763665">
            <w:pPr>
              <w:spacing w:line="240" w:lineRule="auto"/>
              <w:jc w:val="center"/>
              <w:rPr>
                <w:rFonts w:eastAsia="Times New Roman"/>
                <w:color w:val="000000" w:themeColor="text1"/>
                <w:szCs w:val="24"/>
                <w:lang w:eastAsia="cs-CZ"/>
              </w:rPr>
            </w:pPr>
          </w:p>
        </w:tc>
        <w:tc>
          <w:tcPr>
            <w:tcW w:w="1309" w:type="dxa"/>
            <w:tcBorders>
              <w:top w:val="nil"/>
              <w:left w:val="nil"/>
              <w:bottom w:val="nil"/>
              <w:right w:val="nil"/>
            </w:tcBorders>
            <w:shd w:val="clear" w:color="auto" w:fill="auto"/>
            <w:noWrap/>
            <w:vAlign w:val="bottom"/>
            <w:hideMark/>
          </w:tcPr>
          <w:p w14:paraId="7091B788" w14:textId="77777777" w:rsidR="00763665" w:rsidRPr="00033A3F" w:rsidRDefault="00763665" w:rsidP="00763665">
            <w:pPr>
              <w:spacing w:line="240" w:lineRule="auto"/>
              <w:jc w:val="left"/>
              <w:rPr>
                <w:rFonts w:ascii="Times New Roman" w:eastAsia="Times New Roman" w:hAnsi="Times New Roman"/>
                <w:color w:val="000000" w:themeColor="text1"/>
                <w:sz w:val="20"/>
                <w:szCs w:val="20"/>
                <w:lang w:eastAsia="cs-CZ"/>
              </w:rPr>
            </w:pPr>
          </w:p>
        </w:tc>
        <w:tc>
          <w:tcPr>
            <w:tcW w:w="668" w:type="dxa"/>
            <w:tcBorders>
              <w:top w:val="nil"/>
              <w:left w:val="nil"/>
              <w:bottom w:val="nil"/>
              <w:right w:val="nil"/>
            </w:tcBorders>
            <w:shd w:val="clear" w:color="auto" w:fill="auto"/>
            <w:noWrap/>
            <w:vAlign w:val="bottom"/>
            <w:hideMark/>
          </w:tcPr>
          <w:p w14:paraId="213ADFFC" w14:textId="77777777" w:rsidR="00763665" w:rsidRPr="00033A3F" w:rsidRDefault="00763665" w:rsidP="00763665">
            <w:pPr>
              <w:spacing w:line="240" w:lineRule="auto"/>
              <w:jc w:val="left"/>
              <w:rPr>
                <w:rFonts w:ascii="Times New Roman" w:eastAsia="Times New Roman" w:hAnsi="Times New Roman"/>
                <w:color w:val="000000" w:themeColor="text1"/>
                <w:sz w:val="20"/>
                <w:szCs w:val="20"/>
                <w:lang w:eastAsia="cs-CZ"/>
              </w:rPr>
            </w:pPr>
          </w:p>
        </w:tc>
        <w:tc>
          <w:tcPr>
            <w:tcW w:w="912" w:type="dxa"/>
            <w:tcBorders>
              <w:top w:val="nil"/>
              <w:left w:val="nil"/>
              <w:bottom w:val="nil"/>
              <w:right w:val="nil"/>
            </w:tcBorders>
            <w:shd w:val="clear" w:color="auto" w:fill="auto"/>
            <w:noWrap/>
            <w:vAlign w:val="bottom"/>
            <w:hideMark/>
          </w:tcPr>
          <w:p w14:paraId="6AAF7886" w14:textId="77777777" w:rsidR="00763665" w:rsidRPr="00033A3F" w:rsidRDefault="00763665" w:rsidP="00763665">
            <w:pPr>
              <w:spacing w:line="240" w:lineRule="auto"/>
              <w:jc w:val="left"/>
              <w:rPr>
                <w:rFonts w:ascii="Times New Roman" w:eastAsia="Times New Roman" w:hAnsi="Times New Roman"/>
                <w:color w:val="000000" w:themeColor="text1"/>
                <w:sz w:val="20"/>
                <w:szCs w:val="20"/>
                <w:lang w:eastAsia="cs-CZ"/>
              </w:rPr>
            </w:pPr>
          </w:p>
        </w:tc>
        <w:tc>
          <w:tcPr>
            <w:tcW w:w="1431" w:type="dxa"/>
            <w:tcBorders>
              <w:top w:val="nil"/>
              <w:left w:val="nil"/>
              <w:bottom w:val="nil"/>
              <w:right w:val="nil"/>
            </w:tcBorders>
            <w:shd w:val="clear" w:color="auto" w:fill="auto"/>
            <w:noWrap/>
            <w:vAlign w:val="bottom"/>
            <w:hideMark/>
          </w:tcPr>
          <w:p w14:paraId="68AF8C70" w14:textId="77777777" w:rsidR="00763665" w:rsidRPr="00033A3F" w:rsidRDefault="00763665" w:rsidP="00763665">
            <w:pPr>
              <w:spacing w:line="240" w:lineRule="auto"/>
              <w:jc w:val="left"/>
              <w:rPr>
                <w:rFonts w:ascii="Times New Roman" w:eastAsia="Times New Roman" w:hAnsi="Times New Roman"/>
                <w:color w:val="000000" w:themeColor="text1"/>
                <w:sz w:val="20"/>
                <w:szCs w:val="20"/>
                <w:lang w:eastAsia="cs-CZ"/>
              </w:rPr>
            </w:pPr>
          </w:p>
        </w:tc>
      </w:tr>
    </w:tbl>
    <w:p w14:paraId="7D41A2FB" w14:textId="77777777" w:rsidR="00763665" w:rsidRPr="00033A3F" w:rsidRDefault="00763665" w:rsidP="00763665">
      <w:pPr>
        <w:pStyle w:val="OdstavecASR"/>
        <w:rPr>
          <w:color w:val="000000" w:themeColor="text1"/>
        </w:rPr>
      </w:pPr>
      <w:r w:rsidRPr="00033A3F">
        <w:rPr>
          <w:color w:val="000000" w:themeColor="text1"/>
        </w:rPr>
        <w:t>Z tabulky vyplývají zajímavé skutečnosti:</w:t>
      </w:r>
    </w:p>
    <w:p w14:paraId="5A16742A" w14:textId="77777777" w:rsidR="00763665" w:rsidRPr="00033A3F" w:rsidRDefault="00763665" w:rsidP="00763665">
      <w:pPr>
        <w:pStyle w:val="OdstavecASR"/>
        <w:numPr>
          <w:ilvl w:val="0"/>
          <w:numId w:val="13"/>
        </w:numPr>
        <w:rPr>
          <w:color w:val="000000" w:themeColor="text1"/>
        </w:rPr>
      </w:pPr>
      <w:r w:rsidRPr="00033A3F">
        <w:rPr>
          <w:color w:val="000000" w:themeColor="text1"/>
        </w:rPr>
        <w:t>Rok 2009 představuje nejvyšší počet přeměn, resp. nařízení výkonu náhradního trestu odnětí svobody (NEPO). Následně až do roku 2015 počet těchto přeměn významně klesl na nejnižší stav. To zcela koresponduje s poklesem počtu ukládaných peněžitých trestů.</w:t>
      </w:r>
    </w:p>
    <w:p w14:paraId="2A734833" w14:textId="44C0D4C3" w:rsidR="00763665" w:rsidRPr="00033A3F" w:rsidRDefault="00763665" w:rsidP="00763665">
      <w:pPr>
        <w:pStyle w:val="OdstavecASR"/>
        <w:numPr>
          <w:ilvl w:val="0"/>
          <w:numId w:val="13"/>
        </w:numPr>
        <w:rPr>
          <w:color w:val="000000" w:themeColor="text1"/>
        </w:rPr>
      </w:pPr>
      <w:r w:rsidRPr="00033A3F">
        <w:rPr>
          <w:color w:val="000000" w:themeColor="text1"/>
        </w:rPr>
        <w:t>Z nových alternativních přeměn od roku 2013 se místo nařízení náhradního trestu odnětí svobody velmi často (v prvních dvou letech dokonce více) využívala přeměna v trest obecně prospěšných prací</w:t>
      </w:r>
      <w:r w:rsidR="006935A2" w:rsidRPr="00033A3F">
        <w:rPr>
          <w:color w:val="000000" w:themeColor="text1"/>
        </w:rPr>
        <w:t xml:space="preserve"> (OPP)</w:t>
      </w:r>
      <w:r w:rsidRPr="00033A3F">
        <w:rPr>
          <w:color w:val="000000" w:themeColor="text1"/>
        </w:rPr>
        <w:t>. Obliba této přeměny ale časem výrazně klesala, až v roce 202</w:t>
      </w:r>
      <w:r w:rsidR="00FC337A" w:rsidRPr="00033A3F">
        <w:rPr>
          <w:color w:val="000000" w:themeColor="text1"/>
        </w:rPr>
        <w:t>4</w:t>
      </w:r>
      <w:r w:rsidRPr="00033A3F">
        <w:rPr>
          <w:color w:val="000000" w:themeColor="text1"/>
        </w:rPr>
        <w:t xml:space="preserve"> došlo pouze k </w:t>
      </w:r>
      <w:r w:rsidR="00FC337A" w:rsidRPr="00033A3F">
        <w:rPr>
          <w:color w:val="000000" w:themeColor="text1"/>
        </w:rPr>
        <w:t>jedné</w:t>
      </w:r>
      <w:r w:rsidRPr="00033A3F">
        <w:rPr>
          <w:color w:val="000000" w:themeColor="text1"/>
        </w:rPr>
        <w:t xml:space="preserve"> t</w:t>
      </w:r>
      <w:r w:rsidR="00FC337A" w:rsidRPr="00033A3F">
        <w:rPr>
          <w:color w:val="000000" w:themeColor="text1"/>
        </w:rPr>
        <w:t>éto</w:t>
      </w:r>
      <w:r w:rsidRPr="00033A3F">
        <w:rPr>
          <w:color w:val="000000" w:themeColor="text1"/>
        </w:rPr>
        <w:t xml:space="preserve"> </w:t>
      </w:r>
      <w:r w:rsidR="00FC337A" w:rsidRPr="00033A3F">
        <w:rPr>
          <w:color w:val="000000" w:themeColor="text1"/>
        </w:rPr>
        <w:t>přeměně</w:t>
      </w:r>
      <w:r w:rsidRPr="00033A3F">
        <w:rPr>
          <w:color w:val="000000" w:themeColor="text1"/>
        </w:rPr>
        <w:t>.</w:t>
      </w:r>
      <w:r w:rsidR="006935A2" w:rsidRPr="00033A3F">
        <w:rPr>
          <w:color w:val="000000" w:themeColor="text1"/>
        </w:rPr>
        <w:t xml:space="preserve"> Přeměna v domácí vězení (DV) se </w:t>
      </w:r>
      <w:r w:rsidR="007A6302" w:rsidRPr="00033A3F">
        <w:rPr>
          <w:color w:val="000000" w:themeColor="text1"/>
        </w:rPr>
        <w:t>neujala nikdy</w:t>
      </w:r>
      <w:r w:rsidRPr="00033A3F">
        <w:rPr>
          <w:color w:val="000000" w:themeColor="text1"/>
        </w:rPr>
        <w:t>.</w:t>
      </w:r>
    </w:p>
    <w:p w14:paraId="23A5974F" w14:textId="7C1940AD" w:rsidR="00763665" w:rsidRPr="00033A3F" w:rsidRDefault="00763665" w:rsidP="00763665">
      <w:pPr>
        <w:pStyle w:val="OdstavecASR"/>
        <w:numPr>
          <w:ilvl w:val="0"/>
          <w:numId w:val="13"/>
        </w:numPr>
        <w:rPr>
          <w:color w:val="000000" w:themeColor="text1"/>
        </w:rPr>
      </w:pPr>
      <w:r w:rsidRPr="00033A3F">
        <w:rPr>
          <w:color w:val="000000" w:themeColor="text1"/>
        </w:rPr>
        <w:t>Počet přeměn v trest odnětí svobody, resp. nařízení výkonu náhradního trestu odnětí svobody, sice od roku 2018 do roku 2020 opět narůstal, ale ne tak výrazně jako počet uložených trestů a nedosáhl ani úrovně před rokem 2010.</w:t>
      </w:r>
    </w:p>
    <w:p w14:paraId="22AA6FD1" w14:textId="5EC63104" w:rsidR="00763665" w:rsidRPr="00033A3F" w:rsidRDefault="00763665" w:rsidP="00763665">
      <w:pPr>
        <w:pStyle w:val="OdstavecASR"/>
        <w:numPr>
          <w:ilvl w:val="0"/>
          <w:numId w:val="13"/>
        </w:numPr>
        <w:rPr>
          <w:color w:val="000000" w:themeColor="text1"/>
        </w:rPr>
      </w:pPr>
      <w:r w:rsidRPr="00033A3F">
        <w:rPr>
          <w:color w:val="000000" w:themeColor="text1"/>
        </w:rPr>
        <w:t xml:space="preserve">V roce 2021 se zřejmě projevila výše zmíněná novela provedená zákonem č. 333/2020 Sb. Došlo ke značnému nárůstu přeměn v NEPO, které opět naprosto dominují, a to zřejmě na úkor přeměn na OPP, jejichž počet souběžně klesal. Celkový počet přeměn byl ale </w:t>
      </w:r>
      <w:r w:rsidRPr="00033A3F">
        <w:rPr>
          <w:color w:val="000000" w:themeColor="text1"/>
        </w:rPr>
        <w:lastRenderedPageBreak/>
        <w:t>podobný jako v roce 2020. V letech 2022 a 2023 pak došlo k dalšímu nárůstu v počtu přeměn. V roce 2024 počet přeměn velmi mírně poklesl.</w:t>
      </w:r>
    </w:p>
    <w:p w14:paraId="4F1C25EA" w14:textId="77777777" w:rsidR="00763665" w:rsidRDefault="00763665" w:rsidP="00763665">
      <w:pPr>
        <w:pStyle w:val="OdstavecASR"/>
        <w:rPr>
          <w:color w:val="000000" w:themeColor="text1"/>
        </w:rPr>
      </w:pPr>
      <w:r w:rsidRPr="00033A3F">
        <w:rPr>
          <w:color w:val="000000" w:themeColor="text1"/>
        </w:rPr>
        <w:t>Lze tak konstatovat, že iniciativa přinesla častější ukládání peněžitých trestů, přičemž do současnosti ve stejném poměru nevzrostly přeměny peněžitého trestu v jiný trest. Situaci je nicméně nutné dále monitorovat s ohledem na prodlení mezi nesplněním uloženého peněžitého trestu a okamžikem, kdy soud z tohoto důvodu přistoupí k případné přeměně trestu.</w:t>
      </w:r>
    </w:p>
    <w:p w14:paraId="3D9AB4E8" w14:textId="77777777" w:rsidR="00EC39B9" w:rsidRPr="00033A3F" w:rsidRDefault="00EC39B9" w:rsidP="00EC39B9">
      <w:pPr>
        <w:rPr>
          <w:color w:val="000000" w:themeColor="text1"/>
        </w:rPr>
      </w:pPr>
    </w:p>
    <w:p w14:paraId="12399AFF" w14:textId="77777777" w:rsidR="0009728F" w:rsidRPr="00033A3F" w:rsidRDefault="0009728F" w:rsidP="0009728F">
      <w:pPr>
        <w:pStyle w:val="OdstavecASR"/>
        <w:keepNext/>
        <w:outlineLvl w:val="3"/>
        <w:rPr>
          <w:b/>
          <w:bCs/>
          <w:color w:val="000000" w:themeColor="text1"/>
        </w:rPr>
      </w:pPr>
      <w:r w:rsidRPr="00033A3F">
        <w:rPr>
          <w:b/>
          <w:bCs/>
          <w:color w:val="000000" w:themeColor="text1"/>
        </w:rPr>
        <w:t>Podíl věcí skončených trestním příkazem</w:t>
      </w:r>
    </w:p>
    <w:p w14:paraId="46FBD19F" w14:textId="273A23D4" w:rsidR="0009728F" w:rsidRPr="00033A3F" w:rsidRDefault="000B5F14" w:rsidP="0009728F">
      <w:pPr>
        <w:pStyle w:val="OdstavecASR"/>
        <w:rPr>
          <w:color w:val="000000" w:themeColor="text1"/>
        </w:rPr>
      </w:pPr>
      <w:r w:rsidRPr="00033A3F">
        <w:rPr>
          <w:color w:val="000000" w:themeColor="text1"/>
        </w:rPr>
        <w:t>Data uvedená v předchozích kapitolách trestní agendy</w:t>
      </w:r>
      <w:r w:rsidR="005C58FD" w:rsidRPr="00033A3F">
        <w:rPr>
          <w:color w:val="000000" w:themeColor="text1"/>
        </w:rPr>
        <w:t xml:space="preserve"> u OS</w:t>
      </w:r>
      <w:r w:rsidR="0009728F" w:rsidRPr="00033A3F">
        <w:rPr>
          <w:color w:val="000000" w:themeColor="text1"/>
        </w:rPr>
        <w:t xml:space="preserve"> (délky řízení a míra odvolání) byla očištěna o věci skončené trestním příkazem, údaj o využívání tohoto nástroje je však významný. Proto je v následujícím grafu uveden podíl věcí, které byly pravomocně skončeny trestním příkazem.</w:t>
      </w:r>
    </w:p>
    <w:p w14:paraId="45A5A850" w14:textId="2D6E7EA2" w:rsidR="0009728F" w:rsidRPr="00033A3F" w:rsidRDefault="0009728F" w:rsidP="0009728F">
      <w:pPr>
        <w:pStyle w:val="OdstavecASR"/>
        <w:rPr>
          <w:color w:val="000000" w:themeColor="text1"/>
        </w:rPr>
      </w:pPr>
      <w:r w:rsidRPr="00033A3F">
        <w:rPr>
          <w:color w:val="000000" w:themeColor="text1"/>
        </w:rPr>
        <w:t>V letech 2014 až 2016 je v řadě vidět klesající tendence. To znamená, že pozorovaný pokles celkové kriminality se týkal zejména méně závažných věcí, ze kterých se věci řešené trestním příkazem rekrutují; závažnější kriminalita pak pravděpodobně klesala méně či vůbec. Trend se otočil v roce 2017 a podíl věcí vyřízených trestním příkazem opět začal růst až do roku 2020; po tomto roce nicméně opět došlo k</w:t>
      </w:r>
      <w:r w:rsidR="001E351E" w:rsidRPr="00033A3F">
        <w:rPr>
          <w:color w:val="000000" w:themeColor="text1"/>
        </w:rPr>
        <w:t> </w:t>
      </w:r>
      <w:r w:rsidRPr="00033A3F">
        <w:rPr>
          <w:color w:val="000000" w:themeColor="text1"/>
        </w:rPr>
        <w:t>poklesu</w:t>
      </w:r>
      <w:r w:rsidR="001E351E" w:rsidRPr="00033A3F">
        <w:rPr>
          <w:color w:val="000000" w:themeColor="text1"/>
        </w:rPr>
        <w:t xml:space="preserve"> a následné stabilizaci okolo hodnoty 49</w:t>
      </w:r>
      <w:r w:rsidR="00FC337A" w:rsidRPr="00033A3F">
        <w:rPr>
          <w:color w:val="000000" w:themeColor="text1"/>
        </w:rPr>
        <w:t xml:space="preserve"> </w:t>
      </w:r>
      <w:r w:rsidR="001E351E" w:rsidRPr="00033A3F">
        <w:rPr>
          <w:color w:val="000000" w:themeColor="text1"/>
        </w:rPr>
        <w:t>%</w:t>
      </w:r>
      <w:r w:rsidRPr="00033A3F">
        <w:rPr>
          <w:color w:val="000000" w:themeColor="text1"/>
        </w:rPr>
        <w:t xml:space="preserve">. Žádný trvalý trend tak z dat nevyplývá, když podíl </w:t>
      </w:r>
      <w:r w:rsidR="001E351E" w:rsidRPr="00033A3F">
        <w:rPr>
          <w:color w:val="000000" w:themeColor="text1"/>
        </w:rPr>
        <w:t xml:space="preserve">dlouhodobě </w:t>
      </w:r>
      <w:r w:rsidRPr="00033A3F">
        <w:rPr>
          <w:color w:val="000000" w:themeColor="text1"/>
        </w:rPr>
        <w:t>osciluje mezi 47 a 50 %.</w:t>
      </w:r>
    </w:p>
    <w:p w14:paraId="7F36DFF2" w14:textId="6E63A299" w:rsidR="0009728F" w:rsidRPr="00033A3F" w:rsidRDefault="0009728F" w:rsidP="0009728F">
      <w:pPr>
        <w:pStyle w:val="Podnadpis"/>
        <w:rPr>
          <w:color w:val="000000" w:themeColor="text1"/>
        </w:rPr>
      </w:pPr>
      <w:bookmarkStart w:id="723" w:name="_Toc43841411"/>
      <w:bookmarkStart w:id="724" w:name="_Toc75952214"/>
      <w:bookmarkStart w:id="725" w:name="_Toc106106666"/>
      <w:bookmarkStart w:id="726" w:name="_Toc109801990"/>
      <w:bookmarkStart w:id="727" w:name="_Toc169250954"/>
      <w:bookmarkStart w:id="728" w:name="_Toc174080640"/>
      <w:bookmarkStart w:id="729" w:name="_Toc193530791"/>
      <w:bookmarkStart w:id="730" w:name="_Toc193634065"/>
      <w:bookmarkStart w:id="731" w:name="_Toc20303286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36</w:t>
      </w:r>
      <w:r w:rsidRPr="00033A3F">
        <w:rPr>
          <w:noProof/>
          <w:color w:val="000000" w:themeColor="text1"/>
        </w:rPr>
        <w:fldChar w:fldCharType="end"/>
      </w:r>
      <w:r w:rsidRPr="00033A3F">
        <w:rPr>
          <w:color w:val="000000" w:themeColor="text1"/>
        </w:rPr>
        <w:t>: OS – podíl věcí skončených trestním příkazem v letech 2014–</w:t>
      </w:r>
      <w:bookmarkEnd w:id="723"/>
      <w:bookmarkEnd w:id="724"/>
      <w:bookmarkEnd w:id="725"/>
      <w:bookmarkEnd w:id="726"/>
      <w:bookmarkEnd w:id="727"/>
      <w:bookmarkEnd w:id="728"/>
      <w:r w:rsidR="00936B01" w:rsidRPr="00033A3F">
        <w:rPr>
          <w:color w:val="000000" w:themeColor="text1"/>
        </w:rPr>
        <w:t>2024</w:t>
      </w:r>
      <w:bookmarkEnd w:id="729"/>
      <w:bookmarkEnd w:id="730"/>
      <w:bookmarkEnd w:id="731"/>
    </w:p>
    <w:p w14:paraId="56C65862" w14:textId="3D278EDC" w:rsidR="0009728F" w:rsidRPr="00033A3F" w:rsidRDefault="007C20A0" w:rsidP="00763665">
      <w:pPr>
        <w:pStyle w:val="OdstavecASR"/>
        <w:rPr>
          <w:color w:val="000000" w:themeColor="text1"/>
        </w:rPr>
      </w:pPr>
      <w:r w:rsidRPr="00033A3F">
        <w:rPr>
          <w:noProof/>
          <w:color w:val="000000" w:themeColor="text1"/>
          <w:lang w:eastAsia="cs-CZ"/>
        </w:rPr>
        <w:drawing>
          <wp:inline distT="0" distB="0" distL="0" distR="0" wp14:anchorId="4618BCB5" wp14:editId="7F9C379D">
            <wp:extent cx="5029200" cy="3657600"/>
            <wp:effectExtent l="0" t="0" r="0" b="0"/>
            <wp:docPr id="1292273247"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31AF06F" w14:textId="77777777" w:rsidR="00EC39B9" w:rsidRPr="00033A3F" w:rsidRDefault="00EC39B9" w:rsidP="00EC39B9">
      <w:pPr>
        <w:rPr>
          <w:color w:val="000000" w:themeColor="text1"/>
        </w:rPr>
      </w:pPr>
    </w:p>
    <w:p w14:paraId="5EA3DB2D" w14:textId="666CA5D8" w:rsidR="00763665" w:rsidRPr="00033A3F" w:rsidRDefault="00037D0A" w:rsidP="0009728F">
      <w:pPr>
        <w:pStyle w:val="OdstavecASR"/>
        <w:keepNext/>
        <w:outlineLvl w:val="3"/>
        <w:rPr>
          <w:b/>
          <w:bCs/>
          <w:color w:val="000000" w:themeColor="text1"/>
        </w:rPr>
      </w:pPr>
      <w:r w:rsidRPr="00033A3F">
        <w:rPr>
          <w:b/>
          <w:bCs/>
          <w:color w:val="000000" w:themeColor="text1"/>
        </w:rPr>
        <w:t>Uložené výše NEPO</w:t>
      </w:r>
    </w:p>
    <w:p w14:paraId="321C3CD6" w14:textId="693EAD9C" w:rsidR="0009728F" w:rsidRPr="00033A3F" w:rsidRDefault="007C0E73" w:rsidP="00763665">
      <w:pPr>
        <w:pStyle w:val="OdstavecASR"/>
        <w:rPr>
          <w:color w:val="000000" w:themeColor="text1"/>
        </w:rPr>
      </w:pPr>
      <w:r w:rsidRPr="00033A3F">
        <w:rPr>
          <w:color w:val="000000" w:themeColor="text1"/>
        </w:rPr>
        <w:t xml:space="preserve">Zajímavý pohled na data o ukládaných trestech přináší graf níže. Na </w:t>
      </w:r>
      <w:r w:rsidR="00EC45DC">
        <w:rPr>
          <w:color w:val="000000" w:themeColor="text1"/>
        </w:rPr>
        <w:t>vodorovné</w:t>
      </w:r>
      <w:r w:rsidR="00860FB3">
        <w:rPr>
          <w:color w:val="000000" w:themeColor="text1"/>
        </w:rPr>
        <w:t xml:space="preserve"> ose</w:t>
      </w:r>
      <w:r w:rsidRPr="00033A3F">
        <w:rPr>
          <w:color w:val="000000" w:themeColor="text1"/>
        </w:rPr>
        <w:t xml:space="preserve"> je výše trestů v měsících a na </w:t>
      </w:r>
      <w:r w:rsidR="00EC45DC">
        <w:rPr>
          <w:color w:val="000000" w:themeColor="text1"/>
        </w:rPr>
        <w:t>svislé</w:t>
      </w:r>
      <w:r w:rsidR="00860FB3">
        <w:rPr>
          <w:color w:val="000000" w:themeColor="text1"/>
        </w:rPr>
        <w:t xml:space="preserve"> ose</w:t>
      </w:r>
      <w:r w:rsidRPr="00033A3F">
        <w:rPr>
          <w:color w:val="000000" w:themeColor="text1"/>
        </w:rPr>
        <w:t xml:space="preserve"> počet uložených trestů odsouzeným osobám. Všechny tresty nad </w:t>
      </w:r>
      <w:r w:rsidRPr="00033A3F">
        <w:rPr>
          <w:color w:val="000000" w:themeColor="text1"/>
        </w:rPr>
        <w:lastRenderedPageBreak/>
        <w:t>48</w:t>
      </w:r>
      <w:r w:rsidR="0057327F">
        <w:rPr>
          <w:color w:val="000000" w:themeColor="text1"/>
        </w:rPr>
        <w:t> </w:t>
      </w:r>
      <w:r w:rsidRPr="00033A3F">
        <w:rPr>
          <w:color w:val="000000" w:themeColor="text1"/>
        </w:rPr>
        <w:t xml:space="preserve">měsíců byly agregovány do posledního sloupce. Graf ukazuje, že nejčastěji ukládaná délka odnětí svobody je 6 měsíců. </w:t>
      </w:r>
      <w:r w:rsidR="0009728F" w:rsidRPr="00033A3F">
        <w:rPr>
          <w:color w:val="000000" w:themeColor="text1"/>
        </w:rPr>
        <w:t>Obecně</w:t>
      </w:r>
      <w:r w:rsidRPr="00033A3F">
        <w:rPr>
          <w:color w:val="000000" w:themeColor="text1"/>
        </w:rPr>
        <w:t xml:space="preserve"> jsou</w:t>
      </w:r>
      <w:r w:rsidR="0009728F" w:rsidRPr="00033A3F">
        <w:rPr>
          <w:color w:val="000000" w:themeColor="text1"/>
        </w:rPr>
        <w:t xml:space="preserve"> tresty</w:t>
      </w:r>
      <w:r w:rsidRPr="00033A3F">
        <w:rPr>
          <w:color w:val="000000" w:themeColor="text1"/>
        </w:rPr>
        <w:t xml:space="preserve"> často</w:t>
      </w:r>
      <w:r w:rsidR="0009728F" w:rsidRPr="00033A3F">
        <w:rPr>
          <w:color w:val="000000" w:themeColor="text1"/>
        </w:rPr>
        <w:t xml:space="preserve"> uklád</w:t>
      </w:r>
      <w:r w:rsidR="00B21AA6" w:rsidRPr="00033A3F">
        <w:rPr>
          <w:color w:val="000000" w:themeColor="text1"/>
        </w:rPr>
        <w:t>á</w:t>
      </w:r>
      <w:r w:rsidR="0009728F" w:rsidRPr="00033A3F">
        <w:rPr>
          <w:color w:val="000000" w:themeColor="text1"/>
        </w:rPr>
        <w:t>n</w:t>
      </w:r>
      <w:r w:rsidR="00B21AA6" w:rsidRPr="00033A3F">
        <w:rPr>
          <w:color w:val="000000" w:themeColor="text1"/>
        </w:rPr>
        <w:t>y</w:t>
      </w:r>
      <w:r w:rsidR="0009728F" w:rsidRPr="00033A3F">
        <w:rPr>
          <w:color w:val="000000" w:themeColor="text1"/>
        </w:rPr>
        <w:t xml:space="preserve"> v násobcích </w:t>
      </w:r>
      <w:r w:rsidR="00B21AA6" w:rsidRPr="00033A3F">
        <w:rPr>
          <w:color w:val="000000" w:themeColor="text1"/>
        </w:rPr>
        <w:t>šesti měsíců</w:t>
      </w:r>
      <w:r w:rsidR="009F2006" w:rsidRPr="00033A3F">
        <w:rPr>
          <w:color w:val="000000" w:themeColor="text1"/>
        </w:rPr>
        <w:t>,</w:t>
      </w:r>
      <w:r w:rsidR="001E351E" w:rsidRPr="00033A3F">
        <w:rPr>
          <w:color w:val="000000" w:themeColor="text1"/>
        </w:rPr>
        <w:t xml:space="preserve"> </w:t>
      </w:r>
      <w:r w:rsidR="002C485D" w:rsidRPr="00033A3F">
        <w:rPr>
          <w:color w:val="000000" w:themeColor="text1"/>
        </w:rPr>
        <w:t>respektive</w:t>
      </w:r>
      <w:r w:rsidR="001E351E" w:rsidRPr="00033A3F">
        <w:rPr>
          <w:color w:val="000000" w:themeColor="text1"/>
        </w:rPr>
        <w:t xml:space="preserve"> 12</w:t>
      </w:r>
      <w:r w:rsidR="0057327F">
        <w:rPr>
          <w:color w:val="000000" w:themeColor="text1"/>
        </w:rPr>
        <w:t> </w:t>
      </w:r>
      <w:r w:rsidR="001E351E" w:rsidRPr="00033A3F">
        <w:rPr>
          <w:color w:val="000000" w:themeColor="text1"/>
        </w:rPr>
        <w:t>měsíců</w:t>
      </w:r>
      <w:r w:rsidR="0009728F" w:rsidRPr="00033A3F">
        <w:rPr>
          <w:color w:val="000000" w:themeColor="text1"/>
        </w:rPr>
        <w:t>. U</w:t>
      </w:r>
      <w:r w:rsidR="00866A47">
        <w:rPr>
          <w:color w:val="000000" w:themeColor="text1"/>
        </w:rPr>
        <w:t> </w:t>
      </w:r>
      <w:r w:rsidR="0009728F" w:rsidRPr="00033A3F">
        <w:rPr>
          <w:color w:val="000000" w:themeColor="text1"/>
        </w:rPr>
        <w:t>nižších trestů je tento trend ale méně patrný (</w:t>
      </w:r>
      <w:r w:rsidR="00520395" w:rsidRPr="00033A3F">
        <w:rPr>
          <w:color w:val="000000" w:themeColor="text1"/>
        </w:rPr>
        <w:t xml:space="preserve">evidujeme mnoho </w:t>
      </w:r>
      <w:r w:rsidR="0009728F" w:rsidRPr="00033A3F">
        <w:rPr>
          <w:color w:val="000000" w:themeColor="text1"/>
        </w:rPr>
        <w:t>trestů ve výši 2,3 či 10 měsíců). U vyšších vidíme, že velmi často jsou ukládány například tresty ve v</w:t>
      </w:r>
      <w:r w:rsidR="00EC45DC">
        <w:rPr>
          <w:color w:val="000000" w:themeColor="text1"/>
        </w:rPr>
        <w:t>ý</w:t>
      </w:r>
      <w:r w:rsidR="0009728F" w:rsidRPr="00033A3F">
        <w:rPr>
          <w:color w:val="000000" w:themeColor="text1"/>
        </w:rPr>
        <w:t>ši 24 či 36 měsíců.</w:t>
      </w:r>
      <w:r w:rsidR="009874A1" w:rsidRPr="00033A3F">
        <w:rPr>
          <w:color w:val="000000" w:themeColor="text1"/>
        </w:rPr>
        <w:t xml:space="preserve"> Data implikují, že </w:t>
      </w:r>
      <w:r w:rsidR="00AD32E5" w:rsidRPr="00033A3F">
        <w:rPr>
          <w:color w:val="000000" w:themeColor="text1"/>
        </w:rPr>
        <w:t>při</w:t>
      </w:r>
      <w:r w:rsidR="009874A1" w:rsidRPr="00033A3F">
        <w:rPr>
          <w:color w:val="000000" w:themeColor="text1"/>
        </w:rPr>
        <w:t xml:space="preserve"> výš</w:t>
      </w:r>
      <w:r w:rsidR="00AD32E5" w:rsidRPr="00033A3F">
        <w:rPr>
          <w:color w:val="000000" w:themeColor="text1"/>
        </w:rPr>
        <w:t>i</w:t>
      </w:r>
      <w:r w:rsidR="009874A1" w:rsidRPr="00033A3F">
        <w:rPr>
          <w:color w:val="000000" w:themeColor="text1"/>
        </w:rPr>
        <w:t xml:space="preserve"> trestu</w:t>
      </w:r>
      <w:r w:rsidR="00AD32E5" w:rsidRPr="00033A3F">
        <w:rPr>
          <w:color w:val="000000" w:themeColor="text1"/>
        </w:rPr>
        <w:t xml:space="preserve"> do</w:t>
      </w:r>
      <w:r w:rsidR="009874A1" w:rsidRPr="00033A3F">
        <w:rPr>
          <w:color w:val="000000" w:themeColor="text1"/>
        </w:rPr>
        <w:t xml:space="preserve"> 12 měsíců se </w:t>
      </w:r>
      <w:r w:rsidR="00AD32E5" w:rsidRPr="00033A3F">
        <w:rPr>
          <w:color w:val="000000" w:themeColor="text1"/>
        </w:rPr>
        <w:t xml:space="preserve">pečlivě </w:t>
      </w:r>
      <w:r w:rsidR="009874A1" w:rsidRPr="00033A3F">
        <w:rPr>
          <w:color w:val="000000" w:themeColor="text1"/>
        </w:rPr>
        <w:t>zvažuje každý jednotlivý měsíc, kdežto čím delší trest</w:t>
      </w:r>
      <w:r w:rsidR="009F2006" w:rsidRPr="00033A3F">
        <w:rPr>
          <w:color w:val="000000" w:themeColor="text1"/>
        </w:rPr>
        <w:t>,</w:t>
      </w:r>
      <w:r w:rsidR="009874A1" w:rsidRPr="00033A3F">
        <w:rPr>
          <w:color w:val="000000" w:themeColor="text1"/>
        </w:rPr>
        <w:t xml:space="preserve"> tím „hrubší“ optika se při jeho udě</w:t>
      </w:r>
      <w:r w:rsidR="002C485D" w:rsidRPr="00033A3F">
        <w:rPr>
          <w:color w:val="000000" w:themeColor="text1"/>
        </w:rPr>
        <w:t>lení</w:t>
      </w:r>
      <w:r w:rsidR="009874A1" w:rsidRPr="00033A3F">
        <w:rPr>
          <w:color w:val="000000" w:themeColor="text1"/>
        </w:rPr>
        <w:t xml:space="preserve"> používá.</w:t>
      </w:r>
    </w:p>
    <w:p w14:paraId="6F3093A2" w14:textId="18D31604" w:rsidR="00037D0A" w:rsidRPr="00033A3F" w:rsidRDefault="007C0E73" w:rsidP="007C0E73">
      <w:pPr>
        <w:pStyle w:val="Podnadpis"/>
        <w:rPr>
          <w:color w:val="000000" w:themeColor="text1"/>
        </w:rPr>
      </w:pPr>
      <w:bookmarkStart w:id="732" w:name="_Toc193530792"/>
      <w:bookmarkStart w:id="733" w:name="_Toc193634066"/>
      <w:bookmarkStart w:id="734" w:name="_Toc20303286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37</w:t>
      </w:r>
      <w:r w:rsidRPr="00033A3F">
        <w:rPr>
          <w:color w:val="000000" w:themeColor="text1"/>
        </w:rPr>
        <w:fldChar w:fldCharType="end"/>
      </w:r>
      <w:r w:rsidRPr="00033A3F">
        <w:rPr>
          <w:color w:val="000000" w:themeColor="text1"/>
        </w:rPr>
        <w:t>: OS – výše uložených NEPO dle délky</w:t>
      </w:r>
      <w:bookmarkEnd w:id="732"/>
      <w:bookmarkEnd w:id="733"/>
      <w:r w:rsidR="001E351E" w:rsidRPr="00033A3F">
        <w:rPr>
          <w:color w:val="000000" w:themeColor="text1"/>
        </w:rPr>
        <w:t>, 2024</w:t>
      </w:r>
      <w:bookmarkEnd w:id="734"/>
    </w:p>
    <w:p w14:paraId="35BD1E9B" w14:textId="31A06943" w:rsidR="00B34B35" w:rsidRDefault="007C0E73" w:rsidP="00763665">
      <w:pPr>
        <w:pStyle w:val="OdstavecASR"/>
        <w:rPr>
          <w:b/>
          <w:bCs/>
          <w:color w:val="000000" w:themeColor="text1"/>
        </w:rPr>
      </w:pPr>
      <w:r w:rsidRPr="00033A3F">
        <w:rPr>
          <w:b/>
          <w:bCs/>
          <w:noProof/>
          <w:color w:val="000000" w:themeColor="text1"/>
          <w:lang w:eastAsia="cs-CZ"/>
        </w:rPr>
        <w:drawing>
          <wp:inline distT="0" distB="0" distL="0" distR="0" wp14:anchorId="33CF67DC" wp14:editId="195DF8BC">
            <wp:extent cx="5029200" cy="3657600"/>
            <wp:effectExtent l="0" t="0" r="0" b="0"/>
            <wp:docPr id="589964544"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7522688" w14:textId="77777777" w:rsidR="0057327F" w:rsidRPr="0057327F" w:rsidRDefault="0057327F" w:rsidP="00763665">
      <w:pPr>
        <w:pStyle w:val="OdstavecASR"/>
        <w:rPr>
          <w:color w:val="000000" w:themeColor="text1"/>
        </w:rPr>
      </w:pPr>
    </w:p>
    <w:p w14:paraId="18AD576B" w14:textId="1E3A3635" w:rsidR="00EE1E80" w:rsidRPr="00033A3F" w:rsidRDefault="00EE1E80" w:rsidP="00EE1E80">
      <w:pPr>
        <w:pStyle w:val="OdstavecASR"/>
        <w:keepNext/>
        <w:outlineLvl w:val="3"/>
        <w:rPr>
          <w:b/>
          <w:bCs/>
          <w:color w:val="000000" w:themeColor="text1"/>
        </w:rPr>
      </w:pPr>
      <w:bookmarkStart w:id="735" w:name="_Toc193531069"/>
      <w:bookmarkStart w:id="736" w:name="_Toc193957127"/>
      <w:r w:rsidRPr="00033A3F">
        <w:rPr>
          <w:b/>
          <w:bCs/>
          <w:color w:val="000000" w:themeColor="text1"/>
        </w:rPr>
        <w:t>Podmíněné propuštění</w:t>
      </w:r>
      <w:bookmarkEnd w:id="735"/>
      <w:bookmarkEnd w:id="736"/>
      <w:r w:rsidRPr="00033A3F">
        <w:rPr>
          <w:b/>
          <w:bCs/>
          <w:color w:val="000000" w:themeColor="text1"/>
        </w:rPr>
        <w:t xml:space="preserve"> z výkonu trestu odnětí svobody</w:t>
      </w:r>
    </w:p>
    <w:p w14:paraId="556B1852" w14:textId="1B39B795" w:rsidR="001736D2" w:rsidRPr="001736D2" w:rsidRDefault="001736D2" w:rsidP="001736D2">
      <w:pPr>
        <w:pStyle w:val="OdstavecASR"/>
        <w:rPr>
          <w:lang w:eastAsia="cs-CZ"/>
        </w:rPr>
      </w:pPr>
      <w:r w:rsidRPr="001736D2">
        <w:rPr>
          <w:lang w:eastAsia="cs-CZ"/>
        </w:rPr>
        <w:t>Po vykonání části trestu odnětí svobody může odsouzený podat návrh na podmíněné</w:t>
      </w:r>
      <w:r w:rsidR="0057327F">
        <w:rPr>
          <w:lang w:eastAsia="cs-CZ"/>
        </w:rPr>
        <w:t xml:space="preserve"> </w:t>
      </w:r>
      <w:r w:rsidRPr="001736D2">
        <w:rPr>
          <w:lang w:eastAsia="cs-CZ"/>
        </w:rPr>
        <w:t>propuštění z výkonu trestu a opustit tak věznici před vykonáním celé uložené délky trestu.</w:t>
      </w:r>
      <w:r w:rsidR="0057327F">
        <w:rPr>
          <w:lang w:eastAsia="cs-CZ"/>
        </w:rPr>
        <w:t xml:space="preserve"> </w:t>
      </w:r>
      <w:r w:rsidRPr="001736D2">
        <w:rPr>
          <w:lang w:eastAsia="cs-CZ"/>
        </w:rPr>
        <w:t>Návrh na podmíněné propuštění může vedle odsouzeného podat též ředitel věznice nebo státní</w:t>
      </w:r>
      <w:r w:rsidR="0057327F">
        <w:rPr>
          <w:lang w:eastAsia="cs-CZ"/>
        </w:rPr>
        <w:t xml:space="preserve"> </w:t>
      </w:r>
      <w:r w:rsidRPr="001736D2">
        <w:rPr>
          <w:lang w:eastAsia="cs-CZ"/>
        </w:rPr>
        <w:t>zástupce, případně může soud o podmíněném propuštění rozhodnout i bez návrhu. Podmíněně</w:t>
      </w:r>
      <w:r w:rsidR="0057327F">
        <w:rPr>
          <w:lang w:eastAsia="cs-CZ"/>
        </w:rPr>
        <w:t xml:space="preserve"> </w:t>
      </w:r>
      <w:r w:rsidRPr="001736D2">
        <w:rPr>
          <w:lang w:eastAsia="cs-CZ"/>
        </w:rPr>
        <w:t>propuštěn může být odsouzený, který ve výkonu trestu svým chováním a plněním svých</w:t>
      </w:r>
      <w:r w:rsidR="0057327F">
        <w:rPr>
          <w:lang w:eastAsia="cs-CZ"/>
        </w:rPr>
        <w:t xml:space="preserve"> </w:t>
      </w:r>
      <w:r w:rsidRPr="001736D2">
        <w:rPr>
          <w:lang w:eastAsia="cs-CZ"/>
        </w:rPr>
        <w:t>povinností prokázal polepšení a může se od něho očekávat, že v budoucnu povede řádný</w:t>
      </w:r>
      <w:r w:rsidR="0057327F">
        <w:rPr>
          <w:lang w:eastAsia="cs-CZ"/>
        </w:rPr>
        <w:t xml:space="preserve"> </w:t>
      </w:r>
      <w:r w:rsidRPr="001736D2">
        <w:rPr>
          <w:lang w:eastAsia="cs-CZ"/>
        </w:rPr>
        <w:t>život, a který vykonal zákonem stanovenou část trestu (odsouzeného za přečin lze za zákonem</w:t>
      </w:r>
      <w:r w:rsidR="0057327F">
        <w:rPr>
          <w:lang w:eastAsia="cs-CZ"/>
        </w:rPr>
        <w:t xml:space="preserve"> </w:t>
      </w:r>
      <w:r w:rsidRPr="001736D2">
        <w:rPr>
          <w:lang w:eastAsia="cs-CZ"/>
        </w:rPr>
        <w:t>stanovených podmínek podmíněně propustit i dříve).</w:t>
      </w:r>
    </w:p>
    <w:p w14:paraId="0890EF1D" w14:textId="77777777" w:rsidR="001736D2" w:rsidRPr="001736D2" w:rsidRDefault="001736D2" w:rsidP="001736D2">
      <w:pPr>
        <w:pStyle w:val="OdstavecASR"/>
        <w:rPr>
          <w:lang w:eastAsia="cs-CZ"/>
        </w:rPr>
      </w:pPr>
      <w:r w:rsidRPr="001736D2">
        <w:rPr>
          <w:lang w:eastAsia="cs-CZ"/>
        </w:rPr>
        <w:t>O návrhu na podmíněné propuštění rozhoduje soud, který může:</w:t>
      </w:r>
    </w:p>
    <w:p w14:paraId="3B31DF89" w14:textId="7C9A4EC3" w:rsidR="001736D2" w:rsidRPr="001736D2" w:rsidRDefault="001736D2" w:rsidP="001736D2">
      <w:pPr>
        <w:pStyle w:val="OdstavecASR"/>
        <w:numPr>
          <w:ilvl w:val="0"/>
          <w:numId w:val="41"/>
        </w:numPr>
        <w:rPr>
          <w:lang w:eastAsia="cs-CZ"/>
        </w:rPr>
      </w:pPr>
      <w:r w:rsidRPr="001736D2">
        <w:rPr>
          <w:lang w:eastAsia="cs-CZ"/>
        </w:rPr>
        <w:t>odsouzeného podmíněně propustit;</w:t>
      </w:r>
    </w:p>
    <w:p w14:paraId="17CBC277" w14:textId="72DBEDF7" w:rsidR="001736D2" w:rsidRPr="001736D2" w:rsidRDefault="001736D2" w:rsidP="0018307F">
      <w:pPr>
        <w:pStyle w:val="OdstavecASR"/>
        <w:numPr>
          <w:ilvl w:val="0"/>
          <w:numId w:val="41"/>
        </w:numPr>
        <w:rPr>
          <w:lang w:eastAsia="cs-CZ"/>
        </w:rPr>
      </w:pPr>
      <w:r w:rsidRPr="001736D2">
        <w:rPr>
          <w:lang w:eastAsia="cs-CZ"/>
        </w:rPr>
        <w:t>odsouzeného podmíněně propustit s dohledem, takže odsouzený bude po určitou dobu</w:t>
      </w:r>
      <w:r>
        <w:rPr>
          <w:lang w:eastAsia="cs-CZ"/>
        </w:rPr>
        <w:t xml:space="preserve"> </w:t>
      </w:r>
      <w:r w:rsidRPr="001736D2">
        <w:rPr>
          <w:lang w:eastAsia="cs-CZ"/>
        </w:rPr>
        <w:t>pod dohledem probačního úředníka;</w:t>
      </w:r>
    </w:p>
    <w:p w14:paraId="641652D9" w14:textId="47752AB2" w:rsidR="001736D2" w:rsidRDefault="001736D2" w:rsidP="00BD41CB">
      <w:pPr>
        <w:pStyle w:val="OdstavecASR"/>
        <w:numPr>
          <w:ilvl w:val="0"/>
          <w:numId w:val="41"/>
        </w:numPr>
        <w:rPr>
          <w:lang w:eastAsia="cs-CZ"/>
        </w:rPr>
      </w:pPr>
      <w:r w:rsidRPr="001736D2">
        <w:rPr>
          <w:lang w:eastAsia="cs-CZ"/>
        </w:rPr>
        <w:t>odsouzeného podmíněně propustit a uložit mu tzv. přiměřená omezení či přiměřené</w:t>
      </w:r>
      <w:r>
        <w:rPr>
          <w:lang w:eastAsia="cs-CZ"/>
        </w:rPr>
        <w:t xml:space="preserve"> </w:t>
      </w:r>
      <w:r w:rsidRPr="001736D2">
        <w:rPr>
          <w:lang w:eastAsia="cs-CZ"/>
        </w:rPr>
        <w:t>povinnosti, například povinnost podrobit se vhodnému programu sociálního výcviku</w:t>
      </w:r>
      <w:r>
        <w:rPr>
          <w:lang w:eastAsia="cs-CZ"/>
        </w:rPr>
        <w:t xml:space="preserve"> </w:t>
      </w:r>
      <w:r w:rsidRPr="001736D2">
        <w:rPr>
          <w:lang w:eastAsia="cs-CZ"/>
        </w:rPr>
        <w:t xml:space="preserve">a </w:t>
      </w:r>
      <w:r w:rsidRPr="001736D2">
        <w:rPr>
          <w:lang w:eastAsia="cs-CZ"/>
        </w:rPr>
        <w:lastRenderedPageBreak/>
        <w:t>převýchovy, veřejně se osobně omluvit poškozenému, uhradit dlužné výživné nebo</w:t>
      </w:r>
      <w:r>
        <w:rPr>
          <w:lang w:eastAsia="cs-CZ"/>
        </w:rPr>
        <w:t xml:space="preserve"> </w:t>
      </w:r>
      <w:r w:rsidRPr="001736D2">
        <w:rPr>
          <w:lang w:eastAsia="cs-CZ"/>
        </w:rPr>
        <w:t>jinou dlužnou částku a další;</w:t>
      </w:r>
      <w:r>
        <w:rPr>
          <w:lang w:eastAsia="cs-CZ"/>
        </w:rPr>
        <w:t xml:space="preserve"> </w:t>
      </w:r>
      <w:r w:rsidRPr="001736D2">
        <w:rPr>
          <w:lang w:eastAsia="cs-CZ"/>
        </w:rPr>
        <w:t xml:space="preserve">odsouzeného podmíněně propustit a uložit povinnost, aby se ve </w:t>
      </w:r>
      <w:r>
        <w:rPr>
          <w:lang w:eastAsia="cs-CZ"/>
        </w:rPr>
        <w:t>s</w:t>
      </w:r>
      <w:r w:rsidRPr="001736D2">
        <w:rPr>
          <w:lang w:eastAsia="cs-CZ"/>
        </w:rPr>
        <w:t>tanovené části</w:t>
      </w:r>
      <w:r>
        <w:rPr>
          <w:lang w:eastAsia="cs-CZ"/>
        </w:rPr>
        <w:t xml:space="preserve"> </w:t>
      </w:r>
      <w:r w:rsidRPr="001736D2">
        <w:rPr>
          <w:lang w:eastAsia="cs-CZ"/>
        </w:rPr>
        <w:t>zkušební doby, navazující na počátek zkušební doby, zdržoval ve stanoveném</w:t>
      </w:r>
      <w:r>
        <w:rPr>
          <w:lang w:eastAsia="cs-CZ"/>
        </w:rPr>
        <w:t xml:space="preserve"> </w:t>
      </w:r>
      <w:r w:rsidRPr="001736D2">
        <w:rPr>
          <w:lang w:eastAsia="cs-CZ"/>
        </w:rPr>
        <w:t>časovém období v určeném obydlí nebo jeho části, nebo aby vykonal práce</w:t>
      </w:r>
      <w:r>
        <w:rPr>
          <w:lang w:eastAsia="cs-CZ"/>
        </w:rPr>
        <w:t xml:space="preserve"> </w:t>
      </w:r>
      <w:r w:rsidRPr="001736D2">
        <w:rPr>
          <w:lang w:eastAsia="cs-CZ"/>
        </w:rPr>
        <w:t>ve prospěch poskytovatele obecně prospěšných prací, anebo aby složil určenou</w:t>
      </w:r>
      <w:r>
        <w:rPr>
          <w:lang w:eastAsia="cs-CZ"/>
        </w:rPr>
        <w:t xml:space="preserve"> </w:t>
      </w:r>
      <w:r w:rsidRPr="001736D2">
        <w:rPr>
          <w:lang w:eastAsia="cs-CZ"/>
        </w:rPr>
        <w:t>peněžní částku na pomoc obětem trestné činnosti na účet soudu;</w:t>
      </w:r>
      <w:r>
        <w:rPr>
          <w:lang w:eastAsia="cs-CZ"/>
        </w:rPr>
        <w:t xml:space="preserve"> </w:t>
      </w:r>
    </w:p>
    <w:p w14:paraId="1C229344" w14:textId="429187DF" w:rsidR="001736D2" w:rsidRPr="001736D2" w:rsidRDefault="001736D2" w:rsidP="00BD41CB">
      <w:pPr>
        <w:pStyle w:val="OdstavecASR"/>
        <w:numPr>
          <w:ilvl w:val="0"/>
          <w:numId w:val="41"/>
        </w:numPr>
        <w:rPr>
          <w:lang w:eastAsia="cs-CZ"/>
        </w:rPr>
      </w:pPr>
      <w:r w:rsidRPr="001736D2">
        <w:rPr>
          <w:lang w:eastAsia="cs-CZ"/>
        </w:rPr>
        <w:t>návrh na podmíněné propuštění zamítnout.</w:t>
      </w:r>
    </w:p>
    <w:p w14:paraId="78A6929C" w14:textId="77777777" w:rsidR="001736D2" w:rsidRDefault="001736D2" w:rsidP="001736D2">
      <w:pPr>
        <w:pStyle w:val="OdstavecASR"/>
        <w:rPr>
          <w:lang w:eastAsia="cs-CZ"/>
        </w:rPr>
      </w:pPr>
      <w:r w:rsidRPr="001736D2">
        <w:rPr>
          <w:lang w:eastAsia="cs-CZ"/>
        </w:rPr>
        <w:t>Návrh může být vyřízen i jinak než rozhodnutím soudu (například zpětvzetím).</w:t>
      </w:r>
      <w:r w:rsidRPr="00033A3F">
        <w:rPr>
          <w:lang w:eastAsia="cs-CZ"/>
        </w:rPr>
        <w:t xml:space="preserve"> </w:t>
      </w:r>
    </w:p>
    <w:p w14:paraId="767FD8C1" w14:textId="1C8A0EA0" w:rsidR="00EE1E80" w:rsidRPr="00033A3F" w:rsidRDefault="00EE1E80" w:rsidP="001736D2">
      <w:pPr>
        <w:pStyle w:val="OdstavecASR"/>
        <w:rPr>
          <w:lang w:eastAsia="cs-CZ"/>
        </w:rPr>
      </w:pPr>
      <w:r w:rsidRPr="00033A3F">
        <w:rPr>
          <w:lang w:eastAsia="cs-CZ"/>
        </w:rPr>
        <w:t xml:space="preserve">V tabulce níže jsou uvedeny úspěšnosti žádostí o podmíněné propuštění dle jednotlivých soudů (a věznic) za roky 2022 až 2024. Jako úspěšné jsou započteny prosté podmíněné propuštění, podmíněné propuštění s dohledem a podmíněné propuštění dle § 48 odst. 4 tr. z. </w:t>
      </w:r>
      <w:r w:rsidR="001B1FD3" w:rsidRPr="00033A3F">
        <w:rPr>
          <w:lang w:eastAsia="cs-CZ"/>
        </w:rPr>
        <w:t xml:space="preserve">(tj. ta, kde došlo k uložení přiměřeného omezení či přiměřené povinnosti). </w:t>
      </w:r>
      <w:r w:rsidRPr="00033A3F">
        <w:rPr>
          <w:lang w:eastAsia="cs-CZ"/>
        </w:rPr>
        <w:t>Zpětvzetí není započteno vůbec. Ostatní způsoby vyřízení jsou započteny jako neúspěšné</w:t>
      </w:r>
      <w:r w:rsidR="00A27A7D">
        <w:rPr>
          <w:lang w:eastAsia="cs-CZ"/>
        </w:rPr>
        <w:t xml:space="preserve"> (jde především zamítnutí žádosti).</w:t>
      </w:r>
    </w:p>
    <w:p w14:paraId="21AB56D5" w14:textId="77777777" w:rsidR="00EE1E80" w:rsidRPr="00033A3F" w:rsidRDefault="00EE1E80" w:rsidP="00EE1E80">
      <w:pPr>
        <w:pStyle w:val="OdstavecASR"/>
        <w:rPr>
          <w:color w:val="000000" w:themeColor="text1"/>
          <w:lang w:eastAsia="cs-CZ"/>
        </w:rPr>
      </w:pPr>
      <w:r w:rsidRPr="00033A3F">
        <w:rPr>
          <w:color w:val="000000" w:themeColor="text1"/>
          <w:lang w:eastAsia="cs-CZ"/>
        </w:rPr>
        <w:t>Z tabulky lze například vyčíst následující:</w:t>
      </w:r>
    </w:p>
    <w:p w14:paraId="452EE074" w14:textId="33C175F4" w:rsidR="00EE1E80" w:rsidRPr="00033A3F" w:rsidRDefault="00EE1E80" w:rsidP="001B1FD3">
      <w:pPr>
        <w:pStyle w:val="OdstavecASR"/>
        <w:numPr>
          <w:ilvl w:val="0"/>
          <w:numId w:val="35"/>
        </w:numPr>
        <w:spacing w:before="0" w:after="0"/>
        <w:ind w:left="992" w:hanging="431"/>
        <w:rPr>
          <w:color w:val="000000" w:themeColor="text1"/>
          <w:lang w:eastAsia="cs-CZ"/>
        </w:rPr>
      </w:pPr>
      <w:r w:rsidRPr="00033A3F">
        <w:rPr>
          <w:color w:val="000000" w:themeColor="text1"/>
          <w:lang w:eastAsia="cs-CZ"/>
        </w:rPr>
        <w:t>Celková míra úspěšnosti žádostí se pohybuje mírně nad 40 %. Platí tedy, že 4 z 10 žadatelů, kteří žádost nevezmou zpět, uspějí.</w:t>
      </w:r>
    </w:p>
    <w:p w14:paraId="32658906" w14:textId="77777777" w:rsidR="00EE1E80" w:rsidRPr="00033A3F" w:rsidRDefault="00EE1E80" w:rsidP="001B1FD3">
      <w:pPr>
        <w:pStyle w:val="OdstavecASR"/>
        <w:numPr>
          <w:ilvl w:val="0"/>
          <w:numId w:val="35"/>
        </w:numPr>
        <w:spacing w:before="0" w:after="0"/>
        <w:ind w:left="992" w:hanging="431"/>
        <w:rPr>
          <w:color w:val="000000" w:themeColor="text1"/>
          <w:lang w:eastAsia="cs-CZ"/>
        </w:rPr>
      </w:pPr>
      <w:r w:rsidRPr="00033A3F">
        <w:rPr>
          <w:color w:val="000000" w:themeColor="text1"/>
          <w:lang w:eastAsia="cs-CZ"/>
        </w:rPr>
        <w:t>Na celorepublikové úrovni je míra poměrně neměnná, na úrovni jednotlivých soudů ale dochází k různým posunům.</w:t>
      </w:r>
    </w:p>
    <w:p w14:paraId="7C467E92" w14:textId="2FC82BDE" w:rsidR="00EE1E80" w:rsidRPr="00033A3F" w:rsidRDefault="00EE1E80" w:rsidP="001B1FD3">
      <w:pPr>
        <w:pStyle w:val="OdstavecASR"/>
        <w:numPr>
          <w:ilvl w:val="0"/>
          <w:numId w:val="35"/>
        </w:numPr>
        <w:spacing w:before="0" w:after="0"/>
        <w:ind w:left="992" w:hanging="431"/>
        <w:rPr>
          <w:color w:val="000000" w:themeColor="text1"/>
          <w:lang w:eastAsia="cs-CZ"/>
        </w:rPr>
      </w:pPr>
      <w:r w:rsidRPr="00033A3F">
        <w:rPr>
          <w:color w:val="000000" w:themeColor="text1"/>
          <w:lang w:eastAsia="cs-CZ"/>
        </w:rPr>
        <w:t xml:space="preserve">Mezi soudy jsou velké rozdíly. Nejvíce jsou úspěšní žadatelé u OS v Karviné (věznice Karviná) – 73 % v roce 2024, naopak nejméně u OS v Rakovníku (věznice Oráčov) – 14 % v roce 2024. Na základě těchto údajů nicméně nelze vyvozovat bližší závěry o šanci konkrétních žádostí a „přísnosti“ jednotlivých soudů. Šance na úspěch se totiž odvíjí od typu věznic a specifik konkrétních </w:t>
      </w:r>
      <w:r w:rsidR="00904DE7">
        <w:rPr>
          <w:color w:val="000000" w:themeColor="text1"/>
          <w:lang w:eastAsia="cs-CZ"/>
        </w:rPr>
        <w:t>odsouzených osob</w:t>
      </w:r>
      <w:r w:rsidRPr="00033A3F">
        <w:rPr>
          <w:color w:val="000000" w:themeColor="text1"/>
          <w:lang w:eastAsia="cs-CZ"/>
        </w:rPr>
        <w:t xml:space="preserve"> a trestných činů.</w:t>
      </w:r>
    </w:p>
    <w:p w14:paraId="6E7331FD" w14:textId="77777777" w:rsidR="00EE1E80" w:rsidRPr="00033A3F" w:rsidRDefault="00EE1E80">
      <w:pPr>
        <w:spacing w:after="160" w:line="259" w:lineRule="auto"/>
        <w:jc w:val="left"/>
        <w:rPr>
          <w:rFonts w:eastAsia="Times New Roman"/>
          <w:b/>
          <w:iCs/>
          <w:color w:val="000000" w:themeColor="text1"/>
          <w:spacing w:val="15"/>
          <w:szCs w:val="24"/>
        </w:rPr>
      </w:pPr>
      <w:bookmarkStart w:id="737" w:name="_Toc193530951"/>
      <w:bookmarkStart w:id="738" w:name="_Toc194045648"/>
      <w:r w:rsidRPr="00033A3F">
        <w:rPr>
          <w:color w:val="000000" w:themeColor="text1"/>
        </w:rPr>
        <w:br w:type="page"/>
      </w:r>
    </w:p>
    <w:p w14:paraId="3772AD9C" w14:textId="15B63F6A" w:rsidR="00EE1E80" w:rsidRPr="00033A3F" w:rsidRDefault="00EE1E80" w:rsidP="00EE1E80">
      <w:pPr>
        <w:pStyle w:val="Podnadpis"/>
        <w:numPr>
          <w:ilvl w:val="0"/>
          <w:numId w:val="0"/>
        </w:numPr>
        <w:rPr>
          <w:color w:val="000000" w:themeColor="text1"/>
        </w:rPr>
      </w:pPr>
      <w:bookmarkStart w:id="739" w:name="_Toc199495006"/>
      <w:bookmarkStart w:id="740" w:name="_Toc203033066"/>
      <w:bookmarkStart w:id="741" w:name="_Toc203033144"/>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24</w:t>
      </w:r>
      <w:r w:rsidRPr="00033A3F">
        <w:rPr>
          <w:noProof/>
          <w:color w:val="000000" w:themeColor="text1"/>
        </w:rPr>
        <w:fldChar w:fldCharType="end"/>
      </w:r>
      <w:r w:rsidRPr="00033A3F">
        <w:rPr>
          <w:color w:val="000000" w:themeColor="text1"/>
        </w:rPr>
        <w:t>: OS – úspěšnost žádostí o podmíněné propuštění dle soudů</w:t>
      </w:r>
      <w:bookmarkEnd w:id="737"/>
      <w:bookmarkEnd w:id="738"/>
      <w:bookmarkEnd w:id="739"/>
      <w:bookmarkEnd w:id="740"/>
      <w:bookmarkEnd w:id="741"/>
    </w:p>
    <w:tbl>
      <w:tblPr>
        <w:tblW w:w="8920" w:type="dxa"/>
        <w:tblCellMar>
          <w:left w:w="70" w:type="dxa"/>
          <w:right w:w="70" w:type="dxa"/>
        </w:tblCellMar>
        <w:tblLook w:val="04A0" w:firstRow="1" w:lastRow="0" w:firstColumn="1" w:lastColumn="0" w:noHBand="0" w:noVBand="1"/>
      </w:tblPr>
      <w:tblGrid>
        <w:gridCol w:w="2720"/>
        <w:gridCol w:w="2960"/>
        <w:gridCol w:w="1080"/>
        <w:gridCol w:w="1080"/>
        <w:gridCol w:w="1080"/>
      </w:tblGrid>
      <w:tr w:rsidR="00033A3F" w:rsidRPr="00033A3F" w14:paraId="67018A6D" w14:textId="77777777" w:rsidTr="00293866">
        <w:trPr>
          <w:trHeight w:val="345"/>
        </w:trPr>
        <w:tc>
          <w:tcPr>
            <w:tcW w:w="2720" w:type="dxa"/>
            <w:tcBorders>
              <w:top w:val="double" w:sz="6" w:space="0" w:color="auto"/>
              <w:left w:val="nil"/>
              <w:bottom w:val="double" w:sz="6" w:space="0" w:color="auto"/>
              <w:right w:val="nil"/>
            </w:tcBorders>
            <w:shd w:val="clear" w:color="auto" w:fill="auto"/>
            <w:noWrap/>
            <w:vAlign w:val="center"/>
            <w:hideMark/>
          </w:tcPr>
          <w:p w14:paraId="457B1C34" w14:textId="77777777" w:rsidR="00EE1E80" w:rsidRPr="00033A3F" w:rsidRDefault="00EE1E80" w:rsidP="00293866">
            <w:pPr>
              <w:spacing w:line="240" w:lineRule="auto"/>
              <w:jc w:val="center"/>
              <w:rPr>
                <w:b/>
                <w:color w:val="000000" w:themeColor="text1"/>
              </w:rPr>
            </w:pPr>
            <w:r w:rsidRPr="00033A3F">
              <w:rPr>
                <w:b/>
                <w:color w:val="000000" w:themeColor="text1"/>
              </w:rPr>
              <w:t>Okresní soud</w:t>
            </w:r>
          </w:p>
        </w:tc>
        <w:tc>
          <w:tcPr>
            <w:tcW w:w="2960" w:type="dxa"/>
            <w:tcBorders>
              <w:top w:val="double" w:sz="6" w:space="0" w:color="auto"/>
              <w:left w:val="nil"/>
              <w:bottom w:val="double" w:sz="6" w:space="0" w:color="auto"/>
              <w:right w:val="nil"/>
            </w:tcBorders>
            <w:shd w:val="clear" w:color="auto" w:fill="auto"/>
            <w:noWrap/>
            <w:vAlign w:val="center"/>
            <w:hideMark/>
          </w:tcPr>
          <w:p w14:paraId="1EF5CB43" w14:textId="77777777" w:rsidR="00EE1E80" w:rsidRPr="00033A3F" w:rsidRDefault="00EE1E80" w:rsidP="00293866">
            <w:pPr>
              <w:spacing w:line="240" w:lineRule="auto"/>
              <w:jc w:val="center"/>
              <w:rPr>
                <w:b/>
                <w:color w:val="000000" w:themeColor="text1"/>
              </w:rPr>
            </w:pPr>
            <w:r w:rsidRPr="00033A3F">
              <w:rPr>
                <w:rFonts w:eastAsia="Times New Roman"/>
                <w:b/>
                <w:bCs/>
                <w:color w:val="000000" w:themeColor="text1"/>
                <w:szCs w:val="24"/>
                <w:lang w:eastAsia="cs-CZ"/>
              </w:rPr>
              <w:t>V</w:t>
            </w:r>
            <w:r w:rsidRPr="00033A3F">
              <w:rPr>
                <w:b/>
                <w:color w:val="000000" w:themeColor="text1"/>
              </w:rPr>
              <w:t>ěznice</w:t>
            </w:r>
          </w:p>
        </w:tc>
        <w:tc>
          <w:tcPr>
            <w:tcW w:w="1080" w:type="dxa"/>
            <w:tcBorders>
              <w:top w:val="double" w:sz="6" w:space="0" w:color="auto"/>
              <w:left w:val="nil"/>
              <w:bottom w:val="double" w:sz="6" w:space="0" w:color="auto"/>
              <w:right w:val="nil"/>
            </w:tcBorders>
            <w:shd w:val="clear" w:color="auto" w:fill="auto"/>
            <w:noWrap/>
            <w:vAlign w:val="center"/>
            <w:hideMark/>
          </w:tcPr>
          <w:p w14:paraId="5683910C" w14:textId="77777777" w:rsidR="00EE1E80" w:rsidRPr="00033A3F" w:rsidRDefault="00EE1E80" w:rsidP="00293866">
            <w:pPr>
              <w:spacing w:line="240" w:lineRule="auto"/>
              <w:jc w:val="center"/>
              <w:rPr>
                <w:b/>
                <w:color w:val="000000" w:themeColor="text1"/>
              </w:rPr>
            </w:pPr>
            <w:r w:rsidRPr="00033A3F">
              <w:rPr>
                <w:b/>
                <w:color w:val="000000" w:themeColor="text1"/>
              </w:rPr>
              <w:t>2022</w:t>
            </w:r>
          </w:p>
        </w:tc>
        <w:tc>
          <w:tcPr>
            <w:tcW w:w="1080" w:type="dxa"/>
            <w:tcBorders>
              <w:top w:val="double" w:sz="6" w:space="0" w:color="auto"/>
              <w:left w:val="nil"/>
              <w:bottom w:val="double" w:sz="6" w:space="0" w:color="auto"/>
              <w:right w:val="nil"/>
            </w:tcBorders>
            <w:shd w:val="clear" w:color="auto" w:fill="auto"/>
            <w:noWrap/>
            <w:vAlign w:val="center"/>
            <w:hideMark/>
          </w:tcPr>
          <w:p w14:paraId="10604CAF" w14:textId="77777777" w:rsidR="00EE1E80" w:rsidRPr="00033A3F" w:rsidRDefault="00EE1E80" w:rsidP="00293866">
            <w:pPr>
              <w:spacing w:line="240" w:lineRule="auto"/>
              <w:jc w:val="center"/>
              <w:rPr>
                <w:b/>
                <w:color w:val="000000" w:themeColor="text1"/>
              </w:rPr>
            </w:pPr>
            <w:r w:rsidRPr="00033A3F">
              <w:rPr>
                <w:b/>
                <w:color w:val="000000" w:themeColor="text1"/>
              </w:rPr>
              <w:t>2023</w:t>
            </w:r>
          </w:p>
        </w:tc>
        <w:tc>
          <w:tcPr>
            <w:tcW w:w="1080" w:type="dxa"/>
            <w:tcBorders>
              <w:top w:val="double" w:sz="6" w:space="0" w:color="auto"/>
              <w:left w:val="nil"/>
              <w:bottom w:val="double" w:sz="6" w:space="0" w:color="auto"/>
              <w:right w:val="nil"/>
            </w:tcBorders>
            <w:shd w:val="clear" w:color="auto" w:fill="auto"/>
            <w:noWrap/>
            <w:vAlign w:val="center"/>
            <w:hideMark/>
          </w:tcPr>
          <w:p w14:paraId="596A8873" w14:textId="77777777" w:rsidR="00EE1E80" w:rsidRPr="00033A3F" w:rsidRDefault="00EE1E80" w:rsidP="00293866">
            <w:pPr>
              <w:spacing w:line="240" w:lineRule="auto"/>
              <w:jc w:val="center"/>
              <w:rPr>
                <w:b/>
                <w:color w:val="000000" w:themeColor="text1"/>
              </w:rPr>
            </w:pPr>
            <w:r w:rsidRPr="00033A3F">
              <w:rPr>
                <w:b/>
                <w:color w:val="000000" w:themeColor="text1"/>
              </w:rPr>
              <w:t>2024</w:t>
            </w:r>
          </w:p>
        </w:tc>
      </w:tr>
      <w:tr w:rsidR="00033A3F" w:rsidRPr="00033A3F" w14:paraId="52FB0716" w14:textId="77777777" w:rsidTr="00293866">
        <w:trPr>
          <w:trHeight w:val="330"/>
        </w:trPr>
        <w:tc>
          <w:tcPr>
            <w:tcW w:w="2720" w:type="dxa"/>
            <w:tcBorders>
              <w:top w:val="nil"/>
              <w:left w:val="nil"/>
              <w:bottom w:val="single" w:sz="4" w:space="0" w:color="auto"/>
              <w:right w:val="nil"/>
            </w:tcBorders>
            <w:shd w:val="clear" w:color="auto" w:fill="auto"/>
            <w:noWrap/>
            <w:vAlign w:val="bottom"/>
            <w:hideMark/>
          </w:tcPr>
          <w:p w14:paraId="412871F5" w14:textId="77777777" w:rsidR="00EE1E80" w:rsidRPr="00033A3F" w:rsidRDefault="00EE1E80" w:rsidP="00293866">
            <w:pPr>
              <w:spacing w:line="240" w:lineRule="auto"/>
              <w:jc w:val="left"/>
              <w:rPr>
                <w:color w:val="000000" w:themeColor="text1"/>
              </w:rPr>
            </w:pPr>
            <w:r w:rsidRPr="00033A3F">
              <w:rPr>
                <w:color w:val="000000" w:themeColor="text1"/>
              </w:rPr>
              <w:t>OS Karviná</w:t>
            </w:r>
          </w:p>
        </w:tc>
        <w:tc>
          <w:tcPr>
            <w:tcW w:w="2960" w:type="dxa"/>
            <w:tcBorders>
              <w:top w:val="nil"/>
              <w:left w:val="nil"/>
              <w:bottom w:val="single" w:sz="4" w:space="0" w:color="auto"/>
              <w:right w:val="nil"/>
            </w:tcBorders>
            <w:shd w:val="clear" w:color="auto" w:fill="auto"/>
            <w:noWrap/>
            <w:vAlign w:val="bottom"/>
            <w:hideMark/>
          </w:tcPr>
          <w:p w14:paraId="47A88F3B" w14:textId="77777777" w:rsidR="00EE1E80" w:rsidRPr="00033A3F" w:rsidRDefault="00EE1E80" w:rsidP="00293866">
            <w:pPr>
              <w:spacing w:line="240" w:lineRule="auto"/>
              <w:jc w:val="left"/>
              <w:rPr>
                <w:color w:val="000000" w:themeColor="text1"/>
              </w:rPr>
            </w:pPr>
            <w:r w:rsidRPr="00033A3F">
              <w:rPr>
                <w:color w:val="000000" w:themeColor="text1"/>
              </w:rPr>
              <w:t>Karviná</w:t>
            </w:r>
          </w:p>
        </w:tc>
        <w:tc>
          <w:tcPr>
            <w:tcW w:w="1080" w:type="dxa"/>
            <w:tcBorders>
              <w:top w:val="nil"/>
              <w:left w:val="nil"/>
              <w:bottom w:val="single" w:sz="4" w:space="0" w:color="auto"/>
              <w:right w:val="nil"/>
            </w:tcBorders>
            <w:shd w:val="clear" w:color="auto" w:fill="auto"/>
            <w:noWrap/>
            <w:vAlign w:val="bottom"/>
            <w:hideMark/>
          </w:tcPr>
          <w:p w14:paraId="288BB25C" w14:textId="77777777" w:rsidR="00EE1E80" w:rsidRPr="00033A3F" w:rsidRDefault="00EE1E80" w:rsidP="00293866">
            <w:pPr>
              <w:spacing w:line="240" w:lineRule="auto"/>
              <w:jc w:val="center"/>
              <w:rPr>
                <w:color w:val="000000" w:themeColor="text1"/>
              </w:rPr>
            </w:pPr>
            <w:r w:rsidRPr="00033A3F">
              <w:rPr>
                <w:color w:val="000000" w:themeColor="text1"/>
              </w:rPr>
              <w:t>63 %</w:t>
            </w:r>
          </w:p>
        </w:tc>
        <w:tc>
          <w:tcPr>
            <w:tcW w:w="1080" w:type="dxa"/>
            <w:tcBorders>
              <w:top w:val="nil"/>
              <w:left w:val="nil"/>
              <w:bottom w:val="single" w:sz="4" w:space="0" w:color="auto"/>
              <w:right w:val="nil"/>
            </w:tcBorders>
            <w:shd w:val="clear" w:color="auto" w:fill="auto"/>
            <w:noWrap/>
            <w:vAlign w:val="bottom"/>
            <w:hideMark/>
          </w:tcPr>
          <w:p w14:paraId="12464ACB" w14:textId="77777777" w:rsidR="00EE1E80" w:rsidRPr="00033A3F" w:rsidRDefault="00EE1E80" w:rsidP="00293866">
            <w:pPr>
              <w:spacing w:line="240" w:lineRule="auto"/>
              <w:jc w:val="center"/>
              <w:rPr>
                <w:color w:val="000000" w:themeColor="text1"/>
              </w:rPr>
            </w:pPr>
            <w:r w:rsidRPr="00033A3F">
              <w:rPr>
                <w:color w:val="000000" w:themeColor="text1"/>
              </w:rPr>
              <w:t>77 %</w:t>
            </w:r>
          </w:p>
        </w:tc>
        <w:tc>
          <w:tcPr>
            <w:tcW w:w="1080" w:type="dxa"/>
            <w:tcBorders>
              <w:top w:val="nil"/>
              <w:left w:val="nil"/>
              <w:bottom w:val="single" w:sz="4" w:space="0" w:color="auto"/>
              <w:right w:val="nil"/>
            </w:tcBorders>
            <w:shd w:val="clear" w:color="auto" w:fill="auto"/>
            <w:noWrap/>
            <w:vAlign w:val="bottom"/>
            <w:hideMark/>
          </w:tcPr>
          <w:p w14:paraId="2DAFF948" w14:textId="77777777" w:rsidR="00EE1E80" w:rsidRPr="00033A3F" w:rsidRDefault="00EE1E80" w:rsidP="00293866">
            <w:pPr>
              <w:spacing w:line="240" w:lineRule="auto"/>
              <w:jc w:val="center"/>
              <w:rPr>
                <w:color w:val="000000" w:themeColor="text1"/>
              </w:rPr>
            </w:pPr>
            <w:r w:rsidRPr="00033A3F">
              <w:rPr>
                <w:color w:val="000000" w:themeColor="text1"/>
              </w:rPr>
              <w:t>73 %</w:t>
            </w:r>
          </w:p>
        </w:tc>
      </w:tr>
      <w:tr w:rsidR="00033A3F" w:rsidRPr="00033A3F" w14:paraId="436BCF7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034BBF39" w14:textId="77777777" w:rsidR="00EE1E80" w:rsidRPr="00033A3F" w:rsidRDefault="00EE1E80" w:rsidP="00293866">
            <w:pPr>
              <w:spacing w:line="240" w:lineRule="auto"/>
              <w:jc w:val="left"/>
              <w:rPr>
                <w:color w:val="000000" w:themeColor="text1"/>
              </w:rPr>
            </w:pPr>
            <w:r w:rsidRPr="00033A3F">
              <w:rPr>
                <w:color w:val="000000" w:themeColor="text1"/>
              </w:rPr>
              <w:t>OS Havlíčkův Brod</w:t>
            </w:r>
          </w:p>
        </w:tc>
        <w:tc>
          <w:tcPr>
            <w:tcW w:w="2960" w:type="dxa"/>
            <w:tcBorders>
              <w:top w:val="nil"/>
              <w:left w:val="nil"/>
              <w:bottom w:val="single" w:sz="4" w:space="0" w:color="auto"/>
              <w:right w:val="nil"/>
            </w:tcBorders>
            <w:shd w:val="clear" w:color="auto" w:fill="auto"/>
            <w:noWrap/>
            <w:vAlign w:val="bottom"/>
            <w:hideMark/>
          </w:tcPr>
          <w:p w14:paraId="0BF39439" w14:textId="77777777" w:rsidR="00EE1E80" w:rsidRPr="00033A3F" w:rsidRDefault="00EE1E80" w:rsidP="00293866">
            <w:pPr>
              <w:spacing w:line="240" w:lineRule="auto"/>
              <w:jc w:val="left"/>
              <w:rPr>
                <w:color w:val="000000" w:themeColor="text1"/>
              </w:rPr>
            </w:pPr>
            <w:r w:rsidRPr="00033A3F">
              <w:rPr>
                <w:color w:val="000000" w:themeColor="text1"/>
              </w:rPr>
              <w:t>Světlá nad Sázavou</w:t>
            </w:r>
          </w:p>
        </w:tc>
        <w:tc>
          <w:tcPr>
            <w:tcW w:w="1080" w:type="dxa"/>
            <w:tcBorders>
              <w:top w:val="nil"/>
              <w:left w:val="nil"/>
              <w:bottom w:val="single" w:sz="4" w:space="0" w:color="auto"/>
              <w:right w:val="nil"/>
            </w:tcBorders>
            <w:shd w:val="clear" w:color="auto" w:fill="auto"/>
            <w:noWrap/>
            <w:vAlign w:val="bottom"/>
            <w:hideMark/>
          </w:tcPr>
          <w:p w14:paraId="1A8A1020" w14:textId="77777777" w:rsidR="00EE1E80" w:rsidRPr="00033A3F" w:rsidRDefault="00EE1E80" w:rsidP="00293866">
            <w:pPr>
              <w:spacing w:line="240" w:lineRule="auto"/>
              <w:jc w:val="center"/>
              <w:rPr>
                <w:color w:val="000000" w:themeColor="text1"/>
              </w:rPr>
            </w:pPr>
            <w:r w:rsidRPr="00033A3F">
              <w:rPr>
                <w:color w:val="000000" w:themeColor="text1"/>
              </w:rPr>
              <w:t>69 %</w:t>
            </w:r>
          </w:p>
        </w:tc>
        <w:tc>
          <w:tcPr>
            <w:tcW w:w="1080" w:type="dxa"/>
            <w:tcBorders>
              <w:top w:val="nil"/>
              <w:left w:val="nil"/>
              <w:bottom w:val="single" w:sz="4" w:space="0" w:color="auto"/>
              <w:right w:val="nil"/>
            </w:tcBorders>
            <w:shd w:val="clear" w:color="auto" w:fill="auto"/>
            <w:noWrap/>
            <w:vAlign w:val="bottom"/>
            <w:hideMark/>
          </w:tcPr>
          <w:p w14:paraId="3D9955AF" w14:textId="77777777" w:rsidR="00EE1E80" w:rsidRPr="00033A3F" w:rsidRDefault="00EE1E80" w:rsidP="00293866">
            <w:pPr>
              <w:spacing w:line="240" w:lineRule="auto"/>
              <w:jc w:val="center"/>
              <w:rPr>
                <w:color w:val="000000" w:themeColor="text1"/>
              </w:rPr>
            </w:pPr>
            <w:r w:rsidRPr="00033A3F">
              <w:rPr>
                <w:color w:val="000000" w:themeColor="text1"/>
              </w:rPr>
              <w:t>67 %</w:t>
            </w:r>
          </w:p>
        </w:tc>
        <w:tc>
          <w:tcPr>
            <w:tcW w:w="1080" w:type="dxa"/>
            <w:tcBorders>
              <w:top w:val="nil"/>
              <w:left w:val="nil"/>
              <w:bottom w:val="single" w:sz="4" w:space="0" w:color="auto"/>
              <w:right w:val="nil"/>
            </w:tcBorders>
            <w:shd w:val="clear" w:color="auto" w:fill="auto"/>
            <w:noWrap/>
            <w:vAlign w:val="bottom"/>
            <w:hideMark/>
          </w:tcPr>
          <w:p w14:paraId="3E7902C3" w14:textId="77777777" w:rsidR="00EE1E80" w:rsidRPr="00033A3F" w:rsidRDefault="00EE1E80" w:rsidP="00293866">
            <w:pPr>
              <w:spacing w:line="240" w:lineRule="auto"/>
              <w:jc w:val="center"/>
              <w:rPr>
                <w:color w:val="000000" w:themeColor="text1"/>
              </w:rPr>
            </w:pPr>
            <w:r w:rsidRPr="00033A3F">
              <w:rPr>
                <w:color w:val="000000" w:themeColor="text1"/>
              </w:rPr>
              <w:t>72 %</w:t>
            </w:r>
          </w:p>
        </w:tc>
      </w:tr>
      <w:tr w:rsidR="00033A3F" w:rsidRPr="00033A3F" w14:paraId="200D2AF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1A025C1A" w14:textId="77777777" w:rsidR="00EE1E80" w:rsidRPr="00033A3F" w:rsidRDefault="00EE1E80" w:rsidP="00293866">
            <w:pPr>
              <w:spacing w:line="240" w:lineRule="auto"/>
              <w:jc w:val="left"/>
              <w:rPr>
                <w:color w:val="000000" w:themeColor="text1"/>
              </w:rPr>
            </w:pPr>
            <w:r w:rsidRPr="00033A3F">
              <w:rPr>
                <w:color w:val="000000" w:themeColor="text1"/>
              </w:rPr>
              <w:t>OS Hradec Králové</w:t>
            </w:r>
          </w:p>
        </w:tc>
        <w:tc>
          <w:tcPr>
            <w:tcW w:w="2960" w:type="dxa"/>
            <w:tcBorders>
              <w:top w:val="nil"/>
              <w:left w:val="nil"/>
              <w:bottom w:val="single" w:sz="4" w:space="0" w:color="auto"/>
              <w:right w:val="nil"/>
            </w:tcBorders>
            <w:shd w:val="clear" w:color="auto" w:fill="auto"/>
            <w:noWrap/>
            <w:vAlign w:val="bottom"/>
            <w:hideMark/>
          </w:tcPr>
          <w:p w14:paraId="67940572" w14:textId="77777777" w:rsidR="00EE1E80" w:rsidRPr="00033A3F" w:rsidRDefault="00EE1E80" w:rsidP="00293866">
            <w:pPr>
              <w:spacing w:line="240" w:lineRule="auto"/>
              <w:jc w:val="left"/>
              <w:rPr>
                <w:color w:val="000000" w:themeColor="text1"/>
              </w:rPr>
            </w:pPr>
            <w:r w:rsidRPr="00033A3F">
              <w:rPr>
                <w:color w:val="000000" w:themeColor="text1"/>
              </w:rPr>
              <w:t>Hradec Králové</w:t>
            </w:r>
          </w:p>
        </w:tc>
        <w:tc>
          <w:tcPr>
            <w:tcW w:w="1080" w:type="dxa"/>
            <w:tcBorders>
              <w:top w:val="nil"/>
              <w:left w:val="nil"/>
              <w:bottom w:val="single" w:sz="4" w:space="0" w:color="auto"/>
              <w:right w:val="nil"/>
            </w:tcBorders>
            <w:shd w:val="clear" w:color="auto" w:fill="auto"/>
            <w:noWrap/>
            <w:vAlign w:val="bottom"/>
            <w:hideMark/>
          </w:tcPr>
          <w:p w14:paraId="34A1C280" w14:textId="77777777" w:rsidR="00EE1E80" w:rsidRPr="00033A3F" w:rsidRDefault="00EE1E80" w:rsidP="00293866">
            <w:pPr>
              <w:spacing w:line="240" w:lineRule="auto"/>
              <w:jc w:val="center"/>
              <w:rPr>
                <w:color w:val="000000" w:themeColor="text1"/>
              </w:rPr>
            </w:pPr>
            <w:r w:rsidRPr="00033A3F">
              <w:rPr>
                <w:color w:val="000000" w:themeColor="text1"/>
              </w:rPr>
              <w:t>61 %</w:t>
            </w:r>
          </w:p>
        </w:tc>
        <w:tc>
          <w:tcPr>
            <w:tcW w:w="1080" w:type="dxa"/>
            <w:tcBorders>
              <w:top w:val="nil"/>
              <w:left w:val="nil"/>
              <w:bottom w:val="single" w:sz="4" w:space="0" w:color="auto"/>
              <w:right w:val="nil"/>
            </w:tcBorders>
            <w:shd w:val="clear" w:color="auto" w:fill="auto"/>
            <w:noWrap/>
            <w:vAlign w:val="bottom"/>
            <w:hideMark/>
          </w:tcPr>
          <w:p w14:paraId="3CAF8B68" w14:textId="77777777" w:rsidR="00EE1E80" w:rsidRPr="00033A3F" w:rsidRDefault="00EE1E80" w:rsidP="00293866">
            <w:pPr>
              <w:spacing w:line="240" w:lineRule="auto"/>
              <w:jc w:val="center"/>
              <w:rPr>
                <w:color w:val="000000" w:themeColor="text1"/>
              </w:rPr>
            </w:pPr>
            <w:r w:rsidRPr="00033A3F">
              <w:rPr>
                <w:color w:val="000000" w:themeColor="text1"/>
              </w:rPr>
              <w:t>73 %</w:t>
            </w:r>
          </w:p>
        </w:tc>
        <w:tc>
          <w:tcPr>
            <w:tcW w:w="1080" w:type="dxa"/>
            <w:tcBorders>
              <w:top w:val="nil"/>
              <w:left w:val="nil"/>
              <w:bottom w:val="single" w:sz="4" w:space="0" w:color="auto"/>
              <w:right w:val="nil"/>
            </w:tcBorders>
            <w:shd w:val="clear" w:color="auto" w:fill="auto"/>
            <w:noWrap/>
            <w:vAlign w:val="bottom"/>
            <w:hideMark/>
          </w:tcPr>
          <w:p w14:paraId="3583E5A1" w14:textId="77777777" w:rsidR="00EE1E80" w:rsidRPr="00033A3F" w:rsidRDefault="00EE1E80" w:rsidP="00293866">
            <w:pPr>
              <w:spacing w:line="240" w:lineRule="auto"/>
              <w:jc w:val="center"/>
              <w:rPr>
                <w:color w:val="000000" w:themeColor="text1"/>
              </w:rPr>
            </w:pPr>
            <w:r w:rsidRPr="00033A3F">
              <w:rPr>
                <w:color w:val="000000" w:themeColor="text1"/>
              </w:rPr>
              <w:t>71 %</w:t>
            </w:r>
          </w:p>
        </w:tc>
      </w:tr>
      <w:tr w:rsidR="00033A3F" w:rsidRPr="00033A3F" w14:paraId="0B8CC2C1"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3435A7D6" w14:textId="77777777" w:rsidR="00EE1E80" w:rsidRPr="00033A3F" w:rsidRDefault="00EE1E80" w:rsidP="00293866">
            <w:pPr>
              <w:spacing w:line="240" w:lineRule="auto"/>
              <w:jc w:val="left"/>
              <w:rPr>
                <w:color w:val="000000" w:themeColor="text1"/>
              </w:rPr>
            </w:pPr>
            <w:r w:rsidRPr="00033A3F">
              <w:rPr>
                <w:color w:val="000000" w:themeColor="text1"/>
              </w:rPr>
              <w:t>OS Olomouc</w:t>
            </w:r>
          </w:p>
        </w:tc>
        <w:tc>
          <w:tcPr>
            <w:tcW w:w="2960" w:type="dxa"/>
            <w:tcBorders>
              <w:top w:val="nil"/>
              <w:left w:val="nil"/>
              <w:bottom w:val="single" w:sz="4" w:space="0" w:color="auto"/>
              <w:right w:val="nil"/>
            </w:tcBorders>
            <w:shd w:val="clear" w:color="auto" w:fill="auto"/>
            <w:noWrap/>
            <w:vAlign w:val="bottom"/>
            <w:hideMark/>
          </w:tcPr>
          <w:p w14:paraId="09748461" w14:textId="77777777" w:rsidR="00EE1E80" w:rsidRPr="00033A3F" w:rsidRDefault="00EE1E80" w:rsidP="00293866">
            <w:pPr>
              <w:spacing w:line="240" w:lineRule="auto"/>
              <w:jc w:val="left"/>
              <w:rPr>
                <w:color w:val="000000" w:themeColor="text1"/>
              </w:rPr>
            </w:pPr>
            <w:r w:rsidRPr="00033A3F">
              <w:rPr>
                <w:color w:val="000000" w:themeColor="text1"/>
              </w:rPr>
              <w:t>Olomouc</w:t>
            </w:r>
          </w:p>
        </w:tc>
        <w:tc>
          <w:tcPr>
            <w:tcW w:w="1080" w:type="dxa"/>
            <w:tcBorders>
              <w:top w:val="nil"/>
              <w:left w:val="nil"/>
              <w:bottom w:val="single" w:sz="4" w:space="0" w:color="auto"/>
              <w:right w:val="nil"/>
            </w:tcBorders>
            <w:shd w:val="clear" w:color="auto" w:fill="auto"/>
            <w:noWrap/>
            <w:vAlign w:val="bottom"/>
            <w:hideMark/>
          </w:tcPr>
          <w:p w14:paraId="5607233A" w14:textId="77777777" w:rsidR="00EE1E80" w:rsidRPr="00033A3F" w:rsidRDefault="00EE1E80" w:rsidP="00293866">
            <w:pPr>
              <w:spacing w:line="240" w:lineRule="auto"/>
              <w:jc w:val="center"/>
              <w:rPr>
                <w:color w:val="000000" w:themeColor="text1"/>
              </w:rPr>
            </w:pPr>
            <w:r w:rsidRPr="00033A3F">
              <w:rPr>
                <w:color w:val="000000" w:themeColor="text1"/>
              </w:rPr>
              <w:t>70 %</w:t>
            </w:r>
          </w:p>
        </w:tc>
        <w:tc>
          <w:tcPr>
            <w:tcW w:w="1080" w:type="dxa"/>
            <w:tcBorders>
              <w:top w:val="nil"/>
              <w:left w:val="nil"/>
              <w:bottom w:val="single" w:sz="4" w:space="0" w:color="auto"/>
              <w:right w:val="nil"/>
            </w:tcBorders>
            <w:shd w:val="clear" w:color="auto" w:fill="auto"/>
            <w:noWrap/>
            <w:vAlign w:val="bottom"/>
            <w:hideMark/>
          </w:tcPr>
          <w:p w14:paraId="6ADF456E" w14:textId="77777777" w:rsidR="00EE1E80" w:rsidRPr="00033A3F" w:rsidRDefault="00EE1E80" w:rsidP="00293866">
            <w:pPr>
              <w:spacing w:line="240" w:lineRule="auto"/>
              <w:jc w:val="center"/>
              <w:rPr>
                <w:color w:val="000000" w:themeColor="text1"/>
              </w:rPr>
            </w:pPr>
            <w:r w:rsidRPr="00033A3F">
              <w:rPr>
                <w:color w:val="000000" w:themeColor="text1"/>
              </w:rPr>
              <w:t>70 %</w:t>
            </w:r>
          </w:p>
        </w:tc>
        <w:tc>
          <w:tcPr>
            <w:tcW w:w="1080" w:type="dxa"/>
            <w:tcBorders>
              <w:top w:val="nil"/>
              <w:left w:val="nil"/>
              <w:bottom w:val="single" w:sz="4" w:space="0" w:color="auto"/>
              <w:right w:val="nil"/>
            </w:tcBorders>
            <w:shd w:val="clear" w:color="auto" w:fill="auto"/>
            <w:noWrap/>
            <w:vAlign w:val="bottom"/>
            <w:hideMark/>
          </w:tcPr>
          <w:p w14:paraId="1277733E" w14:textId="77777777" w:rsidR="00EE1E80" w:rsidRPr="00033A3F" w:rsidRDefault="00EE1E80" w:rsidP="00293866">
            <w:pPr>
              <w:spacing w:line="240" w:lineRule="auto"/>
              <w:jc w:val="center"/>
              <w:rPr>
                <w:color w:val="000000" w:themeColor="text1"/>
              </w:rPr>
            </w:pPr>
            <w:r w:rsidRPr="00033A3F">
              <w:rPr>
                <w:color w:val="000000" w:themeColor="text1"/>
              </w:rPr>
              <w:t>70 %</w:t>
            </w:r>
          </w:p>
        </w:tc>
      </w:tr>
      <w:tr w:rsidR="00033A3F" w:rsidRPr="00033A3F" w14:paraId="1933C09D"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3218268E" w14:textId="77777777" w:rsidR="00EE1E80" w:rsidRPr="00033A3F" w:rsidRDefault="00EE1E80" w:rsidP="00293866">
            <w:pPr>
              <w:spacing w:line="240" w:lineRule="auto"/>
              <w:jc w:val="left"/>
              <w:rPr>
                <w:color w:val="000000" w:themeColor="text1"/>
              </w:rPr>
            </w:pPr>
            <w:r w:rsidRPr="00033A3F">
              <w:rPr>
                <w:color w:val="000000" w:themeColor="text1"/>
              </w:rPr>
              <w:t>OS Břeclav</w:t>
            </w:r>
          </w:p>
        </w:tc>
        <w:tc>
          <w:tcPr>
            <w:tcW w:w="2960" w:type="dxa"/>
            <w:tcBorders>
              <w:top w:val="nil"/>
              <w:left w:val="nil"/>
              <w:bottom w:val="single" w:sz="4" w:space="0" w:color="auto"/>
              <w:right w:val="nil"/>
            </w:tcBorders>
            <w:shd w:val="clear" w:color="auto" w:fill="auto"/>
            <w:noWrap/>
            <w:vAlign w:val="bottom"/>
            <w:hideMark/>
          </w:tcPr>
          <w:p w14:paraId="638BD127" w14:textId="77777777" w:rsidR="00EE1E80" w:rsidRPr="00033A3F" w:rsidRDefault="00EE1E80" w:rsidP="00293866">
            <w:pPr>
              <w:spacing w:line="240" w:lineRule="auto"/>
              <w:jc w:val="left"/>
              <w:rPr>
                <w:color w:val="000000" w:themeColor="text1"/>
              </w:rPr>
            </w:pPr>
            <w:r w:rsidRPr="00033A3F">
              <w:rPr>
                <w:color w:val="000000" w:themeColor="text1"/>
              </w:rPr>
              <w:t>Břeclav</w:t>
            </w:r>
          </w:p>
        </w:tc>
        <w:tc>
          <w:tcPr>
            <w:tcW w:w="1080" w:type="dxa"/>
            <w:tcBorders>
              <w:top w:val="nil"/>
              <w:left w:val="nil"/>
              <w:bottom w:val="single" w:sz="4" w:space="0" w:color="auto"/>
              <w:right w:val="nil"/>
            </w:tcBorders>
            <w:shd w:val="clear" w:color="auto" w:fill="auto"/>
            <w:noWrap/>
            <w:vAlign w:val="bottom"/>
            <w:hideMark/>
          </w:tcPr>
          <w:p w14:paraId="05E3AE85" w14:textId="77777777" w:rsidR="00EE1E80" w:rsidRPr="00033A3F" w:rsidRDefault="00EE1E80" w:rsidP="00293866">
            <w:pPr>
              <w:spacing w:line="240" w:lineRule="auto"/>
              <w:jc w:val="center"/>
              <w:rPr>
                <w:color w:val="000000" w:themeColor="text1"/>
              </w:rPr>
            </w:pPr>
            <w:r w:rsidRPr="00033A3F">
              <w:rPr>
                <w:color w:val="000000" w:themeColor="text1"/>
              </w:rPr>
              <w:t>57 %</w:t>
            </w:r>
          </w:p>
        </w:tc>
        <w:tc>
          <w:tcPr>
            <w:tcW w:w="1080" w:type="dxa"/>
            <w:tcBorders>
              <w:top w:val="nil"/>
              <w:left w:val="nil"/>
              <w:bottom w:val="single" w:sz="4" w:space="0" w:color="auto"/>
              <w:right w:val="nil"/>
            </w:tcBorders>
            <w:shd w:val="clear" w:color="auto" w:fill="auto"/>
            <w:noWrap/>
            <w:vAlign w:val="bottom"/>
            <w:hideMark/>
          </w:tcPr>
          <w:p w14:paraId="0AAAE6A2" w14:textId="77777777" w:rsidR="00EE1E80" w:rsidRPr="00033A3F" w:rsidRDefault="00EE1E80" w:rsidP="00293866">
            <w:pPr>
              <w:spacing w:line="240" w:lineRule="auto"/>
              <w:jc w:val="center"/>
              <w:rPr>
                <w:color w:val="000000" w:themeColor="text1"/>
              </w:rPr>
            </w:pPr>
            <w:r w:rsidRPr="00033A3F">
              <w:rPr>
                <w:color w:val="000000" w:themeColor="text1"/>
              </w:rPr>
              <w:t>57 %</w:t>
            </w:r>
          </w:p>
        </w:tc>
        <w:tc>
          <w:tcPr>
            <w:tcW w:w="1080" w:type="dxa"/>
            <w:tcBorders>
              <w:top w:val="nil"/>
              <w:left w:val="nil"/>
              <w:bottom w:val="single" w:sz="4" w:space="0" w:color="auto"/>
              <w:right w:val="nil"/>
            </w:tcBorders>
            <w:shd w:val="clear" w:color="auto" w:fill="auto"/>
            <w:noWrap/>
            <w:vAlign w:val="bottom"/>
            <w:hideMark/>
          </w:tcPr>
          <w:p w14:paraId="595E7ECF" w14:textId="77777777" w:rsidR="00EE1E80" w:rsidRPr="00033A3F" w:rsidRDefault="00EE1E80" w:rsidP="00293866">
            <w:pPr>
              <w:spacing w:line="240" w:lineRule="auto"/>
              <w:jc w:val="center"/>
              <w:rPr>
                <w:color w:val="000000" w:themeColor="text1"/>
              </w:rPr>
            </w:pPr>
            <w:r w:rsidRPr="00033A3F">
              <w:rPr>
                <w:color w:val="000000" w:themeColor="text1"/>
              </w:rPr>
              <w:t>69 %</w:t>
            </w:r>
          </w:p>
        </w:tc>
      </w:tr>
      <w:tr w:rsidR="00033A3F" w:rsidRPr="00033A3F" w14:paraId="3F48CF4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717112B6" w14:textId="77777777" w:rsidR="00EE1E80" w:rsidRPr="00033A3F" w:rsidRDefault="00EE1E80" w:rsidP="00293866">
            <w:pPr>
              <w:spacing w:line="240" w:lineRule="auto"/>
              <w:jc w:val="left"/>
              <w:rPr>
                <w:color w:val="000000" w:themeColor="text1"/>
              </w:rPr>
            </w:pPr>
            <w:r w:rsidRPr="00033A3F">
              <w:rPr>
                <w:color w:val="000000" w:themeColor="text1"/>
              </w:rPr>
              <w:t>OS Opava</w:t>
            </w:r>
          </w:p>
        </w:tc>
        <w:tc>
          <w:tcPr>
            <w:tcW w:w="2960" w:type="dxa"/>
            <w:tcBorders>
              <w:top w:val="nil"/>
              <w:left w:val="nil"/>
              <w:bottom w:val="single" w:sz="4" w:space="0" w:color="auto"/>
              <w:right w:val="nil"/>
            </w:tcBorders>
            <w:shd w:val="clear" w:color="auto" w:fill="auto"/>
            <w:noWrap/>
            <w:vAlign w:val="bottom"/>
            <w:hideMark/>
          </w:tcPr>
          <w:p w14:paraId="19E7BB7E" w14:textId="77777777" w:rsidR="00EE1E80" w:rsidRPr="00033A3F" w:rsidRDefault="00EE1E80" w:rsidP="00293866">
            <w:pPr>
              <w:spacing w:line="240" w:lineRule="auto"/>
              <w:jc w:val="left"/>
              <w:rPr>
                <w:color w:val="000000" w:themeColor="text1"/>
              </w:rPr>
            </w:pPr>
            <w:r w:rsidRPr="00033A3F">
              <w:rPr>
                <w:color w:val="000000" w:themeColor="text1"/>
              </w:rPr>
              <w:t>Opava</w:t>
            </w:r>
          </w:p>
        </w:tc>
        <w:tc>
          <w:tcPr>
            <w:tcW w:w="1080" w:type="dxa"/>
            <w:tcBorders>
              <w:top w:val="nil"/>
              <w:left w:val="nil"/>
              <w:bottom w:val="single" w:sz="4" w:space="0" w:color="auto"/>
              <w:right w:val="nil"/>
            </w:tcBorders>
            <w:shd w:val="clear" w:color="auto" w:fill="auto"/>
            <w:noWrap/>
            <w:vAlign w:val="bottom"/>
            <w:hideMark/>
          </w:tcPr>
          <w:p w14:paraId="6A108F7C" w14:textId="77777777" w:rsidR="00EE1E80" w:rsidRPr="00033A3F" w:rsidRDefault="00EE1E80" w:rsidP="00293866">
            <w:pPr>
              <w:spacing w:line="240" w:lineRule="auto"/>
              <w:jc w:val="center"/>
              <w:rPr>
                <w:color w:val="000000" w:themeColor="text1"/>
              </w:rPr>
            </w:pPr>
            <w:r w:rsidRPr="00033A3F">
              <w:rPr>
                <w:color w:val="000000" w:themeColor="text1"/>
              </w:rPr>
              <w:t>61 %</w:t>
            </w:r>
          </w:p>
        </w:tc>
        <w:tc>
          <w:tcPr>
            <w:tcW w:w="1080" w:type="dxa"/>
            <w:tcBorders>
              <w:top w:val="nil"/>
              <w:left w:val="nil"/>
              <w:bottom w:val="single" w:sz="4" w:space="0" w:color="auto"/>
              <w:right w:val="nil"/>
            </w:tcBorders>
            <w:shd w:val="clear" w:color="auto" w:fill="auto"/>
            <w:noWrap/>
            <w:vAlign w:val="bottom"/>
            <w:hideMark/>
          </w:tcPr>
          <w:p w14:paraId="185D8987" w14:textId="77777777" w:rsidR="00EE1E80" w:rsidRPr="00033A3F" w:rsidRDefault="00EE1E80" w:rsidP="00293866">
            <w:pPr>
              <w:spacing w:line="240" w:lineRule="auto"/>
              <w:jc w:val="center"/>
              <w:rPr>
                <w:color w:val="000000" w:themeColor="text1"/>
              </w:rPr>
            </w:pPr>
            <w:r w:rsidRPr="00033A3F">
              <w:rPr>
                <w:color w:val="000000" w:themeColor="text1"/>
              </w:rPr>
              <w:t>69 %</w:t>
            </w:r>
          </w:p>
        </w:tc>
        <w:tc>
          <w:tcPr>
            <w:tcW w:w="1080" w:type="dxa"/>
            <w:tcBorders>
              <w:top w:val="nil"/>
              <w:left w:val="nil"/>
              <w:bottom w:val="single" w:sz="4" w:space="0" w:color="auto"/>
              <w:right w:val="nil"/>
            </w:tcBorders>
            <w:shd w:val="clear" w:color="auto" w:fill="auto"/>
            <w:noWrap/>
            <w:vAlign w:val="bottom"/>
            <w:hideMark/>
          </w:tcPr>
          <w:p w14:paraId="5771AEB9" w14:textId="77777777" w:rsidR="00EE1E80" w:rsidRPr="00033A3F" w:rsidRDefault="00EE1E80" w:rsidP="00293866">
            <w:pPr>
              <w:spacing w:line="240" w:lineRule="auto"/>
              <w:jc w:val="center"/>
              <w:rPr>
                <w:color w:val="000000" w:themeColor="text1"/>
              </w:rPr>
            </w:pPr>
            <w:r w:rsidRPr="00033A3F">
              <w:rPr>
                <w:color w:val="000000" w:themeColor="text1"/>
              </w:rPr>
              <w:t>67 %</w:t>
            </w:r>
          </w:p>
        </w:tc>
      </w:tr>
      <w:tr w:rsidR="00033A3F" w:rsidRPr="00033A3F" w14:paraId="683EB73D"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6744384C" w14:textId="77777777" w:rsidR="00EE1E80" w:rsidRPr="00033A3F" w:rsidRDefault="00EE1E80" w:rsidP="00293866">
            <w:pPr>
              <w:spacing w:line="240" w:lineRule="auto"/>
              <w:jc w:val="left"/>
              <w:rPr>
                <w:color w:val="000000" w:themeColor="text1"/>
              </w:rPr>
            </w:pPr>
            <w:r w:rsidRPr="00033A3F">
              <w:rPr>
                <w:color w:val="000000" w:themeColor="text1"/>
              </w:rPr>
              <w:t>OS Teplice</w:t>
            </w:r>
          </w:p>
        </w:tc>
        <w:tc>
          <w:tcPr>
            <w:tcW w:w="2960" w:type="dxa"/>
            <w:tcBorders>
              <w:top w:val="nil"/>
              <w:left w:val="nil"/>
              <w:bottom w:val="single" w:sz="4" w:space="0" w:color="auto"/>
              <w:right w:val="nil"/>
            </w:tcBorders>
            <w:shd w:val="clear" w:color="auto" w:fill="auto"/>
            <w:noWrap/>
            <w:vAlign w:val="bottom"/>
            <w:hideMark/>
          </w:tcPr>
          <w:p w14:paraId="3F309839" w14:textId="77777777" w:rsidR="00EE1E80" w:rsidRPr="00033A3F" w:rsidRDefault="00EE1E80" w:rsidP="00293866">
            <w:pPr>
              <w:spacing w:line="240" w:lineRule="auto"/>
              <w:jc w:val="left"/>
              <w:rPr>
                <w:color w:val="000000" w:themeColor="text1"/>
              </w:rPr>
            </w:pPr>
            <w:r w:rsidRPr="00033A3F">
              <w:rPr>
                <w:color w:val="000000" w:themeColor="text1"/>
              </w:rPr>
              <w:t>Teplice</w:t>
            </w:r>
          </w:p>
        </w:tc>
        <w:tc>
          <w:tcPr>
            <w:tcW w:w="1080" w:type="dxa"/>
            <w:tcBorders>
              <w:top w:val="nil"/>
              <w:left w:val="nil"/>
              <w:bottom w:val="single" w:sz="4" w:space="0" w:color="auto"/>
              <w:right w:val="nil"/>
            </w:tcBorders>
            <w:shd w:val="clear" w:color="auto" w:fill="auto"/>
            <w:noWrap/>
            <w:vAlign w:val="bottom"/>
            <w:hideMark/>
          </w:tcPr>
          <w:p w14:paraId="464C89AA" w14:textId="77777777" w:rsidR="00EE1E80" w:rsidRPr="00033A3F" w:rsidRDefault="00EE1E80" w:rsidP="00293866">
            <w:pPr>
              <w:spacing w:line="240" w:lineRule="auto"/>
              <w:jc w:val="center"/>
              <w:rPr>
                <w:color w:val="000000" w:themeColor="text1"/>
              </w:rPr>
            </w:pPr>
            <w:r w:rsidRPr="00033A3F">
              <w:rPr>
                <w:color w:val="000000" w:themeColor="text1"/>
              </w:rPr>
              <w:t>44 %</w:t>
            </w:r>
          </w:p>
        </w:tc>
        <w:tc>
          <w:tcPr>
            <w:tcW w:w="1080" w:type="dxa"/>
            <w:tcBorders>
              <w:top w:val="nil"/>
              <w:left w:val="nil"/>
              <w:bottom w:val="single" w:sz="4" w:space="0" w:color="auto"/>
              <w:right w:val="nil"/>
            </w:tcBorders>
            <w:shd w:val="clear" w:color="auto" w:fill="auto"/>
            <w:noWrap/>
            <w:vAlign w:val="bottom"/>
            <w:hideMark/>
          </w:tcPr>
          <w:p w14:paraId="014A1920" w14:textId="77777777" w:rsidR="00EE1E80" w:rsidRPr="00033A3F" w:rsidRDefault="00EE1E80" w:rsidP="00293866">
            <w:pPr>
              <w:spacing w:line="240" w:lineRule="auto"/>
              <w:jc w:val="center"/>
              <w:rPr>
                <w:color w:val="000000" w:themeColor="text1"/>
              </w:rPr>
            </w:pPr>
            <w:r w:rsidRPr="00033A3F">
              <w:rPr>
                <w:color w:val="000000" w:themeColor="text1"/>
              </w:rPr>
              <w:t>71 %</w:t>
            </w:r>
          </w:p>
        </w:tc>
        <w:tc>
          <w:tcPr>
            <w:tcW w:w="1080" w:type="dxa"/>
            <w:tcBorders>
              <w:top w:val="nil"/>
              <w:left w:val="nil"/>
              <w:bottom w:val="single" w:sz="4" w:space="0" w:color="auto"/>
              <w:right w:val="nil"/>
            </w:tcBorders>
            <w:shd w:val="clear" w:color="auto" w:fill="auto"/>
            <w:noWrap/>
            <w:vAlign w:val="bottom"/>
            <w:hideMark/>
          </w:tcPr>
          <w:p w14:paraId="12B2965A" w14:textId="77777777" w:rsidR="00EE1E80" w:rsidRPr="00033A3F" w:rsidRDefault="00EE1E80" w:rsidP="00293866">
            <w:pPr>
              <w:spacing w:line="240" w:lineRule="auto"/>
              <w:jc w:val="center"/>
              <w:rPr>
                <w:color w:val="000000" w:themeColor="text1"/>
              </w:rPr>
            </w:pPr>
            <w:r w:rsidRPr="00033A3F">
              <w:rPr>
                <w:color w:val="000000" w:themeColor="text1"/>
              </w:rPr>
              <w:t>63 %</w:t>
            </w:r>
          </w:p>
        </w:tc>
      </w:tr>
      <w:tr w:rsidR="00033A3F" w:rsidRPr="00033A3F" w14:paraId="6DC2270E"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9087B82" w14:textId="77777777" w:rsidR="00EE1E80" w:rsidRPr="00033A3F" w:rsidRDefault="00EE1E80" w:rsidP="00293866">
            <w:pPr>
              <w:spacing w:line="240" w:lineRule="auto"/>
              <w:jc w:val="left"/>
              <w:rPr>
                <w:color w:val="000000" w:themeColor="text1"/>
              </w:rPr>
            </w:pPr>
            <w:r w:rsidRPr="00033A3F">
              <w:rPr>
                <w:color w:val="000000" w:themeColor="text1"/>
              </w:rPr>
              <w:t>OS České Budějovice</w:t>
            </w:r>
          </w:p>
        </w:tc>
        <w:tc>
          <w:tcPr>
            <w:tcW w:w="2960" w:type="dxa"/>
            <w:tcBorders>
              <w:top w:val="nil"/>
              <w:left w:val="nil"/>
              <w:bottom w:val="single" w:sz="4" w:space="0" w:color="auto"/>
              <w:right w:val="nil"/>
            </w:tcBorders>
            <w:shd w:val="clear" w:color="auto" w:fill="auto"/>
            <w:noWrap/>
            <w:vAlign w:val="bottom"/>
            <w:hideMark/>
          </w:tcPr>
          <w:p w14:paraId="65771260" w14:textId="77777777" w:rsidR="00EE1E80" w:rsidRPr="00033A3F" w:rsidRDefault="00EE1E80" w:rsidP="00293866">
            <w:pPr>
              <w:spacing w:line="240" w:lineRule="auto"/>
              <w:jc w:val="left"/>
              <w:rPr>
                <w:color w:val="000000" w:themeColor="text1"/>
              </w:rPr>
            </w:pPr>
            <w:r w:rsidRPr="00033A3F">
              <w:rPr>
                <w:color w:val="000000" w:themeColor="text1"/>
              </w:rPr>
              <w:t>České Budějovice</w:t>
            </w:r>
          </w:p>
        </w:tc>
        <w:tc>
          <w:tcPr>
            <w:tcW w:w="1080" w:type="dxa"/>
            <w:tcBorders>
              <w:top w:val="nil"/>
              <w:left w:val="nil"/>
              <w:bottom w:val="single" w:sz="4" w:space="0" w:color="auto"/>
              <w:right w:val="nil"/>
            </w:tcBorders>
            <w:shd w:val="clear" w:color="auto" w:fill="auto"/>
            <w:noWrap/>
            <w:vAlign w:val="bottom"/>
            <w:hideMark/>
          </w:tcPr>
          <w:p w14:paraId="2408D926" w14:textId="77777777" w:rsidR="00EE1E80" w:rsidRPr="00033A3F" w:rsidRDefault="00EE1E80" w:rsidP="00293866">
            <w:pPr>
              <w:spacing w:line="240" w:lineRule="auto"/>
              <w:jc w:val="center"/>
              <w:rPr>
                <w:color w:val="000000" w:themeColor="text1"/>
              </w:rPr>
            </w:pPr>
            <w:r w:rsidRPr="00033A3F">
              <w:rPr>
                <w:color w:val="000000" w:themeColor="text1"/>
              </w:rPr>
              <w:t>62 %</w:t>
            </w:r>
          </w:p>
        </w:tc>
        <w:tc>
          <w:tcPr>
            <w:tcW w:w="1080" w:type="dxa"/>
            <w:tcBorders>
              <w:top w:val="nil"/>
              <w:left w:val="nil"/>
              <w:bottom w:val="single" w:sz="4" w:space="0" w:color="auto"/>
              <w:right w:val="nil"/>
            </w:tcBorders>
            <w:shd w:val="clear" w:color="auto" w:fill="auto"/>
            <w:noWrap/>
            <w:vAlign w:val="bottom"/>
            <w:hideMark/>
          </w:tcPr>
          <w:p w14:paraId="027F4C58" w14:textId="77777777" w:rsidR="00EE1E80" w:rsidRPr="00033A3F" w:rsidRDefault="00EE1E80" w:rsidP="00293866">
            <w:pPr>
              <w:spacing w:line="240" w:lineRule="auto"/>
              <w:jc w:val="center"/>
              <w:rPr>
                <w:color w:val="000000" w:themeColor="text1"/>
              </w:rPr>
            </w:pPr>
            <w:r w:rsidRPr="00033A3F">
              <w:rPr>
                <w:color w:val="000000" w:themeColor="text1"/>
              </w:rPr>
              <w:t>52 %</w:t>
            </w:r>
          </w:p>
        </w:tc>
        <w:tc>
          <w:tcPr>
            <w:tcW w:w="1080" w:type="dxa"/>
            <w:tcBorders>
              <w:top w:val="nil"/>
              <w:left w:val="nil"/>
              <w:bottom w:val="single" w:sz="4" w:space="0" w:color="auto"/>
              <w:right w:val="nil"/>
            </w:tcBorders>
            <w:shd w:val="clear" w:color="auto" w:fill="auto"/>
            <w:noWrap/>
            <w:vAlign w:val="bottom"/>
            <w:hideMark/>
          </w:tcPr>
          <w:p w14:paraId="68A06EA9" w14:textId="77777777" w:rsidR="00EE1E80" w:rsidRPr="00033A3F" w:rsidRDefault="00EE1E80" w:rsidP="00293866">
            <w:pPr>
              <w:spacing w:line="240" w:lineRule="auto"/>
              <w:jc w:val="center"/>
              <w:rPr>
                <w:color w:val="000000" w:themeColor="text1"/>
              </w:rPr>
            </w:pPr>
            <w:r w:rsidRPr="00033A3F">
              <w:rPr>
                <w:color w:val="000000" w:themeColor="text1"/>
              </w:rPr>
              <w:t>62 %</w:t>
            </w:r>
          </w:p>
        </w:tc>
      </w:tr>
      <w:tr w:rsidR="00033A3F" w:rsidRPr="00033A3F" w14:paraId="1659BD43"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C6136E0" w14:textId="77777777" w:rsidR="00EE1E80" w:rsidRPr="00033A3F" w:rsidRDefault="00EE1E80" w:rsidP="00293866">
            <w:pPr>
              <w:spacing w:line="240" w:lineRule="auto"/>
              <w:jc w:val="left"/>
              <w:rPr>
                <w:color w:val="000000" w:themeColor="text1"/>
              </w:rPr>
            </w:pPr>
            <w:r w:rsidRPr="00033A3F">
              <w:rPr>
                <w:color w:val="000000" w:themeColor="text1"/>
              </w:rPr>
              <w:t>OS Litoměřice</w:t>
            </w:r>
          </w:p>
        </w:tc>
        <w:tc>
          <w:tcPr>
            <w:tcW w:w="2960" w:type="dxa"/>
            <w:tcBorders>
              <w:top w:val="nil"/>
              <w:left w:val="nil"/>
              <w:bottom w:val="single" w:sz="4" w:space="0" w:color="auto"/>
              <w:right w:val="nil"/>
            </w:tcBorders>
            <w:shd w:val="clear" w:color="auto" w:fill="auto"/>
            <w:noWrap/>
            <w:vAlign w:val="bottom"/>
            <w:hideMark/>
          </w:tcPr>
          <w:p w14:paraId="488313B4" w14:textId="77777777" w:rsidR="00EE1E80" w:rsidRPr="00033A3F" w:rsidRDefault="00EE1E80" w:rsidP="00293866">
            <w:pPr>
              <w:spacing w:line="240" w:lineRule="auto"/>
              <w:jc w:val="left"/>
              <w:rPr>
                <w:color w:val="000000" w:themeColor="text1"/>
              </w:rPr>
            </w:pPr>
            <w:r w:rsidRPr="00033A3F">
              <w:rPr>
                <w:color w:val="000000" w:themeColor="text1"/>
              </w:rPr>
              <w:t>Litoměřice</w:t>
            </w:r>
          </w:p>
        </w:tc>
        <w:tc>
          <w:tcPr>
            <w:tcW w:w="1080" w:type="dxa"/>
            <w:tcBorders>
              <w:top w:val="nil"/>
              <w:left w:val="nil"/>
              <w:bottom w:val="single" w:sz="4" w:space="0" w:color="auto"/>
              <w:right w:val="nil"/>
            </w:tcBorders>
            <w:shd w:val="clear" w:color="auto" w:fill="auto"/>
            <w:noWrap/>
            <w:vAlign w:val="bottom"/>
            <w:hideMark/>
          </w:tcPr>
          <w:p w14:paraId="6797C28B" w14:textId="77777777" w:rsidR="00EE1E80" w:rsidRPr="00033A3F" w:rsidRDefault="00EE1E80" w:rsidP="00293866">
            <w:pPr>
              <w:spacing w:line="240" w:lineRule="auto"/>
              <w:jc w:val="center"/>
              <w:rPr>
                <w:color w:val="000000" w:themeColor="text1"/>
              </w:rPr>
            </w:pPr>
            <w:r w:rsidRPr="00033A3F">
              <w:rPr>
                <w:color w:val="000000" w:themeColor="text1"/>
              </w:rPr>
              <w:t>47 %</w:t>
            </w:r>
          </w:p>
        </w:tc>
        <w:tc>
          <w:tcPr>
            <w:tcW w:w="1080" w:type="dxa"/>
            <w:tcBorders>
              <w:top w:val="nil"/>
              <w:left w:val="nil"/>
              <w:bottom w:val="single" w:sz="4" w:space="0" w:color="auto"/>
              <w:right w:val="nil"/>
            </w:tcBorders>
            <w:shd w:val="clear" w:color="auto" w:fill="auto"/>
            <w:noWrap/>
            <w:vAlign w:val="bottom"/>
            <w:hideMark/>
          </w:tcPr>
          <w:p w14:paraId="440F4CC0" w14:textId="77777777" w:rsidR="00EE1E80" w:rsidRPr="00033A3F" w:rsidRDefault="00EE1E80" w:rsidP="00293866">
            <w:pPr>
              <w:spacing w:line="240" w:lineRule="auto"/>
              <w:jc w:val="center"/>
              <w:rPr>
                <w:color w:val="000000" w:themeColor="text1"/>
              </w:rPr>
            </w:pPr>
            <w:r w:rsidRPr="00033A3F">
              <w:rPr>
                <w:color w:val="000000" w:themeColor="text1"/>
              </w:rPr>
              <w:t>63 %</w:t>
            </w:r>
          </w:p>
        </w:tc>
        <w:tc>
          <w:tcPr>
            <w:tcW w:w="1080" w:type="dxa"/>
            <w:tcBorders>
              <w:top w:val="nil"/>
              <w:left w:val="nil"/>
              <w:bottom w:val="single" w:sz="4" w:space="0" w:color="auto"/>
              <w:right w:val="nil"/>
            </w:tcBorders>
            <w:shd w:val="clear" w:color="auto" w:fill="auto"/>
            <w:noWrap/>
            <w:vAlign w:val="bottom"/>
            <w:hideMark/>
          </w:tcPr>
          <w:p w14:paraId="1A003E10" w14:textId="77777777" w:rsidR="00EE1E80" w:rsidRPr="00033A3F" w:rsidRDefault="00EE1E80" w:rsidP="00293866">
            <w:pPr>
              <w:spacing w:line="240" w:lineRule="auto"/>
              <w:jc w:val="center"/>
              <w:rPr>
                <w:color w:val="000000" w:themeColor="text1"/>
              </w:rPr>
            </w:pPr>
            <w:r w:rsidRPr="00033A3F">
              <w:rPr>
                <w:color w:val="000000" w:themeColor="text1"/>
              </w:rPr>
              <w:t>55 %</w:t>
            </w:r>
          </w:p>
        </w:tc>
      </w:tr>
      <w:tr w:rsidR="00033A3F" w:rsidRPr="00033A3F" w14:paraId="35DDF442"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0BBE77D4" w14:textId="77777777" w:rsidR="00EE1E80" w:rsidRPr="00033A3F" w:rsidRDefault="00EE1E80" w:rsidP="00293866">
            <w:pPr>
              <w:spacing w:line="240" w:lineRule="auto"/>
              <w:jc w:val="left"/>
              <w:rPr>
                <w:color w:val="000000" w:themeColor="text1"/>
              </w:rPr>
            </w:pPr>
            <w:r w:rsidRPr="00033A3F">
              <w:rPr>
                <w:color w:val="000000" w:themeColor="text1"/>
              </w:rPr>
              <w:t>OS Trutnov</w:t>
            </w:r>
          </w:p>
        </w:tc>
        <w:tc>
          <w:tcPr>
            <w:tcW w:w="2960" w:type="dxa"/>
            <w:tcBorders>
              <w:top w:val="nil"/>
              <w:left w:val="nil"/>
              <w:bottom w:val="single" w:sz="4" w:space="0" w:color="auto"/>
              <w:right w:val="nil"/>
            </w:tcBorders>
            <w:shd w:val="clear" w:color="auto" w:fill="auto"/>
            <w:noWrap/>
            <w:vAlign w:val="bottom"/>
            <w:hideMark/>
          </w:tcPr>
          <w:p w14:paraId="2507B43E" w14:textId="77777777" w:rsidR="00EE1E80" w:rsidRPr="00033A3F" w:rsidRDefault="00EE1E80" w:rsidP="00293866">
            <w:pPr>
              <w:spacing w:line="240" w:lineRule="auto"/>
              <w:jc w:val="left"/>
              <w:rPr>
                <w:color w:val="000000" w:themeColor="text1"/>
              </w:rPr>
            </w:pPr>
            <w:r w:rsidRPr="00033A3F">
              <w:rPr>
                <w:color w:val="000000" w:themeColor="text1"/>
              </w:rPr>
              <w:t>Odolov</w:t>
            </w:r>
          </w:p>
        </w:tc>
        <w:tc>
          <w:tcPr>
            <w:tcW w:w="1080" w:type="dxa"/>
            <w:tcBorders>
              <w:top w:val="nil"/>
              <w:left w:val="nil"/>
              <w:bottom w:val="single" w:sz="4" w:space="0" w:color="auto"/>
              <w:right w:val="nil"/>
            </w:tcBorders>
            <w:shd w:val="clear" w:color="auto" w:fill="auto"/>
            <w:noWrap/>
            <w:vAlign w:val="bottom"/>
            <w:hideMark/>
          </w:tcPr>
          <w:p w14:paraId="339A7927" w14:textId="77777777" w:rsidR="00EE1E80" w:rsidRPr="00033A3F" w:rsidRDefault="00EE1E80" w:rsidP="00293866">
            <w:pPr>
              <w:spacing w:line="240" w:lineRule="auto"/>
              <w:jc w:val="center"/>
              <w:rPr>
                <w:color w:val="000000" w:themeColor="text1"/>
              </w:rPr>
            </w:pPr>
            <w:r w:rsidRPr="00033A3F">
              <w:rPr>
                <w:color w:val="000000" w:themeColor="text1"/>
              </w:rPr>
              <w:t>55 %</w:t>
            </w:r>
          </w:p>
        </w:tc>
        <w:tc>
          <w:tcPr>
            <w:tcW w:w="1080" w:type="dxa"/>
            <w:tcBorders>
              <w:top w:val="nil"/>
              <w:left w:val="nil"/>
              <w:bottom w:val="single" w:sz="4" w:space="0" w:color="auto"/>
              <w:right w:val="nil"/>
            </w:tcBorders>
            <w:shd w:val="clear" w:color="auto" w:fill="auto"/>
            <w:noWrap/>
            <w:vAlign w:val="bottom"/>
            <w:hideMark/>
          </w:tcPr>
          <w:p w14:paraId="4826A3B6" w14:textId="77777777" w:rsidR="00EE1E80" w:rsidRPr="00033A3F" w:rsidRDefault="00EE1E80" w:rsidP="00293866">
            <w:pPr>
              <w:spacing w:line="240" w:lineRule="auto"/>
              <w:jc w:val="center"/>
              <w:rPr>
                <w:color w:val="000000" w:themeColor="text1"/>
              </w:rPr>
            </w:pPr>
            <w:r w:rsidRPr="00033A3F">
              <w:rPr>
                <w:color w:val="000000" w:themeColor="text1"/>
              </w:rPr>
              <w:t>58 %</w:t>
            </w:r>
          </w:p>
        </w:tc>
        <w:tc>
          <w:tcPr>
            <w:tcW w:w="1080" w:type="dxa"/>
            <w:tcBorders>
              <w:top w:val="nil"/>
              <w:left w:val="nil"/>
              <w:bottom w:val="single" w:sz="4" w:space="0" w:color="auto"/>
              <w:right w:val="nil"/>
            </w:tcBorders>
            <w:shd w:val="clear" w:color="auto" w:fill="auto"/>
            <w:noWrap/>
            <w:vAlign w:val="bottom"/>
            <w:hideMark/>
          </w:tcPr>
          <w:p w14:paraId="0D634F18" w14:textId="77777777" w:rsidR="00EE1E80" w:rsidRPr="00033A3F" w:rsidRDefault="00EE1E80" w:rsidP="00293866">
            <w:pPr>
              <w:spacing w:line="240" w:lineRule="auto"/>
              <w:jc w:val="center"/>
              <w:rPr>
                <w:color w:val="000000" w:themeColor="text1"/>
              </w:rPr>
            </w:pPr>
            <w:r w:rsidRPr="00033A3F">
              <w:rPr>
                <w:color w:val="000000" w:themeColor="text1"/>
              </w:rPr>
              <w:t>55 %</w:t>
            </w:r>
          </w:p>
        </w:tc>
      </w:tr>
      <w:tr w:rsidR="00033A3F" w:rsidRPr="00033A3F" w14:paraId="0C7075E1"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1EF045B8" w14:textId="77777777" w:rsidR="00EE1E80" w:rsidRPr="00033A3F" w:rsidRDefault="00EE1E80" w:rsidP="00293866">
            <w:pPr>
              <w:spacing w:line="240" w:lineRule="auto"/>
              <w:jc w:val="left"/>
              <w:rPr>
                <w:color w:val="000000" w:themeColor="text1"/>
              </w:rPr>
            </w:pPr>
            <w:r w:rsidRPr="00033A3F">
              <w:rPr>
                <w:color w:val="000000" w:themeColor="text1"/>
              </w:rPr>
              <w:t>OS Most</w:t>
            </w:r>
          </w:p>
        </w:tc>
        <w:tc>
          <w:tcPr>
            <w:tcW w:w="2960" w:type="dxa"/>
            <w:tcBorders>
              <w:top w:val="nil"/>
              <w:left w:val="nil"/>
              <w:bottom w:val="single" w:sz="4" w:space="0" w:color="auto"/>
              <w:right w:val="nil"/>
            </w:tcBorders>
            <w:shd w:val="clear" w:color="auto" w:fill="auto"/>
            <w:noWrap/>
            <w:vAlign w:val="bottom"/>
            <w:hideMark/>
          </w:tcPr>
          <w:p w14:paraId="02AF7119" w14:textId="77777777" w:rsidR="00EE1E80" w:rsidRPr="00033A3F" w:rsidRDefault="00EE1E80" w:rsidP="00293866">
            <w:pPr>
              <w:spacing w:line="240" w:lineRule="auto"/>
              <w:jc w:val="left"/>
              <w:rPr>
                <w:color w:val="000000" w:themeColor="text1"/>
              </w:rPr>
            </w:pPr>
            <w:r w:rsidRPr="00033A3F">
              <w:rPr>
                <w:color w:val="000000" w:themeColor="text1"/>
              </w:rPr>
              <w:t>Bělušice</w:t>
            </w:r>
          </w:p>
        </w:tc>
        <w:tc>
          <w:tcPr>
            <w:tcW w:w="1080" w:type="dxa"/>
            <w:tcBorders>
              <w:top w:val="nil"/>
              <w:left w:val="nil"/>
              <w:bottom w:val="single" w:sz="4" w:space="0" w:color="auto"/>
              <w:right w:val="nil"/>
            </w:tcBorders>
            <w:shd w:val="clear" w:color="auto" w:fill="auto"/>
            <w:noWrap/>
            <w:vAlign w:val="bottom"/>
            <w:hideMark/>
          </w:tcPr>
          <w:p w14:paraId="1F9289FA" w14:textId="77777777" w:rsidR="00EE1E80" w:rsidRPr="00033A3F" w:rsidRDefault="00EE1E80" w:rsidP="00293866">
            <w:pPr>
              <w:spacing w:line="240" w:lineRule="auto"/>
              <w:jc w:val="center"/>
              <w:rPr>
                <w:color w:val="000000" w:themeColor="text1"/>
              </w:rPr>
            </w:pPr>
            <w:r w:rsidRPr="00033A3F">
              <w:rPr>
                <w:color w:val="000000" w:themeColor="text1"/>
              </w:rPr>
              <w:t>34 %</w:t>
            </w:r>
          </w:p>
        </w:tc>
        <w:tc>
          <w:tcPr>
            <w:tcW w:w="1080" w:type="dxa"/>
            <w:tcBorders>
              <w:top w:val="nil"/>
              <w:left w:val="nil"/>
              <w:bottom w:val="single" w:sz="4" w:space="0" w:color="auto"/>
              <w:right w:val="nil"/>
            </w:tcBorders>
            <w:shd w:val="clear" w:color="auto" w:fill="auto"/>
            <w:noWrap/>
            <w:vAlign w:val="bottom"/>
            <w:hideMark/>
          </w:tcPr>
          <w:p w14:paraId="53C3F0A5" w14:textId="77777777" w:rsidR="00EE1E80" w:rsidRPr="00033A3F" w:rsidRDefault="00EE1E80" w:rsidP="00293866">
            <w:pPr>
              <w:spacing w:line="240" w:lineRule="auto"/>
              <w:jc w:val="center"/>
              <w:rPr>
                <w:color w:val="000000" w:themeColor="text1"/>
              </w:rPr>
            </w:pPr>
            <w:r w:rsidRPr="00033A3F">
              <w:rPr>
                <w:color w:val="000000" w:themeColor="text1"/>
              </w:rPr>
              <w:t>29 %</w:t>
            </w:r>
          </w:p>
        </w:tc>
        <w:tc>
          <w:tcPr>
            <w:tcW w:w="1080" w:type="dxa"/>
            <w:tcBorders>
              <w:top w:val="nil"/>
              <w:left w:val="nil"/>
              <w:bottom w:val="single" w:sz="4" w:space="0" w:color="auto"/>
              <w:right w:val="nil"/>
            </w:tcBorders>
            <w:shd w:val="clear" w:color="auto" w:fill="auto"/>
            <w:noWrap/>
            <w:vAlign w:val="bottom"/>
            <w:hideMark/>
          </w:tcPr>
          <w:p w14:paraId="1EF3DCF5" w14:textId="77777777" w:rsidR="00EE1E80" w:rsidRPr="00033A3F" w:rsidRDefault="00EE1E80" w:rsidP="00293866">
            <w:pPr>
              <w:spacing w:line="240" w:lineRule="auto"/>
              <w:jc w:val="center"/>
              <w:rPr>
                <w:color w:val="000000" w:themeColor="text1"/>
              </w:rPr>
            </w:pPr>
            <w:r w:rsidRPr="00033A3F">
              <w:rPr>
                <w:color w:val="000000" w:themeColor="text1"/>
              </w:rPr>
              <w:t>50 %</w:t>
            </w:r>
          </w:p>
        </w:tc>
      </w:tr>
      <w:tr w:rsidR="00033A3F" w:rsidRPr="00033A3F" w14:paraId="7C3354DD"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5166E82B" w14:textId="77777777" w:rsidR="00EE1E80" w:rsidRPr="00033A3F" w:rsidRDefault="00EE1E80" w:rsidP="00293866">
            <w:pPr>
              <w:spacing w:line="240" w:lineRule="auto"/>
              <w:jc w:val="left"/>
              <w:rPr>
                <w:color w:val="000000" w:themeColor="text1"/>
              </w:rPr>
            </w:pPr>
            <w:r w:rsidRPr="00033A3F">
              <w:rPr>
                <w:color w:val="000000" w:themeColor="text1"/>
              </w:rPr>
              <w:t>OS Třebíč</w:t>
            </w:r>
          </w:p>
        </w:tc>
        <w:tc>
          <w:tcPr>
            <w:tcW w:w="2960" w:type="dxa"/>
            <w:tcBorders>
              <w:top w:val="nil"/>
              <w:left w:val="nil"/>
              <w:bottom w:val="single" w:sz="4" w:space="0" w:color="auto"/>
              <w:right w:val="nil"/>
            </w:tcBorders>
            <w:shd w:val="clear" w:color="auto" w:fill="auto"/>
            <w:noWrap/>
            <w:vAlign w:val="bottom"/>
            <w:hideMark/>
          </w:tcPr>
          <w:p w14:paraId="73E592A2" w14:textId="77777777" w:rsidR="00EE1E80" w:rsidRPr="00033A3F" w:rsidRDefault="00EE1E80" w:rsidP="00293866">
            <w:pPr>
              <w:spacing w:line="240" w:lineRule="auto"/>
              <w:jc w:val="left"/>
              <w:rPr>
                <w:color w:val="000000" w:themeColor="text1"/>
              </w:rPr>
            </w:pPr>
            <w:r w:rsidRPr="00033A3F">
              <w:rPr>
                <w:color w:val="000000" w:themeColor="text1"/>
              </w:rPr>
              <w:t>Rapotice</w:t>
            </w:r>
          </w:p>
        </w:tc>
        <w:tc>
          <w:tcPr>
            <w:tcW w:w="1080" w:type="dxa"/>
            <w:tcBorders>
              <w:top w:val="nil"/>
              <w:left w:val="nil"/>
              <w:bottom w:val="single" w:sz="4" w:space="0" w:color="auto"/>
              <w:right w:val="nil"/>
            </w:tcBorders>
            <w:shd w:val="clear" w:color="auto" w:fill="auto"/>
            <w:noWrap/>
            <w:vAlign w:val="bottom"/>
            <w:hideMark/>
          </w:tcPr>
          <w:p w14:paraId="493748F6" w14:textId="77777777" w:rsidR="00EE1E80" w:rsidRPr="00033A3F" w:rsidRDefault="00EE1E80" w:rsidP="00293866">
            <w:pPr>
              <w:spacing w:line="240" w:lineRule="auto"/>
              <w:jc w:val="center"/>
              <w:rPr>
                <w:color w:val="000000" w:themeColor="text1"/>
              </w:rPr>
            </w:pPr>
            <w:r w:rsidRPr="00033A3F">
              <w:rPr>
                <w:color w:val="000000" w:themeColor="text1"/>
              </w:rPr>
              <w:t>55 %</w:t>
            </w:r>
          </w:p>
        </w:tc>
        <w:tc>
          <w:tcPr>
            <w:tcW w:w="1080" w:type="dxa"/>
            <w:tcBorders>
              <w:top w:val="nil"/>
              <w:left w:val="nil"/>
              <w:bottom w:val="single" w:sz="4" w:space="0" w:color="auto"/>
              <w:right w:val="nil"/>
            </w:tcBorders>
            <w:shd w:val="clear" w:color="auto" w:fill="auto"/>
            <w:noWrap/>
            <w:vAlign w:val="bottom"/>
            <w:hideMark/>
          </w:tcPr>
          <w:p w14:paraId="68F6E5CC" w14:textId="77777777" w:rsidR="00EE1E80" w:rsidRPr="00033A3F" w:rsidRDefault="00EE1E80" w:rsidP="00293866">
            <w:pPr>
              <w:spacing w:line="240" w:lineRule="auto"/>
              <w:jc w:val="center"/>
              <w:rPr>
                <w:color w:val="000000" w:themeColor="text1"/>
              </w:rPr>
            </w:pPr>
            <w:r w:rsidRPr="00033A3F">
              <w:rPr>
                <w:color w:val="000000" w:themeColor="text1"/>
              </w:rPr>
              <w:t>52 %</w:t>
            </w:r>
          </w:p>
        </w:tc>
        <w:tc>
          <w:tcPr>
            <w:tcW w:w="1080" w:type="dxa"/>
            <w:tcBorders>
              <w:top w:val="nil"/>
              <w:left w:val="nil"/>
              <w:bottom w:val="single" w:sz="4" w:space="0" w:color="auto"/>
              <w:right w:val="nil"/>
            </w:tcBorders>
            <w:shd w:val="clear" w:color="auto" w:fill="auto"/>
            <w:noWrap/>
            <w:vAlign w:val="bottom"/>
            <w:hideMark/>
          </w:tcPr>
          <w:p w14:paraId="62DABA8B" w14:textId="77777777" w:rsidR="00EE1E80" w:rsidRPr="00033A3F" w:rsidRDefault="00EE1E80" w:rsidP="00293866">
            <w:pPr>
              <w:spacing w:line="240" w:lineRule="auto"/>
              <w:jc w:val="center"/>
              <w:rPr>
                <w:color w:val="000000" w:themeColor="text1"/>
              </w:rPr>
            </w:pPr>
            <w:r w:rsidRPr="00033A3F">
              <w:rPr>
                <w:color w:val="000000" w:themeColor="text1"/>
              </w:rPr>
              <w:t>48 %</w:t>
            </w:r>
          </w:p>
        </w:tc>
      </w:tr>
      <w:tr w:rsidR="00033A3F" w:rsidRPr="00033A3F" w14:paraId="21FDDAF8"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584B917A" w14:textId="77777777" w:rsidR="00EE1E80" w:rsidRPr="00033A3F" w:rsidRDefault="00EE1E80" w:rsidP="00293866">
            <w:pPr>
              <w:spacing w:line="240" w:lineRule="auto"/>
              <w:jc w:val="left"/>
              <w:rPr>
                <w:color w:val="000000" w:themeColor="text1"/>
              </w:rPr>
            </w:pPr>
            <w:r w:rsidRPr="00033A3F">
              <w:rPr>
                <w:color w:val="000000" w:themeColor="text1"/>
              </w:rPr>
              <w:t>OS Louny</w:t>
            </w:r>
          </w:p>
        </w:tc>
        <w:tc>
          <w:tcPr>
            <w:tcW w:w="2960" w:type="dxa"/>
            <w:tcBorders>
              <w:top w:val="nil"/>
              <w:left w:val="nil"/>
              <w:bottom w:val="single" w:sz="4" w:space="0" w:color="auto"/>
              <w:right w:val="nil"/>
            </w:tcBorders>
            <w:shd w:val="clear" w:color="auto" w:fill="auto"/>
            <w:noWrap/>
            <w:vAlign w:val="bottom"/>
            <w:hideMark/>
          </w:tcPr>
          <w:p w14:paraId="6618E470" w14:textId="77777777" w:rsidR="00EE1E80" w:rsidRPr="00033A3F" w:rsidRDefault="00EE1E80" w:rsidP="00293866">
            <w:pPr>
              <w:spacing w:line="240" w:lineRule="auto"/>
              <w:jc w:val="left"/>
              <w:rPr>
                <w:color w:val="000000" w:themeColor="text1"/>
              </w:rPr>
            </w:pPr>
            <w:r w:rsidRPr="00033A3F">
              <w:rPr>
                <w:color w:val="000000" w:themeColor="text1"/>
              </w:rPr>
              <w:t>Nové Sedlo</w:t>
            </w:r>
          </w:p>
        </w:tc>
        <w:tc>
          <w:tcPr>
            <w:tcW w:w="1080" w:type="dxa"/>
            <w:tcBorders>
              <w:top w:val="nil"/>
              <w:left w:val="nil"/>
              <w:bottom w:val="single" w:sz="4" w:space="0" w:color="auto"/>
              <w:right w:val="nil"/>
            </w:tcBorders>
            <w:shd w:val="clear" w:color="auto" w:fill="auto"/>
            <w:noWrap/>
            <w:vAlign w:val="bottom"/>
            <w:hideMark/>
          </w:tcPr>
          <w:p w14:paraId="640084D6" w14:textId="77777777" w:rsidR="00EE1E80" w:rsidRPr="00033A3F" w:rsidRDefault="00EE1E80" w:rsidP="00293866">
            <w:pPr>
              <w:spacing w:line="240" w:lineRule="auto"/>
              <w:jc w:val="center"/>
              <w:rPr>
                <w:color w:val="000000" w:themeColor="text1"/>
              </w:rPr>
            </w:pPr>
            <w:r w:rsidRPr="00033A3F">
              <w:rPr>
                <w:color w:val="000000" w:themeColor="text1"/>
              </w:rPr>
              <w:t>49 %</w:t>
            </w:r>
          </w:p>
        </w:tc>
        <w:tc>
          <w:tcPr>
            <w:tcW w:w="1080" w:type="dxa"/>
            <w:tcBorders>
              <w:top w:val="nil"/>
              <w:left w:val="nil"/>
              <w:bottom w:val="single" w:sz="4" w:space="0" w:color="auto"/>
              <w:right w:val="nil"/>
            </w:tcBorders>
            <w:shd w:val="clear" w:color="auto" w:fill="auto"/>
            <w:noWrap/>
            <w:vAlign w:val="bottom"/>
            <w:hideMark/>
          </w:tcPr>
          <w:p w14:paraId="02F4F205" w14:textId="77777777" w:rsidR="00EE1E80" w:rsidRPr="00033A3F" w:rsidRDefault="00EE1E80" w:rsidP="00293866">
            <w:pPr>
              <w:spacing w:line="240" w:lineRule="auto"/>
              <w:jc w:val="center"/>
              <w:rPr>
                <w:color w:val="000000" w:themeColor="text1"/>
              </w:rPr>
            </w:pPr>
            <w:r w:rsidRPr="00033A3F">
              <w:rPr>
                <w:color w:val="000000" w:themeColor="text1"/>
              </w:rPr>
              <w:t>52 %</w:t>
            </w:r>
          </w:p>
        </w:tc>
        <w:tc>
          <w:tcPr>
            <w:tcW w:w="1080" w:type="dxa"/>
            <w:tcBorders>
              <w:top w:val="nil"/>
              <w:left w:val="nil"/>
              <w:bottom w:val="single" w:sz="4" w:space="0" w:color="auto"/>
              <w:right w:val="nil"/>
            </w:tcBorders>
            <w:shd w:val="clear" w:color="auto" w:fill="auto"/>
            <w:noWrap/>
            <w:vAlign w:val="bottom"/>
            <w:hideMark/>
          </w:tcPr>
          <w:p w14:paraId="09F548FD" w14:textId="77777777" w:rsidR="00EE1E80" w:rsidRPr="00033A3F" w:rsidRDefault="00EE1E80" w:rsidP="00293866">
            <w:pPr>
              <w:spacing w:line="240" w:lineRule="auto"/>
              <w:jc w:val="center"/>
              <w:rPr>
                <w:color w:val="000000" w:themeColor="text1"/>
              </w:rPr>
            </w:pPr>
            <w:r w:rsidRPr="00033A3F">
              <w:rPr>
                <w:color w:val="000000" w:themeColor="text1"/>
              </w:rPr>
              <w:t>47 %</w:t>
            </w:r>
          </w:p>
        </w:tc>
      </w:tr>
      <w:tr w:rsidR="00033A3F" w:rsidRPr="00033A3F" w14:paraId="2030CA0A"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2C62A63" w14:textId="77777777" w:rsidR="00EE1E80" w:rsidRPr="00033A3F" w:rsidRDefault="00EE1E80" w:rsidP="00293866">
            <w:pPr>
              <w:spacing w:line="240" w:lineRule="auto"/>
              <w:jc w:val="left"/>
              <w:rPr>
                <w:color w:val="000000" w:themeColor="text1"/>
              </w:rPr>
            </w:pPr>
            <w:r w:rsidRPr="00033A3F">
              <w:rPr>
                <w:color w:val="000000" w:themeColor="text1"/>
              </w:rPr>
              <w:t>MS Brno – město</w:t>
            </w:r>
          </w:p>
        </w:tc>
        <w:tc>
          <w:tcPr>
            <w:tcW w:w="2960" w:type="dxa"/>
            <w:tcBorders>
              <w:top w:val="nil"/>
              <w:left w:val="nil"/>
              <w:bottom w:val="single" w:sz="4" w:space="0" w:color="auto"/>
              <w:right w:val="nil"/>
            </w:tcBorders>
            <w:shd w:val="clear" w:color="auto" w:fill="auto"/>
            <w:noWrap/>
            <w:vAlign w:val="bottom"/>
            <w:hideMark/>
          </w:tcPr>
          <w:p w14:paraId="2754DB71" w14:textId="77777777" w:rsidR="00EE1E80" w:rsidRPr="00033A3F" w:rsidRDefault="00EE1E80" w:rsidP="00293866">
            <w:pPr>
              <w:spacing w:line="240" w:lineRule="auto"/>
              <w:jc w:val="left"/>
              <w:rPr>
                <w:color w:val="000000" w:themeColor="text1"/>
              </w:rPr>
            </w:pPr>
            <w:r w:rsidRPr="00033A3F">
              <w:rPr>
                <w:color w:val="000000" w:themeColor="text1"/>
              </w:rPr>
              <w:t>Brno</w:t>
            </w:r>
          </w:p>
        </w:tc>
        <w:tc>
          <w:tcPr>
            <w:tcW w:w="1080" w:type="dxa"/>
            <w:tcBorders>
              <w:top w:val="nil"/>
              <w:left w:val="nil"/>
              <w:bottom w:val="single" w:sz="4" w:space="0" w:color="auto"/>
              <w:right w:val="nil"/>
            </w:tcBorders>
            <w:shd w:val="clear" w:color="auto" w:fill="auto"/>
            <w:noWrap/>
            <w:vAlign w:val="bottom"/>
            <w:hideMark/>
          </w:tcPr>
          <w:p w14:paraId="7D73341C" w14:textId="77777777" w:rsidR="00EE1E80" w:rsidRPr="00033A3F" w:rsidRDefault="00EE1E80" w:rsidP="00293866">
            <w:pPr>
              <w:spacing w:line="240" w:lineRule="auto"/>
              <w:jc w:val="center"/>
              <w:rPr>
                <w:color w:val="000000" w:themeColor="text1"/>
              </w:rPr>
            </w:pPr>
            <w:r w:rsidRPr="00033A3F">
              <w:rPr>
                <w:color w:val="000000" w:themeColor="text1"/>
              </w:rPr>
              <w:t>36 %</w:t>
            </w:r>
          </w:p>
        </w:tc>
        <w:tc>
          <w:tcPr>
            <w:tcW w:w="1080" w:type="dxa"/>
            <w:tcBorders>
              <w:top w:val="nil"/>
              <w:left w:val="nil"/>
              <w:bottom w:val="single" w:sz="4" w:space="0" w:color="auto"/>
              <w:right w:val="nil"/>
            </w:tcBorders>
            <w:shd w:val="clear" w:color="auto" w:fill="auto"/>
            <w:noWrap/>
            <w:vAlign w:val="bottom"/>
            <w:hideMark/>
          </w:tcPr>
          <w:p w14:paraId="47A30541" w14:textId="77777777" w:rsidR="00EE1E80" w:rsidRPr="00033A3F" w:rsidRDefault="00EE1E80" w:rsidP="00293866">
            <w:pPr>
              <w:spacing w:line="240" w:lineRule="auto"/>
              <w:jc w:val="center"/>
              <w:rPr>
                <w:color w:val="000000" w:themeColor="text1"/>
              </w:rPr>
            </w:pPr>
            <w:r w:rsidRPr="00033A3F">
              <w:rPr>
                <w:color w:val="000000" w:themeColor="text1"/>
              </w:rPr>
              <w:t>43 %</w:t>
            </w:r>
          </w:p>
        </w:tc>
        <w:tc>
          <w:tcPr>
            <w:tcW w:w="1080" w:type="dxa"/>
            <w:tcBorders>
              <w:top w:val="nil"/>
              <w:left w:val="nil"/>
              <w:bottom w:val="single" w:sz="4" w:space="0" w:color="auto"/>
              <w:right w:val="nil"/>
            </w:tcBorders>
            <w:shd w:val="clear" w:color="auto" w:fill="auto"/>
            <w:noWrap/>
            <w:vAlign w:val="bottom"/>
            <w:hideMark/>
          </w:tcPr>
          <w:p w14:paraId="540D6036" w14:textId="77777777" w:rsidR="00EE1E80" w:rsidRPr="00033A3F" w:rsidRDefault="00EE1E80" w:rsidP="00293866">
            <w:pPr>
              <w:spacing w:line="240" w:lineRule="auto"/>
              <w:jc w:val="center"/>
              <w:rPr>
                <w:color w:val="000000" w:themeColor="text1"/>
              </w:rPr>
            </w:pPr>
            <w:r w:rsidRPr="00033A3F">
              <w:rPr>
                <w:color w:val="000000" w:themeColor="text1"/>
              </w:rPr>
              <w:t>45 %</w:t>
            </w:r>
          </w:p>
        </w:tc>
      </w:tr>
      <w:tr w:rsidR="00033A3F" w:rsidRPr="00033A3F" w14:paraId="6F893D61"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0AC3B3FC" w14:textId="77777777" w:rsidR="00EE1E80" w:rsidRPr="00033A3F" w:rsidRDefault="00EE1E80" w:rsidP="00293866">
            <w:pPr>
              <w:spacing w:line="240" w:lineRule="auto"/>
              <w:jc w:val="left"/>
              <w:rPr>
                <w:color w:val="000000" w:themeColor="text1"/>
              </w:rPr>
            </w:pPr>
            <w:r w:rsidRPr="00033A3F">
              <w:rPr>
                <w:color w:val="000000" w:themeColor="text1"/>
              </w:rPr>
              <w:t>OS Praha 6</w:t>
            </w:r>
          </w:p>
        </w:tc>
        <w:tc>
          <w:tcPr>
            <w:tcW w:w="2960" w:type="dxa"/>
            <w:tcBorders>
              <w:top w:val="nil"/>
              <w:left w:val="nil"/>
              <w:bottom w:val="single" w:sz="4" w:space="0" w:color="auto"/>
              <w:right w:val="nil"/>
            </w:tcBorders>
            <w:shd w:val="clear" w:color="auto" w:fill="auto"/>
            <w:noWrap/>
            <w:vAlign w:val="bottom"/>
            <w:hideMark/>
          </w:tcPr>
          <w:p w14:paraId="10DC6F91" w14:textId="77777777" w:rsidR="00EE1E80" w:rsidRPr="00033A3F" w:rsidRDefault="00EE1E80" w:rsidP="00293866">
            <w:pPr>
              <w:spacing w:line="240" w:lineRule="auto"/>
              <w:jc w:val="left"/>
              <w:rPr>
                <w:color w:val="000000" w:themeColor="text1"/>
              </w:rPr>
            </w:pPr>
            <w:r w:rsidRPr="00033A3F">
              <w:rPr>
                <w:color w:val="000000" w:themeColor="text1"/>
              </w:rPr>
              <w:t>Ruzyně</w:t>
            </w:r>
          </w:p>
        </w:tc>
        <w:tc>
          <w:tcPr>
            <w:tcW w:w="1080" w:type="dxa"/>
            <w:tcBorders>
              <w:top w:val="nil"/>
              <w:left w:val="nil"/>
              <w:bottom w:val="single" w:sz="4" w:space="0" w:color="auto"/>
              <w:right w:val="nil"/>
            </w:tcBorders>
            <w:shd w:val="clear" w:color="auto" w:fill="auto"/>
            <w:noWrap/>
            <w:vAlign w:val="bottom"/>
            <w:hideMark/>
          </w:tcPr>
          <w:p w14:paraId="73B0B6CF" w14:textId="77777777" w:rsidR="00EE1E80" w:rsidRPr="00033A3F" w:rsidRDefault="00EE1E80" w:rsidP="00293866">
            <w:pPr>
              <w:spacing w:line="240" w:lineRule="auto"/>
              <w:jc w:val="center"/>
              <w:rPr>
                <w:color w:val="000000" w:themeColor="text1"/>
              </w:rPr>
            </w:pPr>
            <w:r w:rsidRPr="00033A3F">
              <w:rPr>
                <w:color w:val="000000" w:themeColor="text1"/>
              </w:rPr>
              <w:t>52 %</w:t>
            </w:r>
          </w:p>
        </w:tc>
        <w:tc>
          <w:tcPr>
            <w:tcW w:w="1080" w:type="dxa"/>
            <w:tcBorders>
              <w:top w:val="nil"/>
              <w:left w:val="nil"/>
              <w:bottom w:val="single" w:sz="4" w:space="0" w:color="auto"/>
              <w:right w:val="nil"/>
            </w:tcBorders>
            <w:shd w:val="clear" w:color="auto" w:fill="auto"/>
            <w:noWrap/>
            <w:vAlign w:val="bottom"/>
            <w:hideMark/>
          </w:tcPr>
          <w:p w14:paraId="5D6218AF" w14:textId="77777777" w:rsidR="00EE1E80" w:rsidRPr="00033A3F" w:rsidRDefault="00EE1E80" w:rsidP="00293866">
            <w:pPr>
              <w:spacing w:line="240" w:lineRule="auto"/>
              <w:jc w:val="center"/>
              <w:rPr>
                <w:color w:val="000000" w:themeColor="text1"/>
              </w:rPr>
            </w:pPr>
            <w:r w:rsidRPr="00033A3F">
              <w:rPr>
                <w:color w:val="000000" w:themeColor="text1"/>
              </w:rPr>
              <w:t>51 %</w:t>
            </w:r>
          </w:p>
        </w:tc>
        <w:tc>
          <w:tcPr>
            <w:tcW w:w="1080" w:type="dxa"/>
            <w:tcBorders>
              <w:top w:val="nil"/>
              <w:left w:val="nil"/>
              <w:bottom w:val="single" w:sz="4" w:space="0" w:color="auto"/>
              <w:right w:val="nil"/>
            </w:tcBorders>
            <w:shd w:val="clear" w:color="auto" w:fill="auto"/>
            <w:noWrap/>
            <w:vAlign w:val="bottom"/>
            <w:hideMark/>
          </w:tcPr>
          <w:p w14:paraId="1759EA96" w14:textId="77777777" w:rsidR="00EE1E80" w:rsidRPr="00033A3F" w:rsidRDefault="00EE1E80" w:rsidP="00293866">
            <w:pPr>
              <w:spacing w:line="240" w:lineRule="auto"/>
              <w:jc w:val="center"/>
              <w:rPr>
                <w:color w:val="000000" w:themeColor="text1"/>
              </w:rPr>
            </w:pPr>
            <w:r w:rsidRPr="00033A3F">
              <w:rPr>
                <w:color w:val="000000" w:themeColor="text1"/>
              </w:rPr>
              <w:t>42 %</w:t>
            </w:r>
          </w:p>
        </w:tc>
      </w:tr>
      <w:tr w:rsidR="00033A3F" w:rsidRPr="00033A3F" w14:paraId="1AC0249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7F04979D" w14:textId="77777777" w:rsidR="00EE1E80" w:rsidRPr="00033A3F" w:rsidRDefault="00EE1E80" w:rsidP="00293866">
            <w:pPr>
              <w:spacing w:line="240" w:lineRule="auto"/>
              <w:jc w:val="left"/>
              <w:rPr>
                <w:color w:val="000000" w:themeColor="text1"/>
              </w:rPr>
            </w:pPr>
            <w:r w:rsidRPr="00033A3F">
              <w:rPr>
                <w:color w:val="000000" w:themeColor="text1"/>
              </w:rPr>
              <w:t>OS Znojmo</w:t>
            </w:r>
          </w:p>
        </w:tc>
        <w:tc>
          <w:tcPr>
            <w:tcW w:w="2960" w:type="dxa"/>
            <w:tcBorders>
              <w:top w:val="nil"/>
              <w:left w:val="nil"/>
              <w:bottom w:val="single" w:sz="4" w:space="0" w:color="auto"/>
              <w:right w:val="nil"/>
            </w:tcBorders>
            <w:shd w:val="clear" w:color="auto" w:fill="auto"/>
            <w:noWrap/>
            <w:vAlign w:val="bottom"/>
            <w:hideMark/>
          </w:tcPr>
          <w:p w14:paraId="6E395918" w14:textId="77777777" w:rsidR="00EE1E80" w:rsidRPr="00033A3F" w:rsidRDefault="00EE1E80" w:rsidP="00293866">
            <w:pPr>
              <w:spacing w:line="240" w:lineRule="auto"/>
              <w:jc w:val="left"/>
              <w:rPr>
                <w:color w:val="000000" w:themeColor="text1"/>
              </w:rPr>
            </w:pPr>
            <w:r w:rsidRPr="00033A3F">
              <w:rPr>
                <w:color w:val="000000" w:themeColor="text1"/>
              </w:rPr>
              <w:t>Znojmo</w:t>
            </w:r>
          </w:p>
        </w:tc>
        <w:tc>
          <w:tcPr>
            <w:tcW w:w="1080" w:type="dxa"/>
            <w:tcBorders>
              <w:top w:val="nil"/>
              <w:left w:val="nil"/>
              <w:bottom w:val="single" w:sz="4" w:space="0" w:color="auto"/>
              <w:right w:val="nil"/>
            </w:tcBorders>
            <w:shd w:val="clear" w:color="auto" w:fill="auto"/>
            <w:noWrap/>
            <w:vAlign w:val="bottom"/>
            <w:hideMark/>
          </w:tcPr>
          <w:p w14:paraId="291BDFB0" w14:textId="77777777" w:rsidR="00EE1E80" w:rsidRPr="00033A3F" w:rsidRDefault="00EE1E80" w:rsidP="00293866">
            <w:pPr>
              <w:spacing w:line="240" w:lineRule="auto"/>
              <w:jc w:val="center"/>
              <w:rPr>
                <w:color w:val="000000" w:themeColor="text1"/>
              </w:rPr>
            </w:pPr>
            <w:r w:rsidRPr="00033A3F">
              <w:rPr>
                <w:color w:val="000000" w:themeColor="text1"/>
              </w:rPr>
              <w:t>36 %</w:t>
            </w:r>
          </w:p>
        </w:tc>
        <w:tc>
          <w:tcPr>
            <w:tcW w:w="1080" w:type="dxa"/>
            <w:tcBorders>
              <w:top w:val="nil"/>
              <w:left w:val="nil"/>
              <w:bottom w:val="single" w:sz="4" w:space="0" w:color="auto"/>
              <w:right w:val="nil"/>
            </w:tcBorders>
            <w:shd w:val="clear" w:color="auto" w:fill="auto"/>
            <w:noWrap/>
            <w:vAlign w:val="bottom"/>
            <w:hideMark/>
          </w:tcPr>
          <w:p w14:paraId="2D61210E" w14:textId="77777777" w:rsidR="00EE1E80" w:rsidRPr="00033A3F" w:rsidRDefault="00EE1E80" w:rsidP="00293866">
            <w:pPr>
              <w:spacing w:line="240" w:lineRule="auto"/>
              <w:jc w:val="center"/>
              <w:rPr>
                <w:color w:val="000000" w:themeColor="text1"/>
              </w:rPr>
            </w:pPr>
            <w:r w:rsidRPr="00033A3F">
              <w:rPr>
                <w:color w:val="000000" w:themeColor="text1"/>
              </w:rPr>
              <w:t>49 %</w:t>
            </w:r>
          </w:p>
        </w:tc>
        <w:tc>
          <w:tcPr>
            <w:tcW w:w="1080" w:type="dxa"/>
            <w:tcBorders>
              <w:top w:val="nil"/>
              <w:left w:val="nil"/>
              <w:bottom w:val="single" w:sz="4" w:space="0" w:color="auto"/>
              <w:right w:val="nil"/>
            </w:tcBorders>
            <w:shd w:val="clear" w:color="auto" w:fill="auto"/>
            <w:noWrap/>
            <w:vAlign w:val="bottom"/>
            <w:hideMark/>
          </w:tcPr>
          <w:p w14:paraId="023DDFD2" w14:textId="77777777" w:rsidR="00EE1E80" w:rsidRPr="00033A3F" w:rsidRDefault="00EE1E80" w:rsidP="00293866">
            <w:pPr>
              <w:spacing w:line="240" w:lineRule="auto"/>
              <w:jc w:val="center"/>
              <w:rPr>
                <w:color w:val="000000" w:themeColor="text1"/>
              </w:rPr>
            </w:pPr>
            <w:r w:rsidRPr="00033A3F">
              <w:rPr>
                <w:color w:val="000000" w:themeColor="text1"/>
              </w:rPr>
              <w:t>41 %</w:t>
            </w:r>
          </w:p>
        </w:tc>
      </w:tr>
      <w:tr w:rsidR="00033A3F" w:rsidRPr="00033A3F" w14:paraId="7A4CCA66"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5847F877" w14:textId="77777777" w:rsidR="00EE1E80" w:rsidRPr="00033A3F" w:rsidRDefault="00EE1E80" w:rsidP="00293866">
            <w:pPr>
              <w:spacing w:line="240" w:lineRule="auto"/>
              <w:jc w:val="left"/>
              <w:rPr>
                <w:color w:val="000000" w:themeColor="text1"/>
              </w:rPr>
            </w:pPr>
            <w:r w:rsidRPr="00033A3F">
              <w:rPr>
                <w:color w:val="000000" w:themeColor="text1"/>
              </w:rPr>
              <w:t>OS Liberec</w:t>
            </w:r>
          </w:p>
        </w:tc>
        <w:tc>
          <w:tcPr>
            <w:tcW w:w="2960" w:type="dxa"/>
            <w:tcBorders>
              <w:top w:val="nil"/>
              <w:left w:val="nil"/>
              <w:bottom w:val="single" w:sz="4" w:space="0" w:color="auto"/>
              <w:right w:val="nil"/>
            </w:tcBorders>
            <w:shd w:val="clear" w:color="auto" w:fill="auto"/>
            <w:noWrap/>
            <w:vAlign w:val="bottom"/>
            <w:hideMark/>
          </w:tcPr>
          <w:p w14:paraId="5C13CEA3" w14:textId="77777777" w:rsidR="00EE1E80" w:rsidRPr="00033A3F" w:rsidRDefault="00EE1E80" w:rsidP="00293866">
            <w:pPr>
              <w:spacing w:line="240" w:lineRule="auto"/>
              <w:jc w:val="left"/>
              <w:rPr>
                <w:color w:val="000000" w:themeColor="text1"/>
              </w:rPr>
            </w:pPr>
            <w:r w:rsidRPr="00033A3F">
              <w:rPr>
                <w:color w:val="000000" w:themeColor="text1"/>
              </w:rPr>
              <w:t>Liberec</w:t>
            </w:r>
          </w:p>
        </w:tc>
        <w:tc>
          <w:tcPr>
            <w:tcW w:w="1080" w:type="dxa"/>
            <w:tcBorders>
              <w:top w:val="nil"/>
              <w:left w:val="nil"/>
              <w:bottom w:val="single" w:sz="4" w:space="0" w:color="auto"/>
              <w:right w:val="nil"/>
            </w:tcBorders>
            <w:shd w:val="clear" w:color="auto" w:fill="auto"/>
            <w:noWrap/>
            <w:vAlign w:val="bottom"/>
            <w:hideMark/>
          </w:tcPr>
          <w:p w14:paraId="7EEB2225" w14:textId="77777777" w:rsidR="00EE1E80" w:rsidRPr="00033A3F" w:rsidRDefault="00EE1E80" w:rsidP="00293866">
            <w:pPr>
              <w:spacing w:line="240" w:lineRule="auto"/>
              <w:jc w:val="center"/>
              <w:rPr>
                <w:color w:val="000000" w:themeColor="text1"/>
              </w:rPr>
            </w:pPr>
            <w:r w:rsidRPr="00033A3F">
              <w:rPr>
                <w:color w:val="000000" w:themeColor="text1"/>
              </w:rPr>
              <w:t>46 %</w:t>
            </w:r>
          </w:p>
        </w:tc>
        <w:tc>
          <w:tcPr>
            <w:tcW w:w="1080" w:type="dxa"/>
            <w:tcBorders>
              <w:top w:val="nil"/>
              <w:left w:val="nil"/>
              <w:bottom w:val="single" w:sz="4" w:space="0" w:color="auto"/>
              <w:right w:val="nil"/>
            </w:tcBorders>
            <w:shd w:val="clear" w:color="auto" w:fill="auto"/>
            <w:noWrap/>
            <w:vAlign w:val="bottom"/>
            <w:hideMark/>
          </w:tcPr>
          <w:p w14:paraId="1D89EAF7" w14:textId="77777777" w:rsidR="00EE1E80" w:rsidRPr="00033A3F" w:rsidRDefault="00EE1E80" w:rsidP="00293866">
            <w:pPr>
              <w:spacing w:line="240" w:lineRule="auto"/>
              <w:jc w:val="center"/>
              <w:rPr>
                <w:color w:val="000000" w:themeColor="text1"/>
              </w:rPr>
            </w:pPr>
            <w:r w:rsidRPr="00033A3F">
              <w:rPr>
                <w:color w:val="000000" w:themeColor="text1"/>
              </w:rPr>
              <w:t>34 %</w:t>
            </w:r>
          </w:p>
        </w:tc>
        <w:tc>
          <w:tcPr>
            <w:tcW w:w="1080" w:type="dxa"/>
            <w:tcBorders>
              <w:top w:val="nil"/>
              <w:left w:val="nil"/>
              <w:bottom w:val="single" w:sz="4" w:space="0" w:color="auto"/>
              <w:right w:val="nil"/>
            </w:tcBorders>
            <w:shd w:val="clear" w:color="auto" w:fill="auto"/>
            <w:noWrap/>
            <w:vAlign w:val="bottom"/>
            <w:hideMark/>
          </w:tcPr>
          <w:p w14:paraId="4F07D395" w14:textId="77777777" w:rsidR="00EE1E80" w:rsidRPr="00033A3F" w:rsidRDefault="00EE1E80" w:rsidP="00293866">
            <w:pPr>
              <w:spacing w:line="240" w:lineRule="auto"/>
              <w:jc w:val="center"/>
              <w:rPr>
                <w:color w:val="000000" w:themeColor="text1"/>
              </w:rPr>
            </w:pPr>
            <w:r w:rsidRPr="00033A3F">
              <w:rPr>
                <w:color w:val="000000" w:themeColor="text1"/>
              </w:rPr>
              <w:t>40 %</w:t>
            </w:r>
          </w:p>
        </w:tc>
      </w:tr>
      <w:tr w:rsidR="00033A3F" w:rsidRPr="00033A3F" w14:paraId="0EB4A643"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6EFDB1FF" w14:textId="77777777" w:rsidR="00EE1E80" w:rsidRPr="00033A3F" w:rsidRDefault="00EE1E80" w:rsidP="00293866">
            <w:pPr>
              <w:spacing w:line="240" w:lineRule="auto"/>
              <w:jc w:val="left"/>
              <w:rPr>
                <w:color w:val="000000" w:themeColor="text1"/>
              </w:rPr>
            </w:pPr>
            <w:r w:rsidRPr="00033A3F">
              <w:rPr>
                <w:color w:val="000000" w:themeColor="text1"/>
              </w:rPr>
              <w:t>OS Šumperk</w:t>
            </w:r>
          </w:p>
        </w:tc>
        <w:tc>
          <w:tcPr>
            <w:tcW w:w="2960" w:type="dxa"/>
            <w:tcBorders>
              <w:top w:val="nil"/>
              <w:left w:val="nil"/>
              <w:bottom w:val="single" w:sz="4" w:space="0" w:color="auto"/>
              <w:right w:val="nil"/>
            </w:tcBorders>
            <w:shd w:val="clear" w:color="auto" w:fill="auto"/>
            <w:noWrap/>
            <w:vAlign w:val="bottom"/>
            <w:hideMark/>
          </w:tcPr>
          <w:p w14:paraId="15A28916" w14:textId="77777777" w:rsidR="00EE1E80" w:rsidRPr="00033A3F" w:rsidRDefault="00EE1E80" w:rsidP="00293866">
            <w:pPr>
              <w:spacing w:line="240" w:lineRule="auto"/>
              <w:jc w:val="left"/>
              <w:rPr>
                <w:color w:val="000000" w:themeColor="text1"/>
              </w:rPr>
            </w:pPr>
            <w:r w:rsidRPr="00033A3F">
              <w:rPr>
                <w:color w:val="000000" w:themeColor="text1"/>
              </w:rPr>
              <w:t>Mírov</w:t>
            </w:r>
          </w:p>
        </w:tc>
        <w:tc>
          <w:tcPr>
            <w:tcW w:w="1080" w:type="dxa"/>
            <w:tcBorders>
              <w:top w:val="nil"/>
              <w:left w:val="nil"/>
              <w:bottom w:val="single" w:sz="4" w:space="0" w:color="auto"/>
              <w:right w:val="nil"/>
            </w:tcBorders>
            <w:shd w:val="clear" w:color="auto" w:fill="auto"/>
            <w:noWrap/>
            <w:vAlign w:val="bottom"/>
            <w:hideMark/>
          </w:tcPr>
          <w:p w14:paraId="1771D7CD" w14:textId="77777777" w:rsidR="00EE1E80" w:rsidRPr="00033A3F" w:rsidRDefault="00EE1E80" w:rsidP="00293866">
            <w:pPr>
              <w:spacing w:line="240" w:lineRule="auto"/>
              <w:jc w:val="center"/>
              <w:rPr>
                <w:color w:val="000000" w:themeColor="text1"/>
              </w:rPr>
            </w:pPr>
            <w:r w:rsidRPr="00033A3F">
              <w:rPr>
                <w:color w:val="000000" w:themeColor="text1"/>
              </w:rPr>
              <w:t>62 %</w:t>
            </w:r>
          </w:p>
        </w:tc>
        <w:tc>
          <w:tcPr>
            <w:tcW w:w="1080" w:type="dxa"/>
            <w:tcBorders>
              <w:top w:val="nil"/>
              <w:left w:val="nil"/>
              <w:bottom w:val="single" w:sz="4" w:space="0" w:color="auto"/>
              <w:right w:val="nil"/>
            </w:tcBorders>
            <w:shd w:val="clear" w:color="auto" w:fill="auto"/>
            <w:noWrap/>
            <w:vAlign w:val="bottom"/>
            <w:hideMark/>
          </w:tcPr>
          <w:p w14:paraId="05709FE7" w14:textId="77777777" w:rsidR="00EE1E80" w:rsidRPr="00033A3F" w:rsidRDefault="00EE1E80" w:rsidP="00293866">
            <w:pPr>
              <w:spacing w:line="240" w:lineRule="auto"/>
              <w:jc w:val="center"/>
              <w:rPr>
                <w:color w:val="000000" w:themeColor="text1"/>
              </w:rPr>
            </w:pPr>
            <w:r w:rsidRPr="00033A3F">
              <w:rPr>
                <w:color w:val="000000" w:themeColor="text1"/>
              </w:rPr>
              <w:t>63 %</w:t>
            </w:r>
          </w:p>
        </w:tc>
        <w:tc>
          <w:tcPr>
            <w:tcW w:w="1080" w:type="dxa"/>
            <w:tcBorders>
              <w:top w:val="nil"/>
              <w:left w:val="nil"/>
              <w:bottom w:val="single" w:sz="4" w:space="0" w:color="auto"/>
              <w:right w:val="nil"/>
            </w:tcBorders>
            <w:shd w:val="clear" w:color="auto" w:fill="auto"/>
            <w:noWrap/>
            <w:vAlign w:val="bottom"/>
            <w:hideMark/>
          </w:tcPr>
          <w:p w14:paraId="4CB31EE2" w14:textId="77777777" w:rsidR="00EE1E80" w:rsidRPr="00033A3F" w:rsidRDefault="00EE1E80" w:rsidP="00293866">
            <w:pPr>
              <w:spacing w:line="240" w:lineRule="auto"/>
              <w:jc w:val="center"/>
              <w:rPr>
                <w:color w:val="000000" w:themeColor="text1"/>
              </w:rPr>
            </w:pPr>
            <w:r w:rsidRPr="00033A3F">
              <w:rPr>
                <w:color w:val="000000" w:themeColor="text1"/>
              </w:rPr>
              <w:t>40 %</w:t>
            </w:r>
          </w:p>
        </w:tc>
      </w:tr>
      <w:tr w:rsidR="00033A3F" w:rsidRPr="00033A3F" w14:paraId="53FE9600"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35B09DE" w14:textId="77777777" w:rsidR="00EE1E80" w:rsidRPr="00033A3F" w:rsidRDefault="00EE1E80" w:rsidP="00293866">
            <w:pPr>
              <w:spacing w:line="240" w:lineRule="auto"/>
              <w:jc w:val="left"/>
              <w:rPr>
                <w:color w:val="000000" w:themeColor="text1"/>
              </w:rPr>
            </w:pPr>
            <w:r w:rsidRPr="00033A3F">
              <w:rPr>
                <w:color w:val="000000" w:themeColor="text1"/>
              </w:rPr>
              <w:t>OS Brno-venkov</w:t>
            </w:r>
          </w:p>
        </w:tc>
        <w:tc>
          <w:tcPr>
            <w:tcW w:w="2960" w:type="dxa"/>
            <w:tcBorders>
              <w:top w:val="nil"/>
              <w:left w:val="nil"/>
              <w:bottom w:val="single" w:sz="4" w:space="0" w:color="auto"/>
              <w:right w:val="nil"/>
            </w:tcBorders>
            <w:shd w:val="clear" w:color="auto" w:fill="auto"/>
            <w:noWrap/>
            <w:vAlign w:val="bottom"/>
            <w:hideMark/>
          </w:tcPr>
          <w:p w14:paraId="169665F7" w14:textId="77777777" w:rsidR="00EE1E80" w:rsidRPr="00033A3F" w:rsidRDefault="00EE1E80" w:rsidP="00293866">
            <w:pPr>
              <w:spacing w:line="240" w:lineRule="auto"/>
              <w:jc w:val="left"/>
              <w:rPr>
                <w:color w:val="000000" w:themeColor="text1"/>
              </w:rPr>
            </w:pPr>
            <w:r w:rsidRPr="00033A3F">
              <w:rPr>
                <w:color w:val="000000" w:themeColor="text1"/>
              </w:rPr>
              <w:t>Kuřim</w:t>
            </w:r>
          </w:p>
        </w:tc>
        <w:tc>
          <w:tcPr>
            <w:tcW w:w="1080" w:type="dxa"/>
            <w:tcBorders>
              <w:top w:val="nil"/>
              <w:left w:val="nil"/>
              <w:bottom w:val="single" w:sz="4" w:space="0" w:color="auto"/>
              <w:right w:val="nil"/>
            </w:tcBorders>
            <w:shd w:val="clear" w:color="auto" w:fill="auto"/>
            <w:noWrap/>
            <w:vAlign w:val="bottom"/>
            <w:hideMark/>
          </w:tcPr>
          <w:p w14:paraId="22D25FD1" w14:textId="77777777" w:rsidR="00EE1E80" w:rsidRPr="00033A3F" w:rsidRDefault="00EE1E80" w:rsidP="00293866">
            <w:pPr>
              <w:spacing w:line="240" w:lineRule="auto"/>
              <w:jc w:val="center"/>
              <w:rPr>
                <w:color w:val="000000" w:themeColor="text1"/>
              </w:rPr>
            </w:pPr>
            <w:r w:rsidRPr="00033A3F">
              <w:rPr>
                <w:color w:val="000000" w:themeColor="text1"/>
              </w:rPr>
              <w:t>34 %</w:t>
            </w:r>
          </w:p>
        </w:tc>
        <w:tc>
          <w:tcPr>
            <w:tcW w:w="1080" w:type="dxa"/>
            <w:tcBorders>
              <w:top w:val="nil"/>
              <w:left w:val="nil"/>
              <w:bottom w:val="single" w:sz="4" w:space="0" w:color="auto"/>
              <w:right w:val="nil"/>
            </w:tcBorders>
            <w:shd w:val="clear" w:color="auto" w:fill="auto"/>
            <w:noWrap/>
            <w:vAlign w:val="bottom"/>
            <w:hideMark/>
          </w:tcPr>
          <w:p w14:paraId="7BB29968" w14:textId="77777777" w:rsidR="00EE1E80" w:rsidRPr="00033A3F" w:rsidRDefault="00EE1E80" w:rsidP="00293866">
            <w:pPr>
              <w:spacing w:line="240" w:lineRule="auto"/>
              <w:jc w:val="center"/>
              <w:rPr>
                <w:color w:val="000000" w:themeColor="text1"/>
              </w:rPr>
            </w:pPr>
            <w:r w:rsidRPr="00033A3F">
              <w:rPr>
                <w:color w:val="000000" w:themeColor="text1"/>
              </w:rPr>
              <w:t>48 %</w:t>
            </w:r>
          </w:p>
        </w:tc>
        <w:tc>
          <w:tcPr>
            <w:tcW w:w="1080" w:type="dxa"/>
            <w:tcBorders>
              <w:top w:val="nil"/>
              <w:left w:val="nil"/>
              <w:bottom w:val="single" w:sz="4" w:space="0" w:color="auto"/>
              <w:right w:val="nil"/>
            </w:tcBorders>
            <w:shd w:val="clear" w:color="auto" w:fill="auto"/>
            <w:noWrap/>
            <w:vAlign w:val="bottom"/>
            <w:hideMark/>
          </w:tcPr>
          <w:p w14:paraId="0DB42BBC" w14:textId="77777777" w:rsidR="00EE1E80" w:rsidRPr="00033A3F" w:rsidRDefault="00EE1E80" w:rsidP="00293866">
            <w:pPr>
              <w:spacing w:line="240" w:lineRule="auto"/>
              <w:jc w:val="center"/>
              <w:rPr>
                <w:color w:val="000000" w:themeColor="text1"/>
              </w:rPr>
            </w:pPr>
            <w:r w:rsidRPr="00033A3F">
              <w:rPr>
                <w:color w:val="000000" w:themeColor="text1"/>
              </w:rPr>
              <w:t>40 %</w:t>
            </w:r>
          </w:p>
        </w:tc>
      </w:tr>
      <w:tr w:rsidR="00033A3F" w:rsidRPr="00033A3F" w14:paraId="56ACF976"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68CD5B82" w14:textId="77777777" w:rsidR="00EE1E80" w:rsidRPr="00033A3F" w:rsidRDefault="00EE1E80" w:rsidP="00293866">
            <w:pPr>
              <w:spacing w:line="240" w:lineRule="auto"/>
              <w:jc w:val="left"/>
              <w:rPr>
                <w:color w:val="000000" w:themeColor="text1"/>
              </w:rPr>
            </w:pPr>
            <w:r w:rsidRPr="00033A3F">
              <w:rPr>
                <w:color w:val="000000" w:themeColor="text1"/>
              </w:rPr>
              <w:t>OS Karlovy Vary</w:t>
            </w:r>
          </w:p>
        </w:tc>
        <w:tc>
          <w:tcPr>
            <w:tcW w:w="2960" w:type="dxa"/>
            <w:tcBorders>
              <w:top w:val="nil"/>
              <w:left w:val="nil"/>
              <w:bottom w:val="single" w:sz="4" w:space="0" w:color="auto"/>
              <w:right w:val="nil"/>
            </w:tcBorders>
            <w:shd w:val="clear" w:color="auto" w:fill="auto"/>
            <w:noWrap/>
            <w:vAlign w:val="bottom"/>
            <w:hideMark/>
          </w:tcPr>
          <w:p w14:paraId="293C7E71" w14:textId="77777777" w:rsidR="00EE1E80" w:rsidRPr="00033A3F" w:rsidRDefault="00EE1E80" w:rsidP="00293866">
            <w:pPr>
              <w:spacing w:line="240" w:lineRule="auto"/>
              <w:jc w:val="left"/>
              <w:rPr>
                <w:color w:val="000000" w:themeColor="text1"/>
              </w:rPr>
            </w:pPr>
            <w:r w:rsidRPr="00033A3F">
              <w:rPr>
                <w:color w:val="000000" w:themeColor="text1"/>
              </w:rPr>
              <w:t>Ostrov</w:t>
            </w:r>
          </w:p>
        </w:tc>
        <w:tc>
          <w:tcPr>
            <w:tcW w:w="1080" w:type="dxa"/>
            <w:tcBorders>
              <w:top w:val="nil"/>
              <w:left w:val="nil"/>
              <w:bottom w:val="single" w:sz="4" w:space="0" w:color="auto"/>
              <w:right w:val="nil"/>
            </w:tcBorders>
            <w:shd w:val="clear" w:color="auto" w:fill="auto"/>
            <w:noWrap/>
            <w:vAlign w:val="bottom"/>
            <w:hideMark/>
          </w:tcPr>
          <w:p w14:paraId="10CB8454" w14:textId="77777777" w:rsidR="00EE1E80" w:rsidRPr="00033A3F" w:rsidRDefault="00EE1E80" w:rsidP="00293866">
            <w:pPr>
              <w:spacing w:line="240" w:lineRule="auto"/>
              <w:jc w:val="center"/>
              <w:rPr>
                <w:color w:val="000000" w:themeColor="text1"/>
              </w:rPr>
            </w:pPr>
            <w:r w:rsidRPr="00033A3F">
              <w:rPr>
                <w:color w:val="000000" w:themeColor="text1"/>
              </w:rPr>
              <w:t>36 %</w:t>
            </w:r>
          </w:p>
        </w:tc>
        <w:tc>
          <w:tcPr>
            <w:tcW w:w="1080" w:type="dxa"/>
            <w:tcBorders>
              <w:top w:val="nil"/>
              <w:left w:val="nil"/>
              <w:bottom w:val="single" w:sz="4" w:space="0" w:color="auto"/>
              <w:right w:val="nil"/>
            </w:tcBorders>
            <w:shd w:val="clear" w:color="auto" w:fill="auto"/>
            <w:noWrap/>
            <w:vAlign w:val="bottom"/>
            <w:hideMark/>
          </w:tcPr>
          <w:p w14:paraId="6AA044BC" w14:textId="77777777" w:rsidR="00EE1E80" w:rsidRPr="00033A3F" w:rsidRDefault="00EE1E80" w:rsidP="00293866">
            <w:pPr>
              <w:spacing w:line="240" w:lineRule="auto"/>
              <w:jc w:val="center"/>
              <w:rPr>
                <w:color w:val="000000" w:themeColor="text1"/>
              </w:rPr>
            </w:pPr>
            <w:r w:rsidRPr="00033A3F">
              <w:rPr>
                <w:color w:val="000000" w:themeColor="text1"/>
              </w:rPr>
              <w:t>32 %</w:t>
            </w:r>
          </w:p>
        </w:tc>
        <w:tc>
          <w:tcPr>
            <w:tcW w:w="1080" w:type="dxa"/>
            <w:tcBorders>
              <w:top w:val="nil"/>
              <w:left w:val="nil"/>
              <w:bottom w:val="single" w:sz="4" w:space="0" w:color="auto"/>
              <w:right w:val="nil"/>
            </w:tcBorders>
            <w:shd w:val="clear" w:color="auto" w:fill="auto"/>
            <w:noWrap/>
            <w:vAlign w:val="bottom"/>
            <w:hideMark/>
          </w:tcPr>
          <w:p w14:paraId="2179BF4F" w14:textId="77777777" w:rsidR="00EE1E80" w:rsidRPr="00033A3F" w:rsidRDefault="00EE1E80" w:rsidP="00293866">
            <w:pPr>
              <w:spacing w:line="240" w:lineRule="auto"/>
              <w:jc w:val="center"/>
              <w:rPr>
                <w:color w:val="000000" w:themeColor="text1"/>
              </w:rPr>
            </w:pPr>
            <w:r w:rsidRPr="00033A3F">
              <w:rPr>
                <w:color w:val="000000" w:themeColor="text1"/>
              </w:rPr>
              <w:t>39 %</w:t>
            </w:r>
          </w:p>
        </w:tc>
      </w:tr>
      <w:tr w:rsidR="00033A3F" w:rsidRPr="00033A3F" w14:paraId="1116DAF9"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4EB13CF" w14:textId="77777777" w:rsidR="00EE1E80" w:rsidRPr="00033A3F" w:rsidRDefault="00EE1E80" w:rsidP="00293866">
            <w:pPr>
              <w:spacing w:line="240" w:lineRule="auto"/>
              <w:jc w:val="left"/>
              <w:rPr>
                <w:color w:val="000000" w:themeColor="text1"/>
              </w:rPr>
            </w:pPr>
            <w:r w:rsidRPr="00033A3F">
              <w:rPr>
                <w:color w:val="000000" w:themeColor="text1"/>
              </w:rPr>
              <w:t>OS Jablonec n. Nisou</w:t>
            </w:r>
          </w:p>
        </w:tc>
        <w:tc>
          <w:tcPr>
            <w:tcW w:w="2960" w:type="dxa"/>
            <w:tcBorders>
              <w:top w:val="nil"/>
              <w:left w:val="nil"/>
              <w:bottom w:val="single" w:sz="4" w:space="0" w:color="auto"/>
              <w:right w:val="nil"/>
            </w:tcBorders>
            <w:shd w:val="clear" w:color="auto" w:fill="auto"/>
            <w:noWrap/>
            <w:vAlign w:val="bottom"/>
            <w:hideMark/>
          </w:tcPr>
          <w:p w14:paraId="0963D447" w14:textId="77777777" w:rsidR="00EE1E80" w:rsidRPr="00033A3F" w:rsidRDefault="00EE1E80" w:rsidP="00293866">
            <w:pPr>
              <w:spacing w:line="240" w:lineRule="auto"/>
              <w:jc w:val="left"/>
              <w:rPr>
                <w:color w:val="000000" w:themeColor="text1"/>
              </w:rPr>
            </w:pPr>
            <w:r w:rsidRPr="00033A3F">
              <w:rPr>
                <w:color w:val="000000" w:themeColor="text1"/>
              </w:rPr>
              <w:t>Rýnovice</w:t>
            </w:r>
          </w:p>
        </w:tc>
        <w:tc>
          <w:tcPr>
            <w:tcW w:w="1080" w:type="dxa"/>
            <w:tcBorders>
              <w:top w:val="nil"/>
              <w:left w:val="nil"/>
              <w:bottom w:val="single" w:sz="4" w:space="0" w:color="auto"/>
              <w:right w:val="nil"/>
            </w:tcBorders>
            <w:shd w:val="clear" w:color="auto" w:fill="auto"/>
            <w:noWrap/>
            <w:vAlign w:val="bottom"/>
            <w:hideMark/>
          </w:tcPr>
          <w:p w14:paraId="55D366BB" w14:textId="77777777" w:rsidR="00EE1E80" w:rsidRPr="00033A3F" w:rsidRDefault="00EE1E80" w:rsidP="00293866">
            <w:pPr>
              <w:spacing w:line="240" w:lineRule="auto"/>
              <w:jc w:val="center"/>
              <w:rPr>
                <w:color w:val="000000" w:themeColor="text1"/>
              </w:rPr>
            </w:pPr>
            <w:r w:rsidRPr="00033A3F">
              <w:rPr>
                <w:color w:val="000000" w:themeColor="text1"/>
              </w:rPr>
              <w:t>23 %</w:t>
            </w:r>
          </w:p>
        </w:tc>
        <w:tc>
          <w:tcPr>
            <w:tcW w:w="1080" w:type="dxa"/>
            <w:tcBorders>
              <w:top w:val="nil"/>
              <w:left w:val="nil"/>
              <w:bottom w:val="single" w:sz="4" w:space="0" w:color="auto"/>
              <w:right w:val="nil"/>
            </w:tcBorders>
            <w:shd w:val="clear" w:color="auto" w:fill="auto"/>
            <w:noWrap/>
            <w:vAlign w:val="bottom"/>
            <w:hideMark/>
          </w:tcPr>
          <w:p w14:paraId="2A1903F4" w14:textId="77777777" w:rsidR="00EE1E80" w:rsidRPr="00033A3F" w:rsidRDefault="00EE1E80" w:rsidP="00293866">
            <w:pPr>
              <w:spacing w:line="240" w:lineRule="auto"/>
              <w:jc w:val="center"/>
              <w:rPr>
                <w:color w:val="000000" w:themeColor="text1"/>
              </w:rPr>
            </w:pPr>
            <w:r w:rsidRPr="00033A3F">
              <w:rPr>
                <w:color w:val="000000" w:themeColor="text1"/>
              </w:rPr>
              <w:t>27 %</w:t>
            </w:r>
          </w:p>
        </w:tc>
        <w:tc>
          <w:tcPr>
            <w:tcW w:w="1080" w:type="dxa"/>
            <w:tcBorders>
              <w:top w:val="nil"/>
              <w:left w:val="nil"/>
              <w:bottom w:val="single" w:sz="4" w:space="0" w:color="auto"/>
              <w:right w:val="nil"/>
            </w:tcBorders>
            <w:shd w:val="clear" w:color="auto" w:fill="auto"/>
            <w:noWrap/>
            <w:vAlign w:val="bottom"/>
            <w:hideMark/>
          </w:tcPr>
          <w:p w14:paraId="1CB97053" w14:textId="77777777" w:rsidR="00EE1E80" w:rsidRPr="00033A3F" w:rsidRDefault="00EE1E80" w:rsidP="00293866">
            <w:pPr>
              <w:spacing w:line="240" w:lineRule="auto"/>
              <w:jc w:val="center"/>
              <w:rPr>
                <w:color w:val="000000" w:themeColor="text1"/>
              </w:rPr>
            </w:pPr>
            <w:r w:rsidRPr="00033A3F">
              <w:rPr>
                <w:color w:val="000000" w:themeColor="text1"/>
              </w:rPr>
              <w:t>34 %</w:t>
            </w:r>
          </w:p>
        </w:tc>
      </w:tr>
      <w:tr w:rsidR="00033A3F" w:rsidRPr="00033A3F" w14:paraId="3F97121B"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34DB4C7D" w14:textId="77777777" w:rsidR="00EE1E80" w:rsidRPr="00033A3F" w:rsidRDefault="00EE1E80" w:rsidP="00293866">
            <w:pPr>
              <w:spacing w:line="240" w:lineRule="auto"/>
              <w:jc w:val="left"/>
              <w:rPr>
                <w:color w:val="000000" w:themeColor="text1"/>
              </w:rPr>
            </w:pPr>
            <w:r w:rsidRPr="00033A3F">
              <w:rPr>
                <w:color w:val="000000" w:themeColor="text1"/>
              </w:rPr>
              <w:t>OS Ostrava</w:t>
            </w:r>
          </w:p>
        </w:tc>
        <w:tc>
          <w:tcPr>
            <w:tcW w:w="2960" w:type="dxa"/>
            <w:tcBorders>
              <w:top w:val="nil"/>
              <w:left w:val="nil"/>
              <w:bottom w:val="single" w:sz="4" w:space="0" w:color="auto"/>
              <w:right w:val="nil"/>
            </w:tcBorders>
            <w:shd w:val="clear" w:color="auto" w:fill="auto"/>
            <w:noWrap/>
            <w:vAlign w:val="bottom"/>
            <w:hideMark/>
          </w:tcPr>
          <w:p w14:paraId="5C121C91" w14:textId="77777777" w:rsidR="00EE1E80" w:rsidRPr="00033A3F" w:rsidRDefault="00EE1E80" w:rsidP="00293866">
            <w:pPr>
              <w:spacing w:line="240" w:lineRule="auto"/>
              <w:jc w:val="left"/>
              <w:rPr>
                <w:color w:val="000000" w:themeColor="text1"/>
              </w:rPr>
            </w:pPr>
            <w:r w:rsidRPr="00033A3F">
              <w:rPr>
                <w:color w:val="000000" w:themeColor="text1"/>
              </w:rPr>
              <w:t>Heřmanice, Ostrava</w:t>
            </w:r>
          </w:p>
        </w:tc>
        <w:tc>
          <w:tcPr>
            <w:tcW w:w="1080" w:type="dxa"/>
            <w:tcBorders>
              <w:top w:val="nil"/>
              <w:left w:val="nil"/>
              <w:bottom w:val="single" w:sz="4" w:space="0" w:color="auto"/>
              <w:right w:val="nil"/>
            </w:tcBorders>
            <w:shd w:val="clear" w:color="auto" w:fill="auto"/>
            <w:noWrap/>
            <w:vAlign w:val="bottom"/>
            <w:hideMark/>
          </w:tcPr>
          <w:p w14:paraId="3DDED99E" w14:textId="77777777" w:rsidR="00EE1E80" w:rsidRPr="00033A3F" w:rsidRDefault="00EE1E80" w:rsidP="00293866">
            <w:pPr>
              <w:spacing w:line="240" w:lineRule="auto"/>
              <w:jc w:val="center"/>
              <w:rPr>
                <w:color w:val="000000" w:themeColor="text1"/>
              </w:rPr>
            </w:pPr>
            <w:r w:rsidRPr="00033A3F">
              <w:rPr>
                <w:color w:val="000000" w:themeColor="text1"/>
              </w:rPr>
              <w:t>43 %</w:t>
            </w:r>
          </w:p>
        </w:tc>
        <w:tc>
          <w:tcPr>
            <w:tcW w:w="1080" w:type="dxa"/>
            <w:tcBorders>
              <w:top w:val="nil"/>
              <w:left w:val="nil"/>
              <w:bottom w:val="single" w:sz="4" w:space="0" w:color="auto"/>
              <w:right w:val="nil"/>
            </w:tcBorders>
            <w:shd w:val="clear" w:color="auto" w:fill="auto"/>
            <w:noWrap/>
            <w:vAlign w:val="bottom"/>
            <w:hideMark/>
          </w:tcPr>
          <w:p w14:paraId="294F4E4D" w14:textId="77777777" w:rsidR="00EE1E80" w:rsidRPr="00033A3F" w:rsidRDefault="00EE1E80" w:rsidP="00293866">
            <w:pPr>
              <w:spacing w:line="240" w:lineRule="auto"/>
              <w:jc w:val="center"/>
              <w:rPr>
                <w:color w:val="000000" w:themeColor="text1"/>
              </w:rPr>
            </w:pPr>
            <w:r w:rsidRPr="00033A3F">
              <w:rPr>
                <w:color w:val="000000" w:themeColor="text1"/>
              </w:rPr>
              <w:t>43 %</w:t>
            </w:r>
          </w:p>
        </w:tc>
        <w:tc>
          <w:tcPr>
            <w:tcW w:w="1080" w:type="dxa"/>
            <w:tcBorders>
              <w:top w:val="nil"/>
              <w:left w:val="nil"/>
              <w:bottom w:val="single" w:sz="4" w:space="0" w:color="auto"/>
              <w:right w:val="nil"/>
            </w:tcBorders>
            <w:shd w:val="clear" w:color="auto" w:fill="auto"/>
            <w:noWrap/>
            <w:vAlign w:val="bottom"/>
            <w:hideMark/>
          </w:tcPr>
          <w:p w14:paraId="627BB9E3" w14:textId="77777777" w:rsidR="00EE1E80" w:rsidRPr="00033A3F" w:rsidRDefault="00EE1E80" w:rsidP="00293866">
            <w:pPr>
              <w:spacing w:line="240" w:lineRule="auto"/>
              <w:jc w:val="center"/>
              <w:rPr>
                <w:color w:val="000000" w:themeColor="text1"/>
              </w:rPr>
            </w:pPr>
            <w:r w:rsidRPr="00033A3F">
              <w:rPr>
                <w:color w:val="000000" w:themeColor="text1"/>
              </w:rPr>
              <w:t>34 %</w:t>
            </w:r>
          </w:p>
        </w:tc>
      </w:tr>
      <w:tr w:rsidR="00033A3F" w:rsidRPr="00033A3F" w14:paraId="1F80284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19E6B14" w14:textId="77777777" w:rsidR="00EE1E80" w:rsidRPr="00033A3F" w:rsidRDefault="00EE1E80" w:rsidP="00293866">
            <w:pPr>
              <w:spacing w:line="240" w:lineRule="auto"/>
              <w:jc w:val="left"/>
              <w:rPr>
                <w:color w:val="000000" w:themeColor="text1"/>
              </w:rPr>
            </w:pPr>
            <w:r w:rsidRPr="00033A3F">
              <w:rPr>
                <w:color w:val="000000" w:themeColor="text1"/>
              </w:rPr>
              <w:t>OS Česká Lípa</w:t>
            </w:r>
          </w:p>
        </w:tc>
        <w:tc>
          <w:tcPr>
            <w:tcW w:w="2960" w:type="dxa"/>
            <w:tcBorders>
              <w:top w:val="nil"/>
              <w:left w:val="nil"/>
              <w:bottom w:val="single" w:sz="4" w:space="0" w:color="auto"/>
              <w:right w:val="nil"/>
            </w:tcBorders>
            <w:shd w:val="clear" w:color="auto" w:fill="auto"/>
            <w:noWrap/>
            <w:vAlign w:val="bottom"/>
            <w:hideMark/>
          </w:tcPr>
          <w:p w14:paraId="557EACDD" w14:textId="77777777" w:rsidR="00EE1E80" w:rsidRPr="00033A3F" w:rsidRDefault="00EE1E80" w:rsidP="00293866">
            <w:pPr>
              <w:spacing w:line="240" w:lineRule="auto"/>
              <w:jc w:val="left"/>
              <w:rPr>
                <w:color w:val="000000" w:themeColor="text1"/>
              </w:rPr>
            </w:pPr>
            <w:r w:rsidRPr="00033A3F">
              <w:rPr>
                <w:color w:val="000000" w:themeColor="text1"/>
              </w:rPr>
              <w:t>Stráž pod Ralskem</w:t>
            </w:r>
          </w:p>
        </w:tc>
        <w:tc>
          <w:tcPr>
            <w:tcW w:w="1080" w:type="dxa"/>
            <w:tcBorders>
              <w:top w:val="nil"/>
              <w:left w:val="nil"/>
              <w:bottom w:val="single" w:sz="4" w:space="0" w:color="auto"/>
              <w:right w:val="nil"/>
            </w:tcBorders>
            <w:shd w:val="clear" w:color="auto" w:fill="auto"/>
            <w:noWrap/>
            <w:vAlign w:val="bottom"/>
            <w:hideMark/>
          </w:tcPr>
          <w:p w14:paraId="77BA88E0" w14:textId="77777777" w:rsidR="00EE1E80" w:rsidRPr="00033A3F" w:rsidRDefault="00EE1E80" w:rsidP="00293866">
            <w:pPr>
              <w:spacing w:line="240" w:lineRule="auto"/>
              <w:jc w:val="center"/>
              <w:rPr>
                <w:color w:val="000000" w:themeColor="text1"/>
              </w:rPr>
            </w:pPr>
            <w:r w:rsidRPr="00033A3F">
              <w:rPr>
                <w:color w:val="000000" w:themeColor="text1"/>
              </w:rPr>
              <w:t>54 %</w:t>
            </w:r>
          </w:p>
        </w:tc>
        <w:tc>
          <w:tcPr>
            <w:tcW w:w="1080" w:type="dxa"/>
            <w:tcBorders>
              <w:top w:val="nil"/>
              <w:left w:val="nil"/>
              <w:bottom w:val="single" w:sz="4" w:space="0" w:color="auto"/>
              <w:right w:val="nil"/>
            </w:tcBorders>
            <w:shd w:val="clear" w:color="auto" w:fill="auto"/>
            <w:noWrap/>
            <w:vAlign w:val="bottom"/>
            <w:hideMark/>
          </w:tcPr>
          <w:p w14:paraId="4A21FD79" w14:textId="77777777" w:rsidR="00EE1E80" w:rsidRPr="00033A3F" w:rsidRDefault="00EE1E80" w:rsidP="00293866">
            <w:pPr>
              <w:spacing w:line="240" w:lineRule="auto"/>
              <w:jc w:val="center"/>
              <w:rPr>
                <w:color w:val="000000" w:themeColor="text1"/>
              </w:rPr>
            </w:pPr>
            <w:r w:rsidRPr="00033A3F">
              <w:rPr>
                <w:color w:val="000000" w:themeColor="text1"/>
              </w:rPr>
              <w:t>49 %</w:t>
            </w:r>
          </w:p>
        </w:tc>
        <w:tc>
          <w:tcPr>
            <w:tcW w:w="1080" w:type="dxa"/>
            <w:tcBorders>
              <w:top w:val="nil"/>
              <w:left w:val="nil"/>
              <w:bottom w:val="single" w:sz="4" w:space="0" w:color="auto"/>
              <w:right w:val="nil"/>
            </w:tcBorders>
            <w:shd w:val="clear" w:color="auto" w:fill="auto"/>
            <w:noWrap/>
            <w:vAlign w:val="bottom"/>
            <w:hideMark/>
          </w:tcPr>
          <w:p w14:paraId="1505EDCA" w14:textId="77777777" w:rsidR="00EE1E80" w:rsidRPr="00033A3F" w:rsidRDefault="00EE1E80" w:rsidP="00293866">
            <w:pPr>
              <w:spacing w:line="240" w:lineRule="auto"/>
              <w:jc w:val="center"/>
              <w:rPr>
                <w:color w:val="000000" w:themeColor="text1"/>
              </w:rPr>
            </w:pPr>
            <w:r w:rsidRPr="00033A3F">
              <w:rPr>
                <w:color w:val="000000" w:themeColor="text1"/>
              </w:rPr>
              <w:t>33 %</w:t>
            </w:r>
          </w:p>
        </w:tc>
      </w:tr>
      <w:tr w:rsidR="00033A3F" w:rsidRPr="00033A3F" w14:paraId="265FF4EA"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12956FEE" w14:textId="77777777" w:rsidR="00EE1E80" w:rsidRPr="00033A3F" w:rsidRDefault="00EE1E80" w:rsidP="00293866">
            <w:pPr>
              <w:spacing w:line="240" w:lineRule="auto"/>
              <w:jc w:val="left"/>
              <w:rPr>
                <w:color w:val="000000" w:themeColor="text1"/>
              </w:rPr>
            </w:pPr>
            <w:r w:rsidRPr="00033A3F">
              <w:rPr>
                <w:color w:val="000000" w:themeColor="text1"/>
              </w:rPr>
              <w:t>OS Pardubice</w:t>
            </w:r>
          </w:p>
        </w:tc>
        <w:tc>
          <w:tcPr>
            <w:tcW w:w="2960" w:type="dxa"/>
            <w:tcBorders>
              <w:top w:val="nil"/>
              <w:left w:val="nil"/>
              <w:bottom w:val="single" w:sz="4" w:space="0" w:color="auto"/>
              <w:right w:val="nil"/>
            </w:tcBorders>
            <w:shd w:val="clear" w:color="auto" w:fill="auto"/>
            <w:noWrap/>
            <w:vAlign w:val="bottom"/>
            <w:hideMark/>
          </w:tcPr>
          <w:p w14:paraId="09F3ABEC" w14:textId="77777777" w:rsidR="00EE1E80" w:rsidRPr="00033A3F" w:rsidRDefault="00EE1E80" w:rsidP="00293866">
            <w:pPr>
              <w:spacing w:line="240" w:lineRule="auto"/>
              <w:jc w:val="left"/>
              <w:rPr>
                <w:color w:val="000000" w:themeColor="text1"/>
              </w:rPr>
            </w:pPr>
            <w:r w:rsidRPr="00033A3F">
              <w:rPr>
                <w:color w:val="000000" w:themeColor="text1"/>
              </w:rPr>
              <w:t>Pardubice</w:t>
            </w:r>
          </w:p>
        </w:tc>
        <w:tc>
          <w:tcPr>
            <w:tcW w:w="1080" w:type="dxa"/>
            <w:tcBorders>
              <w:top w:val="nil"/>
              <w:left w:val="nil"/>
              <w:bottom w:val="single" w:sz="4" w:space="0" w:color="auto"/>
              <w:right w:val="nil"/>
            </w:tcBorders>
            <w:shd w:val="clear" w:color="auto" w:fill="auto"/>
            <w:noWrap/>
            <w:vAlign w:val="bottom"/>
            <w:hideMark/>
          </w:tcPr>
          <w:p w14:paraId="64172186" w14:textId="77777777" w:rsidR="00EE1E80" w:rsidRPr="00033A3F" w:rsidRDefault="00EE1E80" w:rsidP="00293866">
            <w:pPr>
              <w:spacing w:line="240" w:lineRule="auto"/>
              <w:jc w:val="center"/>
              <w:rPr>
                <w:color w:val="000000" w:themeColor="text1"/>
              </w:rPr>
            </w:pPr>
            <w:r w:rsidRPr="00033A3F">
              <w:rPr>
                <w:color w:val="000000" w:themeColor="text1"/>
              </w:rPr>
              <w:t>36 %</w:t>
            </w:r>
          </w:p>
        </w:tc>
        <w:tc>
          <w:tcPr>
            <w:tcW w:w="1080" w:type="dxa"/>
            <w:tcBorders>
              <w:top w:val="nil"/>
              <w:left w:val="nil"/>
              <w:bottom w:val="single" w:sz="4" w:space="0" w:color="auto"/>
              <w:right w:val="nil"/>
            </w:tcBorders>
            <w:shd w:val="clear" w:color="auto" w:fill="auto"/>
            <w:noWrap/>
            <w:vAlign w:val="bottom"/>
            <w:hideMark/>
          </w:tcPr>
          <w:p w14:paraId="666DF2A3" w14:textId="77777777" w:rsidR="00EE1E80" w:rsidRPr="00033A3F" w:rsidRDefault="00EE1E80" w:rsidP="00293866">
            <w:pPr>
              <w:spacing w:line="240" w:lineRule="auto"/>
              <w:jc w:val="center"/>
              <w:rPr>
                <w:color w:val="000000" w:themeColor="text1"/>
              </w:rPr>
            </w:pPr>
            <w:r w:rsidRPr="00033A3F">
              <w:rPr>
                <w:color w:val="000000" w:themeColor="text1"/>
              </w:rPr>
              <w:t>38 %</w:t>
            </w:r>
          </w:p>
        </w:tc>
        <w:tc>
          <w:tcPr>
            <w:tcW w:w="1080" w:type="dxa"/>
            <w:tcBorders>
              <w:top w:val="nil"/>
              <w:left w:val="nil"/>
              <w:bottom w:val="single" w:sz="4" w:space="0" w:color="auto"/>
              <w:right w:val="nil"/>
            </w:tcBorders>
            <w:shd w:val="clear" w:color="auto" w:fill="auto"/>
            <w:noWrap/>
            <w:vAlign w:val="bottom"/>
            <w:hideMark/>
          </w:tcPr>
          <w:p w14:paraId="230232B4" w14:textId="77777777" w:rsidR="00EE1E80" w:rsidRPr="00033A3F" w:rsidRDefault="00EE1E80" w:rsidP="00293866">
            <w:pPr>
              <w:spacing w:line="240" w:lineRule="auto"/>
              <w:jc w:val="center"/>
              <w:rPr>
                <w:color w:val="000000" w:themeColor="text1"/>
              </w:rPr>
            </w:pPr>
            <w:r w:rsidRPr="00033A3F">
              <w:rPr>
                <w:color w:val="000000" w:themeColor="text1"/>
              </w:rPr>
              <w:t>33 %</w:t>
            </w:r>
          </w:p>
        </w:tc>
      </w:tr>
      <w:tr w:rsidR="00033A3F" w:rsidRPr="00033A3F" w14:paraId="1E9A61DE"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A438076" w14:textId="77777777" w:rsidR="00EE1E80" w:rsidRPr="00033A3F" w:rsidRDefault="00EE1E80" w:rsidP="00293866">
            <w:pPr>
              <w:spacing w:line="240" w:lineRule="auto"/>
              <w:jc w:val="left"/>
              <w:rPr>
                <w:color w:val="000000" w:themeColor="text1"/>
              </w:rPr>
            </w:pPr>
            <w:r w:rsidRPr="00033A3F">
              <w:rPr>
                <w:color w:val="000000" w:themeColor="text1"/>
              </w:rPr>
              <w:t>OS Praha-západ</w:t>
            </w:r>
          </w:p>
        </w:tc>
        <w:tc>
          <w:tcPr>
            <w:tcW w:w="2960" w:type="dxa"/>
            <w:tcBorders>
              <w:top w:val="nil"/>
              <w:left w:val="nil"/>
              <w:bottom w:val="single" w:sz="4" w:space="0" w:color="auto"/>
              <w:right w:val="nil"/>
            </w:tcBorders>
            <w:shd w:val="clear" w:color="auto" w:fill="auto"/>
            <w:noWrap/>
            <w:vAlign w:val="bottom"/>
            <w:hideMark/>
          </w:tcPr>
          <w:p w14:paraId="1AA40556" w14:textId="77777777" w:rsidR="00EE1E80" w:rsidRPr="00033A3F" w:rsidRDefault="00EE1E80" w:rsidP="00293866">
            <w:pPr>
              <w:spacing w:line="240" w:lineRule="auto"/>
              <w:jc w:val="left"/>
              <w:rPr>
                <w:color w:val="000000" w:themeColor="text1"/>
              </w:rPr>
            </w:pPr>
            <w:r w:rsidRPr="00033A3F">
              <w:rPr>
                <w:color w:val="000000" w:themeColor="text1"/>
              </w:rPr>
              <w:t xml:space="preserve">Ruzyně </w:t>
            </w:r>
            <w:r w:rsidRPr="00033A3F">
              <w:rPr>
                <w:rFonts w:eastAsia="Times New Roman"/>
                <w:color w:val="000000" w:themeColor="text1"/>
                <w:szCs w:val="24"/>
                <w:lang w:eastAsia="cs-CZ"/>
              </w:rPr>
              <w:t>–</w:t>
            </w:r>
            <w:r w:rsidRPr="00033A3F">
              <w:rPr>
                <w:color w:val="000000" w:themeColor="text1"/>
              </w:rPr>
              <w:t xml:space="preserve"> V. Přílepy</w:t>
            </w:r>
          </w:p>
        </w:tc>
        <w:tc>
          <w:tcPr>
            <w:tcW w:w="1080" w:type="dxa"/>
            <w:tcBorders>
              <w:top w:val="nil"/>
              <w:left w:val="nil"/>
              <w:bottom w:val="single" w:sz="4" w:space="0" w:color="auto"/>
              <w:right w:val="nil"/>
            </w:tcBorders>
            <w:shd w:val="clear" w:color="auto" w:fill="auto"/>
            <w:noWrap/>
            <w:vAlign w:val="bottom"/>
            <w:hideMark/>
          </w:tcPr>
          <w:p w14:paraId="216D7F3F" w14:textId="77777777" w:rsidR="00EE1E80" w:rsidRPr="00033A3F" w:rsidRDefault="00EE1E80" w:rsidP="00293866">
            <w:pPr>
              <w:spacing w:line="240" w:lineRule="auto"/>
              <w:jc w:val="center"/>
              <w:rPr>
                <w:color w:val="000000" w:themeColor="text1"/>
              </w:rPr>
            </w:pPr>
            <w:r w:rsidRPr="00033A3F">
              <w:rPr>
                <w:color w:val="000000" w:themeColor="text1"/>
              </w:rPr>
              <w:t>---------</w:t>
            </w:r>
          </w:p>
        </w:tc>
        <w:tc>
          <w:tcPr>
            <w:tcW w:w="1080" w:type="dxa"/>
            <w:tcBorders>
              <w:top w:val="nil"/>
              <w:left w:val="nil"/>
              <w:bottom w:val="single" w:sz="4" w:space="0" w:color="auto"/>
              <w:right w:val="nil"/>
            </w:tcBorders>
            <w:shd w:val="clear" w:color="auto" w:fill="auto"/>
            <w:noWrap/>
            <w:vAlign w:val="bottom"/>
            <w:hideMark/>
          </w:tcPr>
          <w:p w14:paraId="00B766E9" w14:textId="77777777" w:rsidR="00EE1E80" w:rsidRPr="00033A3F" w:rsidRDefault="00EE1E80" w:rsidP="00293866">
            <w:pPr>
              <w:spacing w:line="240" w:lineRule="auto"/>
              <w:jc w:val="center"/>
              <w:rPr>
                <w:color w:val="000000" w:themeColor="text1"/>
              </w:rPr>
            </w:pPr>
            <w:r w:rsidRPr="00033A3F">
              <w:rPr>
                <w:color w:val="000000" w:themeColor="text1"/>
              </w:rPr>
              <w:t>22 %</w:t>
            </w:r>
          </w:p>
        </w:tc>
        <w:tc>
          <w:tcPr>
            <w:tcW w:w="1080" w:type="dxa"/>
            <w:tcBorders>
              <w:top w:val="nil"/>
              <w:left w:val="nil"/>
              <w:bottom w:val="single" w:sz="4" w:space="0" w:color="auto"/>
              <w:right w:val="nil"/>
            </w:tcBorders>
            <w:shd w:val="clear" w:color="auto" w:fill="auto"/>
            <w:noWrap/>
            <w:vAlign w:val="bottom"/>
            <w:hideMark/>
          </w:tcPr>
          <w:p w14:paraId="16F3B603" w14:textId="77777777" w:rsidR="00EE1E80" w:rsidRPr="00033A3F" w:rsidRDefault="00EE1E80" w:rsidP="00293866">
            <w:pPr>
              <w:spacing w:line="240" w:lineRule="auto"/>
              <w:jc w:val="center"/>
              <w:rPr>
                <w:color w:val="000000" w:themeColor="text1"/>
              </w:rPr>
            </w:pPr>
            <w:r w:rsidRPr="00033A3F">
              <w:rPr>
                <w:color w:val="000000" w:themeColor="text1"/>
              </w:rPr>
              <w:t>33 %</w:t>
            </w:r>
          </w:p>
        </w:tc>
      </w:tr>
      <w:tr w:rsidR="00033A3F" w:rsidRPr="00033A3F" w14:paraId="11F294F3"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3A93949" w14:textId="77777777" w:rsidR="00EE1E80" w:rsidRPr="00033A3F" w:rsidRDefault="00EE1E80" w:rsidP="00293866">
            <w:pPr>
              <w:spacing w:line="240" w:lineRule="auto"/>
              <w:jc w:val="left"/>
              <w:rPr>
                <w:color w:val="000000" w:themeColor="text1"/>
              </w:rPr>
            </w:pPr>
            <w:r w:rsidRPr="00033A3F">
              <w:rPr>
                <w:color w:val="000000" w:themeColor="text1"/>
              </w:rPr>
              <w:t>OS Příbram</w:t>
            </w:r>
          </w:p>
        </w:tc>
        <w:tc>
          <w:tcPr>
            <w:tcW w:w="2960" w:type="dxa"/>
            <w:tcBorders>
              <w:top w:val="nil"/>
              <w:left w:val="nil"/>
              <w:bottom w:val="single" w:sz="4" w:space="0" w:color="auto"/>
              <w:right w:val="nil"/>
            </w:tcBorders>
            <w:shd w:val="clear" w:color="auto" w:fill="auto"/>
            <w:noWrap/>
            <w:vAlign w:val="bottom"/>
            <w:hideMark/>
          </w:tcPr>
          <w:p w14:paraId="2E07671F" w14:textId="77777777" w:rsidR="00EE1E80" w:rsidRPr="00033A3F" w:rsidRDefault="00EE1E80" w:rsidP="00293866">
            <w:pPr>
              <w:spacing w:line="240" w:lineRule="auto"/>
              <w:jc w:val="left"/>
              <w:rPr>
                <w:color w:val="000000" w:themeColor="text1"/>
              </w:rPr>
            </w:pPr>
            <w:r w:rsidRPr="00033A3F">
              <w:rPr>
                <w:color w:val="000000" w:themeColor="text1"/>
              </w:rPr>
              <w:t>Příbram</w:t>
            </w:r>
          </w:p>
        </w:tc>
        <w:tc>
          <w:tcPr>
            <w:tcW w:w="1080" w:type="dxa"/>
            <w:tcBorders>
              <w:top w:val="nil"/>
              <w:left w:val="nil"/>
              <w:bottom w:val="single" w:sz="4" w:space="0" w:color="auto"/>
              <w:right w:val="nil"/>
            </w:tcBorders>
            <w:shd w:val="clear" w:color="auto" w:fill="auto"/>
            <w:noWrap/>
            <w:vAlign w:val="bottom"/>
            <w:hideMark/>
          </w:tcPr>
          <w:p w14:paraId="6D0BD7EE" w14:textId="77777777" w:rsidR="00EE1E80" w:rsidRPr="00033A3F" w:rsidRDefault="00EE1E80" w:rsidP="00293866">
            <w:pPr>
              <w:spacing w:line="240" w:lineRule="auto"/>
              <w:jc w:val="center"/>
              <w:rPr>
                <w:color w:val="000000" w:themeColor="text1"/>
              </w:rPr>
            </w:pPr>
            <w:r w:rsidRPr="00033A3F">
              <w:rPr>
                <w:color w:val="000000" w:themeColor="text1"/>
              </w:rPr>
              <w:t>35 %</w:t>
            </w:r>
          </w:p>
        </w:tc>
        <w:tc>
          <w:tcPr>
            <w:tcW w:w="1080" w:type="dxa"/>
            <w:tcBorders>
              <w:top w:val="nil"/>
              <w:left w:val="nil"/>
              <w:bottom w:val="single" w:sz="4" w:space="0" w:color="auto"/>
              <w:right w:val="nil"/>
            </w:tcBorders>
            <w:shd w:val="clear" w:color="auto" w:fill="auto"/>
            <w:noWrap/>
            <w:vAlign w:val="bottom"/>
            <w:hideMark/>
          </w:tcPr>
          <w:p w14:paraId="7A67A87A" w14:textId="77777777" w:rsidR="00EE1E80" w:rsidRPr="00033A3F" w:rsidRDefault="00EE1E80" w:rsidP="00293866">
            <w:pPr>
              <w:spacing w:line="240" w:lineRule="auto"/>
              <w:jc w:val="center"/>
              <w:rPr>
                <w:color w:val="000000" w:themeColor="text1"/>
              </w:rPr>
            </w:pPr>
            <w:r w:rsidRPr="00033A3F">
              <w:rPr>
                <w:color w:val="000000" w:themeColor="text1"/>
              </w:rPr>
              <w:t>34 %</w:t>
            </w:r>
          </w:p>
        </w:tc>
        <w:tc>
          <w:tcPr>
            <w:tcW w:w="1080" w:type="dxa"/>
            <w:tcBorders>
              <w:top w:val="nil"/>
              <w:left w:val="nil"/>
              <w:bottom w:val="single" w:sz="4" w:space="0" w:color="auto"/>
              <w:right w:val="nil"/>
            </w:tcBorders>
            <w:shd w:val="clear" w:color="auto" w:fill="auto"/>
            <w:noWrap/>
            <w:vAlign w:val="bottom"/>
            <w:hideMark/>
          </w:tcPr>
          <w:p w14:paraId="75B73ED6" w14:textId="77777777" w:rsidR="00EE1E80" w:rsidRPr="00033A3F" w:rsidRDefault="00EE1E80" w:rsidP="00293866">
            <w:pPr>
              <w:spacing w:line="240" w:lineRule="auto"/>
              <w:jc w:val="center"/>
              <w:rPr>
                <w:color w:val="000000" w:themeColor="text1"/>
              </w:rPr>
            </w:pPr>
            <w:r w:rsidRPr="00033A3F">
              <w:rPr>
                <w:color w:val="000000" w:themeColor="text1"/>
              </w:rPr>
              <w:t>30 %</w:t>
            </w:r>
          </w:p>
        </w:tc>
      </w:tr>
      <w:tr w:rsidR="00033A3F" w:rsidRPr="00033A3F" w14:paraId="5DDABB9B"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248F5D6" w14:textId="77777777" w:rsidR="00EE1E80" w:rsidRPr="00033A3F" w:rsidRDefault="00EE1E80" w:rsidP="00293866">
            <w:pPr>
              <w:spacing w:line="240" w:lineRule="auto"/>
              <w:jc w:val="left"/>
              <w:rPr>
                <w:color w:val="000000" w:themeColor="text1"/>
              </w:rPr>
            </w:pPr>
            <w:r w:rsidRPr="00033A3F">
              <w:rPr>
                <w:color w:val="000000" w:themeColor="text1"/>
              </w:rPr>
              <w:t>OS Nymburk</w:t>
            </w:r>
          </w:p>
        </w:tc>
        <w:tc>
          <w:tcPr>
            <w:tcW w:w="2960" w:type="dxa"/>
            <w:tcBorders>
              <w:top w:val="nil"/>
              <w:left w:val="nil"/>
              <w:bottom w:val="single" w:sz="4" w:space="0" w:color="auto"/>
              <w:right w:val="nil"/>
            </w:tcBorders>
            <w:shd w:val="clear" w:color="auto" w:fill="auto"/>
            <w:noWrap/>
            <w:vAlign w:val="bottom"/>
            <w:hideMark/>
          </w:tcPr>
          <w:p w14:paraId="640BD820" w14:textId="77777777" w:rsidR="00EE1E80" w:rsidRPr="00033A3F" w:rsidRDefault="00EE1E80" w:rsidP="00293866">
            <w:pPr>
              <w:spacing w:line="240" w:lineRule="auto"/>
              <w:jc w:val="left"/>
              <w:rPr>
                <w:color w:val="000000" w:themeColor="text1"/>
              </w:rPr>
            </w:pPr>
            <w:r w:rsidRPr="00033A3F">
              <w:rPr>
                <w:color w:val="000000" w:themeColor="text1"/>
              </w:rPr>
              <w:t>Jiřice</w:t>
            </w:r>
          </w:p>
        </w:tc>
        <w:tc>
          <w:tcPr>
            <w:tcW w:w="1080" w:type="dxa"/>
            <w:tcBorders>
              <w:top w:val="nil"/>
              <w:left w:val="nil"/>
              <w:bottom w:val="single" w:sz="4" w:space="0" w:color="auto"/>
              <w:right w:val="nil"/>
            </w:tcBorders>
            <w:shd w:val="clear" w:color="auto" w:fill="auto"/>
            <w:noWrap/>
            <w:vAlign w:val="bottom"/>
            <w:hideMark/>
          </w:tcPr>
          <w:p w14:paraId="356F251C" w14:textId="77777777" w:rsidR="00EE1E80" w:rsidRPr="00033A3F" w:rsidRDefault="00EE1E80" w:rsidP="00293866">
            <w:pPr>
              <w:spacing w:line="240" w:lineRule="auto"/>
              <w:jc w:val="center"/>
              <w:rPr>
                <w:color w:val="000000" w:themeColor="text1"/>
              </w:rPr>
            </w:pPr>
            <w:r w:rsidRPr="00033A3F">
              <w:rPr>
                <w:color w:val="000000" w:themeColor="text1"/>
              </w:rPr>
              <w:t>29 %</w:t>
            </w:r>
          </w:p>
        </w:tc>
        <w:tc>
          <w:tcPr>
            <w:tcW w:w="1080" w:type="dxa"/>
            <w:tcBorders>
              <w:top w:val="nil"/>
              <w:left w:val="nil"/>
              <w:bottom w:val="single" w:sz="4" w:space="0" w:color="auto"/>
              <w:right w:val="nil"/>
            </w:tcBorders>
            <w:shd w:val="clear" w:color="auto" w:fill="auto"/>
            <w:noWrap/>
            <w:vAlign w:val="bottom"/>
            <w:hideMark/>
          </w:tcPr>
          <w:p w14:paraId="03EF62B7" w14:textId="77777777" w:rsidR="00EE1E80" w:rsidRPr="00033A3F" w:rsidRDefault="00EE1E80" w:rsidP="00293866">
            <w:pPr>
              <w:spacing w:line="240" w:lineRule="auto"/>
              <w:jc w:val="center"/>
              <w:rPr>
                <w:color w:val="000000" w:themeColor="text1"/>
              </w:rPr>
            </w:pPr>
            <w:r w:rsidRPr="00033A3F">
              <w:rPr>
                <w:color w:val="000000" w:themeColor="text1"/>
              </w:rPr>
              <w:t>27 %</w:t>
            </w:r>
          </w:p>
        </w:tc>
        <w:tc>
          <w:tcPr>
            <w:tcW w:w="1080" w:type="dxa"/>
            <w:tcBorders>
              <w:top w:val="nil"/>
              <w:left w:val="nil"/>
              <w:bottom w:val="single" w:sz="4" w:space="0" w:color="auto"/>
              <w:right w:val="nil"/>
            </w:tcBorders>
            <w:shd w:val="clear" w:color="auto" w:fill="auto"/>
            <w:noWrap/>
            <w:vAlign w:val="bottom"/>
            <w:hideMark/>
          </w:tcPr>
          <w:p w14:paraId="11AABB29" w14:textId="77777777" w:rsidR="00EE1E80" w:rsidRPr="00033A3F" w:rsidRDefault="00EE1E80" w:rsidP="00293866">
            <w:pPr>
              <w:spacing w:line="240" w:lineRule="auto"/>
              <w:jc w:val="center"/>
              <w:rPr>
                <w:color w:val="000000" w:themeColor="text1"/>
              </w:rPr>
            </w:pPr>
            <w:r w:rsidRPr="00033A3F">
              <w:rPr>
                <w:color w:val="000000" w:themeColor="text1"/>
              </w:rPr>
              <w:t>30 %</w:t>
            </w:r>
          </w:p>
        </w:tc>
      </w:tr>
      <w:tr w:rsidR="00033A3F" w:rsidRPr="00033A3F" w14:paraId="64CED845"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B5C0D7D" w14:textId="77777777" w:rsidR="00EE1E80" w:rsidRPr="00033A3F" w:rsidRDefault="00EE1E80" w:rsidP="00293866">
            <w:pPr>
              <w:spacing w:line="240" w:lineRule="auto"/>
              <w:jc w:val="left"/>
              <w:rPr>
                <w:color w:val="000000" w:themeColor="text1"/>
              </w:rPr>
            </w:pPr>
            <w:r w:rsidRPr="00033A3F">
              <w:rPr>
                <w:color w:val="000000" w:themeColor="text1"/>
              </w:rPr>
              <w:t>OS Chomutov</w:t>
            </w:r>
          </w:p>
        </w:tc>
        <w:tc>
          <w:tcPr>
            <w:tcW w:w="2960" w:type="dxa"/>
            <w:tcBorders>
              <w:top w:val="nil"/>
              <w:left w:val="nil"/>
              <w:bottom w:val="single" w:sz="4" w:space="0" w:color="auto"/>
              <w:right w:val="nil"/>
            </w:tcBorders>
            <w:shd w:val="clear" w:color="auto" w:fill="auto"/>
            <w:noWrap/>
            <w:vAlign w:val="bottom"/>
            <w:hideMark/>
          </w:tcPr>
          <w:p w14:paraId="057E48A2" w14:textId="77777777" w:rsidR="00EE1E80" w:rsidRPr="00033A3F" w:rsidRDefault="00EE1E80" w:rsidP="00293866">
            <w:pPr>
              <w:spacing w:line="240" w:lineRule="auto"/>
              <w:jc w:val="left"/>
              <w:rPr>
                <w:color w:val="000000" w:themeColor="text1"/>
              </w:rPr>
            </w:pPr>
            <w:r w:rsidRPr="00033A3F">
              <w:rPr>
                <w:color w:val="000000" w:themeColor="text1"/>
              </w:rPr>
              <w:t>Všehrdy</w:t>
            </w:r>
          </w:p>
        </w:tc>
        <w:tc>
          <w:tcPr>
            <w:tcW w:w="1080" w:type="dxa"/>
            <w:tcBorders>
              <w:top w:val="nil"/>
              <w:left w:val="nil"/>
              <w:bottom w:val="single" w:sz="4" w:space="0" w:color="auto"/>
              <w:right w:val="nil"/>
            </w:tcBorders>
            <w:shd w:val="clear" w:color="auto" w:fill="auto"/>
            <w:noWrap/>
            <w:vAlign w:val="bottom"/>
            <w:hideMark/>
          </w:tcPr>
          <w:p w14:paraId="58B5289F" w14:textId="77777777" w:rsidR="00EE1E80" w:rsidRPr="00033A3F" w:rsidRDefault="00EE1E80" w:rsidP="00293866">
            <w:pPr>
              <w:spacing w:line="240" w:lineRule="auto"/>
              <w:jc w:val="center"/>
              <w:rPr>
                <w:color w:val="000000" w:themeColor="text1"/>
              </w:rPr>
            </w:pPr>
            <w:r w:rsidRPr="00033A3F">
              <w:rPr>
                <w:color w:val="000000" w:themeColor="text1"/>
              </w:rPr>
              <w:t>28 %</w:t>
            </w:r>
          </w:p>
        </w:tc>
        <w:tc>
          <w:tcPr>
            <w:tcW w:w="1080" w:type="dxa"/>
            <w:tcBorders>
              <w:top w:val="nil"/>
              <w:left w:val="nil"/>
              <w:bottom w:val="single" w:sz="4" w:space="0" w:color="auto"/>
              <w:right w:val="nil"/>
            </w:tcBorders>
            <w:shd w:val="clear" w:color="auto" w:fill="auto"/>
            <w:noWrap/>
            <w:vAlign w:val="bottom"/>
            <w:hideMark/>
          </w:tcPr>
          <w:p w14:paraId="38E43753" w14:textId="77777777" w:rsidR="00EE1E80" w:rsidRPr="00033A3F" w:rsidRDefault="00EE1E80" w:rsidP="00293866">
            <w:pPr>
              <w:spacing w:line="240" w:lineRule="auto"/>
              <w:jc w:val="center"/>
              <w:rPr>
                <w:color w:val="000000" w:themeColor="text1"/>
              </w:rPr>
            </w:pPr>
            <w:r w:rsidRPr="00033A3F">
              <w:rPr>
                <w:color w:val="000000" w:themeColor="text1"/>
              </w:rPr>
              <w:t>26 %</w:t>
            </w:r>
          </w:p>
        </w:tc>
        <w:tc>
          <w:tcPr>
            <w:tcW w:w="1080" w:type="dxa"/>
            <w:tcBorders>
              <w:top w:val="nil"/>
              <w:left w:val="nil"/>
              <w:bottom w:val="single" w:sz="4" w:space="0" w:color="auto"/>
              <w:right w:val="nil"/>
            </w:tcBorders>
            <w:shd w:val="clear" w:color="auto" w:fill="auto"/>
            <w:noWrap/>
            <w:vAlign w:val="bottom"/>
            <w:hideMark/>
          </w:tcPr>
          <w:p w14:paraId="262B43A5" w14:textId="77777777" w:rsidR="00EE1E80" w:rsidRPr="00033A3F" w:rsidRDefault="00EE1E80" w:rsidP="00293866">
            <w:pPr>
              <w:spacing w:line="240" w:lineRule="auto"/>
              <w:jc w:val="center"/>
              <w:rPr>
                <w:color w:val="000000" w:themeColor="text1"/>
              </w:rPr>
            </w:pPr>
            <w:r w:rsidRPr="00033A3F">
              <w:rPr>
                <w:color w:val="000000" w:themeColor="text1"/>
              </w:rPr>
              <w:t>28 %</w:t>
            </w:r>
          </w:p>
        </w:tc>
      </w:tr>
      <w:tr w:rsidR="00033A3F" w:rsidRPr="00033A3F" w14:paraId="308C19EC"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6E4BCC45" w14:textId="77777777" w:rsidR="00EE1E80" w:rsidRPr="00033A3F" w:rsidRDefault="00EE1E80" w:rsidP="00293866">
            <w:pPr>
              <w:spacing w:line="240" w:lineRule="auto"/>
              <w:jc w:val="left"/>
              <w:rPr>
                <w:color w:val="000000" w:themeColor="text1"/>
              </w:rPr>
            </w:pPr>
            <w:r w:rsidRPr="00033A3F">
              <w:rPr>
                <w:color w:val="000000" w:themeColor="text1"/>
              </w:rPr>
              <w:t>OS Plzeň-město</w:t>
            </w:r>
          </w:p>
        </w:tc>
        <w:tc>
          <w:tcPr>
            <w:tcW w:w="2960" w:type="dxa"/>
            <w:tcBorders>
              <w:top w:val="nil"/>
              <w:left w:val="nil"/>
              <w:bottom w:val="single" w:sz="4" w:space="0" w:color="auto"/>
              <w:right w:val="nil"/>
            </w:tcBorders>
            <w:shd w:val="clear" w:color="auto" w:fill="auto"/>
            <w:noWrap/>
            <w:vAlign w:val="bottom"/>
            <w:hideMark/>
          </w:tcPr>
          <w:p w14:paraId="6CE860E9" w14:textId="77777777" w:rsidR="00EE1E80" w:rsidRPr="00033A3F" w:rsidRDefault="00EE1E80" w:rsidP="00293866">
            <w:pPr>
              <w:spacing w:line="240" w:lineRule="auto"/>
              <w:jc w:val="left"/>
              <w:rPr>
                <w:color w:val="000000" w:themeColor="text1"/>
              </w:rPr>
            </w:pPr>
            <w:r w:rsidRPr="00033A3F">
              <w:rPr>
                <w:color w:val="000000" w:themeColor="text1"/>
              </w:rPr>
              <w:t>Plzeň</w:t>
            </w:r>
          </w:p>
        </w:tc>
        <w:tc>
          <w:tcPr>
            <w:tcW w:w="1080" w:type="dxa"/>
            <w:tcBorders>
              <w:top w:val="nil"/>
              <w:left w:val="nil"/>
              <w:bottom w:val="single" w:sz="4" w:space="0" w:color="auto"/>
              <w:right w:val="nil"/>
            </w:tcBorders>
            <w:shd w:val="clear" w:color="auto" w:fill="auto"/>
            <w:noWrap/>
            <w:vAlign w:val="bottom"/>
            <w:hideMark/>
          </w:tcPr>
          <w:p w14:paraId="29DAAF93" w14:textId="77777777" w:rsidR="00EE1E80" w:rsidRPr="00033A3F" w:rsidRDefault="00EE1E80" w:rsidP="00293866">
            <w:pPr>
              <w:spacing w:line="240" w:lineRule="auto"/>
              <w:jc w:val="center"/>
              <w:rPr>
                <w:color w:val="000000" w:themeColor="text1"/>
              </w:rPr>
            </w:pPr>
            <w:r w:rsidRPr="00033A3F">
              <w:rPr>
                <w:color w:val="000000" w:themeColor="text1"/>
              </w:rPr>
              <w:t>29 %</w:t>
            </w:r>
          </w:p>
        </w:tc>
        <w:tc>
          <w:tcPr>
            <w:tcW w:w="1080" w:type="dxa"/>
            <w:tcBorders>
              <w:top w:val="nil"/>
              <w:left w:val="nil"/>
              <w:bottom w:val="single" w:sz="4" w:space="0" w:color="auto"/>
              <w:right w:val="nil"/>
            </w:tcBorders>
            <w:shd w:val="clear" w:color="auto" w:fill="auto"/>
            <w:noWrap/>
            <w:vAlign w:val="bottom"/>
            <w:hideMark/>
          </w:tcPr>
          <w:p w14:paraId="458E67A7" w14:textId="77777777" w:rsidR="00EE1E80" w:rsidRPr="00033A3F" w:rsidRDefault="00EE1E80" w:rsidP="00293866">
            <w:pPr>
              <w:spacing w:line="240" w:lineRule="auto"/>
              <w:jc w:val="center"/>
              <w:rPr>
                <w:color w:val="000000" w:themeColor="text1"/>
              </w:rPr>
            </w:pPr>
            <w:r w:rsidRPr="00033A3F">
              <w:rPr>
                <w:color w:val="000000" w:themeColor="text1"/>
              </w:rPr>
              <w:t>23 %</w:t>
            </w:r>
          </w:p>
        </w:tc>
        <w:tc>
          <w:tcPr>
            <w:tcW w:w="1080" w:type="dxa"/>
            <w:tcBorders>
              <w:top w:val="nil"/>
              <w:left w:val="nil"/>
              <w:bottom w:val="single" w:sz="4" w:space="0" w:color="auto"/>
              <w:right w:val="nil"/>
            </w:tcBorders>
            <w:shd w:val="clear" w:color="auto" w:fill="auto"/>
            <w:noWrap/>
            <w:vAlign w:val="bottom"/>
            <w:hideMark/>
          </w:tcPr>
          <w:p w14:paraId="032B55ED" w14:textId="77777777" w:rsidR="00EE1E80" w:rsidRPr="00033A3F" w:rsidRDefault="00EE1E80" w:rsidP="00293866">
            <w:pPr>
              <w:spacing w:line="240" w:lineRule="auto"/>
              <w:jc w:val="center"/>
              <w:rPr>
                <w:color w:val="000000" w:themeColor="text1"/>
              </w:rPr>
            </w:pPr>
            <w:r w:rsidRPr="00033A3F">
              <w:rPr>
                <w:color w:val="000000" w:themeColor="text1"/>
              </w:rPr>
              <w:t>26 %</w:t>
            </w:r>
          </w:p>
        </w:tc>
      </w:tr>
      <w:tr w:rsidR="00033A3F" w:rsidRPr="00033A3F" w14:paraId="402FA7BD"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09CB4EC1" w14:textId="77777777" w:rsidR="00EE1E80" w:rsidRPr="00033A3F" w:rsidRDefault="00EE1E80" w:rsidP="00293866">
            <w:pPr>
              <w:spacing w:line="240" w:lineRule="auto"/>
              <w:jc w:val="left"/>
              <w:rPr>
                <w:color w:val="000000" w:themeColor="text1"/>
              </w:rPr>
            </w:pPr>
            <w:r w:rsidRPr="00033A3F">
              <w:rPr>
                <w:color w:val="000000" w:themeColor="text1"/>
              </w:rPr>
              <w:t>OS Sokolov</w:t>
            </w:r>
          </w:p>
        </w:tc>
        <w:tc>
          <w:tcPr>
            <w:tcW w:w="2960" w:type="dxa"/>
            <w:tcBorders>
              <w:top w:val="nil"/>
              <w:left w:val="nil"/>
              <w:bottom w:val="single" w:sz="4" w:space="0" w:color="auto"/>
              <w:right w:val="nil"/>
            </w:tcBorders>
            <w:shd w:val="clear" w:color="auto" w:fill="auto"/>
            <w:vAlign w:val="bottom"/>
            <w:hideMark/>
          </w:tcPr>
          <w:p w14:paraId="5798E853" w14:textId="77777777" w:rsidR="00EE1E80" w:rsidRPr="00033A3F" w:rsidRDefault="00EE1E80" w:rsidP="00293866">
            <w:pPr>
              <w:spacing w:line="240" w:lineRule="auto"/>
              <w:jc w:val="left"/>
              <w:rPr>
                <w:color w:val="000000" w:themeColor="text1"/>
              </w:rPr>
            </w:pPr>
            <w:r w:rsidRPr="00033A3F">
              <w:rPr>
                <w:color w:val="000000" w:themeColor="text1"/>
              </w:rPr>
              <w:t>Horní Slavkov, Kynšperk</w:t>
            </w:r>
          </w:p>
        </w:tc>
        <w:tc>
          <w:tcPr>
            <w:tcW w:w="1080" w:type="dxa"/>
            <w:tcBorders>
              <w:top w:val="nil"/>
              <w:left w:val="nil"/>
              <w:bottom w:val="single" w:sz="4" w:space="0" w:color="auto"/>
              <w:right w:val="nil"/>
            </w:tcBorders>
            <w:shd w:val="clear" w:color="auto" w:fill="auto"/>
            <w:noWrap/>
            <w:vAlign w:val="bottom"/>
            <w:hideMark/>
          </w:tcPr>
          <w:p w14:paraId="2015AA6C" w14:textId="77777777" w:rsidR="00EE1E80" w:rsidRPr="00033A3F" w:rsidRDefault="00EE1E80" w:rsidP="00293866">
            <w:pPr>
              <w:spacing w:line="240" w:lineRule="auto"/>
              <w:jc w:val="center"/>
              <w:rPr>
                <w:color w:val="000000" w:themeColor="text1"/>
              </w:rPr>
            </w:pPr>
            <w:r w:rsidRPr="00033A3F">
              <w:rPr>
                <w:color w:val="000000" w:themeColor="text1"/>
              </w:rPr>
              <w:t>25 %</w:t>
            </w:r>
          </w:p>
        </w:tc>
        <w:tc>
          <w:tcPr>
            <w:tcW w:w="1080" w:type="dxa"/>
            <w:tcBorders>
              <w:top w:val="nil"/>
              <w:left w:val="nil"/>
              <w:bottom w:val="single" w:sz="4" w:space="0" w:color="auto"/>
              <w:right w:val="nil"/>
            </w:tcBorders>
            <w:shd w:val="clear" w:color="auto" w:fill="auto"/>
            <w:noWrap/>
            <w:vAlign w:val="bottom"/>
            <w:hideMark/>
          </w:tcPr>
          <w:p w14:paraId="7A37A4C8" w14:textId="77777777" w:rsidR="00EE1E80" w:rsidRPr="00033A3F" w:rsidRDefault="00EE1E80" w:rsidP="00293866">
            <w:pPr>
              <w:spacing w:line="240" w:lineRule="auto"/>
              <w:jc w:val="center"/>
              <w:rPr>
                <w:color w:val="000000" w:themeColor="text1"/>
              </w:rPr>
            </w:pPr>
            <w:r w:rsidRPr="00033A3F">
              <w:rPr>
                <w:color w:val="000000" w:themeColor="text1"/>
              </w:rPr>
              <w:t>28 %</w:t>
            </w:r>
          </w:p>
        </w:tc>
        <w:tc>
          <w:tcPr>
            <w:tcW w:w="1080" w:type="dxa"/>
            <w:tcBorders>
              <w:top w:val="nil"/>
              <w:left w:val="nil"/>
              <w:bottom w:val="single" w:sz="4" w:space="0" w:color="auto"/>
              <w:right w:val="nil"/>
            </w:tcBorders>
            <w:shd w:val="clear" w:color="auto" w:fill="auto"/>
            <w:noWrap/>
            <w:vAlign w:val="bottom"/>
            <w:hideMark/>
          </w:tcPr>
          <w:p w14:paraId="43B98BA9" w14:textId="77777777" w:rsidR="00EE1E80" w:rsidRPr="00033A3F" w:rsidRDefault="00EE1E80" w:rsidP="00293866">
            <w:pPr>
              <w:spacing w:line="240" w:lineRule="auto"/>
              <w:jc w:val="center"/>
              <w:rPr>
                <w:color w:val="000000" w:themeColor="text1"/>
              </w:rPr>
            </w:pPr>
            <w:r w:rsidRPr="00033A3F">
              <w:rPr>
                <w:color w:val="000000" w:themeColor="text1"/>
              </w:rPr>
              <w:t>25 %</w:t>
            </w:r>
          </w:p>
        </w:tc>
      </w:tr>
      <w:tr w:rsidR="00033A3F" w:rsidRPr="00033A3F" w14:paraId="2206E11E"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7F42D33A" w14:textId="77777777" w:rsidR="00EE1E80" w:rsidRPr="00033A3F" w:rsidRDefault="00EE1E80" w:rsidP="00293866">
            <w:pPr>
              <w:spacing w:line="240" w:lineRule="auto"/>
              <w:jc w:val="left"/>
              <w:rPr>
                <w:color w:val="000000" w:themeColor="text1"/>
              </w:rPr>
            </w:pPr>
            <w:r w:rsidRPr="00033A3F">
              <w:rPr>
                <w:color w:val="000000" w:themeColor="text1"/>
              </w:rPr>
              <w:t>OS Praha 4</w:t>
            </w:r>
          </w:p>
        </w:tc>
        <w:tc>
          <w:tcPr>
            <w:tcW w:w="2960" w:type="dxa"/>
            <w:tcBorders>
              <w:top w:val="nil"/>
              <w:left w:val="nil"/>
              <w:bottom w:val="single" w:sz="4" w:space="0" w:color="auto"/>
              <w:right w:val="nil"/>
            </w:tcBorders>
            <w:shd w:val="clear" w:color="auto" w:fill="auto"/>
            <w:noWrap/>
            <w:vAlign w:val="bottom"/>
            <w:hideMark/>
          </w:tcPr>
          <w:p w14:paraId="41AE428B" w14:textId="77777777" w:rsidR="00EE1E80" w:rsidRPr="00033A3F" w:rsidRDefault="00EE1E80" w:rsidP="00293866">
            <w:pPr>
              <w:spacing w:line="240" w:lineRule="auto"/>
              <w:jc w:val="left"/>
              <w:rPr>
                <w:color w:val="000000" w:themeColor="text1"/>
              </w:rPr>
            </w:pPr>
            <w:r w:rsidRPr="00033A3F">
              <w:rPr>
                <w:color w:val="000000" w:themeColor="text1"/>
              </w:rPr>
              <w:t>Pankrác</w:t>
            </w:r>
          </w:p>
        </w:tc>
        <w:tc>
          <w:tcPr>
            <w:tcW w:w="1080" w:type="dxa"/>
            <w:tcBorders>
              <w:top w:val="nil"/>
              <w:left w:val="nil"/>
              <w:bottom w:val="single" w:sz="4" w:space="0" w:color="auto"/>
              <w:right w:val="nil"/>
            </w:tcBorders>
            <w:shd w:val="clear" w:color="auto" w:fill="auto"/>
            <w:noWrap/>
            <w:vAlign w:val="bottom"/>
            <w:hideMark/>
          </w:tcPr>
          <w:p w14:paraId="553BACAE" w14:textId="77777777" w:rsidR="00EE1E80" w:rsidRPr="00033A3F" w:rsidRDefault="00EE1E80" w:rsidP="00293866">
            <w:pPr>
              <w:spacing w:line="240" w:lineRule="auto"/>
              <w:jc w:val="center"/>
              <w:rPr>
                <w:color w:val="000000" w:themeColor="text1"/>
              </w:rPr>
            </w:pPr>
            <w:r w:rsidRPr="00033A3F">
              <w:rPr>
                <w:color w:val="000000" w:themeColor="text1"/>
              </w:rPr>
              <w:t>25 %</w:t>
            </w:r>
          </w:p>
        </w:tc>
        <w:tc>
          <w:tcPr>
            <w:tcW w:w="1080" w:type="dxa"/>
            <w:tcBorders>
              <w:top w:val="nil"/>
              <w:left w:val="nil"/>
              <w:bottom w:val="single" w:sz="4" w:space="0" w:color="auto"/>
              <w:right w:val="nil"/>
            </w:tcBorders>
            <w:shd w:val="clear" w:color="auto" w:fill="auto"/>
            <w:noWrap/>
            <w:vAlign w:val="bottom"/>
            <w:hideMark/>
          </w:tcPr>
          <w:p w14:paraId="6D5C7569" w14:textId="77777777" w:rsidR="00EE1E80" w:rsidRPr="00033A3F" w:rsidRDefault="00EE1E80" w:rsidP="00293866">
            <w:pPr>
              <w:spacing w:line="240" w:lineRule="auto"/>
              <w:jc w:val="center"/>
              <w:rPr>
                <w:color w:val="000000" w:themeColor="text1"/>
              </w:rPr>
            </w:pPr>
            <w:r w:rsidRPr="00033A3F">
              <w:rPr>
                <w:color w:val="000000" w:themeColor="text1"/>
              </w:rPr>
              <w:t>29 %</w:t>
            </w:r>
          </w:p>
        </w:tc>
        <w:tc>
          <w:tcPr>
            <w:tcW w:w="1080" w:type="dxa"/>
            <w:tcBorders>
              <w:top w:val="nil"/>
              <w:left w:val="nil"/>
              <w:bottom w:val="single" w:sz="4" w:space="0" w:color="auto"/>
              <w:right w:val="nil"/>
            </w:tcBorders>
            <w:shd w:val="clear" w:color="auto" w:fill="auto"/>
            <w:noWrap/>
            <w:vAlign w:val="bottom"/>
            <w:hideMark/>
          </w:tcPr>
          <w:p w14:paraId="0F11340F" w14:textId="77777777" w:rsidR="00EE1E80" w:rsidRPr="00033A3F" w:rsidRDefault="00EE1E80" w:rsidP="00293866">
            <w:pPr>
              <w:spacing w:line="240" w:lineRule="auto"/>
              <w:jc w:val="center"/>
              <w:rPr>
                <w:color w:val="000000" w:themeColor="text1"/>
              </w:rPr>
            </w:pPr>
            <w:r w:rsidRPr="00033A3F">
              <w:rPr>
                <w:color w:val="000000" w:themeColor="text1"/>
              </w:rPr>
              <w:t>24 %</w:t>
            </w:r>
          </w:p>
        </w:tc>
      </w:tr>
      <w:tr w:rsidR="00033A3F" w:rsidRPr="00033A3F" w14:paraId="7891FA99"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7CF7022E" w14:textId="77777777" w:rsidR="00EE1E80" w:rsidRPr="00033A3F" w:rsidRDefault="00EE1E80" w:rsidP="00293866">
            <w:pPr>
              <w:spacing w:line="240" w:lineRule="auto"/>
              <w:jc w:val="left"/>
              <w:rPr>
                <w:color w:val="000000" w:themeColor="text1"/>
              </w:rPr>
            </w:pPr>
            <w:r w:rsidRPr="00033A3F">
              <w:rPr>
                <w:color w:val="000000" w:themeColor="text1"/>
              </w:rPr>
              <w:t>OS Jičín</w:t>
            </w:r>
          </w:p>
        </w:tc>
        <w:tc>
          <w:tcPr>
            <w:tcW w:w="2960" w:type="dxa"/>
            <w:tcBorders>
              <w:top w:val="nil"/>
              <w:left w:val="nil"/>
              <w:bottom w:val="single" w:sz="4" w:space="0" w:color="auto"/>
              <w:right w:val="nil"/>
            </w:tcBorders>
            <w:shd w:val="clear" w:color="auto" w:fill="auto"/>
            <w:noWrap/>
            <w:vAlign w:val="bottom"/>
            <w:hideMark/>
          </w:tcPr>
          <w:p w14:paraId="2B1B8716" w14:textId="77777777" w:rsidR="00EE1E80" w:rsidRPr="00033A3F" w:rsidRDefault="00EE1E80" w:rsidP="00293866">
            <w:pPr>
              <w:spacing w:line="240" w:lineRule="auto"/>
              <w:jc w:val="left"/>
              <w:rPr>
                <w:color w:val="000000" w:themeColor="text1"/>
              </w:rPr>
            </w:pPr>
            <w:r w:rsidRPr="00033A3F">
              <w:rPr>
                <w:color w:val="000000" w:themeColor="text1"/>
              </w:rPr>
              <w:t>Valdice</w:t>
            </w:r>
          </w:p>
        </w:tc>
        <w:tc>
          <w:tcPr>
            <w:tcW w:w="1080" w:type="dxa"/>
            <w:tcBorders>
              <w:top w:val="nil"/>
              <w:left w:val="nil"/>
              <w:bottom w:val="single" w:sz="4" w:space="0" w:color="auto"/>
              <w:right w:val="nil"/>
            </w:tcBorders>
            <w:shd w:val="clear" w:color="auto" w:fill="auto"/>
            <w:noWrap/>
            <w:vAlign w:val="bottom"/>
            <w:hideMark/>
          </w:tcPr>
          <w:p w14:paraId="5A1A31E1" w14:textId="77777777" w:rsidR="00EE1E80" w:rsidRPr="00033A3F" w:rsidRDefault="00EE1E80" w:rsidP="00293866">
            <w:pPr>
              <w:spacing w:line="240" w:lineRule="auto"/>
              <w:jc w:val="center"/>
              <w:rPr>
                <w:color w:val="000000" w:themeColor="text1"/>
              </w:rPr>
            </w:pPr>
            <w:r w:rsidRPr="00033A3F">
              <w:rPr>
                <w:color w:val="000000" w:themeColor="text1"/>
              </w:rPr>
              <w:t>24 %</w:t>
            </w:r>
          </w:p>
        </w:tc>
        <w:tc>
          <w:tcPr>
            <w:tcW w:w="1080" w:type="dxa"/>
            <w:tcBorders>
              <w:top w:val="nil"/>
              <w:left w:val="nil"/>
              <w:bottom w:val="single" w:sz="4" w:space="0" w:color="auto"/>
              <w:right w:val="nil"/>
            </w:tcBorders>
            <w:shd w:val="clear" w:color="auto" w:fill="auto"/>
            <w:noWrap/>
            <w:vAlign w:val="bottom"/>
            <w:hideMark/>
          </w:tcPr>
          <w:p w14:paraId="39F86B3E" w14:textId="77777777" w:rsidR="00EE1E80" w:rsidRPr="00033A3F" w:rsidRDefault="00EE1E80" w:rsidP="00293866">
            <w:pPr>
              <w:spacing w:line="240" w:lineRule="auto"/>
              <w:jc w:val="center"/>
              <w:rPr>
                <w:color w:val="000000" w:themeColor="text1"/>
              </w:rPr>
            </w:pPr>
            <w:r w:rsidRPr="00033A3F">
              <w:rPr>
                <w:color w:val="000000" w:themeColor="text1"/>
              </w:rPr>
              <w:t>28 %</w:t>
            </w:r>
          </w:p>
        </w:tc>
        <w:tc>
          <w:tcPr>
            <w:tcW w:w="1080" w:type="dxa"/>
            <w:tcBorders>
              <w:top w:val="nil"/>
              <w:left w:val="nil"/>
              <w:bottom w:val="single" w:sz="4" w:space="0" w:color="auto"/>
              <w:right w:val="nil"/>
            </w:tcBorders>
            <w:shd w:val="clear" w:color="auto" w:fill="auto"/>
            <w:noWrap/>
            <w:vAlign w:val="bottom"/>
            <w:hideMark/>
          </w:tcPr>
          <w:p w14:paraId="0A36EF96" w14:textId="77777777" w:rsidR="00EE1E80" w:rsidRPr="00033A3F" w:rsidRDefault="00EE1E80" w:rsidP="00293866">
            <w:pPr>
              <w:spacing w:line="240" w:lineRule="auto"/>
              <w:jc w:val="center"/>
              <w:rPr>
                <w:color w:val="000000" w:themeColor="text1"/>
              </w:rPr>
            </w:pPr>
            <w:r w:rsidRPr="00033A3F">
              <w:rPr>
                <w:color w:val="000000" w:themeColor="text1"/>
              </w:rPr>
              <w:t>16 %</w:t>
            </w:r>
          </w:p>
        </w:tc>
      </w:tr>
      <w:tr w:rsidR="00033A3F" w:rsidRPr="00033A3F" w14:paraId="5C73AAB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1347A6C3" w14:textId="77777777" w:rsidR="00EE1E80" w:rsidRPr="00033A3F" w:rsidRDefault="00EE1E80" w:rsidP="00293866">
            <w:pPr>
              <w:spacing w:line="240" w:lineRule="auto"/>
              <w:jc w:val="left"/>
              <w:rPr>
                <w:color w:val="000000" w:themeColor="text1"/>
              </w:rPr>
            </w:pPr>
            <w:r w:rsidRPr="00033A3F">
              <w:rPr>
                <w:color w:val="000000" w:themeColor="text1"/>
              </w:rPr>
              <w:t>OS Kladno</w:t>
            </w:r>
          </w:p>
        </w:tc>
        <w:tc>
          <w:tcPr>
            <w:tcW w:w="2960" w:type="dxa"/>
            <w:tcBorders>
              <w:top w:val="nil"/>
              <w:left w:val="nil"/>
              <w:bottom w:val="single" w:sz="4" w:space="0" w:color="auto"/>
              <w:right w:val="nil"/>
            </w:tcBorders>
            <w:shd w:val="clear" w:color="auto" w:fill="auto"/>
            <w:noWrap/>
            <w:vAlign w:val="bottom"/>
            <w:hideMark/>
          </w:tcPr>
          <w:p w14:paraId="3ED53EF6" w14:textId="77777777" w:rsidR="00EE1E80" w:rsidRPr="00033A3F" w:rsidRDefault="00EE1E80" w:rsidP="00293866">
            <w:pPr>
              <w:spacing w:line="240" w:lineRule="auto"/>
              <w:jc w:val="left"/>
              <w:rPr>
                <w:color w:val="000000" w:themeColor="text1"/>
              </w:rPr>
            </w:pPr>
            <w:r w:rsidRPr="00033A3F">
              <w:rPr>
                <w:color w:val="000000" w:themeColor="text1"/>
              </w:rPr>
              <w:t>Vinařice</w:t>
            </w:r>
          </w:p>
        </w:tc>
        <w:tc>
          <w:tcPr>
            <w:tcW w:w="1080" w:type="dxa"/>
            <w:tcBorders>
              <w:top w:val="nil"/>
              <w:left w:val="nil"/>
              <w:bottom w:val="single" w:sz="4" w:space="0" w:color="auto"/>
              <w:right w:val="nil"/>
            </w:tcBorders>
            <w:shd w:val="clear" w:color="auto" w:fill="auto"/>
            <w:noWrap/>
            <w:vAlign w:val="bottom"/>
            <w:hideMark/>
          </w:tcPr>
          <w:p w14:paraId="15DD3F15" w14:textId="77777777" w:rsidR="00EE1E80" w:rsidRPr="00033A3F" w:rsidRDefault="00EE1E80" w:rsidP="00293866">
            <w:pPr>
              <w:spacing w:line="240" w:lineRule="auto"/>
              <w:jc w:val="center"/>
              <w:rPr>
                <w:color w:val="000000" w:themeColor="text1"/>
              </w:rPr>
            </w:pPr>
            <w:r w:rsidRPr="00033A3F">
              <w:rPr>
                <w:color w:val="000000" w:themeColor="text1"/>
              </w:rPr>
              <w:t>16 %</w:t>
            </w:r>
          </w:p>
        </w:tc>
        <w:tc>
          <w:tcPr>
            <w:tcW w:w="1080" w:type="dxa"/>
            <w:tcBorders>
              <w:top w:val="nil"/>
              <w:left w:val="nil"/>
              <w:bottom w:val="single" w:sz="4" w:space="0" w:color="auto"/>
              <w:right w:val="nil"/>
            </w:tcBorders>
            <w:shd w:val="clear" w:color="auto" w:fill="auto"/>
            <w:noWrap/>
            <w:vAlign w:val="bottom"/>
            <w:hideMark/>
          </w:tcPr>
          <w:p w14:paraId="63C9C8B1" w14:textId="77777777" w:rsidR="00EE1E80" w:rsidRPr="00033A3F" w:rsidRDefault="00EE1E80" w:rsidP="00293866">
            <w:pPr>
              <w:spacing w:line="240" w:lineRule="auto"/>
              <w:jc w:val="center"/>
              <w:rPr>
                <w:color w:val="000000" w:themeColor="text1"/>
              </w:rPr>
            </w:pPr>
            <w:r w:rsidRPr="00033A3F">
              <w:rPr>
                <w:color w:val="000000" w:themeColor="text1"/>
              </w:rPr>
              <w:t>18 %</w:t>
            </w:r>
          </w:p>
        </w:tc>
        <w:tc>
          <w:tcPr>
            <w:tcW w:w="1080" w:type="dxa"/>
            <w:tcBorders>
              <w:top w:val="nil"/>
              <w:left w:val="nil"/>
              <w:bottom w:val="single" w:sz="4" w:space="0" w:color="auto"/>
              <w:right w:val="nil"/>
            </w:tcBorders>
            <w:shd w:val="clear" w:color="auto" w:fill="auto"/>
            <w:noWrap/>
            <w:vAlign w:val="bottom"/>
            <w:hideMark/>
          </w:tcPr>
          <w:p w14:paraId="4F2513C1" w14:textId="77777777" w:rsidR="00EE1E80" w:rsidRPr="00033A3F" w:rsidRDefault="00EE1E80" w:rsidP="00293866">
            <w:pPr>
              <w:spacing w:line="240" w:lineRule="auto"/>
              <w:jc w:val="center"/>
              <w:rPr>
                <w:color w:val="000000" w:themeColor="text1"/>
              </w:rPr>
            </w:pPr>
            <w:r w:rsidRPr="00033A3F">
              <w:rPr>
                <w:color w:val="000000" w:themeColor="text1"/>
              </w:rPr>
              <w:t>15 %</w:t>
            </w:r>
          </w:p>
        </w:tc>
      </w:tr>
      <w:tr w:rsidR="00033A3F" w:rsidRPr="00033A3F" w14:paraId="0DFAA772" w14:textId="77777777" w:rsidTr="00293866">
        <w:trPr>
          <w:trHeight w:val="330"/>
        </w:trPr>
        <w:tc>
          <w:tcPr>
            <w:tcW w:w="2720" w:type="dxa"/>
            <w:tcBorders>
              <w:top w:val="nil"/>
              <w:left w:val="nil"/>
              <w:bottom w:val="double" w:sz="6" w:space="0" w:color="auto"/>
              <w:right w:val="nil"/>
            </w:tcBorders>
            <w:shd w:val="clear" w:color="auto" w:fill="auto"/>
            <w:noWrap/>
            <w:vAlign w:val="bottom"/>
            <w:hideMark/>
          </w:tcPr>
          <w:p w14:paraId="5C68A231" w14:textId="77777777" w:rsidR="00EE1E80" w:rsidRPr="00033A3F" w:rsidRDefault="00EE1E80" w:rsidP="00293866">
            <w:pPr>
              <w:spacing w:line="240" w:lineRule="auto"/>
              <w:jc w:val="left"/>
              <w:rPr>
                <w:color w:val="000000" w:themeColor="text1"/>
              </w:rPr>
            </w:pPr>
            <w:r w:rsidRPr="00033A3F">
              <w:rPr>
                <w:color w:val="000000" w:themeColor="text1"/>
              </w:rPr>
              <w:t>OS Rakovník</w:t>
            </w:r>
          </w:p>
        </w:tc>
        <w:tc>
          <w:tcPr>
            <w:tcW w:w="2960" w:type="dxa"/>
            <w:tcBorders>
              <w:top w:val="nil"/>
              <w:left w:val="nil"/>
              <w:bottom w:val="double" w:sz="6" w:space="0" w:color="auto"/>
              <w:right w:val="nil"/>
            </w:tcBorders>
            <w:shd w:val="clear" w:color="auto" w:fill="auto"/>
            <w:noWrap/>
            <w:vAlign w:val="bottom"/>
            <w:hideMark/>
          </w:tcPr>
          <w:p w14:paraId="352313BC" w14:textId="77777777" w:rsidR="00EE1E80" w:rsidRPr="00033A3F" w:rsidRDefault="00EE1E80" w:rsidP="00293866">
            <w:pPr>
              <w:spacing w:line="240" w:lineRule="auto"/>
              <w:jc w:val="left"/>
              <w:rPr>
                <w:color w:val="000000" w:themeColor="text1"/>
              </w:rPr>
            </w:pPr>
            <w:r w:rsidRPr="00033A3F">
              <w:rPr>
                <w:color w:val="000000" w:themeColor="text1"/>
              </w:rPr>
              <w:t>Oráčov</w:t>
            </w:r>
          </w:p>
        </w:tc>
        <w:tc>
          <w:tcPr>
            <w:tcW w:w="1080" w:type="dxa"/>
            <w:tcBorders>
              <w:top w:val="nil"/>
              <w:left w:val="nil"/>
              <w:bottom w:val="double" w:sz="6" w:space="0" w:color="auto"/>
              <w:right w:val="nil"/>
            </w:tcBorders>
            <w:shd w:val="clear" w:color="auto" w:fill="auto"/>
            <w:noWrap/>
            <w:vAlign w:val="bottom"/>
            <w:hideMark/>
          </w:tcPr>
          <w:p w14:paraId="1DB8D649" w14:textId="77777777" w:rsidR="00EE1E80" w:rsidRPr="00033A3F" w:rsidRDefault="00EE1E80" w:rsidP="00293866">
            <w:pPr>
              <w:spacing w:line="240" w:lineRule="auto"/>
              <w:jc w:val="center"/>
              <w:rPr>
                <w:color w:val="000000" w:themeColor="text1"/>
              </w:rPr>
            </w:pPr>
            <w:r w:rsidRPr="00033A3F">
              <w:rPr>
                <w:color w:val="000000" w:themeColor="text1"/>
              </w:rPr>
              <w:t>14 %</w:t>
            </w:r>
          </w:p>
        </w:tc>
        <w:tc>
          <w:tcPr>
            <w:tcW w:w="1080" w:type="dxa"/>
            <w:tcBorders>
              <w:top w:val="nil"/>
              <w:left w:val="nil"/>
              <w:bottom w:val="double" w:sz="6" w:space="0" w:color="auto"/>
              <w:right w:val="nil"/>
            </w:tcBorders>
            <w:shd w:val="clear" w:color="auto" w:fill="auto"/>
            <w:noWrap/>
            <w:vAlign w:val="bottom"/>
            <w:hideMark/>
          </w:tcPr>
          <w:p w14:paraId="570170D4" w14:textId="77777777" w:rsidR="00EE1E80" w:rsidRPr="00033A3F" w:rsidRDefault="00EE1E80" w:rsidP="00293866">
            <w:pPr>
              <w:spacing w:line="240" w:lineRule="auto"/>
              <w:jc w:val="center"/>
              <w:rPr>
                <w:color w:val="000000" w:themeColor="text1"/>
              </w:rPr>
            </w:pPr>
            <w:r w:rsidRPr="00033A3F">
              <w:rPr>
                <w:color w:val="000000" w:themeColor="text1"/>
              </w:rPr>
              <w:t>15 %</w:t>
            </w:r>
          </w:p>
        </w:tc>
        <w:tc>
          <w:tcPr>
            <w:tcW w:w="1080" w:type="dxa"/>
            <w:tcBorders>
              <w:top w:val="nil"/>
              <w:left w:val="nil"/>
              <w:bottom w:val="double" w:sz="6" w:space="0" w:color="auto"/>
              <w:right w:val="nil"/>
            </w:tcBorders>
            <w:shd w:val="clear" w:color="auto" w:fill="auto"/>
            <w:noWrap/>
            <w:vAlign w:val="bottom"/>
            <w:hideMark/>
          </w:tcPr>
          <w:p w14:paraId="6D526BB3" w14:textId="77777777" w:rsidR="00EE1E80" w:rsidRPr="00033A3F" w:rsidRDefault="00EE1E80" w:rsidP="00293866">
            <w:pPr>
              <w:spacing w:line="240" w:lineRule="auto"/>
              <w:jc w:val="center"/>
              <w:rPr>
                <w:color w:val="000000" w:themeColor="text1"/>
              </w:rPr>
            </w:pPr>
            <w:r w:rsidRPr="00033A3F">
              <w:rPr>
                <w:color w:val="000000" w:themeColor="text1"/>
              </w:rPr>
              <w:t>14 %</w:t>
            </w:r>
          </w:p>
        </w:tc>
      </w:tr>
      <w:tr w:rsidR="00EE1E80" w:rsidRPr="00033A3F" w14:paraId="51C5F690" w14:textId="77777777" w:rsidTr="00293866">
        <w:trPr>
          <w:trHeight w:val="345"/>
        </w:trPr>
        <w:tc>
          <w:tcPr>
            <w:tcW w:w="2720" w:type="dxa"/>
            <w:tcBorders>
              <w:top w:val="nil"/>
              <w:left w:val="nil"/>
              <w:bottom w:val="double" w:sz="6" w:space="0" w:color="auto"/>
              <w:right w:val="nil"/>
            </w:tcBorders>
            <w:shd w:val="clear" w:color="auto" w:fill="auto"/>
            <w:noWrap/>
            <w:vAlign w:val="bottom"/>
            <w:hideMark/>
          </w:tcPr>
          <w:p w14:paraId="63F665CD" w14:textId="77777777" w:rsidR="00EE1E80" w:rsidRPr="00033A3F" w:rsidRDefault="00EE1E80" w:rsidP="00293866">
            <w:pPr>
              <w:spacing w:line="240" w:lineRule="auto"/>
              <w:jc w:val="left"/>
              <w:rPr>
                <w:b/>
                <w:color w:val="000000" w:themeColor="text1"/>
              </w:rPr>
            </w:pPr>
            <w:r w:rsidRPr="00033A3F">
              <w:rPr>
                <w:b/>
                <w:color w:val="000000" w:themeColor="text1"/>
              </w:rPr>
              <w:t>Celkem</w:t>
            </w:r>
          </w:p>
        </w:tc>
        <w:tc>
          <w:tcPr>
            <w:tcW w:w="2960" w:type="dxa"/>
            <w:tcBorders>
              <w:top w:val="nil"/>
              <w:left w:val="nil"/>
              <w:bottom w:val="double" w:sz="6" w:space="0" w:color="auto"/>
              <w:right w:val="nil"/>
            </w:tcBorders>
            <w:shd w:val="clear" w:color="auto" w:fill="auto"/>
            <w:noWrap/>
            <w:vAlign w:val="bottom"/>
            <w:hideMark/>
          </w:tcPr>
          <w:p w14:paraId="7EAC5BCF" w14:textId="77777777" w:rsidR="00EE1E80" w:rsidRPr="00033A3F" w:rsidRDefault="00EE1E80" w:rsidP="00293866">
            <w:pPr>
              <w:spacing w:line="240" w:lineRule="auto"/>
              <w:jc w:val="left"/>
              <w:rPr>
                <w:b/>
                <w:color w:val="000000" w:themeColor="text1"/>
              </w:rPr>
            </w:pPr>
            <w:r w:rsidRPr="00033A3F">
              <w:rPr>
                <w:b/>
                <w:color w:val="000000" w:themeColor="text1"/>
              </w:rPr>
              <w:t> </w:t>
            </w:r>
          </w:p>
        </w:tc>
        <w:tc>
          <w:tcPr>
            <w:tcW w:w="1080" w:type="dxa"/>
            <w:tcBorders>
              <w:top w:val="nil"/>
              <w:left w:val="nil"/>
              <w:bottom w:val="double" w:sz="6" w:space="0" w:color="auto"/>
              <w:right w:val="nil"/>
            </w:tcBorders>
            <w:shd w:val="clear" w:color="auto" w:fill="auto"/>
            <w:noWrap/>
            <w:vAlign w:val="bottom"/>
            <w:hideMark/>
          </w:tcPr>
          <w:p w14:paraId="354B1B72" w14:textId="77777777" w:rsidR="00EE1E80" w:rsidRPr="00033A3F" w:rsidRDefault="00EE1E80" w:rsidP="00293866">
            <w:pPr>
              <w:spacing w:line="240" w:lineRule="auto"/>
              <w:jc w:val="center"/>
              <w:rPr>
                <w:b/>
                <w:color w:val="000000" w:themeColor="text1"/>
              </w:rPr>
            </w:pPr>
            <w:r w:rsidRPr="00033A3F">
              <w:rPr>
                <w:b/>
                <w:color w:val="000000" w:themeColor="text1"/>
              </w:rPr>
              <w:t>40 %</w:t>
            </w:r>
          </w:p>
        </w:tc>
        <w:tc>
          <w:tcPr>
            <w:tcW w:w="1080" w:type="dxa"/>
            <w:tcBorders>
              <w:top w:val="nil"/>
              <w:left w:val="nil"/>
              <w:bottom w:val="double" w:sz="6" w:space="0" w:color="auto"/>
              <w:right w:val="nil"/>
            </w:tcBorders>
            <w:shd w:val="clear" w:color="auto" w:fill="auto"/>
            <w:noWrap/>
            <w:vAlign w:val="bottom"/>
            <w:hideMark/>
          </w:tcPr>
          <w:p w14:paraId="1D68B903" w14:textId="77777777" w:rsidR="00EE1E80" w:rsidRPr="00033A3F" w:rsidRDefault="00EE1E80" w:rsidP="00293866">
            <w:pPr>
              <w:spacing w:line="240" w:lineRule="auto"/>
              <w:jc w:val="center"/>
              <w:rPr>
                <w:b/>
                <w:color w:val="000000" w:themeColor="text1"/>
              </w:rPr>
            </w:pPr>
            <w:r w:rsidRPr="00033A3F">
              <w:rPr>
                <w:b/>
                <w:color w:val="000000" w:themeColor="text1"/>
              </w:rPr>
              <w:t>42 %</w:t>
            </w:r>
          </w:p>
        </w:tc>
        <w:tc>
          <w:tcPr>
            <w:tcW w:w="1080" w:type="dxa"/>
            <w:tcBorders>
              <w:top w:val="nil"/>
              <w:left w:val="nil"/>
              <w:bottom w:val="double" w:sz="6" w:space="0" w:color="auto"/>
              <w:right w:val="nil"/>
            </w:tcBorders>
            <w:shd w:val="clear" w:color="auto" w:fill="auto"/>
            <w:noWrap/>
            <w:vAlign w:val="bottom"/>
            <w:hideMark/>
          </w:tcPr>
          <w:p w14:paraId="558E5E56" w14:textId="77777777" w:rsidR="00EE1E80" w:rsidRPr="00033A3F" w:rsidRDefault="00EE1E80" w:rsidP="00293866">
            <w:pPr>
              <w:spacing w:line="240" w:lineRule="auto"/>
              <w:jc w:val="center"/>
              <w:rPr>
                <w:b/>
                <w:color w:val="000000" w:themeColor="text1"/>
              </w:rPr>
            </w:pPr>
            <w:r w:rsidRPr="00033A3F">
              <w:rPr>
                <w:b/>
                <w:color w:val="000000" w:themeColor="text1"/>
              </w:rPr>
              <w:t>41 %</w:t>
            </w:r>
          </w:p>
        </w:tc>
      </w:tr>
    </w:tbl>
    <w:p w14:paraId="3290CCAD" w14:textId="77777777" w:rsidR="00EE1E80" w:rsidRPr="00033A3F" w:rsidRDefault="00EE1E80" w:rsidP="00EE1E80">
      <w:pPr>
        <w:rPr>
          <w:color w:val="000000" w:themeColor="text1"/>
        </w:rPr>
      </w:pPr>
    </w:p>
    <w:p w14:paraId="20FA00DA" w14:textId="615726F6" w:rsidR="00AC75EB" w:rsidRPr="00033A3F" w:rsidRDefault="00AC75EB">
      <w:pPr>
        <w:spacing w:after="160" w:line="259" w:lineRule="auto"/>
        <w:jc w:val="left"/>
        <w:rPr>
          <w:rFonts w:eastAsia="Times New Roman"/>
          <w:b/>
          <w:bCs/>
          <w:color w:val="000000" w:themeColor="text1"/>
        </w:rPr>
      </w:pPr>
      <w:r w:rsidRPr="00033A3F">
        <w:rPr>
          <w:color w:val="000000" w:themeColor="text1"/>
        </w:rPr>
        <w:br w:type="page"/>
      </w:r>
    </w:p>
    <w:p w14:paraId="2D1E38CA" w14:textId="11146A4E" w:rsidR="008430BD" w:rsidRPr="00033A3F" w:rsidRDefault="008430BD" w:rsidP="008430BD">
      <w:pPr>
        <w:pStyle w:val="Nadpis2"/>
        <w:numPr>
          <w:ilvl w:val="1"/>
          <w:numId w:val="1"/>
        </w:numPr>
        <w:spacing w:before="120"/>
      </w:pPr>
      <w:bookmarkStart w:id="742" w:name="_Ref511307913"/>
      <w:bookmarkStart w:id="743" w:name="_Toc515871236"/>
      <w:bookmarkStart w:id="744" w:name="_Toc106092733"/>
      <w:bookmarkStart w:id="745" w:name="_Toc169250817"/>
      <w:bookmarkStart w:id="746" w:name="_Toc193530979"/>
      <w:bookmarkStart w:id="747" w:name="_Toc193957035"/>
      <w:bookmarkStart w:id="748" w:name="_Toc203032725"/>
      <w:r w:rsidRPr="00033A3F">
        <w:lastRenderedPageBreak/>
        <w:t>Opatrovnická agenda</w:t>
      </w:r>
      <w:bookmarkEnd w:id="742"/>
      <w:bookmarkEnd w:id="743"/>
      <w:bookmarkEnd w:id="744"/>
      <w:bookmarkEnd w:id="745"/>
      <w:bookmarkEnd w:id="746"/>
      <w:bookmarkEnd w:id="747"/>
      <w:bookmarkEnd w:id="748"/>
    </w:p>
    <w:p w14:paraId="026A4C47" w14:textId="5138C15C" w:rsidR="00767615" w:rsidRPr="00033A3F" w:rsidRDefault="00767615" w:rsidP="00767615">
      <w:pPr>
        <w:pStyle w:val="OdstavecASR"/>
        <w:rPr>
          <w:color w:val="000000" w:themeColor="text1"/>
        </w:rPr>
      </w:pPr>
      <w:r w:rsidRPr="00033A3F">
        <w:rPr>
          <w:color w:val="000000" w:themeColor="text1"/>
        </w:rPr>
        <w:t xml:space="preserve">Z hlediska statistického vykazování je sledování opatrovnické agendy nejjednodušší. Ve statistickém pozorování ve výkazech totiž nedocházelo k žádným velkým změnám. Stejně jako u civilního řízení zahrnuje opatrovnická agenda několik rejstříků. Zdaleka nejvýznamnější, a pro soud časově i jinak nejnáročnější, je agenda zahrnující řízení ohledně svéprávnosti a opatrovnictví člověka, péče soudu o nezletilé </w:t>
      </w:r>
      <w:r w:rsidR="00270F86" w:rsidRPr="00033A3F">
        <w:rPr>
          <w:color w:val="000000" w:themeColor="text1"/>
        </w:rPr>
        <w:t>a související agenda</w:t>
      </w:r>
      <w:r w:rsidRPr="00033A3F">
        <w:rPr>
          <w:color w:val="000000" w:themeColor="text1"/>
        </w:rPr>
        <w:t>, tedy věci vedené v rejstříku P a Nc.</w:t>
      </w:r>
    </w:p>
    <w:p w14:paraId="643AB993" w14:textId="0F84FEF3" w:rsidR="008430BD" w:rsidRPr="00033A3F" w:rsidRDefault="008430BD" w:rsidP="008430BD">
      <w:pPr>
        <w:pStyle w:val="Nadpis3"/>
        <w:numPr>
          <w:ilvl w:val="2"/>
          <w:numId w:val="1"/>
        </w:numPr>
        <w:rPr>
          <w:color w:val="000000" w:themeColor="text1"/>
        </w:rPr>
      </w:pPr>
      <w:bookmarkStart w:id="749" w:name="_Toc515871237"/>
      <w:bookmarkStart w:id="750" w:name="_Toc106092734"/>
      <w:bookmarkStart w:id="751" w:name="_Toc169250818"/>
      <w:bookmarkStart w:id="752" w:name="_Toc193530980"/>
      <w:bookmarkStart w:id="753" w:name="_Toc193957036"/>
      <w:bookmarkStart w:id="754" w:name="_Toc203032726"/>
      <w:r w:rsidRPr="00033A3F">
        <w:rPr>
          <w:color w:val="000000" w:themeColor="text1"/>
        </w:rPr>
        <w:t>Délka řízení</w:t>
      </w:r>
      <w:bookmarkEnd w:id="749"/>
      <w:bookmarkEnd w:id="750"/>
      <w:bookmarkEnd w:id="751"/>
      <w:bookmarkEnd w:id="752"/>
      <w:bookmarkEnd w:id="753"/>
      <w:bookmarkEnd w:id="754"/>
    </w:p>
    <w:p w14:paraId="1065659C" w14:textId="71F2F2EC" w:rsidR="00767615" w:rsidRPr="00033A3F" w:rsidRDefault="00767615" w:rsidP="00767615">
      <w:pPr>
        <w:pStyle w:val="OdstavecASR"/>
        <w:rPr>
          <w:color w:val="000000" w:themeColor="text1"/>
        </w:rPr>
      </w:pPr>
      <w:r w:rsidRPr="00033A3F">
        <w:rPr>
          <w:color w:val="000000" w:themeColor="text1"/>
        </w:rPr>
        <w:t xml:space="preserve">Platí stejné poznámky jako u civilního řízení. Délku řízení tedy zjišťujeme ze statistických listů </w:t>
      </w:r>
      <w:r w:rsidR="00FC18BA" w:rsidRPr="00033A3F">
        <w:rPr>
          <w:color w:val="000000" w:themeColor="text1"/>
        </w:rPr>
        <w:t>(rozhodnutí soudu již nabylo právní moci)</w:t>
      </w:r>
      <w:r w:rsidRPr="00033A3F">
        <w:rPr>
          <w:color w:val="000000" w:themeColor="text1"/>
        </w:rPr>
        <w:t xml:space="preserve"> a uvádíme </w:t>
      </w:r>
      <w:r w:rsidR="00FC18BA" w:rsidRPr="00033A3F">
        <w:rPr>
          <w:color w:val="000000" w:themeColor="text1"/>
        </w:rPr>
        <w:t xml:space="preserve">ji </w:t>
      </w:r>
      <w:r w:rsidRPr="00033A3F">
        <w:rPr>
          <w:color w:val="000000" w:themeColor="text1"/>
        </w:rPr>
        <w:t>v kalendářních dnech ode dne nápadu do dne konečného vyřízení soudem I. stupně.</w:t>
      </w:r>
    </w:p>
    <w:p w14:paraId="1CF7CD04" w14:textId="0AD2F06A" w:rsidR="00767615" w:rsidRPr="00033A3F" w:rsidRDefault="00767615" w:rsidP="00767615">
      <w:pPr>
        <w:pStyle w:val="Podnadpis"/>
        <w:numPr>
          <w:ilvl w:val="0"/>
          <w:numId w:val="0"/>
        </w:numPr>
        <w:rPr>
          <w:color w:val="000000" w:themeColor="text1"/>
        </w:rPr>
      </w:pPr>
      <w:bookmarkStart w:id="755" w:name="_Toc515871365"/>
      <w:bookmarkStart w:id="756" w:name="_Toc11135097"/>
      <w:bookmarkStart w:id="757" w:name="_Toc43841415"/>
      <w:bookmarkStart w:id="758" w:name="_Toc75952218"/>
      <w:bookmarkStart w:id="759" w:name="_Toc106106670"/>
      <w:bookmarkStart w:id="760" w:name="_Toc144104145"/>
      <w:bookmarkStart w:id="761" w:name="_Toc169250955"/>
      <w:bookmarkStart w:id="762" w:name="_Toc174080641"/>
      <w:bookmarkStart w:id="763" w:name="_Toc193530793"/>
      <w:bookmarkStart w:id="764" w:name="_Toc193634067"/>
      <w:bookmarkStart w:id="765" w:name="_Toc203032865"/>
      <w:bookmarkStart w:id="766" w:name="_Hlk128560288"/>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38</w:t>
      </w:r>
      <w:r w:rsidRPr="00033A3F">
        <w:rPr>
          <w:noProof/>
          <w:color w:val="000000" w:themeColor="text1"/>
        </w:rPr>
        <w:fldChar w:fldCharType="end"/>
      </w:r>
      <w:r w:rsidRPr="00033A3F">
        <w:rPr>
          <w:color w:val="000000" w:themeColor="text1"/>
        </w:rPr>
        <w:t>: OS – délka řízení v opatrovnické agendě v letech 2015–20</w:t>
      </w:r>
      <w:bookmarkEnd w:id="755"/>
      <w:bookmarkEnd w:id="756"/>
      <w:bookmarkEnd w:id="757"/>
      <w:r w:rsidRPr="00033A3F">
        <w:rPr>
          <w:color w:val="000000" w:themeColor="text1"/>
        </w:rPr>
        <w:t>2</w:t>
      </w:r>
      <w:bookmarkEnd w:id="758"/>
      <w:bookmarkEnd w:id="759"/>
      <w:bookmarkEnd w:id="760"/>
      <w:bookmarkEnd w:id="761"/>
      <w:bookmarkEnd w:id="762"/>
      <w:r w:rsidRPr="00033A3F">
        <w:rPr>
          <w:color w:val="000000" w:themeColor="text1"/>
        </w:rPr>
        <w:t>4</w:t>
      </w:r>
      <w:bookmarkEnd w:id="763"/>
      <w:bookmarkEnd w:id="764"/>
      <w:bookmarkEnd w:id="765"/>
    </w:p>
    <w:bookmarkEnd w:id="766"/>
    <w:p w14:paraId="29A3C61C" w14:textId="105E41CC" w:rsidR="00767615" w:rsidRPr="00033A3F" w:rsidRDefault="00767615" w:rsidP="00767615">
      <w:pPr>
        <w:rPr>
          <w:color w:val="000000" w:themeColor="text1"/>
        </w:rPr>
      </w:pPr>
      <w:r w:rsidRPr="00033A3F">
        <w:rPr>
          <w:noProof/>
          <w:color w:val="000000" w:themeColor="text1"/>
          <w:lang w:eastAsia="cs-CZ"/>
        </w:rPr>
        <w:drawing>
          <wp:inline distT="0" distB="0" distL="0" distR="0" wp14:anchorId="692F359D" wp14:editId="1147F9C5">
            <wp:extent cx="5029200" cy="3657600"/>
            <wp:effectExtent l="0" t="0" r="0" b="0"/>
            <wp:docPr id="170932002"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53A9350" w14:textId="77777777" w:rsidR="00767615" w:rsidRPr="00033A3F" w:rsidRDefault="00767615" w:rsidP="00767615">
      <w:pPr>
        <w:rPr>
          <w:color w:val="000000" w:themeColor="text1"/>
        </w:rPr>
      </w:pPr>
    </w:p>
    <w:p w14:paraId="1C75ACD6" w14:textId="4A55C121" w:rsidR="00767615" w:rsidRPr="00033A3F" w:rsidRDefault="00767615" w:rsidP="00EE02A0">
      <w:pPr>
        <w:pStyle w:val="OdstavecASR"/>
        <w:rPr>
          <w:color w:val="000000" w:themeColor="text1"/>
        </w:rPr>
      </w:pPr>
      <w:r w:rsidRPr="00033A3F">
        <w:rPr>
          <w:color w:val="000000" w:themeColor="text1"/>
        </w:rPr>
        <w:t xml:space="preserve">Před </w:t>
      </w:r>
      <w:r w:rsidR="00270F86" w:rsidRPr="00033A3F">
        <w:rPr>
          <w:color w:val="000000" w:themeColor="text1"/>
        </w:rPr>
        <w:t xml:space="preserve">začátkem sledovaného období, tedy před </w:t>
      </w:r>
      <w:r w:rsidRPr="00033A3F">
        <w:rPr>
          <w:color w:val="000000" w:themeColor="text1"/>
        </w:rPr>
        <w:t>rokem 2015</w:t>
      </w:r>
      <w:r w:rsidR="00270F86" w:rsidRPr="00033A3F">
        <w:rPr>
          <w:color w:val="000000" w:themeColor="text1"/>
        </w:rPr>
        <w:t>,</w:t>
      </w:r>
      <w:r w:rsidRPr="00033A3F">
        <w:rPr>
          <w:color w:val="000000" w:themeColor="text1"/>
        </w:rPr>
        <w:t xml:space="preserve"> byla délka řízení velmi stabilní</w:t>
      </w:r>
      <w:r w:rsidR="00270F86" w:rsidRPr="00033A3F">
        <w:rPr>
          <w:color w:val="000000" w:themeColor="text1"/>
        </w:rPr>
        <w:t>.</w:t>
      </w:r>
      <w:r w:rsidRPr="00033A3F">
        <w:rPr>
          <w:color w:val="000000" w:themeColor="text1"/>
        </w:rPr>
        <w:t xml:space="preserve">  </w:t>
      </w:r>
      <w:r w:rsidR="00270F86" w:rsidRPr="00033A3F">
        <w:rPr>
          <w:color w:val="000000" w:themeColor="text1"/>
        </w:rPr>
        <w:t>V</w:t>
      </w:r>
      <w:r w:rsidRPr="00033A3F">
        <w:rPr>
          <w:color w:val="000000" w:themeColor="text1"/>
        </w:rPr>
        <w:t xml:space="preserve"> letech 2015 a 2016 pak došlo k náhlému nárůstu následovanému tříletým poklesem. Příčinu zmíněného nárůstu můžeme spatřovat především v nabytí účinnosti zákona č. 89/2012 Sb., občanský zákoník (o. z.), podle kterého bylo třeba do tří let přezkoumat všechny osoby, jež byly v předchozí době pravomocně zbaveny či omezeny ve způsobilosti k právním úkonům. Přibyly i další druhy rozhodování (podpůrná opatření při narušení schopnosti zletilého právně jednat apod.). </w:t>
      </w:r>
      <w:r w:rsidR="00EE02A0" w:rsidRPr="00033A3F">
        <w:rPr>
          <w:color w:val="000000" w:themeColor="text1"/>
        </w:rPr>
        <w:t>Podle zkušeností soudů nová agenda samozřejmě představovala dodatečnou zátěž. Hlavní problém ale spočíval ve vyhotovování znaleckých posudků potřebných pro přezkum svéprávnosti</w:t>
      </w:r>
      <w:r w:rsidR="009F2006" w:rsidRPr="00033A3F">
        <w:rPr>
          <w:color w:val="000000" w:themeColor="text1"/>
        </w:rPr>
        <w:t>.</w:t>
      </w:r>
    </w:p>
    <w:p w14:paraId="2C83ACAE" w14:textId="77777777" w:rsidR="00767615" w:rsidRPr="00033A3F" w:rsidRDefault="00767615" w:rsidP="00767615">
      <w:pPr>
        <w:pStyle w:val="OdstavecASR"/>
        <w:rPr>
          <w:color w:val="000000" w:themeColor="text1"/>
        </w:rPr>
      </w:pPr>
      <w:r w:rsidRPr="00033A3F">
        <w:rPr>
          <w:color w:val="000000" w:themeColor="text1"/>
        </w:rPr>
        <w:t>Délky řízení byly ovlivněny také skutečností, že v letech 2016 až 2018 převýšil počet vyřízených věcí počet věcí příchozích. Zdá se tedy, že výše popsané problémy v agendě, které nastaly po nabytí účinnosti o. z., se částečně podařilo vyřešit. Dílčí vliv může plynout i z opatření některých soudů k posílení opatrovnických oddělení.</w:t>
      </w:r>
    </w:p>
    <w:p w14:paraId="52845E7C" w14:textId="77777777" w:rsidR="00767615" w:rsidRPr="00033A3F" w:rsidRDefault="00767615" w:rsidP="00767615">
      <w:pPr>
        <w:pStyle w:val="OdstavecASR"/>
        <w:rPr>
          <w:color w:val="000000" w:themeColor="text1"/>
        </w:rPr>
      </w:pPr>
      <w:r w:rsidRPr="00033A3F">
        <w:rPr>
          <w:color w:val="000000" w:themeColor="text1"/>
        </w:rPr>
        <w:lastRenderedPageBreak/>
        <w:t>V roce 2020 opět došlo k mírnému růstu v délkách řízení, což opět teoreticky může souviset s pandemií COVID</w:t>
      </w:r>
      <w:r w:rsidRPr="00033A3F">
        <w:rPr>
          <w:color w:val="000000" w:themeColor="text1"/>
        </w:rPr>
        <w:noBreakHyphen/>
        <w:t>19, která činnost soudů zkomplikovala. Tuto teorii podporuje fakt, že medián vzrostl ve všech krajích a téměř ve všech krajích s výjimkou Severočeského vzrostl i percentil 90 a průměr.</w:t>
      </w:r>
    </w:p>
    <w:p w14:paraId="46444E7F" w14:textId="4373FA79" w:rsidR="00767615" w:rsidRPr="00033A3F" w:rsidRDefault="00767615" w:rsidP="00150C02">
      <w:pPr>
        <w:pStyle w:val="OdstavecASR"/>
        <w:rPr>
          <w:color w:val="000000" w:themeColor="text1"/>
        </w:rPr>
      </w:pPr>
      <w:r w:rsidRPr="00033A3F">
        <w:rPr>
          <w:color w:val="000000" w:themeColor="text1"/>
        </w:rPr>
        <w:t xml:space="preserve">V roce 2021 však průměr stagnoval, percentil 90 narostl a medián mírně klesl na úroveň v letech 2017 až 2019. Mírný pokles mediánu by stejně jako u civilního řízení mohl ukazovat, že se i přes pokračující pandemii soudy vrátily k běžnému fungování. V letech 2022 došlo k poklesu délek </w:t>
      </w:r>
      <w:r w:rsidR="00D56212" w:rsidRPr="00033A3F">
        <w:rPr>
          <w:color w:val="000000" w:themeColor="text1"/>
        </w:rPr>
        <w:t>zpět na úroveň let před nabytím účinnosti nového občanského zákoníku</w:t>
      </w:r>
      <w:r w:rsidR="009F2006" w:rsidRPr="00033A3F">
        <w:rPr>
          <w:color w:val="000000" w:themeColor="text1"/>
        </w:rPr>
        <w:t>,</w:t>
      </w:r>
      <w:r w:rsidR="00D56212" w:rsidRPr="00033A3F">
        <w:rPr>
          <w:color w:val="000000" w:themeColor="text1"/>
        </w:rPr>
        <w:t xml:space="preserve"> </w:t>
      </w:r>
      <w:r w:rsidRPr="00033A3F">
        <w:rPr>
          <w:color w:val="000000" w:themeColor="text1"/>
        </w:rPr>
        <w:t xml:space="preserve">v letech 2023 a 2024 </w:t>
      </w:r>
      <w:r w:rsidR="00270F86" w:rsidRPr="00033A3F">
        <w:rPr>
          <w:color w:val="000000" w:themeColor="text1"/>
        </w:rPr>
        <w:t xml:space="preserve">pak pouze k nevýrazným </w:t>
      </w:r>
      <w:r w:rsidRPr="00033A3F">
        <w:rPr>
          <w:color w:val="000000" w:themeColor="text1"/>
        </w:rPr>
        <w:t>změnám.</w:t>
      </w:r>
    </w:p>
    <w:p w14:paraId="7D1084C6" w14:textId="58E3D93A" w:rsidR="00767615" w:rsidRPr="00033A3F" w:rsidRDefault="00767615" w:rsidP="00767615">
      <w:pPr>
        <w:pStyle w:val="Podnadpis"/>
        <w:rPr>
          <w:color w:val="000000" w:themeColor="text1"/>
        </w:rPr>
      </w:pPr>
      <w:bookmarkStart w:id="767" w:name="_Toc515871460"/>
      <w:bookmarkStart w:id="768" w:name="_Toc11133228"/>
      <w:bookmarkStart w:id="769" w:name="_Toc43931201"/>
      <w:bookmarkStart w:id="770" w:name="_Toc75952333"/>
      <w:bookmarkStart w:id="771" w:name="_Toc106106790"/>
      <w:bookmarkStart w:id="772" w:name="_Toc144104269"/>
      <w:bookmarkStart w:id="773" w:name="_Toc169251085"/>
      <w:bookmarkStart w:id="774" w:name="_Toc174080771"/>
      <w:bookmarkStart w:id="775" w:name="_Toc193530902"/>
      <w:bookmarkStart w:id="776" w:name="_Toc194045597"/>
      <w:bookmarkStart w:id="777" w:name="_Toc199495007"/>
      <w:bookmarkStart w:id="778" w:name="_Toc203033067"/>
      <w:bookmarkStart w:id="779" w:name="_Toc203033145"/>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25</w:t>
      </w:r>
      <w:r w:rsidRPr="00033A3F">
        <w:rPr>
          <w:noProof/>
          <w:color w:val="000000" w:themeColor="text1"/>
        </w:rPr>
        <w:fldChar w:fldCharType="end"/>
      </w:r>
      <w:r w:rsidRPr="00033A3F">
        <w:rPr>
          <w:color w:val="000000" w:themeColor="text1"/>
        </w:rPr>
        <w:t>: OS – délky řízení v opatrovnické agendě dle krajů</w:t>
      </w:r>
      <w:bookmarkEnd w:id="767"/>
      <w:bookmarkEnd w:id="768"/>
      <w:bookmarkEnd w:id="769"/>
      <w:bookmarkEnd w:id="770"/>
      <w:bookmarkEnd w:id="771"/>
      <w:bookmarkEnd w:id="772"/>
      <w:r w:rsidRPr="00033A3F">
        <w:rPr>
          <w:color w:val="000000" w:themeColor="text1"/>
        </w:rPr>
        <w:t>, 202</w:t>
      </w:r>
      <w:bookmarkEnd w:id="773"/>
      <w:bookmarkEnd w:id="774"/>
      <w:r w:rsidRPr="00033A3F">
        <w:rPr>
          <w:color w:val="000000" w:themeColor="text1"/>
        </w:rPr>
        <w:t>4</w:t>
      </w:r>
      <w:bookmarkEnd w:id="775"/>
      <w:bookmarkEnd w:id="776"/>
      <w:bookmarkEnd w:id="777"/>
      <w:bookmarkEnd w:id="778"/>
      <w:bookmarkEnd w:id="779"/>
    </w:p>
    <w:tbl>
      <w:tblPr>
        <w:tblW w:w="7797" w:type="dxa"/>
        <w:tblCellMar>
          <w:left w:w="70" w:type="dxa"/>
          <w:right w:w="70" w:type="dxa"/>
        </w:tblCellMar>
        <w:tblLook w:val="04A0" w:firstRow="1" w:lastRow="0" w:firstColumn="1" w:lastColumn="0" w:noHBand="0" w:noVBand="1"/>
      </w:tblPr>
      <w:tblGrid>
        <w:gridCol w:w="2480"/>
        <w:gridCol w:w="922"/>
        <w:gridCol w:w="851"/>
        <w:gridCol w:w="850"/>
        <w:gridCol w:w="851"/>
        <w:gridCol w:w="992"/>
        <w:gridCol w:w="851"/>
      </w:tblGrid>
      <w:tr w:rsidR="00033A3F" w:rsidRPr="00033A3F" w14:paraId="6C995146"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6DC0221"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317" w:type="dxa"/>
            <w:gridSpan w:val="6"/>
            <w:tcBorders>
              <w:top w:val="double" w:sz="6" w:space="0" w:color="auto"/>
              <w:left w:val="nil"/>
              <w:bottom w:val="nil"/>
              <w:right w:val="nil"/>
            </w:tcBorders>
            <w:shd w:val="clear" w:color="auto" w:fill="auto"/>
            <w:noWrap/>
            <w:vAlign w:val="center"/>
            <w:hideMark/>
          </w:tcPr>
          <w:p w14:paraId="114A5B32"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4EDB4210" w14:textId="77777777" w:rsidTr="002C3E61">
        <w:trPr>
          <w:trHeight w:val="330"/>
        </w:trPr>
        <w:tc>
          <w:tcPr>
            <w:tcW w:w="2480" w:type="dxa"/>
            <w:vMerge/>
            <w:tcBorders>
              <w:top w:val="double" w:sz="6" w:space="0" w:color="auto"/>
              <w:left w:val="nil"/>
              <w:bottom w:val="double" w:sz="6" w:space="0" w:color="000000"/>
              <w:right w:val="nil"/>
            </w:tcBorders>
            <w:vAlign w:val="center"/>
            <w:hideMark/>
          </w:tcPr>
          <w:p w14:paraId="50CFC88A" w14:textId="77777777" w:rsidR="00150C02" w:rsidRPr="00033A3F" w:rsidRDefault="00150C02" w:rsidP="00150C02">
            <w:pPr>
              <w:spacing w:line="240" w:lineRule="auto"/>
              <w:jc w:val="left"/>
              <w:rPr>
                <w:rFonts w:eastAsia="Times New Roman"/>
                <w:b/>
                <w:bCs/>
                <w:color w:val="000000" w:themeColor="text1"/>
                <w:szCs w:val="24"/>
                <w:lang w:eastAsia="cs-CZ"/>
              </w:rPr>
            </w:pPr>
          </w:p>
        </w:tc>
        <w:tc>
          <w:tcPr>
            <w:tcW w:w="1773" w:type="dxa"/>
            <w:gridSpan w:val="2"/>
            <w:tcBorders>
              <w:top w:val="nil"/>
              <w:left w:val="nil"/>
              <w:bottom w:val="double" w:sz="6" w:space="0" w:color="auto"/>
              <w:right w:val="nil"/>
            </w:tcBorders>
            <w:shd w:val="clear" w:color="auto" w:fill="auto"/>
            <w:noWrap/>
            <w:vAlign w:val="center"/>
            <w:hideMark/>
          </w:tcPr>
          <w:p w14:paraId="4E4D355E"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70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3052BD2"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843" w:type="dxa"/>
            <w:gridSpan w:val="2"/>
            <w:tcBorders>
              <w:top w:val="nil"/>
              <w:left w:val="nil"/>
              <w:bottom w:val="double" w:sz="6" w:space="0" w:color="auto"/>
              <w:right w:val="nil"/>
            </w:tcBorders>
            <w:shd w:val="clear" w:color="auto" w:fill="auto"/>
            <w:noWrap/>
            <w:vAlign w:val="center"/>
            <w:hideMark/>
          </w:tcPr>
          <w:p w14:paraId="786ED481"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3687583E" w14:textId="77777777" w:rsidTr="002C3E61">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C8251A1"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3E8263F5"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117</w:t>
            </w:r>
          </w:p>
        </w:tc>
        <w:tc>
          <w:tcPr>
            <w:tcW w:w="851" w:type="dxa"/>
            <w:tcBorders>
              <w:top w:val="single" w:sz="4" w:space="0" w:color="auto"/>
              <w:left w:val="nil"/>
              <w:bottom w:val="single" w:sz="4" w:space="0" w:color="auto"/>
              <w:right w:val="nil"/>
            </w:tcBorders>
            <w:shd w:val="clear" w:color="auto" w:fill="auto"/>
            <w:noWrap/>
            <w:vAlign w:val="center"/>
            <w:hideMark/>
          </w:tcPr>
          <w:p w14:paraId="2B417902" w14:textId="547C2D26"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850" w:type="dxa"/>
            <w:tcBorders>
              <w:top w:val="nil"/>
              <w:left w:val="single" w:sz="4" w:space="0" w:color="auto"/>
              <w:bottom w:val="single" w:sz="4" w:space="0" w:color="auto"/>
              <w:right w:val="nil"/>
            </w:tcBorders>
            <w:shd w:val="clear" w:color="auto" w:fill="auto"/>
            <w:noWrap/>
            <w:vAlign w:val="bottom"/>
            <w:hideMark/>
          </w:tcPr>
          <w:p w14:paraId="09CC14C0"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w:t>
            </w:r>
          </w:p>
        </w:tc>
        <w:tc>
          <w:tcPr>
            <w:tcW w:w="851" w:type="dxa"/>
            <w:tcBorders>
              <w:top w:val="nil"/>
              <w:left w:val="nil"/>
              <w:bottom w:val="single" w:sz="4" w:space="0" w:color="auto"/>
              <w:right w:val="single" w:sz="4" w:space="0" w:color="auto"/>
            </w:tcBorders>
            <w:shd w:val="clear" w:color="auto" w:fill="auto"/>
            <w:noWrap/>
            <w:vAlign w:val="center"/>
            <w:hideMark/>
          </w:tcPr>
          <w:p w14:paraId="7544C71D" w14:textId="3ADCDC8D"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92" w:type="dxa"/>
            <w:tcBorders>
              <w:top w:val="single" w:sz="4" w:space="0" w:color="auto"/>
              <w:left w:val="nil"/>
              <w:bottom w:val="single" w:sz="4" w:space="0" w:color="auto"/>
              <w:right w:val="nil"/>
            </w:tcBorders>
            <w:shd w:val="clear" w:color="auto" w:fill="auto"/>
            <w:noWrap/>
            <w:vAlign w:val="bottom"/>
            <w:hideMark/>
          </w:tcPr>
          <w:p w14:paraId="6A979AAB"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251</w:t>
            </w:r>
          </w:p>
        </w:tc>
        <w:tc>
          <w:tcPr>
            <w:tcW w:w="851" w:type="dxa"/>
            <w:tcBorders>
              <w:top w:val="single" w:sz="4" w:space="0" w:color="auto"/>
              <w:left w:val="nil"/>
              <w:bottom w:val="single" w:sz="4" w:space="0" w:color="auto"/>
              <w:right w:val="nil"/>
            </w:tcBorders>
            <w:shd w:val="clear" w:color="auto" w:fill="auto"/>
            <w:noWrap/>
            <w:vAlign w:val="center"/>
            <w:hideMark/>
          </w:tcPr>
          <w:p w14:paraId="55158B21" w14:textId="4605ED95"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033A3F" w:rsidRPr="00033A3F" w14:paraId="4980B9A6"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0151018B"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1BB4DBC2"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w:t>
            </w:r>
          </w:p>
        </w:tc>
        <w:tc>
          <w:tcPr>
            <w:tcW w:w="851" w:type="dxa"/>
            <w:tcBorders>
              <w:top w:val="nil"/>
              <w:left w:val="nil"/>
              <w:bottom w:val="single" w:sz="4" w:space="0" w:color="auto"/>
              <w:right w:val="nil"/>
            </w:tcBorders>
            <w:shd w:val="clear" w:color="auto" w:fill="auto"/>
            <w:noWrap/>
            <w:vAlign w:val="center"/>
            <w:hideMark/>
          </w:tcPr>
          <w:p w14:paraId="045F660B" w14:textId="6C78373B"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850" w:type="dxa"/>
            <w:tcBorders>
              <w:top w:val="nil"/>
              <w:left w:val="single" w:sz="4" w:space="0" w:color="auto"/>
              <w:bottom w:val="single" w:sz="4" w:space="0" w:color="auto"/>
              <w:right w:val="nil"/>
            </w:tcBorders>
            <w:shd w:val="clear" w:color="auto" w:fill="auto"/>
            <w:noWrap/>
            <w:vAlign w:val="bottom"/>
            <w:hideMark/>
          </w:tcPr>
          <w:p w14:paraId="5ADA5454"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w:t>
            </w:r>
          </w:p>
        </w:tc>
        <w:tc>
          <w:tcPr>
            <w:tcW w:w="851" w:type="dxa"/>
            <w:tcBorders>
              <w:top w:val="nil"/>
              <w:left w:val="nil"/>
              <w:bottom w:val="single" w:sz="4" w:space="0" w:color="auto"/>
              <w:right w:val="single" w:sz="4" w:space="0" w:color="auto"/>
            </w:tcBorders>
            <w:shd w:val="clear" w:color="auto" w:fill="auto"/>
            <w:noWrap/>
            <w:vAlign w:val="center"/>
            <w:hideMark/>
          </w:tcPr>
          <w:p w14:paraId="04E1EFAD" w14:textId="5AEBC4EC"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92" w:type="dxa"/>
            <w:tcBorders>
              <w:top w:val="nil"/>
              <w:left w:val="nil"/>
              <w:bottom w:val="single" w:sz="4" w:space="0" w:color="auto"/>
              <w:right w:val="nil"/>
            </w:tcBorders>
            <w:shd w:val="clear" w:color="auto" w:fill="auto"/>
            <w:noWrap/>
            <w:vAlign w:val="bottom"/>
            <w:hideMark/>
          </w:tcPr>
          <w:p w14:paraId="6AB470D9"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196</w:t>
            </w:r>
          </w:p>
        </w:tc>
        <w:tc>
          <w:tcPr>
            <w:tcW w:w="851" w:type="dxa"/>
            <w:tcBorders>
              <w:top w:val="nil"/>
              <w:left w:val="nil"/>
              <w:bottom w:val="single" w:sz="4" w:space="0" w:color="auto"/>
              <w:right w:val="nil"/>
            </w:tcBorders>
            <w:shd w:val="clear" w:color="auto" w:fill="auto"/>
            <w:noWrap/>
            <w:vAlign w:val="center"/>
            <w:hideMark/>
          </w:tcPr>
          <w:p w14:paraId="275A2D18" w14:textId="21EE808E"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2AC7E7AE"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6A5EFD87"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59311748"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85</w:t>
            </w:r>
          </w:p>
        </w:tc>
        <w:tc>
          <w:tcPr>
            <w:tcW w:w="851" w:type="dxa"/>
            <w:tcBorders>
              <w:top w:val="nil"/>
              <w:left w:val="nil"/>
              <w:bottom w:val="single" w:sz="4" w:space="0" w:color="auto"/>
              <w:right w:val="nil"/>
            </w:tcBorders>
            <w:shd w:val="clear" w:color="auto" w:fill="auto"/>
            <w:noWrap/>
            <w:vAlign w:val="center"/>
            <w:hideMark/>
          </w:tcPr>
          <w:p w14:paraId="4B570CEE" w14:textId="55C693DD"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850" w:type="dxa"/>
            <w:tcBorders>
              <w:top w:val="nil"/>
              <w:left w:val="single" w:sz="4" w:space="0" w:color="auto"/>
              <w:bottom w:val="single" w:sz="4" w:space="0" w:color="auto"/>
              <w:right w:val="nil"/>
            </w:tcBorders>
            <w:shd w:val="clear" w:color="auto" w:fill="auto"/>
            <w:noWrap/>
            <w:vAlign w:val="bottom"/>
            <w:hideMark/>
          </w:tcPr>
          <w:p w14:paraId="6597F641"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w:t>
            </w:r>
          </w:p>
        </w:tc>
        <w:tc>
          <w:tcPr>
            <w:tcW w:w="851" w:type="dxa"/>
            <w:tcBorders>
              <w:top w:val="nil"/>
              <w:left w:val="nil"/>
              <w:bottom w:val="single" w:sz="4" w:space="0" w:color="auto"/>
              <w:right w:val="single" w:sz="4" w:space="0" w:color="auto"/>
            </w:tcBorders>
            <w:shd w:val="clear" w:color="auto" w:fill="auto"/>
            <w:noWrap/>
            <w:vAlign w:val="center"/>
            <w:hideMark/>
          </w:tcPr>
          <w:p w14:paraId="11CEF5C1" w14:textId="3E235BAE"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92" w:type="dxa"/>
            <w:tcBorders>
              <w:top w:val="nil"/>
              <w:left w:val="nil"/>
              <w:bottom w:val="single" w:sz="4" w:space="0" w:color="auto"/>
              <w:right w:val="nil"/>
            </w:tcBorders>
            <w:shd w:val="clear" w:color="auto" w:fill="auto"/>
            <w:noWrap/>
            <w:vAlign w:val="bottom"/>
            <w:hideMark/>
          </w:tcPr>
          <w:p w14:paraId="4BB6B44B"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179</w:t>
            </w:r>
          </w:p>
        </w:tc>
        <w:tc>
          <w:tcPr>
            <w:tcW w:w="851" w:type="dxa"/>
            <w:tcBorders>
              <w:top w:val="nil"/>
              <w:left w:val="nil"/>
              <w:bottom w:val="single" w:sz="4" w:space="0" w:color="auto"/>
              <w:right w:val="nil"/>
            </w:tcBorders>
            <w:shd w:val="clear" w:color="auto" w:fill="auto"/>
            <w:noWrap/>
            <w:vAlign w:val="center"/>
            <w:hideMark/>
          </w:tcPr>
          <w:p w14:paraId="3B2F9084" w14:textId="6D80E63E"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55630563"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520FBBE0"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40A76D05"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w:t>
            </w:r>
          </w:p>
        </w:tc>
        <w:tc>
          <w:tcPr>
            <w:tcW w:w="851" w:type="dxa"/>
            <w:tcBorders>
              <w:top w:val="nil"/>
              <w:left w:val="nil"/>
              <w:bottom w:val="single" w:sz="4" w:space="0" w:color="auto"/>
              <w:right w:val="nil"/>
            </w:tcBorders>
            <w:shd w:val="clear" w:color="auto" w:fill="auto"/>
            <w:noWrap/>
            <w:vAlign w:val="center"/>
            <w:hideMark/>
          </w:tcPr>
          <w:p w14:paraId="720E4130" w14:textId="050DD608"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850" w:type="dxa"/>
            <w:tcBorders>
              <w:top w:val="nil"/>
              <w:left w:val="single" w:sz="4" w:space="0" w:color="auto"/>
              <w:bottom w:val="single" w:sz="4" w:space="0" w:color="auto"/>
              <w:right w:val="nil"/>
            </w:tcBorders>
            <w:shd w:val="clear" w:color="auto" w:fill="auto"/>
            <w:noWrap/>
            <w:vAlign w:val="bottom"/>
            <w:hideMark/>
          </w:tcPr>
          <w:p w14:paraId="27E7CF9E"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w:t>
            </w:r>
          </w:p>
        </w:tc>
        <w:tc>
          <w:tcPr>
            <w:tcW w:w="851" w:type="dxa"/>
            <w:tcBorders>
              <w:top w:val="nil"/>
              <w:left w:val="nil"/>
              <w:bottom w:val="single" w:sz="4" w:space="0" w:color="auto"/>
              <w:right w:val="single" w:sz="4" w:space="0" w:color="auto"/>
            </w:tcBorders>
            <w:shd w:val="clear" w:color="auto" w:fill="auto"/>
            <w:noWrap/>
            <w:vAlign w:val="center"/>
            <w:hideMark/>
          </w:tcPr>
          <w:p w14:paraId="03149993" w14:textId="7ED8ADF8"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92" w:type="dxa"/>
            <w:tcBorders>
              <w:top w:val="nil"/>
              <w:left w:val="nil"/>
              <w:bottom w:val="single" w:sz="4" w:space="0" w:color="auto"/>
              <w:right w:val="nil"/>
            </w:tcBorders>
            <w:shd w:val="clear" w:color="auto" w:fill="auto"/>
            <w:noWrap/>
            <w:vAlign w:val="bottom"/>
            <w:hideMark/>
          </w:tcPr>
          <w:p w14:paraId="48544038"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247</w:t>
            </w:r>
          </w:p>
        </w:tc>
        <w:tc>
          <w:tcPr>
            <w:tcW w:w="851" w:type="dxa"/>
            <w:tcBorders>
              <w:top w:val="nil"/>
              <w:left w:val="nil"/>
              <w:bottom w:val="single" w:sz="4" w:space="0" w:color="auto"/>
              <w:right w:val="nil"/>
            </w:tcBorders>
            <w:shd w:val="clear" w:color="auto" w:fill="auto"/>
            <w:noWrap/>
            <w:vAlign w:val="center"/>
            <w:hideMark/>
          </w:tcPr>
          <w:p w14:paraId="63307771" w14:textId="599704B8"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033A3F" w:rsidRPr="00033A3F" w14:paraId="36D5F119"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52D290EA"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730E34B3"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w:t>
            </w:r>
          </w:p>
        </w:tc>
        <w:tc>
          <w:tcPr>
            <w:tcW w:w="851" w:type="dxa"/>
            <w:tcBorders>
              <w:top w:val="nil"/>
              <w:left w:val="nil"/>
              <w:bottom w:val="single" w:sz="4" w:space="0" w:color="auto"/>
              <w:right w:val="nil"/>
            </w:tcBorders>
            <w:shd w:val="clear" w:color="auto" w:fill="auto"/>
            <w:noWrap/>
            <w:vAlign w:val="center"/>
            <w:hideMark/>
          </w:tcPr>
          <w:p w14:paraId="0308B31D" w14:textId="119CE9FA"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850" w:type="dxa"/>
            <w:tcBorders>
              <w:top w:val="nil"/>
              <w:left w:val="single" w:sz="4" w:space="0" w:color="auto"/>
              <w:bottom w:val="single" w:sz="4" w:space="0" w:color="auto"/>
              <w:right w:val="nil"/>
            </w:tcBorders>
            <w:shd w:val="clear" w:color="auto" w:fill="auto"/>
            <w:noWrap/>
            <w:vAlign w:val="bottom"/>
            <w:hideMark/>
          </w:tcPr>
          <w:p w14:paraId="7FCC0B37"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w:t>
            </w:r>
          </w:p>
        </w:tc>
        <w:tc>
          <w:tcPr>
            <w:tcW w:w="851" w:type="dxa"/>
            <w:tcBorders>
              <w:top w:val="nil"/>
              <w:left w:val="nil"/>
              <w:bottom w:val="single" w:sz="4" w:space="0" w:color="auto"/>
              <w:right w:val="single" w:sz="4" w:space="0" w:color="auto"/>
            </w:tcBorders>
            <w:shd w:val="clear" w:color="auto" w:fill="auto"/>
            <w:noWrap/>
            <w:vAlign w:val="center"/>
            <w:hideMark/>
          </w:tcPr>
          <w:p w14:paraId="51D73937" w14:textId="4BC8DB36"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92" w:type="dxa"/>
            <w:tcBorders>
              <w:top w:val="nil"/>
              <w:left w:val="nil"/>
              <w:bottom w:val="single" w:sz="4" w:space="0" w:color="auto"/>
              <w:right w:val="nil"/>
            </w:tcBorders>
            <w:shd w:val="clear" w:color="auto" w:fill="auto"/>
            <w:noWrap/>
            <w:vAlign w:val="bottom"/>
            <w:hideMark/>
          </w:tcPr>
          <w:p w14:paraId="48BAC3AE"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246</w:t>
            </w:r>
          </w:p>
        </w:tc>
        <w:tc>
          <w:tcPr>
            <w:tcW w:w="851" w:type="dxa"/>
            <w:tcBorders>
              <w:top w:val="nil"/>
              <w:left w:val="nil"/>
              <w:bottom w:val="single" w:sz="4" w:space="0" w:color="auto"/>
              <w:right w:val="nil"/>
            </w:tcBorders>
            <w:shd w:val="clear" w:color="auto" w:fill="auto"/>
            <w:noWrap/>
            <w:vAlign w:val="center"/>
            <w:hideMark/>
          </w:tcPr>
          <w:p w14:paraId="3FF1B5BD" w14:textId="738E73B7"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0DE43839"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488F12F7"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33D76120"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117</w:t>
            </w:r>
          </w:p>
        </w:tc>
        <w:tc>
          <w:tcPr>
            <w:tcW w:w="851" w:type="dxa"/>
            <w:tcBorders>
              <w:top w:val="nil"/>
              <w:left w:val="nil"/>
              <w:bottom w:val="single" w:sz="4" w:space="0" w:color="auto"/>
              <w:right w:val="nil"/>
            </w:tcBorders>
            <w:shd w:val="clear" w:color="auto" w:fill="auto"/>
            <w:noWrap/>
            <w:vAlign w:val="center"/>
            <w:hideMark/>
          </w:tcPr>
          <w:p w14:paraId="68B5E8D5" w14:textId="3AFA3029"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850" w:type="dxa"/>
            <w:tcBorders>
              <w:top w:val="nil"/>
              <w:left w:val="single" w:sz="4" w:space="0" w:color="auto"/>
              <w:bottom w:val="single" w:sz="4" w:space="0" w:color="auto"/>
              <w:right w:val="nil"/>
            </w:tcBorders>
            <w:shd w:val="clear" w:color="auto" w:fill="auto"/>
            <w:noWrap/>
            <w:vAlign w:val="bottom"/>
            <w:hideMark/>
          </w:tcPr>
          <w:p w14:paraId="25B215E9"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w:t>
            </w:r>
          </w:p>
        </w:tc>
        <w:tc>
          <w:tcPr>
            <w:tcW w:w="851" w:type="dxa"/>
            <w:tcBorders>
              <w:top w:val="nil"/>
              <w:left w:val="nil"/>
              <w:bottom w:val="single" w:sz="4" w:space="0" w:color="auto"/>
              <w:right w:val="single" w:sz="4" w:space="0" w:color="auto"/>
            </w:tcBorders>
            <w:shd w:val="clear" w:color="auto" w:fill="auto"/>
            <w:noWrap/>
            <w:vAlign w:val="center"/>
            <w:hideMark/>
          </w:tcPr>
          <w:p w14:paraId="3BFF6004" w14:textId="2B167853"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92" w:type="dxa"/>
            <w:tcBorders>
              <w:top w:val="nil"/>
              <w:left w:val="nil"/>
              <w:bottom w:val="single" w:sz="4" w:space="0" w:color="auto"/>
              <w:right w:val="nil"/>
            </w:tcBorders>
            <w:shd w:val="clear" w:color="auto" w:fill="auto"/>
            <w:noWrap/>
            <w:vAlign w:val="bottom"/>
            <w:hideMark/>
          </w:tcPr>
          <w:p w14:paraId="4F134129"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267</w:t>
            </w:r>
          </w:p>
        </w:tc>
        <w:tc>
          <w:tcPr>
            <w:tcW w:w="851" w:type="dxa"/>
            <w:tcBorders>
              <w:top w:val="nil"/>
              <w:left w:val="nil"/>
              <w:bottom w:val="single" w:sz="4" w:space="0" w:color="auto"/>
              <w:right w:val="nil"/>
            </w:tcBorders>
            <w:shd w:val="clear" w:color="auto" w:fill="auto"/>
            <w:noWrap/>
            <w:vAlign w:val="center"/>
            <w:hideMark/>
          </w:tcPr>
          <w:p w14:paraId="30B79537" w14:textId="1812E36B"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033A3F" w:rsidRPr="00033A3F" w14:paraId="29EADDEE"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074DA300"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4872E4A2"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133</w:t>
            </w:r>
          </w:p>
        </w:tc>
        <w:tc>
          <w:tcPr>
            <w:tcW w:w="851" w:type="dxa"/>
            <w:tcBorders>
              <w:top w:val="nil"/>
              <w:left w:val="nil"/>
              <w:bottom w:val="single" w:sz="4" w:space="0" w:color="auto"/>
              <w:right w:val="nil"/>
            </w:tcBorders>
            <w:shd w:val="clear" w:color="auto" w:fill="auto"/>
            <w:noWrap/>
            <w:vAlign w:val="center"/>
            <w:hideMark/>
          </w:tcPr>
          <w:p w14:paraId="7AB9E614" w14:textId="27AB3C7D"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850" w:type="dxa"/>
            <w:tcBorders>
              <w:top w:val="nil"/>
              <w:left w:val="single" w:sz="4" w:space="0" w:color="auto"/>
              <w:bottom w:val="single" w:sz="4" w:space="0" w:color="auto"/>
              <w:right w:val="nil"/>
            </w:tcBorders>
            <w:shd w:val="clear" w:color="auto" w:fill="auto"/>
            <w:noWrap/>
            <w:vAlign w:val="bottom"/>
            <w:hideMark/>
          </w:tcPr>
          <w:p w14:paraId="48BC7531"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w:t>
            </w:r>
          </w:p>
        </w:tc>
        <w:tc>
          <w:tcPr>
            <w:tcW w:w="851" w:type="dxa"/>
            <w:tcBorders>
              <w:top w:val="nil"/>
              <w:left w:val="nil"/>
              <w:bottom w:val="single" w:sz="4" w:space="0" w:color="auto"/>
              <w:right w:val="single" w:sz="4" w:space="0" w:color="auto"/>
            </w:tcBorders>
            <w:shd w:val="clear" w:color="auto" w:fill="auto"/>
            <w:noWrap/>
            <w:vAlign w:val="center"/>
            <w:hideMark/>
          </w:tcPr>
          <w:p w14:paraId="00E8B03F" w14:textId="6F3C5F39"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2" w:type="dxa"/>
            <w:tcBorders>
              <w:top w:val="nil"/>
              <w:left w:val="nil"/>
              <w:bottom w:val="single" w:sz="4" w:space="0" w:color="auto"/>
              <w:right w:val="nil"/>
            </w:tcBorders>
            <w:shd w:val="clear" w:color="auto" w:fill="auto"/>
            <w:noWrap/>
            <w:vAlign w:val="bottom"/>
            <w:hideMark/>
          </w:tcPr>
          <w:p w14:paraId="79BE1363"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276</w:t>
            </w:r>
          </w:p>
        </w:tc>
        <w:tc>
          <w:tcPr>
            <w:tcW w:w="851" w:type="dxa"/>
            <w:tcBorders>
              <w:top w:val="nil"/>
              <w:left w:val="nil"/>
              <w:bottom w:val="single" w:sz="4" w:space="0" w:color="auto"/>
              <w:right w:val="nil"/>
            </w:tcBorders>
            <w:shd w:val="clear" w:color="auto" w:fill="auto"/>
            <w:noWrap/>
            <w:vAlign w:val="center"/>
            <w:hideMark/>
          </w:tcPr>
          <w:p w14:paraId="0BFAA725" w14:textId="7A1E0969"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7F5C43CE" w14:textId="77777777" w:rsidTr="002C3E61">
        <w:trPr>
          <w:trHeight w:val="330"/>
        </w:trPr>
        <w:tc>
          <w:tcPr>
            <w:tcW w:w="2480" w:type="dxa"/>
            <w:tcBorders>
              <w:top w:val="nil"/>
              <w:left w:val="nil"/>
              <w:bottom w:val="double" w:sz="6" w:space="0" w:color="auto"/>
              <w:right w:val="nil"/>
            </w:tcBorders>
            <w:shd w:val="clear" w:color="auto" w:fill="auto"/>
            <w:noWrap/>
            <w:vAlign w:val="bottom"/>
            <w:hideMark/>
          </w:tcPr>
          <w:p w14:paraId="3250C2BC"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5F4B86E1"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122</w:t>
            </w:r>
          </w:p>
        </w:tc>
        <w:tc>
          <w:tcPr>
            <w:tcW w:w="851" w:type="dxa"/>
            <w:tcBorders>
              <w:top w:val="nil"/>
              <w:left w:val="nil"/>
              <w:bottom w:val="double" w:sz="6" w:space="0" w:color="auto"/>
              <w:right w:val="nil"/>
            </w:tcBorders>
            <w:shd w:val="clear" w:color="auto" w:fill="auto"/>
            <w:noWrap/>
            <w:vAlign w:val="center"/>
            <w:hideMark/>
          </w:tcPr>
          <w:p w14:paraId="6F8244BF" w14:textId="6D5BFD26"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850" w:type="dxa"/>
            <w:tcBorders>
              <w:top w:val="nil"/>
              <w:left w:val="single" w:sz="4" w:space="0" w:color="auto"/>
              <w:bottom w:val="double" w:sz="6" w:space="0" w:color="auto"/>
              <w:right w:val="nil"/>
            </w:tcBorders>
            <w:shd w:val="clear" w:color="auto" w:fill="auto"/>
            <w:noWrap/>
            <w:vAlign w:val="bottom"/>
            <w:hideMark/>
          </w:tcPr>
          <w:p w14:paraId="73943983"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86</w:t>
            </w:r>
          </w:p>
        </w:tc>
        <w:tc>
          <w:tcPr>
            <w:tcW w:w="851" w:type="dxa"/>
            <w:tcBorders>
              <w:top w:val="nil"/>
              <w:left w:val="nil"/>
              <w:bottom w:val="double" w:sz="6" w:space="0" w:color="auto"/>
              <w:right w:val="single" w:sz="4" w:space="0" w:color="auto"/>
            </w:tcBorders>
            <w:shd w:val="clear" w:color="auto" w:fill="auto"/>
            <w:noWrap/>
            <w:vAlign w:val="center"/>
            <w:hideMark/>
          </w:tcPr>
          <w:p w14:paraId="186F469C" w14:textId="7D0B8C51"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2" w:type="dxa"/>
            <w:tcBorders>
              <w:top w:val="nil"/>
              <w:left w:val="nil"/>
              <w:bottom w:val="double" w:sz="6" w:space="0" w:color="auto"/>
              <w:right w:val="nil"/>
            </w:tcBorders>
            <w:shd w:val="clear" w:color="auto" w:fill="auto"/>
            <w:noWrap/>
            <w:vAlign w:val="bottom"/>
            <w:hideMark/>
          </w:tcPr>
          <w:p w14:paraId="7FF4976C"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245</w:t>
            </w:r>
          </w:p>
        </w:tc>
        <w:tc>
          <w:tcPr>
            <w:tcW w:w="851" w:type="dxa"/>
            <w:tcBorders>
              <w:top w:val="nil"/>
              <w:left w:val="nil"/>
              <w:bottom w:val="double" w:sz="6" w:space="0" w:color="auto"/>
              <w:right w:val="nil"/>
            </w:tcBorders>
            <w:shd w:val="clear" w:color="auto" w:fill="auto"/>
            <w:noWrap/>
            <w:vAlign w:val="center"/>
            <w:hideMark/>
          </w:tcPr>
          <w:p w14:paraId="656218BF" w14:textId="3F1306D2"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03E0C813" w14:textId="77777777" w:rsidTr="002C3E61">
        <w:trPr>
          <w:trHeight w:val="345"/>
        </w:trPr>
        <w:tc>
          <w:tcPr>
            <w:tcW w:w="2480" w:type="dxa"/>
            <w:tcBorders>
              <w:top w:val="nil"/>
              <w:left w:val="nil"/>
              <w:bottom w:val="double" w:sz="6" w:space="0" w:color="auto"/>
              <w:right w:val="nil"/>
            </w:tcBorders>
            <w:shd w:val="clear" w:color="auto" w:fill="auto"/>
            <w:noWrap/>
            <w:vAlign w:val="bottom"/>
            <w:hideMark/>
          </w:tcPr>
          <w:p w14:paraId="11A22FAC" w14:textId="77777777" w:rsidR="00150C02" w:rsidRPr="00033A3F" w:rsidRDefault="00150C02" w:rsidP="00150C0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160B9A73"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114</w:t>
            </w:r>
          </w:p>
        </w:tc>
        <w:tc>
          <w:tcPr>
            <w:tcW w:w="851" w:type="dxa"/>
            <w:tcBorders>
              <w:top w:val="nil"/>
              <w:left w:val="nil"/>
              <w:bottom w:val="double" w:sz="6" w:space="0" w:color="auto"/>
              <w:right w:val="nil"/>
            </w:tcBorders>
            <w:shd w:val="clear" w:color="auto" w:fill="auto"/>
            <w:noWrap/>
            <w:vAlign w:val="center"/>
            <w:hideMark/>
          </w:tcPr>
          <w:p w14:paraId="5630F3C2" w14:textId="57F988D2" w:rsidR="00150C02" w:rsidRPr="00033A3F" w:rsidRDefault="00150C02"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c>
          <w:tcPr>
            <w:tcW w:w="850" w:type="dxa"/>
            <w:tcBorders>
              <w:top w:val="nil"/>
              <w:left w:val="single" w:sz="4" w:space="0" w:color="auto"/>
              <w:bottom w:val="double" w:sz="6" w:space="0" w:color="auto"/>
              <w:right w:val="nil"/>
            </w:tcBorders>
            <w:shd w:val="clear" w:color="auto" w:fill="auto"/>
            <w:noWrap/>
            <w:vAlign w:val="bottom"/>
            <w:hideMark/>
          </w:tcPr>
          <w:p w14:paraId="2F044C58"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75</w:t>
            </w:r>
          </w:p>
        </w:tc>
        <w:tc>
          <w:tcPr>
            <w:tcW w:w="851" w:type="dxa"/>
            <w:tcBorders>
              <w:top w:val="nil"/>
              <w:left w:val="nil"/>
              <w:bottom w:val="double" w:sz="6" w:space="0" w:color="auto"/>
              <w:right w:val="single" w:sz="4" w:space="0" w:color="auto"/>
            </w:tcBorders>
            <w:shd w:val="clear" w:color="auto" w:fill="auto"/>
            <w:noWrap/>
            <w:vAlign w:val="center"/>
            <w:hideMark/>
          </w:tcPr>
          <w:p w14:paraId="52F190E7" w14:textId="1B02B4A9" w:rsidR="00150C02" w:rsidRPr="00033A3F" w:rsidRDefault="00150C02"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992" w:type="dxa"/>
            <w:tcBorders>
              <w:top w:val="nil"/>
              <w:left w:val="nil"/>
              <w:bottom w:val="double" w:sz="6" w:space="0" w:color="auto"/>
              <w:right w:val="nil"/>
            </w:tcBorders>
            <w:shd w:val="clear" w:color="auto" w:fill="auto"/>
            <w:noWrap/>
            <w:vAlign w:val="bottom"/>
            <w:hideMark/>
          </w:tcPr>
          <w:p w14:paraId="1850CBF5"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243</w:t>
            </w:r>
          </w:p>
        </w:tc>
        <w:tc>
          <w:tcPr>
            <w:tcW w:w="851" w:type="dxa"/>
            <w:tcBorders>
              <w:top w:val="nil"/>
              <w:left w:val="nil"/>
              <w:bottom w:val="double" w:sz="6" w:space="0" w:color="auto"/>
              <w:right w:val="nil"/>
            </w:tcBorders>
            <w:shd w:val="clear" w:color="auto" w:fill="auto"/>
            <w:noWrap/>
            <w:vAlign w:val="center"/>
            <w:hideMark/>
          </w:tcPr>
          <w:p w14:paraId="6EAD27E7" w14:textId="51D97F1A" w:rsidR="00150C02" w:rsidRPr="00033A3F" w:rsidRDefault="00150C02"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r>
      <w:tr w:rsidR="00033A3F" w:rsidRPr="00033A3F" w14:paraId="23111623" w14:textId="77777777" w:rsidTr="002C3E61">
        <w:trPr>
          <w:trHeight w:val="330"/>
        </w:trPr>
        <w:tc>
          <w:tcPr>
            <w:tcW w:w="2480" w:type="dxa"/>
            <w:tcBorders>
              <w:top w:val="nil"/>
              <w:left w:val="nil"/>
              <w:bottom w:val="nil"/>
              <w:right w:val="nil"/>
            </w:tcBorders>
            <w:shd w:val="clear" w:color="auto" w:fill="auto"/>
            <w:noWrap/>
            <w:vAlign w:val="bottom"/>
            <w:hideMark/>
          </w:tcPr>
          <w:p w14:paraId="61683DD1" w14:textId="77777777" w:rsidR="00150C02" w:rsidRPr="00033A3F" w:rsidRDefault="00150C02" w:rsidP="00150C02">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77186E9D"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7F586841"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850" w:type="dxa"/>
            <w:tcBorders>
              <w:top w:val="nil"/>
              <w:left w:val="nil"/>
              <w:bottom w:val="nil"/>
              <w:right w:val="nil"/>
            </w:tcBorders>
            <w:shd w:val="clear" w:color="auto" w:fill="auto"/>
            <w:noWrap/>
            <w:vAlign w:val="bottom"/>
            <w:hideMark/>
          </w:tcPr>
          <w:p w14:paraId="7DA4831D"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2B46F954"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992" w:type="dxa"/>
            <w:tcBorders>
              <w:top w:val="nil"/>
              <w:left w:val="nil"/>
              <w:bottom w:val="nil"/>
              <w:right w:val="nil"/>
            </w:tcBorders>
            <w:shd w:val="clear" w:color="auto" w:fill="auto"/>
            <w:noWrap/>
            <w:vAlign w:val="bottom"/>
            <w:hideMark/>
          </w:tcPr>
          <w:p w14:paraId="5CD7E6DA"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61C02324"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r>
    </w:tbl>
    <w:p w14:paraId="4C0EBC43" w14:textId="70CC766E" w:rsidR="00150C02" w:rsidRPr="00033A3F" w:rsidRDefault="00150C02" w:rsidP="00150C02">
      <w:pPr>
        <w:pStyle w:val="OdstavecASR"/>
        <w:rPr>
          <w:color w:val="000000" w:themeColor="text1"/>
        </w:rPr>
      </w:pPr>
      <w:bookmarkStart w:id="780" w:name="_Toc75952219"/>
      <w:bookmarkStart w:id="781" w:name="_Toc106106671"/>
      <w:bookmarkStart w:id="782" w:name="_Toc109801995"/>
      <w:bookmarkStart w:id="783" w:name="_Toc144104146"/>
      <w:bookmarkStart w:id="784" w:name="_Toc169250956"/>
      <w:bookmarkStart w:id="785" w:name="_Toc174080642"/>
      <w:r w:rsidRPr="00033A3F">
        <w:rPr>
          <w:color w:val="000000" w:themeColor="text1"/>
        </w:rPr>
        <w:t xml:space="preserve">Z tabulky a kartogramu vyplývá, že situace v opatrovnické agendě je podobná, ne </w:t>
      </w:r>
      <w:r w:rsidR="00270F86" w:rsidRPr="00033A3F">
        <w:rPr>
          <w:color w:val="000000" w:themeColor="text1"/>
        </w:rPr>
        <w:t xml:space="preserve">však zcela </w:t>
      </w:r>
      <w:r w:rsidRPr="00033A3F">
        <w:rPr>
          <w:color w:val="000000" w:themeColor="text1"/>
        </w:rPr>
        <w:t xml:space="preserve">stejná jako v agendě občanskoprávní. Nejvyšší délky řízení v 2024 vykázaly soudy v Jihomoravském kraji. Celkově lze </w:t>
      </w:r>
      <w:r w:rsidR="005333F2" w:rsidRPr="00033A3F">
        <w:rPr>
          <w:color w:val="000000" w:themeColor="text1"/>
        </w:rPr>
        <w:t>však</w:t>
      </w:r>
      <w:r w:rsidRPr="00033A3F">
        <w:rPr>
          <w:color w:val="000000" w:themeColor="text1"/>
        </w:rPr>
        <w:t xml:space="preserve"> konstatovat, že mezi kraji nejsou nyní příliš velké rozdíly. Délky v opatrovnických řízeních jsou oproti civilnímu řízení přibližně poloviční. Nejrychleji vyřizovaly opatrovnickou agendu v roce </w:t>
      </w:r>
      <w:r w:rsidR="00501578" w:rsidRPr="00033A3F">
        <w:rPr>
          <w:color w:val="000000" w:themeColor="text1"/>
        </w:rPr>
        <w:t xml:space="preserve">2024 </w:t>
      </w:r>
      <w:r w:rsidRPr="00033A3F">
        <w:rPr>
          <w:color w:val="000000" w:themeColor="text1"/>
        </w:rPr>
        <w:t xml:space="preserve">OS </w:t>
      </w:r>
      <w:r w:rsidR="002031A3" w:rsidRPr="00033A3F">
        <w:rPr>
          <w:color w:val="000000" w:themeColor="text1"/>
        </w:rPr>
        <w:t>Kutná Hora</w:t>
      </w:r>
      <w:r w:rsidRPr="00033A3F">
        <w:rPr>
          <w:color w:val="000000" w:themeColor="text1"/>
        </w:rPr>
        <w:t xml:space="preserve"> (mediánová délka řízení 3</w:t>
      </w:r>
      <w:r w:rsidR="002031A3" w:rsidRPr="00033A3F">
        <w:rPr>
          <w:color w:val="000000" w:themeColor="text1"/>
        </w:rPr>
        <w:t>3</w:t>
      </w:r>
      <w:r w:rsidRPr="00033A3F">
        <w:rPr>
          <w:color w:val="000000" w:themeColor="text1"/>
        </w:rPr>
        <w:t xml:space="preserve"> dnů), OS </w:t>
      </w:r>
      <w:r w:rsidR="002031A3" w:rsidRPr="00033A3F">
        <w:rPr>
          <w:color w:val="000000" w:themeColor="text1"/>
        </w:rPr>
        <w:t>Svitavy</w:t>
      </w:r>
      <w:r w:rsidR="002C3E61" w:rsidRPr="00033A3F">
        <w:rPr>
          <w:color w:val="000000" w:themeColor="text1"/>
        </w:rPr>
        <w:t xml:space="preserve"> </w:t>
      </w:r>
      <w:r w:rsidRPr="00033A3F">
        <w:rPr>
          <w:color w:val="000000" w:themeColor="text1"/>
        </w:rPr>
        <w:t>(3</w:t>
      </w:r>
      <w:r w:rsidR="002031A3" w:rsidRPr="00033A3F">
        <w:rPr>
          <w:color w:val="000000" w:themeColor="text1"/>
        </w:rPr>
        <w:t>4</w:t>
      </w:r>
      <w:r w:rsidRPr="00033A3F">
        <w:rPr>
          <w:color w:val="000000" w:themeColor="text1"/>
        </w:rPr>
        <w:t xml:space="preserve"> dnů) a OS Domažlice (3</w:t>
      </w:r>
      <w:r w:rsidR="002031A3" w:rsidRPr="00033A3F">
        <w:rPr>
          <w:color w:val="000000" w:themeColor="text1"/>
        </w:rPr>
        <w:t>6</w:t>
      </w:r>
      <w:r w:rsidRPr="00033A3F">
        <w:rPr>
          <w:color w:val="000000" w:themeColor="text1"/>
        </w:rPr>
        <w:t xml:space="preserve"> dnů). Naopak nejpomalejší </w:t>
      </w:r>
      <w:r w:rsidR="00270F86" w:rsidRPr="00033A3F">
        <w:rPr>
          <w:color w:val="000000" w:themeColor="text1"/>
        </w:rPr>
        <w:t>byl</w:t>
      </w:r>
      <w:r w:rsidRPr="00033A3F">
        <w:rPr>
          <w:color w:val="000000" w:themeColor="text1"/>
        </w:rPr>
        <w:t xml:space="preserve"> OS Plzeň-sever, kde je mediánová délka řízení </w:t>
      </w:r>
      <w:r w:rsidR="002031A3" w:rsidRPr="00033A3F">
        <w:rPr>
          <w:color w:val="000000" w:themeColor="text1"/>
        </w:rPr>
        <w:t>158</w:t>
      </w:r>
      <w:r w:rsidR="006E1F5B" w:rsidRPr="00033A3F">
        <w:rPr>
          <w:color w:val="000000" w:themeColor="text1"/>
        </w:rPr>
        <w:t> </w:t>
      </w:r>
      <w:r w:rsidRPr="00033A3F">
        <w:rPr>
          <w:color w:val="000000" w:themeColor="text1"/>
        </w:rPr>
        <w:t xml:space="preserve">dnů. Následuje </w:t>
      </w:r>
      <w:r w:rsidR="002031A3" w:rsidRPr="00033A3F">
        <w:rPr>
          <w:color w:val="000000" w:themeColor="text1"/>
        </w:rPr>
        <w:t xml:space="preserve">OS Jičín (128 dnů) a </w:t>
      </w:r>
      <w:r w:rsidRPr="00033A3F">
        <w:rPr>
          <w:color w:val="000000" w:themeColor="text1"/>
        </w:rPr>
        <w:t>OS Brno-město (12</w:t>
      </w:r>
      <w:r w:rsidR="002031A3" w:rsidRPr="00033A3F">
        <w:rPr>
          <w:color w:val="000000" w:themeColor="text1"/>
        </w:rPr>
        <w:t>5</w:t>
      </w:r>
      <w:r w:rsidRPr="00033A3F">
        <w:rPr>
          <w:color w:val="000000" w:themeColor="text1"/>
        </w:rPr>
        <w:t> dnů).</w:t>
      </w:r>
    </w:p>
    <w:p w14:paraId="1A7EFBAD" w14:textId="3CE86674" w:rsidR="00150C02" w:rsidRPr="00033A3F" w:rsidRDefault="009E1142" w:rsidP="00150C02">
      <w:pPr>
        <w:pStyle w:val="Podnadpis"/>
        <w:rPr>
          <w:color w:val="000000" w:themeColor="text1"/>
        </w:rPr>
      </w:pPr>
      <w:bookmarkStart w:id="786" w:name="_Toc193530794"/>
      <w:bookmarkStart w:id="787" w:name="_Toc193634068"/>
      <w:bookmarkStart w:id="788" w:name="_Toc203032866"/>
      <w:r w:rsidRPr="00033A3F">
        <w:rPr>
          <w:noProof/>
          <w:color w:val="000000" w:themeColor="text1"/>
          <w:lang w:eastAsia="cs-CZ"/>
        </w:rPr>
        <w:lastRenderedPageBreak/>
        <w:drawing>
          <wp:anchor distT="0" distB="0" distL="114300" distR="114300" simplePos="0" relativeHeight="251692032" behindDoc="0" locked="0" layoutInCell="1" allowOverlap="1" wp14:anchorId="38B53A8F" wp14:editId="196916E7">
            <wp:simplePos x="0" y="0"/>
            <wp:positionH relativeFrom="margin">
              <wp:posOffset>4509771</wp:posOffset>
            </wp:positionH>
            <wp:positionV relativeFrom="paragraph">
              <wp:posOffset>175260</wp:posOffset>
            </wp:positionV>
            <wp:extent cx="1252220" cy="910705"/>
            <wp:effectExtent l="0" t="0" r="5080" b="3810"/>
            <wp:wrapNone/>
            <wp:docPr id="1834858999"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55226" cy="9128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0C02" w:rsidRPr="00033A3F">
        <w:rPr>
          <w:color w:val="000000" w:themeColor="text1"/>
        </w:rPr>
        <w:t xml:space="preserve">Graf </w:t>
      </w:r>
      <w:r w:rsidR="00150C02" w:rsidRPr="00033A3F">
        <w:rPr>
          <w:color w:val="000000" w:themeColor="text1"/>
        </w:rPr>
        <w:fldChar w:fldCharType="begin"/>
      </w:r>
      <w:r w:rsidR="00150C02" w:rsidRPr="00033A3F">
        <w:rPr>
          <w:color w:val="000000" w:themeColor="text1"/>
        </w:rPr>
        <w:instrText xml:space="preserve"> SEQ Graf \* ARABIC </w:instrText>
      </w:r>
      <w:r w:rsidR="00150C02" w:rsidRPr="00033A3F">
        <w:rPr>
          <w:color w:val="000000" w:themeColor="text1"/>
        </w:rPr>
        <w:fldChar w:fldCharType="separate"/>
      </w:r>
      <w:r w:rsidR="00163B51">
        <w:rPr>
          <w:noProof/>
          <w:color w:val="000000" w:themeColor="text1"/>
        </w:rPr>
        <w:t>39</w:t>
      </w:r>
      <w:r w:rsidR="00150C02" w:rsidRPr="00033A3F">
        <w:rPr>
          <w:color w:val="000000" w:themeColor="text1"/>
        </w:rPr>
        <w:fldChar w:fldCharType="end"/>
      </w:r>
      <w:r w:rsidR="00150C02" w:rsidRPr="00033A3F">
        <w:rPr>
          <w:color w:val="000000" w:themeColor="text1"/>
        </w:rPr>
        <w:t>: OS – mediánové délky opatrov. řízení u jednotlivých soudů</w:t>
      </w:r>
      <w:bookmarkEnd w:id="780"/>
      <w:bookmarkEnd w:id="781"/>
      <w:bookmarkEnd w:id="782"/>
      <w:bookmarkEnd w:id="783"/>
      <w:r w:rsidR="00150C02" w:rsidRPr="00033A3F">
        <w:rPr>
          <w:color w:val="000000" w:themeColor="text1"/>
        </w:rPr>
        <w:t>, 202</w:t>
      </w:r>
      <w:bookmarkEnd w:id="784"/>
      <w:bookmarkEnd w:id="785"/>
      <w:r w:rsidR="00150C02" w:rsidRPr="00033A3F">
        <w:rPr>
          <w:color w:val="000000" w:themeColor="text1"/>
        </w:rPr>
        <w:t>4</w:t>
      </w:r>
      <w:bookmarkEnd w:id="786"/>
      <w:bookmarkEnd w:id="787"/>
      <w:bookmarkEnd w:id="788"/>
    </w:p>
    <w:p w14:paraId="7CECE9B7" w14:textId="6C8C5132" w:rsidR="009E1142" w:rsidRPr="00033A3F" w:rsidRDefault="009E1142" w:rsidP="009E1142">
      <w:pPr>
        <w:rPr>
          <w:color w:val="000000" w:themeColor="text1"/>
        </w:rPr>
      </w:pPr>
      <w:r w:rsidRPr="00033A3F">
        <w:rPr>
          <w:noProof/>
          <w:color w:val="000000" w:themeColor="text1"/>
          <w:lang w:eastAsia="cs-CZ"/>
        </w:rPr>
        <w:drawing>
          <wp:inline distT="0" distB="0" distL="0" distR="0" wp14:anchorId="6161356A" wp14:editId="14899EAB">
            <wp:extent cx="5760720" cy="3296920"/>
            <wp:effectExtent l="0" t="0" r="0" b="0"/>
            <wp:docPr id="714403559"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2C475709" w14:textId="77777777" w:rsidR="00FF4C9E" w:rsidRPr="00033A3F" w:rsidRDefault="00FF4C9E" w:rsidP="00FF4C9E">
      <w:pPr>
        <w:rPr>
          <w:color w:val="000000" w:themeColor="text1"/>
        </w:rPr>
      </w:pPr>
    </w:p>
    <w:p w14:paraId="6B6D93DC" w14:textId="31DA8C22" w:rsidR="007B7F89" w:rsidRPr="00033A3F" w:rsidRDefault="007B7F89" w:rsidP="007B7F89">
      <w:pPr>
        <w:pStyle w:val="OdstavecASR"/>
        <w:rPr>
          <w:color w:val="000000" w:themeColor="text1"/>
        </w:rPr>
      </w:pPr>
      <w:r w:rsidRPr="00033A3F">
        <w:rPr>
          <w:color w:val="000000" w:themeColor="text1"/>
        </w:rPr>
        <w:t>Z krabicových grafů vidíme, že v rozdílech mezi soudy nedocházelo v průběhu let k žádným větším změnám. Novelizace občanského zákoníku způsobila určitý nárůst ve variabilitě délek řízení (i když s odstupem – až v letech 2015 až 2017). Pak ale opět následoval pokles variability a přiblížení odlehlých hodnot k boxu. Od roku 2019 do roku 2021 se na grafu nacházela již jen jediná odlehlá hodnota – OS pro Prahu 1. Ta se střídavě přibližovala či oddaloval</w:t>
      </w:r>
      <w:r w:rsidR="00270F86" w:rsidRPr="00033A3F">
        <w:rPr>
          <w:color w:val="000000" w:themeColor="text1"/>
        </w:rPr>
        <w:t>a</w:t>
      </w:r>
      <w:r w:rsidRPr="00033A3F">
        <w:rPr>
          <w:color w:val="000000" w:themeColor="text1"/>
        </w:rPr>
        <w:t xml:space="preserve"> od boxu. V roce 2022 OS pro Prahu 1 výrazně snížil délku řízení, a tak z grafu zmizela i poslední odlehlá hodnota. Rovněž celý box se o něco zmenšil. V roce 2023 nedošlo prakticky k žádné změně. </w:t>
      </w:r>
      <w:r w:rsidR="00EB6BEE" w:rsidRPr="00033A3F">
        <w:rPr>
          <w:color w:val="000000" w:themeColor="text1"/>
        </w:rPr>
        <w:t>V roce 2024 se objevila jed</w:t>
      </w:r>
      <w:r w:rsidR="00270F86" w:rsidRPr="00033A3F">
        <w:rPr>
          <w:color w:val="000000" w:themeColor="text1"/>
        </w:rPr>
        <w:t>i</w:t>
      </w:r>
      <w:r w:rsidR="00EB6BEE" w:rsidRPr="00033A3F">
        <w:rPr>
          <w:color w:val="000000" w:themeColor="text1"/>
        </w:rPr>
        <w:t>n</w:t>
      </w:r>
      <w:r w:rsidR="00270F86" w:rsidRPr="00033A3F">
        <w:rPr>
          <w:color w:val="000000" w:themeColor="text1"/>
        </w:rPr>
        <w:t>á</w:t>
      </w:r>
      <w:r w:rsidR="00EB6BEE" w:rsidRPr="00033A3F">
        <w:rPr>
          <w:color w:val="000000" w:themeColor="text1"/>
        </w:rPr>
        <w:t xml:space="preserve"> odlehlá hodnota – </w:t>
      </w:r>
      <w:r w:rsidR="00270F86" w:rsidRPr="00033A3F">
        <w:rPr>
          <w:color w:val="000000" w:themeColor="text1"/>
        </w:rPr>
        <w:t xml:space="preserve">výše zmíněný </w:t>
      </w:r>
      <w:r w:rsidR="00EB6BEE" w:rsidRPr="00033A3F">
        <w:rPr>
          <w:color w:val="000000" w:themeColor="text1"/>
        </w:rPr>
        <w:t>OS Plzeň-sever.</w:t>
      </w:r>
    </w:p>
    <w:p w14:paraId="02AAEF5A" w14:textId="77777777" w:rsidR="00EB6BEE" w:rsidRPr="00033A3F" w:rsidRDefault="00EB6BEE" w:rsidP="007B7F89">
      <w:pPr>
        <w:pStyle w:val="OdstavecASR"/>
        <w:rPr>
          <w:color w:val="000000" w:themeColor="text1"/>
        </w:rPr>
      </w:pPr>
    </w:p>
    <w:p w14:paraId="2D1AE150" w14:textId="77777777" w:rsidR="00EB6BEE" w:rsidRPr="00033A3F" w:rsidRDefault="00EB6BEE">
      <w:pPr>
        <w:spacing w:after="160" w:line="259" w:lineRule="auto"/>
        <w:jc w:val="left"/>
        <w:rPr>
          <w:b/>
          <w:bCs/>
          <w:color w:val="000000" w:themeColor="text1"/>
        </w:rPr>
      </w:pPr>
      <w:bookmarkStart w:id="789" w:name="_Toc11135099"/>
      <w:bookmarkStart w:id="790" w:name="_Toc43841417"/>
      <w:bookmarkStart w:id="791" w:name="_Toc75952220"/>
      <w:bookmarkStart w:id="792" w:name="_Toc106106672"/>
      <w:bookmarkStart w:id="793" w:name="_Toc109801996"/>
      <w:bookmarkStart w:id="794" w:name="_Toc144104147"/>
      <w:bookmarkStart w:id="795" w:name="_Toc169250957"/>
      <w:bookmarkStart w:id="796" w:name="_Toc174080643"/>
      <w:r w:rsidRPr="00033A3F">
        <w:rPr>
          <w:b/>
          <w:bCs/>
          <w:color w:val="000000" w:themeColor="text1"/>
        </w:rPr>
        <w:br w:type="page"/>
      </w:r>
    </w:p>
    <w:p w14:paraId="704768C6" w14:textId="43F3D837" w:rsidR="00EB6BEE" w:rsidRPr="00033A3F" w:rsidRDefault="00EB6BEE" w:rsidP="00EB6BEE">
      <w:pPr>
        <w:pStyle w:val="Podnadpis"/>
        <w:rPr>
          <w:color w:val="000000" w:themeColor="text1"/>
        </w:rPr>
      </w:pPr>
      <w:bookmarkStart w:id="797" w:name="_Toc193530795"/>
      <w:bookmarkStart w:id="798" w:name="_Toc193634069"/>
      <w:bookmarkStart w:id="799" w:name="_Toc203032867"/>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40</w:t>
      </w:r>
      <w:r w:rsidRPr="00033A3F">
        <w:rPr>
          <w:color w:val="000000" w:themeColor="text1"/>
        </w:rPr>
        <w:fldChar w:fldCharType="end"/>
      </w:r>
      <w:r w:rsidRPr="00033A3F">
        <w:rPr>
          <w:color w:val="000000" w:themeColor="text1"/>
        </w:rPr>
        <w:t>: OS – krabicové grafy, mediánové délky opatrovnického řízení</w:t>
      </w:r>
      <w:bookmarkEnd w:id="789"/>
      <w:bookmarkEnd w:id="790"/>
      <w:bookmarkEnd w:id="791"/>
      <w:bookmarkEnd w:id="792"/>
      <w:bookmarkEnd w:id="793"/>
      <w:bookmarkEnd w:id="794"/>
      <w:r w:rsidRPr="00033A3F">
        <w:rPr>
          <w:color w:val="000000" w:themeColor="text1"/>
        </w:rPr>
        <w:t>, 202</w:t>
      </w:r>
      <w:bookmarkEnd w:id="795"/>
      <w:bookmarkEnd w:id="796"/>
      <w:r w:rsidRPr="00033A3F">
        <w:rPr>
          <w:color w:val="000000" w:themeColor="text1"/>
        </w:rPr>
        <w:t>4</w:t>
      </w:r>
      <w:bookmarkEnd w:id="797"/>
      <w:bookmarkEnd w:id="798"/>
      <w:bookmarkEnd w:id="799"/>
    </w:p>
    <w:p w14:paraId="2AFE0100" w14:textId="5E13CA06" w:rsidR="00EB6BEE" w:rsidRPr="00033A3F" w:rsidRDefault="00EB6BEE" w:rsidP="007B7F89">
      <w:pPr>
        <w:pStyle w:val="OdstavecASR"/>
        <w:rPr>
          <w:b/>
          <w:bCs/>
          <w:color w:val="000000" w:themeColor="text1"/>
        </w:rPr>
      </w:pPr>
      <w:r w:rsidRPr="00033A3F">
        <w:rPr>
          <w:b/>
          <w:bCs/>
          <w:noProof/>
          <w:color w:val="000000" w:themeColor="text1"/>
          <w:lang w:eastAsia="cs-CZ"/>
        </w:rPr>
        <w:drawing>
          <wp:inline distT="0" distB="0" distL="0" distR="0" wp14:anchorId="07AAEC37" wp14:editId="10825C70">
            <wp:extent cx="5029200" cy="3657600"/>
            <wp:effectExtent l="0" t="0" r="0" b="0"/>
            <wp:docPr id="181473651"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B86CF74" w14:textId="77777777" w:rsidR="00EC39B9" w:rsidRPr="00033A3F" w:rsidRDefault="00EC39B9" w:rsidP="007B7F89">
      <w:pPr>
        <w:pStyle w:val="OdstavecASR"/>
        <w:rPr>
          <w:b/>
          <w:bCs/>
          <w:color w:val="000000" w:themeColor="text1"/>
        </w:rPr>
      </w:pPr>
    </w:p>
    <w:p w14:paraId="27CADF48" w14:textId="6896A675" w:rsidR="00EB6BEE" w:rsidRPr="00033A3F" w:rsidRDefault="00EB6BEE" w:rsidP="00EB6BEE">
      <w:pPr>
        <w:pStyle w:val="OdstavecASR"/>
        <w:rPr>
          <w:color w:val="000000" w:themeColor="text1"/>
        </w:rPr>
      </w:pPr>
      <w:r w:rsidRPr="00033A3F">
        <w:rPr>
          <w:color w:val="000000" w:themeColor="text1"/>
        </w:rPr>
        <w:t>Dále se ještě na délku řízení zaměříme v</w:t>
      </w:r>
      <w:r w:rsidR="00585499" w:rsidRPr="00033A3F">
        <w:rPr>
          <w:color w:val="000000" w:themeColor="text1"/>
        </w:rPr>
        <w:t> </w:t>
      </w:r>
      <w:r w:rsidRPr="00033A3F">
        <w:rPr>
          <w:color w:val="000000" w:themeColor="text1"/>
        </w:rPr>
        <w:t>histogramu</w:t>
      </w:r>
      <w:r w:rsidR="00585499" w:rsidRPr="00033A3F">
        <w:rPr>
          <w:color w:val="000000" w:themeColor="text1"/>
        </w:rPr>
        <w:t>, ve kterém šířka jedno</w:t>
      </w:r>
      <w:r w:rsidR="00B75A66">
        <w:rPr>
          <w:color w:val="000000" w:themeColor="text1"/>
        </w:rPr>
        <w:t>ho</w:t>
      </w:r>
      <w:r w:rsidR="00585499" w:rsidRPr="00033A3F">
        <w:rPr>
          <w:color w:val="000000" w:themeColor="text1"/>
        </w:rPr>
        <w:t xml:space="preserve"> sloupce představuje 20</w:t>
      </w:r>
      <w:r w:rsidR="001B3C7A" w:rsidRPr="00033A3F">
        <w:rPr>
          <w:color w:val="000000" w:themeColor="text1"/>
        </w:rPr>
        <w:t> </w:t>
      </w:r>
      <w:r w:rsidR="00585499" w:rsidRPr="00033A3F">
        <w:rPr>
          <w:color w:val="000000" w:themeColor="text1"/>
        </w:rPr>
        <w:t>kalendářních dnů</w:t>
      </w:r>
      <w:r w:rsidRPr="00033A3F">
        <w:rPr>
          <w:color w:val="000000" w:themeColor="text1"/>
        </w:rPr>
        <w:t>.</w:t>
      </w:r>
    </w:p>
    <w:p w14:paraId="2CE48B80" w14:textId="285C96E8" w:rsidR="00EB6BEE" w:rsidRPr="00033A3F" w:rsidRDefault="00EB6BEE" w:rsidP="00EB6BEE">
      <w:pPr>
        <w:pStyle w:val="Podnadpis"/>
        <w:numPr>
          <w:ilvl w:val="0"/>
          <w:numId w:val="0"/>
        </w:numPr>
        <w:rPr>
          <w:color w:val="000000" w:themeColor="text1"/>
        </w:rPr>
      </w:pPr>
      <w:bookmarkStart w:id="800" w:name="_Toc106106673"/>
      <w:bookmarkStart w:id="801" w:name="_Toc109801997"/>
      <w:bookmarkStart w:id="802" w:name="_Toc144104148"/>
      <w:bookmarkStart w:id="803" w:name="_Toc169250958"/>
      <w:bookmarkStart w:id="804" w:name="_Toc174080644"/>
      <w:bookmarkStart w:id="805" w:name="_Toc193530796"/>
      <w:bookmarkStart w:id="806" w:name="_Toc193634070"/>
      <w:bookmarkStart w:id="807" w:name="_Toc20303286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41</w:t>
      </w:r>
      <w:r w:rsidRPr="00033A3F">
        <w:rPr>
          <w:color w:val="000000" w:themeColor="text1"/>
        </w:rPr>
        <w:fldChar w:fldCharType="end"/>
      </w:r>
      <w:r w:rsidRPr="00033A3F">
        <w:rPr>
          <w:color w:val="000000" w:themeColor="text1"/>
        </w:rPr>
        <w:t>: OS – distribuce délky opatrovnického řízení</w:t>
      </w:r>
      <w:bookmarkEnd w:id="800"/>
      <w:bookmarkEnd w:id="801"/>
      <w:bookmarkEnd w:id="802"/>
      <w:r w:rsidRPr="00033A3F">
        <w:rPr>
          <w:color w:val="000000" w:themeColor="text1"/>
        </w:rPr>
        <w:t>, 202</w:t>
      </w:r>
      <w:bookmarkEnd w:id="803"/>
      <w:bookmarkEnd w:id="804"/>
      <w:r w:rsidRPr="00033A3F">
        <w:rPr>
          <w:color w:val="000000" w:themeColor="text1"/>
        </w:rPr>
        <w:t>4</w:t>
      </w:r>
      <w:bookmarkEnd w:id="805"/>
      <w:bookmarkEnd w:id="806"/>
      <w:bookmarkEnd w:id="807"/>
    </w:p>
    <w:p w14:paraId="48F889F8" w14:textId="383A2085" w:rsidR="00EB6BEE" w:rsidRPr="00033A3F" w:rsidRDefault="00EB6BEE" w:rsidP="00EB6BEE">
      <w:pPr>
        <w:rPr>
          <w:color w:val="000000" w:themeColor="text1"/>
        </w:rPr>
      </w:pPr>
      <w:r w:rsidRPr="00033A3F">
        <w:rPr>
          <w:noProof/>
          <w:color w:val="000000" w:themeColor="text1"/>
          <w:lang w:eastAsia="cs-CZ"/>
        </w:rPr>
        <w:drawing>
          <wp:inline distT="0" distB="0" distL="0" distR="0" wp14:anchorId="1A7E60F4" wp14:editId="07919450">
            <wp:extent cx="5029200" cy="3657600"/>
            <wp:effectExtent l="0" t="0" r="0" b="0"/>
            <wp:docPr id="1755719262"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8EE8C96" w14:textId="77777777" w:rsidR="00EB6BEE" w:rsidRPr="00033A3F" w:rsidRDefault="00EB6BEE" w:rsidP="00EB6BEE">
      <w:pPr>
        <w:rPr>
          <w:color w:val="000000" w:themeColor="text1"/>
        </w:rPr>
      </w:pPr>
    </w:p>
    <w:p w14:paraId="487A787C" w14:textId="018FD6E6" w:rsidR="00EB6BEE" w:rsidRPr="00033A3F" w:rsidRDefault="00EB6BEE" w:rsidP="004C0D35">
      <w:pPr>
        <w:pStyle w:val="OdstavecASR"/>
        <w:keepNext/>
        <w:rPr>
          <w:color w:val="000000" w:themeColor="text1"/>
        </w:rPr>
      </w:pPr>
      <w:r w:rsidRPr="00033A3F">
        <w:rPr>
          <w:color w:val="000000" w:themeColor="text1"/>
        </w:rPr>
        <w:lastRenderedPageBreak/>
        <w:t xml:space="preserve">Histogram ukazuje </w:t>
      </w:r>
      <w:r w:rsidR="00270F86" w:rsidRPr="00033A3F">
        <w:rPr>
          <w:color w:val="000000" w:themeColor="text1"/>
        </w:rPr>
        <w:t xml:space="preserve">mimo jiné </w:t>
      </w:r>
      <w:r w:rsidRPr="00033A3F">
        <w:rPr>
          <w:color w:val="000000" w:themeColor="text1"/>
        </w:rPr>
        <w:t>následující</w:t>
      </w:r>
      <w:r w:rsidR="00270F86" w:rsidRPr="00033A3F">
        <w:rPr>
          <w:color w:val="000000" w:themeColor="text1"/>
        </w:rPr>
        <w:t xml:space="preserve"> skutečnosti</w:t>
      </w:r>
      <w:r w:rsidRPr="00033A3F">
        <w:rPr>
          <w:color w:val="000000" w:themeColor="text1"/>
        </w:rPr>
        <w:t>:</w:t>
      </w:r>
    </w:p>
    <w:p w14:paraId="1D6D06AA" w14:textId="77777777" w:rsidR="00EB6BEE" w:rsidRPr="00033A3F" w:rsidRDefault="00EB6BEE" w:rsidP="00EB6BEE">
      <w:pPr>
        <w:pStyle w:val="OdstavecASR"/>
        <w:numPr>
          <w:ilvl w:val="0"/>
          <w:numId w:val="20"/>
        </w:numPr>
        <w:rPr>
          <w:color w:val="000000" w:themeColor="text1"/>
        </w:rPr>
      </w:pPr>
      <w:r w:rsidRPr="00033A3F">
        <w:rPr>
          <w:color w:val="000000" w:themeColor="text1"/>
        </w:rPr>
        <w:t>Graf potvrzuje to, co již vidíme z předchozích dat – opatrovnické řízení je výrazně rychlejší než řízení civilní.</w:t>
      </w:r>
    </w:p>
    <w:p w14:paraId="38E1587B" w14:textId="0D0D8C53" w:rsidR="001B3C7A" w:rsidRPr="00033A3F" w:rsidRDefault="001B3C7A" w:rsidP="001B3C7A">
      <w:pPr>
        <w:pStyle w:val="Odstavecseseznamem"/>
        <w:numPr>
          <w:ilvl w:val="0"/>
          <w:numId w:val="20"/>
        </w:numPr>
        <w:rPr>
          <w:color w:val="000000" w:themeColor="text1"/>
        </w:rPr>
      </w:pPr>
      <w:r w:rsidRPr="00033A3F">
        <w:rPr>
          <w:color w:val="000000" w:themeColor="text1"/>
        </w:rPr>
        <w:t>Největší počet věcí, v roce 2024 přibližně 35%, je dlouhodobě vyřizován během 20 až 40 kal. dní.</w:t>
      </w:r>
    </w:p>
    <w:p w14:paraId="360E4E6F" w14:textId="3AA3672B" w:rsidR="00EB6BEE" w:rsidRPr="00033A3F" w:rsidRDefault="00EB6BEE" w:rsidP="00EB6BEE">
      <w:pPr>
        <w:pStyle w:val="OdstavecASR"/>
        <w:numPr>
          <w:ilvl w:val="0"/>
          <w:numId w:val="20"/>
        </w:numPr>
        <w:rPr>
          <w:color w:val="000000" w:themeColor="text1"/>
        </w:rPr>
      </w:pPr>
      <w:r w:rsidRPr="00033A3F">
        <w:rPr>
          <w:color w:val="000000" w:themeColor="text1"/>
        </w:rPr>
        <w:t xml:space="preserve">Necelé 4 % věcí trvají déle než 400 </w:t>
      </w:r>
      <w:r w:rsidR="00556952" w:rsidRPr="00033A3F">
        <w:rPr>
          <w:color w:val="000000" w:themeColor="text1"/>
        </w:rPr>
        <w:t>dní</w:t>
      </w:r>
      <w:r w:rsidRPr="00033A3F">
        <w:rPr>
          <w:color w:val="000000" w:themeColor="text1"/>
        </w:rPr>
        <w:t>.</w:t>
      </w:r>
    </w:p>
    <w:p w14:paraId="1E92C07B" w14:textId="320AE6AF" w:rsidR="00EB6BEE" w:rsidRPr="00033A3F" w:rsidRDefault="00EB6BEE" w:rsidP="00EB6BEE">
      <w:pPr>
        <w:pStyle w:val="OdstavecASR"/>
        <w:rPr>
          <w:color w:val="000000" w:themeColor="text1"/>
          <w:szCs w:val="24"/>
        </w:rPr>
      </w:pPr>
      <w:r w:rsidRPr="00033A3F">
        <w:rPr>
          <w:color w:val="000000" w:themeColor="text1"/>
        </w:rPr>
        <w:t>Významnou část opatrovnické agendy tvoří rozhodování o péči o nezletilé. Většinu této agendy představuje rozhodování o tom, kdo z rodičů bude o dítě pečovat</w:t>
      </w:r>
      <w:r w:rsidR="009C47D2" w:rsidRPr="00033A3F">
        <w:rPr>
          <w:color w:val="000000" w:themeColor="text1"/>
        </w:rPr>
        <w:t xml:space="preserve"> pro případ rozvodu</w:t>
      </w:r>
      <w:r w:rsidRPr="00033A3F">
        <w:rPr>
          <w:color w:val="000000" w:themeColor="text1"/>
          <w:szCs w:val="24"/>
        </w:rPr>
        <w:t>,</w:t>
      </w:r>
      <w:r w:rsidRPr="00033A3F">
        <w:rPr>
          <w:color w:val="000000" w:themeColor="text1"/>
        </w:rPr>
        <w:t xml:space="preserve"> a</w:t>
      </w:r>
      <w:r w:rsidR="0057327F">
        <w:rPr>
          <w:color w:val="000000" w:themeColor="text1"/>
        </w:rPr>
        <w:t> </w:t>
      </w:r>
      <w:r w:rsidRPr="00033A3F">
        <w:rPr>
          <w:color w:val="000000" w:themeColor="text1"/>
        </w:rPr>
        <w:t xml:space="preserve">rozhodování o výživném. Patří </w:t>
      </w:r>
      <w:r w:rsidRPr="00033A3F">
        <w:rPr>
          <w:color w:val="000000" w:themeColor="text1"/>
          <w:szCs w:val="24"/>
        </w:rPr>
        <w:t xml:space="preserve">sem </w:t>
      </w:r>
      <w:r w:rsidRPr="00033A3F">
        <w:rPr>
          <w:color w:val="000000" w:themeColor="text1"/>
        </w:rPr>
        <w:t>ale i jiné typy případů</w:t>
      </w:r>
      <w:r w:rsidRPr="00033A3F">
        <w:rPr>
          <w:color w:val="000000" w:themeColor="text1"/>
          <w:szCs w:val="24"/>
        </w:rPr>
        <w:t>,</w:t>
      </w:r>
      <w:r w:rsidRPr="00033A3F">
        <w:rPr>
          <w:color w:val="000000" w:themeColor="text1"/>
        </w:rPr>
        <w:t xml:space="preserve"> jako je rozhodování o uložení výchovných opatření či rozhodování o</w:t>
      </w:r>
      <w:r w:rsidRPr="00033A3F">
        <w:rPr>
          <w:color w:val="000000" w:themeColor="text1"/>
          <w:szCs w:val="24"/>
        </w:rPr>
        <w:t> poručenství.</w:t>
      </w:r>
      <w:r w:rsidRPr="00033A3F">
        <w:rPr>
          <w:color w:val="000000" w:themeColor="text1"/>
        </w:rPr>
        <w:t xml:space="preserve"> Je vhodné se v časové řadě </w:t>
      </w:r>
      <w:r w:rsidRPr="00033A3F">
        <w:rPr>
          <w:color w:val="000000" w:themeColor="text1"/>
          <w:szCs w:val="24"/>
        </w:rPr>
        <w:t xml:space="preserve">blíže </w:t>
      </w:r>
      <w:r w:rsidRPr="00033A3F">
        <w:rPr>
          <w:color w:val="000000" w:themeColor="text1"/>
        </w:rPr>
        <w:t xml:space="preserve">podívat </w:t>
      </w:r>
      <w:r w:rsidRPr="00033A3F">
        <w:rPr>
          <w:color w:val="000000" w:themeColor="text1"/>
          <w:szCs w:val="24"/>
        </w:rPr>
        <w:t xml:space="preserve">specificky </w:t>
      </w:r>
      <w:r w:rsidRPr="00033A3F">
        <w:rPr>
          <w:color w:val="000000" w:themeColor="text1"/>
        </w:rPr>
        <w:t>na tuto agendu</w:t>
      </w:r>
      <w:r w:rsidRPr="00033A3F">
        <w:rPr>
          <w:color w:val="000000" w:themeColor="text1"/>
          <w:szCs w:val="24"/>
        </w:rPr>
        <w:t>, mimo jiné proto, že podle zákona o zvláštních řízeních soudních v ní má být rozhodnuto do 180 dnů ode dne nápadu.</w:t>
      </w:r>
    </w:p>
    <w:p w14:paraId="7EEEFBA2" w14:textId="0A159C01" w:rsidR="00EB6BEE" w:rsidRPr="00033A3F" w:rsidRDefault="00EB6BEE" w:rsidP="00EB6BEE">
      <w:pPr>
        <w:pStyle w:val="Podnadpis"/>
        <w:numPr>
          <w:ilvl w:val="0"/>
          <w:numId w:val="0"/>
        </w:numPr>
        <w:rPr>
          <w:color w:val="000000" w:themeColor="text1"/>
        </w:rPr>
      </w:pPr>
      <w:bookmarkStart w:id="808" w:name="_Toc169250959"/>
      <w:bookmarkStart w:id="809" w:name="_Toc174080645"/>
      <w:bookmarkStart w:id="810" w:name="_Toc193530797"/>
      <w:bookmarkStart w:id="811" w:name="_Toc193634071"/>
      <w:bookmarkStart w:id="812" w:name="_Toc203032869"/>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42</w:t>
      </w:r>
      <w:r w:rsidRPr="00033A3F">
        <w:rPr>
          <w:noProof/>
          <w:color w:val="000000" w:themeColor="text1"/>
        </w:rPr>
        <w:fldChar w:fldCharType="end"/>
      </w:r>
      <w:r w:rsidRPr="00033A3F">
        <w:rPr>
          <w:color w:val="000000" w:themeColor="text1"/>
        </w:rPr>
        <w:t>: OS – péče o dítě, délka řízení v letech 2015–202</w:t>
      </w:r>
      <w:bookmarkEnd w:id="808"/>
      <w:bookmarkEnd w:id="809"/>
      <w:r w:rsidRPr="00033A3F">
        <w:rPr>
          <w:color w:val="000000" w:themeColor="text1"/>
        </w:rPr>
        <w:t>4</w:t>
      </w:r>
      <w:bookmarkEnd w:id="810"/>
      <w:bookmarkEnd w:id="811"/>
      <w:bookmarkEnd w:id="812"/>
    </w:p>
    <w:p w14:paraId="6DF5DAAA" w14:textId="28FE6E14" w:rsidR="00EB6BEE" w:rsidRPr="00033A3F" w:rsidRDefault="00EB6BEE" w:rsidP="00EB6BEE">
      <w:pPr>
        <w:pStyle w:val="OdstavecASR"/>
        <w:rPr>
          <w:color w:val="000000" w:themeColor="text1"/>
        </w:rPr>
      </w:pPr>
      <w:r w:rsidRPr="00033A3F">
        <w:rPr>
          <w:noProof/>
          <w:color w:val="000000" w:themeColor="text1"/>
          <w:lang w:eastAsia="cs-CZ"/>
        </w:rPr>
        <w:drawing>
          <wp:inline distT="0" distB="0" distL="0" distR="0" wp14:anchorId="1A45CFEB" wp14:editId="7608EB0B">
            <wp:extent cx="5029200" cy="3657600"/>
            <wp:effectExtent l="0" t="0" r="0" b="0"/>
            <wp:docPr id="1998935449"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FECD9E3" w14:textId="0F3F7AA6" w:rsidR="00EB6BEE" w:rsidRPr="00033A3F" w:rsidRDefault="00EB6BEE" w:rsidP="00EB6BEE">
      <w:pPr>
        <w:pStyle w:val="OdstavecASR"/>
        <w:rPr>
          <w:color w:val="000000" w:themeColor="text1"/>
        </w:rPr>
      </w:pPr>
      <w:r w:rsidRPr="00033A3F">
        <w:rPr>
          <w:color w:val="000000" w:themeColor="text1"/>
        </w:rPr>
        <w:t>V grafu vidíme, že rozhodování o péči o nezletilé probíhá nepatrně rychleji než celá opatrovnická agenda. To má logiku, neboť tvoří její velkou část. Z grafu je patrné, že ne všechny věci jsou do 180 dnů vyřízeny, protože percentil 90 je vyšší. Bližší pohled na data ukáže, že v roce 2024 bylo ve výše zmíněné lhůtě rozhodnuto asi 83 % věcí</w:t>
      </w:r>
      <w:r w:rsidR="009C47D2" w:rsidRPr="00033A3F">
        <w:rPr>
          <w:color w:val="000000" w:themeColor="text1"/>
        </w:rPr>
        <w:t>, což je v zásadě stejný podíl jako v roce 2023</w:t>
      </w:r>
      <w:r w:rsidRPr="00033A3F">
        <w:rPr>
          <w:color w:val="000000" w:themeColor="text1"/>
        </w:rPr>
        <w:t>.</w:t>
      </w:r>
    </w:p>
    <w:p w14:paraId="35C6DB49" w14:textId="18253B4F" w:rsidR="0003032A" w:rsidRPr="00033A3F" w:rsidRDefault="008430BD" w:rsidP="0003032A">
      <w:pPr>
        <w:pStyle w:val="Nadpis3"/>
        <w:keepNext w:val="0"/>
        <w:keepLines w:val="0"/>
        <w:numPr>
          <w:ilvl w:val="2"/>
          <w:numId w:val="1"/>
        </w:numPr>
        <w:rPr>
          <w:color w:val="000000" w:themeColor="text1"/>
        </w:rPr>
      </w:pPr>
      <w:bookmarkStart w:id="813" w:name="_Toc106092735"/>
      <w:bookmarkStart w:id="814" w:name="_Toc106092736"/>
      <w:bookmarkStart w:id="815" w:name="_Toc106092737"/>
      <w:bookmarkStart w:id="816" w:name="_Toc106092738"/>
      <w:bookmarkStart w:id="817" w:name="_Ref515022661"/>
      <w:bookmarkStart w:id="818" w:name="_Toc515871238"/>
      <w:bookmarkStart w:id="819" w:name="_Toc106092739"/>
      <w:bookmarkStart w:id="820" w:name="_Toc169250819"/>
      <w:bookmarkStart w:id="821" w:name="_Toc193530981"/>
      <w:bookmarkStart w:id="822" w:name="_Toc193957037"/>
      <w:bookmarkStart w:id="823" w:name="_Toc203032727"/>
      <w:bookmarkEnd w:id="813"/>
      <w:bookmarkEnd w:id="814"/>
      <w:bookmarkEnd w:id="815"/>
      <w:bookmarkEnd w:id="816"/>
      <w:r w:rsidRPr="00033A3F">
        <w:rPr>
          <w:color w:val="000000" w:themeColor="text1"/>
        </w:rPr>
        <w:t>Vyřizování věcí</w:t>
      </w:r>
      <w:bookmarkEnd w:id="817"/>
      <w:bookmarkEnd w:id="818"/>
      <w:bookmarkEnd w:id="819"/>
      <w:bookmarkEnd w:id="820"/>
      <w:bookmarkEnd w:id="821"/>
      <w:bookmarkEnd w:id="822"/>
      <w:bookmarkEnd w:id="823"/>
    </w:p>
    <w:p w14:paraId="7675E6DA" w14:textId="39B6ADE5" w:rsidR="004F69E9" w:rsidRPr="00033A3F" w:rsidRDefault="004F69E9" w:rsidP="004C0D35">
      <w:pPr>
        <w:pStyle w:val="OdstavecASR"/>
        <w:rPr>
          <w:color w:val="000000" w:themeColor="text1"/>
        </w:rPr>
      </w:pPr>
      <w:r w:rsidRPr="00033A3F">
        <w:rPr>
          <w:color w:val="000000" w:themeColor="text1"/>
        </w:rPr>
        <w:t xml:space="preserve">V roce 2014, tedy před začátkem sledovaného období, došlo k významnému nárůstu v počtu příchozích věcí (asi </w:t>
      </w:r>
      <w:r w:rsidR="001D5135" w:rsidRPr="00033A3F">
        <w:rPr>
          <w:color w:val="000000" w:themeColor="text1"/>
        </w:rPr>
        <w:t xml:space="preserve">o </w:t>
      </w:r>
      <w:r w:rsidRPr="00033A3F">
        <w:rPr>
          <w:color w:val="000000" w:themeColor="text1"/>
        </w:rPr>
        <w:t>40 %). Za to je zodpovědný výše zmíněný dopad občanského zákoníku</w:t>
      </w:r>
      <w:r w:rsidR="001D5135" w:rsidRPr="00033A3F">
        <w:rPr>
          <w:color w:val="000000" w:themeColor="text1"/>
        </w:rPr>
        <w:t>, před jehož přijetím se počet příchozích věcí dlouhodobě pohyboval v rozmezí 104 až 109 tisíc ročně</w:t>
      </w:r>
      <w:r w:rsidRPr="00033A3F">
        <w:rPr>
          <w:color w:val="000000" w:themeColor="text1"/>
        </w:rPr>
        <w:t xml:space="preserve">. Soudy byly schopny částečně reagovat a značně se zvýšil počet vyřízených věcí. Nárůst v počtu napadlých věcí byl ale vyšší než počet vyřízených věcí a počet nevyřízených věcí tak začal růst. </w:t>
      </w:r>
      <w:r w:rsidRPr="00033A3F">
        <w:rPr>
          <w:color w:val="000000" w:themeColor="text1"/>
        </w:rPr>
        <w:lastRenderedPageBreak/>
        <w:t>Počet napadlých věcí poklesl až v roce 2016 a v roce 2017. To je zřejmě způsobeno hlavně tím, že všechny přezkumy svéprávnosti byly zahájeny v letech 2014 a 2015. Soudům se podařilo v roce 2016 udržet počet vyřízených věcí na úrovni z roku 2015 a také v roce 2017 udržet počet vyřízených věcí nad nápadem. Díky tomu počet nevyřízených věcí klesal. Soudům pomohlo prodloužení lhůty na přezkum svéprávnosti pro určité případy ze tří na pět let vyplývající z novely o. z. přijaté na konci roku 2016. Nicméně je třeba uvést, že počet osob (tedy celkový rozsah agendy přezkumů svéprávnosti) byl jen cca 36 tisíc, což znamená, že se na nárůstu nápadu podílel jen asi jednou čtvrtinou, zbytek tvořily další nové agendy zavedené o. z. Tyto nové agendy také stojí za růstem nápadu v letech 2018 a 2019, protože, jak již bylo konstatováno, všechny přezkumy svéprávnosti byly zahájeny již v letech 2014 a 2015.</w:t>
      </w:r>
    </w:p>
    <w:p w14:paraId="24263DE5" w14:textId="48F1F58E" w:rsidR="004F69E9" w:rsidRPr="00033A3F" w:rsidRDefault="004F69E9" w:rsidP="004F69E9">
      <w:pPr>
        <w:pStyle w:val="Podnadpis"/>
        <w:numPr>
          <w:ilvl w:val="0"/>
          <w:numId w:val="0"/>
        </w:numPr>
        <w:rPr>
          <w:color w:val="000000" w:themeColor="text1"/>
        </w:rPr>
      </w:pPr>
      <w:bookmarkStart w:id="824" w:name="_Toc515871368"/>
      <w:bookmarkStart w:id="825" w:name="_Toc11135100"/>
      <w:bookmarkStart w:id="826" w:name="_Toc43841418"/>
      <w:bookmarkStart w:id="827" w:name="_Toc75952221"/>
      <w:bookmarkStart w:id="828" w:name="_Toc106106674"/>
      <w:bookmarkStart w:id="829" w:name="_Toc144104149"/>
      <w:bookmarkStart w:id="830" w:name="_Toc169250960"/>
      <w:bookmarkStart w:id="831" w:name="_Toc174080646"/>
      <w:bookmarkStart w:id="832" w:name="_Toc193530798"/>
      <w:bookmarkStart w:id="833" w:name="_Toc193634072"/>
      <w:bookmarkStart w:id="834" w:name="_Toc203032870"/>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43</w:t>
      </w:r>
      <w:r w:rsidRPr="00033A3F">
        <w:rPr>
          <w:noProof/>
          <w:color w:val="000000" w:themeColor="text1"/>
        </w:rPr>
        <w:fldChar w:fldCharType="end"/>
      </w:r>
      <w:r w:rsidRPr="00033A3F">
        <w:rPr>
          <w:color w:val="000000" w:themeColor="text1"/>
        </w:rPr>
        <w:t>: OS – vyřizování věcí v opatrovnické agendě v letech 2015–</w:t>
      </w:r>
      <w:bookmarkEnd w:id="824"/>
      <w:r w:rsidRPr="00033A3F">
        <w:rPr>
          <w:color w:val="000000" w:themeColor="text1"/>
        </w:rPr>
        <w:t>20</w:t>
      </w:r>
      <w:bookmarkEnd w:id="825"/>
      <w:bookmarkEnd w:id="826"/>
      <w:r w:rsidRPr="00033A3F">
        <w:rPr>
          <w:color w:val="000000" w:themeColor="text1"/>
        </w:rPr>
        <w:t>2</w:t>
      </w:r>
      <w:bookmarkEnd w:id="827"/>
      <w:bookmarkEnd w:id="828"/>
      <w:bookmarkEnd w:id="829"/>
      <w:bookmarkEnd w:id="830"/>
      <w:bookmarkEnd w:id="831"/>
      <w:r w:rsidRPr="00033A3F">
        <w:rPr>
          <w:color w:val="000000" w:themeColor="text1"/>
        </w:rPr>
        <w:t>4</w:t>
      </w:r>
      <w:bookmarkEnd w:id="832"/>
      <w:bookmarkEnd w:id="833"/>
      <w:bookmarkEnd w:id="834"/>
    </w:p>
    <w:p w14:paraId="376E6D27" w14:textId="43D1ADFD" w:rsidR="00373878" w:rsidRPr="00033A3F" w:rsidRDefault="00373878" w:rsidP="00373878">
      <w:pPr>
        <w:rPr>
          <w:color w:val="000000" w:themeColor="text1"/>
        </w:rPr>
      </w:pPr>
      <w:r w:rsidRPr="00033A3F">
        <w:rPr>
          <w:noProof/>
          <w:color w:val="000000" w:themeColor="text1"/>
          <w:lang w:eastAsia="cs-CZ"/>
        </w:rPr>
        <w:drawing>
          <wp:inline distT="0" distB="0" distL="0" distR="0" wp14:anchorId="4C67DC55" wp14:editId="1EF6646B">
            <wp:extent cx="5029200" cy="3657600"/>
            <wp:effectExtent l="0" t="0" r="0" b="0"/>
            <wp:docPr id="5371583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994E7C2" w14:textId="77777777" w:rsidR="004F69E9" w:rsidRPr="00033A3F" w:rsidRDefault="004F69E9" w:rsidP="004F69E9">
      <w:pPr>
        <w:rPr>
          <w:color w:val="000000" w:themeColor="text1"/>
        </w:rPr>
      </w:pPr>
    </w:p>
    <w:p w14:paraId="75C27AC3" w14:textId="5759AD65" w:rsidR="00373878" w:rsidRPr="00033A3F" w:rsidRDefault="00373878" w:rsidP="004C0D35">
      <w:pPr>
        <w:pStyle w:val="OdstavecASR"/>
        <w:rPr>
          <w:color w:val="000000" w:themeColor="text1"/>
        </w:rPr>
      </w:pPr>
      <w:r w:rsidRPr="00033A3F">
        <w:rPr>
          <w:color w:val="000000" w:themeColor="text1"/>
        </w:rPr>
        <w:t>V roce 2019 mírně vzrostl nápad a soudy vyřídily méně věcí, než kolik napadlo. Rozdíl byl ale malý – míra vyřizování byla 99 %. V roce 2020 vidíme stejně jako u ostatních agend značný pokles v počtu příchozích věcí. Dopad pandemie na funkčnost soudů se v roce 2020 tedy v opatrovnické agendě příliš neprojevil. Soudy vyřídily více věcí, než kolik napadlo (v důsledku pandemie COVID 19 se nápad výrazně snížil), i když jim to v průměru mohlo trvat o něco déle. V roce 2021 zůstal počet příchozích věcí na úrovni roku 2020, což zřejmě opět ukazuje na vliv pandemie. Soudům (a to ve všech krajích) se podařilo vyřídit více věcí, než napadlo. Počet nevyřízených věcí opět klesl a přiblížil se k hodnotám před vstupem občanského zákoníku v účinnosti. Od roku 2022 vidíme pokračující nárůst počtu příchozích věcí, soudy ale reagují dobře a počet nevyřízených věcí se příliš nezvyšuje. V roce 2024 dosáhl počet příchozích věcí úrovně roku 2019.</w:t>
      </w:r>
      <w:r w:rsidR="003854F3" w:rsidRPr="00033A3F">
        <w:rPr>
          <w:color w:val="000000" w:themeColor="text1"/>
        </w:rPr>
        <w:t xml:space="preserve"> Zdaleka nejvyšší procentuální nárůst byl u soudů v Jihočeském kraji.</w:t>
      </w:r>
      <w:r w:rsidR="00427FA8" w:rsidRPr="00033A3F">
        <w:rPr>
          <w:color w:val="000000" w:themeColor="text1"/>
        </w:rPr>
        <w:t xml:space="preserve"> </w:t>
      </w:r>
      <w:r w:rsidR="007C74FD" w:rsidRPr="00033A3F">
        <w:rPr>
          <w:color w:val="000000" w:themeColor="text1"/>
        </w:rPr>
        <w:t xml:space="preserve">Při hlubším pohledu na data </w:t>
      </w:r>
      <w:r w:rsidR="00D84B33" w:rsidRPr="00033A3F">
        <w:rPr>
          <w:color w:val="000000" w:themeColor="text1"/>
        </w:rPr>
        <w:t>vidíme</w:t>
      </w:r>
      <w:r w:rsidR="007C74FD" w:rsidRPr="00033A3F">
        <w:rPr>
          <w:color w:val="000000" w:themeColor="text1"/>
        </w:rPr>
        <w:t>, že tento vývoj souvisí spíše s rostoucím počtem opatrovnických věcí spadajících pod</w:t>
      </w:r>
      <w:r w:rsidR="00C23FE8" w:rsidRPr="00033A3F">
        <w:rPr>
          <w:color w:val="000000" w:themeColor="text1"/>
        </w:rPr>
        <w:t xml:space="preserve"> </w:t>
      </w:r>
      <w:r w:rsidR="00C23FE8" w:rsidRPr="00033A3F">
        <w:rPr>
          <w:rStyle w:val="Zdraznn"/>
          <w:color w:val="000000" w:themeColor="text1"/>
        </w:rPr>
        <w:t>péči soudu o nezletilé</w:t>
      </w:r>
      <w:r w:rsidR="00C23FE8" w:rsidRPr="00033A3F">
        <w:rPr>
          <w:color w:val="000000" w:themeColor="text1"/>
        </w:rPr>
        <w:t xml:space="preserve"> než </w:t>
      </w:r>
      <w:r w:rsidR="007C74FD" w:rsidRPr="00033A3F">
        <w:rPr>
          <w:color w:val="000000" w:themeColor="text1"/>
        </w:rPr>
        <w:t>s </w:t>
      </w:r>
      <w:r w:rsidR="00C23FE8" w:rsidRPr="00033A3F">
        <w:rPr>
          <w:color w:val="000000" w:themeColor="text1"/>
        </w:rPr>
        <w:t>věc</w:t>
      </w:r>
      <w:r w:rsidR="007C74FD" w:rsidRPr="00033A3F">
        <w:rPr>
          <w:color w:val="000000" w:themeColor="text1"/>
        </w:rPr>
        <w:t xml:space="preserve">mi </w:t>
      </w:r>
      <w:r w:rsidR="00C23FE8" w:rsidRPr="00033A3F">
        <w:rPr>
          <w:i/>
          <w:color w:val="000000" w:themeColor="text1"/>
        </w:rPr>
        <w:t>svéprávnosti a opatrovnictví člověka</w:t>
      </w:r>
      <w:r w:rsidR="00C23FE8" w:rsidRPr="00033A3F">
        <w:rPr>
          <w:color w:val="000000" w:themeColor="text1"/>
        </w:rPr>
        <w:t xml:space="preserve"> </w:t>
      </w:r>
      <w:r w:rsidR="007C74FD" w:rsidRPr="00033A3F">
        <w:rPr>
          <w:color w:val="000000" w:themeColor="text1"/>
        </w:rPr>
        <w:t>či dalšími</w:t>
      </w:r>
      <w:r w:rsidR="005E4F6E" w:rsidRPr="00033A3F">
        <w:rPr>
          <w:color w:val="000000" w:themeColor="text1"/>
        </w:rPr>
        <w:t xml:space="preserve"> druhy sporů</w:t>
      </w:r>
      <w:r w:rsidR="007C74FD" w:rsidRPr="00033A3F">
        <w:rPr>
          <w:color w:val="000000" w:themeColor="text1"/>
        </w:rPr>
        <w:t xml:space="preserve"> opatrovnické agendy</w:t>
      </w:r>
      <w:r w:rsidR="00C23FE8" w:rsidRPr="00033A3F">
        <w:rPr>
          <w:color w:val="000000" w:themeColor="text1"/>
        </w:rPr>
        <w:t xml:space="preserve">. </w:t>
      </w:r>
      <w:r w:rsidR="00AC3EBC" w:rsidRPr="00033A3F">
        <w:rPr>
          <w:color w:val="000000" w:themeColor="text1"/>
        </w:rPr>
        <w:t>R</w:t>
      </w:r>
      <w:r w:rsidR="00C23FE8" w:rsidRPr="00033A3F">
        <w:rPr>
          <w:color w:val="000000" w:themeColor="text1"/>
        </w:rPr>
        <w:t xml:space="preserve">odiče </w:t>
      </w:r>
      <w:r w:rsidR="00AC3EBC" w:rsidRPr="00033A3F">
        <w:rPr>
          <w:color w:val="000000" w:themeColor="text1"/>
        </w:rPr>
        <w:t>tak zřejmě</w:t>
      </w:r>
      <w:r w:rsidR="00D84B33" w:rsidRPr="00033A3F">
        <w:rPr>
          <w:color w:val="000000" w:themeColor="text1"/>
        </w:rPr>
        <w:t xml:space="preserve"> </w:t>
      </w:r>
      <w:r w:rsidR="00C23FE8" w:rsidRPr="00033A3F">
        <w:rPr>
          <w:color w:val="000000" w:themeColor="text1"/>
        </w:rPr>
        <w:t>stále častěji žádají soud o</w:t>
      </w:r>
      <w:r w:rsidR="007C74FD" w:rsidRPr="00033A3F">
        <w:rPr>
          <w:color w:val="000000" w:themeColor="text1"/>
        </w:rPr>
        <w:t> </w:t>
      </w:r>
      <w:r w:rsidR="00C23FE8" w:rsidRPr="00033A3F">
        <w:rPr>
          <w:color w:val="000000" w:themeColor="text1"/>
        </w:rPr>
        <w:t>úpravu péče a výživného pro své děti.</w:t>
      </w:r>
      <w:r w:rsidR="00D84B33" w:rsidRPr="00033A3F">
        <w:rPr>
          <w:color w:val="000000" w:themeColor="text1"/>
        </w:rPr>
        <w:t xml:space="preserve"> Změna tak může vycházet </w:t>
      </w:r>
      <w:r w:rsidR="00D84B33" w:rsidRPr="00033A3F">
        <w:rPr>
          <w:color w:val="000000" w:themeColor="text1"/>
        </w:rPr>
        <w:lastRenderedPageBreak/>
        <w:t>ze sjednocení metodiky vykazování opatrovnické agendy mezi soudní</w:t>
      </w:r>
      <w:r w:rsidR="00F85B6B" w:rsidRPr="00033A3F">
        <w:rPr>
          <w:color w:val="000000" w:themeColor="text1"/>
        </w:rPr>
        <w:t>mi</w:t>
      </w:r>
      <w:r w:rsidR="00D84B33" w:rsidRPr="00033A3F">
        <w:rPr>
          <w:color w:val="000000" w:themeColor="text1"/>
        </w:rPr>
        <w:t xml:space="preserve"> kraji, ke které došlo v roce 2024.</w:t>
      </w:r>
    </w:p>
    <w:p w14:paraId="73C55E60" w14:textId="701E67A4" w:rsidR="00373878" w:rsidRPr="00033A3F" w:rsidRDefault="003854F3" w:rsidP="004C0D35">
      <w:pPr>
        <w:pStyle w:val="OdstavecASR"/>
        <w:rPr>
          <w:color w:val="000000" w:themeColor="text1"/>
        </w:rPr>
      </w:pPr>
      <w:r w:rsidRPr="00033A3F">
        <w:rPr>
          <w:color w:val="000000" w:themeColor="text1"/>
        </w:rPr>
        <w:t>V tabulce vidíme, že třetí rok po sobě vzrostl počet příchozích věcí ve všech krajích s výjimkou dvou. Míra vyřizování byla přes 100 % ve třech krajích</w:t>
      </w:r>
      <w:r w:rsidR="001E4971" w:rsidRPr="00033A3F">
        <w:rPr>
          <w:color w:val="000000" w:themeColor="text1"/>
        </w:rPr>
        <w:t xml:space="preserve"> (minulý rok to byl pouze jeden kraj)</w:t>
      </w:r>
      <w:r w:rsidRPr="00033A3F">
        <w:rPr>
          <w:color w:val="000000" w:themeColor="text1"/>
        </w:rPr>
        <w:t>.</w:t>
      </w:r>
    </w:p>
    <w:p w14:paraId="598F8E91" w14:textId="2EA35708" w:rsidR="00373878" w:rsidRPr="00033A3F" w:rsidRDefault="00373878" w:rsidP="00373878">
      <w:pPr>
        <w:pStyle w:val="Podnadpis"/>
        <w:rPr>
          <w:color w:val="000000" w:themeColor="text1"/>
        </w:rPr>
      </w:pPr>
      <w:bookmarkStart w:id="835" w:name="_Toc169251086"/>
      <w:bookmarkStart w:id="836" w:name="_Toc174080772"/>
      <w:bookmarkStart w:id="837" w:name="_Toc193530903"/>
      <w:bookmarkStart w:id="838" w:name="_Toc194045598"/>
      <w:bookmarkStart w:id="839" w:name="_Toc199495008"/>
      <w:bookmarkStart w:id="840" w:name="_Toc203033068"/>
      <w:bookmarkStart w:id="841" w:name="_Toc203033146"/>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26</w:t>
      </w:r>
      <w:r w:rsidRPr="00033A3F">
        <w:rPr>
          <w:noProof/>
          <w:color w:val="000000" w:themeColor="text1"/>
        </w:rPr>
        <w:fldChar w:fldCharType="end"/>
      </w:r>
      <w:r w:rsidRPr="00033A3F">
        <w:rPr>
          <w:color w:val="000000" w:themeColor="text1"/>
        </w:rPr>
        <w:t>: OS – vyřizování opatrovnických věcí dle krajů, 202</w:t>
      </w:r>
      <w:bookmarkEnd w:id="835"/>
      <w:bookmarkEnd w:id="836"/>
      <w:r w:rsidRPr="00033A3F">
        <w:rPr>
          <w:color w:val="000000" w:themeColor="text1"/>
        </w:rPr>
        <w:t>4</w:t>
      </w:r>
      <w:bookmarkEnd w:id="837"/>
      <w:bookmarkEnd w:id="838"/>
      <w:bookmarkEnd w:id="839"/>
      <w:bookmarkEnd w:id="840"/>
      <w:bookmarkEnd w:id="841"/>
    </w:p>
    <w:tbl>
      <w:tblPr>
        <w:tblW w:w="9072" w:type="dxa"/>
        <w:tblCellMar>
          <w:left w:w="70" w:type="dxa"/>
          <w:right w:w="70" w:type="dxa"/>
        </w:tblCellMar>
        <w:tblLook w:val="04A0" w:firstRow="1" w:lastRow="0" w:firstColumn="1" w:lastColumn="0" w:noHBand="0" w:noVBand="1"/>
      </w:tblPr>
      <w:tblGrid>
        <w:gridCol w:w="2020"/>
        <w:gridCol w:w="1248"/>
        <w:gridCol w:w="945"/>
        <w:gridCol w:w="1085"/>
        <w:gridCol w:w="821"/>
        <w:gridCol w:w="947"/>
        <w:gridCol w:w="731"/>
        <w:gridCol w:w="1275"/>
      </w:tblGrid>
      <w:tr w:rsidR="00033A3F" w:rsidRPr="00033A3F" w14:paraId="0A35D1BE" w14:textId="77777777" w:rsidTr="00FF6C17">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671E64E3"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777" w:type="dxa"/>
            <w:gridSpan w:val="6"/>
            <w:tcBorders>
              <w:top w:val="double" w:sz="6" w:space="0" w:color="auto"/>
              <w:left w:val="nil"/>
              <w:bottom w:val="nil"/>
              <w:right w:val="single" w:sz="4" w:space="0" w:color="000000"/>
            </w:tcBorders>
            <w:shd w:val="clear" w:color="auto" w:fill="auto"/>
            <w:noWrap/>
            <w:vAlign w:val="center"/>
            <w:hideMark/>
          </w:tcPr>
          <w:p w14:paraId="14114C9B"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75" w:type="dxa"/>
            <w:vMerge w:val="restart"/>
            <w:tcBorders>
              <w:top w:val="double" w:sz="6" w:space="0" w:color="auto"/>
              <w:left w:val="nil"/>
              <w:bottom w:val="double" w:sz="6" w:space="0" w:color="000000"/>
              <w:right w:val="nil"/>
            </w:tcBorders>
            <w:shd w:val="clear" w:color="auto" w:fill="auto"/>
            <w:vAlign w:val="center"/>
            <w:hideMark/>
          </w:tcPr>
          <w:p w14:paraId="76B49E9D"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65CA4A84" w14:textId="77777777" w:rsidTr="00FF6C17">
        <w:trPr>
          <w:trHeight w:val="330"/>
        </w:trPr>
        <w:tc>
          <w:tcPr>
            <w:tcW w:w="2020" w:type="dxa"/>
            <w:vMerge/>
            <w:tcBorders>
              <w:top w:val="double" w:sz="6" w:space="0" w:color="auto"/>
              <w:left w:val="nil"/>
              <w:bottom w:val="double" w:sz="6" w:space="0" w:color="000000"/>
              <w:right w:val="nil"/>
            </w:tcBorders>
            <w:vAlign w:val="center"/>
            <w:hideMark/>
          </w:tcPr>
          <w:p w14:paraId="4DBC1E4B" w14:textId="77777777" w:rsidR="003854F3" w:rsidRPr="00033A3F" w:rsidRDefault="003854F3" w:rsidP="003854F3">
            <w:pPr>
              <w:spacing w:line="240" w:lineRule="auto"/>
              <w:jc w:val="left"/>
              <w:rPr>
                <w:rFonts w:eastAsia="Times New Roman"/>
                <w:b/>
                <w:bCs/>
                <w:color w:val="000000" w:themeColor="text1"/>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44E30CE5"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0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5728B60"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678" w:type="dxa"/>
            <w:gridSpan w:val="2"/>
            <w:tcBorders>
              <w:top w:val="nil"/>
              <w:left w:val="nil"/>
              <w:bottom w:val="double" w:sz="6" w:space="0" w:color="auto"/>
              <w:right w:val="single" w:sz="4" w:space="0" w:color="000000"/>
            </w:tcBorders>
            <w:shd w:val="clear" w:color="auto" w:fill="auto"/>
            <w:noWrap/>
            <w:vAlign w:val="center"/>
            <w:hideMark/>
          </w:tcPr>
          <w:p w14:paraId="2659C814"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75" w:type="dxa"/>
            <w:vMerge/>
            <w:tcBorders>
              <w:top w:val="double" w:sz="6" w:space="0" w:color="auto"/>
              <w:left w:val="nil"/>
              <w:bottom w:val="double" w:sz="6" w:space="0" w:color="000000"/>
              <w:right w:val="nil"/>
            </w:tcBorders>
            <w:vAlign w:val="center"/>
            <w:hideMark/>
          </w:tcPr>
          <w:p w14:paraId="5D5D77D0" w14:textId="77777777" w:rsidR="003854F3" w:rsidRPr="00033A3F" w:rsidRDefault="003854F3" w:rsidP="003854F3">
            <w:pPr>
              <w:spacing w:line="240" w:lineRule="auto"/>
              <w:jc w:val="left"/>
              <w:rPr>
                <w:rFonts w:eastAsia="Times New Roman"/>
                <w:b/>
                <w:bCs/>
                <w:color w:val="000000" w:themeColor="text1"/>
                <w:szCs w:val="24"/>
                <w:lang w:eastAsia="cs-CZ"/>
              </w:rPr>
            </w:pPr>
          </w:p>
        </w:tc>
      </w:tr>
      <w:tr w:rsidR="00033A3F" w:rsidRPr="00033A3F" w14:paraId="5709BB28" w14:textId="77777777" w:rsidTr="00FF6C17">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C998FA2"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48" w:type="dxa"/>
            <w:tcBorders>
              <w:top w:val="single" w:sz="4" w:space="0" w:color="auto"/>
              <w:left w:val="nil"/>
              <w:bottom w:val="single" w:sz="4" w:space="0" w:color="auto"/>
              <w:right w:val="nil"/>
            </w:tcBorders>
            <w:shd w:val="clear" w:color="auto" w:fill="auto"/>
            <w:noWrap/>
            <w:vAlign w:val="bottom"/>
            <w:hideMark/>
          </w:tcPr>
          <w:p w14:paraId="4A27FFFC"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13 848</w:t>
            </w:r>
          </w:p>
        </w:tc>
        <w:tc>
          <w:tcPr>
            <w:tcW w:w="945" w:type="dxa"/>
            <w:tcBorders>
              <w:top w:val="single" w:sz="4" w:space="0" w:color="auto"/>
              <w:left w:val="nil"/>
              <w:bottom w:val="single" w:sz="4" w:space="0" w:color="auto"/>
              <w:right w:val="nil"/>
            </w:tcBorders>
            <w:shd w:val="clear" w:color="auto" w:fill="auto"/>
            <w:noWrap/>
            <w:vAlign w:val="center"/>
            <w:hideMark/>
          </w:tcPr>
          <w:p w14:paraId="7B9440FB" w14:textId="597B005A"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5" w:type="dxa"/>
            <w:tcBorders>
              <w:top w:val="single" w:sz="4" w:space="0" w:color="auto"/>
              <w:left w:val="single" w:sz="4" w:space="0" w:color="auto"/>
              <w:bottom w:val="single" w:sz="4" w:space="0" w:color="auto"/>
              <w:right w:val="nil"/>
            </w:tcBorders>
            <w:shd w:val="clear" w:color="auto" w:fill="auto"/>
            <w:noWrap/>
            <w:vAlign w:val="bottom"/>
            <w:hideMark/>
          </w:tcPr>
          <w:p w14:paraId="018DE69B"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13 816</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BD480E1" w14:textId="5EC96D9C"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47" w:type="dxa"/>
            <w:tcBorders>
              <w:top w:val="single" w:sz="4" w:space="0" w:color="auto"/>
              <w:left w:val="nil"/>
              <w:bottom w:val="single" w:sz="4" w:space="0" w:color="auto"/>
              <w:right w:val="nil"/>
            </w:tcBorders>
            <w:shd w:val="clear" w:color="auto" w:fill="auto"/>
            <w:noWrap/>
            <w:vAlign w:val="bottom"/>
            <w:hideMark/>
          </w:tcPr>
          <w:p w14:paraId="626116E6"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3 635</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41B84EB8" w14:textId="707EEF9B"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275" w:type="dxa"/>
            <w:tcBorders>
              <w:top w:val="nil"/>
              <w:left w:val="nil"/>
              <w:bottom w:val="single" w:sz="4" w:space="0" w:color="auto"/>
              <w:right w:val="nil"/>
            </w:tcBorders>
            <w:shd w:val="clear" w:color="auto" w:fill="auto"/>
            <w:noWrap/>
            <w:vAlign w:val="center"/>
            <w:hideMark/>
          </w:tcPr>
          <w:p w14:paraId="56B0C887" w14:textId="4B7387A5"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99,8 %</w:t>
            </w:r>
          </w:p>
        </w:tc>
      </w:tr>
      <w:tr w:rsidR="00033A3F" w:rsidRPr="00033A3F" w14:paraId="567C6018"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2B5DDEC0"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48" w:type="dxa"/>
            <w:tcBorders>
              <w:top w:val="nil"/>
              <w:left w:val="nil"/>
              <w:bottom w:val="single" w:sz="4" w:space="0" w:color="auto"/>
              <w:right w:val="nil"/>
            </w:tcBorders>
            <w:shd w:val="clear" w:color="auto" w:fill="auto"/>
            <w:noWrap/>
            <w:vAlign w:val="bottom"/>
            <w:hideMark/>
          </w:tcPr>
          <w:p w14:paraId="4B3730D5"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20 571</w:t>
            </w:r>
          </w:p>
        </w:tc>
        <w:tc>
          <w:tcPr>
            <w:tcW w:w="945" w:type="dxa"/>
            <w:tcBorders>
              <w:top w:val="nil"/>
              <w:left w:val="nil"/>
              <w:bottom w:val="single" w:sz="4" w:space="0" w:color="auto"/>
              <w:right w:val="nil"/>
            </w:tcBorders>
            <w:shd w:val="clear" w:color="auto" w:fill="auto"/>
            <w:noWrap/>
            <w:vAlign w:val="center"/>
            <w:hideMark/>
          </w:tcPr>
          <w:p w14:paraId="1F59475A" w14:textId="50BB09C4"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85" w:type="dxa"/>
            <w:tcBorders>
              <w:top w:val="nil"/>
              <w:left w:val="single" w:sz="4" w:space="0" w:color="auto"/>
              <w:bottom w:val="single" w:sz="4" w:space="0" w:color="auto"/>
              <w:right w:val="nil"/>
            </w:tcBorders>
            <w:shd w:val="clear" w:color="auto" w:fill="auto"/>
            <w:noWrap/>
            <w:vAlign w:val="bottom"/>
            <w:hideMark/>
          </w:tcPr>
          <w:p w14:paraId="3F1317B8"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20 142</w:t>
            </w:r>
          </w:p>
        </w:tc>
        <w:tc>
          <w:tcPr>
            <w:tcW w:w="821" w:type="dxa"/>
            <w:tcBorders>
              <w:top w:val="nil"/>
              <w:left w:val="nil"/>
              <w:bottom w:val="single" w:sz="4" w:space="0" w:color="auto"/>
              <w:right w:val="single" w:sz="4" w:space="0" w:color="auto"/>
            </w:tcBorders>
            <w:shd w:val="clear" w:color="auto" w:fill="auto"/>
            <w:noWrap/>
            <w:vAlign w:val="center"/>
            <w:hideMark/>
          </w:tcPr>
          <w:p w14:paraId="5A81C762" w14:textId="327272CE"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7" w:type="dxa"/>
            <w:tcBorders>
              <w:top w:val="nil"/>
              <w:left w:val="nil"/>
              <w:bottom w:val="single" w:sz="4" w:space="0" w:color="auto"/>
              <w:right w:val="nil"/>
            </w:tcBorders>
            <w:shd w:val="clear" w:color="auto" w:fill="auto"/>
            <w:noWrap/>
            <w:vAlign w:val="bottom"/>
            <w:hideMark/>
          </w:tcPr>
          <w:p w14:paraId="3FCAD6C4"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4 803</w:t>
            </w:r>
          </w:p>
        </w:tc>
        <w:tc>
          <w:tcPr>
            <w:tcW w:w="731" w:type="dxa"/>
            <w:tcBorders>
              <w:top w:val="nil"/>
              <w:left w:val="nil"/>
              <w:bottom w:val="single" w:sz="4" w:space="0" w:color="auto"/>
              <w:right w:val="single" w:sz="4" w:space="0" w:color="auto"/>
            </w:tcBorders>
            <w:shd w:val="clear" w:color="auto" w:fill="auto"/>
            <w:noWrap/>
            <w:vAlign w:val="center"/>
            <w:hideMark/>
          </w:tcPr>
          <w:p w14:paraId="639DE0B6" w14:textId="6BAB1111"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275" w:type="dxa"/>
            <w:tcBorders>
              <w:top w:val="nil"/>
              <w:left w:val="nil"/>
              <w:bottom w:val="single" w:sz="4" w:space="0" w:color="auto"/>
              <w:right w:val="nil"/>
            </w:tcBorders>
            <w:shd w:val="clear" w:color="auto" w:fill="auto"/>
            <w:noWrap/>
            <w:vAlign w:val="center"/>
            <w:hideMark/>
          </w:tcPr>
          <w:p w14:paraId="3AC29935" w14:textId="4FA3D211"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97,9 %</w:t>
            </w:r>
          </w:p>
        </w:tc>
      </w:tr>
      <w:tr w:rsidR="00033A3F" w:rsidRPr="00033A3F" w14:paraId="4804408D"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7C7F4A63"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48" w:type="dxa"/>
            <w:tcBorders>
              <w:top w:val="nil"/>
              <w:left w:val="nil"/>
              <w:bottom w:val="single" w:sz="4" w:space="0" w:color="auto"/>
              <w:right w:val="nil"/>
            </w:tcBorders>
            <w:shd w:val="clear" w:color="auto" w:fill="auto"/>
            <w:noWrap/>
            <w:vAlign w:val="bottom"/>
            <w:hideMark/>
          </w:tcPr>
          <w:p w14:paraId="3A55B7B8"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11 422</w:t>
            </w:r>
          </w:p>
        </w:tc>
        <w:tc>
          <w:tcPr>
            <w:tcW w:w="945" w:type="dxa"/>
            <w:tcBorders>
              <w:top w:val="nil"/>
              <w:left w:val="nil"/>
              <w:bottom w:val="single" w:sz="4" w:space="0" w:color="auto"/>
              <w:right w:val="nil"/>
            </w:tcBorders>
            <w:shd w:val="clear" w:color="auto" w:fill="auto"/>
            <w:noWrap/>
            <w:vAlign w:val="center"/>
            <w:hideMark/>
          </w:tcPr>
          <w:p w14:paraId="0575DC26" w14:textId="1CBA96EA"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c>
          <w:tcPr>
            <w:tcW w:w="1085" w:type="dxa"/>
            <w:tcBorders>
              <w:top w:val="nil"/>
              <w:left w:val="single" w:sz="4" w:space="0" w:color="auto"/>
              <w:bottom w:val="single" w:sz="4" w:space="0" w:color="auto"/>
              <w:right w:val="nil"/>
            </w:tcBorders>
            <w:shd w:val="clear" w:color="auto" w:fill="auto"/>
            <w:noWrap/>
            <w:vAlign w:val="bottom"/>
            <w:hideMark/>
          </w:tcPr>
          <w:p w14:paraId="158B4A2A"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11 159</w:t>
            </w:r>
          </w:p>
        </w:tc>
        <w:tc>
          <w:tcPr>
            <w:tcW w:w="821" w:type="dxa"/>
            <w:tcBorders>
              <w:top w:val="nil"/>
              <w:left w:val="nil"/>
              <w:bottom w:val="single" w:sz="4" w:space="0" w:color="auto"/>
              <w:right w:val="single" w:sz="4" w:space="0" w:color="auto"/>
            </w:tcBorders>
            <w:shd w:val="clear" w:color="auto" w:fill="auto"/>
            <w:noWrap/>
            <w:vAlign w:val="center"/>
            <w:hideMark/>
          </w:tcPr>
          <w:p w14:paraId="1BA8F51E" w14:textId="3D3C4B7A"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947" w:type="dxa"/>
            <w:tcBorders>
              <w:top w:val="nil"/>
              <w:left w:val="nil"/>
              <w:bottom w:val="single" w:sz="4" w:space="0" w:color="auto"/>
              <w:right w:val="nil"/>
            </w:tcBorders>
            <w:shd w:val="clear" w:color="auto" w:fill="auto"/>
            <w:noWrap/>
            <w:vAlign w:val="bottom"/>
            <w:hideMark/>
          </w:tcPr>
          <w:p w14:paraId="3BD03ACB"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2 270</w:t>
            </w:r>
          </w:p>
        </w:tc>
        <w:tc>
          <w:tcPr>
            <w:tcW w:w="731" w:type="dxa"/>
            <w:tcBorders>
              <w:top w:val="nil"/>
              <w:left w:val="nil"/>
              <w:bottom w:val="single" w:sz="4" w:space="0" w:color="auto"/>
              <w:right w:val="single" w:sz="4" w:space="0" w:color="auto"/>
            </w:tcBorders>
            <w:shd w:val="clear" w:color="auto" w:fill="auto"/>
            <w:noWrap/>
            <w:vAlign w:val="center"/>
            <w:hideMark/>
          </w:tcPr>
          <w:p w14:paraId="3E6C4EBE" w14:textId="4D285133"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275" w:type="dxa"/>
            <w:tcBorders>
              <w:top w:val="nil"/>
              <w:left w:val="nil"/>
              <w:bottom w:val="single" w:sz="4" w:space="0" w:color="auto"/>
              <w:right w:val="nil"/>
            </w:tcBorders>
            <w:shd w:val="clear" w:color="auto" w:fill="auto"/>
            <w:noWrap/>
            <w:vAlign w:val="center"/>
            <w:hideMark/>
          </w:tcPr>
          <w:p w14:paraId="5C15B66C" w14:textId="5F98E4F4"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97,7 %</w:t>
            </w:r>
          </w:p>
        </w:tc>
      </w:tr>
      <w:tr w:rsidR="00033A3F" w:rsidRPr="00033A3F" w14:paraId="2CF8F9D5"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662D299A"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48" w:type="dxa"/>
            <w:tcBorders>
              <w:top w:val="nil"/>
              <w:left w:val="nil"/>
              <w:bottom w:val="single" w:sz="4" w:space="0" w:color="auto"/>
              <w:right w:val="nil"/>
            </w:tcBorders>
            <w:shd w:val="clear" w:color="auto" w:fill="auto"/>
            <w:noWrap/>
            <w:vAlign w:val="bottom"/>
            <w:hideMark/>
          </w:tcPr>
          <w:p w14:paraId="6DA1E49D"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12 812</w:t>
            </w:r>
          </w:p>
        </w:tc>
        <w:tc>
          <w:tcPr>
            <w:tcW w:w="945" w:type="dxa"/>
            <w:tcBorders>
              <w:top w:val="nil"/>
              <w:left w:val="nil"/>
              <w:bottom w:val="single" w:sz="4" w:space="0" w:color="auto"/>
              <w:right w:val="nil"/>
            </w:tcBorders>
            <w:shd w:val="clear" w:color="auto" w:fill="auto"/>
            <w:noWrap/>
            <w:vAlign w:val="center"/>
            <w:hideMark/>
          </w:tcPr>
          <w:p w14:paraId="76CC5BE9" w14:textId="1EBFEF1D" w:rsidR="003854F3" w:rsidRPr="00033A3F" w:rsidRDefault="003854F3" w:rsidP="003854F3">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85" w:type="dxa"/>
            <w:tcBorders>
              <w:top w:val="nil"/>
              <w:left w:val="single" w:sz="4" w:space="0" w:color="auto"/>
              <w:bottom w:val="single" w:sz="4" w:space="0" w:color="auto"/>
              <w:right w:val="nil"/>
            </w:tcBorders>
            <w:shd w:val="clear" w:color="auto" w:fill="auto"/>
            <w:noWrap/>
            <w:vAlign w:val="bottom"/>
            <w:hideMark/>
          </w:tcPr>
          <w:p w14:paraId="18EEE3AC"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13 458</w:t>
            </w:r>
          </w:p>
        </w:tc>
        <w:tc>
          <w:tcPr>
            <w:tcW w:w="821" w:type="dxa"/>
            <w:tcBorders>
              <w:top w:val="nil"/>
              <w:left w:val="nil"/>
              <w:bottom w:val="single" w:sz="4" w:space="0" w:color="auto"/>
              <w:right w:val="single" w:sz="4" w:space="0" w:color="auto"/>
            </w:tcBorders>
            <w:shd w:val="clear" w:color="auto" w:fill="auto"/>
            <w:noWrap/>
            <w:vAlign w:val="center"/>
            <w:hideMark/>
          </w:tcPr>
          <w:p w14:paraId="1FA0F1DD" w14:textId="4445005B"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47" w:type="dxa"/>
            <w:tcBorders>
              <w:top w:val="nil"/>
              <w:left w:val="nil"/>
              <w:bottom w:val="single" w:sz="4" w:space="0" w:color="auto"/>
              <w:right w:val="nil"/>
            </w:tcBorders>
            <w:shd w:val="clear" w:color="auto" w:fill="auto"/>
            <w:noWrap/>
            <w:vAlign w:val="bottom"/>
            <w:hideMark/>
          </w:tcPr>
          <w:p w14:paraId="7C6B5D7C"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3 136</w:t>
            </w:r>
          </w:p>
        </w:tc>
        <w:tc>
          <w:tcPr>
            <w:tcW w:w="731" w:type="dxa"/>
            <w:tcBorders>
              <w:top w:val="nil"/>
              <w:left w:val="nil"/>
              <w:bottom w:val="single" w:sz="4" w:space="0" w:color="auto"/>
              <w:right w:val="single" w:sz="4" w:space="0" w:color="auto"/>
            </w:tcBorders>
            <w:shd w:val="clear" w:color="auto" w:fill="auto"/>
            <w:noWrap/>
            <w:vAlign w:val="center"/>
            <w:hideMark/>
          </w:tcPr>
          <w:p w14:paraId="3DEE52B6" w14:textId="262B6E37"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275" w:type="dxa"/>
            <w:tcBorders>
              <w:top w:val="nil"/>
              <w:left w:val="nil"/>
              <w:bottom w:val="single" w:sz="4" w:space="0" w:color="auto"/>
              <w:right w:val="nil"/>
            </w:tcBorders>
            <w:shd w:val="clear" w:color="auto" w:fill="auto"/>
            <w:noWrap/>
            <w:vAlign w:val="center"/>
            <w:hideMark/>
          </w:tcPr>
          <w:p w14:paraId="7AE7E2E9" w14:textId="5E0DFC44"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105,0 %</w:t>
            </w:r>
          </w:p>
        </w:tc>
      </w:tr>
      <w:tr w:rsidR="00033A3F" w:rsidRPr="00033A3F" w14:paraId="107320C0"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66953D83"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48" w:type="dxa"/>
            <w:tcBorders>
              <w:top w:val="nil"/>
              <w:left w:val="nil"/>
              <w:bottom w:val="single" w:sz="4" w:space="0" w:color="auto"/>
              <w:right w:val="nil"/>
            </w:tcBorders>
            <w:shd w:val="clear" w:color="auto" w:fill="auto"/>
            <w:noWrap/>
            <w:vAlign w:val="bottom"/>
            <w:hideMark/>
          </w:tcPr>
          <w:p w14:paraId="0665C254"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19 700</w:t>
            </w:r>
          </w:p>
        </w:tc>
        <w:tc>
          <w:tcPr>
            <w:tcW w:w="945" w:type="dxa"/>
            <w:tcBorders>
              <w:top w:val="nil"/>
              <w:left w:val="nil"/>
              <w:bottom w:val="single" w:sz="4" w:space="0" w:color="auto"/>
              <w:right w:val="nil"/>
            </w:tcBorders>
            <w:shd w:val="clear" w:color="auto" w:fill="auto"/>
            <w:noWrap/>
            <w:vAlign w:val="center"/>
            <w:hideMark/>
          </w:tcPr>
          <w:p w14:paraId="08DCCE09" w14:textId="6B2FEE92"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5" w:type="dxa"/>
            <w:tcBorders>
              <w:top w:val="nil"/>
              <w:left w:val="single" w:sz="4" w:space="0" w:color="auto"/>
              <w:bottom w:val="single" w:sz="4" w:space="0" w:color="auto"/>
              <w:right w:val="nil"/>
            </w:tcBorders>
            <w:shd w:val="clear" w:color="auto" w:fill="auto"/>
            <w:noWrap/>
            <w:vAlign w:val="bottom"/>
            <w:hideMark/>
          </w:tcPr>
          <w:p w14:paraId="19D8E79E"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19 517</w:t>
            </w:r>
          </w:p>
        </w:tc>
        <w:tc>
          <w:tcPr>
            <w:tcW w:w="821" w:type="dxa"/>
            <w:tcBorders>
              <w:top w:val="nil"/>
              <w:left w:val="nil"/>
              <w:bottom w:val="single" w:sz="4" w:space="0" w:color="auto"/>
              <w:right w:val="single" w:sz="4" w:space="0" w:color="auto"/>
            </w:tcBorders>
            <w:shd w:val="clear" w:color="auto" w:fill="auto"/>
            <w:noWrap/>
            <w:vAlign w:val="center"/>
            <w:hideMark/>
          </w:tcPr>
          <w:p w14:paraId="313A62A7" w14:textId="28E058E4"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7" w:type="dxa"/>
            <w:tcBorders>
              <w:top w:val="nil"/>
              <w:left w:val="nil"/>
              <w:bottom w:val="single" w:sz="4" w:space="0" w:color="auto"/>
              <w:right w:val="nil"/>
            </w:tcBorders>
            <w:shd w:val="clear" w:color="auto" w:fill="auto"/>
            <w:noWrap/>
            <w:vAlign w:val="bottom"/>
            <w:hideMark/>
          </w:tcPr>
          <w:p w14:paraId="27E77ABC"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5 518</w:t>
            </w:r>
          </w:p>
        </w:tc>
        <w:tc>
          <w:tcPr>
            <w:tcW w:w="731" w:type="dxa"/>
            <w:tcBorders>
              <w:top w:val="nil"/>
              <w:left w:val="nil"/>
              <w:bottom w:val="single" w:sz="4" w:space="0" w:color="auto"/>
              <w:right w:val="single" w:sz="4" w:space="0" w:color="auto"/>
            </w:tcBorders>
            <w:shd w:val="clear" w:color="auto" w:fill="auto"/>
            <w:noWrap/>
            <w:vAlign w:val="center"/>
            <w:hideMark/>
          </w:tcPr>
          <w:p w14:paraId="765C3E82" w14:textId="41BEF46D"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275" w:type="dxa"/>
            <w:tcBorders>
              <w:top w:val="nil"/>
              <w:left w:val="nil"/>
              <w:bottom w:val="single" w:sz="4" w:space="0" w:color="auto"/>
              <w:right w:val="nil"/>
            </w:tcBorders>
            <w:shd w:val="clear" w:color="auto" w:fill="auto"/>
            <w:noWrap/>
            <w:vAlign w:val="center"/>
            <w:hideMark/>
          </w:tcPr>
          <w:p w14:paraId="4BD6F49E" w14:textId="1183FBD2"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99,1 %</w:t>
            </w:r>
          </w:p>
        </w:tc>
      </w:tr>
      <w:tr w:rsidR="00033A3F" w:rsidRPr="00033A3F" w14:paraId="18A2D357"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2BBC26F0"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48" w:type="dxa"/>
            <w:tcBorders>
              <w:top w:val="nil"/>
              <w:left w:val="nil"/>
              <w:bottom w:val="single" w:sz="4" w:space="0" w:color="auto"/>
              <w:right w:val="nil"/>
            </w:tcBorders>
            <w:shd w:val="clear" w:color="auto" w:fill="auto"/>
            <w:noWrap/>
            <w:vAlign w:val="bottom"/>
            <w:hideMark/>
          </w:tcPr>
          <w:p w14:paraId="6C2EA013"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16 575</w:t>
            </w:r>
          </w:p>
        </w:tc>
        <w:tc>
          <w:tcPr>
            <w:tcW w:w="945" w:type="dxa"/>
            <w:tcBorders>
              <w:top w:val="nil"/>
              <w:left w:val="nil"/>
              <w:bottom w:val="single" w:sz="4" w:space="0" w:color="auto"/>
              <w:right w:val="nil"/>
            </w:tcBorders>
            <w:shd w:val="clear" w:color="auto" w:fill="auto"/>
            <w:noWrap/>
            <w:vAlign w:val="center"/>
            <w:hideMark/>
          </w:tcPr>
          <w:p w14:paraId="53BFDF67" w14:textId="55B3CC05"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85" w:type="dxa"/>
            <w:tcBorders>
              <w:top w:val="nil"/>
              <w:left w:val="single" w:sz="4" w:space="0" w:color="auto"/>
              <w:bottom w:val="single" w:sz="4" w:space="0" w:color="auto"/>
              <w:right w:val="nil"/>
            </w:tcBorders>
            <w:shd w:val="clear" w:color="auto" w:fill="auto"/>
            <w:noWrap/>
            <w:vAlign w:val="bottom"/>
            <w:hideMark/>
          </w:tcPr>
          <w:p w14:paraId="02EA5ED8"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16 824</w:t>
            </w:r>
          </w:p>
        </w:tc>
        <w:tc>
          <w:tcPr>
            <w:tcW w:w="821" w:type="dxa"/>
            <w:tcBorders>
              <w:top w:val="nil"/>
              <w:left w:val="nil"/>
              <w:bottom w:val="single" w:sz="4" w:space="0" w:color="auto"/>
              <w:right w:val="single" w:sz="4" w:space="0" w:color="auto"/>
            </w:tcBorders>
            <w:shd w:val="clear" w:color="auto" w:fill="auto"/>
            <w:noWrap/>
            <w:vAlign w:val="center"/>
            <w:hideMark/>
          </w:tcPr>
          <w:p w14:paraId="74453193" w14:textId="6DA6AE29"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947" w:type="dxa"/>
            <w:tcBorders>
              <w:top w:val="nil"/>
              <w:left w:val="nil"/>
              <w:bottom w:val="single" w:sz="4" w:space="0" w:color="auto"/>
              <w:right w:val="nil"/>
            </w:tcBorders>
            <w:shd w:val="clear" w:color="auto" w:fill="auto"/>
            <w:noWrap/>
            <w:vAlign w:val="bottom"/>
            <w:hideMark/>
          </w:tcPr>
          <w:p w14:paraId="1D8BBB95"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4 548</w:t>
            </w:r>
          </w:p>
        </w:tc>
        <w:tc>
          <w:tcPr>
            <w:tcW w:w="731" w:type="dxa"/>
            <w:tcBorders>
              <w:top w:val="nil"/>
              <w:left w:val="nil"/>
              <w:bottom w:val="single" w:sz="4" w:space="0" w:color="auto"/>
              <w:right w:val="single" w:sz="4" w:space="0" w:color="auto"/>
            </w:tcBorders>
            <w:shd w:val="clear" w:color="auto" w:fill="auto"/>
            <w:noWrap/>
            <w:vAlign w:val="center"/>
            <w:hideMark/>
          </w:tcPr>
          <w:p w14:paraId="14A8122E" w14:textId="2E744CA3"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75" w:type="dxa"/>
            <w:tcBorders>
              <w:top w:val="nil"/>
              <w:left w:val="nil"/>
              <w:bottom w:val="single" w:sz="4" w:space="0" w:color="auto"/>
              <w:right w:val="nil"/>
            </w:tcBorders>
            <w:shd w:val="clear" w:color="auto" w:fill="auto"/>
            <w:noWrap/>
            <w:vAlign w:val="center"/>
            <w:hideMark/>
          </w:tcPr>
          <w:p w14:paraId="0ECE3A64" w14:textId="013E8395"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101,5 %</w:t>
            </w:r>
          </w:p>
        </w:tc>
      </w:tr>
      <w:tr w:rsidR="00033A3F" w:rsidRPr="00033A3F" w14:paraId="2BEC2D82"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39926F3F"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48" w:type="dxa"/>
            <w:tcBorders>
              <w:top w:val="nil"/>
              <w:left w:val="nil"/>
              <w:bottom w:val="single" w:sz="4" w:space="0" w:color="auto"/>
              <w:right w:val="nil"/>
            </w:tcBorders>
            <w:shd w:val="clear" w:color="auto" w:fill="auto"/>
            <w:noWrap/>
            <w:vAlign w:val="bottom"/>
            <w:hideMark/>
          </w:tcPr>
          <w:p w14:paraId="41C29808"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23 642</w:t>
            </w:r>
          </w:p>
        </w:tc>
        <w:tc>
          <w:tcPr>
            <w:tcW w:w="945" w:type="dxa"/>
            <w:tcBorders>
              <w:top w:val="nil"/>
              <w:left w:val="nil"/>
              <w:bottom w:val="single" w:sz="4" w:space="0" w:color="auto"/>
              <w:right w:val="nil"/>
            </w:tcBorders>
            <w:shd w:val="clear" w:color="auto" w:fill="auto"/>
            <w:noWrap/>
            <w:vAlign w:val="center"/>
            <w:hideMark/>
          </w:tcPr>
          <w:p w14:paraId="614F4412" w14:textId="3EACD8DD"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5" w:type="dxa"/>
            <w:tcBorders>
              <w:top w:val="nil"/>
              <w:left w:val="single" w:sz="4" w:space="0" w:color="auto"/>
              <w:bottom w:val="single" w:sz="4" w:space="0" w:color="auto"/>
              <w:right w:val="nil"/>
            </w:tcBorders>
            <w:shd w:val="clear" w:color="auto" w:fill="auto"/>
            <w:noWrap/>
            <w:vAlign w:val="bottom"/>
            <w:hideMark/>
          </w:tcPr>
          <w:p w14:paraId="38F34639"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24 153</w:t>
            </w:r>
          </w:p>
        </w:tc>
        <w:tc>
          <w:tcPr>
            <w:tcW w:w="821" w:type="dxa"/>
            <w:tcBorders>
              <w:top w:val="nil"/>
              <w:left w:val="nil"/>
              <w:bottom w:val="single" w:sz="4" w:space="0" w:color="auto"/>
              <w:right w:val="single" w:sz="4" w:space="0" w:color="auto"/>
            </w:tcBorders>
            <w:shd w:val="clear" w:color="auto" w:fill="auto"/>
            <w:noWrap/>
            <w:vAlign w:val="center"/>
            <w:hideMark/>
          </w:tcPr>
          <w:p w14:paraId="67D9D0D2" w14:textId="0808735A"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47" w:type="dxa"/>
            <w:tcBorders>
              <w:top w:val="nil"/>
              <w:left w:val="nil"/>
              <w:bottom w:val="single" w:sz="4" w:space="0" w:color="auto"/>
              <w:right w:val="nil"/>
            </w:tcBorders>
            <w:shd w:val="clear" w:color="auto" w:fill="auto"/>
            <w:noWrap/>
            <w:vAlign w:val="bottom"/>
            <w:hideMark/>
          </w:tcPr>
          <w:p w14:paraId="2A2CF982"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7 590</w:t>
            </w:r>
          </w:p>
        </w:tc>
        <w:tc>
          <w:tcPr>
            <w:tcW w:w="731" w:type="dxa"/>
            <w:tcBorders>
              <w:top w:val="nil"/>
              <w:left w:val="nil"/>
              <w:bottom w:val="single" w:sz="4" w:space="0" w:color="auto"/>
              <w:right w:val="single" w:sz="4" w:space="0" w:color="auto"/>
            </w:tcBorders>
            <w:shd w:val="clear" w:color="auto" w:fill="auto"/>
            <w:noWrap/>
            <w:vAlign w:val="center"/>
            <w:hideMark/>
          </w:tcPr>
          <w:p w14:paraId="1A6CB550" w14:textId="473DE7BC" w:rsidR="003854F3" w:rsidRPr="00033A3F" w:rsidRDefault="003854F3" w:rsidP="003854F3">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275" w:type="dxa"/>
            <w:tcBorders>
              <w:top w:val="nil"/>
              <w:left w:val="nil"/>
              <w:bottom w:val="single" w:sz="4" w:space="0" w:color="auto"/>
              <w:right w:val="nil"/>
            </w:tcBorders>
            <w:shd w:val="clear" w:color="auto" w:fill="auto"/>
            <w:noWrap/>
            <w:vAlign w:val="center"/>
            <w:hideMark/>
          </w:tcPr>
          <w:p w14:paraId="577483AB" w14:textId="07A7F281"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102,2 %</w:t>
            </w:r>
          </w:p>
        </w:tc>
      </w:tr>
      <w:tr w:rsidR="00033A3F" w:rsidRPr="00033A3F" w14:paraId="64F24E20" w14:textId="77777777" w:rsidTr="00FF6C17">
        <w:trPr>
          <w:trHeight w:val="330"/>
        </w:trPr>
        <w:tc>
          <w:tcPr>
            <w:tcW w:w="2020" w:type="dxa"/>
            <w:tcBorders>
              <w:top w:val="nil"/>
              <w:left w:val="nil"/>
              <w:bottom w:val="double" w:sz="6" w:space="0" w:color="auto"/>
              <w:right w:val="nil"/>
            </w:tcBorders>
            <w:shd w:val="clear" w:color="auto" w:fill="auto"/>
            <w:noWrap/>
            <w:vAlign w:val="bottom"/>
            <w:hideMark/>
          </w:tcPr>
          <w:p w14:paraId="1E9AADC5"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48" w:type="dxa"/>
            <w:tcBorders>
              <w:top w:val="nil"/>
              <w:left w:val="nil"/>
              <w:bottom w:val="double" w:sz="6" w:space="0" w:color="auto"/>
              <w:right w:val="nil"/>
            </w:tcBorders>
            <w:shd w:val="clear" w:color="auto" w:fill="auto"/>
            <w:noWrap/>
            <w:vAlign w:val="bottom"/>
            <w:hideMark/>
          </w:tcPr>
          <w:p w14:paraId="2F09145E"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28 806</w:t>
            </w:r>
          </w:p>
        </w:tc>
        <w:tc>
          <w:tcPr>
            <w:tcW w:w="945" w:type="dxa"/>
            <w:tcBorders>
              <w:top w:val="nil"/>
              <w:left w:val="nil"/>
              <w:bottom w:val="double" w:sz="6" w:space="0" w:color="auto"/>
              <w:right w:val="nil"/>
            </w:tcBorders>
            <w:shd w:val="clear" w:color="auto" w:fill="auto"/>
            <w:noWrap/>
            <w:vAlign w:val="center"/>
            <w:hideMark/>
          </w:tcPr>
          <w:p w14:paraId="0A5F1DAA" w14:textId="2CEFFF4D"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85" w:type="dxa"/>
            <w:tcBorders>
              <w:top w:val="nil"/>
              <w:left w:val="single" w:sz="4" w:space="0" w:color="auto"/>
              <w:bottom w:val="double" w:sz="6" w:space="0" w:color="auto"/>
              <w:right w:val="nil"/>
            </w:tcBorders>
            <w:shd w:val="clear" w:color="auto" w:fill="auto"/>
            <w:noWrap/>
            <w:vAlign w:val="bottom"/>
            <w:hideMark/>
          </w:tcPr>
          <w:p w14:paraId="7E01A91E"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28 597</w:t>
            </w:r>
          </w:p>
        </w:tc>
        <w:tc>
          <w:tcPr>
            <w:tcW w:w="821" w:type="dxa"/>
            <w:tcBorders>
              <w:top w:val="nil"/>
              <w:left w:val="nil"/>
              <w:bottom w:val="double" w:sz="6" w:space="0" w:color="auto"/>
              <w:right w:val="single" w:sz="4" w:space="0" w:color="auto"/>
            </w:tcBorders>
            <w:shd w:val="clear" w:color="auto" w:fill="auto"/>
            <w:noWrap/>
            <w:vAlign w:val="center"/>
            <w:hideMark/>
          </w:tcPr>
          <w:p w14:paraId="20C1E41A" w14:textId="0E21E4F3"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47" w:type="dxa"/>
            <w:tcBorders>
              <w:top w:val="nil"/>
              <w:left w:val="nil"/>
              <w:bottom w:val="double" w:sz="6" w:space="0" w:color="auto"/>
              <w:right w:val="nil"/>
            </w:tcBorders>
            <w:shd w:val="clear" w:color="auto" w:fill="auto"/>
            <w:noWrap/>
            <w:vAlign w:val="bottom"/>
            <w:hideMark/>
          </w:tcPr>
          <w:p w14:paraId="49588B31"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8 267</w:t>
            </w:r>
          </w:p>
        </w:tc>
        <w:tc>
          <w:tcPr>
            <w:tcW w:w="731" w:type="dxa"/>
            <w:tcBorders>
              <w:top w:val="nil"/>
              <w:left w:val="nil"/>
              <w:bottom w:val="double" w:sz="6" w:space="0" w:color="auto"/>
              <w:right w:val="single" w:sz="4" w:space="0" w:color="auto"/>
            </w:tcBorders>
            <w:shd w:val="clear" w:color="auto" w:fill="auto"/>
            <w:noWrap/>
            <w:vAlign w:val="center"/>
            <w:hideMark/>
          </w:tcPr>
          <w:p w14:paraId="64E0B728" w14:textId="4558E5B1"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275" w:type="dxa"/>
            <w:tcBorders>
              <w:top w:val="nil"/>
              <w:left w:val="nil"/>
              <w:bottom w:val="nil"/>
              <w:right w:val="nil"/>
            </w:tcBorders>
            <w:shd w:val="clear" w:color="auto" w:fill="auto"/>
            <w:noWrap/>
            <w:vAlign w:val="center"/>
            <w:hideMark/>
          </w:tcPr>
          <w:p w14:paraId="1BDF6A00" w14:textId="43D2F808"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99,3 %</w:t>
            </w:r>
          </w:p>
        </w:tc>
      </w:tr>
      <w:tr w:rsidR="00033A3F" w:rsidRPr="00033A3F" w14:paraId="6F5AB528" w14:textId="77777777" w:rsidTr="00FF6C17">
        <w:trPr>
          <w:trHeight w:val="345"/>
        </w:trPr>
        <w:tc>
          <w:tcPr>
            <w:tcW w:w="2020" w:type="dxa"/>
            <w:tcBorders>
              <w:top w:val="nil"/>
              <w:left w:val="nil"/>
              <w:bottom w:val="double" w:sz="6" w:space="0" w:color="auto"/>
              <w:right w:val="nil"/>
            </w:tcBorders>
            <w:shd w:val="clear" w:color="auto" w:fill="auto"/>
            <w:noWrap/>
            <w:vAlign w:val="bottom"/>
            <w:hideMark/>
          </w:tcPr>
          <w:p w14:paraId="3EAC1072" w14:textId="77777777" w:rsidR="003854F3" w:rsidRPr="00033A3F" w:rsidRDefault="003854F3" w:rsidP="003854F3">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48" w:type="dxa"/>
            <w:tcBorders>
              <w:top w:val="nil"/>
              <w:left w:val="nil"/>
              <w:bottom w:val="double" w:sz="6" w:space="0" w:color="auto"/>
              <w:right w:val="nil"/>
            </w:tcBorders>
            <w:shd w:val="clear" w:color="auto" w:fill="auto"/>
            <w:noWrap/>
            <w:vAlign w:val="bottom"/>
            <w:hideMark/>
          </w:tcPr>
          <w:p w14:paraId="69FFB1B0"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147 376</w:t>
            </w:r>
          </w:p>
        </w:tc>
        <w:tc>
          <w:tcPr>
            <w:tcW w:w="945" w:type="dxa"/>
            <w:tcBorders>
              <w:top w:val="nil"/>
              <w:left w:val="nil"/>
              <w:bottom w:val="double" w:sz="6" w:space="0" w:color="auto"/>
              <w:right w:val="nil"/>
            </w:tcBorders>
            <w:shd w:val="clear" w:color="auto" w:fill="auto"/>
            <w:noWrap/>
            <w:vAlign w:val="center"/>
            <w:hideMark/>
          </w:tcPr>
          <w:p w14:paraId="1150A9B2" w14:textId="7E707F9A" w:rsidR="003854F3" w:rsidRPr="00033A3F" w:rsidRDefault="003854F3"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085" w:type="dxa"/>
            <w:tcBorders>
              <w:top w:val="nil"/>
              <w:left w:val="single" w:sz="4" w:space="0" w:color="auto"/>
              <w:bottom w:val="double" w:sz="6" w:space="0" w:color="auto"/>
              <w:right w:val="nil"/>
            </w:tcBorders>
            <w:shd w:val="clear" w:color="auto" w:fill="auto"/>
            <w:noWrap/>
            <w:vAlign w:val="bottom"/>
            <w:hideMark/>
          </w:tcPr>
          <w:p w14:paraId="5E8AD5B3"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147 666</w:t>
            </w:r>
          </w:p>
        </w:tc>
        <w:tc>
          <w:tcPr>
            <w:tcW w:w="821" w:type="dxa"/>
            <w:tcBorders>
              <w:top w:val="nil"/>
              <w:left w:val="nil"/>
              <w:bottom w:val="double" w:sz="6" w:space="0" w:color="auto"/>
              <w:right w:val="single" w:sz="4" w:space="0" w:color="auto"/>
            </w:tcBorders>
            <w:shd w:val="clear" w:color="auto" w:fill="auto"/>
            <w:noWrap/>
            <w:vAlign w:val="center"/>
            <w:hideMark/>
          </w:tcPr>
          <w:p w14:paraId="0F350B2C" w14:textId="3CDC4203" w:rsidR="003854F3" w:rsidRPr="00033A3F" w:rsidRDefault="003854F3"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c>
          <w:tcPr>
            <w:tcW w:w="947" w:type="dxa"/>
            <w:tcBorders>
              <w:top w:val="nil"/>
              <w:left w:val="nil"/>
              <w:bottom w:val="double" w:sz="6" w:space="0" w:color="auto"/>
              <w:right w:val="nil"/>
            </w:tcBorders>
            <w:shd w:val="clear" w:color="auto" w:fill="auto"/>
            <w:noWrap/>
            <w:vAlign w:val="bottom"/>
            <w:hideMark/>
          </w:tcPr>
          <w:p w14:paraId="00FA53FB"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39 767</w:t>
            </w:r>
          </w:p>
        </w:tc>
        <w:tc>
          <w:tcPr>
            <w:tcW w:w="731" w:type="dxa"/>
            <w:tcBorders>
              <w:top w:val="nil"/>
              <w:left w:val="nil"/>
              <w:bottom w:val="double" w:sz="6" w:space="0" w:color="auto"/>
              <w:right w:val="single" w:sz="4" w:space="0" w:color="auto"/>
            </w:tcBorders>
            <w:shd w:val="clear" w:color="auto" w:fill="auto"/>
            <w:noWrap/>
            <w:vAlign w:val="center"/>
            <w:hideMark/>
          </w:tcPr>
          <w:p w14:paraId="1E74721E" w14:textId="68DD4BB9" w:rsidR="003854F3" w:rsidRPr="00033A3F" w:rsidRDefault="003854F3"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275" w:type="dxa"/>
            <w:tcBorders>
              <w:top w:val="double" w:sz="6" w:space="0" w:color="auto"/>
              <w:left w:val="nil"/>
              <w:bottom w:val="double" w:sz="6" w:space="0" w:color="auto"/>
              <w:right w:val="nil"/>
            </w:tcBorders>
            <w:shd w:val="clear" w:color="auto" w:fill="auto"/>
            <w:noWrap/>
            <w:vAlign w:val="center"/>
            <w:hideMark/>
          </w:tcPr>
          <w:p w14:paraId="744AA9A3" w14:textId="0C4781E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100,2 %</w:t>
            </w:r>
          </w:p>
        </w:tc>
      </w:tr>
      <w:tr w:rsidR="00033A3F" w:rsidRPr="00033A3F" w14:paraId="1359A2CA" w14:textId="77777777" w:rsidTr="004C0D35">
        <w:trPr>
          <w:trHeight w:val="330"/>
        </w:trPr>
        <w:tc>
          <w:tcPr>
            <w:tcW w:w="2020" w:type="dxa"/>
            <w:tcBorders>
              <w:top w:val="nil"/>
              <w:left w:val="nil"/>
              <w:bottom w:val="nil"/>
              <w:right w:val="nil"/>
            </w:tcBorders>
            <w:shd w:val="clear" w:color="auto" w:fill="auto"/>
            <w:noWrap/>
            <w:vAlign w:val="bottom"/>
            <w:hideMark/>
          </w:tcPr>
          <w:p w14:paraId="05E4A729" w14:textId="77777777" w:rsidR="003854F3" w:rsidRPr="00033A3F" w:rsidRDefault="003854F3" w:rsidP="003854F3">
            <w:pPr>
              <w:spacing w:line="240" w:lineRule="auto"/>
              <w:jc w:val="center"/>
              <w:rPr>
                <w:rFonts w:eastAsia="Times New Roman"/>
                <w:b/>
                <w:bCs/>
                <w:color w:val="000000" w:themeColor="text1"/>
                <w:szCs w:val="24"/>
                <w:lang w:eastAsia="cs-CZ"/>
              </w:rPr>
            </w:pPr>
          </w:p>
        </w:tc>
        <w:tc>
          <w:tcPr>
            <w:tcW w:w="1248" w:type="dxa"/>
            <w:tcBorders>
              <w:top w:val="nil"/>
              <w:left w:val="nil"/>
              <w:bottom w:val="nil"/>
              <w:right w:val="nil"/>
            </w:tcBorders>
            <w:shd w:val="clear" w:color="auto" w:fill="auto"/>
            <w:noWrap/>
            <w:vAlign w:val="bottom"/>
            <w:hideMark/>
          </w:tcPr>
          <w:p w14:paraId="2FED8B77"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945" w:type="dxa"/>
            <w:tcBorders>
              <w:top w:val="nil"/>
              <w:left w:val="nil"/>
              <w:bottom w:val="nil"/>
              <w:right w:val="nil"/>
            </w:tcBorders>
            <w:shd w:val="clear" w:color="auto" w:fill="auto"/>
            <w:noWrap/>
            <w:vAlign w:val="bottom"/>
            <w:hideMark/>
          </w:tcPr>
          <w:p w14:paraId="470C1737"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1085" w:type="dxa"/>
            <w:tcBorders>
              <w:top w:val="nil"/>
              <w:left w:val="nil"/>
              <w:bottom w:val="nil"/>
              <w:right w:val="nil"/>
            </w:tcBorders>
            <w:shd w:val="clear" w:color="auto" w:fill="auto"/>
            <w:noWrap/>
            <w:vAlign w:val="bottom"/>
            <w:hideMark/>
          </w:tcPr>
          <w:p w14:paraId="35E381A8"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821" w:type="dxa"/>
            <w:tcBorders>
              <w:top w:val="nil"/>
              <w:left w:val="nil"/>
              <w:bottom w:val="nil"/>
              <w:right w:val="nil"/>
            </w:tcBorders>
            <w:shd w:val="clear" w:color="auto" w:fill="auto"/>
            <w:noWrap/>
            <w:vAlign w:val="bottom"/>
            <w:hideMark/>
          </w:tcPr>
          <w:p w14:paraId="73F1DA5A"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947" w:type="dxa"/>
            <w:tcBorders>
              <w:top w:val="nil"/>
              <w:left w:val="nil"/>
              <w:bottom w:val="nil"/>
              <w:right w:val="nil"/>
            </w:tcBorders>
            <w:shd w:val="clear" w:color="auto" w:fill="auto"/>
            <w:noWrap/>
            <w:vAlign w:val="bottom"/>
            <w:hideMark/>
          </w:tcPr>
          <w:p w14:paraId="2052A41C"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731" w:type="dxa"/>
            <w:tcBorders>
              <w:top w:val="nil"/>
              <w:left w:val="nil"/>
              <w:bottom w:val="nil"/>
              <w:right w:val="nil"/>
            </w:tcBorders>
            <w:shd w:val="clear" w:color="auto" w:fill="auto"/>
            <w:noWrap/>
            <w:vAlign w:val="bottom"/>
            <w:hideMark/>
          </w:tcPr>
          <w:p w14:paraId="1D6E91ED"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1275" w:type="dxa"/>
            <w:tcBorders>
              <w:top w:val="nil"/>
              <w:left w:val="nil"/>
              <w:bottom w:val="nil"/>
              <w:right w:val="nil"/>
            </w:tcBorders>
            <w:shd w:val="clear" w:color="auto" w:fill="auto"/>
            <w:noWrap/>
            <w:vAlign w:val="bottom"/>
            <w:hideMark/>
          </w:tcPr>
          <w:p w14:paraId="35E0FD13"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r>
    </w:tbl>
    <w:p w14:paraId="0363F3E3" w14:textId="61A68A7B" w:rsidR="008430BD" w:rsidRPr="00033A3F" w:rsidRDefault="008430BD" w:rsidP="008430BD">
      <w:pPr>
        <w:pStyle w:val="Nadpis3"/>
        <w:numPr>
          <w:ilvl w:val="2"/>
          <w:numId w:val="1"/>
        </w:numPr>
        <w:rPr>
          <w:color w:val="000000" w:themeColor="text1"/>
        </w:rPr>
      </w:pPr>
      <w:bookmarkStart w:id="842" w:name="_Toc106092740"/>
      <w:bookmarkStart w:id="843" w:name="_Toc169250820"/>
      <w:bookmarkStart w:id="844" w:name="_Toc193530982"/>
      <w:bookmarkStart w:id="845" w:name="_Toc193957038"/>
      <w:bookmarkStart w:id="846" w:name="_Toc203032728"/>
      <w:r w:rsidRPr="00033A3F">
        <w:rPr>
          <w:color w:val="000000" w:themeColor="text1"/>
        </w:rPr>
        <w:t>Vyřizování v přepočtu na soudce</w:t>
      </w:r>
      <w:bookmarkEnd w:id="842"/>
      <w:bookmarkEnd w:id="843"/>
      <w:bookmarkEnd w:id="844"/>
      <w:bookmarkEnd w:id="845"/>
      <w:bookmarkEnd w:id="846"/>
    </w:p>
    <w:p w14:paraId="67BD952F" w14:textId="2432884A" w:rsidR="003854F3" w:rsidRPr="00033A3F" w:rsidRDefault="003854F3" w:rsidP="004C0D35">
      <w:pPr>
        <w:pStyle w:val="OdstavecASR"/>
        <w:rPr>
          <w:color w:val="000000" w:themeColor="text1"/>
        </w:rPr>
      </w:pPr>
      <w:r w:rsidRPr="00033A3F">
        <w:rPr>
          <w:color w:val="000000" w:themeColor="text1"/>
        </w:rPr>
        <w:t>Díky datům získávaným od roku 2020 je možné provést přepočet na soudce i u opatrovnické agendy. Jak vidíme v tabulce níže, celkový počet úvazků v opatrovnické agendě je asi 378 (o 10 více než předchozí rok). Bližší informace k těmto datům o počtu soudcovských úvazků se nacházejí v podkapitole 2.2.3.</w:t>
      </w:r>
    </w:p>
    <w:p w14:paraId="1A265EB9" w14:textId="09A4F495" w:rsidR="003854F3" w:rsidRDefault="003854F3" w:rsidP="003854F3">
      <w:pPr>
        <w:pStyle w:val="Podnadpis"/>
        <w:rPr>
          <w:color w:val="000000" w:themeColor="text1"/>
        </w:rPr>
      </w:pPr>
      <w:bookmarkStart w:id="847" w:name="_Toc194045599"/>
      <w:bookmarkStart w:id="848" w:name="_Toc199495009"/>
      <w:bookmarkStart w:id="849" w:name="_Toc203033069"/>
      <w:bookmarkStart w:id="850" w:name="_Toc203033147"/>
      <w:r w:rsidRPr="00033A3F">
        <w:rPr>
          <w:color w:val="000000" w:themeColor="text1"/>
        </w:rPr>
        <w:t xml:space="preserve">Tabulka </w:t>
      </w:r>
      <w:r w:rsidR="0025364E" w:rsidRPr="00033A3F">
        <w:rPr>
          <w:color w:val="000000" w:themeColor="text1"/>
        </w:rPr>
        <w:fldChar w:fldCharType="begin"/>
      </w:r>
      <w:r w:rsidR="0025364E" w:rsidRPr="00033A3F">
        <w:rPr>
          <w:color w:val="000000" w:themeColor="text1"/>
        </w:rPr>
        <w:instrText xml:space="preserve"> SEQ Tabulka \* ARABIC </w:instrText>
      </w:r>
      <w:r w:rsidR="0025364E" w:rsidRPr="00033A3F">
        <w:rPr>
          <w:color w:val="000000" w:themeColor="text1"/>
        </w:rPr>
        <w:fldChar w:fldCharType="separate"/>
      </w:r>
      <w:r w:rsidR="00163B51">
        <w:rPr>
          <w:noProof/>
          <w:color w:val="000000" w:themeColor="text1"/>
        </w:rPr>
        <w:t>27</w:t>
      </w:r>
      <w:r w:rsidR="0025364E" w:rsidRPr="00033A3F">
        <w:rPr>
          <w:color w:val="000000" w:themeColor="text1"/>
        </w:rPr>
        <w:fldChar w:fldCharType="end"/>
      </w:r>
      <w:r w:rsidRPr="00033A3F">
        <w:rPr>
          <w:color w:val="000000" w:themeColor="text1"/>
        </w:rPr>
        <w:t>: OS – vyřizování opatrovnických věcí na skutečný úvazek dle krajů</w:t>
      </w:r>
      <w:bookmarkEnd w:id="847"/>
      <w:bookmarkEnd w:id="848"/>
      <w:bookmarkEnd w:id="849"/>
      <w:bookmarkEnd w:id="850"/>
    </w:p>
    <w:tbl>
      <w:tblPr>
        <w:tblW w:w="9214" w:type="dxa"/>
        <w:tblCellMar>
          <w:left w:w="70" w:type="dxa"/>
          <w:right w:w="70" w:type="dxa"/>
        </w:tblCellMar>
        <w:tblLook w:val="04A0" w:firstRow="1" w:lastRow="0" w:firstColumn="1" w:lastColumn="0" w:noHBand="0" w:noVBand="1"/>
      </w:tblPr>
      <w:tblGrid>
        <w:gridCol w:w="1820"/>
        <w:gridCol w:w="1157"/>
        <w:gridCol w:w="1134"/>
        <w:gridCol w:w="851"/>
        <w:gridCol w:w="1134"/>
        <w:gridCol w:w="850"/>
        <w:gridCol w:w="1276"/>
        <w:gridCol w:w="992"/>
      </w:tblGrid>
      <w:tr w:rsidR="00966798" w:rsidRPr="00966798" w14:paraId="1547D3DD" w14:textId="77777777" w:rsidTr="0057327F">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176F35F9" w14:textId="77777777" w:rsidR="00966798" w:rsidRPr="00966798" w:rsidRDefault="00966798" w:rsidP="00966798">
            <w:pPr>
              <w:spacing w:line="240" w:lineRule="auto"/>
              <w:jc w:val="left"/>
              <w:rPr>
                <w:rFonts w:eastAsia="Times New Roman"/>
                <w:b/>
                <w:bCs/>
                <w:color w:val="000000"/>
                <w:szCs w:val="24"/>
                <w:lang w:eastAsia="cs-CZ"/>
              </w:rPr>
            </w:pPr>
            <w:r w:rsidRPr="00966798">
              <w:rPr>
                <w:rFonts w:eastAsia="Times New Roman"/>
                <w:b/>
                <w:bCs/>
                <w:color w:val="000000"/>
                <w:szCs w:val="24"/>
                <w:lang w:eastAsia="cs-CZ"/>
              </w:rPr>
              <w:t>Nadřízený soud</w:t>
            </w:r>
          </w:p>
        </w:tc>
        <w:tc>
          <w:tcPr>
            <w:tcW w:w="1157" w:type="dxa"/>
            <w:vMerge w:val="restart"/>
            <w:tcBorders>
              <w:top w:val="double" w:sz="6" w:space="0" w:color="auto"/>
              <w:left w:val="nil"/>
              <w:bottom w:val="double" w:sz="6" w:space="0" w:color="000000"/>
              <w:right w:val="nil"/>
            </w:tcBorders>
            <w:shd w:val="clear" w:color="auto" w:fill="auto"/>
            <w:noWrap/>
            <w:vAlign w:val="center"/>
            <w:hideMark/>
          </w:tcPr>
          <w:p w14:paraId="20764E4D" w14:textId="77777777" w:rsidR="00966798" w:rsidRPr="00966798" w:rsidRDefault="00966798" w:rsidP="00966798">
            <w:pPr>
              <w:spacing w:line="240" w:lineRule="auto"/>
              <w:jc w:val="center"/>
              <w:rPr>
                <w:rFonts w:eastAsia="Times New Roman"/>
                <w:b/>
                <w:bCs/>
                <w:color w:val="000000"/>
                <w:szCs w:val="24"/>
                <w:lang w:eastAsia="cs-CZ"/>
              </w:rPr>
            </w:pPr>
            <w:r w:rsidRPr="00966798">
              <w:rPr>
                <w:rFonts w:eastAsia="Times New Roman"/>
                <w:b/>
                <w:bCs/>
                <w:color w:val="000000"/>
                <w:szCs w:val="24"/>
                <w:lang w:eastAsia="cs-CZ"/>
              </w:rPr>
              <w:t>Počet úvazků</w:t>
            </w:r>
          </w:p>
        </w:tc>
        <w:tc>
          <w:tcPr>
            <w:tcW w:w="6237" w:type="dxa"/>
            <w:gridSpan w:val="6"/>
            <w:tcBorders>
              <w:top w:val="double" w:sz="6" w:space="0" w:color="auto"/>
              <w:left w:val="nil"/>
              <w:bottom w:val="nil"/>
              <w:right w:val="nil"/>
            </w:tcBorders>
            <w:shd w:val="clear" w:color="auto" w:fill="auto"/>
            <w:noWrap/>
            <w:vAlign w:val="center"/>
            <w:hideMark/>
          </w:tcPr>
          <w:p w14:paraId="75A6A654" w14:textId="77777777" w:rsidR="00966798" w:rsidRPr="00966798" w:rsidRDefault="00966798" w:rsidP="00966798">
            <w:pPr>
              <w:spacing w:line="240" w:lineRule="auto"/>
              <w:jc w:val="center"/>
              <w:rPr>
                <w:rFonts w:eastAsia="Times New Roman"/>
                <w:b/>
                <w:bCs/>
                <w:color w:val="000000"/>
                <w:szCs w:val="24"/>
                <w:lang w:eastAsia="cs-CZ"/>
              </w:rPr>
            </w:pPr>
            <w:r w:rsidRPr="00966798">
              <w:rPr>
                <w:rFonts w:eastAsia="Times New Roman"/>
                <w:b/>
                <w:bCs/>
                <w:color w:val="000000"/>
                <w:szCs w:val="24"/>
                <w:lang w:eastAsia="cs-CZ"/>
              </w:rPr>
              <w:t>Počet věcí na úvazek</w:t>
            </w:r>
          </w:p>
        </w:tc>
      </w:tr>
      <w:tr w:rsidR="00966798" w:rsidRPr="00966798" w14:paraId="75B48B91" w14:textId="77777777" w:rsidTr="0057327F">
        <w:trPr>
          <w:trHeight w:val="330"/>
        </w:trPr>
        <w:tc>
          <w:tcPr>
            <w:tcW w:w="1820" w:type="dxa"/>
            <w:vMerge/>
            <w:tcBorders>
              <w:top w:val="double" w:sz="6" w:space="0" w:color="auto"/>
              <w:left w:val="nil"/>
              <w:bottom w:val="double" w:sz="6" w:space="0" w:color="000000"/>
              <w:right w:val="nil"/>
            </w:tcBorders>
            <w:vAlign w:val="center"/>
            <w:hideMark/>
          </w:tcPr>
          <w:p w14:paraId="7F9775C3" w14:textId="77777777" w:rsidR="00966798" w:rsidRPr="00966798" w:rsidRDefault="00966798" w:rsidP="00966798">
            <w:pPr>
              <w:spacing w:line="240" w:lineRule="auto"/>
              <w:jc w:val="left"/>
              <w:rPr>
                <w:rFonts w:eastAsia="Times New Roman"/>
                <w:b/>
                <w:bCs/>
                <w:color w:val="000000"/>
                <w:szCs w:val="24"/>
                <w:lang w:eastAsia="cs-CZ"/>
              </w:rPr>
            </w:pPr>
          </w:p>
        </w:tc>
        <w:tc>
          <w:tcPr>
            <w:tcW w:w="1157" w:type="dxa"/>
            <w:vMerge/>
            <w:tcBorders>
              <w:top w:val="double" w:sz="6" w:space="0" w:color="auto"/>
              <w:left w:val="nil"/>
              <w:bottom w:val="double" w:sz="6" w:space="0" w:color="000000"/>
              <w:right w:val="nil"/>
            </w:tcBorders>
            <w:vAlign w:val="center"/>
            <w:hideMark/>
          </w:tcPr>
          <w:p w14:paraId="708DA7AF" w14:textId="77777777" w:rsidR="00966798" w:rsidRPr="00966798" w:rsidRDefault="00966798" w:rsidP="00966798">
            <w:pPr>
              <w:spacing w:line="240" w:lineRule="auto"/>
              <w:jc w:val="left"/>
              <w:rPr>
                <w:rFonts w:eastAsia="Times New Roman"/>
                <w:b/>
                <w:bCs/>
                <w:color w:val="000000"/>
                <w:szCs w:val="24"/>
                <w:lang w:eastAsia="cs-CZ"/>
              </w:rPr>
            </w:pPr>
          </w:p>
        </w:tc>
        <w:tc>
          <w:tcPr>
            <w:tcW w:w="1985" w:type="dxa"/>
            <w:gridSpan w:val="2"/>
            <w:tcBorders>
              <w:top w:val="nil"/>
              <w:left w:val="nil"/>
              <w:bottom w:val="double" w:sz="6" w:space="0" w:color="auto"/>
              <w:right w:val="nil"/>
            </w:tcBorders>
            <w:shd w:val="clear" w:color="auto" w:fill="auto"/>
            <w:noWrap/>
            <w:vAlign w:val="center"/>
            <w:hideMark/>
          </w:tcPr>
          <w:p w14:paraId="0566C982" w14:textId="77777777" w:rsidR="00966798" w:rsidRPr="00966798" w:rsidRDefault="00966798" w:rsidP="00966798">
            <w:pPr>
              <w:spacing w:line="240" w:lineRule="auto"/>
              <w:jc w:val="center"/>
              <w:rPr>
                <w:rFonts w:eastAsia="Times New Roman"/>
                <w:b/>
                <w:bCs/>
                <w:color w:val="000000"/>
                <w:szCs w:val="24"/>
                <w:lang w:eastAsia="cs-CZ"/>
              </w:rPr>
            </w:pPr>
            <w:r w:rsidRPr="00966798">
              <w:rPr>
                <w:rFonts w:eastAsia="Times New Roman"/>
                <w:b/>
                <w:bCs/>
                <w:color w:val="000000"/>
                <w:szCs w:val="24"/>
                <w:lang w:eastAsia="cs-CZ"/>
              </w:rPr>
              <w:t>Nápad + obživlé věci</w:t>
            </w:r>
          </w:p>
        </w:tc>
        <w:tc>
          <w:tcPr>
            <w:tcW w:w="198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34D271D" w14:textId="77777777" w:rsidR="00966798" w:rsidRPr="00966798" w:rsidRDefault="00966798" w:rsidP="00966798">
            <w:pPr>
              <w:spacing w:line="240" w:lineRule="auto"/>
              <w:jc w:val="center"/>
              <w:rPr>
                <w:rFonts w:eastAsia="Times New Roman"/>
                <w:b/>
                <w:bCs/>
                <w:color w:val="000000"/>
                <w:szCs w:val="24"/>
                <w:lang w:eastAsia="cs-CZ"/>
              </w:rPr>
            </w:pPr>
            <w:r w:rsidRPr="00966798">
              <w:rPr>
                <w:rFonts w:eastAsia="Times New Roman"/>
                <w:b/>
                <w:bCs/>
                <w:color w:val="000000"/>
                <w:szCs w:val="24"/>
                <w:lang w:eastAsia="cs-CZ"/>
              </w:rPr>
              <w:t>Vyřízeno</w:t>
            </w:r>
          </w:p>
        </w:tc>
        <w:tc>
          <w:tcPr>
            <w:tcW w:w="2268" w:type="dxa"/>
            <w:gridSpan w:val="2"/>
            <w:tcBorders>
              <w:top w:val="nil"/>
              <w:left w:val="nil"/>
              <w:bottom w:val="double" w:sz="6" w:space="0" w:color="auto"/>
              <w:right w:val="nil"/>
            </w:tcBorders>
            <w:shd w:val="clear" w:color="auto" w:fill="auto"/>
            <w:noWrap/>
            <w:vAlign w:val="center"/>
            <w:hideMark/>
          </w:tcPr>
          <w:p w14:paraId="51E267CA" w14:textId="77777777" w:rsidR="00966798" w:rsidRPr="00966798" w:rsidRDefault="00966798" w:rsidP="00966798">
            <w:pPr>
              <w:spacing w:line="240" w:lineRule="auto"/>
              <w:jc w:val="center"/>
              <w:rPr>
                <w:rFonts w:eastAsia="Times New Roman"/>
                <w:b/>
                <w:bCs/>
                <w:color w:val="000000"/>
                <w:szCs w:val="24"/>
                <w:lang w:eastAsia="cs-CZ"/>
              </w:rPr>
            </w:pPr>
            <w:r w:rsidRPr="00966798">
              <w:rPr>
                <w:rFonts w:eastAsia="Times New Roman"/>
                <w:b/>
                <w:bCs/>
                <w:color w:val="000000"/>
                <w:szCs w:val="24"/>
                <w:lang w:eastAsia="cs-CZ"/>
              </w:rPr>
              <w:t>Nevyřízeno</w:t>
            </w:r>
          </w:p>
        </w:tc>
      </w:tr>
      <w:tr w:rsidR="00966798" w:rsidRPr="00966798" w14:paraId="7C100D18" w14:textId="77777777" w:rsidTr="0057327F">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2A5B3C0D" w14:textId="77777777" w:rsidR="00966798" w:rsidRPr="00966798" w:rsidRDefault="00966798" w:rsidP="00966798">
            <w:pPr>
              <w:spacing w:line="240" w:lineRule="auto"/>
              <w:jc w:val="left"/>
              <w:rPr>
                <w:rFonts w:eastAsia="Times New Roman"/>
                <w:color w:val="000000"/>
                <w:szCs w:val="24"/>
                <w:lang w:eastAsia="cs-CZ"/>
              </w:rPr>
            </w:pPr>
            <w:r w:rsidRPr="00966798">
              <w:rPr>
                <w:rFonts w:eastAsia="Times New Roman"/>
                <w:color w:val="000000"/>
                <w:szCs w:val="24"/>
                <w:lang w:eastAsia="cs-CZ"/>
              </w:rPr>
              <w:t>MS Praha</w:t>
            </w:r>
          </w:p>
        </w:tc>
        <w:tc>
          <w:tcPr>
            <w:tcW w:w="1157" w:type="dxa"/>
            <w:tcBorders>
              <w:top w:val="single" w:sz="4" w:space="0" w:color="auto"/>
              <w:left w:val="nil"/>
              <w:bottom w:val="single" w:sz="4" w:space="0" w:color="auto"/>
              <w:right w:val="nil"/>
            </w:tcBorders>
            <w:shd w:val="clear" w:color="auto" w:fill="auto"/>
            <w:noWrap/>
            <w:vAlign w:val="bottom"/>
            <w:hideMark/>
          </w:tcPr>
          <w:p w14:paraId="091B9AAA" w14:textId="4DB027DB"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58</w:t>
            </w:r>
            <w:r>
              <w:rPr>
                <w:rFonts w:eastAsia="Times New Roman"/>
                <w:color w:val="000000"/>
                <w:szCs w:val="24"/>
                <w:lang w:eastAsia="cs-CZ"/>
              </w:rPr>
              <w:t>,</w:t>
            </w:r>
            <w:r w:rsidRPr="00966798">
              <w:rPr>
                <w:rFonts w:eastAsia="Times New Roman"/>
                <w:color w:val="000000"/>
                <w:szCs w:val="24"/>
                <w:lang w:eastAsia="cs-CZ"/>
              </w:rPr>
              <w:t>25</w:t>
            </w:r>
          </w:p>
        </w:tc>
        <w:tc>
          <w:tcPr>
            <w:tcW w:w="1134" w:type="dxa"/>
            <w:tcBorders>
              <w:top w:val="single" w:sz="4" w:space="0" w:color="auto"/>
              <w:left w:val="nil"/>
              <w:bottom w:val="single" w:sz="4" w:space="0" w:color="auto"/>
              <w:right w:val="nil"/>
            </w:tcBorders>
            <w:shd w:val="clear" w:color="auto" w:fill="auto"/>
            <w:noWrap/>
            <w:vAlign w:val="bottom"/>
            <w:hideMark/>
          </w:tcPr>
          <w:p w14:paraId="03091A5E" w14:textId="699BBCCA"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146</w:t>
            </w:r>
            <w:r>
              <w:rPr>
                <w:rFonts w:eastAsia="Times New Roman"/>
                <w:color w:val="000000"/>
                <w:szCs w:val="24"/>
                <w:lang w:eastAsia="cs-CZ"/>
              </w:rPr>
              <w:t>,</w:t>
            </w:r>
            <w:r w:rsidRPr="00966798">
              <w:rPr>
                <w:rFonts w:eastAsia="Times New Roman"/>
                <w:color w:val="000000"/>
                <w:szCs w:val="24"/>
                <w:lang w:eastAsia="cs-CZ"/>
              </w:rPr>
              <w:t>42</w:t>
            </w:r>
          </w:p>
        </w:tc>
        <w:tc>
          <w:tcPr>
            <w:tcW w:w="851" w:type="dxa"/>
            <w:tcBorders>
              <w:top w:val="single" w:sz="4" w:space="0" w:color="auto"/>
              <w:left w:val="nil"/>
              <w:bottom w:val="single" w:sz="4" w:space="0" w:color="auto"/>
              <w:right w:val="nil"/>
            </w:tcBorders>
            <w:shd w:val="clear" w:color="auto" w:fill="auto"/>
            <w:noWrap/>
            <w:vAlign w:val="center"/>
            <w:hideMark/>
          </w:tcPr>
          <w:p w14:paraId="0F453AE1"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-5 %  </w:t>
            </w:r>
          </w:p>
        </w:tc>
        <w:tc>
          <w:tcPr>
            <w:tcW w:w="1134" w:type="dxa"/>
            <w:tcBorders>
              <w:top w:val="nil"/>
              <w:left w:val="single" w:sz="4" w:space="0" w:color="auto"/>
              <w:bottom w:val="single" w:sz="4" w:space="0" w:color="auto"/>
              <w:right w:val="nil"/>
            </w:tcBorders>
            <w:shd w:val="clear" w:color="auto" w:fill="auto"/>
            <w:noWrap/>
            <w:vAlign w:val="bottom"/>
            <w:hideMark/>
          </w:tcPr>
          <w:p w14:paraId="6DF07C17" w14:textId="0DF58722"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146</w:t>
            </w:r>
            <w:r>
              <w:rPr>
                <w:rFonts w:eastAsia="Times New Roman"/>
                <w:color w:val="000000"/>
                <w:szCs w:val="24"/>
                <w:lang w:eastAsia="cs-CZ"/>
              </w:rPr>
              <w:t>,</w:t>
            </w:r>
            <w:r w:rsidRPr="00966798">
              <w:rPr>
                <w:rFonts w:eastAsia="Times New Roman"/>
                <w:color w:val="000000"/>
                <w:szCs w:val="24"/>
                <w:lang w:eastAsia="cs-CZ"/>
              </w:rPr>
              <w:t>44</w:t>
            </w:r>
          </w:p>
        </w:tc>
        <w:tc>
          <w:tcPr>
            <w:tcW w:w="850" w:type="dxa"/>
            <w:tcBorders>
              <w:top w:val="nil"/>
              <w:left w:val="nil"/>
              <w:bottom w:val="single" w:sz="4" w:space="0" w:color="auto"/>
              <w:right w:val="single" w:sz="4" w:space="0" w:color="auto"/>
            </w:tcBorders>
            <w:shd w:val="clear" w:color="auto" w:fill="auto"/>
            <w:noWrap/>
            <w:vAlign w:val="center"/>
            <w:hideMark/>
          </w:tcPr>
          <w:p w14:paraId="3DD57198"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-6 %  </w:t>
            </w:r>
          </w:p>
        </w:tc>
        <w:tc>
          <w:tcPr>
            <w:tcW w:w="1276" w:type="dxa"/>
            <w:tcBorders>
              <w:top w:val="single" w:sz="4" w:space="0" w:color="auto"/>
              <w:left w:val="nil"/>
              <w:bottom w:val="single" w:sz="4" w:space="0" w:color="auto"/>
              <w:right w:val="nil"/>
            </w:tcBorders>
            <w:shd w:val="clear" w:color="auto" w:fill="auto"/>
            <w:noWrap/>
            <w:vAlign w:val="bottom"/>
            <w:hideMark/>
          </w:tcPr>
          <w:p w14:paraId="4073BC25" w14:textId="0B9B6DA2"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18</w:t>
            </w:r>
            <w:r>
              <w:rPr>
                <w:rFonts w:eastAsia="Times New Roman"/>
                <w:color w:val="000000"/>
                <w:szCs w:val="24"/>
                <w:lang w:eastAsia="cs-CZ"/>
              </w:rPr>
              <w:t>,</w:t>
            </w:r>
            <w:r w:rsidRPr="00966798">
              <w:rPr>
                <w:rFonts w:eastAsia="Times New Roman"/>
                <w:color w:val="000000"/>
                <w:szCs w:val="24"/>
                <w:lang w:eastAsia="cs-CZ"/>
              </w:rPr>
              <w:t>08</w:t>
            </w:r>
          </w:p>
        </w:tc>
        <w:tc>
          <w:tcPr>
            <w:tcW w:w="992" w:type="dxa"/>
            <w:tcBorders>
              <w:top w:val="single" w:sz="4" w:space="0" w:color="auto"/>
              <w:left w:val="nil"/>
              <w:bottom w:val="single" w:sz="4" w:space="0" w:color="auto"/>
              <w:right w:val="nil"/>
            </w:tcBorders>
            <w:shd w:val="clear" w:color="auto" w:fill="auto"/>
            <w:noWrap/>
            <w:vAlign w:val="center"/>
            <w:hideMark/>
          </w:tcPr>
          <w:p w14:paraId="3305AECF"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-0 %  </w:t>
            </w:r>
          </w:p>
        </w:tc>
      </w:tr>
      <w:tr w:rsidR="00966798" w:rsidRPr="00966798" w14:paraId="5E61E02A"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0ED34004" w14:textId="77777777" w:rsidR="00966798" w:rsidRPr="00966798" w:rsidRDefault="00966798" w:rsidP="00966798">
            <w:pPr>
              <w:spacing w:line="240" w:lineRule="auto"/>
              <w:jc w:val="left"/>
              <w:rPr>
                <w:rFonts w:eastAsia="Times New Roman"/>
                <w:color w:val="000000"/>
                <w:szCs w:val="24"/>
                <w:lang w:eastAsia="cs-CZ"/>
              </w:rPr>
            </w:pPr>
            <w:r w:rsidRPr="00966798">
              <w:rPr>
                <w:rFonts w:eastAsia="Times New Roman"/>
                <w:color w:val="000000"/>
                <w:szCs w:val="24"/>
                <w:lang w:eastAsia="cs-CZ"/>
              </w:rPr>
              <w:t>KS Praha</w:t>
            </w:r>
          </w:p>
        </w:tc>
        <w:tc>
          <w:tcPr>
            <w:tcW w:w="1157" w:type="dxa"/>
            <w:tcBorders>
              <w:top w:val="nil"/>
              <w:left w:val="nil"/>
              <w:bottom w:val="single" w:sz="4" w:space="0" w:color="auto"/>
              <w:right w:val="nil"/>
            </w:tcBorders>
            <w:shd w:val="clear" w:color="auto" w:fill="auto"/>
            <w:noWrap/>
            <w:vAlign w:val="bottom"/>
            <w:hideMark/>
          </w:tcPr>
          <w:p w14:paraId="594B9B50" w14:textId="274AAAFA"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41</w:t>
            </w:r>
            <w:r>
              <w:rPr>
                <w:rFonts w:eastAsia="Times New Roman"/>
                <w:color w:val="000000"/>
                <w:szCs w:val="24"/>
                <w:lang w:eastAsia="cs-CZ"/>
              </w:rPr>
              <w:t>,</w:t>
            </w:r>
            <w:r w:rsidRPr="00966798">
              <w:rPr>
                <w:rFonts w:eastAsia="Times New Roman"/>
                <w:color w:val="000000"/>
                <w:szCs w:val="24"/>
                <w:lang w:eastAsia="cs-CZ"/>
              </w:rPr>
              <w:t>90</w:t>
            </w:r>
          </w:p>
        </w:tc>
        <w:tc>
          <w:tcPr>
            <w:tcW w:w="1134" w:type="dxa"/>
            <w:tcBorders>
              <w:top w:val="nil"/>
              <w:left w:val="nil"/>
              <w:bottom w:val="single" w:sz="4" w:space="0" w:color="auto"/>
              <w:right w:val="nil"/>
            </w:tcBorders>
            <w:shd w:val="clear" w:color="auto" w:fill="auto"/>
            <w:noWrap/>
            <w:vAlign w:val="bottom"/>
            <w:hideMark/>
          </w:tcPr>
          <w:p w14:paraId="44923F4D" w14:textId="42EA7504"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181</w:t>
            </w:r>
            <w:r>
              <w:rPr>
                <w:rFonts w:eastAsia="Times New Roman"/>
                <w:color w:val="000000"/>
                <w:szCs w:val="24"/>
                <w:lang w:eastAsia="cs-CZ"/>
              </w:rPr>
              <w:t>,</w:t>
            </w:r>
            <w:r w:rsidRPr="00966798">
              <w:rPr>
                <w:rFonts w:eastAsia="Times New Roman"/>
                <w:color w:val="000000"/>
                <w:szCs w:val="24"/>
                <w:lang w:eastAsia="cs-CZ"/>
              </w:rPr>
              <w:t>31</w:t>
            </w:r>
          </w:p>
        </w:tc>
        <w:tc>
          <w:tcPr>
            <w:tcW w:w="851" w:type="dxa"/>
            <w:tcBorders>
              <w:top w:val="nil"/>
              <w:left w:val="nil"/>
              <w:bottom w:val="single" w:sz="4" w:space="0" w:color="auto"/>
              <w:right w:val="nil"/>
            </w:tcBorders>
            <w:shd w:val="clear" w:color="auto" w:fill="auto"/>
            <w:noWrap/>
            <w:vAlign w:val="center"/>
            <w:hideMark/>
          </w:tcPr>
          <w:p w14:paraId="399354C0"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-2 %  </w:t>
            </w:r>
          </w:p>
        </w:tc>
        <w:tc>
          <w:tcPr>
            <w:tcW w:w="1134" w:type="dxa"/>
            <w:tcBorders>
              <w:top w:val="nil"/>
              <w:left w:val="single" w:sz="4" w:space="0" w:color="auto"/>
              <w:bottom w:val="single" w:sz="4" w:space="0" w:color="auto"/>
              <w:right w:val="nil"/>
            </w:tcBorders>
            <w:shd w:val="clear" w:color="auto" w:fill="auto"/>
            <w:noWrap/>
            <w:vAlign w:val="bottom"/>
            <w:hideMark/>
          </w:tcPr>
          <w:p w14:paraId="6427132E" w14:textId="5B1C3793"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179</w:t>
            </w:r>
            <w:r>
              <w:rPr>
                <w:rFonts w:eastAsia="Times New Roman"/>
                <w:color w:val="000000"/>
                <w:szCs w:val="24"/>
                <w:lang w:eastAsia="cs-CZ"/>
              </w:rPr>
              <w:t>,</w:t>
            </w:r>
            <w:r w:rsidRPr="00966798">
              <w:rPr>
                <w:rFonts w:eastAsia="Times New Roman"/>
                <w:color w:val="000000"/>
                <w:szCs w:val="24"/>
                <w:lang w:eastAsia="cs-CZ"/>
              </w:rPr>
              <w:t>81</w:t>
            </w:r>
          </w:p>
        </w:tc>
        <w:tc>
          <w:tcPr>
            <w:tcW w:w="850" w:type="dxa"/>
            <w:tcBorders>
              <w:top w:val="nil"/>
              <w:left w:val="nil"/>
              <w:bottom w:val="single" w:sz="4" w:space="0" w:color="auto"/>
              <w:right w:val="single" w:sz="4" w:space="0" w:color="auto"/>
            </w:tcBorders>
            <w:shd w:val="clear" w:color="auto" w:fill="auto"/>
            <w:noWrap/>
            <w:vAlign w:val="center"/>
            <w:hideMark/>
          </w:tcPr>
          <w:p w14:paraId="4A17A5D9"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-3 %  </w:t>
            </w:r>
          </w:p>
        </w:tc>
        <w:tc>
          <w:tcPr>
            <w:tcW w:w="1276" w:type="dxa"/>
            <w:tcBorders>
              <w:top w:val="nil"/>
              <w:left w:val="nil"/>
              <w:bottom w:val="single" w:sz="4" w:space="0" w:color="auto"/>
              <w:right w:val="nil"/>
            </w:tcBorders>
            <w:shd w:val="clear" w:color="auto" w:fill="auto"/>
            <w:noWrap/>
            <w:vAlign w:val="bottom"/>
            <w:hideMark/>
          </w:tcPr>
          <w:p w14:paraId="08426362" w14:textId="0A1551C5"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11</w:t>
            </w:r>
            <w:r>
              <w:rPr>
                <w:rFonts w:eastAsia="Times New Roman"/>
                <w:color w:val="000000"/>
                <w:szCs w:val="24"/>
                <w:lang w:eastAsia="cs-CZ"/>
              </w:rPr>
              <w:t>,</w:t>
            </w:r>
            <w:r w:rsidRPr="00966798">
              <w:rPr>
                <w:rFonts w:eastAsia="Times New Roman"/>
                <w:color w:val="000000"/>
                <w:szCs w:val="24"/>
                <w:lang w:eastAsia="cs-CZ"/>
              </w:rPr>
              <w:t>67</w:t>
            </w:r>
          </w:p>
        </w:tc>
        <w:tc>
          <w:tcPr>
            <w:tcW w:w="992" w:type="dxa"/>
            <w:tcBorders>
              <w:top w:val="nil"/>
              <w:left w:val="nil"/>
              <w:bottom w:val="single" w:sz="4" w:space="0" w:color="auto"/>
              <w:right w:val="nil"/>
            </w:tcBorders>
            <w:shd w:val="clear" w:color="auto" w:fill="auto"/>
            <w:noWrap/>
            <w:vAlign w:val="center"/>
            <w:hideMark/>
          </w:tcPr>
          <w:p w14:paraId="75EB4924"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+14 %  </w:t>
            </w:r>
          </w:p>
        </w:tc>
      </w:tr>
      <w:tr w:rsidR="00966798" w:rsidRPr="00966798" w14:paraId="4361261C"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6BE18F49" w14:textId="77777777" w:rsidR="00966798" w:rsidRPr="00966798" w:rsidRDefault="00966798" w:rsidP="00966798">
            <w:pPr>
              <w:spacing w:line="240" w:lineRule="auto"/>
              <w:jc w:val="left"/>
              <w:rPr>
                <w:rFonts w:eastAsia="Times New Roman"/>
                <w:color w:val="000000"/>
                <w:szCs w:val="24"/>
                <w:lang w:eastAsia="cs-CZ"/>
              </w:rPr>
            </w:pPr>
            <w:r w:rsidRPr="00966798">
              <w:rPr>
                <w:rFonts w:eastAsia="Times New Roman"/>
                <w:color w:val="000000"/>
                <w:szCs w:val="24"/>
                <w:lang w:eastAsia="cs-CZ"/>
              </w:rPr>
              <w:t>KS Č. Budějovice</w:t>
            </w:r>
          </w:p>
        </w:tc>
        <w:tc>
          <w:tcPr>
            <w:tcW w:w="1157" w:type="dxa"/>
            <w:tcBorders>
              <w:top w:val="nil"/>
              <w:left w:val="nil"/>
              <w:bottom w:val="single" w:sz="4" w:space="0" w:color="auto"/>
              <w:right w:val="nil"/>
            </w:tcBorders>
            <w:shd w:val="clear" w:color="auto" w:fill="auto"/>
            <w:noWrap/>
            <w:vAlign w:val="bottom"/>
            <w:hideMark/>
          </w:tcPr>
          <w:p w14:paraId="4742D02A" w14:textId="5408C9CE"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21</w:t>
            </w:r>
            <w:r>
              <w:rPr>
                <w:rFonts w:eastAsia="Times New Roman"/>
                <w:color w:val="000000"/>
                <w:szCs w:val="24"/>
                <w:lang w:eastAsia="cs-CZ"/>
              </w:rPr>
              <w:t>,</w:t>
            </w:r>
            <w:r w:rsidRPr="00966798">
              <w:rPr>
                <w:rFonts w:eastAsia="Times New Roman"/>
                <w:color w:val="000000"/>
                <w:szCs w:val="24"/>
                <w:lang w:eastAsia="cs-CZ"/>
              </w:rPr>
              <w:t>60</w:t>
            </w:r>
          </w:p>
        </w:tc>
        <w:tc>
          <w:tcPr>
            <w:tcW w:w="1134" w:type="dxa"/>
            <w:tcBorders>
              <w:top w:val="nil"/>
              <w:left w:val="nil"/>
              <w:bottom w:val="single" w:sz="4" w:space="0" w:color="auto"/>
              <w:right w:val="nil"/>
            </w:tcBorders>
            <w:shd w:val="clear" w:color="auto" w:fill="auto"/>
            <w:noWrap/>
            <w:vAlign w:val="bottom"/>
            <w:hideMark/>
          </w:tcPr>
          <w:p w14:paraId="6938C3C8" w14:textId="681BCB11"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188</w:t>
            </w:r>
            <w:r>
              <w:rPr>
                <w:rFonts w:eastAsia="Times New Roman"/>
                <w:color w:val="000000"/>
                <w:szCs w:val="24"/>
                <w:lang w:eastAsia="cs-CZ"/>
              </w:rPr>
              <w:t>,</w:t>
            </w:r>
            <w:r w:rsidRPr="00966798">
              <w:rPr>
                <w:rFonts w:eastAsia="Times New Roman"/>
                <w:color w:val="000000"/>
                <w:szCs w:val="24"/>
                <w:lang w:eastAsia="cs-CZ"/>
              </w:rPr>
              <w:t>75</w:t>
            </w:r>
          </w:p>
        </w:tc>
        <w:tc>
          <w:tcPr>
            <w:tcW w:w="851" w:type="dxa"/>
            <w:tcBorders>
              <w:top w:val="nil"/>
              <w:left w:val="nil"/>
              <w:bottom w:val="single" w:sz="4" w:space="0" w:color="auto"/>
              <w:right w:val="nil"/>
            </w:tcBorders>
            <w:shd w:val="clear" w:color="auto" w:fill="auto"/>
            <w:noWrap/>
            <w:vAlign w:val="center"/>
            <w:hideMark/>
          </w:tcPr>
          <w:p w14:paraId="41BBB868"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-6 %  </w:t>
            </w:r>
          </w:p>
        </w:tc>
        <w:tc>
          <w:tcPr>
            <w:tcW w:w="1134" w:type="dxa"/>
            <w:tcBorders>
              <w:top w:val="nil"/>
              <w:left w:val="single" w:sz="4" w:space="0" w:color="auto"/>
              <w:bottom w:val="single" w:sz="4" w:space="0" w:color="auto"/>
              <w:right w:val="nil"/>
            </w:tcBorders>
            <w:shd w:val="clear" w:color="auto" w:fill="auto"/>
            <w:noWrap/>
            <w:vAlign w:val="bottom"/>
            <w:hideMark/>
          </w:tcPr>
          <w:p w14:paraId="599E4512" w14:textId="728BC454"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190</w:t>
            </w:r>
            <w:r>
              <w:rPr>
                <w:rFonts w:eastAsia="Times New Roman"/>
                <w:color w:val="000000"/>
                <w:szCs w:val="24"/>
                <w:lang w:eastAsia="cs-CZ"/>
              </w:rPr>
              <w:t>,</w:t>
            </w:r>
            <w:r w:rsidRPr="00966798">
              <w:rPr>
                <w:rFonts w:eastAsia="Times New Roman"/>
                <w:color w:val="000000"/>
                <w:szCs w:val="24"/>
                <w:lang w:eastAsia="cs-CZ"/>
              </w:rPr>
              <w:t>42</w:t>
            </w:r>
          </w:p>
        </w:tc>
        <w:tc>
          <w:tcPr>
            <w:tcW w:w="850" w:type="dxa"/>
            <w:tcBorders>
              <w:top w:val="nil"/>
              <w:left w:val="nil"/>
              <w:bottom w:val="single" w:sz="4" w:space="0" w:color="auto"/>
              <w:right w:val="single" w:sz="4" w:space="0" w:color="auto"/>
            </w:tcBorders>
            <w:shd w:val="clear" w:color="auto" w:fill="auto"/>
            <w:noWrap/>
            <w:vAlign w:val="center"/>
            <w:hideMark/>
          </w:tcPr>
          <w:p w14:paraId="27CCB4D5"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-5 %  </w:t>
            </w:r>
          </w:p>
        </w:tc>
        <w:tc>
          <w:tcPr>
            <w:tcW w:w="1276" w:type="dxa"/>
            <w:tcBorders>
              <w:top w:val="nil"/>
              <w:left w:val="nil"/>
              <w:bottom w:val="single" w:sz="4" w:space="0" w:color="auto"/>
              <w:right w:val="nil"/>
            </w:tcBorders>
            <w:shd w:val="clear" w:color="auto" w:fill="auto"/>
            <w:noWrap/>
            <w:vAlign w:val="bottom"/>
            <w:hideMark/>
          </w:tcPr>
          <w:p w14:paraId="73421B6E" w14:textId="16B0BA11"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22</w:t>
            </w:r>
            <w:r>
              <w:rPr>
                <w:rFonts w:eastAsia="Times New Roman"/>
                <w:color w:val="000000"/>
                <w:szCs w:val="24"/>
                <w:lang w:eastAsia="cs-CZ"/>
              </w:rPr>
              <w:t>,</w:t>
            </w:r>
            <w:r w:rsidRPr="00966798">
              <w:rPr>
                <w:rFonts w:eastAsia="Times New Roman"/>
                <w:color w:val="000000"/>
                <w:szCs w:val="24"/>
                <w:lang w:eastAsia="cs-CZ"/>
              </w:rPr>
              <w:t>31</w:t>
            </w:r>
          </w:p>
        </w:tc>
        <w:tc>
          <w:tcPr>
            <w:tcW w:w="992" w:type="dxa"/>
            <w:tcBorders>
              <w:top w:val="nil"/>
              <w:left w:val="nil"/>
              <w:bottom w:val="single" w:sz="4" w:space="0" w:color="auto"/>
              <w:right w:val="nil"/>
            </w:tcBorders>
            <w:shd w:val="clear" w:color="auto" w:fill="auto"/>
            <w:noWrap/>
            <w:vAlign w:val="center"/>
            <w:hideMark/>
          </w:tcPr>
          <w:p w14:paraId="4A2332D0"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-6 %  </w:t>
            </w:r>
          </w:p>
        </w:tc>
      </w:tr>
      <w:tr w:rsidR="00966798" w:rsidRPr="00966798" w14:paraId="6BB84080"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00FFE421" w14:textId="77777777" w:rsidR="00966798" w:rsidRPr="00966798" w:rsidRDefault="00966798" w:rsidP="00966798">
            <w:pPr>
              <w:spacing w:line="240" w:lineRule="auto"/>
              <w:jc w:val="left"/>
              <w:rPr>
                <w:rFonts w:eastAsia="Times New Roman"/>
                <w:color w:val="000000"/>
                <w:szCs w:val="24"/>
                <w:lang w:eastAsia="cs-CZ"/>
              </w:rPr>
            </w:pPr>
            <w:r w:rsidRPr="00966798">
              <w:rPr>
                <w:rFonts w:eastAsia="Times New Roman"/>
                <w:color w:val="000000"/>
                <w:szCs w:val="24"/>
                <w:lang w:eastAsia="cs-CZ"/>
              </w:rPr>
              <w:t>KS Plzeň</w:t>
            </w:r>
          </w:p>
        </w:tc>
        <w:tc>
          <w:tcPr>
            <w:tcW w:w="1157" w:type="dxa"/>
            <w:tcBorders>
              <w:top w:val="nil"/>
              <w:left w:val="nil"/>
              <w:bottom w:val="single" w:sz="4" w:space="0" w:color="auto"/>
              <w:right w:val="nil"/>
            </w:tcBorders>
            <w:shd w:val="clear" w:color="auto" w:fill="auto"/>
            <w:noWrap/>
            <w:vAlign w:val="bottom"/>
            <w:hideMark/>
          </w:tcPr>
          <w:p w14:paraId="73DF854D" w14:textId="42B08A41"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36</w:t>
            </w:r>
            <w:r>
              <w:rPr>
                <w:rFonts w:eastAsia="Times New Roman"/>
                <w:color w:val="000000"/>
                <w:szCs w:val="24"/>
                <w:lang w:eastAsia="cs-CZ"/>
              </w:rPr>
              <w:t>,</w:t>
            </w:r>
            <w:r w:rsidRPr="00966798">
              <w:rPr>
                <w:rFonts w:eastAsia="Times New Roman"/>
                <w:color w:val="000000"/>
                <w:szCs w:val="24"/>
                <w:lang w:eastAsia="cs-CZ"/>
              </w:rPr>
              <w:t>52</w:t>
            </w:r>
          </w:p>
        </w:tc>
        <w:tc>
          <w:tcPr>
            <w:tcW w:w="1134" w:type="dxa"/>
            <w:tcBorders>
              <w:top w:val="nil"/>
              <w:left w:val="nil"/>
              <w:bottom w:val="single" w:sz="4" w:space="0" w:color="auto"/>
              <w:right w:val="nil"/>
            </w:tcBorders>
            <w:shd w:val="clear" w:color="auto" w:fill="auto"/>
            <w:noWrap/>
            <w:vAlign w:val="bottom"/>
            <w:hideMark/>
          </w:tcPr>
          <w:p w14:paraId="6109C778" w14:textId="75A2E427"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153</w:t>
            </w:r>
            <w:r>
              <w:rPr>
                <w:rFonts w:eastAsia="Times New Roman"/>
                <w:color w:val="000000"/>
                <w:szCs w:val="24"/>
                <w:lang w:eastAsia="cs-CZ"/>
              </w:rPr>
              <w:t>,</w:t>
            </w:r>
            <w:r w:rsidRPr="00966798">
              <w:rPr>
                <w:rFonts w:eastAsia="Times New Roman"/>
                <w:color w:val="000000"/>
                <w:szCs w:val="24"/>
                <w:lang w:eastAsia="cs-CZ"/>
              </w:rPr>
              <w:t>23</w:t>
            </w:r>
          </w:p>
        </w:tc>
        <w:tc>
          <w:tcPr>
            <w:tcW w:w="851" w:type="dxa"/>
            <w:tcBorders>
              <w:top w:val="nil"/>
              <w:left w:val="nil"/>
              <w:bottom w:val="single" w:sz="4" w:space="0" w:color="auto"/>
              <w:right w:val="nil"/>
            </w:tcBorders>
            <w:shd w:val="clear" w:color="auto" w:fill="auto"/>
            <w:noWrap/>
            <w:vAlign w:val="center"/>
            <w:hideMark/>
          </w:tcPr>
          <w:p w14:paraId="4F362C92"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-1 %  </w:t>
            </w:r>
          </w:p>
        </w:tc>
        <w:tc>
          <w:tcPr>
            <w:tcW w:w="1134" w:type="dxa"/>
            <w:tcBorders>
              <w:top w:val="nil"/>
              <w:left w:val="single" w:sz="4" w:space="0" w:color="auto"/>
              <w:bottom w:val="single" w:sz="4" w:space="0" w:color="auto"/>
              <w:right w:val="nil"/>
            </w:tcBorders>
            <w:shd w:val="clear" w:color="auto" w:fill="auto"/>
            <w:noWrap/>
            <w:vAlign w:val="bottom"/>
            <w:hideMark/>
          </w:tcPr>
          <w:p w14:paraId="6C58BF0B" w14:textId="78EEC23D"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151</w:t>
            </w:r>
            <w:r>
              <w:rPr>
                <w:rFonts w:eastAsia="Times New Roman"/>
                <w:color w:val="000000"/>
                <w:szCs w:val="24"/>
                <w:lang w:eastAsia="cs-CZ"/>
              </w:rPr>
              <w:t>,</w:t>
            </w:r>
            <w:r w:rsidRPr="00966798">
              <w:rPr>
                <w:rFonts w:eastAsia="Times New Roman"/>
                <w:color w:val="000000"/>
                <w:szCs w:val="24"/>
                <w:lang w:eastAsia="cs-CZ"/>
              </w:rPr>
              <w:t>67</w:t>
            </w:r>
          </w:p>
        </w:tc>
        <w:tc>
          <w:tcPr>
            <w:tcW w:w="850" w:type="dxa"/>
            <w:tcBorders>
              <w:top w:val="nil"/>
              <w:left w:val="nil"/>
              <w:bottom w:val="single" w:sz="4" w:space="0" w:color="auto"/>
              <w:right w:val="single" w:sz="4" w:space="0" w:color="auto"/>
            </w:tcBorders>
            <w:shd w:val="clear" w:color="auto" w:fill="auto"/>
            <w:noWrap/>
            <w:vAlign w:val="center"/>
            <w:hideMark/>
          </w:tcPr>
          <w:p w14:paraId="23A5F951"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-2 %  </w:t>
            </w:r>
          </w:p>
        </w:tc>
        <w:tc>
          <w:tcPr>
            <w:tcW w:w="1276" w:type="dxa"/>
            <w:tcBorders>
              <w:top w:val="nil"/>
              <w:left w:val="nil"/>
              <w:bottom w:val="single" w:sz="4" w:space="0" w:color="auto"/>
              <w:right w:val="nil"/>
            </w:tcBorders>
            <w:shd w:val="clear" w:color="auto" w:fill="auto"/>
            <w:noWrap/>
            <w:vAlign w:val="bottom"/>
            <w:hideMark/>
          </w:tcPr>
          <w:p w14:paraId="315A56B1" w14:textId="2F5CA7EB"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25</w:t>
            </w:r>
            <w:r>
              <w:rPr>
                <w:rFonts w:eastAsia="Times New Roman"/>
                <w:color w:val="000000"/>
                <w:szCs w:val="24"/>
                <w:lang w:eastAsia="cs-CZ"/>
              </w:rPr>
              <w:t>,</w:t>
            </w:r>
            <w:r w:rsidRPr="00966798">
              <w:rPr>
                <w:rFonts w:eastAsia="Times New Roman"/>
                <w:color w:val="000000"/>
                <w:szCs w:val="24"/>
                <w:lang w:eastAsia="cs-CZ"/>
              </w:rPr>
              <w:t>03</w:t>
            </w:r>
          </w:p>
        </w:tc>
        <w:tc>
          <w:tcPr>
            <w:tcW w:w="992" w:type="dxa"/>
            <w:tcBorders>
              <w:top w:val="nil"/>
              <w:left w:val="nil"/>
              <w:bottom w:val="single" w:sz="4" w:space="0" w:color="auto"/>
              <w:right w:val="nil"/>
            </w:tcBorders>
            <w:shd w:val="clear" w:color="auto" w:fill="auto"/>
            <w:noWrap/>
            <w:vAlign w:val="center"/>
            <w:hideMark/>
          </w:tcPr>
          <w:p w14:paraId="71BC9BF7"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+6 %  </w:t>
            </w:r>
          </w:p>
        </w:tc>
      </w:tr>
      <w:tr w:rsidR="00966798" w:rsidRPr="00966798" w14:paraId="0F5E3B0A"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168F4C63" w14:textId="77777777" w:rsidR="00966798" w:rsidRPr="00966798" w:rsidRDefault="00966798" w:rsidP="00966798">
            <w:pPr>
              <w:spacing w:line="240" w:lineRule="auto"/>
              <w:jc w:val="left"/>
              <w:rPr>
                <w:rFonts w:eastAsia="Times New Roman"/>
                <w:color w:val="000000"/>
                <w:szCs w:val="24"/>
                <w:lang w:eastAsia="cs-CZ"/>
              </w:rPr>
            </w:pPr>
            <w:r w:rsidRPr="00966798">
              <w:rPr>
                <w:rFonts w:eastAsia="Times New Roman"/>
                <w:color w:val="000000"/>
                <w:szCs w:val="24"/>
                <w:lang w:eastAsia="cs-CZ"/>
              </w:rPr>
              <w:t>KS Ústí n. Labem</w:t>
            </w:r>
          </w:p>
        </w:tc>
        <w:tc>
          <w:tcPr>
            <w:tcW w:w="1157" w:type="dxa"/>
            <w:tcBorders>
              <w:top w:val="nil"/>
              <w:left w:val="nil"/>
              <w:bottom w:val="single" w:sz="4" w:space="0" w:color="auto"/>
              <w:right w:val="nil"/>
            </w:tcBorders>
            <w:shd w:val="clear" w:color="auto" w:fill="auto"/>
            <w:noWrap/>
            <w:vAlign w:val="bottom"/>
            <w:hideMark/>
          </w:tcPr>
          <w:p w14:paraId="12723C5F" w14:textId="4DD63864"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57</w:t>
            </w:r>
            <w:r>
              <w:rPr>
                <w:rFonts w:eastAsia="Times New Roman"/>
                <w:color w:val="000000"/>
                <w:szCs w:val="24"/>
                <w:lang w:eastAsia="cs-CZ"/>
              </w:rPr>
              <w:t>,</w:t>
            </w:r>
            <w:r w:rsidRPr="00966798">
              <w:rPr>
                <w:rFonts w:eastAsia="Times New Roman"/>
                <w:color w:val="000000"/>
                <w:szCs w:val="24"/>
                <w:lang w:eastAsia="cs-CZ"/>
              </w:rPr>
              <w:t>27</w:t>
            </w:r>
          </w:p>
        </w:tc>
        <w:tc>
          <w:tcPr>
            <w:tcW w:w="1134" w:type="dxa"/>
            <w:tcBorders>
              <w:top w:val="nil"/>
              <w:left w:val="nil"/>
              <w:bottom w:val="single" w:sz="4" w:space="0" w:color="auto"/>
              <w:right w:val="nil"/>
            </w:tcBorders>
            <w:shd w:val="clear" w:color="auto" w:fill="auto"/>
            <w:noWrap/>
            <w:vAlign w:val="bottom"/>
            <w:hideMark/>
          </w:tcPr>
          <w:p w14:paraId="4382CA26" w14:textId="25BF93CA"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176</w:t>
            </w:r>
            <w:r>
              <w:rPr>
                <w:rFonts w:eastAsia="Times New Roman"/>
                <w:color w:val="000000"/>
                <w:szCs w:val="24"/>
                <w:lang w:eastAsia="cs-CZ"/>
              </w:rPr>
              <w:t>,</w:t>
            </w:r>
            <w:r w:rsidRPr="00966798">
              <w:rPr>
                <w:rFonts w:eastAsia="Times New Roman"/>
                <w:color w:val="000000"/>
                <w:szCs w:val="24"/>
                <w:lang w:eastAsia="cs-CZ"/>
              </w:rPr>
              <w:t>71</w:t>
            </w:r>
          </w:p>
        </w:tc>
        <w:tc>
          <w:tcPr>
            <w:tcW w:w="851" w:type="dxa"/>
            <w:tcBorders>
              <w:top w:val="nil"/>
              <w:left w:val="nil"/>
              <w:bottom w:val="single" w:sz="4" w:space="0" w:color="auto"/>
              <w:right w:val="nil"/>
            </w:tcBorders>
            <w:shd w:val="clear" w:color="auto" w:fill="auto"/>
            <w:noWrap/>
            <w:vAlign w:val="center"/>
            <w:hideMark/>
          </w:tcPr>
          <w:p w14:paraId="0B91F225"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+5 %  </w:t>
            </w:r>
          </w:p>
        </w:tc>
        <w:tc>
          <w:tcPr>
            <w:tcW w:w="1134" w:type="dxa"/>
            <w:tcBorders>
              <w:top w:val="nil"/>
              <w:left w:val="single" w:sz="4" w:space="0" w:color="auto"/>
              <w:bottom w:val="single" w:sz="4" w:space="0" w:color="auto"/>
              <w:right w:val="nil"/>
            </w:tcBorders>
            <w:shd w:val="clear" w:color="auto" w:fill="auto"/>
            <w:noWrap/>
            <w:vAlign w:val="bottom"/>
            <w:hideMark/>
          </w:tcPr>
          <w:p w14:paraId="79031CDA" w14:textId="1F59953F"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179</w:t>
            </w:r>
            <w:r>
              <w:rPr>
                <w:rFonts w:eastAsia="Times New Roman"/>
                <w:color w:val="000000"/>
                <w:szCs w:val="24"/>
                <w:lang w:eastAsia="cs-CZ"/>
              </w:rPr>
              <w:t>,</w:t>
            </w:r>
            <w:r w:rsidRPr="00966798">
              <w:rPr>
                <w:rFonts w:eastAsia="Times New Roman"/>
                <w:color w:val="000000"/>
                <w:szCs w:val="24"/>
                <w:lang w:eastAsia="cs-CZ"/>
              </w:rPr>
              <w:t>99</w:t>
            </w:r>
          </w:p>
        </w:tc>
        <w:tc>
          <w:tcPr>
            <w:tcW w:w="850" w:type="dxa"/>
            <w:tcBorders>
              <w:top w:val="nil"/>
              <w:left w:val="nil"/>
              <w:bottom w:val="single" w:sz="4" w:space="0" w:color="auto"/>
              <w:right w:val="single" w:sz="4" w:space="0" w:color="auto"/>
            </w:tcBorders>
            <w:shd w:val="clear" w:color="auto" w:fill="auto"/>
            <w:noWrap/>
            <w:vAlign w:val="center"/>
            <w:hideMark/>
          </w:tcPr>
          <w:p w14:paraId="0776C5DE"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+4 %  </w:t>
            </w:r>
          </w:p>
        </w:tc>
        <w:tc>
          <w:tcPr>
            <w:tcW w:w="1276" w:type="dxa"/>
            <w:tcBorders>
              <w:top w:val="nil"/>
              <w:left w:val="nil"/>
              <w:bottom w:val="single" w:sz="4" w:space="0" w:color="auto"/>
              <w:right w:val="nil"/>
            </w:tcBorders>
            <w:shd w:val="clear" w:color="auto" w:fill="auto"/>
            <w:noWrap/>
            <w:vAlign w:val="bottom"/>
            <w:hideMark/>
          </w:tcPr>
          <w:p w14:paraId="72919410" w14:textId="26E611AF"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36</w:t>
            </w:r>
            <w:r>
              <w:rPr>
                <w:rFonts w:eastAsia="Times New Roman"/>
                <w:color w:val="000000"/>
                <w:szCs w:val="24"/>
                <w:lang w:eastAsia="cs-CZ"/>
              </w:rPr>
              <w:t>,</w:t>
            </w:r>
            <w:r w:rsidRPr="00966798">
              <w:rPr>
                <w:rFonts w:eastAsia="Times New Roman"/>
                <w:color w:val="000000"/>
                <w:szCs w:val="24"/>
                <w:lang w:eastAsia="cs-CZ"/>
              </w:rPr>
              <w:t>69</w:t>
            </w:r>
          </w:p>
        </w:tc>
        <w:tc>
          <w:tcPr>
            <w:tcW w:w="992" w:type="dxa"/>
            <w:tcBorders>
              <w:top w:val="nil"/>
              <w:left w:val="nil"/>
              <w:bottom w:val="single" w:sz="4" w:space="0" w:color="auto"/>
              <w:right w:val="nil"/>
            </w:tcBorders>
            <w:shd w:val="clear" w:color="auto" w:fill="auto"/>
            <w:noWrap/>
            <w:vAlign w:val="center"/>
            <w:hideMark/>
          </w:tcPr>
          <w:p w14:paraId="55EA0F6A"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-0 %  </w:t>
            </w:r>
          </w:p>
        </w:tc>
      </w:tr>
      <w:tr w:rsidR="00966798" w:rsidRPr="00966798" w14:paraId="585CBCAA"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2D0BA6D5" w14:textId="77777777" w:rsidR="00966798" w:rsidRPr="00966798" w:rsidRDefault="00966798" w:rsidP="00966798">
            <w:pPr>
              <w:spacing w:line="240" w:lineRule="auto"/>
              <w:jc w:val="left"/>
              <w:rPr>
                <w:rFonts w:eastAsia="Times New Roman"/>
                <w:color w:val="000000"/>
                <w:szCs w:val="24"/>
                <w:lang w:eastAsia="cs-CZ"/>
              </w:rPr>
            </w:pPr>
            <w:r w:rsidRPr="00966798">
              <w:rPr>
                <w:rFonts w:eastAsia="Times New Roman"/>
                <w:color w:val="000000"/>
                <w:szCs w:val="24"/>
                <w:lang w:eastAsia="cs-CZ"/>
              </w:rPr>
              <w:t>KS Hr. Králové</w:t>
            </w:r>
          </w:p>
        </w:tc>
        <w:tc>
          <w:tcPr>
            <w:tcW w:w="1157" w:type="dxa"/>
            <w:tcBorders>
              <w:top w:val="nil"/>
              <w:left w:val="nil"/>
              <w:bottom w:val="single" w:sz="4" w:space="0" w:color="auto"/>
              <w:right w:val="nil"/>
            </w:tcBorders>
            <w:shd w:val="clear" w:color="auto" w:fill="auto"/>
            <w:noWrap/>
            <w:vAlign w:val="bottom"/>
            <w:hideMark/>
          </w:tcPr>
          <w:p w14:paraId="330BF5B3" w14:textId="558B1FA2"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36</w:t>
            </w:r>
            <w:r>
              <w:rPr>
                <w:rFonts w:eastAsia="Times New Roman"/>
                <w:color w:val="000000"/>
                <w:szCs w:val="24"/>
                <w:lang w:eastAsia="cs-CZ"/>
              </w:rPr>
              <w:t>,</w:t>
            </w:r>
            <w:r w:rsidRPr="00966798">
              <w:rPr>
                <w:rFonts w:eastAsia="Times New Roman"/>
                <w:color w:val="000000"/>
                <w:szCs w:val="24"/>
                <w:lang w:eastAsia="cs-CZ"/>
              </w:rPr>
              <w:t>00</w:t>
            </w:r>
          </w:p>
        </w:tc>
        <w:tc>
          <w:tcPr>
            <w:tcW w:w="1134" w:type="dxa"/>
            <w:tcBorders>
              <w:top w:val="nil"/>
              <w:left w:val="nil"/>
              <w:bottom w:val="single" w:sz="4" w:space="0" w:color="auto"/>
              <w:right w:val="nil"/>
            </w:tcBorders>
            <w:shd w:val="clear" w:color="auto" w:fill="auto"/>
            <w:noWrap/>
            <w:vAlign w:val="bottom"/>
            <w:hideMark/>
          </w:tcPr>
          <w:p w14:paraId="6CDD8FF8" w14:textId="7BFB098A"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158</w:t>
            </w:r>
            <w:r>
              <w:rPr>
                <w:rFonts w:eastAsia="Times New Roman"/>
                <w:color w:val="000000"/>
                <w:szCs w:val="24"/>
                <w:lang w:eastAsia="cs-CZ"/>
              </w:rPr>
              <w:t>,</w:t>
            </w:r>
            <w:r w:rsidRPr="00966798">
              <w:rPr>
                <w:rFonts w:eastAsia="Times New Roman"/>
                <w:color w:val="000000"/>
                <w:szCs w:val="24"/>
                <w:lang w:eastAsia="cs-CZ"/>
              </w:rPr>
              <w:t>81</w:t>
            </w:r>
          </w:p>
        </w:tc>
        <w:tc>
          <w:tcPr>
            <w:tcW w:w="851" w:type="dxa"/>
            <w:tcBorders>
              <w:top w:val="nil"/>
              <w:left w:val="nil"/>
              <w:bottom w:val="single" w:sz="4" w:space="0" w:color="auto"/>
              <w:right w:val="nil"/>
            </w:tcBorders>
            <w:shd w:val="clear" w:color="auto" w:fill="auto"/>
            <w:noWrap/>
            <w:vAlign w:val="center"/>
            <w:hideMark/>
          </w:tcPr>
          <w:p w14:paraId="0AE902ED"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-2 %  </w:t>
            </w:r>
          </w:p>
        </w:tc>
        <w:tc>
          <w:tcPr>
            <w:tcW w:w="1134" w:type="dxa"/>
            <w:tcBorders>
              <w:top w:val="nil"/>
              <w:left w:val="single" w:sz="4" w:space="0" w:color="auto"/>
              <w:bottom w:val="single" w:sz="4" w:space="0" w:color="auto"/>
              <w:right w:val="nil"/>
            </w:tcBorders>
            <w:shd w:val="clear" w:color="auto" w:fill="auto"/>
            <w:noWrap/>
            <w:vAlign w:val="bottom"/>
            <w:hideMark/>
          </w:tcPr>
          <w:p w14:paraId="2821EBE1" w14:textId="57E69EA6"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158</w:t>
            </w:r>
            <w:r>
              <w:rPr>
                <w:rFonts w:eastAsia="Times New Roman"/>
                <w:color w:val="000000"/>
                <w:szCs w:val="24"/>
                <w:lang w:eastAsia="cs-CZ"/>
              </w:rPr>
              <w:t>,</w:t>
            </w:r>
            <w:r w:rsidRPr="00966798">
              <w:rPr>
                <w:rFonts w:eastAsia="Times New Roman"/>
                <w:color w:val="000000"/>
                <w:szCs w:val="24"/>
                <w:lang w:eastAsia="cs-CZ"/>
              </w:rPr>
              <w:t>03</w:t>
            </w:r>
          </w:p>
        </w:tc>
        <w:tc>
          <w:tcPr>
            <w:tcW w:w="850" w:type="dxa"/>
            <w:tcBorders>
              <w:top w:val="nil"/>
              <w:left w:val="nil"/>
              <w:bottom w:val="single" w:sz="4" w:space="0" w:color="auto"/>
              <w:right w:val="single" w:sz="4" w:space="0" w:color="auto"/>
            </w:tcBorders>
            <w:shd w:val="clear" w:color="auto" w:fill="auto"/>
            <w:noWrap/>
            <w:vAlign w:val="center"/>
            <w:hideMark/>
          </w:tcPr>
          <w:p w14:paraId="3862EFE7"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-2 %  </w:t>
            </w:r>
          </w:p>
        </w:tc>
        <w:tc>
          <w:tcPr>
            <w:tcW w:w="1276" w:type="dxa"/>
            <w:tcBorders>
              <w:top w:val="nil"/>
              <w:left w:val="nil"/>
              <w:bottom w:val="single" w:sz="4" w:space="0" w:color="auto"/>
              <w:right w:val="nil"/>
            </w:tcBorders>
            <w:shd w:val="clear" w:color="auto" w:fill="auto"/>
            <w:noWrap/>
            <w:vAlign w:val="bottom"/>
            <w:hideMark/>
          </w:tcPr>
          <w:p w14:paraId="469A509A" w14:textId="39DE9FD4"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15</w:t>
            </w:r>
            <w:r>
              <w:rPr>
                <w:rFonts w:eastAsia="Times New Roman"/>
                <w:color w:val="000000"/>
                <w:szCs w:val="24"/>
                <w:lang w:eastAsia="cs-CZ"/>
              </w:rPr>
              <w:t>,</w:t>
            </w:r>
            <w:r w:rsidRPr="00966798">
              <w:rPr>
                <w:rFonts w:eastAsia="Times New Roman"/>
                <w:color w:val="000000"/>
                <w:szCs w:val="24"/>
                <w:lang w:eastAsia="cs-CZ"/>
              </w:rPr>
              <w:t>83</w:t>
            </w:r>
          </w:p>
        </w:tc>
        <w:tc>
          <w:tcPr>
            <w:tcW w:w="992" w:type="dxa"/>
            <w:tcBorders>
              <w:top w:val="nil"/>
              <w:left w:val="nil"/>
              <w:bottom w:val="single" w:sz="4" w:space="0" w:color="auto"/>
              <w:right w:val="nil"/>
            </w:tcBorders>
            <w:shd w:val="clear" w:color="auto" w:fill="auto"/>
            <w:noWrap/>
            <w:vAlign w:val="center"/>
            <w:hideMark/>
          </w:tcPr>
          <w:p w14:paraId="2912FC10"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+4 %  </w:t>
            </w:r>
          </w:p>
        </w:tc>
      </w:tr>
      <w:tr w:rsidR="00966798" w:rsidRPr="00966798" w14:paraId="13956697"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78BEB134" w14:textId="77777777" w:rsidR="00966798" w:rsidRPr="00966798" w:rsidRDefault="00966798" w:rsidP="00966798">
            <w:pPr>
              <w:spacing w:line="240" w:lineRule="auto"/>
              <w:jc w:val="left"/>
              <w:rPr>
                <w:rFonts w:eastAsia="Times New Roman"/>
                <w:color w:val="000000"/>
                <w:szCs w:val="24"/>
                <w:lang w:eastAsia="cs-CZ"/>
              </w:rPr>
            </w:pPr>
            <w:r w:rsidRPr="00966798">
              <w:rPr>
                <w:rFonts w:eastAsia="Times New Roman"/>
                <w:color w:val="000000"/>
                <w:szCs w:val="24"/>
                <w:lang w:eastAsia="cs-CZ"/>
              </w:rPr>
              <w:t>KS Brno</w:t>
            </w:r>
          </w:p>
        </w:tc>
        <w:tc>
          <w:tcPr>
            <w:tcW w:w="1157" w:type="dxa"/>
            <w:tcBorders>
              <w:top w:val="nil"/>
              <w:left w:val="nil"/>
              <w:bottom w:val="single" w:sz="4" w:space="0" w:color="auto"/>
              <w:right w:val="nil"/>
            </w:tcBorders>
            <w:shd w:val="clear" w:color="auto" w:fill="auto"/>
            <w:noWrap/>
            <w:vAlign w:val="bottom"/>
            <w:hideMark/>
          </w:tcPr>
          <w:p w14:paraId="46A103DD" w14:textId="076C3012"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52</w:t>
            </w:r>
            <w:r>
              <w:rPr>
                <w:rFonts w:eastAsia="Times New Roman"/>
                <w:color w:val="000000"/>
                <w:szCs w:val="24"/>
                <w:lang w:eastAsia="cs-CZ"/>
              </w:rPr>
              <w:t>,</w:t>
            </w:r>
            <w:r w:rsidRPr="00966798">
              <w:rPr>
                <w:rFonts w:eastAsia="Times New Roman"/>
                <w:color w:val="000000"/>
                <w:szCs w:val="24"/>
                <w:lang w:eastAsia="cs-CZ"/>
              </w:rPr>
              <w:t>30</w:t>
            </w:r>
          </w:p>
        </w:tc>
        <w:tc>
          <w:tcPr>
            <w:tcW w:w="1134" w:type="dxa"/>
            <w:tcBorders>
              <w:top w:val="nil"/>
              <w:left w:val="nil"/>
              <w:bottom w:val="single" w:sz="4" w:space="0" w:color="auto"/>
              <w:right w:val="nil"/>
            </w:tcBorders>
            <w:shd w:val="clear" w:color="auto" w:fill="auto"/>
            <w:noWrap/>
            <w:vAlign w:val="bottom"/>
            <w:hideMark/>
          </w:tcPr>
          <w:p w14:paraId="2A1E0563" w14:textId="39A46639"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178</w:t>
            </w:r>
            <w:r>
              <w:rPr>
                <w:rFonts w:eastAsia="Times New Roman"/>
                <w:color w:val="000000"/>
                <w:szCs w:val="24"/>
                <w:lang w:eastAsia="cs-CZ"/>
              </w:rPr>
              <w:t>,</w:t>
            </w:r>
            <w:r w:rsidRPr="00966798">
              <w:rPr>
                <w:rFonts w:eastAsia="Times New Roman"/>
                <w:color w:val="000000"/>
                <w:szCs w:val="24"/>
                <w:lang w:eastAsia="cs-CZ"/>
              </w:rPr>
              <w:t>89</w:t>
            </w:r>
          </w:p>
        </w:tc>
        <w:tc>
          <w:tcPr>
            <w:tcW w:w="851" w:type="dxa"/>
            <w:tcBorders>
              <w:top w:val="nil"/>
              <w:left w:val="nil"/>
              <w:bottom w:val="single" w:sz="4" w:space="0" w:color="auto"/>
              <w:right w:val="nil"/>
            </w:tcBorders>
            <w:shd w:val="clear" w:color="auto" w:fill="auto"/>
            <w:noWrap/>
            <w:vAlign w:val="center"/>
            <w:hideMark/>
          </w:tcPr>
          <w:p w14:paraId="5CC1611C"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-5 %  </w:t>
            </w:r>
          </w:p>
        </w:tc>
        <w:tc>
          <w:tcPr>
            <w:tcW w:w="1134" w:type="dxa"/>
            <w:tcBorders>
              <w:top w:val="nil"/>
              <w:left w:val="single" w:sz="4" w:space="0" w:color="auto"/>
              <w:bottom w:val="single" w:sz="4" w:space="0" w:color="auto"/>
              <w:right w:val="nil"/>
            </w:tcBorders>
            <w:shd w:val="clear" w:color="auto" w:fill="auto"/>
            <w:noWrap/>
            <w:vAlign w:val="bottom"/>
            <w:hideMark/>
          </w:tcPr>
          <w:p w14:paraId="01B74737" w14:textId="5B0A0C0E"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177</w:t>
            </w:r>
            <w:r>
              <w:rPr>
                <w:rFonts w:eastAsia="Times New Roman"/>
                <w:color w:val="000000"/>
                <w:szCs w:val="24"/>
                <w:lang w:eastAsia="cs-CZ"/>
              </w:rPr>
              <w:t>,</w:t>
            </w:r>
            <w:r w:rsidRPr="00966798">
              <w:rPr>
                <w:rFonts w:eastAsia="Times New Roman"/>
                <w:color w:val="000000"/>
                <w:szCs w:val="24"/>
                <w:lang w:eastAsia="cs-CZ"/>
              </w:rPr>
              <w:t>92</w:t>
            </w:r>
          </w:p>
        </w:tc>
        <w:tc>
          <w:tcPr>
            <w:tcW w:w="850" w:type="dxa"/>
            <w:tcBorders>
              <w:top w:val="nil"/>
              <w:left w:val="nil"/>
              <w:bottom w:val="single" w:sz="4" w:space="0" w:color="auto"/>
              <w:right w:val="single" w:sz="4" w:space="0" w:color="auto"/>
            </w:tcBorders>
            <w:shd w:val="clear" w:color="auto" w:fill="auto"/>
            <w:noWrap/>
            <w:vAlign w:val="center"/>
            <w:hideMark/>
          </w:tcPr>
          <w:p w14:paraId="6F33CCDD"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-5 %  </w:t>
            </w:r>
          </w:p>
        </w:tc>
        <w:tc>
          <w:tcPr>
            <w:tcW w:w="1276" w:type="dxa"/>
            <w:tcBorders>
              <w:top w:val="nil"/>
              <w:left w:val="nil"/>
              <w:bottom w:val="single" w:sz="4" w:space="0" w:color="auto"/>
              <w:right w:val="nil"/>
            </w:tcBorders>
            <w:shd w:val="clear" w:color="auto" w:fill="auto"/>
            <w:noWrap/>
            <w:vAlign w:val="bottom"/>
            <w:hideMark/>
          </w:tcPr>
          <w:p w14:paraId="314729DB" w14:textId="02F318A2"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27</w:t>
            </w:r>
            <w:r>
              <w:rPr>
                <w:rFonts w:eastAsia="Times New Roman"/>
                <w:color w:val="000000"/>
                <w:szCs w:val="24"/>
                <w:lang w:eastAsia="cs-CZ"/>
              </w:rPr>
              <w:t>,</w:t>
            </w:r>
            <w:r w:rsidRPr="00966798">
              <w:rPr>
                <w:rFonts w:eastAsia="Times New Roman"/>
                <w:color w:val="000000"/>
                <w:szCs w:val="24"/>
                <w:lang w:eastAsia="cs-CZ"/>
              </w:rPr>
              <w:t>27</w:t>
            </w:r>
          </w:p>
        </w:tc>
        <w:tc>
          <w:tcPr>
            <w:tcW w:w="992" w:type="dxa"/>
            <w:tcBorders>
              <w:top w:val="nil"/>
              <w:left w:val="nil"/>
              <w:bottom w:val="single" w:sz="4" w:space="0" w:color="auto"/>
              <w:right w:val="nil"/>
            </w:tcBorders>
            <w:shd w:val="clear" w:color="auto" w:fill="auto"/>
            <w:noWrap/>
            <w:vAlign w:val="center"/>
            <w:hideMark/>
          </w:tcPr>
          <w:p w14:paraId="121D92CC"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+5 %  </w:t>
            </w:r>
          </w:p>
        </w:tc>
      </w:tr>
      <w:tr w:rsidR="00966798" w:rsidRPr="00966798" w14:paraId="3A22E159" w14:textId="77777777" w:rsidTr="0057327F">
        <w:trPr>
          <w:trHeight w:val="330"/>
        </w:trPr>
        <w:tc>
          <w:tcPr>
            <w:tcW w:w="1820" w:type="dxa"/>
            <w:tcBorders>
              <w:top w:val="nil"/>
              <w:left w:val="nil"/>
              <w:bottom w:val="double" w:sz="6" w:space="0" w:color="auto"/>
              <w:right w:val="nil"/>
            </w:tcBorders>
            <w:shd w:val="clear" w:color="auto" w:fill="auto"/>
            <w:noWrap/>
            <w:vAlign w:val="bottom"/>
            <w:hideMark/>
          </w:tcPr>
          <w:p w14:paraId="658D7776" w14:textId="77777777" w:rsidR="00966798" w:rsidRPr="00966798" w:rsidRDefault="00966798" w:rsidP="00966798">
            <w:pPr>
              <w:spacing w:line="240" w:lineRule="auto"/>
              <w:jc w:val="left"/>
              <w:rPr>
                <w:rFonts w:eastAsia="Times New Roman"/>
                <w:color w:val="000000"/>
                <w:szCs w:val="24"/>
                <w:lang w:eastAsia="cs-CZ"/>
              </w:rPr>
            </w:pPr>
            <w:r w:rsidRPr="00966798">
              <w:rPr>
                <w:rFonts w:eastAsia="Times New Roman"/>
                <w:color w:val="000000"/>
                <w:szCs w:val="24"/>
                <w:lang w:eastAsia="cs-CZ"/>
              </w:rPr>
              <w:t>KS Ostrava</w:t>
            </w:r>
          </w:p>
        </w:tc>
        <w:tc>
          <w:tcPr>
            <w:tcW w:w="1157" w:type="dxa"/>
            <w:tcBorders>
              <w:top w:val="nil"/>
              <w:left w:val="nil"/>
              <w:bottom w:val="double" w:sz="6" w:space="0" w:color="auto"/>
              <w:right w:val="nil"/>
            </w:tcBorders>
            <w:shd w:val="clear" w:color="auto" w:fill="auto"/>
            <w:noWrap/>
            <w:vAlign w:val="bottom"/>
            <w:hideMark/>
          </w:tcPr>
          <w:p w14:paraId="7F2CC414" w14:textId="26BE4C3E"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69</w:t>
            </w:r>
            <w:r>
              <w:rPr>
                <w:rFonts w:eastAsia="Times New Roman"/>
                <w:color w:val="000000"/>
                <w:szCs w:val="24"/>
                <w:lang w:eastAsia="cs-CZ"/>
              </w:rPr>
              <w:t>,</w:t>
            </w:r>
            <w:r w:rsidRPr="00966798">
              <w:rPr>
                <w:rFonts w:eastAsia="Times New Roman"/>
                <w:color w:val="000000"/>
                <w:szCs w:val="24"/>
                <w:lang w:eastAsia="cs-CZ"/>
              </w:rPr>
              <w:t>35</w:t>
            </w:r>
          </w:p>
        </w:tc>
        <w:tc>
          <w:tcPr>
            <w:tcW w:w="1134" w:type="dxa"/>
            <w:tcBorders>
              <w:top w:val="nil"/>
              <w:left w:val="nil"/>
              <w:bottom w:val="double" w:sz="6" w:space="0" w:color="auto"/>
              <w:right w:val="nil"/>
            </w:tcBorders>
            <w:shd w:val="clear" w:color="auto" w:fill="auto"/>
            <w:noWrap/>
            <w:vAlign w:val="bottom"/>
            <w:hideMark/>
          </w:tcPr>
          <w:p w14:paraId="736B27C7" w14:textId="56FB38DD"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176</w:t>
            </w:r>
            <w:r>
              <w:rPr>
                <w:rFonts w:eastAsia="Times New Roman"/>
                <w:color w:val="000000"/>
                <w:szCs w:val="24"/>
                <w:lang w:eastAsia="cs-CZ"/>
              </w:rPr>
              <w:t>,</w:t>
            </w:r>
            <w:r w:rsidRPr="00966798">
              <w:rPr>
                <w:rFonts w:eastAsia="Times New Roman"/>
                <w:color w:val="000000"/>
                <w:szCs w:val="24"/>
                <w:lang w:eastAsia="cs-CZ"/>
              </w:rPr>
              <w:t>14</w:t>
            </w:r>
          </w:p>
        </w:tc>
        <w:tc>
          <w:tcPr>
            <w:tcW w:w="851" w:type="dxa"/>
            <w:tcBorders>
              <w:top w:val="nil"/>
              <w:left w:val="nil"/>
              <w:bottom w:val="double" w:sz="6" w:space="0" w:color="auto"/>
              <w:right w:val="nil"/>
            </w:tcBorders>
            <w:shd w:val="clear" w:color="auto" w:fill="auto"/>
            <w:noWrap/>
            <w:vAlign w:val="center"/>
            <w:hideMark/>
          </w:tcPr>
          <w:p w14:paraId="70E1E883"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-4 %  </w:t>
            </w:r>
          </w:p>
        </w:tc>
        <w:tc>
          <w:tcPr>
            <w:tcW w:w="1134" w:type="dxa"/>
            <w:tcBorders>
              <w:top w:val="nil"/>
              <w:left w:val="single" w:sz="4" w:space="0" w:color="auto"/>
              <w:bottom w:val="double" w:sz="6" w:space="0" w:color="auto"/>
              <w:right w:val="nil"/>
            </w:tcBorders>
            <w:shd w:val="clear" w:color="auto" w:fill="auto"/>
            <w:noWrap/>
            <w:vAlign w:val="bottom"/>
            <w:hideMark/>
          </w:tcPr>
          <w:p w14:paraId="25A1E719" w14:textId="5BA9D096"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175</w:t>
            </w:r>
            <w:r>
              <w:rPr>
                <w:rFonts w:eastAsia="Times New Roman"/>
                <w:color w:val="000000"/>
                <w:szCs w:val="24"/>
                <w:lang w:eastAsia="cs-CZ"/>
              </w:rPr>
              <w:t>,</w:t>
            </w:r>
            <w:r w:rsidRPr="00966798">
              <w:rPr>
                <w:rFonts w:eastAsia="Times New Roman"/>
                <w:color w:val="000000"/>
                <w:szCs w:val="24"/>
                <w:lang w:eastAsia="cs-CZ"/>
              </w:rPr>
              <w:t>72</w:t>
            </w:r>
          </w:p>
        </w:tc>
        <w:tc>
          <w:tcPr>
            <w:tcW w:w="850" w:type="dxa"/>
            <w:tcBorders>
              <w:top w:val="nil"/>
              <w:left w:val="nil"/>
              <w:bottom w:val="double" w:sz="6" w:space="0" w:color="auto"/>
              <w:right w:val="single" w:sz="4" w:space="0" w:color="auto"/>
            </w:tcBorders>
            <w:shd w:val="clear" w:color="auto" w:fill="auto"/>
            <w:noWrap/>
            <w:vAlign w:val="center"/>
            <w:hideMark/>
          </w:tcPr>
          <w:p w14:paraId="4F2B6726"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-4 %  </w:t>
            </w:r>
          </w:p>
        </w:tc>
        <w:tc>
          <w:tcPr>
            <w:tcW w:w="1276" w:type="dxa"/>
            <w:tcBorders>
              <w:top w:val="nil"/>
              <w:left w:val="nil"/>
              <w:bottom w:val="double" w:sz="6" w:space="0" w:color="auto"/>
              <w:right w:val="nil"/>
            </w:tcBorders>
            <w:shd w:val="clear" w:color="auto" w:fill="auto"/>
            <w:noWrap/>
            <w:vAlign w:val="bottom"/>
            <w:hideMark/>
          </w:tcPr>
          <w:p w14:paraId="4F20F811" w14:textId="3D1A593D" w:rsidR="00966798" w:rsidRPr="00966798" w:rsidRDefault="00966798" w:rsidP="00966798">
            <w:pPr>
              <w:spacing w:line="240" w:lineRule="auto"/>
              <w:jc w:val="center"/>
              <w:rPr>
                <w:rFonts w:eastAsia="Times New Roman"/>
                <w:color w:val="000000"/>
                <w:szCs w:val="24"/>
                <w:lang w:eastAsia="cs-CZ"/>
              </w:rPr>
            </w:pPr>
            <w:r w:rsidRPr="00966798">
              <w:rPr>
                <w:rFonts w:eastAsia="Times New Roman"/>
                <w:color w:val="000000"/>
                <w:szCs w:val="24"/>
                <w:lang w:eastAsia="cs-CZ"/>
              </w:rPr>
              <w:t>32</w:t>
            </w:r>
            <w:r>
              <w:rPr>
                <w:rFonts w:eastAsia="Times New Roman"/>
                <w:color w:val="000000"/>
                <w:szCs w:val="24"/>
                <w:lang w:eastAsia="cs-CZ"/>
              </w:rPr>
              <w:t>,</w:t>
            </w:r>
            <w:r w:rsidRPr="00966798">
              <w:rPr>
                <w:rFonts w:eastAsia="Times New Roman"/>
                <w:color w:val="000000"/>
                <w:szCs w:val="24"/>
                <w:lang w:eastAsia="cs-CZ"/>
              </w:rPr>
              <w:t>16</w:t>
            </w:r>
          </w:p>
        </w:tc>
        <w:tc>
          <w:tcPr>
            <w:tcW w:w="992" w:type="dxa"/>
            <w:tcBorders>
              <w:top w:val="nil"/>
              <w:left w:val="nil"/>
              <w:bottom w:val="double" w:sz="6" w:space="0" w:color="auto"/>
              <w:right w:val="nil"/>
            </w:tcBorders>
            <w:shd w:val="clear" w:color="auto" w:fill="auto"/>
            <w:noWrap/>
            <w:vAlign w:val="center"/>
            <w:hideMark/>
          </w:tcPr>
          <w:p w14:paraId="3ED98728" w14:textId="77777777" w:rsidR="00966798" w:rsidRPr="00966798" w:rsidRDefault="00966798" w:rsidP="00966798">
            <w:pPr>
              <w:spacing w:line="240" w:lineRule="auto"/>
              <w:jc w:val="center"/>
              <w:rPr>
                <w:rFonts w:eastAsia="Times New Roman"/>
                <w:color w:val="000000"/>
                <w:sz w:val="20"/>
                <w:szCs w:val="20"/>
                <w:lang w:eastAsia="cs-CZ"/>
              </w:rPr>
            </w:pPr>
            <w:r w:rsidRPr="00966798">
              <w:rPr>
                <w:rFonts w:eastAsia="Times New Roman"/>
                <w:color w:val="000000"/>
                <w:sz w:val="20"/>
                <w:szCs w:val="20"/>
                <w:lang w:eastAsia="cs-CZ"/>
              </w:rPr>
              <w:t xml:space="preserve">+3 %  </w:t>
            </w:r>
          </w:p>
        </w:tc>
      </w:tr>
      <w:tr w:rsidR="00966798" w:rsidRPr="00966798" w14:paraId="769A816D" w14:textId="77777777" w:rsidTr="0057327F">
        <w:trPr>
          <w:trHeight w:val="345"/>
        </w:trPr>
        <w:tc>
          <w:tcPr>
            <w:tcW w:w="1820" w:type="dxa"/>
            <w:tcBorders>
              <w:top w:val="nil"/>
              <w:left w:val="nil"/>
              <w:bottom w:val="double" w:sz="6" w:space="0" w:color="auto"/>
              <w:right w:val="nil"/>
            </w:tcBorders>
            <w:shd w:val="clear" w:color="auto" w:fill="auto"/>
            <w:noWrap/>
            <w:vAlign w:val="bottom"/>
            <w:hideMark/>
          </w:tcPr>
          <w:p w14:paraId="672BE8AC" w14:textId="77777777" w:rsidR="00966798" w:rsidRPr="00966798" w:rsidRDefault="00966798" w:rsidP="00966798">
            <w:pPr>
              <w:spacing w:line="240" w:lineRule="auto"/>
              <w:jc w:val="left"/>
              <w:rPr>
                <w:rFonts w:eastAsia="Times New Roman"/>
                <w:b/>
                <w:bCs/>
                <w:color w:val="000000"/>
                <w:szCs w:val="24"/>
                <w:lang w:eastAsia="cs-CZ"/>
              </w:rPr>
            </w:pPr>
            <w:r w:rsidRPr="00966798">
              <w:rPr>
                <w:rFonts w:eastAsia="Times New Roman"/>
                <w:b/>
                <w:bCs/>
                <w:color w:val="000000"/>
                <w:szCs w:val="24"/>
                <w:lang w:eastAsia="cs-CZ"/>
              </w:rPr>
              <w:t>Celkem ČR</w:t>
            </w:r>
          </w:p>
        </w:tc>
        <w:tc>
          <w:tcPr>
            <w:tcW w:w="1157" w:type="dxa"/>
            <w:tcBorders>
              <w:top w:val="nil"/>
              <w:left w:val="nil"/>
              <w:bottom w:val="double" w:sz="6" w:space="0" w:color="auto"/>
              <w:right w:val="nil"/>
            </w:tcBorders>
            <w:shd w:val="clear" w:color="auto" w:fill="auto"/>
            <w:noWrap/>
            <w:vAlign w:val="bottom"/>
            <w:hideMark/>
          </w:tcPr>
          <w:p w14:paraId="1A8A0A6B" w14:textId="0B98A7DD" w:rsidR="00966798" w:rsidRPr="00966798" w:rsidRDefault="00966798" w:rsidP="00966798">
            <w:pPr>
              <w:spacing w:line="240" w:lineRule="auto"/>
              <w:jc w:val="center"/>
              <w:rPr>
                <w:rFonts w:eastAsia="Times New Roman"/>
                <w:b/>
                <w:bCs/>
                <w:color w:val="000000"/>
                <w:szCs w:val="24"/>
                <w:lang w:eastAsia="cs-CZ"/>
              </w:rPr>
            </w:pPr>
            <w:r w:rsidRPr="00966798">
              <w:rPr>
                <w:rFonts w:eastAsia="Times New Roman"/>
                <w:b/>
                <w:bCs/>
                <w:color w:val="000000"/>
                <w:szCs w:val="24"/>
                <w:lang w:eastAsia="cs-CZ"/>
              </w:rPr>
              <w:t>373</w:t>
            </w:r>
            <w:r>
              <w:rPr>
                <w:rFonts w:eastAsia="Times New Roman"/>
                <w:b/>
                <w:bCs/>
                <w:color w:val="000000"/>
                <w:szCs w:val="24"/>
                <w:lang w:eastAsia="cs-CZ"/>
              </w:rPr>
              <w:t>,</w:t>
            </w:r>
            <w:r w:rsidRPr="00966798">
              <w:rPr>
                <w:rFonts w:eastAsia="Times New Roman"/>
                <w:b/>
                <w:bCs/>
                <w:color w:val="000000"/>
                <w:szCs w:val="24"/>
                <w:lang w:eastAsia="cs-CZ"/>
              </w:rPr>
              <w:t>19</w:t>
            </w:r>
          </w:p>
        </w:tc>
        <w:tc>
          <w:tcPr>
            <w:tcW w:w="1134" w:type="dxa"/>
            <w:tcBorders>
              <w:top w:val="nil"/>
              <w:left w:val="nil"/>
              <w:bottom w:val="double" w:sz="6" w:space="0" w:color="auto"/>
              <w:right w:val="nil"/>
            </w:tcBorders>
            <w:shd w:val="clear" w:color="auto" w:fill="auto"/>
            <w:noWrap/>
            <w:vAlign w:val="bottom"/>
            <w:hideMark/>
          </w:tcPr>
          <w:p w14:paraId="3CBE6EFB" w14:textId="2F1D94F6" w:rsidR="00966798" w:rsidRPr="00966798" w:rsidRDefault="00966798" w:rsidP="00966798">
            <w:pPr>
              <w:spacing w:line="240" w:lineRule="auto"/>
              <w:jc w:val="center"/>
              <w:rPr>
                <w:rFonts w:eastAsia="Times New Roman"/>
                <w:b/>
                <w:bCs/>
                <w:color w:val="000000"/>
                <w:szCs w:val="24"/>
                <w:lang w:eastAsia="cs-CZ"/>
              </w:rPr>
            </w:pPr>
            <w:r w:rsidRPr="00966798">
              <w:rPr>
                <w:rFonts w:eastAsia="Times New Roman"/>
                <w:b/>
                <w:bCs/>
                <w:color w:val="000000"/>
                <w:szCs w:val="24"/>
                <w:lang w:eastAsia="cs-CZ"/>
              </w:rPr>
              <w:t>169</w:t>
            </w:r>
            <w:r>
              <w:rPr>
                <w:rFonts w:eastAsia="Times New Roman"/>
                <w:b/>
                <w:bCs/>
                <w:color w:val="000000"/>
                <w:szCs w:val="24"/>
                <w:lang w:eastAsia="cs-CZ"/>
              </w:rPr>
              <w:t>,</w:t>
            </w:r>
            <w:r w:rsidRPr="00966798">
              <w:rPr>
                <w:rFonts w:eastAsia="Times New Roman"/>
                <w:b/>
                <w:bCs/>
                <w:color w:val="000000"/>
                <w:szCs w:val="24"/>
                <w:lang w:eastAsia="cs-CZ"/>
              </w:rPr>
              <w:t>37</w:t>
            </w:r>
          </w:p>
        </w:tc>
        <w:tc>
          <w:tcPr>
            <w:tcW w:w="851" w:type="dxa"/>
            <w:tcBorders>
              <w:top w:val="nil"/>
              <w:left w:val="nil"/>
              <w:bottom w:val="double" w:sz="6" w:space="0" w:color="auto"/>
              <w:right w:val="nil"/>
            </w:tcBorders>
            <w:shd w:val="clear" w:color="auto" w:fill="auto"/>
            <w:noWrap/>
            <w:vAlign w:val="center"/>
            <w:hideMark/>
          </w:tcPr>
          <w:p w14:paraId="70B4714A" w14:textId="77777777" w:rsidR="00966798" w:rsidRPr="00966798" w:rsidRDefault="00966798" w:rsidP="00966798">
            <w:pPr>
              <w:spacing w:line="240" w:lineRule="auto"/>
              <w:jc w:val="center"/>
              <w:rPr>
                <w:rFonts w:eastAsia="Times New Roman"/>
                <w:b/>
                <w:bCs/>
                <w:color w:val="000000"/>
                <w:sz w:val="20"/>
                <w:szCs w:val="20"/>
                <w:lang w:eastAsia="cs-CZ"/>
              </w:rPr>
            </w:pPr>
            <w:r w:rsidRPr="00966798">
              <w:rPr>
                <w:rFonts w:eastAsia="Times New Roman"/>
                <w:b/>
                <w:bCs/>
                <w:color w:val="000000"/>
                <w:sz w:val="20"/>
                <w:szCs w:val="20"/>
                <w:lang w:eastAsia="cs-CZ"/>
              </w:rPr>
              <w:t xml:space="preserve">-3 %  </w:t>
            </w:r>
          </w:p>
        </w:tc>
        <w:tc>
          <w:tcPr>
            <w:tcW w:w="1134" w:type="dxa"/>
            <w:tcBorders>
              <w:top w:val="nil"/>
              <w:left w:val="single" w:sz="4" w:space="0" w:color="auto"/>
              <w:bottom w:val="double" w:sz="6" w:space="0" w:color="auto"/>
              <w:right w:val="nil"/>
            </w:tcBorders>
            <w:shd w:val="clear" w:color="auto" w:fill="auto"/>
            <w:noWrap/>
            <w:vAlign w:val="bottom"/>
            <w:hideMark/>
          </w:tcPr>
          <w:p w14:paraId="556B297B" w14:textId="1C168596" w:rsidR="00966798" w:rsidRPr="00966798" w:rsidRDefault="00966798" w:rsidP="00966798">
            <w:pPr>
              <w:spacing w:line="240" w:lineRule="auto"/>
              <w:jc w:val="center"/>
              <w:rPr>
                <w:rFonts w:eastAsia="Times New Roman"/>
                <w:b/>
                <w:bCs/>
                <w:color w:val="000000"/>
                <w:szCs w:val="24"/>
                <w:lang w:eastAsia="cs-CZ"/>
              </w:rPr>
            </w:pPr>
            <w:r w:rsidRPr="00966798">
              <w:rPr>
                <w:rFonts w:eastAsia="Times New Roman"/>
                <w:b/>
                <w:bCs/>
                <w:color w:val="000000"/>
                <w:szCs w:val="24"/>
                <w:lang w:eastAsia="cs-CZ"/>
              </w:rPr>
              <w:t>169</w:t>
            </w:r>
            <w:r>
              <w:rPr>
                <w:rFonts w:eastAsia="Times New Roman"/>
                <w:b/>
                <w:bCs/>
                <w:color w:val="000000"/>
                <w:szCs w:val="24"/>
                <w:lang w:eastAsia="cs-CZ"/>
              </w:rPr>
              <w:t>,</w:t>
            </w:r>
            <w:r w:rsidRPr="00966798">
              <w:rPr>
                <w:rFonts w:eastAsia="Times New Roman"/>
                <w:b/>
                <w:bCs/>
                <w:color w:val="000000"/>
                <w:szCs w:val="24"/>
                <w:lang w:eastAsia="cs-CZ"/>
              </w:rPr>
              <w:t>36</w:t>
            </w:r>
          </w:p>
        </w:tc>
        <w:tc>
          <w:tcPr>
            <w:tcW w:w="850" w:type="dxa"/>
            <w:tcBorders>
              <w:top w:val="nil"/>
              <w:left w:val="nil"/>
              <w:bottom w:val="double" w:sz="6" w:space="0" w:color="auto"/>
              <w:right w:val="single" w:sz="4" w:space="0" w:color="auto"/>
            </w:tcBorders>
            <w:shd w:val="clear" w:color="auto" w:fill="auto"/>
            <w:noWrap/>
            <w:vAlign w:val="center"/>
            <w:hideMark/>
          </w:tcPr>
          <w:p w14:paraId="0B23286E" w14:textId="77777777" w:rsidR="00966798" w:rsidRPr="00966798" w:rsidRDefault="00966798" w:rsidP="00966798">
            <w:pPr>
              <w:spacing w:line="240" w:lineRule="auto"/>
              <w:jc w:val="center"/>
              <w:rPr>
                <w:rFonts w:eastAsia="Times New Roman"/>
                <w:b/>
                <w:bCs/>
                <w:color w:val="000000"/>
                <w:sz w:val="20"/>
                <w:szCs w:val="20"/>
                <w:lang w:eastAsia="cs-CZ"/>
              </w:rPr>
            </w:pPr>
            <w:r w:rsidRPr="00966798">
              <w:rPr>
                <w:rFonts w:eastAsia="Times New Roman"/>
                <w:b/>
                <w:bCs/>
                <w:color w:val="000000"/>
                <w:sz w:val="20"/>
                <w:szCs w:val="20"/>
                <w:lang w:eastAsia="cs-CZ"/>
              </w:rPr>
              <w:t xml:space="preserve">-3 %  </w:t>
            </w:r>
          </w:p>
        </w:tc>
        <w:tc>
          <w:tcPr>
            <w:tcW w:w="1276" w:type="dxa"/>
            <w:tcBorders>
              <w:top w:val="nil"/>
              <w:left w:val="nil"/>
              <w:bottom w:val="double" w:sz="6" w:space="0" w:color="auto"/>
              <w:right w:val="nil"/>
            </w:tcBorders>
            <w:shd w:val="clear" w:color="auto" w:fill="auto"/>
            <w:noWrap/>
            <w:vAlign w:val="bottom"/>
            <w:hideMark/>
          </w:tcPr>
          <w:p w14:paraId="5ED2C825" w14:textId="1A586CD1" w:rsidR="00966798" w:rsidRPr="00966798" w:rsidRDefault="00966798" w:rsidP="00966798">
            <w:pPr>
              <w:spacing w:line="240" w:lineRule="auto"/>
              <w:jc w:val="center"/>
              <w:rPr>
                <w:rFonts w:eastAsia="Times New Roman"/>
                <w:b/>
                <w:bCs/>
                <w:color w:val="000000"/>
                <w:szCs w:val="24"/>
                <w:lang w:eastAsia="cs-CZ"/>
              </w:rPr>
            </w:pPr>
            <w:r w:rsidRPr="00966798">
              <w:rPr>
                <w:rFonts w:eastAsia="Times New Roman"/>
                <w:b/>
                <w:bCs/>
                <w:color w:val="000000"/>
                <w:szCs w:val="24"/>
                <w:lang w:eastAsia="cs-CZ"/>
              </w:rPr>
              <w:t>24</w:t>
            </w:r>
            <w:r>
              <w:rPr>
                <w:rFonts w:eastAsia="Times New Roman"/>
                <w:b/>
                <w:bCs/>
                <w:color w:val="000000"/>
                <w:szCs w:val="24"/>
                <w:lang w:eastAsia="cs-CZ"/>
              </w:rPr>
              <w:t>,</w:t>
            </w:r>
            <w:r w:rsidRPr="00966798">
              <w:rPr>
                <w:rFonts w:eastAsia="Times New Roman"/>
                <w:b/>
                <w:bCs/>
                <w:color w:val="000000"/>
                <w:szCs w:val="24"/>
                <w:lang w:eastAsia="cs-CZ"/>
              </w:rPr>
              <w:t>83</w:t>
            </w:r>
          </w:p>
        </w:tc>
        <w:tc>
          <w:tcPr>
            <w:tcW w:w="992" w:type="dxa"/>
            <w:tcBorders>
              <w:top w:val="nil"/>
              <w:left w:val="nil"/>
              <w:bottom w:val="double" w:sz="6" w:space="0" w:color="auto"/>
              <w:right w:val="nil"/>
            </w:tcBorders>
            <w:shd w:val="clear" w:color="auto" w:fill="auto"/>
            <w:noWrap/>
            <w:vAlign w:val="center"/>
            <w:hideMark/>
          </w:tcPr>
          <w:p w14:paraId="57551885" w14:textId="77777777" w:rsidR="00966798" w:rsidRPr="00966798" w:rsidRDefault="00966798" w:rsidP="00966798">
            <w:pPr>
              <w:spacing w:line="240" w:lineRule="auto"/>
              <w:jc w:val="center"/>
              <w:rPr>
                <w:rFonts w:eastAsia="Times New Roman"/>
                <w:b/>
                <w:bCs/>
                <w:color w:val="000000"/>
                <w:sz w:val="20"/>
                <w:szCs w:val="20"/>
                <w:lang w:eastAsia="cs-CZ"/>
              </w:rPr>
            </w:pPr>
            <w:r w:rsidRPr="00966798">
              <w:rPr>
                <w:rFonts w:eastAsia="Times New Roman"/>
                <w:b/>
                <w:bCs/>
                <w:color w:val="000000"/>
                <w:sz w:val="20"/>
                <w:szCs w:val="20"/>
                <w:lang w:eastAsia="cs-CZ"/>
              </w:rPr>
              <w:t xml:space="preserve">+2 %  </w:t>
            </w:r>
          </w:p>
        </w:tc>
      </w:tr>
      <w:tr w:rsidR="00966798" w:rsidRPr="00966798" w14:paraId="080CA8F6" w14:textId="77777777" w:rsidTr="0057327F">
        <w:trPr>
          <w:trHeight w:val="330"/>
        </w:trPr>
        <w:tc>
          <w:tcPr>
            <w:tcW w:w="1820" w:type="dxa"/>
            <w:tcBorders>
              <w:top w:val="nil"/>
              <w:left w:val="nil"/>
              <w:bottom w:val="nil"/>
              <w:right w:val="nil"/>
            </w:tcBorders>
            <w:shd w:val="clear" w:color="auto" w:fill="auto"/>
            <w:noWrap/>
            <w:vAlign w:val="bottom"/>
            <w:hideMark/>
          </w:tcPr>
          <w:p w14:paraId="20642E02" w14:textId="77777777" w:rsidR="00966798" w:rsidRPr="00966798" w:rsidRDefault="00966798" w:rsidP="00966798">
            <w:pPr>
              <w:spacing w:line="240" w:lineRule="auto"/>
              <w:jc w:val="center"/>
              <w:rPr>
                <w:rFonts w:eastAsia="Times New Roman"/>
                <w:b/>
                <w:bCs/>
                <w:color w:val="000000"/>
                <w:sz w:val="20"/>
                <w:szCs w:val="20"/>
                <w:lang w:eastAsia="cs-CZ"/>
              </w:rPr>
            </w:pPr>
          </w:p>
        </w:tc>
        <w:tc>
          <w:tcPr>
            <w:tcW w:w="1157" w:type="dxa"/>
            <w:tcBorders>
              <w:top w:val="nil"/>
              <w:left w:val="nil"/>
              <w:bottom w:val="nil"/>
              <w:right w:val="nil"/>
            </w:tcBorders>
            <w:shd w:val="clear" w:color="auto" w:fill="auto"/>
            <w:noWrap/>
            <w:vAlign w:val="bottom"/>
            <w:hideMark/>
          </w:tcPr>
          <w:p w14:paraId="3E45BC7F" w14:textId="77777777" w:rsidR="00966798" w:rsidRPr="00966798" w:rsidRDefault="00966798" w:rsidP="00966798">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145D2FB4" w14:textId="77777777" w:rsidR="00966798" w:rsidRPr="00966798" w:rsidRDefault="00966798" w:rsidP="00966798">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55FBBE84" w14:textId="77777777" w:rsidR="00966798" w:rsidRPr="00966798" w:rsidRDefault="00966798" w:rsidP="00966798">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35C8BBA6" w14:textId="77777777" w:rsidR="00966798" w:rsidRPr="00966798" w:rsidRDefault="00966798" w:rsidP="00966798">
            <w:pPr>
              <w:spacing w:line="240" w:lineRule="auto"/>
              <w:jc w:val="left"/>
              <w:rPr>
                <w:rFonts w:ascii="Times New Roman" w:eastAsia="Times New Roman" w:hAnsi="Times New Roman"/>
                <w:sz w:val="20"/>
                <w:szCs w:val="20"/>
                <w:lang w:eastAsia="cs-CZ"/>
              </w:rPr>
            </w:pPr>
          </w:p>
        </w:tc>
        <w:tc>
          <w:tcPr>
            <w:tcW w:w="850" w:type="dxa"/>
            <w:tcBorders>
              <w:top w:val="nil"/>
              <w:left w:val="nil"/>
              <w:bottom w:val="nil"/>
              <w:right w:val="nil"/>
            </w:tcBorders>
            <w:shd w:val="clear" w:color="auto" w:fill="auto"/>
            <w:noWrap/>
            <w:vAlign w:val="bottom"/>
            <w:hideMark/>
          </w:tcPr>
          <w:p w14:paraId="70D3A625" w14:textId="77777777" w:rsidR="00966798" w:rsidRPr="00966798" w:rsidRDefault="00966798" w:rsidP="00966798">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0299C74A" w14:textId="77777777" w:rsidR="00966798" w:rsidRPr="00966798" w:rsidRDefault="00966798" w:rsidP="00966798">
            <w:pPr>
              <w:spacing w:line="240" w:lineRule="auto"/>
              <w:jc w:val="left"/>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607F2072" w14:textId="77777777" w:rsidR="00966798" w:rsidRPr="00966798" w:rsidRDefault="00966798" w:rsidP="00966798">
            <w:pPr>
              <w:spacing w:line="240" w:lineRule="auto"/>
              <w:jc w:val="left"/>
              <w:rPr>
                <w:rFonts w:ascii="Times New Roman" w:eastAsia="Times New Roman" w:hAnsi="Times New Roman"/>
                <w:sz w:val="20"/>
                <w:szCs w:val="20"/>
                <w:lang w:eastAsia="cs-CZ"/>
              </w:rPr>
            </w:pPr>
          </w:p>
        </w:tc>
      </w:tr>
    </w:tbl>
    <w:p w14:paraId="032EB5FE" w14:textId="33E2DB4B" w:rsidR="003854F3" w:rsidRPr="00033A3F" w:rsidRDefault="003854F3" w:rsidP="004C0D35">
      <w:pPr>
        <w:pStyle w:val="OdstavecASR"/>
        <w:rPr>
          <w:color w:val="000000" w:themeColor="text1"/>
        </w:rPr>
      </w:pPr>
      <w:r w:rsidRPr="00033A3F">
        <w:rPr>
          <w:color w:val="000000" w:themeColor="text1"/>
        </w:rPr>
        <w:t xml:space="preserve">Změny oproti předchozímu roku vyplývají spíše ze změn v počtu příchozích, vyřízených a nevyřízených věcí, protože celorepublikově se </w:t>
      </w:r>
      <w:r w:rsidR="00911F54" w:rsidRPr="00033A3F">
        <w:rPr>
          <w:color w:val="000000" w:themeColor="text1"/>
        </w:rPr>
        <w:t>počet úvazků</w:t>
      </w:r>
      <w:r w:rsidRPr="00033A3F">
        <w:rPr>
          <w:color w:val="000000" w:themeColor="text1"/>
        </w:rPr>
        <w:t xml:space="preserve"> jen velmi mírně zvýšil. K menším změnám došlo na úrovni krajů a samozřejmě na úrovni jednotlivých okresních soudů.</w:t>
      </w:r>
    </w:p>
    <w:p w14:paraId="3208802E" w14:textId="66978386" w:rsidR="003854F3" w:rsidRPr="00033A3F" w:rsidRDefault="000C675D" w:rsidP="003854F3">
      <w:pPr>
        <w:pStyle w:val="Podnadpis"/>
        <w:rPr>
          <w:color w:val="000000" w:themeColor="text1"/>
        </w:rPr>
      </w:pPr>
      <w:bookmarkStart w:id="851" w:name="_Toc43841419"/>
      <w:bookmarkStart w:id="852" w:name="_Toc75952223"/>
      <w:bookmarkStart w:id="853" w:name="_Toc106106675"/>
      <w:bookmarkStart w:id="854" w:name="_Toc109801999"/>
      <w:bookmarkStart w:id="855" w:name="_Toc144104150"/>
      <w:bookmarkStart w:id="856" w:name="_Toc169250961"/>
      <w:bookmarkStart w:id="857" w:name="_Toc174080647"/>
      <w:bookmarkStart w:id="858" w:name="_Toc193530799"/>
      <w:bookmarkStart w:id="859" w:name="_Toc193634073"/>
      <w:bookmarkStart w:id="860" w:name="_Toc203032871"/>
      <w:r w:rsidRPr="00033A3F">
        <w:rPr>
          <w:noProof/>
          <w:color w:val="000000" w:themeColor="text1"/>
          <w:lang w:eastAsia="cs-CZ"/>
        </w:rPr>
        <w:lastRenderedPageBreak/>
        <w:drawing>
          <wp:anchor distT="0" distB="0" distL="114300" distR="114300" simplePos="0" relativeHeight="251694080" behindDoc="0" locked="0" layoutInCell="1" allowOverlap="1" wp14:anchorId="5726644C" wp14:editId="3A41647A">
            <wp:simplePos x="0" y="0"/>
            <wp:positionH relativeFrom="margin">
              <wp:posOffset>4351439</wp:posOffset>
            </wp:positionH>
            <wp:positionV relativeFrom="paragraph">
              <wp:posOffset>175894</wp:posOffset>
            </wp:positionV>
            <wp:extent cx="1401026" cy="1019175"/>
            <wp:effectExtent l="0" t="0" r="8890" b="0"/>
            <wp:wrapNone/>
            <wp:docPr id="56103570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flipH="1">
                      <a:off x="0" y="0"/>
                      <a:ext cx="1406812" cy="10233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54F3" w:rsidRPr="00033A3F">
        <w:rPr>
          <w:color w:val="000000" w:themeColor="text1"/>
        </w:rPr>
        <w:t xml:space="preserve">Graf </w:t>
      </w:r>
      <w:r w:rsidR="003854F3" w:rsidRPr="00033A3F">
        <w:rPr>
          <w:color w:val="000000" w:themeColor="text1"/>
        </w:rPr>
        <w:fldChar w:fldCharType="begin"/>
      </w:r>
      <w:r w:rsidR="003854F3" w:rsidRPr="00033A3F">
        <w:rPr>
          <w:color w:val="000000" w:themeColor="text1"/>
        </w:rPr>
        <w:instrText xml:space="preserve"> SEQ Graf \* ARABIC </w:instrText>
      </w:r>
      <w:r w:rsidR="003854F3" w:rsidRPr="00033A3F">
        <w:rPr>
          <w:color w:val="000000" w:themeColor="text1"/>
        </w:rPr>
        <w:fldChar w:fldCharType="separate"/>
      </w:r>
      <w:r w:rsidR="00163B51">
        <w:rPr>
          <w:noProof/>
          <w:color w:val="000000" w:themeColor="text1"/>
        </w:rPr>
        <w:t>44</w:t>
      </w:r>
      <w:r w:rsidR="003854F3" w:rsidRPr="00033A3F">
        <w:rPr>
          <w:color w:val="000000" w:themeColor="text1"/>
        </w:rPr>
        <w:fldChar w:fldCharType="end"/>
      </w:r>
      <w:r w:rsidR="003854F3" w:rsidRPr="00033A3F">
        <w:rPr>
          <w:color w:val="000000" w:themeColor="text1"/>
        </w:rPr>
        <w:t>: OS – počet nevyř. opatrov. věcí na úvazek u </w:t>
      </w:r>
      <w:bookmarkEnd w:id="851"/>
      <w:bookmarkEnd w:id="852"/>
      <w:bookmarkEnd w:id="853"/>
      <w:bookmarkEnd w:id="854"/>
      <w:r w:rsidR="003854F3" w:rsidRPr="00033A3F">
        <w:rPr>
          <w:color w:val="000000" w:themeColor="text1"/>
        </w:rPr>
        <w:t>jednotlivých</w:t>
      </w:r>
      <w:r w:rsidR="003854F3" w:rsidRPr="00033A3F">
        <w:rPr>
          <w:b w:val="0"/>
          <w:iCs w:val="0"/>
          <w:color w:val="000000" w:themeColor="text1"/>
        </w:rPr>
        <w:t xml:space="preserve"> </w:t>
      </w:r>
      <w:r w:rsidR="003854F3" w:rsidRPr="00033A3F">
        <w:rPr>
          <w:color w:val="000000" w:themeColor="text1"/>
        </w:rPr>
        <w:t>soudů</w:t>
      </w:r>
      <w:bookmarkEnd w:id="855"/>
      <w:r w:rsidR="003854F3" w:rsidRPr="00033A3F">
        <w:rPr>
          <w:color w:val="000000" w:themeColor="text1"/>
        </w:rPr>
        <w:t>, 202</w:t>
      </w:r>
      <w:bookmarkEnd w:id="856"/>
      <w:bookmarkEnd w:id="857"/>
      <w:r w:rsidR="003854F3" w:rsidRPr="00033A3F">
        <w:rPr>
          <w:color w:val="000000" w:themeColor="text1"/>
        </w:rPr>
        <w:t>4</w:t>
      </w:r>
      <w:bookmarkEnd w:id="858"/>
      <w:bookmarkEnd w:id="859"/>
      <w:bookmarkEnd w:id="860"/>
    </w:p>
    <w:p w14:paraId="32286DE0" w14:textId="490551F1" w:rsidR="003854F3" w:rsidRPr="00033A3F" w:rsidRDefault="004637FE" w:rsidP="003854F3">
      <w:pPr>
        <w:rPr>
          <w:color w:val="000000" w:themeColor="text1"/>
        </w:rPr>
      </w:pPr>
      <w:r w:rsidRPr="004637FE">
        <w:rPr>
          <w:noProof/>
          <w:color w:val="000000" w:themeColor="text1"/>
        </w:rPr>
        <w:drawing>
          <wp:inline distT="0" distB="0" distL="0" distR="0" wp14:anchorId="638685C5" wp14:editId="71B2860C">
            <wp:extent cx="5760720" cy="3296920"/>
            <wp:effectExtent l="0" t="0" r="0" b="0"/>
            <wp:docPr id="86878849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D233EC1" w14:textId="77777777" w:rsidR="00EC39B9" w:rsidRPr="00033A3F" w:rsidRDefault="00EC39B9" w:rsidP="003854F3">
      <w:pPr>
        <w:rPr>
          <w:color w:val="000000" w:themeColor="text1"/>
        </w:rPr>
      </w:pPr>
    </w:p>
    <w:p w14:paraId="0C87A78B" w14:textId="7EAC3C17" w:rsidR="001547E2" w:rsidRPr="00033A3F" w:rsidRDefault="001547E2" w:rsidP="004C0D35">
      <w:pPr>
        <w:pStyle w:val="OdstavecASR"/>
        <w:rPr>
          <w:color w:val="000000" w:themeColor="text1"/>
        </w:rPr>
      </w:pPr>
      <w:bookmarkStart w:id="861" w:name="_Hlk160455262"/>
      <w:r w:rsidRPr="00033A3F">
        <w:rPr>
          <w:color w:val="000000" w:themeColor="text1"/>
        </w:rPr>
        <w:t xml:space="preserve">Pokud jde o nevyřízené věci na soudce, nejlépe jsou na tom </w:t>
      </w:r>
      <w:r w:rsidR="00911F54" w:rsidRPr="00033A3F">
        <w:rPr>
          <w:color w:val="000000" w:themeColor="text1"/>
        </w:rPr>
        <w:t>již dlouhodobě</w:t>
      </w:r>
      <w:r w:rsidRPr="00033A3F">
        <w:rPr>
          <w:color w:val="000000" w:themeColor="text1"/>
        </w:rPr>
        <w:t xml:space="preserve"> (obdobně jako u délek řízení) OS spadající pod KS České Budějovice. Celkově je ale situace poměrně vyrovnaná. Z jednotlivých soudů jsou pak na tom nejlépe Praha 2 (41), Praha 1 (48) a Mladá Boleslav (49). Nejvyšší počet věcí na soudce naopak vykazují Chrudim</w:t>
      </w:r>
      <w:r w:rsidR="0067474A" w:rsidRPr="00033A3F">
        <w:rPr>
          <w:color w:val="000000" w:themeColor="text1"/>
        </w:rPr>
        <w:t xml:space="preserve"> (213)</w:t>
      </w:r>
      <w:r w:rsidRPr="00033A3F">
        <w:rPr>
          <w:color w:val="000000" w:themeColor="text1"/>
        </w:rPr>
        <w:t>, Hodonín (</w:t>
      </w:r>
      <w:r w:rsidR="0067474A" w:rsidRPr="00033A3F">
        <w:rPr>
          <w:color w:val="000000" w:themeColor="text1"/>
        </w:rPr>
        <w:t>187</w:t>
      </w:r>
      <w:r w:rsidRPr="00033A3F">
        <w:rPr>
          <w:color w:val="000000" w:themeColor="text1"/>
        </w:rPr>
        <w:t>) a Frýdek-Místek (203).</w:t>
      </w:r>
    </w:p>
    <w:bookmarkEnd w:id="861"/>
    <w:p w14:paraId="14E4750B" w14:textId="77777777" w:rsidR="001547E2" w:rsidRPr="00033A3F" w:rsidRDefault="001547E2" w:rsidP="003854F3">
      <w:pPr>
        <w:rPr>
          <w:color w:val="000000" w:themeColor="text1"/>
        </w:rPr>
      </w:pPr>
    </w:p>
    <w:p w14:paraId="58F24227" w14:textId="1501B5CF" w:rsidR="008430BD" w:rsidRPr="00033A3F" w:rsidRDefault="008430BD" w:rsidP="004F2E3F">
      <w:pPr>
        <w:pStyle w:val="Nadpis3"/>
        <w:numPr>
          <w:ilvl w:val="2"/>
          <w:numId w:val="1"/>
        </w:numPr>
        <w:rPr>
          <w:color w:val="000000" w:themeColor="text1"/>
        </w:rPr>
      </w:pPr>
      <w:bookmarkStart w:id="862" w:name="_Toc515871369"/>
      <w:bookmarkStart w:id="863" w:name="_Toc106092741"/>
      <w:bookmarkStart w:id="864" w:name="_Toc169250821"/>
      <w:bookmarkStart w:id="865" w:name="_Toc193530983"/>
      <w:bookmarkStart w:id="866" w:name="_Toc193957039"/>
      <w:bookmarkStart w:id="867" w:name="_Toc203032729"/>
      <w:r w:rsidRPr="00033A3F">
        <w:rPr>
          <w:color w:val="000000" w:themeColor="text1"/>
        </w:rPr>
        <w:t>Disposition time (dispoziční čas)</w:t>
      </w:r>
      <w:bookmarkStart w:id="868" w:name="_Toc43931204"/>
      <w:bookmarkEnd w:id="862"/>
      <w:bookmarkEnd w:id="863"/>
      <w:bookmarkEnd w:id="864"/>
      <w:bookmarkEnd w:id="865"/>
      <w:bookmarkEnd w:id="866"/>
      <w:bookmarkEnd w:id="867"/>
    </w:p>
    <w:p w14:paraId="6D74BD60" w14:textId="6F62DF73" w:rsidR="001547E2" w:rsidRPr="00033A3F" w:rsidRDefault="00911F54" w:rsidP="001547E2">
      <w:pPr>
        <w:pStyle w:val="OdstavecASR"/>
        <w:rPr>
          <w:color w:val="000000" w:themeColor="text1"/>
        </w:rPr>
      </w:pPr>
      <w:r w:rsidRPr="00033A3F">
        <w:rPr>
          <w:color w:val="000000" w:themeColor="text1"/>
        </w:rPr>
        <w:t>P</w:t>
      </w:r>
      <w:r w:rsidR="00CC0814" w:rsidRPr="00033A3F">
        <w:rPr>
          <w:color w:val="000000" w:themeColor="text1"/>
        </w:rPr>
        <w:t>o</w:t>
      </w:r>
      <w:r w:rsidRPr="00033A3F">
        <w:rPr>
          <w:color w:val="000000" w:themeColor="text1"/>
        </w:rPr>
        <w:t xml:space="preserve"> skokovém nárůstu DT </w:t>
      </w:r>
      <w:r w:rsidR="00CD45F1" w:rsidRPr="00033A3F">
        <w:rPr>
          <w:color w:val="000000" w:themeColor="text1"/>
        </w:rPr>
        <w:t>v roce</w:t>
      </w:r>
      <w:r w:rsidRPr="00033A3F">
        <w:rPr>
          <w:color w:val="000000" w:themeColor="text1"/>
        </w:rPr>
        <w:t xml:space="preserve"> 2014 (ze 111 na 160)</w:t>
      </w:r>
      <w:r w:rsidR="00F85B6B" w:rsidRPr="00033A3F">
        <w:rPr>
          <w:color w:val="000000" w:themeColor="text1"/>
        </w:rPr>
        <w:t>,</w:t>
      </w:r>
      <w:r w:rsidR="00CC0814" w:rsidRPr="00033A3F">
        <w:rPr>
          <w:color w:val="000000" w:themeColor="text1"/>
        </w:rPr>
        <w:t xml:space="preserve"> spojen</w:t>
      </w:r>
      <w:r w:rsidR="00F85B6B" w:rsidRPr="00033A3F">
        <w:rPr>
          <w:color w:val="000000" w:themeColor="text1"/>
        </w:rPr>
        <w:t>é</w:t>
      </w:r>
      <w:r w:rsidR="00CC0814" w:rsidRPr="00033A3F">
        <w:rPr>
          <w:color w:val="000000" w:themeColor="text1"/>
        </w:rPr>
        <w:t>m s</w:t>
      </w:r>
      <w:r w:rsidR="00CD45F1" w:rsidRPr="00033A3F">
        <w:rPr>
          <w:color w:val="000000" w:themeColor="text1"/>
        </w:rPr>
        <w:t> </w:t>
      </w:r>
      <w:r w:rsidR="00CC0814" w:rsidRPr="00033A3F">
        <w:rPr>
          <w:color w:val="000000" w:themeColor="text1"/>
        </w:rPr>
        <w:t>nabytím</w:t>
      </w:r>
      <w:r w:rsidR="00CD45F1" w:rsidRPr="00033A3F">
        <w:rPr>
          <w:color w:val="000000" w:themeColor="text1"/>
        </w:rPr>
        <w:t xml:space="preserve"> účinnosti</w:t>
      </w:r>
      <w:r w:rsidR="00CC0814" w:rsidRPr="00033A3F">
        <w:rPr>
          <w:color w:val="000000" w:themeColor="text1"/>
        </w:rPr>
        <w:t xml:space="preserve"> nového o</w:t>
      </w:r>
      <w:r w:rsidR="00CD45F1" w:rsidRPr="00033A3F">
        <w:rPr>
          <w:color w:val="000000" w:themeColor="text1"/>
        </w:rPr>
        <w:t>bčanského zákoníku,</w:t>
      </w:r>
      <w:r w:rsidR="00CC0814" w:rsidRPr="00033A3F">
        <w:rPr>
          <w:color w:val="000000" w:themeColor="text1"/>
        </w:rPr>
        <w:t xml:space="preserve"> </w:t>
      </w:r>
      <w:r w:rsidRPr="00033A3F">
        <w:rPr>
          <w:color w:val="000000" w:themeColor="text1"/>
        </w:rPr>
        <w:t xml:space="preserve">od </w:t>
      </w:r>
      <w:r w:rsidR="001547E2" w:rsidRPr="00033A3F">
        <w:rPr>
          <w:color w:val="000000" w:themeColor="text1"/>
        </w:rPr>
        <w:t xml:space="preserve">roku 2014 do roku 2016 </w:t>
      </w:r>
      <w:r w:rsidRPr="00033A3F">
        <w:rPr>
          <w:color w:val="000000" w:themeColor="text1"/>
        </w:rPr>
        <w:t xml:space="preserve">DT </w:t>
      </w:r>
      <w:r w:rsidR="001547E2" w:rsidRPr="00033A3F">
        <w:rPr>
          <w:color w:val="000000" w:themeColor="text1"/>
        </w:rPr>
        <w:t xml:space="preserve">prudce klesal. Počet vyřízených věcí </w:t>
      </w:r>
      <w:r w:rsidR="00CD45F1" w:rsidRPr="00033A3F">
        <w:rPr>
          <w:color w:val="000000" w:themeColor="text1"/>
        </w:rPr>
        <w:t xml:space="preserve">se v roce 2014 totiž zvýšil </w:t>
      </w:r>
      <w:r w:rsidR="00D84B33" w:rsidRPr="00033A3F">
        <w:rPr>
          <w:color w:val="000000" w:themeColor="text1"/>
        </w:rPr>
        <w:t>méně</w:t>
      </w:r>
      <w:r w:rsidR="00CD45F1" w:rsidRPr="00033A3F">
        <w:rPr>
          <w:color w:val="000000" w:themeColor="text1"/>
        </w:rPr>
        <w:t xml:space="preserve"> než počet příchozích</w:t>
      </w:r>
      <w:r w:rsidR="001547E2" w:rsidRPr="00033A3F">
        <w:rPr>
          <w:color w:val="000000" w:themeColor="text1"/>
        </w:rPr>
        <w:t xml:space="preserve">, což vedlo k nárůstu DT. </w:t>
      </w:r>
      <w:r w:rsidR="00D84B33" w:rsidRPr="00033A3F">
        <w:rPr>
          <w:color w:val="000000" w:themeColor="text1"/>
        </w:rPr>
        <w:t>V</w:t>
      </w:r>
      <w:r w:rsidR="001547E2" w:rsidRPr="00033A3F">
        <w:rPr>
          <w:color w:val="000000" w:themeColor="text1"/>
        </w:rPr>
        <w:t> letech 2016 až 202</w:t>
      </w:r>
      <w:r w:rsidR="0067474A" w:rsidRPr="00033A3F">
        <w:rPr>
          <w:color w:val="000000" w:themeColor="text1"/>
        </w:rPr>
        <w:t>4</w:t>
      </w:r>
      <w:r w:rsidR="001547E2" w:rsidRPr="00033A3F">
        <w:rPr>
          <w:color w:val="000000" w:themeColor="text1"/>
        </w:rPr>
        <w:t xml:space="preserve"> </w:t>
      </w:r>
      <w:r w:rsidR="00D84B33" w:rsidRPr="00033A3F">
        <w:rPr>
          <w:color w:val="000000" w:themeColor="text1"/>
        </w:rPr>
        <w:t xml:space="preserve">lze DT </w:t>
      </w:r>
      <w:r w:rsidR="001547E2" w:rsidRPr="00033A3F">
        <w:rPr>
          <w:color w:val="000000" w:themeColor="text1"/>
        </w:rPr>
        <w:t xml:space="preserve">označit za </w:t>
      </w:r>
      <w:r w:rsidR="00D84B33" w:rsidRPr="00033A3F">
        <w:rPr>
          <w:color w:val="000000" w:themeColor="text1"/>
        </w:rPr>
        <w:t>stabilní.</w:t>
      </w:r>
    </w:p>
    <w:p w14:paraId="5DED236C" w14:textId="77777777" w:rsidR="001547E2" w:rsidRPr="00033A3F" w:rsidRDefault="001547E2" w:rsidP="001547E2">
      <w:pPr>
        <w:rPr>
          <w:color w:val="000000" w:themeColor="text1"/>
        </w:rPr>
      </w:pPr>
    </w:p>
    <w:p w14:paraId="6CAB41AF" w14:textId="40E309D2" w:rsidR="009B7359" w:rsidRPr="00033A3F" w:rsidRDefault="009B7359" w:rsidP="009B7359">
      <w:pPr>
        <w:pStyle w:val="Podnadpis"/>
        <w:numPr>
          <w:ilvl w:val="0"/>
          <w:numId w:val="0"/>
        </w:numPr>
        <w:rPr>
          <w:color w:val="000000" w:themeColor="text1"/>
        </w:rPr>
      </w:pPr>
      <w:bookmarkStart w:id="869" w:name="_Toc169250962"/>
      <w:bookmarkStart w:id="870" w:name="_Toc174080648"/>
      <w:bookmarkStart w:id="871" w:name="_Toc193530800"/>
      <w:bookmarkStart w:id="872" w:name="_Toc193634074"/>
      <w:bookmarkStart w:id="873" w:name="_Toc203032872"/>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45</w:t>
      </w:r>
      <w:r w:rsidRPr="00033A3F">
        <w:rPr>
          <w:color w:val="000000" w:themeColor="text1"/>
        </w:rPr>
        <w:fldChar w:fldCharType="end"/>
      </w:r>
      <w:r w:rsidRPr="00033A3F">
        <w:rPr>
          <w:color w:val="000000" w:themeColor="text1"/>
        </w:rPr>
        <w:t>: OS – disposition time v opatrovnické agendě v letech 2014–202</w:t>
      </w:r>
      <w:bookmarkEnd w:id="869"/>
      <w:bookmarkEnd w:id="870"/>
      <w:r w:rsidRPr="00033A3F">
        <w:rPr>
          <w:color w:val="000000" w:themeColor="text1"/>
        </w:rPr>
        <w:t>4</w:t>
      </w:r>
      <w:bookmarkEnd w:id="871"/>
      <w:bookmarkEnd w:id="872"/>
      <w:bookmarkEnd w:id="873"/>
    </w:p>
    <w:p w14:paraId="0990166C" w14:textId="203707A7" w:rsidR="009B7359" w:rsidRPr="00033A3F" w:rsidRDefault="009B7359" w:rsidP="009B7359">
      <w:pPr>
        <w:rPr>
          <w:color w:val="000000" w:themeColor="text1"/>
        </w:rPr>
      </w:pPr>
      <w:r w:rsidRPr="00033A3F">
        <w:rPr>
          <w:noProof/>
          <w:color w:val="000000" w:themeColor="text1"/>
          <w:lang w:eastAsia="cs-CZ"/>
        </w:rPr>
        <w:drawing>
          <wp:inline distT="0" distB="0" distL="0" distR="0" wp14:anchorId="2B448C5C" wp14:editId="7D6B371E">
            <wp:extent cx="5029200" cy="3657600"/>
            <wp:effectExtent l="0" t="0" r="0" b="0"/>
            <wp:docPr id="281850999"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bookmarkEnd w:id="868"/>
    <w:p w14:paraId="09F8C428" w14:textId="528D279C" w:rsidR="00F82701" w:rsidRPr="00033A3F" w:rsidRDefault="00F82701" w:rsidP="00F82701">
      <w:pPr>
        <w:rPr>
          <w:color w:val="000000" w:themeColor="text1"/>
        </w:rPr>
      </w:pPr>
    </w:p>
    <w:p w14:paraId="39F0E44C" w14:textId="77777777" w:rsidR="00CD45F1" w:rsidRPr="00033A3F" w:rsidRDefault="00CD45F1" w:rsidP="00F82701">
      <w:pPr>
        <w:rPr>
          <w:color w:val="000000" w:themeColor="text1"/>
        </w:rPr>
      </w:pPr>
    </w:p>
    <w:p w14:paraId="771AC6FE" w14:textId="0E9CEE45" w:rsidR="00F82701" w:rsidRPr="00033A3F" w:rsidRDefault="00F82701" w:rsidP="00F82701">
      <w:pPr>
        <w:pStyle w:val="Podnadpis"/>
        <w:rPr>
          <w:color w:val="000000" w:themeColor="text1"/>
        </w:rPr>
      </w:pPr>
      <w:bookmarkStart w:id="874" w:name="_Toc515871370"/>
      <w:bookmarkStart w:id="875" w:name="_Toc11135102"/>
      <w:bookmarkStart w:id="876" w:name="_Toc43841421"/>
      <w:bookmarkStart w:id="877" w:name="_Toc75952225"/>
      <w:bookmarkStart w:id="878" w:name="_Toc106106677"/>
      <w:bookmarkStart w:id="879" w:name="_Toc109802001"/>
      <w:bookmarkStart w:id="880" w:name="_Toc144104152"/>
      <w:bookmarkStart w:id="881" w:name="_Toc169250963"/>
      <w:bookmarkStart w:id="882" w:name="_Toc174080649"/>
      <w:bookmarkStart w:id="883" w:name="_Toc193530801"/>
      <w:bookmarkStart w:id="884" w:name="_Toc193634075"/>
      <w:bookmarkStart w:id="885" w:name="_Toc20303287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46</w:t>
      </w:r>
      <w:r w:rsidRPr="00033A3F">
        <w:rPr>
          <w:color w:val="000000" w:themeColor="text1"/>
        </w:rPr>
        <w:fldChar w:fldCharType="end"/>
      </w:r>
      <w:r w:rsidRPr="00033A3F">
        <w:rPr>
          <w:color w:val="000000" w:themeColor="text1"/>
        </w:rPr>
        <w:t>: OS – disposition time v opatrov. agendě u jednotlivých soudů</w:t>
      </w:r>
      <w:bookmarkEnd w:id="874"/>
      <w:bookmarkEnd w:id="875"/>
      <w:bookmarkEnd w:id="876"/>
      <w:bookmarkEnd w:id="877"/>
      <w:bookmarkEnd w:id="878"/>
      <w:bookmarkEnd w:id="879"/>
      <w:bookmarkEnd w:id="880"/>
      <w:r w:rsidRPr="00033A3F">
        <w:rPr>
          <w:color w:val="000000" w:themeColor="text1"/>
        </w:rPr>
        <w:t>, 202</w:t>
      </w:r>
      <w:bookmarkEnd w:id="881"/>
      <w:bookmarkEnd w:id="882"/>
      <w:r w:rsidRPr="00033A3F">
        <w:rPr>
          <w:color w:val="000000" w:themeColor="text1"/>
        </w:rPr>
        <w:t>4</w:t>
      </w:r>
      <w:bookmarkEnd w:id="883"/>
      <w:bookmarkEnd w:id="884"/>
      <w:bookmarkEnd w:id="885"/>
    </w:p>
    <w:p w14:paraId="101A7397" w14:textId="1F9F88B1" w:rsidR="00F82701" w:rsidRPr="00033A3F" w:rsidRDefault="00F82701" w:rsidP="00F82701">
      <w:pPr>
        <w:rPr>
          <w:color w:val="000000" w:themeColor="text1"/>
        </w:rPr>
      </w:pPr>
      <w:r w:rsidRPr="00033A3F">
        <w:rPr>
          <w:noProof/>
          <w:color w:val="000000" w:themeColor="text1"/>
          <w:lang w:eastAsia="cs-CZ"/>
        </w:rPr>
        <w:drawing>
          <wp:anchor distT="0" distB="0" distL="114300" distR="114300" simplePos="0" relativeHeight="251693056" behindDoc="0" locked="0" layoutInCell="1" allowOverlap="1" wp14:anchorId="60FEC00E" wp14:editId="7726BBAD">
            <wp:simplePos x="0" y="0"/>
            <wp:positionH relativeFrom="margin">
              <wp:align>right</wp:align>
            </wp:positionH>
            <wp:positionV relativeFrom="paragraph">
              <wp:posOffset>8255</wp:posOffset>
            </wp:positionV>
            <wp:extent cx="1275080" cy="927332"/>
            <wp:effectExtent l="0" t="0" r="1270" b="6350"/>
            <wp:wrapNone/>
            <wp:docPr id="63926653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75080" cy="9273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40044A09" wp14:editId="47A63840">
            <wp:extent cx="5760720" cy="3296920"/>
            <wp:effectExtent l="0" t="0" r="0" b="0"/>
            <wp:docPr id="34057736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8C607DC" w14:textId="3696F2B9" w:rsidR="0067474A" w:rsidRPr="00033A3F" w:rsidRDefault="0067474A" w:rsidP="0067474A">
      <w:pPr>
        <w:pStyle w:val="Podnadpis"/>
        <w:rPr>
          <w:b w:val="0"/>
          <w:iCs w:val="0"/>
          <w:color w:val="000000" w:themeColor="text1"/>
        </w:rPr>
      </w:pPr>
      <w:bookmarkStart w:id="886" w:name="_Toc144104153"/>
      <w:bookmarkStart w:id="887" w:name="_Toc169250964"/>
      <w:bookmarkStart w:id="888" w:name="_Toc174080650"/>
      <w:bookmarkStart w:id="889" w:name="_Toc193530802"/>
      <w:bookmarkStart w:id="890" w:name="_Toc193634076"/>
      <w:bookmarkStart w:id="891" w:name="_Toc203032874"/>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47</w:t>
      </w:r>
      <w:r w:rsidRPr="00033A3F">
        <w:rPr>
          <w:color w:val="000000" w:themeColor="text1"/>
        </w:rPr>
        <w:fldChar w:fldCharType="end"/>
      </w:r>
      <w:r w:rsidRPr="00033A3F">
        <w:rPr>
          <w:color w:val="000000" w:themeColor="text1"/>
        </w:rPr>
        <w:t>: OS – krabicové grafy, DT opatrovnické agendy</w:t>
      </w:r>
      <w:bookmarkEnd w:id="886"/>
      <w:bookmarkEnd w:id="887"/>
      <w:bookmarkEnd w:id="888"/>
      <w:bookmarkEnd w:id="889"/>
      <w:bookmarkEnd w:id="890"/>
      <w:bookmarkEnd w:id="891"/>
    </w:p>
    <w:p w14:paraId="60B8074E" w14:textId="2DB58775" w:rsidR="0067474A" w:rsidRPr="00033A3F" w:rsidRDefault="0067474A" w:rsidP="00F82701">
      <w:pPr>
        <w:rPr>
          <w:color w:val="000000" w:themeColor="text1"/>
        </w:rPr>
      </w:pPr>
      <w:r w:rsidRPr="00033A3F">
        <w:rPr>
          <w:noProof/>
          <w:color w:val="000000" w:themeColor="text1"/>
          <w:lang w:eastAsia="cs-CZ"/>
        </w:rPr>
        <w:drawing>
          <wp:inline distT="0" distB="0" distL="0" distR="0" wp14:anchorId="1A4CF91D" wp14:editId="241A4194">
            <wp:extent cx="5029200" cy="3657600"/>
            <wp:effectExtent l="0" t="0" r="0" b="0"/>
            <wp:docPr id="104358027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83B1B5A" w14:textId="77777777" w:rsidR="0067474A" w:rsidRPr="00033A3F" w:rsidRDefault="0067474A" w:rsidP="00F82701">
      <w:pPr>
        <w:rPr>
          <w:color w:val="000000" w:themeColor="text1"/>
        </w:rPr>
      </w:pPr>
    </w:p>
    <w:p w14:paraId="1FDA1431" w14:textId="72B08576" w:rsidR="0067474A" w:rsidRPr="00033A3F" w:rsidRDefault="0067474A" w:rsidP="0067474A">
      <w:pPr>
        <w:pStyle w:val="OdstavecASR"/>
        <w:rPr>
          <w:color w:val="000000" w:themeColor="text1"/>
        </w:rPr>
      </w:pPr>
      <w:r w:rsidRPr="00033A3F">
        <w:rPr>
          <w:color w:val="000000" w:themeColor="text1"/>
        </w:rPr>
        <w:t>Data v této kapitole můžeme shrnout tak, že v letech 2014 a 2015 došlo k velkému nárůstu počtu napadlých věcí</w:t>
      </w:r>
      <w:r w:rsidR="000247F7" w:rsidRPr="00033A3F">
        <w:rPr>
          <w:color w:val="000000" w:themeColor="text1"/>
        </w:rPr>
        <w:t xml:space="preserve"> v důsledku nabytí účinnosti nového občanského zákoníku k 1.</w:t>
      </w:r>
      <w:r w:rsidR="00694AF7" w:rsidRPr="00033A3F">
        <w:rPr>
          <w:color w:val="000000" w:themeColor="text1"/>
        </w:rPr>
        <w:t xml:space="preserve"> </w:t>
      </w:r>
      <w:r w:rsidR="000247F7" w:rsidRPr="00033A3F">
        <w:rPr>
          <w:color w:val="000000" w:themeColor="text1"/>
        </w:rPr>
        <w:t>1.</w:t>
      </w:r>
      <w:r w:rsidR="00694AF7" w:rsidRPr="00033A3F">
        <w:rPr>
          <w:color w:val="000000" w:themeColor="text1"/>
        </w:rPr>
        <w:t xml:space="preserve"> </w:t>
      </w:r>
      <w:r w:rsidR="000247F7" w:rsidRPr="00033A3F">
        <w:rPr>
          <w:color w:val="000000" w:themeColor="text1"/>
        </w:rPr>
        <w:t>2014</w:t>
      </w:r>
      <w:r w:rsidRPr="00033A3F">
        <w:rPr>
          <w:color w:val="000000" w:themeColor="text1"/>
        </w:rPr>
        <w:t xml:space="preserve">. To negativně ovlivnilo rychlost vyřizování </w:t>
      </w:r>
      <w:r w:rsidR="000247F7" w:rsidRPr="00033A3F">
        <w:rPr>
          <w:color w:val="000000" w:themeColor="text1"/>
        </w:rPr>
        <w:t xml:space="preserve">opatrovnické </w:t>
      </w:r>
      <w:r w:rsidRPr="00033A3F">
        <w:rPr>
          <w:color w:val="000000" w:themeColor="text1"/>
        </w:rPr>
        <w:t>agendy v celé ČR. Na některé soudy byl dopad horší než na jiné. V letech 2015 a 2016 se soudům pozvolna dařilo vyrovnat se s nárůstem vyřizované agendy a tento trend pokračoval i v letech 2017 a 2018, kdy se rozdíly mezi jednotlivými okresními soudy dále zmenšovaly (šedé boxy jsou kompaktnější, „vousy“ kratší a odlehlé OS / body jsou blíže k hornímu „</w:t>
      </w:r>
      <w:r w:rsidRPr="0057327F">
        <w:rPr>
          <w:i/>
          <w:iCs/>
          <w:color w:val="000000" w:themeColor="text1"/>
        </w:rPr>
        <w:t>vousu</w:t>
      </w:r>
      <w:r w:rsidRPr="00033A3F">
        <w:rPr>
          <w:color w:val="000000" w:themeColor="text1"/>
        </w:rPr>
        <w:t>“, tedy přibližují se k ostatním okresním soudům). V roce 2019 nedošlo k velkým změnám oproti roku 2018. Rok 2020 byl ovlivněn pandemií COVID</w:t>
      </w:r>
      <w:r w:rsidRPr="00033A3F">
        <w:rPr>
          <w:color w:val="000000" w:themeColor="text1"/>
        </w:rPr>
        <w:noBreakHyphen/>
        <w:t>19 a došlo tak k výraznému poklesu nápadu. Pandemie ale nezabránila soudům úspěšně vyřizovat věci. Došlo proto k mírným poklesům počtu nevyřízených věcí a také k poklesu ve variabilitě mezi soudy. Obdobný závěr platí i pro rok 2021, pokles v počtu nevyřízených věcí byl ale markantnější než v roce 2020. V letech 2022 až 2024 opět začal růst počet příchozích věcí a soudy na to reagovaly, díky čemuž se počet nevyřízených věcí příliš nezvýšil.</w:t>
      </w:r>
      <w:r w:rsidR="000247F7" w:rsidRPr="00033A3F">
        <w:rPr>
          <w:color w:val="000000" w:themeColor="text1"/>
        </w:rPr>
        <w:t xml:space="preserve"> Zvládnout důsledky nového občanského zákoníku tak soudům zabralo přibližně 8 let.</w:t>
      </w:r>
    </w:p>
    <w:p w14:paraId="7C540410" w14:textId="77777777" w:rsidR="0067474A" w:rsidRPr="00033A3F" w:rsidRDefault="0067474A" w:rsidP="0067474A">
      <w:pPr>
        <w:pStyle w:val="Nadpis3"/>
        <w:numPr>
          <w:ilvl w:val="2"/>
          <w:numId w:val="1"/>
        </w:numPr>
        <w:rPr>
          <w:color w:val="000000" w:themeColor="text1"/>
        </w:rPr>
      </w:pPr>
      <w:bookmarkStart w:id="892" w:name="_Toc515871240"/>
      <w:bookmarkStart w:id="893" w:name="_Toc106092742"/>
      <w:bookmarkStart w:id="894" w:name="_Toc169250822"/>
      <w:bookmarkStart w:id="895" w:name="_Toc193530984"/>
      <w:bookmarkStart w:id="896" w:name="_Toc193957040"/>
      <w:bookmarkStart w:id="897" w:name="_Toc203032730"/>
      <w:r w:rsidRPr="00033A3F">
        <w:rPr>
          <w:color w:val="000000" w:themeColor="text1"/>
        </w:rPr>
        <w:t>Další statistiky</w:t>
      </w:r>
      <w:bookmarkEnd w:id="892"/>
      <w:bookmarkEnd w:id="893"/>
      <w:bookmarkEnd w:id="894"/>
      <w:bookmarkEnd w:id="895"/>
      <w:bookmarkEnd w:id="896"/>
      <w:bookmarkEnd w:id="897"/>
    </w:p>
    <w:p w14:paraId="230DBCC3" w14:textId="75358773" w:rsidR="0067474A" w:rsidRPr="00033A3F" w:rsidRDefault="0067474A" w:rsidP="0067474A">
      <w:pPr>
        <w:pStyle w:val="OdstavecASR"/>
        <w:rPr>
          <w:color w:val="000000" w:themeColor="text1"/>
        </w:rPr>
      </w:pPr>
      <w:r w:rsidRPr="00033A3F">
        <w:rPr>
          <w:color w:val="000000" w:themeColor="text1"/>
        </w:rPr>
        <w:t>Stejně jako u civilní či trestní agendy uvádíme míru odvolání a míru změny rozsudku. Jednou z nejrozsáhlejších a nejvýznamnějších agend, které jsou na opatrovnickém úseku soudů vyřizovány, je rozhodování o výživném (nyní § 910 a násl. o. z.), tedy rozhodování o tom, který z rodičů a kolik má platit na výživu svého nezletilého potomka (případně zletilého dítěte, bylo-li řízení zahájeno před nabytím jeho zletilosti). S výživným úzce souvisí rozhodování o svěření dítěte do péče. Dále se tedy věnujeme této problematice. Nakonec se zaměříme</w:t>
      </w:r>
      <w:r w:rsidR="007B3CE0" w:rsidRPr="00033A3F">
        <w:rPr>
          <w:color w:val="000000" w:themeColor="text1"/>
        </w:rPr>
        <w:t xml:space="preserve"> na </w:t>
      </w:r>
      <w:r w:rsidR="00AC3EBC" w:rsidRPr="00033A3F">
        <w:rPr>
          <w:color w:val="000000" w:themeColor="text1"/>
        </w:rPr>
        <w:t>otázku</w:t>
      </w:r>
      <w:r w:rsidRPr="00033A3F">
        <w:rPr>
          <w:color w:val="000000" w:themeColor="text1"/>
        </w:rPr>
        <w:t>, jaké procento sporů končí dohodou rodičů.</w:t>
      </w:r>
    </w:p>
    <w:p w14:paraId="6100CDA3" w14:textId="77777777" w:rsidR="0067474A" w:rsidRPr="00033A3F" w:rsidRDefault="0067474A" w:rsidP="0067474A">
      <w:pPr>
        <w:pStyle w:val="OdstavecASR"/>
        <w:keepNext/>
        <w:outlineLvl w:val="3"/>
        <w:rPr>
          <w:b/>
          <w:bCs/>
          <w:color w:val="000000" w:themeColor="text1"/>
        </w:rPr>
      </w:pPr>
      <w:r w:rsidRPr="00033A3F">
        <w:rPr>
          <w:b/>
          <w:bCs/>
          <w:color w:val="000000" w:themeColor="text1"/>
        </w:rPr>
        <w:lastRenderedPageBreak/>
        <w:t>Míra odvolání</w:t>
      </w:r>
    </w:p>
    <w:p w14:paraId="76DDCCF0" w14:textId="77777777" w:rsidR="0067474A" w:rsidRPr="00033A3F" w:rsidRDefault="0067474A" w:rsidP="0067474A">
      <w:pPr>
        <w:pStyle w:val="OdstavecASR"/>
        <w:rPr>
          <w:color w:val="000000" w:themeColor="text1"/>
        </w:rPr>
      </w:pPr>
      <w:r w:rsidRPr="00033A3F">
        <w:rPr>
          <w:color w:val="000000" w:themeColor="text1"/>
        </w:rPr>
        <w:t>Míra odvolání je vypočtena stejnou metodikou jako míra odvolání u civilního řízení.</w:t>
      </w:r>
    </w:p>
    <w:p w14:paraId="360C1484" w14:textId="457F8BF8" w:rsidR="0067474A" w:rsidRPr="00033A3F" w:rsidRDefault="0067474A" w:rsidP="0067474A">
      <w:pPr>
        <w:pStyle w:val="Podnadpis"/>
        <w:rPr>
          <w:color w:val="000000" w:themeColor="text1"/>
        </w:rPr>
      </w:pPr>
      <w:bookmarkStart w:id="898" w:name="_Toc106106794"/>
      <w:bookmarkStart w:id="899" w:name="_Toc109802117"/>
      <w:bookmarkStart w:id="900" w:name="_Toc144104273"/>
      <w:bookmarkStart w:id="901" w:name="_Toc169251088"/>
      <w:bookmarkStart w:id="902" w:name="_Toc174080774"/>
      <w:bookmarkStart w:id="903" w:name="_Toc193530904"/>
      <w:bookmarkStart w:id="904" w:name="_Toc194045600"/>
      <w:bookmarkStart w:id="905" w:name="_Toc199495010"/>
      <w:bookmarkStart w:id="906" w:name="_Toc203033070"/>
      <w:bookmarkStart w:id="907" w:name="_Toc203033148"/>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28</w:t>
      </w:r>
      <w:r w:rsidRPr="00033A3F">
        <w:rPr>
          <w:noProof/>
          <w:color w:val="000000" w:themeColor="text1"/>
        </w:rPr>
        <w:fldChar w:fldCharType="end"/>
      </w:r>
      <w:r w:rsidRPr="00033A3F">
        <w:rPr>
          <w:color w:val="000000" w:themeColor="text1"/>
        </w:rPr>
        <w:t>: OS – míra odvolání dle krajů v opatrovnickém řízení</w:t>
      </w:r>
      <w:bookmarkEnd w:id="898"/>
      <w:bookmarkEnd w:id="899"/>
      <w:bookmarkEnd w:id="900"/>
      <w:r w:rsidRPr="00033A3F">
        <w:rPr>
          <w:color w:val="000000" w:themeColor="text1"/>
        </w:rPr>
        <w:t>, 202</w:t>
      </w:r>
      <w:bookmarkEnd w:id="901"/>
      <w:bookmarkEnd w:id="902"/>
      <w:r w:rsidRPr="00033A3F">
        <w:rPr>
          <w:color w:val="000000" w:themeColor="text1"/>
        </w:rPr>
        <w:t>4</w:t>
      </w:r>
      <w:bookmarkEnd w:id="903"/>
      <w:bookmarkEnd w:id="904"/>
      <w:bookmarkEnd w:id="905"/>
      <w:bookmarkEnd w:id="906"/>
      <w:bookmarkEnd w:id="907"/>
    </w:p>
    <w:tbl>
      <w:tblPr>
        <w:tblW w:w="6300" w:type="dxa"/>
        <w:tblCellMar>
          <w:left w:w="70" w:type="dxa"/>
          <w:right w:w="70" w:type="dxa"/>
        </w:tblCellMar>
        <w:tblLook w:val="04A0" w:firstRow="1" w:lastRow="0" w:firstColumn="1" w:lastColumn="0" w:noHBand="0" w:noVBand="1"/>
      </w:tblPr>
      <w:tblGrid>
        <w:gridCol w:w="2780"/>
        <w:gridCol w:w="1702"/>
        <w:gridCol w:w="1818"/>
      </w:tblGrid>
      <w:tr w:rsidR="00033A3F" w:rsidRPr="00033A3F" w14:paraId="1BF0B0C8" w14:textId="77777777" w:rsidTr="00977ED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5773F4E" w14:textId="77777777" w:rsidR="00977ED8" w:rsidRPr="00033A3F" w:rsidRDefault="00977ED8" w:rsidP="00977ED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3AC468AE" w14:textId="77777777" w:rsidR="00977ED8" w:rsidRPr="00033A3F" w:rsidRDefault="00977ED8" w:rsidP="00977ED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odvolání</w:t>
            </w:r>
          </w:p>
        </w:tc>
      </w:tr>
      <w:tr w:rsidR="00033A3F" w:rsidRPr="00033A3F" w14:paraId="2F006548" w14:textId="77777777" w:rsidTr="00977ED8">
        <w:trPr>
          <w:trHeight w:val="330"/>
        </w:trPr>
        <w:tc>
          <w:tcPr>
            <w:tcW w:w="2780" w:type="dxa"/>
            <w:tcBorders>
              <w:top w:val="nil"/>
              <w:left w:val="nil"/>
              <w:bottom w:val="single" w:sz="4" w:space="0" w:color="auto"/>
              <w:right w:val="nil"/>
            </w:tcBorders>
            <w:shd w:val="clear" w:color="auto" w:fill="auto"/>
            <w:noWrap/>
            <w:vAlign w:val="bottom"/>
            <w:hideMark/>
          </w:tcPr>
          <w:p w14:paraId="7BBAACC3"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02" w:type="dxa"/>
            <w:tcBorders>
              <w:top w:val="nil"/>
              <w:left w:val="nil"/>
              <w:bottom w:val="single" w:sz="4" w:space="0" w:color="auto"/>
              <w:right w:val="nil"/>
            </w:tcBorders>
            <w:shd w:val="clear" w:color="auto" w:fill="auto"/>
            <w:noWrap/>
            <w:vAlign w:val="bottom"/>
            <w:hideMark/>
          </w:tcPr>
          <w:p w14:paraId="4382B950" w14:textId="289CBC6D"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4,61 %</w:t>
            </w:r>
          </w:p>
        </w:tc>
        <w:tc>
          <w:tcPr>
            <w:tcW w:w="1818" w:type="dxa"/>
            <w:tcBorders>
              <w:top w:val="nil"/>
              <w:left w:val="nil"/>
              <w:bottom w:val="single" w:sz="4" w:space="0" w:color="auto"/>
              <w:right w:val="nil"/>
            </w:tcBorders>
            <w:shd w:val="clear" w:color="auto" w:fill="auto"/>
            <w:noWrap/>
            <w:vAlign w:val="center"/>
            <w:hideMark/>
          </w:tcPr>
          <w:p w14:paraId="090C114D" w14:textId="79674E5D"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-0,9 p.b.</w:t>
            </w:r>
          </w:p>
        </w:tc>
      </w:tr>
      <w:tr w:rsidR="00033A3F" w:rsidRPr="00033A3F" w14:paraId="31056F33"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3D3A3860"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02" w:type="dxa"/>
            <w:tcBorders>
              <w:top w:val="nil"/>
              <w:left w:val="nil"/>
              <w:bottom w:val="single" w:sz="4" w:space="0" w:color="auto"/>
              <w:right w:val="nil"/>
            </w:tcBorders>
            <w:shd w:val="clear" w:color="auto" w:fill="auto"/>
            <w:noWrap/>
            <w:vAlign w:val="bottom"/>
            <w:hideMark/>
          </w:tcPr>
          <w:p w14:paraId="7D917DB5" w14:textId="23A22D80"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4,27 %</w:t>
            </w:r>
          </w:p>
        </w:tc>
        <w:tc>
          <w:tcPr>
            <w:tcW w:w="1818" w:type="dxa"/>
            <w:tcBorders>
              <w:top w:val="nil"/>
              <w:left w:val="nil"/>
              <w:bottom w:val="single" w:sz="4" w:space="0" w:color="auto"/>
              <w:right w:val="nil"/>
            </w:tcBorders>
            <w:shd w:val="clear" w:color="auto" w:fill="auto"/>
            <w:noWrap/>
            <w:vAlign w:val="center"/>
            <w:hideMark/>
          </w:tcPr>
          <w:p w14:paraId="519089DB" w14:textId="3B6CF523"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-0,4 p.b.</w:t>
            </w:r>
          </w:p>
        </w:tc>
      </w:tr>
      <w:tr w:rsidR="00033A3F" w:rsidRPr="00033A3F" w14:paraId="3BB0A611"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3887CCCC"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02" w:type="dxa"/>
            <w:tcBorders>
              <w:top w:val="nil"/>
              <w:left w:val="nil"/>
              <w:bottom w:val="single" w:sz="4" w:space="0" w:color="auto"/>
              <w:right w:val="nil"/>
            </w:tcBorders>
            <w:shd w:val="clear" w:color="auto" w:fill="auto"/>
            <w:noWrap/>
            <w:vAlign w:val="bottom"/>
            <w:hideMark/>
          </w:tcPr>
          <w:p w14:paraId="4CC87CB5" w14:textId="7B1FCA74"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2,41 %</w:t>
            </w:r>
          </w:p>
        </w:tc>
        <w:tc>
          <w:tcPr>
            <w:tcW w:w="1818" w:type="dxa"/>
            <w:tcBorders>
              <w:top w:val="nil"/>
              <w:left w:val="nil"/>
              <w:bottom w:val="single" w:sz="4" w:space="0" w:color="auto"/>
              <w:right w:val="nil"/>
            </w:tcBorders>
            <w:shd w:val="clear" w:color="auto" w:fill="auto"/>
            <w:noWrap/>
            <w:vAlign w:val="center"/>
            <w:hideMark/>
          </w:tcPr>
          <w:p w14:paraId="42651A59" w14:textId="14413E0D"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-0,3 p.b.</w:t>
            </w:r>
          </w:p>
        </w:tc>
      </w:tr>
      <w:tr w:rsidR="00033A3F" w:rsidRPr="00033A3F" w14:paraId="40F43ED0"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02DFBCEF"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02" w:type="dxa"/>
            <w:tcBorders>
              <w:top w:val="nil"/>
              <w:left w:val="nil"/>
              <w:bottom w:val="single" w:sz="4" w:space="0" w:color="auto"/>
              <w:right w:val="nil"/>
            </w:tcBorders>
            <w:shd w:val="clear" w:color="auto" w:fill="auto"/>
            <w:noWrap/>
            <w:vAlign w:val="bottom"/>
            <w:hideMark/>
          </w:tcPr>
          <w:p w14:paraId="5C5FDFBC" w14:textId="4FDE8BB3"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3,29 %</w:t>
            </w:r>
          </w:p>
        </w:tc>
        <w:tc>
          <w:tcPr>
            <w:tcW w:w="1818" w:type="dxa"/>
            <w:tcBorders>
              <w:top w:val="nil"/>
              <w:left w:val="nil"/>
              <w:bottom w:val="single" w:sz="4" w:space="0" w:color="auto"/>
              <w:right w:val="nil"/>
            </w:tcBorders>
            <w:shd w:val="clear" w:color="auto" w:fill="auto"/>
            <w:noWrap/>
            <w:vAlign w:val="center"/>
            <w:hideMark/>
          </w:tcPr>
          <w:p w14:paraId="65171101" w14:textId="6FAE7656"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+0,1 p.b.</w:t>
            </w:r>
          </w:p>
        </w:tc>
      </w:tr>
      <w:tr w:rsidR="00033A3F" w:rsidRPr="00033A3F" w14:paraId="1C02D5DE"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751A772B"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02" w:type="dxa"/>
            <w:tcBorders>
              <w:top w:val="nil"/>
              <w:left w:val="nil"/>
              <w:bottom w:val="single" w:sz="4" w:space="0" w:color="auto"/>
              <w:right w:val="nil"/>
            </w:tcBorders>
            <w:shd w:val="clear" w:color="auto" w:fill="auto"/>
            <w:noWrap/>
            <w:vAlign w:val="bottom"/>
            <w:hideMark/>
          </w:tcPr>
          <w:p w14:paraId="135AA303" w14:textId="15F4F8BE"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3,02 %</w:t>
            </w:r>
          </w:p>
        </w:tc>
        <w:tc>
          <w:tcPr>
            <w:tcW w:w="1818" w:type="dxa"/>
            <w:tcBorders>
              <w:top w:val="nil"/>
              <w:left w:val="nil"/>
              <w:bottom w:val="single" w:sz="4" w:space="0" w:color="auto"/>
              <w:right w:val="nil"/>
            </w:tcBorders>
            <w:shd w:val="clear" w:color="auto" w:fill="auto"/>
            <w:noWrap/>
            <w:vAlign w:val="center"/>
            <w:hideMark/>
          </w:tcPr>
          <w:p w14:paraId="172C5D45" w14:textId="4F02EA2F"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-0,0 p.b.</w:t>
            </w:r>
          </w:p>
        </w:tc>
      </w:tr>
      <w:tr w:rsidR="00033A3F" w:rsidRPr="00033A3F" w14:paraId="2E1A049E"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33D36929"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02" w:type="dxa"/>
            <w:tcBorders>
              <w:top w:val="nil"/>
              <w:left w:val="nil"/>
              <w:bottom w:val="single" w:sz="4" w:space="0" w:color="auto"/>
              <w:right w:val="nil"/>
            </w:tcBorders>
            <w:shd w:val="clear" w:color="auto" w:fill="auto"/>
            <w:noWrap/>
            <w:vAlign w:val="bottom"/>
            <w:hideMark/>
          </w:tcPr>
          <w:p w14:paraId="5076169F" w14:textId="3778C3C0"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3,57 %</w:t>
            </w:r>
          </w:p>
        </w:tc>
        <w:tc>
          <w:tcPr>
            <w:tcW w:w="1818" w:type="dxa"/>
            <w:tcBorders>
              <w:top w:val="nil"/>
              <w:left w:val="nil"/>
              <w:bottom w:val="single" w:sz="4" w:space="0" w:color="auto"/>
              <w:right w:val="nil"/>
            </w:tcBorders>
            <w:shd w:val="clear" w:color="auto" w:fill="auto"/>
            <w:noWrap/>
            <w:vAlign w:val="center"/>
            <w:hideMark/>
          </w:tcPr>
          <w:p w14:paraId="5D4EAB99" w14:textId="29E0611B"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+0,1 p.b.</w:t>
            </w:r>
          </w:p>
        </w:tc>
      </w:tr>
      <w:tr w:rsidR="00033A3F" w:rsidRPr="00033A3F" w14:paraId="41E1EA93"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372FFACA"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02" w:type="dxa"/>
            <w:tcBorders>
              <w:top w:val="nil"/>
              <w:left w:val="nil"/>
              <w:bottom w:val="single" w:sz="4" w:space="0" w:color="auto"/>
              <w:right w:val="nil"/>
            </w:tcBorders>
            <w:shd w:val="clear" w:color="auto" w:fill="auto"/>
            <w:noWrap/>
            <w:vAlign w:val="bottom"/>
            <w:hideMark/>
          </w:tcPr>
          <w:p w14:paraId="46B4E59C" w14:textId="55E43BB9"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3,73 %</w:t>
            </w:r>
          </w:p>
        </w:tc>
        <w:tc>
          <w:tcPr>
            <w:tcW w:w="1818" w:type="dxa"/>
            <w:tcBorders>
              <w:top w:val="nil"/>
              <w:left w:val="nil"/>
              <w:bottom w:val="single" w:sz="4" w:space="0" w:color="auto"/>
              <w:right w:val="nil"/>
            </w:tcBorders>
            <w:shd w:val="clear" w:color="auto" w:fill="auto"/>
            <w:noWrap/>
            <w:vAlign w:val="center"/>
            <w:hideMark/>
          </w:tcPr>
          <w:p w14:paraId="24D95D6D" w14:textId="57F0C46B"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-0,5 p.b.</w:t>
            </w:r>
          </w:p>
        </w:tc>
      </w:tr>
      <w:tr w:rsidR="00033A3F" w:rsidRPr="00033A3F" w14:paraId="50898EDF" w14:textId="77777777" w:rsidTr="00977ED8">
        <w:trPr>
          <w:trHeight w:val="330"/>
        </w:trPr>
        <w:tc>
          <w:tcPr>
            <w:tcW w:w="2780" w:type="dxa"/>
            <w:tcBorders>
              <w:top w:val="nil"/>
              <w:left w:val="nil"/>
              <w:bottom w:val="double" w:sz="6" w:space="0" w:color="auto"/>
              <w:right w:val="nil"/>
            </w:tcBorders>
            <w:shd w:val="clear" w:color="auto" w:fill="auto"/>
            <w:noWrap/>
            <w:vAlign w:val="bottom"/>
            <w:hideMark/>
          </w:tcPr>
          <w:p w14:paraId="12F0EA4A"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02" w:type="dxa"/>
            <w:tcBorders>
              <w:top w:val="nil"/>
              <w:left w:val="nil"/>
              <w:bottom w:val="double" w:sz="6" w:space="0" w:color="auto"/>
              <w:right w:val="nil"/>
            </w:tcBorders>
            <w:shd w:val="clear" w:color="auto" w:fill="auto"/>
            <w:noWrap/>
            <w:vAlign w:val="bottom"/>
            <w:hideMark/>
          </w:tcPr>
          <w:p w14:paraId="3F58C70A" w14:textId="729BE0D3"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2,82 %</w:t>
            </w:r>
          </w:p>
        </w:tc>
        <w:tc>
          <w:tcPr>
            <w:tcW w:w="1818" w:type="dxa"/>
            <w:tcBorders>
              <w:top w:val="nil"/>
              <w:left w:val="nil"/>
              <w:bottom w:val="double" w:sz="6" w:space="0" w:color="auto"/>
              <w:right w:val="nil"/>
            </w:tcBorders>
            <w:shd w:val="clear" w:color="auto" w:fill="auto"/>
            <w:noWrap/>
            <w:vAlign w:val="center"/>
            <w:hideMark/>
          </w:tcPr>
          <w:p w14:paraId="4BD8A047" w14:textId="489C6285"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-0,2 p.b.</w:t>
            </w:r>
          </w:p>
        </w:tc>
      </w:tr>
      <w:tr w:rsidR="00033A3F" w:rsidRPr="00033A3F" w14:paraId="5A947243" w14:textId="77777777" w:rsidTr="00977ED8">
        <w:trPr>
          <w:trHeight w:val="345"/>
        </w:trPr>
        <w:tc>
          <w:tcPr>
            <w:tcW w:w="2780" w:type="dxa"/>
            <w:tcBorders>
              <w:top w:val="nil"/>
              <w:left w:val="nil"/>
              <w:bottom w:val="double" w:sz="6" w:space="0" w:color="auto"/>
              <w:right w:val="nil"/>
            </w:tcBorders>
            <w:shd w:val="clear" w:color="auto" w:fill="auto"/>
            <w:noWrap/>
            <w:vAlign w:val="bottom"/>
            <w:hideMark/>
          </w:tcPr>
          <w:p w14:paraId="483ADB00" w14:textId="77777777" w:rsidR="00977ED8" w:rsidRPr="00033A3F" w:rsidRDefault="00977ED8" w:rsidP="00977ED8">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02" w:type="dxa"/>
            <w:tcBorders>
              <w:top w:val="nil"/>
              <w:left w:val="nil"/>
              <w:bottom w:val="double" w:sz="6" w:space="0" w:color="auto"/>
              <w:right w:val="nil"/>
            </w:tcBorders>
            <w:shd w:val="clear" w:color="auto" w:fill="auto"/>
            <w:noWrap/>
            <w:vAlign w:val="bottom"/>
            <w:hideMark/>
          </w:tcPr>
          <w:p w14:paraId="14F06E9D" w14:textId="4689581F" w:rsidR="00977ED8" w:rsidRPr="00033A3F" w:rsidRDefault="00977ED8" w:rsidP="00977ED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3,47 %</w:t>
            </w:r>
          </w:p>
        </w:tc>
        <w:tc>
          <w:tcPr>
            <w:tcW w:w="1818" w:type="dxa"/>
            <w:tcBorders>
              <w:top w:val="nil"/>
              <w:left w:val="nil"/>
              <w:bottom w:val="double" w:sz="6" w:space="0" w:color="auto"/>
              <w:right w:val="nil"/>
            </w:tcBorders>
            <w:shd w:val="clear" w:color="auto" w:fill="auto"/>
            <w:noWrap/>
            <w:vAlign w:val="center"/>
            <w:hideMark/>
          </w:tcPr>
          <w:p w14:paraId="66D027D1" w14:textId="68B48B5D" w:rsidR="00977ED8" w:rsidRPr="00033A3F" w:rsidRDefault="00977ED8" w:rsidP="00977ED8">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-0,3 p.b.</w:t>
            </w:r>
          </w:p>
        </w:tc>
      </w:tr>
      <w:tr w:rsidR="00033A3F" w:rsidRPr="00033A3F" w14:paraId="5D6CC122" w14:textId="77777777" w:rsidTr="00977ED8">
        <w:trPr>
          <w:trHeight w:val="330"/>
        </w:trPr>
        <w:tc>
          <w:tcPr>
            <w:tcW w:w="2780" w:type="dxa"/>
            <w:tcBorders>
              <w:top w:val="nil"/>
              <w:left w:val="nil"/>
              <w:bottom w:val="nil"/>
              <w:right w:val="nil"/>
            </w:tcBorders>
            <w:shd w:val="clear" w:color="auto" w:fill="auto"/>
            <w:noWrap/>
            <w:vAlign w:val="bottom"/>
            <w:hideMark/>
          </w:tcPr>
          <w:p w14:paraId="0BF05F6A" w14:textId="77777777" w:rsidR="00977ED8" w:rsidRPr="00033A3F" w:rsidRDefault="00977ED8" w:rsidP="00977ED8">
            <w:pPr>
              <w:spacing w:line="240" w:lineRule="auto"/>
              <w:jc w:val="right"/>
              <w:rPr>
                <w:rFonts w:eastAsia="Times New Roman"/>
                <w:b/>
                <w:bCs/>
                <w:color w:val="000000" w:themeColor="text1"/>
                <w:sz w:val="20"/>
                <w:szCs w:val="20"/>
                <w:lang w:eastAsia="cs-CZ"/>
              </w:rPr>
            </w:pPr>
          </w:p>
        </w:tc>
        <w:tc>
          <w:tcPr>
            <w:tcW w:w="1702" w:type="dxa"/>
            <w:tcBorders>
              <w:top w:val="nil"/>
              <w:left w:val="nil"/>
              <w:bottom w:val="nil"/>
              <w:right w:val="nil"/>
            </w:tcBorders>
            <w:shd w:val="clear" w:color="auto" w:fill="auto"/>
            <w:noWrap/>
            <w:vAlign w:val="bottom"/>
            <w:hideMark/>
          </w:tcPr>
          <w:p w14:paraId="1F892EA4" w14:textId="77777777" w:rsidR="00977ED8" w:rsidRPr="00033A3F" w:rsidRDefault="00977ED8" w:rsidP="00977ED8">
            <w:pPr>
              <w:spacing w:line="240" w:lineRule="auto"/>
              <w:jc w:val="left"/>
              <w:rPr>
                <w:rFonts w:ascii="Times New Roman" w:eastAsia="Times New Roman" w:hAnsi="Times New Roman"/>
                <w:color w:val="000000" w:themeColor="text1"/>
                <w:sz w:val="20"/>
                <w:szCs w:val="20"/>
                <w:lang w:eastAsia="cs-CZ"/>
              </w:rPr>
            </w:pPr>
          </w:p>
        </w:tc>
        <w:tc>
          <w:tcPr>
            <w:tcW w:w="1818" w:type="dxa"/>
            <w:tcBorders>
              <w:top w:val="nil"/>
              <w:left w:val="nil"/>
              <w:bottom w:val="nil"/>
              <w:right w:val="nil"/>
            </w:tcBorders>
            <w:shd w:val="clear" w:color="auto" w:fill="auto"/>
            <w:noWrap/>
            <w:vAlign w:val="bottom"/>
            <w:hideMark/>
          </w:tcPr>
          <w:p w14:paraId="6CCF07D7" w14:textId="77777777" w:rsidR="00977ED8" w:rsidRPr="00033A3F" w:rsidRDefault="00977ED8" w:rsidP="00977ED8">
            <w:pPr>
              <w:spacing w:line="240" w:lineRule="auto"/>
              <w:jc w:val="left"/>
              <w:rPr>
                <w:rFonts w:ascii="Times New Roman" w:eastAsia="Times New Roman" w:hAnsi="Times New Roman"/>
                <w:color w:val="000000" w:themeColor="text1"/>
                <w:sz w:val="20"/>
                <w:szCs w:val="20"/>
                <w:lang w:eastAsia="cs-CZ"/>
              </w:rPr>
            </w:pPr>
          </w:p>
        </w:tc>
      </w:tr>
    </w:tbl>
    <w:p w14:paraId="1CDA2458" w14:textId="0EB8E47C" w:rsidR="00977ED8" w:rsidRPr="00033A3F" w:rsidRDefault="00977ED8" w:rsidP="004C0D35">
      <w:pPr>
        <w:pStyle w:val="OdstavecASR"/>
        <w:rPr>
          <w:color w:val="000000" w:themeColor="text1"/>
        </w:rPr>
      </w:pPr>
      <w:r w:rsidRPr="00033A3F">
        <w:rPr>
          <w:color w:val="000000" w:themeColor="text1"/>
        </w:rPr>
        <w:t>Z tabulky vyplývá, že míra odvolání je nižší než v civilním řízení, tento rok v absolutním vyjádření přibližně o </w:t>
      </w:r>
      <w:r w:rsidR="007B3CE0" w:rsidRPr="00033A3F">
        <w:rPr>
          <w:color w:val="000000" w:themeColor="text1"/>
        </w:rPr>
        <w:t xml:space="preserve">4 </w:t>
      </w:r>
      <w:r w:rsidRPr="00033A3F">
        <w:rPr>
          <w:color w:val="000000" w:themeColor="text1"/>
        </w:rPr>
        <w:t>procentní body. Rozdíly existují i na úrovni krajů. Nejvyšší míry odvolání jsou v Praze a okolí (soudy spadající pod MS Praha a KS Praha). Nejnižší míra odvolání je v Jihočeském a Severomoravském kraji. Rozdíly zřejmě budou vyplývat ze socioekonomických faktorů a složení obyvatelstva daných krajů.</w:t>
      </w:r>
    </w:p>
    <w:p w14:paraId="6EBE2C3F" w14:textId="350158EC" w:rsidR="00A84926" w:rsidRPr="00033A3F" w:rsidRDefault="00A84926" w:rsidP="00A84926">
      <w:pPr>
        <w:pStyle w:val="Podnadpis"/>
        <w:rPr>
          <w:color w:val="000000" w:themeColor="text1"/>
        </w:rPr>
      </w:pPr>
      <w:bookmarkStart w:id="908" w:name="_Toc169250965"/>
      <w:bookmarkStart w:id="909" w:name="_Toc174080651"/>
      <w:bookmarkStart w:id="910" w:name="_Toc193530803"/>
      <w:bookmarkStart w:id="911" w:name="_Toc193634077"/>
      <w:bookmarkStart w:id="912" w:name="_Toc20303287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48</w:t>
      </w:r>
      <w:r w:rsidRPr="00033A3F">
        <w:rPr>
          <w:color w:val="000000" w:themeColor="text1"/>
        </w:rPr>
        <w:fldChar w:fldCharType="end"/>
      </w:r>
      <w:r w:rsidRPr="00033A3F">
        <w:rPr>
          <w:color w:val="000000" w:themeColor="text1"/>
        </w:rPr>
        <w:t>: OS – míra odvolání u jednotlivých soudů v opatrov. řízení, 202</w:t>
      </w:r>
      <w:bookmarkEnd w:id="908"/>
      <w:bookmarkEnd w:id="909"/>
      <w:r w:rsidRPr="00033A3F">
        <w:rPr>
          <w:color w:val="000000" w:themeColor="text1"/>
        </w:rPr>
        <w:t>4</w:t>
      </w:r>
      <w:bookmarkEnd w:id="910"/>
      <w:bookmarkEnd w:id="911"/>
      <w:bookmarkEnd w:id="912"/>
    </w:p>
    <w:p w14:paraId="5F6EE2FE" w14:textId="6DC7077D" w:rsidR="0067474A" w:rsidRPr="00033A3F" w:rsidRDefault="000D31C1" w:rsidP="0067474A">
      <w:pPr>
        <w:pStyle w:val="OdstavecASR"/>
        <w:rPr>
          <w:color w:val="000000" w:themeColor="text1"/>
        </w:rPr>
      </w:pPr>
      <w:r w:rsidRPr="00033A3F">
        <w:rPr>
          <w:noProof/>
          <w:color w:val="000000" w:themeColor="text1"/>
          <w:lang w:eastAsia="cs-CZ"/>
        </w:rPr>
        <w:drawing>
          <wp:anchor distT="0" distB="0" distL="114300" distR="114300" simplePos="0" relativeHeight="251695104" behindDoc="0" locked="0" layoutInCell="1" allowOverlap="1" wp14:anchorId="4F0CC3A3" wp14:editId="31A634DB">
            <wp:simplePos x="0" y="0"/>
            <wp:positionH relativeFrom="margin">
              <wp:align>right</wp:align>
            </wp:positionH>
            <wp:positionV relativeFrom="paragraph">
              <wp:posOffset>46990</wp:posOffset>
            </wp:positionV>
            <wp:extent cx="1323975" cy="962891"/>
            <wp:effectExtent l="0" t="0" r="0" b="8890"/>
            <wp:wrapNone/>
            <wp:docPr id="713041409"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23975" cy="9628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0F18A009" wp14:editId="5351FEEB">
            <wp:extent cx="5760720" cy="3296920"/>
            <wp:effectExtent l="0" t="0" r="0" b="0"/>
            <wp:docPr id="57071899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409AFB0B" w14:textId="41C09B86" w:rsidR="00B36DD9" w:rsidRPr="00033A3F" w:rsidRDefault="00B36DD9" w:rsidP="00B36DD9">
      <w:pPr>
        <w:pStyle w:val="OdstavecASR"/>
        <w:rPr>
          <w:color w:val="000000" w:themeColor="text1"/>
        </w:rPr>
      </w:pPr>
      <w:bookmarkStart w:id="913" w:name="_Hlk130458045"/>
      <w:r w:rsidRPr="00033A3F">
        <w:rPr>
          <w:color w:val="000000" w:themeColor="text1"/>
        </w:rPr>
        <w:t xml:space="preserve">Z jednotlivých okresních soudů byla v roce 2024 nejvyšší míra odvolání u OS Praha </w:t>
      </w:r>
      <w:r w:rsidR="004336D3" w:rsidRPr="00033A3F">
        <w:rPr>
          <w:color w:val="000000" w:themeColor="text1"/>
        </w:rPr>
        <w:t>7</w:t>
      </w:r>
      <w:r w:rsidRPr="00033A3F">
        <w:rPr>
          <w:color w:val="000000" w:themeColor="text1"/>
        </w:rPr>
        <w:t xml:space="preserve"> (</w:t>
      </w:r>
      <w:r w:rsidR="004336D3" w:rsidRPr="00033A3F">
        <w:rPr>
          <w:color w:val="000000" w:themeColor="text1"/>
        </w:rPr>
        <w:t>9</w:t>
      </w:r>
      <w:r w:rsidRPr="00033A3F">
        <w:rPr>
          <w:color w:val="000000" w:themeColor="text1"/>
        </w:rPr>
        <w:t>,</w:t>
      </w:r>
      <w:r w:rsidR="004336D3" w:rsidRPr="00033A3F">
        <w:rPr>
          <w:color w:val="000000" w:themeColor="text1"/>
        </w:rPr>
        <w:t>97</w:t>
      </w:r>
      <w:r w:rsidRPr="00033A3F">
        <w:rPr>
          <w:color w:val="000000" w:themeColor="text1"/>
        </w:rPr>
        <w:t xml:space="preserve"> %), </w:t>
      </w:r>
      <w:r w:rsidR="004336D3" w:rsidRPr="00033A3F">
        <w:rPr>
          <w:color w:val="000000" w:themeColor="text1"/>
        </w:rPr>
        <w:t xml:space="preserve">OS Praha 1 (9,36 %) a </w:t>
      </w:r>
      <w:r w:rsidRPr="00033A3F">
        <w:rPr>
          <w:color w:val="000000" w:themeColor="text1"/>
        </w:rPr>
        <w:t>OS Praha-západ a (8,</w:t>
      </w:r>
      <w:r w:rsidR="004336D3" w:rsidRPr="00033A3F">
        <w:rPr>
          <w:color w:val="000000" w:themeColor="text1"/>
        </w:rPr>
        <w:t>14</w:t>
      </w:r>
      <w:r w:rsidRPr="00033A3F">
        <w:rPr>
          <w:color w:val="000000" w:themeColor="text1"/>
        </w:rPr>
        <w:t> %). Nejnižší je naopak míra odvolání u Strakonice (0,50 %), OS Tachov (0,94 %) a OS Jeseník (1,48 %).</w:t>
      </w:r>
    </w:p>
    <w:bookmarkEnd w:id="913"/>
    <w:p w14:paraId="0FC5FB13" w14:textId="77777777" w:rsidR="00A84926" w:rsidRPr="00033A3F" w:rsidRDefault="00A84926" w:rsidP="00A84926">
      <w:pPr>
        <w:pStyle w:val="OdstavecASR"/>
        <w:keepNext/>
        <w:outlineLvl w:val="3"/>
        <w:rPr>
          <w:b/>
          <w:color w:val="000000" w:themeColor="text1"/>
        </w:rPr>
      </w:pPr>
      <w:r w:rsidRPr="00033A3F">
        <w:rPr>
          <w:b/>
          <w:color w:val="000000" w:themeColor="text1"/>
        </w:rPr>
        <w:lastRenderedPageBreak/>
        <w:t>Míra změny rozsudku</w:t>
      </w:r>
    </w:p>
    <w:p w14:paraId="393DBC0E" w14:textId="60EDB131" w:rsidR="00A84926" w:rsidRPr="00033A3F" w:rsidRDefault="00A84926" w:rsidP="00A84926">
      <w:pPr>
        <w:pStyle w:val="OdstavecASR"/>
        <w:rPr>
          <w:color w:val="000000" w:themeColor="text1"/>
        </w:rPr>
      </w:pPr>
      <w:r w:rsidRPr="00033A3F">
        <w:rPr>
          <w:color w:val="000000" w:themeColor="text1"/>
        </w:rPr>
        <w:t>Stejně jako u civilního řízení je dalším sledovaným ukazatelem míra změny rozsudku. Jedná se o podíl věcí v procentech, ve kterých odvolací soud na podkladě odvolání změnil rozhodnutí soudu I. stupně.</w:t>
      </w:r>
      <w:r w:rsidR="000535F1" w:rsidRPr="00033A3F">
        <w:rPr>
          <w:color w:val="000000" w:themeColor="text1"/>
        </w:rPr>
        <w:t xml:space="preserve"> Na rozdíl od míry odvolání je míra změny rozsudku u opatrovnické agendy podstatně vyšší než u civilního řízení (o přibližně </w:t>
      </w:r>
      <w:r w:rsidR="008C579F" w:rsidRPr="00033A3F">
        <w:rPr>
          <w:color w:val="000000" w:themeColor="text1"/>
        </w:rPr>
        <w:t>2</w:t>
      </w:r>
      <w:r w:rsidR="000535F1" w:rsidRPr="00033A3F">
        <w:rPr>
          <w:color w:val="000000" w:themeColor="text1"/>
        </w:rPr>
        <w:t xml:space="preserve">4 procentních bodů). Naznačuje to, že pokud již k odvolání </w:t>
      </w:r>
      <w:r w:rsidR="00D5431E" w:rsidRPr="00033A3F">
        <w:rPr>
          <w:color w:val="000000" w:themeColor="text1"/>
        </w:rPr>
        <w:t xml:space="preserve">v opatrovnické agendě </w:t>
      </w:r>
      <w:r w:rsidR="000535F1" w:rsidRPr="00033A3F">
        <w:rPr>
          <w:color w:val="000000" w:themeColor="text1"/>
        </w:rPr>
        <w:t xml:space="preserve">dojde potom u </w:t>
      </w:r>
      <w:r w:rsidR="00F45444" w:rsidRPr="00033A3F">
        <w:rPr>
          <w:color w:val="000000" w:themeColor="text1"/>
        </w:rPr>
        <w:t>3</w:t>
      </w:r>
      <w:r w:rsidR="000535F1" w:rsidRPr="00033A3F">
        <w:rPr>
          <w:color w:val="000000" w:themeColor="text1"/>
        </w:rPr>
        <w:t xml:space="preserve"> z </w:t>
      </w:r>
      <w:r w:rsidR="00F45444" w:rsidRPr="00033A3F">
        <w:rPr>
          <w:color w:val="000000" w:themeColor="text1"/>
        </w:rPr>
        <w:t>5</w:t>
      </w:r>
      <w:r w:rsidR="000535F1" w:rsidRPr="00033A3F">
        <w:rPr>
          <w:color w:val="000000" w:themeColor="text1"/>
        </w:rPr>
        <w:t xml:space="preserve"> odvolání </w:t>
      </w:r>
      <w:r w:rsidR="00D5431E" w:rsidRPr="00033A3F">
        <w:rPr>
          <w:color w:val="000000" w:themeColor="text1"/>
        </w:rPr>
        <w:t>je také změněn rozsudek</w:t>
      </w:r>
      <w:r w:rsidR="008C579F" w:rsidRPr="00033A3F">
        <w:rPr>
          <w:color w:val="000000" w:themeColor="text1"/>
        </w:rPr>
        <w:t xml:space="preserve"> – u civilního řízení to je přibližně u </w:t>
      </w:r>
      <w:r w:rsidR="00F45444" w:rsidRPr="00033A3F">
        <w:rPr>
          <w:color w:val="000000" w:themeColor="text1"/>
        </w:rPr>
        <w:t>2</w:t>
      </w:r>
      <w:r w:rsidR="008C579F" w:rsidRPr="00033A3F">
        <w:rPr>
          <w:color w:val="000000" w:themeColor="text1"/>
        </w:rPr>
        <w:t xml:space="preserve"> z </w:t>
      </w:r>
      <w:r w:rsidR="00F45444" w:rsidRPr="00033A3F">
        <w:rPr>
          <w:color w:val="000000" w:themeColor="text1"/>
        </w:rPr>
        <w:t>5</w:t>
      </w:r>
      <w:r w:rsidR="008C579F" w:rsidRPr="00033A3F">
        <w:rPr>
          <w:color w:val="000000" w:themeColor="text1"/>
        </w:rPr>
        <w:t xml:space="preserve"> odvolání</w:t>
      </w:r>
      <w:r w:rsidR="000535F1" w:rsidRPr="00033A3F">
        <w:rPr>
          <w:color w:val="000000" w:themeColor="text1"/>
        </w:rPr>
        <w:t>.</w:t>
      </w:r>
    </w:p>
    <w:p w14:paraId="106428C0" w14:textId="44E48CD4" w:rsidR="00A84926" w:rsidRPr="00033A3F" w:rsidRDefault="00A84926" w:rsidP="00A84926">
      <w:pPr>
        <w:pStyle w:val="Podnadpis"/>
        <w:rPr>
          <w:color w:val="000000" w:themeColor="text1"/>
        </w:rPr>
      </w:pPr>
      <w:bookmarkStart w:id="914" w:name="_Toc106106795"/>
      <w:bookmarkStart w:id="915" w:name="_Toc109802118"/>
      <w:bookmarkStart w:id="916" w:name="_Toc144104274"/>
      <w:bookmarkStart w:id="917" w:name="_Toc169251089"/>
      <w:bookmarkStart w:id="918" w:name="_Toc174080775"/>
      <w:bookmarkStart w:id="919" w:name="_Toc193530905"/>
      <w:bookmarkStart w:id="920" w:name="_Toc194045601"/>
      <w:bookmarkStart w:id="921" w:name="_Toc199495011"/>
      <w:bookmarkStart w:id="922" w:name="_Toc203033071"/>
      <w:bookmarkStart w:id="923" w:name="_Toc203033149"/>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29</w:t>
      </w:r>
      <w:r w:rsidRPr="00033A3F">
        <w:rPr>
          <w:noProof/>
          <w:color w:val="000000" w:themeColor="text1"/>
        </w:rPr>
        <w:fldChar w:fldCharType="end"/>
      </w:r>
      <w:r w:rsidRPr="00033A3F">
        <w:rPr>
          <w:color w:val="000000" w:themeColor="text1"/>
        </w:rPr>
        <w:t>: OS – míra změny rozsudku dle krajů v opatrovnickém řízení</w:t>
      </w:r>
      <w:bookmarkEnd w:id="914"/>
      <w:bookmarkEnd w:id="915"/>
      <w:bookmarkEnd w:id="916"/>
      <w:r w:rsidRPr="00033A3F">
        <w:rPr>
          <w:color w:val="000000" w:themeColor="text1"/>
        </w:rPr>
        <w:t>, 202</w:t>
      </w:r>
      <w:bookmarkEnd w:id="917"/>
      <w:bookmarkEnd w:id="918"/>
      <w:r w:rsidRPr="00033A3F">
        <w:rPr>
          <w:color w:val="000000" w:themeColor="text1"/>
        </w:rPr>
        <w:t>4</w:t>
      </w:r>
      <w:bookmarkEnd w:id="919"/>
      <w:bookmarkEnd w:id="920"/>
      <w:bookmarkEnd w:id="921"/>
      <w:bookmarkEnd w:id="922"/>
      <w:bookmarkEnd w:id="923"/>
    </w:p>
    <w:tbl>
      <w:tblPr>
        <w:tblW w:w="6980" w:type="dxa"/>
        <w:tblCellMar>
          <w:left w:w="70" w:type="dxa"/>
          <w:right w:w="70" w:type="dxa"/>
        </w:tblCellMar>
        <w:tblLook w:val="04A0" w:firstRow="1" w:lastRow="0" w:firstColumn="1" w:lastColumn="0" w:noHBand="0" w:noVBand="1"/>
      </w:tblPr>
      <w:tblGrid>
        <w:gridCol w:w="2780"/>
        <w:gridCol w:w="2065"/>
        <w:gridCol w:w="2135"/>
      </w:tblGrid>
      <w:tr w:rsidR="00033A3F" w:rsidRPr="00033A3F" w14:paraId="216B8024" w14:textId="77777777" w:rsidTr="00A84926">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5599125" w14:textId="77777777" w:rsidR="00A84926" w:rsidRPr="00033A3F" w:rsidRDefault="00A84926" w:rsidP="00A8492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0822282A" w14:textId="77777777" w:rsidR="00A84926" w:rsidRPr="00033A3F" w:rsidRDefault="00A84926" w:rsidP="00A8492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Míra změny rozsudku (v %) </w:t>
            </w:r>
          </w:p>
        </w:tc>
      </w:tr>
      <w:tr w:rsidR="00033A3F" w:rsidRPr="00033A3F" w14:paraId="3A88E9B6" w14:textId="77777777" w:rsidTr="00A84926">
        <w:trPr>
          <w:trHeight w:val="330"/>
        </w:trPr>
        <w:tc>
          <w:tcPr>
            <w:tcW w:w="2780" w:type="dxa"/>
            <w:tcBorders>
              <w:top w:val="nil"/>
              <w:left w:val="nil"/>
              <w:bottom w:val="single" w:sz="4" w:space="0" w:color="auto"/>
              <w:right w:val="nil"/>
            </w:tcBorders>
            <w:shd w:val="clear" w:color="auto" w:fill="auto"/>
            <w:noWrap/>
            <w:vAlign w:val="bottom"/>
            <w:hideMark/>
          </w:tcPr>
          <w:p w14:paraId="341FB75A"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2065" w:type="dxa"/>
            <w:tcBorders>
              <w:top w:val="nil"/>
              <w:left w:val="nil"/>
              <w:bottom w:val="single" w:sz="4" w:space="0" w:color="auto"/>
              <w:right w:val="nil"/>
            </w:tcBorders>
            <w:shd w:val="clear" w:color="auto" w:fill="auto"/>
            <w:noWrap/>
            <w:vAlign w:val="bottom"/>
            <w:hideMark/>
          </w:tcPr>
          <w:p w14:paraId="3FC9BC1B" w14:textId="7D15002A"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59,79 %</w:t>
            </w:r>
          </w:p>
        </w:tc>
        <w:tc>
          <w:tcPr>
            <w:tcW w:w="2135" w:type="dxa"/>
            <w:tcBorders>
              <w:top w:val="nil"/>
              <w:left w:val="nil"/>
              <w:bottom w:val="single" w:sz="4" w:space="0" w:color="auto"/>
              <w:right w:val="nil"/>
            </w:tcBorders>
            <w:shd w:val="clear" w:color="auto" w:fill="auto"/>
            <w:noWrap/>
            <w:vAlign w:val="center"/>
            <w:hideMark/>
          </w:tcPr>
          <w:p w14:paraId="39422B6E" w14:textId="15F83258"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 p.b.</w:t>
            </w:r>
          </w:p>
        </w:tc>
      </w:tr>
      <w:tr w:rsidR="00033A3F" w:rsidRPr="00033A3F" w14:paraId="67C62273"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317AC149"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2065" w:type="dxa"/>
            <w:tcBorders>
              <w:top w:val="nil"/>
              <w:left w:val="nil"/>
              <w:bottom w:val="single" w:sz="4" w:space="0" w:color="auto"/>
              <w:right w:val="nil"/>
            </w:tcBorders>
            <w:shd w:val="clear" w:color="auto" w:fill="auto"/>
            <w:noWrap/>
            <w:vAlign w:val="bottom"/>
            <w:hideMark/>
          </w:tcPr>
          <w:p w14:paraId="4D55E303" w14:textId="04BCDFD2"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74,95 %</w:t>
            </w:r>
          </w:p>
        </w:tc>
        <w:tc>
          <w:tcPr>
            <w:tcW w:w="2135" w:type="dxa"/>
            <w:tcBorders>
              <w:top w:val="nil"/>
              <w:left w:val="nil"/>
              <w:bottom w:val="single" w:sz="4" w:space="0" w:color="auto"/>
              <w:right w:val="nil"/>
            </w:tcBorders>
            <w:shd w:val="clear" w:color="auto" w:fill="auto"/>
            <w:noWrap/>
            <w:vAlign w:val="center"/>
            <w:hideMark/>
          </w:tcPr>
          <w:p w14:paraId="72F2CD98" w14:textId="159924BF"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p.b.</w:t>
            </w:r>
          </w:p>
        </w:tc>
      </w:tr>
      <w:tr w:rsidR="00033A3F" w:rsidRPr="00033A3F" w14:paraId="2896277A"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372474B6"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2065" w:type="dxa"/>
            <w:tcBorders>
              <w:top w:val="nil"/>
              <w:left w:val="nil"/>
              <w:bottom w:val="single" w:sz="4" w:space="0" w:color="auto"/>
              <w:right w:val="nil"/>
            </w:tcBorders>
            <w:shd w:val="clear" w:color="auto" w:fill="auto"/>
            <w:noWrap/>
            <w:vAlign w:val="bottom"/>
            <w:hideMark/>
          </w:tcPr>
          <w:p w14:paraId="0C9E4948" w14:textId="1529687C"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62,50 %</w:t>
            </w:r>
          </w:p>
        </w:tc>
        <w:tc>
          <w:tcPr>
            <w:tcW w:w="2135" w:type="dxa"/>
            <w:tcBorders>
              <w:top w:val="nil"/>
              <w:left w:val="nil"/>
              <w:bottom w:val="single" w:sz="4" w:space="0" w:color="auto"/>
              <w:right w:val="nil"/>
            </w:tcBorders>
            <w:shd w:val="clear" w:color="auto" w:fill="auto"/>
            <w:noWrap/>
            <w:vAlign w:val="center"/>
            <w:hideMark/>
          </w:tcPr>
          <w:p w14:paraId="2F6DF67F" w14:textId="7B5F0744"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+3,3 p.b.</w:t>
            </w:r>
          </w:p>
        </w:tc>
      </w:tr>
      <w:tr w:rsidR="00033A3F" w:rsidRPr="00033A3F" w14:paraId="2B890624"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237535C9"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2065" w:type="dxa"/>
            <w:tcBorders>
              <w:top w:val="nil"/>
              <w:left w:val="nil"/>
              <w:bottom w:val="single" w:sz="4" w:space="0" w:color="auto"/>
              <w:right w:val="nil"/>
            </w:tcBorders>
            <w:shd w:val="clear" w:color="auto" w:fill="auto"/>
            <w:noWrap/>
            <w:vAlign w:val="bottom"/>
            <w:hideMark/>
          </w:tcPr>
          <w:p w14:paraId="629D17EA" w14:textId="65BFE514"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59,10 %</w:t>
            </w:r>
          </w:p>
        </w:tc>
        <w:tc>
          <w:tcPr>
            <w:tcW w:w="2135" w:type="dxa"/>
            <w:tcBorders>
              <w:top w:val="nil"/>
              <w:left w:val="nil"/>
              <w:bottom w:val="single" w:sz="4" w:space="0" w:color="auto"/>
              <w:right w:val="nil"/>
            </w:tcBorders>
            <w:shd w:val="clear" w:color="auto" w:fill="auto"/>
            <w:noWrap/>
            <w:vAlign w:val="center"/>
            <w:hideMark/>
          </w:tcPr>
          <w:p w14:paraId="3FAB592E" w14:textId="20EB5765"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-5,2 p.b.</w:t>
            </w:r>
          </w:p>
        </w:tc>
      </w:tr>
      <w:tr w:rsidR="00033A3F" w:rsidRPr="00033A3F" w14:paraId="1FC468D7"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42BD510B"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2065" w:type="dxa"/>
            <w:tcBorders>
              <w:top w:val="nil"/>
              <w:left w:val="nil"/>
              <w:bottom w:val="single" w:sz="4" w:space="0" w:color="auto"/>
              <w:right w:val="nil"/>
            </w:tcBorders>
            <w:shd w:val="clear" w:color="auto" w:fill="auto"/>
            <w:noWrap/>
            <w:vAlign w:val="bottom"/>
            <w:hideMark/>
          </w:tcPr>
          <w:p w14:paraId="73DAF526" w14:textId="35207B58"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67,44 %</w:t>
            </w:r>
          </w:p>
        </w:tc>
        <w:tc>
          <w:tcPr>
            <w:tcW w:w="2135" w:type="dxa"/>
            <w:tcBorders>
              <w:top w:val="nil"/>
              <w:left w:val="nil"/>
              <w:bottom w:val="single" w:sz="4" w:space="0" w:color="auto"/>
              <w:right w:val="nil"/>
            </w:tcBorders>
            <w:shd w:val="clear" w:color="auto" w:fill="auto"/>
            <w:noWrap/>
            <w:vAlign w:val="center"/>
            <w:hideMark/>
          </w:tcPr>
          <w:p w14:paraId="31FBB10F" w14:textId="1966143B"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+10,7 p.b.</w:t>
            </w:r>
          </w:p>
        </w:tc>
      </w:tr>
      <w:tr w:rsidR="00033A3F" w:rsidRPr="00033A3F" w14:paraId="547031A8"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4CF6B228"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2065" w:type="dxa"/>
            <w:tcBorders>
              <w:top w:val="nil"/>
              <w:left w:val="nil"/>
              <w:bottom w:val="single" w:sz="4" w:space="0" w:color="auto"/>
              <w:right w:val="nil"/>
            </w:tcBorders>
            <w:shd w:val="clear" w:color="auto" w:fill="auto"/>
            <w:noWrap/>
            <w:vAlign w:val="bottom"/>
            <w:hideMark/>
          </w:tcPr>
          <w:p w14:paraId="2F1D8F42" w14:textId="44B18C9E"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63,95 %</w:t>
            </w:r>
          </w:p>
        </w:tc>
        <w:tc>
          <w:tcPr>
            <w:tcW w:w="2135" w:type="dxa"/>
            <w:tcBorders>
              <w:top w:val="nil"/>
              <w:left w:val="nil"/>
              <w:bottom w:val="single" w:sz="4" w:space="0" w:color="auto"/>
              <w:right w:val="nil"/>
            </w:tcBorders>
            <w:shd w:val="clear" w:color="auto" w:fill="auto"/>
            <w:noWrap/>
            <w:vAlign w:val="center"/>
            <w:hideMark/>
          </w:tcPr>
          <w:p w14:paraId="1C0DB1F1" w14:textId="6250E54F"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+0,2 p.b.</w:t>
            </w:r>
          </w:p>
        </w:tc>
      </w:tr>
      <w:tr w:rsidR="00033A3F" w:rsidRPr="00033A3F" w14:paraId="60F0EDF5"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6F2DE254"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2065" w:type="dxa"/>
            <w:tcBorders>
              <w:top w:val="nil"/>
              <w:left w:val="nil"/>
              <w:bottom w:val="single" w:sz="4" w:space="0" w:color="auto"/>
              <w:right w:val="nil"/>
            </w:tcBorders>
            <w:shd w:val="clear" w:color="auto" w:fill="auto"/>
            <w:noWrap/>
            <w:vAlign w:val="bottom"/>
            <w:hideMark/>
          </w:tcPr>
          <w:p w14:paraId="4E50AAB9" w14:textId="59678101"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68,06 %</w:t>
            </w:r>
          </w:p>
        </w:tc>
        <w:tc>
          <w:tcPr>
            <w:tcW w:w="2135" w:type="dxa"/>
            <w:tcBorders>
              <w:top w:val="nil"/>
              <w:left w:val="nil"/>
              <w:bottom w:val="single" w:sz="4" w:space="0" w:color="auto"/>
              <w:right w:val="nil"/>
            </w:tcBorders>
            <w:shd w:val="clear" w:color="auto" w:fill="auto"/>
            <w:noWrap/>
            <w:vAlign w:val="center"/>
            <w:hideMark/>
          </w:tcPr>
          <w:p w14:paraId="07B25EF1" w14:textId="664F1474"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 p.b.</w:t>
            </w:r>
          </w:p>
        </w:tc>
      </w:tr>
      <w:tr w:rsidR="00033A3F" w:rsidRPr="00033A3F" w14:paraId="22CC00C4" w14:textId="77777777" w:rsidTr="00A84926">
        <w:trPr>
          <w:trHeight w:val="330"/>
        </w:trPr>
        <w:tc>
          <w:tcPr>
            <w:tcW w:w="2780" w:type="dxa"/>
            <w:tcBorders>
              <w:top w:val="nil"/>
              <w:left w:val="nil"/>
              <w:bottom w:val="double" w:sz="6" w:space="0" w:color="auto"/>
              <w:right w:val="nil"/>
            </w:tcBorders>
            <w:shd w:val="clear" w:color="auto" w:fill="auto"/>
            <w:noWrap/>
            <w:vAlign w:val="bottom"/>
            <w:hideMark/>
          </w:tcPr>
          <w:p w14:paraId="15E5C8DE"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2065" w:type="dxa"/>
            <w:tcBorders>
              <w:top w:val="nil"/>
              <w:left w:val="nil"/>
              <w:bottom w:val="double" w:sz="6" w:space="0" w:color="auto"/>
              <w:right w:val="nil"/>
            </w:tcBorders>
            <w:shd w:val="clear" w:color="auto" w:fill="auto"/>
            <w:noWrap/>
            <w:vAlign w:val="bottom"/>
            <w:hideMark/>
          </w:tcPr>
          <w:p w14:paraId="2B579F9A" w14:textId="3C98F429"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67,76 %</w:t>
            </w:r>
          </w:p>
        </w:tc>
        <w:tc>
          <w:tcPr>
            <w:tcW w:w="2135" w:type="dxa"/>
            <w:tcBorders>
              <w:top w:val="nil"/>
              <w:left w:val="nil"/>
              <w:bottom w:val="double" w:sz="6" w:space="0" w:color="auto"/>
              <w:right w:val="nil"/>
            </w:tcBorders>
            <w:shd w:val="clear" w:color="auto" w:fill="auto"/>
            <w:noWrap/>
            <w:vAlign w:val="center"/>
            <w:hideMark/>
          </w:tcPr>
          <w:p w14:paraId="5B929E33" w14:textId="16823290"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+4,6 p.b.</w:t>
            </w:r>
          </w:p>
        </w:tc>
      </w:tr>
      <w:tr w:rsidR="00033A3F" w:rsidRPr="00033A3F" w14:paraId="6C8A6A49" w14:textId="77777777" w:rsidTr="00A84926">
        <w:trPr>
          <w:trHeight w:val="345"/>
        </w:trPr>
        <w:tc>
          <w:tcPr>
            <w:tcW w:w="2780" w:type="dxa"/>
            <w:tcBorders>
              <w:top w:val="nil"/>
              <w:left w:val="nil"/>
              <w:bottom w:val="double" w:sz="6" w:space="0" w:color="auto"/>
              <w:right w:val="nil"/>
            </w:tcBorders>
            <w:shd w:val="clear" w:color="auto" w:fill="auto"/>
            <w:noWrap/>
            <w:vAlign w:val="bottom"/>
            <w:hideMark/>
          </w:tcPr>
          <w:p w14:paraId="07462ACF" w14:textId="77777777" w:rsidR="00A84926" w:rsidRPr="00033A3F" w:rsidRDefault="00A84926" w:rsidP="00A8492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2065" w:type="dxa"/>
            <w:tcBorders>
              <w:top w:val="nil"/>
              <w:left w:val="nil"/>
              <w:bottom w:val="double" w:sz="6" w:space="0" w:color="auto"/>
              <w:right w:val="nil"/>
            </w:tcBorders>
            <w:shd w:val="clear" w:color="auto" w:fill="auto"/>
            <w:noWrap/>
            <w:vAlign w:val="bottom"/>
            <w:hideMark/>
          </w:tcPr>
          <w:p w14:paraId="29E5053E" w14:textId="4EB9DB12" w:rsidR="00A84926" w:rsidRPr="00033A3F" w:rsidRDefault="00A84926" w:rsidP="00A8492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66,40 %</w:t>
            </w:r>
          </w:p>
        </w:tc>
        <w:tc>
          <w:tcPr>
            <w:tcW w:w="2135" w:type="dxa"/>
            <w:tcBorders>
              <w:top w:val="nil"/>
              <w:left w:val="nil"/>
              <w:bottom w:val="double" w:sz="6" w:space="0" w:color="auto"/>
              <w:right w:val="nil"/>
            </w:tcBorders>
            <w:shd w:val="clear" w:color="auto" w:fill="auto"/>
            <w:noWrap/>
            <w:vAlign w:val="center"/>
            <w:hideMark/>
          </w:tcPr>
          <w:p w14:paraId="5206DE49" w14:textId="2640BB94" w:rsidR="00A84926" w:rsidRPr="00033A3F" w:rsidRDefault="00A84926" w:rsidP="00A8492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+2,9 p.b.</w:t>
            </w:r>
          </w:p>
        </w:tc>
      </w:tr>
      <w:tr w:rsidR="00033A3F" w:rsidRPr="00033A3F" w14:paraId="1F7152D0" w14:textId="77777777" w:rsidTr="00A84926">
        <w:trPr>
          <w:trHeight w:val="330"/>
        </w:trPr>
        <w:tc>
          <w:tcPr>
            <w:tcW w:w="2780" w:type="dxa"/>
            <w:tcBorders>
              <w:top w:val="nil"/>
              <w:left w:val="nil"/>
              <w:bottom w:val="nil"/>
              <w:right w:val="nil"/>
            </w:tcBorders>
            <w:shd w:val="clear" w:color="auto" w:fill="auto"/>
            <w:noWrap/>
            <w:vAlign w:val="bottom"/>
            <w:hideMark/>
          </w:tcPr>
          <w:p w14:paraId="151C7592" w14:textId="77777777" w:rsidR="00A84926" w:rsidRPr="00033A3F" w:rsidRDefault="00A84926" w:rsidP="00A84926">
            <w:pPr>
              <w:spacing w:line="240" w:lineRule="auto"/>
              <w:jc w:val="right"/>
              <w:rPr>
                <w:rFonts w:eastAsia="Times New Roman"/>
                <w:b/>
                <w:bCs/>
                <w:color w:val="000000" w:themeColor="text1"/>
                <w:sz w:val="20"/>
                <w:szCs w:val="20"/>
                <w:lang w:eastAsia="cs-CZ"/>
              </w:rPr>
            </w:pPr>
          </w:p>
        </w:tc>
        <w:tc>
          <w:tcPr>
            <w:tcW w:w="2065" w:type="dxa"/>
            <w:tcBorders>
              <w:top w:val="nil"/>
              <w:left w:val="nil"/>
              <w:bottom w:val="nil"/>
              <w:right w:val="nil"/>
            </w:tcBorders>
            <w:shd w:val="clear" w:color="auto" w:fill="auto"/>
            <w:noWrap/>
            <w:vAlign w:val="bottom"/>
            <w:hideMark/>
          </w:tcPr>
          <w:p w14:paraId="7FD73009" w14:textId="77777777" w:rsidR="00A84926" w:rsidRPr="00033A3F" w:rsidRDefault="00A84926" w:rsidP="00A84926">
            <w:pPr>
              <w:spacing w:line="240" w:lineRule="auto"/>
              <w:jc w:val="left"/>
              <w:rPr>
                <w:rFonts w:ascii="Times New Roman" w:eastAsia="Times New Roman" w:hAnsi="Times New Roman"/>
                <w:color w:val="000000" w:themeColor="text1"/>
                <w:sz w:val="20"/>
                <w:szCs w:val="20"/>
                <w:lang w:eastAsia="cs-CZ"/>
              </w:rPr>
            </w:pPr>
          </w:p>
        </w:tc>
        <w:tc>
          <w:tcPr>
            <w:tcW w:w="2135" w:type="dxa"/>
            <w:tcBorders>
              <w:top w:val="nil"/>
              <w:left w:val="nil"/>
              <w:bottom w:val="nil"/>
              <w:right w:val="nil"/>
            </w:tcBorders>
            <w:shd w:val="clear" w:color="auto" w:fill="auto"/>
            <w:noWrap/>
            <w:vAlign w:val="bottom"/>
            <w:hideMark/>
          </w:tcPr>
          <w:p w14:paraId="7D5ACCD7" w14:textId="77777777" w:rsidR="00A84926" w:rsidRPr="00033A3F" w:rsidRDefault="00A84926" w:rsidP="00A84926">
            <w:pPr>
              <w:spacing w:line="240" w:lineRule="auto"/>
              <w:jc w:val="left"/>
              <w:rPr>
                <w:rFonts w:ascii="Times New Roman" w:eastAsia="Times New Roman" w:hAnsi="Times New Roman"/>
                <w:color w:val="000000" w:themeColor="text1"/>
                <w:sz w:val="20"/>
                <w:szCs w:val="20"/>
                <w:lang w:eastAsia="cs-CZ"/>
              </w:rPr>
            </w:pPr>
          </w:p>
        </w:tc>
      </w:tr>
    </w:tbl>
    <w:p w14:paraId="4AE1DF29" w14:textId="46114528" w:rsidR="00046ECE" w:rsidRPr="00033A3F" w:rsidRDefault="00046ECE" w:rsidP="00046ECE">
      <w:pPr>
        <w:pStyle w:val="Podnadpis"/>
        <w:rPr>
          <w:color w:val="000000" w:themeColor="text1"/>
        </w:rPr>
      </w:pPr>
      <w:bookmarkStart w:id="924" w:name="_Toc106106679"/>
      <w:bookmarkStart w:id="925" w:name="_Toc109802003"/>
      <w:bookmarkStart w:id="926" w:name="_Toc144104155"/>
      <w:bookmarkStart w:id="927" w:name="_Toc169250966"/>
      <w:bookmarkStart w:id="928" w:name="_Toc174080652"/>
      <w:bookmarkStart w:id="929" w:name="_Toc193530804"/>
      <w:bookmarkStart w:id="930" w:name="_Toc193634078"/>
      <w:bookmarkStart w:id="931" w:name="_Toc20303287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49</w:t>
      </w:r>
      <w:r w:rsidRPr="00033A3F">
        <w:rPr>
          <w:color w:val="000000" w:themeColor="text1"/>
        </w:rPr>
        <w:fldChar w:fldCharType="end"/>
      </w:r>
      <w:r w:rsidRPr="00033A3F">
        <w:rPr>
          <w:color w:val="000000" w:themeColor="text1"/>
        </w:rPr>
        <w:t>: OS – míra změny rozsudku u jednotlivých soudů v opatrov. řízení</w:t>
      </w:r>
      <w:bookmarkEnd w:id="924"/>
      <w:bookmarkEnd w:id="925"/>
      <w:bookmarkEnd w:id="926"/>
      <w:bookmarkEnd w:id="927"/>
      <w:bookmarkEnd w:id="928"/>
      <w:bookmarkEnd w:id="929"/>
      <w:bookmarkEnd w:id="930"/>
      <w:bookmarkEnd w:id="931"/>
    </w:p>
    <w:p w14:paraId="69CB4EF2" w14:textId="644AEAAF" w:rsidR="00A84926" w:rsidRPr="00033A3F" w:rsidRDefault="000D31C1" w:rsidP="00F82701">
      <w:pPr>
        <w:rPr>
          <w:color w:val="000000" w:themeColor="text1"/>
        </w:rPr>
      </w:pPr>
      <w:r w:rsidRPr="00033A3F">
        <w:rPr>
          <w:noProof/>
          <w:color w:val="000000" w:themeColor="text1"/>
          <w:lang w:eastAsia="cs-CZ"/>
        </w:rPr>
        <w:drawing>
          <wp:anchor distT="0" distB="0" distL="114300" distR="114300" simplePos="0" relativeHeight="251696128" behindDoc="0" locked="0" layoutInCell="1" allowOverlap="1" wp14:anchorId="134A2598" wp14:editId="17C55C6F">
            <wp:simplePos x="0" y="0"/>
            <wp:positionH relativeFrom="margin">
              <wp:align>right</wp:align>
            </wp:positionH>
            <wp:positionV relativeFrom="paragraph">
              <wp:posOffset>50800</wp:posOffset>
            </wp:positionV>
            <wp:extent cx="1249680" cy="909282"/>
            <wp:effectExtent l="0" t="0" r="7620" b="5715"/>
            <wp:wrapNone/>
            <wp:docPr id="679215278"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49680" cy="9092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51CA0688" wp14:editId="63217F82">
            <wp:extent cx="5760720" cy="3296920"/>
            <wp:effectExtent l="0" t="0" r="0" b="0"/>
            <wp:docPr id="1239650396"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5B13C35" w14:textId="77777777" w:rsidR="00046ECE" w:rsidRPr="00033A3F" w:rsidRDefault="00046ECE" w:rsidP="00F82701">
      <w:pPr>
        <w:rPr>
          <w:color w:val="000000" w:themeColor="text1"/>
        </w:rPr>
      </w:pPr>
    </w:p>
    <w:p w14:paraId="574747EA" w14:textId="73D2CE7B" w:rsidR="008B09FC" w:rsidRPr="00033A3F" w:rsidRDefault="00046ECE" w:rsidP="00046ECE">
      <w:pPr>
        <w:pStyle w:val="OdstavecASR"/>
        <w:rPr>
          <w:color w:val="000000" w:themeColor="text1"/>
        </w:rPr>
      </w:pPr>
      <w:r w:rsidRPr="00033A3F">
        <w:rPr>
          <w:color w:val="000000" w:themeColor="text1"/>
        </w:rPr>
        <w:t xml:space="preserve">Z okresních soudů mají nejnižší míru změny rozsudku OS Domažlice 3 (33,33 %), OS Litoměřice (35,71 %) a OS Svitavy (40 %). Na druhém konci se nacházejí OS Praha-východ (87,10 %), OS Jeseník (85,71 %) a OS Jihlava (84,61 %). Mezi soudy jsou tedy obrovské rozdíly. To plyne </w:t>
      </w:r>
      <w:r w:rsidRPr="00033A3F">
        <w:rPr>
          <w:color w:val="000000" w:themeColor="text1"/>
        </w:rPr>
        <w:lastRenderedPageBreak/>
        <w:t>z malého počtu pozorování – míra odvolání je nízká, tudíž i vzorek pro výpočet míry změny rozsudku je malý. Z toho pak plyne velká variabilita, která může vést k extrémním hodnotám.</w:t>
      </w:r>
    </w:p>
    <w:p w14:paraId="536ED623" w14:textId="2A93FB1B" w:rsidR="008B09FC" w:rsidRPr="00033A3F" w:rsidRDefault="008B09FC">
      <w:pPr>
        <w:spacing w:after="160" w:line="259" w:lineRule="auto"/>
        <w:jc w:val="left"/>
        <w:rPr>
          <w:color w:val="000000" w:themeColor="text1"/>
        </w:rPr>
      </w:pPr>
    </w:p>
    <w:p w14:paraId="5E19D8A6" w14:textId="77777777" w:rsidR="008B09FC" w:rsidRPr="00033A3F" w:rsidRDefault="008B09FC" w:rsidP="008B09FC">
      <w:pPr>
        <w:pStyle w:val="OdstavecASR"/>
        <w:keepNext/>
        <w:outlineLvl w:val="3"/>
        <w:rPr>
          <w:b/>
          <w:color w:val="000000" w:themeColor="text1"/>
        </w:rPr>
      </w:pPr>
      <w:r w:rsidRPr="00033A3F">
        <w:rPr>
          <w:b/>
          <w:color w:val="000000" w:themeColor="text1"/>
        </w:rPr>
        <w:t>Výše výživného a podíl na příjmu</w:t>
      </w:r>
    </w:p>
    <w:p w14:paraId="209953A4" w14:textId="1E1F7813" w:rsidR="008B09FC" w:rsidRPr="00033A3F" w:rsidRDefault="008B09FC" w:rsidP="008B09FC">
      <w:pPr>
        <w:pStyle w:val="OdstavecASR"/>
        <w:rPr>
          <w:color w:val="000000" w:themeColor="text1"/>
        </w:rPr>
      </w:pPr>
      <w:r w:rsidRPr="00033A3F">
        <w:rPr>
          <w:bCs/>
          <w:color w:val="000000" w:themeColor="text1"/>
        </w:rPr>
        <w:t>P</w:t>
      </w:r>
      <w:r w:rsidRPr="00033A3F">
        <w:rPr>
          <w:color w:val="000000" w:themeColor="text1"/>
        </w:rPr>
        <w:t>o údajích věnujících se opatrovnické agendě jako celku stojí za zmínku vybrané otázky, kterým je věnována značná pozornost justice i </w:t>
      </w:r>
      <w:r w:rsidR="008C579F" w:rsidRPr="00033A3F">
        <w:rPr>
          <w:color w:val="000000" w:themeColor="text1"/>
        </w:rPr>
        <w:t xml:space="preserve">široké </w:t>
      </w:r>
      <w:r w:rsidRPr="00033A3F">
        <w:rPr>
          <w:color w:val="000000" w:themeColor="text1"/>
        </w:rPr>
        <w:t>veřejnosti. Jako první lze představit data o rozhodování o výživném nezletilých dětí.</w:t>
      </w:r>
    </w:p>
    <w:p w14:paraId="352A6D4E" w14:textId="77777777" w:rsidR="008B09FC" w:rsidRPr="00033A3F" w:rsidRDefault="008B09FC" w:rsidP="008B09FC">
      <w:pPr>
        <w:pStyle w:val="OdstavecASR"/>
        <w:rPr>
          <w:color w:val="000000" w:themeColor="text1"/>
        </w:rPr>
      </w:pPr>
      <w:r w:rsidRPr="00033A3F">
        <w:rPr>
          <w:color w:val="000000" w:themeColor="text1"/>
        </w:rPr>
        <w:t>Zde uvedené statistiky se týkají prvního rozhodnutí o vyživovací povinnosti. Údaje (v Kč event. v % z příjmu) se vztahují k jednomu dítěti. Pokud je stanovena povinnost platit výživné oběma rodičům, v grafu je pracováno jen s vyšší částkou výživného a v případě stejné částky výživného s vyšším příjmem rodiče. Od roku 2017 jsou k dispozici obě částky a oba příjmy, pro zachování stejné metodiky jsou v tomto grafu ale i po roce 2017 započítány vyšší částky.</w:t>
      </w:r>
    </w:p>
    <w:p w14:paraId="37B0220D" w14:textId="740F3670" w:rsidR="008B09FC" w:rsidRPr="00033A3F" w:rsidRDefault="008B09FC" w:rsidP="008B09FC">
      <w:pPr>
        <w:pStyle w:val="Podnadpis"/>
        <w:numPr>
          <w:ilvl w:val="0"/>
          <w:numId w:val="0"/>
        </w:numPr>
        <w:rPr>
          <w:color w:val="000000" w:themeColor="text1"/>
        </w:rPr>
      </w:pPr>
      <w:bookmarkStart w:id="932" w:name="_Ref510766313"/>
      <w:bookmarkStart w:id="933" w:name="_Toc515871373"/>
      <w:bookmarkStart w:id="934" w:name="_Toc11135104"/>
      <w:bookmarkStart w:id="935" w:name="_Toc43841423"/>
      <w:bookmarkStart w:id="936" w:name="_Toc75952227"/>
      <w:bookmarkStart w:id="937" w:name="_Toc106106681"/>
      <w:bookmarkStart w:id="938" w:name="_Toc144104156"/>
      <w:bookmarkStart w:id="939" w:name="_Toc169250967"/>
      <w:bookmarkStart w:id="940" w:name="_Toc174080653"/>
      <w:bookmarkStart w:id="941" w:name="_Toc193530805"/>
      <w:bookmarkStart w:id="942" w:name="_Toc193634079"/>
      <w:bookmarkStart w:id="943" w:name="_Toc20303287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50</w:t>
      </w:r>
      <w:r w:rsidRPr="00033A3F">
        <w:rPr>
          <w:color w:val="000000" w:themeColor="text1"/>
        </w:rPr>
        <w:fldChar w:fldCharType="end"/>
      </w:r>
      <w:bookmarkEnd w:id="932"/>
      <w:r w:rsidRPr="00033A3F">
        <w:rPr>
          <w:color w:val="000000" w:themeColor="text1"/>
        </w:rPr>
        <w:t>: OS – průměrná výše výživného dle povinné osoby v letech 2015–20</w:t>
      </w:r>
      <w:bookmarkEnd w:id="933"/>
      <w:bookmarkEnd w:id="934"/>
      <w:bookmarkEnd w:id="935"/>
      <w:bookmarkEnd w:id="936"/>
      <w:r w:rsidRPr="00033A3F">
        <w:rPr>
          <w:color w:val="000000" w:themeColor="text1"/>
        </w:rPr>
        <w:t>2</w:t>
      </w:r>
      <w:bookmarkEnd w:id="937"/>
      <w:bookmarkEnd w:id="938"/>
      <w:bookmarkEnd w:id="939"/>
      <w:bookmarkEnd w:id="940"/>
      <w:r w:rsidRPr="00033A3F">
        <w:rPr>
          <w:color w:val="000000" w:themeColor="text1"/>
        </w:rPr>
        <w:t>4</w:t>
      </w:r>
      <w:bookmarkEnd w:id="941"/>
      <w:bookmarkEnd w:id="942"/>
      <w:bookmarkEnd w:id="943"/>
    </w:p>
    <w:p w14:paraId="63229599" w14:textId="79482F87" w:rsidR="00046ECE" w:rsidRPr="00033A3F" w:rsidRDefault="00B628EB" w:rsidP="00046ECE">
      <w:pPr>
        <w:pStyle w:val="OdstavecASR"/>
        <w:rPr>
          <w:color w:val="000000" w:themeColor="text1"/>
        </w:rPr>
      </w:pPr>
      <w:r w:rsidRPr="00033A3F">
        <w:rPr>
          <w:noProof/>
          <w:color w:val="000000" w:themeColor="text1"/>
          <w:lang w:eastAsia="cs-CZ"/>
        </w:rPr>
        <w:drawing>
          <wp:inline distT="0" distB="0" distL="0" distR="0" wp14:anchorId="14E44216" wp14:editId="26E4B0DC">
            <wp:extent cx="5029200" cy="3657600"/>
            <wp:effectExtent l="0" t="0" r="0" b="0"/>
            <wp:docPr id="432103253"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99565E4" w14:textId="448ED79B" w:rsidR="00B628EB" w:rsidRPr="00033A3F" w:rsidRDefault="00B628EB" w:rsidP="00B628EB">
      <w:pPr>
        <w:pStyle w:val="OdstavecASR"/>
        <w:rPr>
          <w:color w:val="000000" w:themeColor="text1"/>
        </w:rPr>
      </w:pPr>
      <w:r w:rsidRPr="00033A3F">
        <w:rPr>
          <w:color w:val="000000" w:themeColor="text1"/>
        </w:rPr>
        <w:t>V grafu výše pozorujeme, že průměrné výživné stanovené otci je asi dvakrát vyšší než průměrné výživné stanovované matce (od roku 2023 je rozdíl o něco nižší). Rozdíl je způsoben několika faktory:</w:t>
      </w:r>
    </w:p>
    <w:p w14:paraId="3372B059" w14:textId="77777777" w:rsidR="00B628EB" w:rsidRPr="00033A3F" w:rsidRDefault="00B628EB" w:rsidP="00B628EB">
      <w:pPr>
        <w:pStyle w:val="Odstavecseseznamem"/>
        <w:numPr>
          <w:ilvl w:val="0"/>
          <w:numId w:val="9"/>
        </w:numPr>
        <w:spacing w:before="60" w:after="120"/>
        <w:ind w:left="714" w:hanging="357"/>
        <w:rPr>
          <w:color w:val="000000" w:themeColor="text1"/>
        </w:rPr>
      </w:pPr>
      <w:r w:rsidRPr="00033A3F">
        <w:rPr>
          <w:color w:val="000000" w:themeColor="text1"/>
        </w:rPr>
        <w:t xml:space="preserve">Při určování výživného soud přihlíží k majetkovým poměrům povinného. Průměrná mzda žen v ČR je nižší než průměrná mzda mužů a logicky je tedy mužům stanovena povinnost platit vyšší výživné. To ovšem vysvětluje pouze část rozdílu, protože mzda mužů není ani zdaleka dvakrát vyšší než mzda žen a při růstu hrubých mezd žen dochází ke snižování podílu jim určeného výživného na jejich příjmu. Například ve 4. čtvrtletí 2022 byla podle Českého statistického úřadu mediánová hrubá měsíční mzda žen 34 554 Kč, u mužů 40 232 Kč. </w:t>
      </w:r>
      <w:r w:rsidR="00E37F8E" w:rsidRPr="00033A3F">
        <w:rPr>
          <w:color w:val="000000" w:themeColor="text1"/>
        </w:rPr>
        <w:t xml:space="preserve">Ve 4. čtvrtletí roku 2024 </w:t>
      </w:r>
      <w:r w:rsidR="007F74E7" w:rsidRPr="00033A3F">
        <w:rPr>
          <w:color w:val="000000" w:themeColor="text1"/>
        </w:rPr>
        <w:t>dosáhl medián hodnoty</w:t>
      </w:r>
      <w:r w:rsidR="00E37F8E" w:rsidRPr="00033A3F">
        <w:rPr>
          <w:color w:val="000000" w:themeColor="text1"/>
        </w:rPr>
        <w:t xml:space="preserve"> u žen 38 643 </w:t>
      </w:r>
      <w:r w:rsidR="007F74E7" w:rsidRPr="00033A3F">
        <w:rPr>
          <w:color w:val="000000" w:themeColor="text1"/>
        </w:rPr>
        <w:t xml:space="preserve">Kč </w:t>
      </w:r>
      <w:r w:rsidR="00E37F8E" w:rsidRPr="00033A3F">
        <w:rPr>
          <w:color w:val="000000" w:themeColor="text1"/>
        </w:rPr>
        <w:t xml:space="preserve">a u mužů </w:t>
      </w:r>
      <w:r w:rsidR="00E37F8E" w:rsidRPr="00033A3F">
        <w:rPr>
          <w:color w:val="000000" w:themeColor="text1"/>
        </w:rPr>
        <w:lastRenderedPageBreak/>
        <w:t>45 004 Kč (zaměstnanci)</w:t>
      </w:r>
      <w:r w:rsidR="00E37F8E" w:rsidRPr="00033A3F">
        <w:rPr>
          <w:rStyle w:val="Znakapoznpodarou"/>
          <w:color w:val="000000" w:themeColor="text1"/>
        </w:rPr>
        <w:footnoteReference w:id="11"/>
      </w:r>
      <w:r w:rsidR="00E37F8E" w:rsidRPr="00033A3F">
        <w:rPr>
          <w:color w:val="000000" w:themeColor="text1"/>
        </w:rPr>
        <w:t xml:space="preserve">. </w:t>
      </w:r>
      <w:r w:rsidRPr="00033A3F">
        <w:rPr>
          <w:color w:val="000000" w:themeColor="text1"/>
        </w:rPr>
        <w:t>Hrubé mzdy vykazované ČSÚ navíc nezahrnují přídavky na děti a jiné eventuální přiznané dávky.</w:t>
      </w:r>
    </w:p>
    <w:p w14:paraId="51E41BF9" w14:textId="77777777" w:rsidR="00B628EB" w:rsidRPr="00033A3F" w:rsidRDefault="00B628EB" w:rsidP="00B628EB">
      <w:pPr>
        <w:pStyle w:val="Odstavecseseznamem"/>
        <w:numPr>
          <w:ilvl w:val="0"/>
          <w:numId w:val="9"/>
        </w:numPr>
        <w:spacing w:before="60" w:after="120"/>
        <w:ind w:left="714" w:hanging="357"/>
        <w:rPr>
          <w:b/>
          <w:color w:val="000000" w:themeColor="text1"/>
          <w:spacing w:val="15"/>
        </w:rPr>
      </w:pPr>
      <w:r w:rsidRPr="00033A3F">
        <w:rPr>
          <w:color w:val="000000" w:themeColor="text1"/>
        </w:rPr>
        <w:t>V dalším grafu vidíme, že u matek je podíl výživného na čistém měsíčním příjmu nižší než u otců. To souvisí právě s výší příjmů. Snížení disponibilního příjmu má totiž větší dopad na osoby s nižší úrovní mzdy.</w:t>
      </w:r>
    </w:p>
    <w:p w14:paraId="371210E6" w14:textId="77777777" w:rsidR="00B628EB" w:rsidRPr="00033A3F" w:rsidRDefault="00B628EB" w:rsidP="00B628EB">
      <w:pPr>
        <w:pStyle w:val="Odstavecseseznamem"/>
        <w:numPr>
          <w:ilvl w:val="0"/>
          <w:numId w:val="9"/>
        </w:numPr>
        <w:spacing w:before="60" w:after="120"/>
        <w:ind w:left="714" w:hanging="357"/>
        <w:rPr>
          <w:b/>
          <w:color w:val="000000" w:themeColor="text1"/>
          <w:spacing w:val="15"/>
        </w:rPr>
      </w:pPr>
      <w:r w:rsidRPr="00033A3F">
        <w:rPr>
          <w:color w:val="000000" w:themeColor="text1"/>
        </w:rPr>
        <w:t>Rozdíl mezi příjmy otce a matky, kteří vedou spor o výživné, je větší než rozdíl mezi příjmy mužů a žen v celé populaci ČR. To je zřejmě dáno i tím, že matky mohou být ve sledované době častěji na rodičovské dovolené bez výdělečné činnosti, respektive i v navazujícím období mohou mít častěji nižší pracovní úvazky vzhledem k potřebě zajištění péče o dítě, což se negativně projevuje v jejich příjmech.</w:t>
      </w:r>
    </w:p>
    <w:p w14:paraId="4B1F218B" w14:textId="122129F7" w:rsidR="00B628EB" w:rsidRPr="00033A3F" w:rsidRDefault="00D84B33" w:rsidP="00B628EB">
      <w:pPr>
        <w:pStyle w:val="Odstavecseseznamem"/>
        <w:numPr>
          <w:ilvl w:val="0"/>
          <w:numId w:val="9"/>
        </w:numPr>
        <w:spacing w:before="60" w:after="120"/>
        <w:ind w:left="714" w:hanging="357"/>
        <w:rPr>
          <w:color w:val="000000" w:themeColor="text1"/>
        </w:rPr>
      </w:pPr>
      <w:r w:rsidRPr="00033A3F">
        <w:rPr>
          <w:color w:val="000000" w:themeColor="text1"/>
        </w:rPr>
        <w:t>Matky, jimž je určována povinnost platit výživné</w:t>
      </w:r>
      <w:r w:rsidR="00694AF7" w:rsidRPr="00033A3F">
        <w:rPr>
          <w:color w:val="000000" w:themeColor="text1"/>
        </w:rPr>
        <w:t>,</w:t>
      </w:r>
      <w:r w:rsidRPr="00033A3F">
        <w:rPr>
          <w:color w:val="000000" w:themeColor="text1"/>
        </w:rPr>
        <w:t xml:space="preserve"> </w:t>
      </w:r>
      <w:r w:rsidR="00B628EB" w:rsidRPr="00033A3F">
        <w:rPr>
          <w:color w:val="000000" w:themeColor="text1"/>
        </w:rPr>
        <w:t xml:space="preserve">mají v průměru více vyživovacích povinností než </w:t>
      </w:r>
      <w:r w:rsidRPr="00033A3F">
        <w:rPr>
          <w:color w:val="000000" w:themeColor="text1"/>
        </w:rPr>
        <w:t>otcové.</w:t>
      </w:r>
      <w:r w:rsidR="00B628EB" w:rsidRPr="00033A3F">
        <w:rPr>
          <w:color w:val="000000" w:themeColor="text1"/>
        </w:rPr>
        <w:t xml:space="preserve"> Soud počet vyživovacích povinností při rozhodování rovněž zohledňuje – povinnému s více vyživovacími povinnostmi soud stanoví v průměru nižší výživné.</w:t>
      </w:r>
    </w:p>
    <w:p w14:paraId="64EE098B" w14:textId="77777777" w:rsidR="00B628EB" w:rsidRPr="00033A3F" w:rsidRDefault="00B628EB" w:rsidP="00B628EB">
      <w:pPr>
        <w:pStyle w:val="OdstavecASR"/>
        <w:rPr>
          <w:color w:val="000000" w:themeColor="text1"/>
        </w:rPr>
      </w:pPr>
      <w:r w:rsidRPr="00033A3F">
        <w:rPr>
          <w:color w:val="000000" w:themeColor="text1"/>
        </w:rPr>
        <w:t>Jako zvláštní</w:t>
      </w:r>
      <w:r w:rsidR="00194609" w:rsidRPr="00033A3F">
        <w:rPr>
          <w:color w:val="000000" w:themeColor="text1"/>
        </w:rPr>
        <w:t xml:space="preserve"> jev</w:t>
      </w:r>
      <w:r w:rsidRPr="00033A3F">
        <w:rPr>
          <w:color w:val="000000" w:themeColor="text1"/>
        </w:rPr>
        <w:t xml:space="preserve"> lze označit pokles výše výživného oběma rodičům v roce 2022 a částečně i v roce 2023 (oproti letům 2021 a dříve). Tento pokles jde zcela proti všem ostatním trendům (jak u obou rodičů, tak i pouze u matek či pouze u otců). V roce 2023 došlo i u této kategorie k nárůstu, ale průměrná částka se nevrátila k hodnotám z let 2020 a 2021) a v justičních statistických datech jsme pro něj zatím nenalezli vysvětlení.</w:t>
      </w:r>
    </w:p>
    <w:p w14:paraId="1AF11428" w14:textId="002366E3" w:rsidR="00B628EB" w:rsidRPr="00033A3F" w:rsidRDefault="00B628EB" w:rsidP="00B628EB">
      <w:pPr>
        <w:pStyle w:val="Podnadpis"/>
        <w:numPr>
          <w:ilvl w:val="0"/>
          <w:numId w:val="0"/>
        </w:numPr>
        <w:rPr>
          <w:color w:val="000000" w:themeColor="text1"/>
        </w:rPr>
      </w:pPr>
      <w:bookmarkStart w:id="944" w:name="_Toc109802005"/>
      <w:bookmarkStart w:id="945" w:name="_Toc144104157"/>
      <w:bookmarkStart w:id="946" w:name="_Toc169250968"/>
      <w:bookmarkStart w:id="947" w:name="_Toc174080654"/>
      <w:bookmarkStart w:id="948" w:name="_Toc193530806"/>
      <w:bookmarkStart w:id="949" w:name="_Toc193634080"/>
      <w:bookmarkStart w:id="950" w:name="_Toc20303287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51</w:t>
      </w:r>
      <w:r w:rsidRPr="00033A3F">
        <w:rPr>
          <w:color w:val="000000" w:themeColor="text1"/>
        </w:rPr>
        <w:fldChar w:fldCharType="end"/>
      </w:r>
      <w:r w:rsidRPr="00033A3F">
        <w:rPr>
          <w:color w:val="000000" w:themeColor="text1"/>
        </w:rPr>
        <w:t xml:space="preserve">: OS – podíl na </w:t>
      </w:r>
      <w:r w:rsidR="00BE5788" w:rsidRPr="00033A3F">
        <w:rPr>
          <w:color w:val="000000" w:themeColor="text1"/>
        </w:rPr>
        <w:t xml:space="preserve">čistém </w:t>
      </w:r>
      <w:r w:rsidRPr="00033A3F">
        <w:rPr>
          <w:color w:val="000000" w:themeColor="text1"/>
        </w:rPr>
        <w:t>příjmu povinné osoby v letech 2014–</w:t>
      </w:r>
      <w:bookmarkEnd w:id="944"/>
      <w:bookmarkEnd w:id="945"/>
      <w:bookmarkEnd w:id="946"/>
      <w:bookmarkEnd w:id="947"/>
      <w:r w:rsidR="00936B01" w:rsidRPr="00033A3F">
        <w:rPr>
          <w:color w:val="000000" w:themeColor="text1"/>
        </w:rPr>
        <w:t>2024</w:t>
      </w:r>
      <w:bookmarkEnd w:id="948"/>
      <w:bookmarkEnd w:id="949"/>
      <w:bookmarkEnd w:id="950"/>
    </w:p>
    <w:p w14:paraId="6716AF1F" w14:textId="23DFB181" w:rsidR="00046ECE" w:rsidRPr="00033A3F" w:rsidRDefault="00B628EB" w:rsidP="00F82701">
      <w:pPr>
        <w:rPr>
          <w:color w:val="000000" w:themeColor="text1"/>
          <w:lang w:val="en-GB"/>
        </w:rPr>
      </w:pPr>
      <w:r w:rsidRPr="00033A3F">
        <w:rPr>
          <w:noProof/>
          <w:color w:val="000000" w:themeColor="text1"/>
          <w:lang w:eastAsia="cs-CZ"/>
        </w:rPr>
        <w:drawing>
          <wp:inline distT="0" distB="0" distL="0" distR="0" wp14:anchorId="5089A969" wp14:editId="48D407DD">
            <wp:extent cx="5029200" cy="3657600"/>
            <wp:effectExtent l="0" t="0" r="0" b="0"/>
            <wp:docPr id="1727422341"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A31D46C" w14:textId="408B50F6" w:rsidR="00B628EB" w:rsidRPr="00033A3F" w:rsidRDefault="00B628EB" w:rsidP="00B628EB">
      <w:pPr>
        <w:pStyle w:val="OdstavecASR"/>
        <w:rPr>
          <w:color w:val="000000" w:themeColor="text1"/>
        </w:rPr>
      </w:pPr>
      <w:r w:rsidRPr="00033A3F">
        <w:rPr>
          <w:color w:val="000000" w:themeColor="text1"/>
        </w:rPr>
        <w:t xml:space="preserve">V grafech pozorujeme, že průměrná stanovená částka výživného na jedno dítě roste (graf </w:t>
      </w:r>
      <w:r w:rsidR="00BE5788" w:rsidRPr="00033A3F">
        <w:rPr>
          <w:color w:val="000000" w:themeColor="text1"/>
        </w:rPr>
        <w:t>50</w:t>
      </w:r>
      <w:r w:rsidRPr="00033A3F">
        <w:rPr>
          <w:color w:val="000000" w:themeColor="text1"/>
        </w:rPr>
        <w:t xml:space="preserve">), podíl stanoveného výživného na čistém měsíčním příjmu povinné osoby nicméně spíše klesá (otcové, </w:t>
      </w:r>
      <w:r w:rsidRPr="00033A3F">
        <w:rPr>
          <w:color w:val="000000" w:themeColor="text1"/>
        </w:rPr>
        <w:lastRenderedPageBreak/>
        <w:t>oba rodiče) nebo zůstává stejný (matky)</w:t>
      </w:r>
      <w:r w:rsidRPr="00033A3F">
        <w:rPr>
          <w:rStyle w:val="Znakapoznpodarou"/>
          <w:color w:val="000000" w:themeColor="text1"/>
        </w:rPr>
        <w:footnoteReference w:id="12"/>
      </w:r>
      <w:r w:rsidRPr="00033A3F">
        <w:rPr>
          <w:color w:val="000000" w:themeColor="text1"/>
        </w:rPr>
        <w:t>. To lze vysvětlit zlepšující se ekonomickou situací v ČR a zvyšováním příjmů nejen povinných osob. Zdá se, že pokles reálných příjmů v roce 2023 výše zmíněný trend u otců neovlivnil, ale možná mohl mít vliv u matek. Například u povinnosti stanovené otci vzrostla částka z 2 7</w:t>
      </w:r>
      <w:r w:rsidR="00545A37" w:rsidRPr="00033A3F">
        <w:rPr>
          <w:color w:val="000000" w:themeColor="text1"/>
        </w:rPr>
        <w:t>61</w:t>
      </w:r>
      <w:r w:rsidRPr="00033A3F">
        <w:rPr>
          <w:color w:val="000000" w:themeColor="text1"/>
        </w:rPr>
        <w:t xml:space="preserve"> Kč v roce 2014 na</w:t>
      </w:r>
      <w:r w:rsidR="00E92BD1" w:rsidRPr="00033A3F">
        <w:rPr>
          <w:color w:val="000000" w:themeColor="text1"/>
        </w:rPr>
        <w:t xml:space="preserve"> 4 566</w:t>
      </w:r>
      <w:r w:rsidRPr="00033A3F">
        <w:rPr>
          <w:color w:val="000000" w:themeColor="text1"/>
        </w:rPr>
        <w:t xml:space="preserve"> Kč v roce </w:t>
      </w:r>
      <w:r w:rsidR="00E92BD1" w:rsidRPr="00033A3F">
        <w:rPr>
          <w:color w:val="000000" w:themeColor="text1"/>
        </w:rPr>
        <w:t>2024</w:t>
      </w:r>
      <w:r w:rsidRPr="00033A3F">
        <w:rPr>
          <w:color w:val="000000" w:themeColor="text1"/>
        </w:rPr>
        <w:t>, tedy o </w:t>
      </w:r>
      <w:r w:rsidR="00545A37" w:rsidRPr="00033A3F">
        <w:rPr>
          <w:color w:val="000000" w:themeColor="text1"/>
        </w:rPr>
        <w:t xml:space="preserve">1805 </w:t>
      </w:r>
      <w:r w:rsidRPr="00033A3F">
        <w:rPr>
          <w:color w:val="000000" w:themeColor="text1"/>
        </w:rPr>
        <w:t>korun (o </w:t>
      </w:r>
      <w:r w:rsidR="00545A37" w:rsidRPr="00033A3F">
        <w:rPr>
          <w:color w:val="000000" w:themeColor="text1"/>
        </w:rPr>
        <w:t>65</w:t>
      </w:r>
      <w:r w:rsidR="00E92BD1" w:rsidRPr="00033A3F">
        <w:rPr>
          <w:color w:val="000000" w:themeColor="text1"/>
        </w:rPr>
        <w:t> </w:t>
      </w:r>
      <w:r w:rsidRPr="00033A3F">
        <w:rPr>
          <w:color w:val="000000" w:themeColor="text1"/>
        </w:rPr>
        <w:t>%).</w:t>
      </w:r>
      <w:r w:rsidR="00E92BD1" w:rsidRPr="00033A3F">
        <w:rPr>
          <w:color w:val="000000" w:themeColor="text1"/>
        </w:rPr>
        <w:t xml:space="preserve"> U matky se</w:t>
      </w:r>
      <w:r w:rsidR="00545A37" w:rsidRPr="00033A3F">
        <w:rPr>
          <w:color w:val="000000" w:themeColor="text1"/>
        </w:rPr>
        <w:t xml:space="preserve"> také</w:t>
      </w:r>
      <w:r w:rsidR="00E92BD1" w:rsidRPr="00033A3F">
        <w:rPr>
          <w:color w:val="000000" w:themeColor="text1"/>
        </w:rPr>
        <w:t xml:space="preserve"> jedná o </w:t>
      </w:r>
      <w:r w:rsidR="00545A37" w:rsidRPr="00033A3F">
        <w:rPr>
          <w:color w:val="000000" w:themeColor="text1"/>
        </w:rPr>
        <w:t>65</w:t>
      </w:r>
      <w:r w:rsidR="00E92BD1" w:rsidRPr="00033A3F">
        <w:rPr>
          <w:color w:val="000000" w:themeColor="text1"/>
        </w:rPr>
        <w:t>% nárůst (201</w:t>
      </w:r>
      <w:r w:rsidR="00545A37" w:rsidRPr="00033A3F">
        <w:rPr>
          <w:color w:val="000000" w:themeColor="text1"/>
        </w:rPr>
        <w:t>5</w:t>
      </w:r>
      <w:r w:rsidR="00E92BD1" w:rsidRPr="00033A3F">
        <w:rPr>
          <w:color w:val="000000" w:themeColor="text1"/>
        </w:rPr>
        <w:t xml:space="preserve"> =</w:t>
      </w:r>
      <w:r w:rsidR="00545A37" w:rsidRPr="00033A3F">
        <w:rPr>
          <w:color w:val="000000" w:themeColor="text1"/>
        </w:rPr>
        <w:t xml:space="preserve"> 1470 </w:t>
      </w:r>
      <w:r w:rsidR="00E92BD1" w:rsidRPr="00033A3F">
        <w:rPr>
          <w:color w:val="000000" w:themeColor="text1"/>
        </w:rPr>
        <w:t>Kč vs. 2024 = 2 420 Kč).</w:t>
      </w:r>
    </w:p>
    <w:p w14:paraId="1EA69B30" w14:textId="73535EBE" w:rsidR="00B628EB" w:rsidRPr="00033A3F" w:rsidRDefault="00B628EB" w:rsidP="00B628EB">
      <w:pPr>
        <w:pStyle w:val="OdstavecASR"/>
        <w:rPr>
          <w:color w:val="000000" w:themeColor="text1"/>
        </w:rPr>
      </w:pPr>
      <w:r w:rsidRPr="00033A3F">
        <w:rPr>
          <w:color w:val="000000" w:themeColor="text1"/>
        </w:rPr>
        <w:t xml:space="preserve">Plošný graf (viz seznam pojmů) </w:t>
      </w:r>
      <w:r w:rsidR="005D17B4" w:rsidRPr="00033A3F">
        <w:rPr>
          <w:color w:val="000000" w:themeColor="text1"/>
        </w:rPr>
        <w:t xml:space="preserve">níže </w:t>
      </w:r>
      <w:r w:rsidRPr="00033A3F">
        <w:rPr>
          <w:color w:val="000000" w:themeColor="text1"/>
        </w:rPr>
        <w:t>zachycuje statistiku, která úzce souvisí s rozhodováním o výživném, totiž to, jak často je dítě svěřeno do péče matce, otci, jiné fyzické osobě či oběma rodičům do společné nebo střídavé péče. V asi 6</w:t>
      </w:r>
      <w:r w:rsidR="003E2A1B" w:rsidRPr="00033A3F">
        <w:rPr>
          <w:color w:val="000000" w:themeColor="text1"/>
        </w:rPr>
        <w:t>4,5</w:t>
      </w:r>
      <w:r w:rsidRPr="00033A3F">
        <w:rPr>
          <w:color w:val="000000" w:themeColor="text1"/>
        </w:rPr>
        <w:t> % případů svěřil soud dítě do péče matce. Vidíme, že podíl tohoto tradičního modelu nicméně postupně pozvolna klesá ve prospěch alternativních řešení. (Zároveň nedisponujeme statistikami o tom, jak často se jedná v rámci výhradní péče jednoho rodiče o tzv. rozšířený styk s</w:t>
      </w:r>
      <w:r w:rsidR="003E2A1B" w:rsidRPr="00033A3F">
        <w:rPr>
          <w:color w:val="000000" w:themeColor="text1"/>
        </w:rPr>
        <w:t> </w:t>
      </w:r>
      <w:r w:rsidRPr="00033A3F">
        <w:rPr>
          <w:color w:val="000000" w:themeColor="text1"/>
        </w:rPr>
        <w:t>dítěte</w:t>
      </w:r>
      <w:r w:rsidR="00694AF7" w:rsidRPr="00033A3F">
        <w:rPr>
          <w:color w:val="000000" w:themeColor="text1"/>
        </w:rPr>
        <w:t>m</w:t>
      </w:r>
      <w:r w:rsidR="003E2A1B" w:rsidRPr="00033A3F">
        <w:rPr>
          <w:color w:val="000000" w:themeColor="text1"/>
        </w:rPr>
        <w:t>, který se v praxi může střídavé péči velmi výrazně přibližovat</w:t>
      </w:r>
      <w:r w:rsidRPr="00033A3F">
        <w:rPr>
          <w:color w:val="000000" w:themeColor="text1"/>
        </w:rPr>
        <w:t>)</w:t>
      </w:r>
      <w:r w:rsidR="00694AF7" w:rsidRPr="00033A3F">
        <w:rPr>
          <w:color w:val="000000" w:themeColor="text1"/>
        </w:rPr>
        <w:t>.</w:t>
      </w:r>
      <w:r w:rsidRPr="00033A3F">
        <w:rPr>
          <w:color w:val="000000" w:themeColor="text1"/>
        </w:rPr>
        <w:t xml:space="preserve"> K tomuto trendu přispívá zřejmě nejen judikatura českého Ústavního soudu, ale i celospolečenské klima, odborné diskuse o rozhodování o dětech na mezinárodní úrovni a další faktory.</w:t>
      </w:r>
    </w:p>
    <w:p w14:paraId="25BC8062" w14:textId="5FDEE0FD" w:rsidR="00B628EB" w:rsidRPr="00033A3F" w:rsidRDefault="00B628EB" w:rsidP="00B628EB">
      <w:pPr>
        <w:pStyle w:val="OdstavecASR"/>
        <w:rPr>
          <w:color w:val="000000" w:themeColor="text1"/>
        </w:rPr>
      </w:pPr>
      <w:r w:rsidRPr="00033A3F">
        <w:rPr>
          <w:color w:val="000000" w:themeColor="text1"/>
        </w:rPr>
        <w:t>V řeči konkrétních čísel podíl případů, kdy soud svěřil dítě do péče matce, klesl z 86,6 % v roce 2012 na 6</w:t>
      </w:r>
      <w:r w:rsidR="00E4120C" w:rsidRPr="00033A3F">
        <w:rPr>
          <w:color w:val="000000" w:themeColor="text1"/>
        </w:rPr>
        <w:t>4</w:t>
      </w:r>
      <w:r w:rsidRPr="00033A3F">
        <w:rPr>
          <w:color w:val="000000" w:themeColor="text1"/>
        </w:rPr>
        <w:t>,</w:t>
      </w:r>
      <w:r w:rsidR="00E4120C" w:rsidRPr="00033A3F">
        <w:rPr>
          <w:color w:val="000000" w:themeColor="text1"/>
        </w:rPr>
        <w:t>5</w:t>
      </w:r>
      <w:r w:rsidRPr="00033A3F">
        <w:rPr>
          <w:color w:val="000000" w:themeColor="text1"/>
        </w:rPr>
        <w:t xml:space="preserve"> % v roce </w:t>
      </w:r>
      <w:r w:rsidR="009459B1" w:rsidRPr="00033A3F">
        <w:rPr>
          <w:color w:val="000000" w:themeColor="text1"/>
        </w:rPr>
        <w:t>2024</w:t>
      </w:r>
      <w:r w:rsidR="005D17B4" w:rsidRPr="00033A3F">
        <w:rPr>
          <w:color w:val="000000" w:themeColor="text1"/>
        </w:rPr>
        <w:t xml:space="preserve"> a to ve prospěch alternativních druhů péče</w:t>
      </w:r>
      <w:r w:rsidR="003E2A1B" w:rsidRPr="00033A3F">
        <w:rPr>
          <w:color w:val="000000" w:themeColor="text1"/>
        </w:rPr>
        <w:t>.</w:t>
      </w:r>
      <w:r w:rsidRPr="00033A3F">
        <w:rPr>
          <w:color w:val="000000" w:themeColor="text1"/>
        </w:rPr>
        <w:t xml:space="preserve"> Podíl případů, kdy bylo dítě do péče svěřeno oběma rodičům, se výrazně zvýšil z 5,2 % v roce 2012 na 2</w:t>
      </w:r>
      <w:r w:rsidR="00E4120C" w:rsidRPr="00033A3F">
        <w:rPr>
          <w:color w:val="000000" w:themeColor="text1"/>
        </w:rPr>
        <w:t>7</w:t>
      </w:r>
      <w:r w:rsidRPr="00033A3F">
        <w:rPr>
          <w:color w:val="000000" w:themeColor="text1"/>
        </w:rPr>
        <w:t>,</w:t>
      </w:r>
      <w:r w:rsidR="00E4120C" w:rsidRPr="00033A3F">
        <w:rPr>
          <w:color w:val="000000" w:themeColor="text1"/>
        </w:rPr>
        <w:t>4</w:t>
      </w:r>
      <w:r w:rsidRPr="00033A3F">
        <w:rPr>
          <w:color w:val="000000" w:themeColor="text1"/>
        </w:rPr>
        <w:t> % v roce 202</w:t>
      </w:r>
      <w:r w:rsidR="00E4120C" w:rsidRPr="00033A3F">
        <w:rPr>
          <w:color w:val="000000" w:themeColor="text1"/>
        </w:rPr>
        <w:t>4</w:t>
      </w:r>
      <w:r w:rsidRPr="00033A3F">
        <w:rPr>
          <w:color w:val="000000" w:themeColor="text1"/>
        </w:rPr>
        <w:t>, tedy na více než </w:t>
      </w:r>
      <w:r w:rsidR="00E4120C" w:rsidRPr="00033A3F">
        <w:rPr>
          <w:color w:val="000000" w:themeColor="text1"/>
        </w:rPr>
        <w:t>pětinásobek</w:t>
      </w:r>
      <w:r w:rsidRPr="00033A3F">
        <w:rPr>
          <w:color w:val="000000" w:themeColor="text1"/>
        </w:rPr>
        <w:t>.</w:t>
      </w:r>
    </w:p>
    <w:p w14:paraId="4B95F6EF" w14:textId="241583E8" w:rsidR="00B628EB" w:rsidRPr="00033A3F" w:rsidRDefault="00B628EB" w:rsidP="00B628EB">
      <w:pPr>
        <w:pStyle w:val="OdstavecASR"/>
        <w:rPr>
          <w:color w:val="000000" w:themeColor="text1"/>
        </w:rPr>
      </w:pPr>
      <w:r w:rsidRPr="00033A3F">
        <w:rPr>
          <w:color w:val="000000" w:themeColor="text1"/>
        </w:rPr>
        <w:t xml:space="preserve">U svěření dítěte do péče obou rodičů </w:t>
      </w:r>
      <w:r w:rsidR="009F0144" w:rsidRPr="00033A3F">
        <w:rPr>
          <w:color w:val="000000" w:themeColor="text1"/>
        </w:rPr>
        <w:t>můžeme dále rozlišit</w:t>
      </w:r>
      <w:r w:rsidRPr="00033A3F">
        <w:rPr>
          <w:color w:val="000000" w:themeColor="text1"/>
        </w:rPr>
        <w:t xml:space="preserve">, jestli se jednalo o péči střídavou nebo o péči společnou. Data ukazují, že svěření do střídavé péče je častější a že frekvence využití </w:t>
      </w:r>
      <w:r w:rsidR="00E4120C" w:rsidRPr="00033A3F">
        <w:rPr>
          <w:color w:val="000000" w:themeColor="text1"/>
        </w:rPr>
        <w:t xml:space="preserve">obou </w:t>
      </w:r>
      <w:r w:rsidRPr="00033A3F">
        <w:rPr>
          <w:color w:val="000000" w:themeColor="text1"/>
        </w:rPr>
        <w:t>model</w:t>
      </w:r>
      <w:r w:rsidR="00E4120C" w:rsidRPr="00033A3F">
        <w:rPr>
          <w:color w:val="000000" w:themeColor="text1"/>
        </w:rPr>
        <w:t>ů</w:t>
      </w:r>
      <w:r w:rsidRPr="00033A3F">
        <w:rPr>
          <w:color w:val="000000" w:themeColor="text1"/>
        </w:rPr>
        <w:t xml:space="preserve"> roste.</w:t>
      </w:r>
      <w:r w:rsidR="00E4120C" w:rsidRPr="00033A3F">
        <w:rPr>
          <w:color w:val="000000" w:themeColor="text1"/>
        </w:rPr>
        <w:t xml:space="preserve"> Zde je třeba poznamenat, že</w:t>
      </w:r>
      <w:r w:rsidR="003E2A1B" w:rsidRPr="00033A3F">
        <w:rPr>
          <w:color w:val="000000" w:themeColor="text1"/>
        </w:rPr>
        <w:t xml:space="preserve"> může dojít k</w:t>
      </w:r>
      <w:r w:rsidR="00E4120C" w:rsidRPr="00033A3F">
        <w:rPr>
          <w:color w:val="000000" w:themeColor="text1"/>
        </w:rPr>
        <w:t xml:space="preserve"> legislativní úprav</w:t>
      </w:r>
      <w:r w:rsidR="003E2A1B" w:rsidRPr="00033A3F">
        <w:rPr>
          <w:color w:val="000000" w:themeColor="text1"/>
        </w:rPr>
        <w:t>ě</w:t>
      </w:r>
      <w:r w:rsidR="00E4120C" w:rsidRPr="00033A3F">
        <w:rPr>
          <w:color w:val="000000" w:themeColor="text1"/>
        </w:rPr>
        <w:t xml:space="preserve"> svěřování do péče</w:t>
      </w:r>
      <w:r w:rsidR="00906669">
        <w:rPr>
          <w:color w:val="000000" w:themeColor="text1"/>
        </w:rPr>
        <w:t xml:space="preserve"> v důsledku </w:t>
      </w:r>
      <w:r w:rsidR="00906669" w:rsidRPr="00906669">
        <w:rPr>
          <w:color w:val="000000" w:themeColor="text1"/>
        </w:rPr>
        <w:t>rozvodové novely, která je</w:t>
      </w:r>
      <w:r w:rsidR="00906669">
        <w:rPr>
          <w:color w:val="000000" w:themeColor="text1"/>
        </w:rPr>
        <w:t xml:space="preserve"> </w:t>
      </w:r>
      <w:r w:rsidR="00906669" w:rsidRPr="00906669">
        <w:rPr>
          <w:color w:val="000000" w:themeColor="text1"/>
        </w:rPr>
        <w:t xml:space="preserve">projednávána jako senátní tisk č. 145 </w:t>
      </w:r>
      <w:r w:rsidR="00906669">
        <w:rPr>
          <w:color w:val="000000" w:themeColor="text1"/>
        </w:rPr>
        <w:t xml:space="preserve">a </w:t>
      </w:r>
      <w:r w:rsidR="00906669" w:rsidRPr="00906669">
        <w:rPr>
          <w:color w:val="000000" w:themeColor="text1"/>
        </w:rPr>
        <w:t xml:space="preserve">v případě schválení </w:t>
      </w:r>
      <w:r w:rsidR="00906669">
        <w:rPr>
          <w:color w:val="000000" w:themeColor="text1"/>
        </w:rPr>
        <w:t>by</w:t>
      </w:r>
      <w:r w:rsidR="00906669" w:rsidRPr="00906669">
        <w:rPr>
          <w:color w:val="000000" w:themeColor="text1"/>
        </w:rPr>
        <w:t xml:space="preserve"> měla nabýt účinnosti 1. ledna 2026.</w:t>
      </w:r>
      <w:r w:rsidR="00E4120C" w:rsidRPr="00033A3F">
        <w:rPr>
          <w:color w:val="000000" w:themeColor="text1"/>
        </w:rPr>
        <w:t xml:space="preserve"> </w:t>
      </w:r>
      <w:r w:rsidR="00906669">
        <w:rPr>
          <w:color w:val="000000" w:themeColor="text1"/>
        </w:rPr>
        <w:t>Toto</w:t>
      </w:r>
      <w:r w:rsidR="00E42C40">
        <w:rPr>
          <w:color w:val="000000" w:themeColor="text1"/>
        </w:rPr>
        <w:t xml:space="preserve"> by se promítlo i ve statistikách.</w:t>
      </w:r>
    </w:p>
    <w:p w14:paraId="532F05AA" w14:textId="63C6B84A" w:rsidR="00B628EB" w:rsidRPr="00033A3F" w:rsidRDefault="00B628EB" w:rsidP="00B628EB">
      <w:pPr>
        <w:pStyle w:val="Podnadpis"/>
        <w:rPr>
          <w:color w:val="000000" w:themeColor="text1"/>
        </w:rPr>
      </w:pPr>
      <w:bookmarkStart w:id="951" w:name="_Toc515871374"/>
      <w:bookmarkStart w:id="952" w:name="_Toc11135105"/>
      <w:bookmarkStart w:id="953" w:name="_Toc43841424"/>
      <w:bookmarkStart w:id="954" w:name="_Toc75952228"/>
      <w:bookmarkStart w:id="955" w:name="_Toc106106682"/>
      <w:bookmarkStart w:id="956" w:name="_Toc109802006"/>
      <w:bookmarkStart w:id="957" w:name="_Toc144104158"/>
      <w:bookmarkStart w:id="958" w:name="_Toc169250969"/>
      <w:bookmarkStart w:id="959" w:name="_Toc174080655"/>
      <w:bookmarkStart w:id="960" w:name="_Toc193530807"/>
      <w:bookmarkStart w:id="961" w:name="_Toc193634081"/>
      <w:bookmarkStart w:id="962" w:name="_Toc203032879"/>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52</w:t>
      </w:r>
      <w:r w:rsidRPr="00033A3F">
        <w:rPr>
          <w:color w:val="000000" w:themeColor="text1"/>
        </w:rPr>
        <w:fldChar w:fldCharType="end"/>
      </w:r>
      <w:r w:rsidRPr="00033A3F">
        <w:rPr>
          <w:color w:val="000000" w:themeColor="text1"/>
        </w:rPr>
        <w:t>: OS – svěřování dítěte do péče</w:t>
      </w:r>
      <w:bookmarkEnd w:id="951"/>
      <w:bookmarkEnd w:id="952"/>
      <w:bookmarkEnd w:id="953"/>
      <w:bookmarkEnd w:id="954"/>
      <w:bookmarkEnd w:id="955"/>
      <w:bookmarkEnd w:id="956"/>
      <w:bookmarkEnd w:id="957"/>
      <w:bookmarkEnd w:id="958"/>
      <w:bookmarkEnd w:id="959"/>
      <w:bookmarkEnd w:id="960"/>
      <w:bookmarkEnd w:id="961"/>
      <w:bookmarkEnd w:id="962"/>
    </w:p>
    <w:p w14:paraId="1F9A4F82" w14:textId="1D92938C" w:rsidR="00B628EB" w:rsidRPr="00033A3F" w:rsidRDefault="00E4120C" w:rsidP="00F82701">
      <w:pPr>
        <w:rPr>
          <w:color w:val="000000" w:themeColor="text1"/>
          <w:lang w:val="en-GB"/>
        </w:rPr>
      </w:pPr>
      <w:r w:rsidRPr="00033A3F">
        <w:rPr>
          <w:noProof/>
          <w:color w:val="000000" w:themeColor="text1"/>
          <w:lang w:eastAsia="cs-CZ"/>
        </w:rPr>
        <w:drawing>
          <wp:inline distT="0" distB="0" distL="0" distR="0" wp14:anchorId="4D4FF19B" wp14:editId="69A1E8E5">
            <wp:extent cx="5029200" cy="3657600"/>
            <wp:effectExtent l="0" t="0" r="0" b="0"/>
            <wp:docPr id="330120591"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F64042D" w14:textId="77777777" w:rsidR="00E4120C" w:rsidRPr="00033A3F" w:rsidRDefault="00E4120C" w:rsidP="00F82701">
      <w:pPr>
        <w:rPr>
          <w:color w:val="000000" w:themeColor="text1"/>
          <w:lang w:val="en-GB"/>
        </w:rPr>
      </w:pPr>
    </w:p>
    <w:p w14:paraId="5153320C" w14:textId="1B331A5C" w:rsidR="00505747" w:rsidRPr="00033A3F" w:rsidRDefault="00505747" w:rsidP="004C0D35">
      <w:pPr>
        <w:pStyle w:val="OdstavecASR"/>
        <w:keepNext/>
        <w:outlineLvl w:val="3"/>
        <w:rPr>
          <w:b/>
          <w:bCs/>
          <w:color w:val="000000" w:themeColor="text1"/>
        </w:rPr>
      </w:pPr>
      <w:r w:rsidRPr="00033A3F">
        <w:rPr>
          <w:b/>
          <w:bCs/>
          <w:color w:val="000000" w:themeColor="text1"/>
        </w:rPr>
        <w:t>Přítomnost dítěte u soudního jednání</w:t>
      </w:r>
    </w:p>
    <w:p w14:paraId="063AC87E" w14:textId="1286ED41" w:rsidR="00505747" w:rsidRPr="00033A3F" w:rsidRDefault="00505747" w:rsidP="004C0D35">
      <w:pPr>
        <w:pStyle w:val="OdstavecASR"/>
        <w:rPr>
          <w:color w:val="000000" w:themeColor="text1"/>
        </w:rPr>
      </w:pPr>
      <w:r w:rsidRPr="00033A3F">
        <w:rPr>
          <w:color w:val="000000" w:themeColor="text1"/>
        </w:rPr>
        <w:t>Nově Ministerstvo spravedlnosti sleduje, zda bylo u soudního jednání přítomno dítě a zda bylo vyslechnuto. V tabulce níže je uvedeno, v jakém podílu řízení o prvním svěření do péče bylo dítě přítomno a vyslechnuto při soudním jednání. Data například ukazují následující:</w:t>
      </w:r>
    </w:p>
    <w:p w14:paraId="1C354876" w14:textId="5D488212" w:rsidR="00505747" w:rsidRPr="00033A3F" w:rsidRDefault="00505747" w:rsidP="004C0D35">
      <w:pPr>
        <w:pStyle w:val="Odstavecseseznamem"/>
        <w:numPr>
          <w:ilvl w:val="0"/>
          <w:numId w:val="29"/>
        </w:numPr>
        <w:spacing w:after="160" w:line="360" w:lineRule="auto"/>
        <w:ind w:left="851"/>
        <w:jc w:val="left"/>
        <w:rPr>
          <w:color w:val="000000" w:themeColor="text1"/>
        </w:rPr>
      </w:pPr>
      <w:r w:rsidRPr="00033A3F">
        <w:rPr>
          <w:color w:val="000000" w:themeColor="text1"/>
        </w:rPr>
        <w:t>Dítě často u jednání není (asi v 92 % věcí)</w:t>
      </w:r>
      <w:r w:rsidR="00EC39B9" w:rsidRPr="00033A3F">
        <w:rPr>
          <w:color w:val="000000" w:themeColor="text1"/>
        </w:rPr>
        <w:t>.</w:t>
      </w:r>
    </w:p>
    <w:p w14:paraId="35602220" w14:textId="365D93BD" w:rsidR="00505747" w:rsidRPr="00033A3F" w:rsidRDefault="00505747" w:rsidP="004C0D35">
      <w:pPr>
        <w:pStyle w:val="Odstavecseseznamem"/>
        <w:numPr>
          <w:ilvl w:val="0"/>
          <w:numId w:val="29"/>
        </w:numPr>
        <w:spacing w:after="160" w:line="360" w:lineRule="auto"/>
        <w:ind w:left="851"/>
        <w:jc w:val="left"/>
        <w:rPr>
          <w:color w:val="000000" w:themeColor="text1"/>
        </w:rPr>
      </w:pPr>
      <w:r w:rsidRPr="00033A3F">
        <w:rPr>
          <w:color w:val="000000" w:themeColor="text1"/>
        </w:rPr>
        <w:t>Pokud přítomno je, je většinou také vyslechnuto</w:t>
      </w:r>
      <w:r w:rsidR="00EC39B9" w:rsidRPr="00033A3F">
        <w:rPr>
          <w:color w:val="000000" w:themeColor="text1"/>
        </w:rPr>
        <w:t>.</w:t>
      </w:r>
    </w:p>
    <w:p w14:paraId="1B645A64" w14:textId="3EF98304" w:rsidR="00505747" w:rsidRPr="00033A3F" w:rsidRDefault="00505747" w:rsidP="004C0D35">
      <w:pPr>
        <w:pStyle w:val="Odstavecseseznamem"/>
        <w:numPr>
          <w:ilvl w:val="0"/>
          <w:numId w:val="29"/>
        </w:numPr>
        <w:spacing w:after="160" w:line="360" w:lineRule="auto"/>
        <w:ind w:left="851"/>
        <w:rPr>
          <w:color w:val="000000" w:themeColor="text1"/>
        </w:rPr>
      </w:pPr>
      <w:r w:rsidRPr="00033A3F">
        <w:rPr>
          <w:color w:val="000000" w:themeColor="text1"/>
        </w:rPr>
        <w:t>Logicky existují velké rozdíly mezi věkovými skupinami dítěte – u starších dětí je podíl výrazně vyšší</w:t>
      </w:r>
      <w:r w:rsidR="00EC39B9" w:rsidRPr="00033A3F">
        <w:rPr>
          <w:color w:val="000000" w:themeColor="text1"/>
        </w:rPr>
        <w:t>.</w:t>
      </w:r>
    </w:p>
    <w:p w14:paraId="61BF1697" w14:textId="2D6D479F" w:rsidR="00505747" w:rsidRPr="00033A3F" w:rsidRDefault="00505747" w:rsidP="00505747">
      <w:pPr>
        <w:pStyle w:val="Podnadpis"/>
        <w:rPr>
          <w:color w:val="000000" w:themeColor="text1"/>
        </w:rPr>
      </w:pPr>
      <w:bookmarkStart w:id="963" w:name="_Toc193530906"/>
      <w:bookmarkStart w:id="964" w:name="_Toc194045602"/>
      <w:bookmarkStart w:id="965" w:name="_Toc199495012"/>
      <w:bookmarkStart w:id="966" w:name="_Toc203033072"/>
      <w:bookmarkStart w:id="967" w:name="_Toc203033150"/>
      <w:r w:rsidRPr="00033A3F">
        <w:rPr>
          <w:color w:val="000000" w:themeColor="text1"/>
        </w:rPr>
        <w:t xml:space="preserve">Tabulka </w:t>
      </w:r>
      <w:r w:rsidR="00BD5ECA" w:rsidRPr="00033A3F">
        <w:rPr>
          <w:color w:val="000000" w:themeColor="text1"/>
        </w:rPr>
        <w:fldChar w:fldCharType="begin"/>
      </w:r>
      <w:r w:rsidR="00BD5ECA" w:rsidRPr="00033A3F">
        <w:rPr>
          <w:color w:val="000000" w:themeColor="text1"/>
        </w:rPr>
        <w:instrText xml:space="preserve"> SEQ Tabulka \* ARABIC </w:instrText>
      </w:r>
      <w:r w:rsidR="00BD5ECA" w:rsidRPr="00033A3F">
        <w:rPr>
          <w:color w:val="000000" w:themeColor="text1"/>
        </w:rPr>
        <w:fldChar w:fldCharType="separate"/>
      </w:r>
      <w:r w:rsidR="00163B51">
        <w:rPr>
          <w:noProof/>
          <w:color w:val="000000" w:themeColor="text1"/>
        </w:rPr>
        <w:t>30</w:t>
      </w:r>
      <w:r w:rsidR="00BD5ECA" w:rsidRPr="00033A3F">
        <w:rPr>
          <w:noProof/>
          <w:color w:val="000000" w:themeColor="text1"/>
        </w:rPr>
        <w:fldChar w:fldCharType="end"/>
      </w:r>
      <w:r w:rsidRPr="00033A3F">
        <w:rPr>
          <w:color w:val="000000" w:themeColor="text1"/>
        </w:rPr>
        <w:t>: OS – přítomnost dítěte u soudního jednání dle věku, 2024</w:t>
      </w:r>
      <w:bookmarkEnd w:id="963"/>
      <w:bookmarkEnd w:id="964"/>
      <w:bookmarkEnd w:id="965"/>
      <w:bookmarkEnd w:id="966"/>
      <w:bookmarkEnd w:id="967"/>
    </w:p>
    <w:tbl>
      <w:tblPr>
        <w:tblW w:w="9072" w:type="dxa"/>
        <w:tblLayout w:type="fixed"/>
        <w:tblCellMar>
          <w:left w:w="70" w:type="dxa"/>
          <w:right w:w="70" w:type="dxa"/>
        </w:tblCellMar>
        <w:tblLook w:val="04A0" w:firstRow="1" w:lastRow="0" w:firstColumn="1" w:lastColumn="0" w:noHBand="0" w:noVBand="1"/>
      </w:tblPr>
      <w:tblGrid>
        <w:gridCol w:w="3736"/>
        <w:gridCol w:w="1086"/>
        <w:gridCol w:w="23"/>
        <w:gridCol w:w="1063"/>
        <w:gridCol w:w="46"/>
        <w:gridCol w:w="1040"/>
        <w:gridCol w:w="69"/>
        <w:gridCol w:w="1017"/>
        <w:gridCol w:w="992"/>
      </w:tblGrid>
      <w:tr w:rsidR="00033A3F" w:rsidRPr="00033A3F" w14:paraId="523DA2BC" w14:textId="77777777" w:rsidTr="004C0D35">
        <w:trPr>
          <w:trHeight w:val="345"/>
        </w:trPr>
        <w:tc>
          <w:tcPr>
            <w:tcW w:w="3736" w:type="dxa"/>
            <w:tcBorders>
              <w:top w:val="double" w:sz="6" w:space="0" w:color="auto"/>
              <w:left w:val="nil"/>
              <w:bottom w:val="double" w:sz="6" w:space="0" w:color="auto"/>
              <w:right w:val="nil"/>
            </w:tcBorders>
            <w:shd w:val="clear" w:color="auto" w:fill="auto"/>
            <w:noWrap/>
            <w:vAlign w:val="center"/>
            <w:hideMark/>
          </w:tcPr>
          <w:p w14:paraId="460E3811" w14:textId="77777777" w:rsidR="00AC5538" w:rsidRPr="00033A3F" w:rsidRDefault="00AC5538" w:rsidP="004C0D35">
            <w:pPr>
              <w:spacing w:line="240" w:lineRule="auto"/>
              <w:jc w:val="center"/>
              <w:rPr>
                <w:b/>
                <w:color w:val="000000" w:themeColor="text1"/>
              </w:rPr>
            </w:pPr>
            <w:r w:rsidRPr="00033A3F">
              <w:rPr>
                <w:b/>
                <w:color w:val="000000" w:themeColor="text1"/>
              </w:rPr>
              <w:t>Přítomnost dítěte</w:t>
            </w:r>
          </w:p>
        </w:tc>
        <w:tc>
          <w:tcPr>
            <w:tcW w:w="1086" w:type="dxa"/>
            <w:tcBorders>
              <w:top w:val="double" w:sz="6" w:space="0" w:color="auto"/>
              <w:left w:val="nil"/>
              <w:bottom w:val="double" w:sz="6" w:space="0" w:color="auto"/>
              <w:right w:val="nil"/>
            </w:tcBorders>
            <w:shd w:val="clear" w:color="auto" w:fill="auto"/>
            <w:noWrap/>
            <w:vAlign w:val="center"/>
            <w:hideMark/>
          </w:tcPr>
          <w:p w14:paraId="2A89CBBA" w14:textId="77777777" w:rsidR="00AC5538" w:rsidRPr="00033A3F" w:rsidRDefault="00AC5538" w:rsidP="00884000">
            <w:pPr>
              <w:spacing w:line="240" w:lineRule="auto"/>
              <w:jc w:val="center"/>
              <w:rPr>
                <w:b/>
                <w:color w:val="000000" w:themeColor="text1"/>
              </w:rPr>
            </w:pPr>
            <w:r w:rsidRPr="00033A3F">
              <w:rPr>
                <w:b/>
                <w:color w:val="000000" w:themeColor="text1"/>
              </w:rPr>
              <w:t>0 až 5</w:t>
            </w:r>
          </w:p>
        </w:tc>
        <w:tc>
          <w:tcPr>
            <w:tcW w:w="1086" w:type="dxa"/>
            <w:gridSpan w:val="2"/>
            <w:tcBorders>
              <w:top w:val="double" w:sz="6" w:space="0" w:color="auto"/>
              <w:left w:val="nil"/>
              <w:bottom w:val="double" w:sz="6" w:space="0" w:color="auto"/>
              <w:right w:val="nil"/>
            </w:tcBorders>
            <w:shd w:val="clear" w:color="auto" w:fill="auto"/>
            <w:noWrap/>
            <w:vAlign w:val="center"/>
            <w:hideMark/>
          </w:tcPr>
          <w:p w14:paraId="03597976" w14:textId="77777777" w:rsidR="00AC5538" w:rsidRPr="00033A3F" w:rsidRDefault="00AC5538" w:rsidP="00884000">
            <w:pPr>
              <w:spacing w:line="240" w:lineRule="auto"/>
              <w:jc w:val="center"/>
              <w:rPr>
                <w:b/>
                <w:color w:val="000000" w:themeColor="text1"/>
              </w:rPr>
            </w:pPr>
            <w:r w:rsidRPr="00033A3F">
              <w:rPr>
                <w:b/>
                <w:color w:val="000000" w:themeColor="text1"/>
              </w:rPr>
              <w:t>6 až 10</w:t>
            </w:r>
          </w:p>
        </w:tc>
        <w:tc>
          <w:tcPr>
            <w:tcW w:w="1086" w:type="dxa"/>
            <w:gridSpan w:val="2"/>
            <w:tcBorders>
              <w:top w:val="double" w:sz="6" w:space="0" w:color="auto"/>
              <w:left w:val="nil"/>
              <w:bottom w:val="double" w:sz="6" w:space="0" w:color="auto"/>
              <w:right w:val="nil"/>
            </w:tcBorders>
            <w:shd w:val="clear" w:color="auto" w:fill="auto"/>
            <w:noWrap/>
            <w:vAlign w:val="center"/>
            <w:hideMark/>
          </w:tcPr>
          <w:p w14:paraId="1A956402" w14:textId="77777777" w:rsidR="00AC5538" w:rsidRPr="00033A3F" w:rsidRDefault="00AC5538" w:rsidP="00884000">
            <w:pPr>
              <w:spacing w:line="240" w:lineRule="auto"/>
              <w:jc w:val="center"/>
              <w:rPr>
                <w:b/>
                <w:color w:val="000000" w:themeColor="text1"/>
              </w:rPr>
            </w:pPr>
            <w:r w:rsidRPr="00033A3F">
              <w:rPr>
                <w:b/>
                <w:color w:val="000000" w:themeColor="text1"/>
              </w:rPr>
              <w:t>11 až 15</w:t>
            </w:r>
          </w:p>
        </w:tc>
        <w:tc>
          <w:tcPr>
            <w:tcW w:w="1086" w:type="dxa"/>
            <w:gridSpan w:val="2"/>
            <w:tcBorders>
              <w:top w:val="double" w:sz="6" w:space="0" w:color="auto"/>
              <w:left w:val="nil"/>
              <w:bottom w:val="double" w:sz="6" w:space="0" w:color="auto"/>
              <w:right w:val="nil"/>
            </w:tcBorders>
            <w:shd w:val="clear" w:color="auto" w:fill="auto"/>
            <w:noWrap/>
            <w:vAlign w:val="center"/>
            <w:hideMark/>
          </w:tcPr>
          <w:p w14:paraId="702A66C8" w14:textId="77777777" w:rsidR="00AC5538" w:rsidRPr="00033A3F" w:rsidRDefault="00AC5538" w:rsidP="00884000">
            <w:pPr>
              <w:spacing w:line="240" w:lineRule="auto"/>
              <w:jc w:val="center"/>
              <w:rPr>
                <w:b/>
                <w:color w:val="000000" w:themeColor="text1"/>
              </w:rPr>
            </w:pPr>
            <w:r w:rsidRPr="00033A3F">
              <w:rPr>
                <w:b/>
                <w:color w:val="000000" w:themeColor="text1"/>
              </w:rPr>
              <w:t>16+</w:t>
            </w:r>
          </w:p>
        </w:tc>
        <w:tc>
          <w:tcPr>
            <w:tcW w:w="992" w:type="dxa"/>
            <w:tcBorders>
              <w:top w:val="double" w:sz="6" w:space="0" w:color="auto"/>
              <w:left w:val="nil"/>
              <w:bottom w:val="double" w:sz="6" w:space="0" w:color="auto"/>
              <w:right w:val="nil"/>
            </w:tcBorders>
            <w:shd w:val="clear" w:color="auto" w:fill="auto"/>
            <w:noWrap/>
            <w:vAlign w:val="center"/>
            <w:hideMark/>
          </w:tcPr>
          <w:p w14:paraId="25B6007E" w14:textId="77777777" w:rsidR="00AC5538" w:rsidRPr="00033A3F" w:rsidRDefault="00AC5538" w:rsidP="00884000">
            <w:pPr>
              <w:spacing w:line="240" w:lineRule="auto"/>
              <w:jc w:val="center"/>
              <w:rPr>
                <w:b/>
                <w:color w:val="000000" w:themeColor="text1"/>
              </w:rPr>
            </w:pPr>
            <w:r w:rsidRPr="00033A3F">
              <w:rPr>
                <w:b/>
                <w:color w:val="000000" w:themeColor="text1"/>
              </w:rPr>
              <w:t>Celkem</w:t>
            </w:r>
          </w:p>
        </w:tc>
      </w:tr>
      <w:tr w:rsidR="00033A3F" w:rsidRPr="00033A3F" w14:paraId="4117818E" w14:textId="77777777" w:rsidTr="004C0D35">
        <w:trPr>
          <w:trHeight w:val="330"/>
        </w:trPr>
        <w:tc>
          <w:tcPr>
            <w:tcW w:w="3736" w:type="dxa"/>
            <w:tcBorders>
              <w:top w:val="nil"/>
              <w:left w:val="nil"/>
              <w:bottom w:val="single" w:sz="4" w:space="0" w:color="auto"/>
              <w:right w:val="nil"/>
            </w:tcBorders>
            <w:shd w:val="clear" w:color="auto" w:fill="auto"/>
            <w:noWrap/>
            <w:vAlign w:val="bottom"/>
            <w:hideMark/>
          </w:tcPr>
          <w:p w14:paraId="2198F2A5" w14:textId="77777777" w:rsidR="00AC5538" w:rsidRPr="00033A3F" w:rsidRDefault="00AC5538" w:rsidP="00AC5538">
            <w:pPr>
              <w:spacing w:line="240" w:lineRule="auto"/>
              <w:jc w:val="left"/>
              <w:rPr>
                <w:color w:val="000000" w:themeColor="text1"/>
              </w:rPr>
            </w:pPr>
            <w:r w:rsidRPr="00033A3F">
              <w:rPr>
                <w:color w:val="000000" w:themeColor="text1"/>
              </w:rPr>
              <w:t>Vyslechnuto</w:t>
            </w:r>
          </w:p>
        </w:tc>
        <w:tc>
          <w:tcPr>
            <w:tcW w:w="1086" w:type="dxa"/>
            <w:tcBorders>
              <w:top w:val="nil"/>
              <w:left w:val="nil"/>
              <w:bottom w:val="single" w:sz="4" w:space="0" w:color="auto"/>
              <w:right w:val="nil"/>
            </w:tcBorders>
            <w:shd w:val="clear" w:color="auto" w:fill="auto"/>
            <w:noWrap/>
            <w:vAlign w:val="bottom"/>
            <w:hideMark/>
          </w:tcPr>
          <w:p w14:paraId="03A17072" w14:textId="6A9E4936" w:rsidR="00AC5538" w:rsidRPr="00033A3F" w:rsidRDefault="00AC5538" w:rsidP="00AC5538">
            <w:pPr>
              <w:spacing w:line="240" w:lineRule="auto"/>
              <w:jc w:val="center"/>
              <w:rPr>
                <w:color w:val="000000" w:themeColor="text1"/>
              </w:rPr>
            </w:pPr>
            <w:r w:rsidRPr="00033A3F">
              <w:rPr>
                <w:color w:val="000000" w:themeColor="text1"/>
              </w:rPr>
              <w:t>1,21 %</w:t>
            </w:r>
          </w:p>
        </w:tc>
        <w:tc>
          <w:tcPr>
            <w:tcW w:w="1086" w:type="dxa"/>
            <w:gridSpan w:val="2"/>
            <w:tcBorders>
              <w:top w:val="nil"/>
              <w:left w:val="nil"/>
              <w:bottom w:val="single" w:sz="4" w:space="0" w:color="auto"/>
              <w:right w:val="nil"/>
            </w:tcBorders>
            <w:shd w:val="clear" w:color="auto" w:fill="auto"/>
            <w:noWrap/>
            <w:vAlign w:val="bottom"/>
            <w:hideMark/>
          </w:tcPr>
          <w:p w14:paraId="63638A59" w14:textId="1BB11E5F" w:rsidR="00AC5538" w:rsidRPr="00033A3F" w:rsidRDefault="00AC5538" w:rsidP="00AC5538">
            <w:pPr>
              <w:spacing w:line="240" w:lineRule="auto"/>
              <w:jc w:val="center"/>
              <w:rPr>
                <w:color w:val="000000" w:themeColor="text1"/>
              </w:rPr>
            </w:pPr>
            <w:r w:rsidRPr="00033A3F">
              <w:rPr>
                <w:color w:val="000000" w:themeColor="text1"/>
              </w:rPr>
              <w:t>6,87 %</w:t>
            </w:r>
          </w:p>
        </w:tc>
        <w:tc>
          <w:tcPr>
            <w:tcW w:w="1086" w:type="dxa"/>
            <w:gridSpan w:val="2"/>
            <w:tcBorders>
              <w:top w:val="nil"/>
              <w:left w:val="nil"/>
              <w:bottom w:val="single" w:sz="4" w:space="0" w:color="auto"/>
              <w:right w:val="nil"/>
            </w:tcBorders>
            <w:shd w:val="clear" w:color="auto" w:fill="auto"/>
            <w:noWrap/>
            <w:vAlign w:val="bottom"/>
            <w:hideMark/>
          </w:tcPr>
          <w:p w14:paraId="7CBF565D" w14:textId="5680FE85" w:rsidR="00AC5538" w:rsidRPr="00033A3F" w:rsidRDefault="00AC5538" w:rsidP="00AC5538">
            <w:pPr>
              <w:spacing w:line="240" w:lineRule="auto"/>
              <w:jc w:val="center"/>
              <w:rPr>
                <w:color w:val="000000" w:themeColor="text1"/>
              </w:rPr>
            </w:pPr>
            <w:r w:rsidRPr="00033A3F">
              <w:rPr>
                <w:color w:val="000000" w:themeColor="text1"/>
              </w:rPr>
              <w:t>12,02 %</w:t>
            </w:r>
          </w:p>
        </w:tc>
        <w:tc>
          <w:tcPr>
            <w:tcW w:w="1086" w:type="dxa"/>
            <w:gridSpan w:val="2"/>
            <w:tcBorders>
              <w:top w:val="nil"/>
              <w:left w:val="nil"/>
              <w:bottom w:val="single" w:sz="4" w:space="0" w:color="auto"/>
              <w:right w:val="nil"/>
            </w:tcBorders>
            <w:shd w:val="clear" w:color="auto" w:fill="auto"/>
            <w:noWrap/>
            <w:vAlign w:val="bottom"/>
            <w:hideMark/>
          </w:tcPr>
          <w:p w14:paraId="53612C6A" w14:textId="7FEE3E5E" w:rsidR="00AC5538" w:rsidRPr="00033A3F" w:rsidRDefault="00AC5538" w:rsidP="00AC5538">
            <w:pPr>
              <w:spacing w:line="240" w:lineRule="auto"/>
              <w:jc w:val="center"/>
              <w:rPr>
                <w:color w:val="000000" w:themeColor="text1"/>
              </w:rPr>
            </w:pPr>
            <w:r w:rsidRPr="00033A3F">
              <w:rPr>
                <w:color w:val="000000" w:themeColor="text1"/>
              </w:rPr>
              <w:t>15,30 %</w:t>
            </w:r>
          </w:p>
        </w:tc>
        <w:tc>
          <w:tcPr>
            <w:tcW w:w="992" w:type="dxa"/>
            <w:tcBorders>
              <w:top w:val="nil"/>
              <w:left w:val="nil"/>
              <w:bottom w:val="single" w:sz="4" w:space="0" w:color="auto"/>
              <w:right w:val="nil"/>
            </w:tcBorders>
            <w:shd w:val="clear" w:color="auto" w:fill="auto"/>
            <w:noWrap/>
            <w:vAlign w:val="bottom"/>
            <w:hideMark/>
          </w:tcPr>
          <w:p w14:paraId="51F1B772" w14:textId="107A40E9" w:rsidR="00AC5538" w:rsidRPr="00033A3F" w:rsidRDefault="00AC5538" w:rsidP="00AC5538">
            <w:pPr>
              <w:spacing w:line="240" w:lineRule="auto"/>
              <w:jc w:val="center"/>
              <w:rPr>
                <w:color w:val="000000" w:themeColor="text1"/>
              </w:rPr>
            </w:pPr>
            <w:r w:rsidRPr="00033A3F">
              <w:rPr>
                <w:color w:val="000000" w:themeColor="text1"/>
              </w:rPr>
              <w:t>7,05 %</w:t>
            </w:r>
          </w:p>
        </w:tc>
      </w:tr>
      <w:tr w:rsidR="00033A3F" w:rsidRPr="00033A3F" w14:paraId="243106D3" w14:textId="77777777" w:rsidTr="004C0D35">
        <w:trPr>
          <w:trHeight w:val="315"/>
        </w:trPr>
        <w:tc>
          <w:tcPr>
            <w:tcW w:w="3736" w:type="dxa"/>
            <w:tcBorders>
              <w:top w:val="nil"/>
              <w:left w:val="nil"/>
              <w:bottom w:val="single" w:sz="4" w:space="0" w:color="auto"/>
              <w:right w:val="nil"/>
            </w:tcBorders>
            <w:shd w:val="clear" w:color="auto" w:fill="auto"/>
            <w:noWrap/>
            <w:vAlign w:val="bottom"/>
            <w:hideMark/>
          </w:tcPr>
          <w:p w14:paraId="3DD20911" w14:textId="44274F2D" w:rsidR="00AC5538" w:rsidRPr="00033A3F" w:rsidRDefault="00AC5538" w:rsidP="00AC5538">
            <w:pPr>
              <w:spacing w:line="240" w:lineRule="auto"/>
              <w:jc w:val="left"/>
              <w:rPr>
                <w:color w:val="000000" w:themeColor="text1"/>
              </w:rPr>
            </w:pPr>
            <w:r w:rsidRPr="00033A3F">
              <w:rPr>
                <w:color w:val="000000" w:themeColor="text1"/>
              </w:rPr>
              <w:t>Pouze přítomno soudní</w:t>
            </w:r>
            <w:r w:rsidR="009F0144" w:rsidRPr="00033A3F">
              <w:rPr>
                <w:color w:val="000000" w:themeColor="text1"/>
              </w:rPr>
              <w:t>mu</w:t>
            </w:r>
            <w:r w:rsidRPr="00033A3F">
              <w:rPr>
                <w:color w:val="000000" w:themeColor="text1"/>
              </w:rPr>
              <w:t xml:space="preserve"> jednání</w:t>
            </w:r>
          </w:p>
        </w:tc>
        <w:tc>
          <w:tcPr>
            <w:tcW w:w="1086" w:type="dxa"/>
            <w:tcBorders>
              <w:top w:val="nil"/>
              <w:left w:val="nil"/>
              <w:bottom w:val="single" w:sz="4" w:space="0" w:color="auto"/>
              <w:right w:val="nil"/>
            </w:tcBorders>
            <w:shd w:val="clear" w:color="auto" w:fill="auto"/>
            <w:noWrap/>
            <w:vAlign w:val="bottom"/>
            <w:hideMark/>
          </w:tcPr>
          <w:p w14:paraId="3DB29AE8" w14:textId="012D38FC" w:rsidR="00AC5538" w:rsidRPr="00033A3F" w:rsidRDefault="00AC5538" w:rsidP="00AC5538">
            <w:pPr>
              <w:spacing w:line="240" w:lineRule="auto"/>
              <w:jc w:val="center"/>
              <w:rPr>
                <w:color w:val="000000" w:themeColor="text1"/>
              </w:rPr>
            </w:pPr>
            <w:r w:rsidRPr="00033A3F">
              <w:rPr>
                <w:color w:val="000000" w:themeColor="text1"/>
              </w:rPr>
              <w:t>0,06 %</w:t>
            </w:r>
          </w:p>
        </w:tc>
        <w:tc>
          <w:tcPr>
            <w:tcW w:w="1086" w:type="dxa"/>
            <w:gridSpan w:val="2"/>
            <w:tcBorders>
              <w:top w:val="nil"/>
              <w:left w:val="nil"/>
              <w:bottom w:val="single" w:sz="4" w:space="0" w:color="auto"/>
              <w:right w:val="nil"/>
            </w:tcBorders>
            <w:shd w:val="clear" w:color="auto" w:fill="auto"/>
            <w:noWrap/>
            <w:vAlign w:val="bottom"/>
            <w:hideMark/>
          </w:tcPr>
          <w:p w14:paraId="07ED85EF" w14:textId="119DE294" w:rsidR="00AC5538" w:rsidRPr="00033A3F" w:rsidRDefault="00AC5538" w:rsidP="00AC5538">
            <w:pPr>
              <w:spacing w:line="240" w:lineRule="auto"/>
              <w:jc w:val="center"/>
              <w:rPr>
                <w:color w:val="000000" w:themeColor="text1"/>
              </w:rPr>
            </w:pPr>
            <w:r w:rsidRPr="00033A3F">
              <w:rPr>
                <w:color w:val="000000" w:themeColor="text1"/>
              </w:rPr>
              <w:t>0,17 %</w:t>
            </w:r>
          </w:p>
        </w:tc>
        <w:tc>
          <w:tcPr>
            <w:tcW w:w="1086" w:type="dxa"/>
            <w:gridSpan w:val="2"/>
            <w:tcBorders>
              <w:top w:val="nil"/>
              <w:left w:val="nil"/>
              <w:bottom w:val="single" w:sz="4" w:space="0" w:color="auto"/>
              <w:right w:val="nil"/>
            </w:tcBorders>
            <w:shd w:val="clear" w:color="auto" w:fill="auto"/>
            <w:noWrap/>
            <w:vAlign w:val="bottom"/>
            <w:hideMark/>
          </w:tcPr>
          <w:p w14:paraId="3E37D886" w14:textId="2956CFE9" w:rsidR="00AC5538" w:rsidRPr="00033A3F" w:rsidRDefault="00AC5538" w:rsidP="00AC5538">
            <w:pPr>
              <w:spacing w:line="240" w:lineRule="auto"/>
              <w:jc w:val="center"/>
              <w:rPr>
                <w:color w:val="000000" w:themeColor="text1"/>
              </w:rPr>
            </w:pPr>
            <w:r w:rsidRPr="00033A3F">
              <w:rPr>
                <w:color w:val="000000" w:themeColor="text1"/>
              </w:rPr>
              <w:t>0,73 %</w:t>
            </w:r>
          </w:p>
        </w:tc>
        <w:tc>
          <w:tcPr>
            <w:tcW w:w="1086" w:type="dxa"/>
            <w:gridSpan w:val="2"/>
            <w:tcBorders>
              <w:top w:val="nil"/>
              <w:left w:val="nil"/>
              <w:bottom w:val="single" w:sz="4" w:space="0" w:color="auto"/>
              <w:right w:val="nil"/>
            </w:tcBorders>
            <w:shd w:val="clear" w:color="auto" w:fill="auto"/>
            <w:noWrap/>
            <w:vAlign w:val="bottom"/>
            <w:hideMark/>
          </w:tcPr>
          <w:p w14:paraId="7F7A5714" w14:textId="0BAA8E78" w:rsidR="00AC5538" w:rsidRPr="00033A3F" w:rsidRDefault="00AC5538" w:rsidP="00AC5538">
            <w:pPr>
              <w:spacing w:line="240" w:lineRule="auto"/>
              <w:jc w:val="center"/>
              <w:rPr>
                <w:color w:val="000000" w:themeColor="text1"/>
              </w:rPr>
            </w:pPr>
            <w:r w:rsidRPr="00033A3F">
              <w:rPr>
                <w:color w:val="000000" w:themeColor="text1"/>
              </w:rPr>
              <w:t>2,19 %</w:t>
            </w:r>
          </w:p>
        </w:tc>
        <w:tc>
          <w:tcPr>
            <w:tcW w:w="992" w:type="dxa"/>
            <w:tcBorders>
              <w:top w:val="nil"/>
              <w:left w:val="nil"/>
              <w:bottom w:val="single" w:sz="4" w:space="0" w:color="auto"/>
              <w:right w:val="nil"/>
            </w:tcBorders>
            <w:shd w:val="clear" w:color="auto" w:fill="auto"/>
            <w:noWrap/>
            <w:vAlign w:val="bottom"/>
            <w:hideMark/>
          </w:tcPr>
          <w:p w14:paraId="136BA8A2" w14:textId="09D4A1DD" w:rsidR="00AC5538" w:rsidRPr="00033A3F" w:rsidRDefault="00AC5538" w:rsidP="00AC5538">
            <w:pPr>
              <w:spacing w:line="240" w:lineRule="auto"/>
              <w:jc w:val="center"/>
              <w:rPr>
                <w:color w:val="000000" w:themeColor="text1"/>
              </w:rPr>
            </w:pPr>
            <w:r w:rsidRPr="00033A3F">
              <w:rPr>
                <w:color w:val="000000" w:themeColor="text1"/>
              </w:rPr>
              <w:t>0,46 %</w:t>
            </w:r>
          </w:p>
        </w:tc>
      </w:tr>
      <w:tr w:rsidR="00033A3F" w:rsidRPr="00033A3F" w14:paraId="15A03B94" w14:textId="77777777" w:rsidTr="004C0D35">
        <w:trPr>
          <w:trHeight w:val="315"/>
        </w:trPr>
        <w:tc>
          <w:tcPr>
            <w:tcW w:w="3736" w:type="dxa"/>
            <w:tcBorders>
              <w:top w:val="nil"/>
              <w:left w:val="nil"/>
              <w:bottom w:val="double" w:sz="4" w:space="0" w:color="auto"/>
              <w:right w:val="nil"/>
            </w:tcBorders>
            <w:shd w:val="clear" w:color="auto" w:fill="auto"/>
            <w:noWrap/>
            <w:vAlign w:val="bottom"/>
            <w:hideMark/>
          </w:tcPr>
          <w:p w14:paraId="07DF9A6F" w14:textId="331548CA" w:rsidR="00AC5538" w:rsidRPr="00033A3F" w:rsidRDefault="00AC5538" w:rsidP="00AC5538">
            <w:pPr>
              <w:spacing w:line="240" w:lineRule="auto"/>
              <w:jc w:val="left"/>
              <w:rPr>
                <w:color w:val="000000" w:themeColor="text1"/>
              </w:rPr>
            </w:pPr>
            <w:r w:rsidRPr="00033A3F">
              <w:rPr>
                <w:color w:val="000000" w:themeColor="text1"/>
              </w:rPr>
              <w:t>Pouze přítomno jiného soudní</w:t>
            </w:r>
            <w:r w:rsidR="009F0144" w:rsidRPr="00033A3F">
              <w:rPr>
                <w:color w:val="000000" w:themeColor="text1"/>
              </w:rPr>
              <w:t>mu</w:t>
            </w:r>
            <w:r w:rsidRPr="00033A3F">
              <w:rPr>
                <w:color w:val="000000" w:themeColor="text1"/>
              </w:rPr>
              <w:t xml:space="preserve"> roku</w:t>
            </w:r>
          </w:p>
        </w:tc>
        <w:tc>
          <w:tcPr>
            <w:tcW w:w="1086" w:type="dxa"/>
            <w:tcBorders>
              <w:top w:val="nil"/>
              <w:left w:val="nil"/>
              <w:bottom w:val="double" w:sz="4" w:space="0" w:color="auto"/>
              <w:right w:val="nil"/>
            </w:tcBorders>
            <w:shd w:val="clear" w:color="auto" w:fill="auto"/>
            <w:noWrap/>
            <w:vAlign w:val="bottom"/>
            <w:hideMark/>
          </w:tcPr>
          <w:p w14:paraId="28343645" w14:textId="1844405B" w:rsidR="00AC5538" w:rsidRPr="00033A3F" w:rsidRDefault="00AC5538" w:rsidP="00AC5538">
            <w:pPr>
              <w:spacing w:line="240" w:lineRule="auto"/>
              <w:jc w:val="center"/>
              <w:rPr>
                <w:color w:val="000000" w:themeColor="text1"/>
              </w:rPr>
            </w:pPr>
            <w:r w:rsidRPr="00033A3F">
              <w:rPr>
                <w:color w:val="000000" w:themeColor="text1"/>
              </w:rPr>
              <w:t>0,23 %</w:t>
            </w:r>
          </w:p>
        </w:tc>
        <w:tc>
          <w:tcPr>
            <w:tcW w:w="1086" w:type="dxa"/>
            <w:gridSpan w:val="2"/>
            <w:tcBorders>
              <w:top w:val="nil"/>
              <w:left w:val="nil"/>
              <w:bottom w:val="double" w:sz="4" w:space="0" w:color="auto"/>
              <w:right w:val="nil"/>
            </w:tcBorders>
            <w:shd w:val="clear" w:color="auto" w:fill="auto"/>
            <w:noWrap/>
            <w:vAlign w:val="bottom"/>
            <w:hideMark/>
          </w:tcPr>
          <w:p w14:paraId="7612B367" w14:textId="11044CA3" w:rsidR="00AC5538" w:rsidRPr="00033A3F" w:rsidRDefault="00AC5538" w:rsidP="00AC5538">
            <w:pPr>
              <w:spacing w:line="240" w:lineRule="auto"/>
              <w:jc w:val="center"/>
              <w:rPr>
                <w:color w:val="000000" w:themeColor="text1"/>
              </w:rPr>
            </w:pPr>
            <w:r w:rsidRPr="00033A3F">
              <w:rPr>
                <w:color w:val="000000" w:themeColor="text1"/>
              </w:rPr>
              <w:t>0,38 %</w:t>
            </w:r>
          </w:p>
        </w:tc>
        <w:tc>
          <w:tcPr>
            <w:tcW w:w="1086" w:type="dxa"/>
            <w:gridSpan w:val="2"/>
            <w:tcBorders>
              <w:top w:val="nil"/>
              <w:left w:val="nil"/>
              <w:bottom w:val="double" w:sz="4" w:space="0" w:color="auto"/>
              <w:right w:val="nil"/>
            </w:tcBorders>
            <w:shd w:val="clear" w:color="auto" w:fill="auto"/>
            <w:noWrap/>
            <w:vAlign w:val="bottom"/>
            <w:hideMark/>
          </w:tcPr>
          <w:p w14:paraId="46797B6A" w14:textId="395AE764" w:rsidR="00AC5538" w:rsidRPr="00033A3F" w:rsidRDefault="00AC5538" w:rsidP="00AC5538">
            <w:pPr>
              <w:spacing w:line="240" w:lineRule="auto"/>
              <w:jc w:val="center"/>
              <w:rPr>
                <w:color w:val="000000" w:themeColor="text1"/>
              </w:rPr>
            </w:pPr>
            <w:r w:rsidRPr="00033A3F">
              <w:rPr>
                <w:color w:val="000000" w:themeColor="text1"/>
              </w:rPr>
              <w:t>0,54 %</w:t>
            </w:r>
          </w:p>
        </w:tc>
        <w:tc>
          <w:tcPr>
            <w:tcW w:w="1086" w:type="dxa"/>
            <w:gridSpan w:val="2"/>
            <w:tcBorders>
              <w:top w:val="nil"/>
              <w:left w:val="nil"/>
              <w:bottom w:val="double" w:sz="4" w:space="0" w:color="auto"/>
              <w:right w:val="nil"/>
            </w:tcBorders>
            <w:shd w:val="clear" w:color="auto" w:fill="auto"/>
            <w:noWrap/>
            <w:vAlign w:val="bottom"/>
            <w:hideMark/>
          </w:tcPr>
          <w:p w14:paraId="3D807B3B" w14:textId="154E4FBE" w:rsidR="00AC5538" w:rsidRPr="00033A3F" w:rsidRDefault="00AC5538" w:rsidP="00AC5538">
            <w:pPr>
              <w:spacing w:line="240" w:lineRule="auto"/>
              <w:jc w:val="center"/>
              <w:rPr>
                <w:color w:val="000000" w:themeColor="text1"/>
              </w:rPr>
            </w:pPr>
            <w:r w:rsidRPr="00033A3F">
              <w:rPr>
                <w:color w:val="000000" w:themeColor="text1"/>
              </w:rPr>
              <w:t>0,32 %</w:t>
            </w:r>
          </w:p>
        </w:tc>
        <w:tc>
          <w:tcPr>
            <w:tcW w:w="992" w:type="dxa"/>
            <w:tcBorders>
              <w:top w:val="nil"/>
              <w:left w:val="nil"/>
              <w:bottom w:val="double" w:sz="4" w:space="0" w:color="auto"/>
              <w:right w:val="nil"/>
            </w:tcBorders>
            <w:shd w:val="clear" w:color="auto" w:fill="auto"/>
            <w:noWrap/>
            <w:vAlign w:val="bottom"/>
            <w:hideMark/>
          </w:tcPr>
          <w:p w14:paraId="05046B97" w14:textId="12D07323" w:rsidR="00AC5538" w:rsidRPr="00033A3F" w:rsidRDefault="00AC5538" w:rsidP="00AC5538">
            <w:pPr>
              <w:spacing w:line="240" w:lineRule="auto"/>
              <w:jc w:val="center"/>
              <w:rPr>
                <w:color w:val="000000" w:themeColor="text1"/>
              </w:rPr>
            </w:pPr>
            <w:r w:rsidRPr="00033A3F">
              <w:rPr>
                <w:color w:val="000000" w:themeColor="text1"/>
              </w:rPr>
              <w:t>0,36 %</w:t>
            </w:r>
          </w:p>
        </w:tc>
      </w:tr>
      <w:tr w:rsidR="00033A3F" w:rsidRPr="00033A3F" w14:paraId="1EC08C54" w14:textId="77777777" w:rsidTr="004C0D35">
        <w:trPr>
          <w:trHeight w:val="330"/>
        </w:trPr>
        <w:tc>
          <w:tcPr>
            <w:tcW w:w="3736" w:type="dxa"/>
            <w:tcBorders>
              <w:top w:val="double" w:sz="4" w:space="0" w:color="auto"/>
              <w:left w:val="nil"/>
              <w:bottom w:val="double" w:sz="6" w:space="0" w:color="auto"/>
              <w:right w:val="nil"/>
            </w:tcBorders>
            <w:shd w:val="clear" w:color="auto" w:fill="auto"/>
            <w:noWrap/>
            <w:vAlign w:val="bottom"/>
            <w:hideMark/>
          </w:tcPr>
          <w:p w14:paraId="3F1A4753" w14:textId="5296463F" w:rsidR="00AC5538" w:rsidRPr="00033A3F" w:rsidRDefault="00AC5538" w:rsidP="00AC5538">
            <w:pPr>
              <w:spacing w:line="240" w:lineRule="auto"/>
              <w:jc w:val="left"/>
              <w:rPr>
                <w:b/>
                <w:color w:val="000000" w:themeColor="text1"/>
              </w:rPr>
            </w:pPr>
            <w:r w:rsidRPr="00033A3F">
              <w:rPr>
                <w:b/>
                <w:color w:val="000000" w:themeColor="text1"/>
              </w:rPr>
              <w:t>Nebylo vyslechnuto ani přítomno</w:t>
            </w:r>
          </w:p>
        </w:tc>
        <w:tc>
          <w:tcPr>
            <w:tcW w:w="1086" w:type="dxa"/>
            <w:tcBorders>
              <w:top w:val="double" w:sz="4" w:space="0" w:color="auto"/>
              <w:left w:val="nil"/>
              <w:bottom w:val="double" w:sz="6" w:space="0" w:color="auto"/>
              <w:right w:val="nil"/>
            </w:tcBorders>
            <w:shd w:val="clear" w:color="auto" w:fill="auto"/>
            <w:noWrap/>
            <w:vAlign w:val="bottom"/>
            <w:hideMark/>
          </w:tcPr>
          <w:p w14:paraId="6E2F1B95" w14:textId="15F331FD" w:rsidR="00AC5538" w:rsidRPr="00033A3F" w:rsidRDefault="00AC5538" w:rsidP="00AC5538">
            <w:pPr>
              <w:spacing w:line="240" w:lineRule="auto"/>
              <w:jc w:val="center"/>
              <w:rPr>
                <w:b/>
                <w:color w:val="000000" w:themeColor="text1"/>
              </w:rPr>
            </w:pPr>
            <w:r w:rsidRPr="00033A3F">
              <w:rPr>
                <w:b/>
                <w:color w:val="000000" w:themeColor="text1"/>
              </w:rPr>
              <w:t>98,51 %</w:t>
            </w:r>
          </w:p>
        </w:tc>
        <w:tc>
          <w:tcPr>
            <w:tcW w:w="1086" w:type="dxa"/>
            <w:gridSpan w:val="2"/>
            <w:tcBorders>
              <w:top w:val="double" w:sz="4" w:space="0" w:color="auto"/>
              <w:left w:val="nil"/>
              <w:bottom w:val="double" w:sz="6" w:space="0" w:color="auto"/>
              <w:right w:val="nil"/>
            </w:tcBorders>
            <w:shd w:val="clear" w:color="auto" w:fill="auto"/>
            <w:noWrap/>
            <w:vAlign w:val="bottom"/>
            <w:hideMark/>
          </w:tcPr>
          <w:p w14:paraId="20421A91" w14:textId="561EE74F" w:rsidR="00AC5538" w:rsidRPr="00033A3F" w:rsidRDefault="00AC5538" w:rsidP="00AC5538">
            <w:pPr>
              <w:spacing w:line="240" w:lineRule="auto"/>
              <w:jc w:val="center"/>
              <w:rPr>
                <w:b/>
                <w:color w:val="000000" w:themeColor="text1"/>
              </w:rPr>
            </w:pPr>
            <w:r w:rsidRPr="00033A3F">
              <w:rPr>
                <w:b/>
                <w:color w:val="000000" w:themeColor="text1"/>
              </w:rPr>
              <w:t>92,59 %</w:t>
            </w:r>
          </w:p>
        </w:tc>
        <w:tc>
          <w:tcPr>
            <w:tcW w:w="1086" w:type="dxa"/>
            <w:gridSpan w:val="2"/>
            <w:tcBorders>
              <w:top w:val="double" w:sz="4" w:space="0" w:color="auto"/>
              <w:left w:val="nil"/>
              <w:bottom w:val="double" w:sz="6" w:space="0" w:color="auto"/>
              <w:right w:val="nil"/>
            </w:tcBorders>
            <w:shd w:val="clear" w:color="auto" w:fill="auto"/>
            <w:noWrap/>
            <w:vAlign w:val="bottom"/>
            <w:hideMark/>
          </w:tcPr>
          <w:p w14:paraId="2301F4D5" w14:textId="65584B2E" w:rsidR="00AC5538" w:rsidRPr="00033A3F" w:rsidRDefault="00AC5538" w:rsidP="00AC5538">
            <w:pPr>
              <w:spacing w:line="240" w:lineRule="auto"/>
              <w:jc w:val="center"/>
              <w:rPr>
                <w:b/>
                <w:color w:val="000000" w:themeColor="text1"/>
              </w:rPr>
            </w:pPr>
            <w:r w:rsidRPr="00033A3F">
              <w:rPr>
                <w:b/>
                <w:color w:val="000000" w:themeColor="text1"/>
              </w:rPr>
              <w:t>86,71 %</w:t>
            </w:r>
          </w:p>
        </w:tc>
        <w:tc>
          <w:tcPr>
            <w:tcW w:w="1086" w:type="dxa"/>
            <w:gridSpan w:val="2"/>
            <w:tcBorders>
              <w:top w:val="double" w:sz="4" w:space="0" w:color="auto"/>
              <w:left w:val="nil"/>
              <w:bottom w:val="double" w:sz="6" w:space="0" w:color="auto"/>
              <w:right w:val="nil"/>
            </w:tcBorders>
            <w:shd w:val="clear" w:color="auto" w:fill="auto"/>
            <w:noWrap/>
            <w:vAlign w:val="bottom"/>
            <w:hideMark/>
          </w:tcPr>
          <w:p w14:paraId="1D1A6626" w14:textId="1BDC9AB7" w:rsidR="00AC5538" w:rsidRPr="00033A3F" w:rsidRDefault="00AC5538" w:rsidP="00AC5538">
            <w:pPr>
              <w:spacing w:line="240" w:lineRule="auto"/>
              <w:jc w:val="center"/>
              <w:rPr>
                <w:b/>
                <w:color w:val="000000" w:themeColor="text1"/>
              </w:rPr>
            </w:pPr>
            <w:r w:rsidRPr="00033A3F">
              <w:rPr>
                <w:b/>
                <w:color w:val="000000" w:themeColor="text1"/>
              </w:rPr>
              <w:t>82,20 %</w:t>
            </w:r>
          </w:p>
        </w:tc>
        <w:tc>
          <w:tcPr>
            <w:tcW w:w="992" w:type="dxa"/>
            <w:tcBorders>
              <w:top w:val="double" w:sz="4" w:space="0" w:color="auto"/>
              <w:left w:val="nil"/>
              <w:bottom w:val="double" w:sz="6" w:space="0" w:color="auto"/>
              <w:right w:val="nil"/>
            </w:tcBorders>
            <w:shd w:val="clear" w:color="auto" w:fill="auto"/>
            <w:noWrap/>
            <w:vAlign w:val="bottom"/>
            <w:hideMark/>
          </w:tcPr>
          <w:p w14:paraId="18CD8052" w14:textId="16253D8D" w:rsidR="00AC5538" w:rsidRPr="00033A3F" w:rsidRDefault="00AC5538" w:rsidP="00AC5538">
            <w:pPr>
              <w:spacing w:line="240" w:lineRule="auto"/>
              <w:jc w:val="center"/>
              <w:rPr>
                <w:b/>
                <w:color w:val="000000" w:themeColor="text1"/>
              </w:rPr>
            </w:pPr>
            <w:r w:rsidRPr="00033A3F">
              <w:rPr>
                <w:b/>
                <w:color w:val="000000" w:themeColor="text1"/>
              </w:rPr>
              <w:t>92,14 %</w:t>
            </w:r>
          </w:p>
        </w:tc>
      </w:tr>
      <w:tr w:rsidR="00AC5538" w:rsidRPr="00033A3F" w14:paraId="3EFD85CE" w14:textId="77777777" w:rsidTr="004C0D35">
        <w:trPr>
          <w:trHeight w:val="330"/>
        </w:trPr>
        <w:tc>
          <w:tcPr>
            <w:tcW w:w="3736" w:type="dxa"/>
            <w:tcBorders>
              <w:top w:val="nil"/>
              <w:left w:val="nil"/>
              <w:bottom w:val="nil"/>
              <w:right w:val="nil"/>
            </w:tcBorders>
            <w:shd w:val="clear" w:color="auto" w:fill="auto"/>
            <w:noWrap/>
            <w:vAlign w:val="bottom"/>
            <w:hideMark/>
          </w:tcPr>
          <w:p w14:paraId="5BD43161" w14:textId="77777777" w:rsidR="00AC5538" w:rsidRPr="00033A3F" w:rsidRDefault="00AC5538" w:rsidP="00AC5538">
            <w:pPr>
              <w:spacing w:line="240" w:lineRule="auto"/>
              <w:jc w:val="right"/>
              <w:rPr>
                <w:color w:val="000000" w:themeColor="text1"/>
              </w:rPr>
            </w:pPr>
          </w:p>
        </w:tc>
        <w:tc>
          <w:tcPr>
            <w:tcW w:w="1109" w:type="dxa"/>
            <w:gridSpan w:val="2"/>
            <w:tcBorders>
              <w:top w:val="nil"/>
              <w:left w:val="nil"/>
              <w:bottom w:val="nil"/>
              <w:right w:val="nil"/>
            </w:tcBorders>
            <w:shd w:val="clear" w:color="auto" w:fill="auto"/>
            <w:noWrap/>
            <w:vAlign w:val="bottom"/>
            <w:hideMark/>
          </w:tcPr>
          <w:p w14:paraId="76773F49" w14:textId="77777777" w:rsidR="00AC5538" w:rsidRPr="00033A3F" w:rsidRDefault="00AC5538" w:rsidP="00AC5538">
            <w:pPr>
              <w:spacing w:line="240" w:lineRule="auto"/>
              <w:jc w:val="left"/>
              <w:rPr>
                <w:color w:val="000000" w:themeColor="text1"/>
                <w:sz w:val="20"/>
              </w:rPr>
            </w:pPr>
          </w:p>
        </w:tc>
        <w:tc>
          <w:tcPr>
            <w:tcW w:w="1109" w:type="dxa"/>
            <w:gridSpan w:val="2"/>
            <w:tcBorders>
              <w:top w:val="nil"/>
              <w:left w:val="nil"/>
              <w:bottom w:val="nil"/>
              <w:right w:val="nil"/>
            </w:tcBorders>
            <w:shd w:val="clear" w:color="auto" w:fill="auto"/>
            <w:noWrap/>
            <w:vAlign w:val="bottom"/>
            <w:hideMark/>
          </w:tcPr>
          <w:p w14:paraId="57C3C6AF" w14:textId="77777777" w:rsidR="00AC5538" w:rsidRPr="00033A3F" w:rsidRDefault="00AC5538" w:rsidP="00AC5538">
            <w:pPr>
              <w:spacing w:line="240" w:lineRule="auto"/>
              <w:jc w:val="left"/>
              <w:rPr>
                <w:color w:val="000000" w:themeColor="text1"/>
                <w:sz w:val="20"/>
              </w:rPr>
            </w:pPr>
          </w:p>
        </w:tc>
        <w:tc>
          <w:tcPr>
            <w:tcW w:w="1109" w:type="dxa"/>
            <w:gridSpan w:val="2"/>
            <w:tcBorders>
              <w:top w:val="nil"/>
              <w:left w:val="nil"/>
              <w:bottom w:val="nil"/>
              <w:right w:val="nil"/>
            </w:tcBorders>
            <w:shd w:val="clear" w:color="auto" w:fill="auto"/>
            <w:noWrap/>
            <w:vAlign w:val="bottom"/>
            <w:hideMark/>
          </w:tcPr>
          <w:p w14:paraId="0CAA0876" w14:textId="77777777" w:rsidR="00AC5538" w:rsidRPr="00033A3F" w:rsidRDefault="00AC5538" w:rsidP="00AC5538">
            <w:pPr>
              <w:spacing w:line="240" w:lineRule="auto"/>
              <w:jc w:val="left"/>
              <w:rPr>
                <w:color w:val="000000" w:themeColor="text1"/>
                <w:sz w:val="20"/>
              </w:rPr>
            </w:pPr>
          </w:p>
        </w:tc>
        <w:tc>
          <w:tcPr>
            <w:tcW w:w="1017" w:type="dxa"/>
            <w:tcBorders>
              <w:top w:val="nil"/>
              <w:left w:val="nil"/>
              <w:bottom w:val="nil"/>
              <w:right w:val="nil"/>
            </w:tcBorders>
            <w:shd w:val="clear" w:color="auto" w:fill="auto"/>
            <w:noWrap/>
            <w:vAlign w:val="bottom"/>
            <w:hideMark/>
          </w:tcPr>
          <w:p w14:paraId="72134505" w14:textId="77777777" w:rsidR="00AC5538" w:rsidRPr="00033A3F" w:rsidRDefault="00AC5538" w:rsidP="00AC5538">
            <w:pPr>
              <w:spacing w:line="240" w:lineRule="auto"/>
              <w:jc w:val="left"/>
              <w:rPr>
                <w:color w:val="000000" w:themeColor="text1"/>
                <w:sz w:val="20"/>
              </w:rPr>
            </w:pPr>
          </w:p>
        </w:tc>
        <w:tc>
          <w:tcPr>
            <w:tcW w:w="992" w:type="dxa"/>
            <w:tcBorders>
              <w:top w:val="nil"/>
              <w:left w:val="nil"/>
              <w:bottom w:val="nil"/>
              <w:right w:val="nil"/>
            </w:tcBorders>
            <w:shd w:val="clear" w:color="auto" w:fill="auto"/>
            <w:noWrap/>
            <w:vAlign w:val="bottom"/>
            <w:hideMark/>
          </w:tcPr>
          <w:p w14:paraId="684BCCD2" w14:textId="77777777" w:rsidR="00AC5538" w:rsidRPr="00033A3F" w:rsidRDefault="00AC5538" w:rsidP="00AC5538">
            <w:pPr>
              <w:spacing w:line="240" w:lineRule="auto"/>
              <w:jc w:val="left"/>
              <w:rPr>
                <w:color w:val="000000" w:themeColor="text1"/>
                <w:sz w:val="20"/>
              </w:rPr>
            </w:pPr>
          </w:p>
        </w:tc>
      </w:tr>
    </w:tbl>
    <w:p w14:paraId="63ACD146" w14:textId="77777777" w:rsidR="00505747" w:rsidRPr="00033A3F" w:rsidRDefault="00505747" w:rsidP="00F82701">
      <w:pPr>
        <w:rPr>
          <w:color w:val="000000" w:themeColor="text1"/>
          <w:lang w:val="en-GB"/>
        </w:rPr>
      </w:pPr>
    </w:p>
    <w:p w14:paraId="6E5F0830" w14:textId="6EE9CD9D" w:rsidR="008430BD" w:rsidRPr="00033A3F" w:rsidRDefault="008430BD" w:rsidP="008430BD">
      <w:pPr>
        <w:pStyle w:val="Nadpis1"/>
        <w:pageBreakBefore/>
        <w:numPr>
          <w:ilvl w:val="0"/>
          <w:numId w:val="1"/>
        </w:numPr>
        <w:spacing w:after="120"/>
        <w:rPr>
          <w:color w:val="000000" w:themeColor="text1"/>
        </w:rPr>
      </w:pPr>
      <w:bookmarkStart w:id="968" w:name="_Toc515871244"/>
      <w:bookmarkStart w:id="969" w:name="_Toc106092746"/>
      <w:bookmarkStart w:id="970" w:name="_Toc169250823"/>
      <w:bookmarkStart w:id="971" w:name="_Toc193530985"/>
      <w:bookmarkStart w:id="972" w:name="_Toc193957041"/>
      <w:bookmarkStart w:id="973" w:name="_Toc203032731"/>
      <w:r w:rsidRPr="00033A3F">
        <w:rPr>
          <w:color w:val="000000" w:themeColor="text1"/>
        </w:rPr>
        <w:lastRenderedPageBreak/>
        <w:t>Krajské soudy</w:t>
      </w:r>
      <w:bookmarkEnd w:id="968"/>
      <w:bookmarkEnd w:id="969"/>
      <w:bookmarkEnd w:id="970"/>
      <w:bookmarkEnd w:id="971"/>
      <w:bookmarkEnd w:id="972"/>
      <w:bookmarkEnd w:id="973"/>
    </w:p>
    <w:p w14:paraId="3CC9C1FB" w14:textId="1AA2D92D" w:rsidR="008430BD" w:rsidRPr="00033A3F" w:rsidRDefault="008430BD" w:rsidP="008430BD">
      <w:pPr>
        <w:pStyle w:val="Nadpis2"/>
        <w:keepNext w:val="0"/>
        <w:numPr>
          <w:ilvl w:val="1"/>
          <w:numId w:val="1"/>
        </w:numPr>
        <w:spacing w:before="120"/>
      </w:pPr>
      <w:bookmarkStart w:id="974" w:name="_Toc106092747"/>
      <w:bookmarkStart w:id="975" w:name="_Toc515871245"/>
      <w:bookmarkStart w:id="976" w:name="_Toc106092748"/>
      <w:bookmarkStart w:id="977" w:name="_Toc169250824"/>
      <w:bookmarkStart w:id="978" w:name="_Toc193530986"/>
      <w:bookmarkStart w:id="979" w:name="_Toc193957042"/>
      <w:bookmarkStart w:id="980" w:name="_Toc203032732"/>
      <w:bookmarkEnd w:id="974"/>
      <w:r w:rsidRPr="00033A3F">
        <w:t>Personál</w:t>
      </w:r>
      <w:bookmarkEnd w:id="975"/>
      <w:bookmarkEnd w:id="976"/>
      <w:bookmarkEnd w:id="977"/>
      <w:bookmarkEnd w:id="978"/>
      <w:bookmarkEnd w:id="979"/>
      <w:bookmarkEnd w:id="980"/>
    </w:p>
    <w:p w14:paraId="01CFD1FD" w14:textId="5F83716F" w:rsidR="00295A7A" w:rsidRPr="00033A3F" w:rsidRDefault="00295A7A" w:rsidP="004C0D35">
      <w:pPr>
        <w:pStyle w:val="OdstavecASR"/>
        <w:rPr>
          <w:color w:val="000000" w:themeColor="text1"/>
        </w:rPr>
      </w:pPr>
      <w:r w:rsidRPr="00033A3F">
        <w:rPr>
          <w:color w:val="000000" w:themeColor="text1"/>
        </w:rPr>
        <w:t>Struktura kapitoly je stejná jako u okresních soudů – první část se věnuje soudcům, druhá se zaměřuje na ostatní personál ve výkonu a třetí se věnuje přísedícím.</w:t>
      </w:r>
    </w:p>
    <w:p w14:paraId="6BF51150" w14:textId="6CD4CF8C" w:rsidR="002D7898" w:rsidRPr="00033A3F" w:rsidRDefault="002D7898" w:rsidP="002D7898">
      <w:pPr>
        <w:pStyle w:val="Nadpis3"/>
        <w:keepNext w:val="0"/>
        <w:numPr>
          <w:ilvl w:val="2"/>
          <w:numId w:val="1"/>
        </w:numPr>
        <w:rPr>
          <w:color w:val="000000" w:themeColor="text1"/>
        </w:rPr>
      </w:pPr>
      <w:bookmarkStart w:id="981" w:name="_Toc515871246"/>
      <w:bookmarkStart w:id="982" w:name="_Toc106092749"/>
      <w:bookmarkStart w:id="983" w:name="_Toc169250825"/>
      <w:bookmarkStart w:id="984" w:name="_Toc193530987"/>
      <w:bookmarkStart w:id="985" w:name="_Toc193957043"/>
      <w:bookmarkStart w:id="986" w:name="_Toc203032733"/>
      <w:r w:rsidRPr="00033A3F">
        <w:rPr>
          <w:color w:val="000000" w:themeColor="text1"/>
        </w:rPr>
        <w:t>Soudci</w:t>
      </w:r>
      <w:bookmarkEnd w:id="981"/>
      <w:bookmarkEnd w:id="982"/>
      <w:bookmarkEnd w:id="983"/>
      <w:bookmarkEnd w:id="984"/>
      <w:bookmarkEnd w:id="985"/>
      <w:bookmarkEnd w:id="986"/>
    </w:p>
    <w:p w14:paraId="52A5BCEA" w14:textId="31E4DF64" w:rsidR="00B91C24" w:rsidRPr="00033A3F" w:rsidRDefault="00B91C24" w:rsidP="004C0D35">
      <w:pPr>
        <w:pStyle w:val="OdstavecASR"/>
        <w:rPr>
          <w:color w:val="000000" w:themeColor="text1"/>
        </w:rPr>
      </w:pPr>
      <w:r w:rsidRPr="00033A3F">
        <w:rPr>
          <w:color w:val="000000" w:themeColor="text1"/>
        </w:rPr>
        <w:t>Stejně jako u okresních soudů je počet soudců u krajských soudů poměrně stabilní s mírnými výkyvy</w:t>
      </w:r>
      <w:r w:rsidR="00256D7D" w:rsidRPr="00033A3F">
        <w:rPr>
          <w:color w:val="000000" w:themeColor="text1"/>
        </w:rPr>
        <w:t xml:space="preserve"> </w:t>
      </w:r>
      <w:r w:rsidR="009F0144" w:rsidRPr="00033A3F">
        <w:rPr>
          <w:color w:val="000000" w:themeColor="text1"/>
        </w:rPr>
        <w:t>– u evidenčních počtů to platí dlouhodobě, u plánovaných přinejmenším od roku 2021</w:t>
      </w:r>
      <w:r w:rsidRPr="00033A3F">
        <w:rPr>
          <w:color w:val="000000" w:themeColor="text1"/>
        </w:rPr>
        <w:t>. V grafu a tabulce níže jsou porovnány plánovaný, evidenční a skutečný počet soudců.</w:t>
      </w:r>
    </w:p>
    <w:p w14:paraId="3B4D4682" w14:textId="2D9C3E0E" w:rsidR="00B91C24" w:rsidRPr="00033A3F" w:rsidRDefault="00B91C24" w:rsidP="00B91C24">
      <w:pPr>
        <w:pStyle w:val="Podnadpis"/>
        <w:numPr>
          <w:ilvl w:val="0"/>
          <w:numId w:val="0"/>
        </w:numPr>
        <w:rPr>
          <w:color w:val="000000" w:themeColor="text1"/>
        </w:rPr>
      </w:pPr>
      <w:bookmarkStart w:id="987" w:name="_Ref512499826"/>
      <w:bookmarkStart w:id="988" w:name="_Toc515871376"/>
      <w:bookmarkStart w:id="989" w:name="_Toc11135107"/>
      <w:bookmarkStart w:id="990" w:name="_Toc43841426"/>
      <w:bookmarkStart w:id="991" w:name="_Toc75952230"/>
      <w:bookmarkStart w:id="992" w:name="_Toc106106686"/>
      <w:bookmarkStart w:id="993" w:name="_Toc109802010"/>
      <w:bookmarkStart w:id="994" w:name="_Toc144104160"/>
      <w:bookmarkStart w:id="995" w:name="_Toc169250971"/>
      <w:bookmarkStart w:id="996" w:name="_Toc174080657"/>
      <w:bookmarkStart w:id="997" w:name="_Toc193530808"/>
      <w:bookmarkStart w:id="998" w:name="_Toc193634082"/>
      <w:bookmarkStart w:id="999" w:name="_Toc20303288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53</w:t>
      </w:r>
      <w:r w:rsidRPr="00033A3F">
        <w:rPr>
          <w:color w:val="000000" w:themeColor="text1"/>
        </w:rPr>
        <w:fldChar w:fldCharType="end"/>
      </w:r>
      <w:bookmarkEnd w:id="987"/>
      <w:r w:rsidRPr="00033A3F">
        <w:rPr>
          <w:color w:val="000000" w:themeColor="text1"/>
        </w:rPr>
        <w:t xml:space="preserve">: </w:t>
      </w:r>
      <w:bookmarkEnd w:id="988"/>
      <w:bookmarkEnd w:id="989"/>
      <w:bookmarkEnd w:id="990"/>
      <w:bookmarkEnd w:id="991"/>
      <w:bookmarkEnd w:id="992"/>
      <w:bookmarkEnd w:id="993"/>
      <w:bookmarkEnd w:id="994"/>
      <w:r w:rsidRPr="00033A3F">
        <w:rPr>
          <w:color w:val="000000" w:themeColor="text1"/>
        </w:rPr>
        <w:t>KS – počet soudců v roce 202</w:t>
      </w:r>
      <w:bookmarkEnd w:id="995"/>
      <w:bookmarkEnd w:id="996"/>
      <w:r w:rsidRPr="00033A3F">
        <w:rPr>
          <w:color w:val="000000" w:themeColor="text1"/>
        </w:rPr>
        <w:t>4</w:t>
      </w:r>
      <w:bookmarkEnd w:id="997"/>
      <w:bookmarkEnd w:id="998"/>
      <w:bookmarkEnd w:id="999"/>
    </w:p>
    <w:p w14:paraId="448FA2C2" w14:textId="0476B1A3" w:rsidR="00B91C24" w:rsidRPr="00033A3F" w:rsidRDefault="00B91C24" w:rsidP="00B91C24">
      <w:pPr>
        <w:rPr>
          <w:color w:val="000000" w:themeColor="text1"/>
        </w:rPr>
      </w:pPr>
      <w:r w:rsidRPr="00033A3F">
        <w:rPr>
          <w:noProof/>
          <w:color w:val="000000" w:themeColor="text1"/>
          <w:lang w:eastAsia="cs-CZ"/>
        </w:rPr>
        <w:drawing>
          <wp:inline distT="0" distB="0" distL="0" distR="0" wp14:anchorId="39D49303" wp14:editId="03C53F13">
            <wp:extent cx="5029200" cy="3657600"/>
            <wp:effectExtent l="0" t="0" r="0" b="0"/>
            <wp:docPr id="175508987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93DEF4F" w14:textId="2CE77F6B" w:rsidR="008645AE" w:rsidRPr="00033A3F" w:rsidRDefault="008645AE" w:rsidP="008645AE">
      <w:pPr>
        <w:pStyle w:val="Podnadpis"/>
        <w:numPr>
          <w:ilvl w:val="0"/>
          <w:numId w:val="0"/>
        </w:numPr>
        <w:rPr>
          <w:color w:val="000000" w:themeColor="text1"/>
        </w:rPr>
      </w:pPr>
      <w:bookmarkStart w:id="1000" w:name="_Toc169251090"/>
      <w:bookmarkStart w:id="1001" w:name="_Toc174080776"/>
      <w:bookmarkStart w:id="1002" w:name="_Toc193530907"/>
      <w:bookmarkStart w:id="1003" w:name="_Toc194045603"/>
      <w:bookmarkStart w:id="1004" w:name="_Toc199495013"/>
      <w:bookmarkStart w:id="1005" w:name="_Toc203033073"/>
      <w:bookmarkStart w:id="1006" w:name="_Toc203033151"/>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31</w:t>
      </w:r>
      <w:r w:rsidRPr="00033A3F">
        <w:rPr>
          <w:color w:val="000000" w:themeColor="text1"/>
        </w:rPr>
        <w:fldChar w:fldCharType="end"/>
      </w:r>
      <w:r w:rsidRPr="00033A3F">
        <w:rPr>
          <w:color w:val="000000" w:themeColor="text1"/>
        </w:rPr>
        <w:t xml:space="preserve">: </w:t>
      </w:r>
      <w:r w:rsidR="000567C0" w:rsidRPr="00033A3F">
        <w:rPr>
          <w:color w:val="000000" w:themeColor="text1"/>
        </w:rPr>
        <w:t xml:space="preserve">KS </w:t>
      </w:r>
      <w:r w:rsidRPr="00033A3F">
        <w:rPr>
          <w:color w:val="000000" w:themeColor="text1"/>
        </w:rPr>
        <w:t xml:space="preserve">– počet soudců dle </w:t>
      </w:r>
      <w:r w:rsidR="00A8692D" w:rsidRPr="00033A3F">
        <w:rPr>
          <w:color w:val="000000" w:themeColor="text1"/>
        </w:rPr>
        <w:t>soudů</w:t>
      </w:r>
      <w:r w:rsidRPr="00033A3F">
        <w:rPr>
          <w:color w:val="000000" w:themeColor="text1"/>
        </w:rPr>
        <w:t>, 202</w:t>
      </w:r>
      <w:bookmarkEnd w:id="1000"/>
      <w:bookmarkEnd w:id="1001"/>
      <w:r w:rsidR="00CB1286" w:rsidRPr="00033A3F">
        <w:rPr>
          <w:color w:val="000000" w:themeColor="text1"/>
        </w:rPr>
        <w:t>4</w:t>
      </w:r>
      <w:bookmarkEnd w:id="1002"/>
      <w:bookmarkEnd w:id="1003"/>
      <w:bookmarkEnd w:id="1004"/>
      <w:bookmarkEnd w:id="1005"/>
      <w:bookmarkEnd w:id="1006"/>
    </w:p>
    <w:tbl>
      <w:tblPr>
        <w:tblW w:w="8904" w:type="dxa"/>
        <w:tblCellMar>
          <w:left w:w="70" w:type="dxa"/>
          <w:right w:w="70" w:type="dxa"/>
        </w:tblCellMar>
        <w:tblLook w:val="04A0" w:firstRow="1" w:lastRow="0" w:firstColumn="1" w:lastColumn="0" w:noHBand="0" w:noVBand="1"/>
      </w:tblPr>
      <w:tblGrid>
        <w:gridCol w:w="2080"/>
        <w:gridCol w:w="1531"/>
        <w:gridCol w:w="1528"/>
        <w:gridCol w:w="1528"/>
        <w:gridCol w:w="2237"/>
      </w:tblGrid>
      <w:tr w:rsidR="0057327F" w:rsidRPr="009E5DD6" w14:paraId="79739D2B" w14:textId="77777777" w:rsidTr="0057327F">
        <w:trPr>
          <w:trHeight w:val="451"/>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5B88637" w14:textId="19B94DE0" w:rsidR="0057327F" w:rsidRPr="009E5DD6" w:rsidRDefault="0057327F" w:rsidP="009E5DD6">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Pr="009E5DD6">
              <w:rPr>
                <w:rFonts w:eastAsia="Times New Roman"/>
                <w:b/>
                <w:bCs/>
                <w:color w:val="000000"/>
                <w:szCs w:val="24"/>
                <w:lang w:eastAsia="cs-CZ"/>
              </w:rPr>
              <w:t>oud</w:t>
            </w:r>
          </w:p>
        </w:tc>
        <w:tc>
          <w:tcPr>
            <w:tcW w:w="1531" w:type="dxa"/>
            <w:vMerge w:val="restart"/>
            <w:tcBorders>
              <w:top w:val="double" w:sz="6" w:space="0" w:color="auto"/>
              <w:left w:val="nil"/>
              <w:bottom w:val="double" w:sz="6" w:space="0" w:color="000000"/>
              <w:right w:val="nil"/>
            </w:tcBorders>
            <w:shd w:val="clear" w:color="auto" w:fill="auto"/>
            <w:vAlign w:val="center"/>
            <w:hideMark/>
          </w:tcPr>
          <w:p w14:paraId="1301AE12"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Plánovaný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427FA3F5" w14:textId="43FAB52D"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Evide</w:t>
            </w:r>
            <w:r>
              <w:rPr>
                <w:rFonts w:eastAsia="Times New Roman"/>
                <w:b/>
                <w:bCs/>
                <w:color w:val="000000"/>
                <w:szCs w:val="24"/>
                <w:lang w:eastAsia="cs-CZ"/>
              </w:rPr>
              <w:t>n</w:t>
            </w:r>
            <w:r w:rsidRPr="009E5DD6">
              <w:rPr>
                <w:rFonts w:eastAsia="Times New Roman"/>
                <w:b/>
                <w:bCs/>
                <w:color w:val="000000"/>
                <w:szCs w:val="24"/>
                <w:lang w:eastAsia="cs-CZ"/>
              </w:rPr>
              <w:t>ční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35C1C96B"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Skutečný počet soudců</w:t>
            </w:r>
          </w:p>
        </w:tc>
        <w:tc>
          <w:tcPr>
            <w:tcW w:w="2237" w:type="dxa"/>
            <w:vMerge w:val="restart"/>
            <w:tcBorders>
              <w:top w:val="double" w:sz="6" w:space="0" w:color="auto"/>
              <w:left w:val="nil"/>
              <w:bottom w:val="double" w:sz="6" w:space="0" w:color="000000"/>
              <w:right w:val="nil"/>
            </w:tcBorders>
            <w:shd w:val="clear" w:color="auto" w:fill="auto"/>
            <w:vAlign w:val="center"/>
            <w:hideMark/>
          </w:tcPr>
          <w:p w14:paraId="6658D86C"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Podíl skutečný/plánovaný počet soudců</w:t>
            </w:r>
          </w:p>
        </w:tc>
      </w:tr>
      <w:tr w:rsidR="0057327F" w:rsidRPr="009E5DD6" w14:paraId="461B3209" w14:textId="77777777" w:rsidTr="0057327F">
        <w:trPr>
          <w:trHeight w:val="645"/>
        </w:trPr>
        <w:tc>
          <w:tcPr>
            <w:tcW w:w="2080" w:type="dxa"/>
            <w:vMerge/>
            <w:tcBorders>
              <w:top w:val="double" w:sz="6" w:space="0" w:color="auto"/>
              <w:left w:val="nil"/>
              <w:bottom w:val="double" w:sz="6" w:space="0" w:color="000000"/>
              <w:right w:val="nil"/>
            </w:tcBorders>
            <w:vAlign w:val="center"/>
            <w:hideMark/>
          </w:tcPr>
          <w:p w14:paraId="63617713" w14:textId="77777777" w:rsidR="0057327F" w:rsidRPr="009E5DD6" w:rsidRDefault="0057327F" w:rsidP="009E5DD6">
            <w:pPr>
              <w:spacing w:line="240" w:lineRule="auto"/>
              <w:jc w:val="left"/>
              <w:rPr>
                <w:rFonts w:eastAsia="Times New Roman"/>
                <w:b/>
                <w:bCs/>
                <w:color w:val="000000"/>
                <w:szCs w:val="24"/>
                <w:lang w:eastAsia="cs-CZ"/>
              </w:rPr>
            </w:pPr>
          </w:p>
        </w:tc>
        <w:tc>
          <w:tcPr>
            <w:tcW w:w="1531" w:type="dxa"/>
            <w:vMerge/>
            <w:tcBorders>
              <w:top w:val="double" w:sz="6" w:space="0" w:color="auto"/>
              <w:left w:val="nil"/>
              <w:bottom w:val="double" w:sz="6" w:space="0" w:color="000000"/>
              <w:right w:val="nil"/>
            </w:tcBorders>
            <w:vAlign w:val="center"/>
            <w:hideMark/>
          </w:tcPr>
          <w:p w14:paraId="2D2208DE" w14:textId="77777777" w:rsidR="0057327F" w:rsidRPr="009E5DD6" w:rsidRDefault="0057327F" w:rsidP="009E5DD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0DBAF4E2" w14:textId="77777777" w:rsidR="0057327F" w:rsidRPr="009E5DD6" w:rsidRDefault="0057327F" w:rsidP="009E5DD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58513979" w14:textId="77777777" w:rsidR="0057327F" w:rsidRPr="009E5DD6" w:rsidRDefault="0057327F" w:rsidP="009E5DD6">
            <w:pPr>
              <w:spacing w:line="240" w:lineRule="auto"/>
              <w:jc w:val="left"/>
              <w:rPr>
                <w:rFonts w:eastAsia="Times New Roman"/>
                <w:b/>
                <w:bCs/>
                <w:color w:val="000000"/>
                <w:szCs w:val="24"/>
                <w:lang w:eastAsia="cs-CZ"/>
              </w:rPr>
            </w:pPr>
          </w:p>
        </w:tc>
        <w:tc>
          <w:tcPr>
            <w:tcW w:w="2237" w:type="dxa"/>
            <w:vMerge/>
            <w:tcBorders>
              <w:top w:val="double" w:sz="6" w:space="0" w:color="auto"/>
              <w:left w:val="nil"/>
              <w:bottom w:val="double" w:sz="6" w:space="0" w:color="000000"/>
              <w:right w:val="nil"/>
            </w:tcBorders>
            <w:vAlign w:val="center"/>
            <w:hideMark/>
          </w:tcPr>
          <w:p w14:paraId="3F16B9B7" w14:textId="77777777" w:rsidR="0057327F" w:rsidRPr="009E5DD6" w:rsidRDefault="0057327F" w:rsidP="009E5DD6">
            <w:pPr>
              <w:spacing w:line="240" w:lineRule="auto"/>
              <w:jc w:val="left"/>
              <w:rPr>
                <w:rFonts w:eastAsia="Times New Roman"/>
                <w:b/>
                <w:bCs/>
                <w:color w:val="000000"/>
                <w:szCs w:val="24"/>
                <w:lang w:eastAsia="cs-CZ"/>
              </w:rPr>
            </w:pPr>
          </w:p>
        </w:tc>
      </w:tr>
      <w:tr w:rsidR="0057327F" w:rsidRPr="009E5DD6" w14:paraId="41682523" w14:textId="77777777" w:rsidTr="0057327F">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1C5B57B7"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MS Praha</w:t>
            </w:r>
          </w:p>
        </w:tc>
        <w:tc>
          <w:tcPr>
            <w:tcW w:w="1531" w:type="dxa"/>
            <w:tcBorders>
              <w:top w:val="single" w:sz="4" w:space="0" w:color="auto"/>
              <w:left w:val="nil"/>
              <w:bottom w:val="single" w:sz="4" w:space="0" w:color="auto"/>
              <w:right w:val="nil"/>
            </w:tcBorders>
            <w:shd w:val="clear" w:color="auto" w:fill="auto"/>
            <w:noWrap/>
            <w:vAlign w:val="bottom"/>
            <w:hideMark/>
          </w:tcPr>
          <w:p w14:paraId="7740D627"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255</w:t>
            </w:r>
          </w:p>
        </w:tc>
        <w:tc>
          <w:tcPr>
            <w:tcW w:w="1528" w:type="dxa"/>
            <w:tcBorders>
              <w:top w:val="single" w:sz="4" w:space="0" w:color="auto"/>
              <w:left w:val="nil"/>
              <w:bottom w:val="single" w:sz="4" w:space="0" w:color="auto"/>
              <w:right w:val="nil"/>
            </w:tcBorders>
            <w:shd w:val="clear" w:color="auto" w:fill="auto"/>
            <w:noWrap/>
            <w:vAlign w:val="bottom"/>
            <w:hideMark/>
          </w:tcPr>
          <w:p w14:paraId="0D648BBC"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225</w:t>
            </w:r>
          </w:p>
        </w:tc>
        <w:tc>
          <w:tcPr>
            <w:tcW w:w="1528" w:type="dxa"/>
            <w:tcBorders>
              <w:top w:val="single" w:sz="4" w:space="0" w:color="auto"/>
              <w:left w:val="nil"/>
              <w:bottom w:val="single" w:sz="4" w:space="0" w:color="auto"/>
              <w:right w:val="nil"/>
            </w:tcBorders>
            <w:shd w:val="clear" w:color="auto" w:fill="auto"/>
            <w:noWrap/>
            <w:vAlign w:val="bottom"/>
            <w:hideMark/>
          </w:tcPr>
          <w:p w14:paraId="65515E9F" w14:textId="5B1557E8"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225</w:t>
            </w:r>
            <w:r>
              <w:rPr>
                <w:rFonts w:eastAsia="Times New Roman"/>
                <w:color w:val="000000"/>
                <w:szCs w:val="24"/>
                <w:lang w:eastAsia="cs-CZ"/>
              </w:rPr>
              <w:t>,</w:t>
            </w:r>
            <w:r w:rsidRPr="009E5DD6">
              <w:rPr>
                <w:rFonts w:eastAsia="Times New Roman"/>
                <w:color w:val="000000"/>
                <w:szCs w:val="24"/>
                <w:lang w:eastAsia="cs-CZ"/>
              </w:rPr>
              <w:t>2</w:t>
            </w:r>
          </w:p>
        </w:tc>
        <w:tc>
          <w:tcPr>
            <w:tcW w:w="2237" w:type="dxa"/>
            <w:tcBorders>
              <w:top w:val="single" w:sz="4" w:space="0" w:color="auto"/>
              <w:left w:val="nil"/>
              <w:bottom w:val="single" w:sz="4" w:space="0" w:color="auto"/>
              <w:right w:val="nil"/>
            </w:tcBorders>
            <w:shd w:val="clear" w:color="auto" w:fill="auto"/>
            <w:noWrap/>
            <w:vAlign w:val="bottom"/>
            <w:hideMark/>
          </w:tcPr>
          <w:p w14:paraId="7DA7E3DB" w14:textId="3E718208"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88</w:t>
            </w:r>
            <w:r>
              <w:rPr>
                <w:rFonts w:eastAsia="Times New Roman"/>
                <w:color w:val="000000"/>
                <w:szCs w:val="24"/>
                <w:lang w:eastAsia="cs-CZ"/>
              </w:rPr>
              <w:t>,</w:t>
            </w:r>
            <w:r w:rsidRPr="009E5DD6">
              <w:rPr>
                <w:rFonts w:eastAsia="Times New Roman"/>
                <w:color w:val="000000"/>
                <w:szCs w:val="24"/>
                <w:lang w:eastAsia="cs-CZ"/>
              </w:rPr>
              <w:t>31 %</w:t>
            </w:r>
          </w:p>
        </w:tc>
      </w:tr>
      <w:tr w:rsidR="0057327F" w:rsidRPr="009E5DD6" w14:paraId="743216F5"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5365897A"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Praha</w:t>
            </w:r>
          </w:p>
        </w:tc>
        <w:tc>
          <w:tcPr>
            <w:tcW w:w="1531" w:type="dxa"/>
            <w:tcBorders>
              <w:top w:val="nil"/>
              <w:left w:val="nil"/>
              <w:bottom w:val="single" w:sz="4" w:space="0" w:color="auto"/>
              <w:right w:val="nil"/>
            </w:tcBorders>
            <w:shd w:val="clear" w:color="auto" w:fill="auto"/>
            <w:noWrap/>
            <w:vAlign w:val="bottom"/>
            <w:hideMark/>
          </w:tcPr>
          <w:p w14:paraId="7957FE62"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88</w:t>
            </w:r>
          </w:p>
        </w:tc>
        <w:tc>
          <w:tcPr>
            <w:tcW w:w="1528" w:type="dxa"/>
            <w:tcBorders>
              <w:top w:val="nil"/>
              <w:left w:val="nil"/>
              <w:bottom w:val="single" w:sz="4" w:space="0" w:color="auto"/>
              <w:right w:val="nil"/>
            </w:tcBorders>
            <w:shd w:val="clear" w:color="auto" w:fill="auto"/>
            <w:noWrap/>
            <w:vAlign w:val="bottom"/>
            <w:hideMark/>
          </w:tcPr>
          <w:p w14:paraId="3FC6F97A"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95</w:t>
            </w:r>
          </w:p>
        </w:tc>
        <w:tc>
          <w:tcPr>
            <w:tcW w:w="1528" w:type="dxa"/>
            <w:tcBorders>
              <w:top w:val="nil"/>
              <w:left w:val="nil"/>
              <w:bottom w:val="single" w:sz="4" w:space="0" w:color="auto"/>
              <w:right w:val="nil"/>
            </w:tcBorders>
            <w:shd w:val="clear" w:color="auto" w:fill="auto"/>
            <w:noWrap/>
            <w:vAlign w:val="bottom"/>
            <w:hideMark/>
          </w:tcPr>
          <w:p w14:paraId="4F5D8B2C" w14:textId="583312E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96</w:t>
            </w:r>
            <w:r>
              <w:rPr>
                <w:rFonts w:eastAsia="Times New Roman"/>
                <w:color w:val="000000"/>
                <w:szCs w:val="24"/>
                <w:lang w:eastAsia="cs-CZ"/>
              </w:rPr>
              <w:t>,</w:t>
            </w:r>
            <w:r w:rsidRPr="009E5DD6">
              <w:rPr>
                <w:rFonts w:eastAsia="Times New Roman"/>
                <w:color w:val="000000"/>
                <w:szCs w:val="24"/>
                <w:lang w:eastAsia="cs-CZ"/>
              </w:rPr>
              <w:t>5</w:t>
            </w:r>
          </w:p>
        </w:tc>
        <w:tc>
          <w:tcPr>
            <w:tcW w:w="2237" w:type="dxa"/>
            <w:tcBorders>
              <w:top w:val="nil"/>
              <w:left w:val="nil"/>
              <w:bottom w:val="single" w:sz="4" w:space="0" w:color="auto"/>
              <w:right w:val="nil"/>
            </w:tcBorders>
            <w:shd w:val="clear" w:color="auto" w:fill="auto"/>
            <w:noWrap/>
            <w:vAlign w:val="bottom"/>
            <w:hideMark/>
          </w:tcPr>
          <w:p w14:paraId="52B0E642" w14:textId="68D44863"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109</w:t>
            </w:r>
            <w:r>
              <w:rPr>
                <w:rFonts w:eastAsia="Times New Roman"/>
                <w:color w:val="000000"/>
                <w:szCs w:val="24"/>
                <w:lang w:eastAsia="cs-CZ"/>
              </w:rPr>
              <w:t>,</w:t>
            </w:r>
            <w:r w:rsidRPr="009E5DD6">
              <w:rPr>
                <w:rFonts w:eastAsia="Times New Roman"/>
                <w:color w:val="000000"/>
                <w:szCs w:val="24"/>
                <w:lang w:eastAsia="cs-CZ"/>
              </w:rPr>
              <w:t>66 %</w:t>
            </w:r>
          </w:p>
        </w:tc>
      </w:tr>
      <w:tr w:rsidR="0057327F" w:rsidRPr="009E5DD6" w14:paraId="1EC177FC"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40A79B22"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Č. Budějovice</w:t>
            </w:r>
          </w:p>
        </w:tc>
        <w:tc>
          <w:tcPr>
            <w:tcW w:w="1531" w:type="dxa"/>
            <w:tcBorders>
              <w:top w:val="nil"/>
              <w:left w:val="nil"/>
              <w:bottom w:val="single" w:sz="4" w:space="0" w:color="auto"/>
              <w:right w:val="nil"/>
            </w:tcBorders>
            <w:shd w:val="clear" w:color="auto" w:fill="auto"/>
            <w:noWrap/>
            <w:vAlign w:val="bottom"/>
            <w:hideMark/>
          </w:tcPr>
          <w:p w14:paraId="78F73101"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44</w:t>
            </w:r>
          </w:p>
        </w:tc>
        <w:tc>
          <w:tcPr>
            <w:tcW w:w="1528" w:type="dxa"/>
            <w:tcBorders>
              <w:top w:val="nil"/>
              <w:left w:val="nil"/>
              <w:bottom w:val="single" w:sz="4" w:space="0" w:color="auto"/>
              <w:right w:val="nil"/>
            </w:tcBorders>
            <w:shd w:val="clear" w:color="auto" w:fill="auto"/>
            <w:noWrap/>
            <w:vAlign w:val="bottom"/>
            <w:hideMark/>
          </w:tcPr>
          <w:p w14:paraId="3E1FE268"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50</w:t>
            </w:r>
          </w:p>
        </w:tc>
        <w:tc>
          <w:tcPr>
            <w:tcW w:w="1528" w:type="dxa"/>
            <w:tcBorders>
              <w:top w:val="nil"/>
              <w:left w:val="nil"/>
              <w:bottom w:val="single" w:sz="4" w:space="0" w:color="auto"/>
              <w:right w:val="nil"/>
            </w:tcBorders>
            <w:shd w:val="clear" w:color="auto" w:fill="auto"/>
            <w:noWrap/>
            <w:vAlign w:val="bottom"/>
            <w:hideMark/>
          </w:tcPr>
          <w:p w14:paraId="683D911C" w14:textId="55CE4909"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44</w:t>
            </w:r>
            <w:r>
              <w:rPr>
                <w:rFonts w:eastAsia="Times New Roman"/>
                <w:color w:val="000000"/>
                <w:szCs w:val="24"/>
                <w:lang w:eastAsia="cs-CZ"/>
              </w:rPr>
              <w:t>,</w:t>
            </w:r>
            <w:r w:rsidRPr="009E5DD6">
              <w:rPr>
                <w:rFonts w:eastAsia="Times New Roman"/>
                <w:color w:val="000000"/>
                <w:szCs w:val="24"/>
                <w:lang w:eastAsia="cs-CZ"/>
              </w:rPr>
              <w:t>75</w:t>
            </w:r>
          </w:p>
        </w:tc>
        <w:tc>
          <w:tcPr>
            <w:tcW w:w="2237" w:type="dxa"/>
            <w:tcBorders>
              <w:top w:val="nil"/>
              <w:left w:val="nil"/>
              <w:bottom w:val="single" w:sz="4" w:space="0" w:color="auto"/>
              <w:right w:val="nil"/>
            </w:tcBorders>
            <w:shd w:val="clear" w:color="auto" w:fill="auto"/>
            <w:noWrap/>
            <w:vAlign w:val="bottom"/>
            <w:hideMark/>
          </w:tcPr>
          <w:p w14:paraId="1CF4DD81" w14:textId="2B5A6AD9"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101</w:t>
            </w:r>
            <w:r>
              <w:rPr>
                <w:rFonts w:eastAsia="Times New Roman"/>
                <w:color w:val="000000"/>
                <w:szCs w:val="24"/>
                <w:lang w:eastAsia="cs-CZ"/>
              </w:rPr>
              <w:t>,</w:t>
            </w:r>
            <w:r w:rsidRPr="009E5DD6">
              <w:rPr>
                <w:rFonts w:eastAsia="Times New Roman"/>
                <w:color w:val="000000"/>
                <w:szCs w:val="24"/>
                <w:lang w:eastAsia="cs-CZ"/>
              </w:rPr>
              <w:t>70 %</w:t>
            </w:r>
          </w:p>
        </w:tc>
      </w:tr>
      <w:tr w:rsidR="0057327F" w:rsidRPr="009E5DD6" w14:paraId="443DFD46"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7F24C367"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Plzeň</w:t>
            </w:r>
          </w:p>
        </w:tc>
        <w:tc>
          <w:tcPr>
            <w:tcW w:w="1531" w:type="dxa"/>
            <w:tcBorders>
              <w:top w:val="nil"/>
              <w:left w:val="nil"/>
              <w:bottom w:val="single" w:sz="4" w:space="0" w:color="auto"/>
              <w:right w:val="nil"/>
            </w:tcBorders>
            <w:shd w:val="clear" w:color="auto" w:fill="auto"/>
            <w:noWrap/>
            <w:vAlign w:val="bottom"/>
            <w:hideMark/>
          </w:tcPr>
          <w:p w14:paraId="406943D9"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74</w:t>
            </w:r>
          </w:p>
        </w:tc>
        <w:tc>
          <w:tcPr>
            <w:tcW w:w="1528" w:type="dxa"/>
            <w:tcBorders>
              <w:top w:val="nil"/>
              <w:left w:val="nil"/>
              <w:bottom w:val="single" w:sz="4" w:space="0" w:color="auto"/>
              <w:right w:val="nil"/>
            </w:tcBorders>
            <w:shd w:val="clear" w:color="auto" w:fill="auto"/>
            <w:noWrap/>
            <w:vAlign w:val="bottom"/>
            <w:hideMark/>
          </w:tcPr>
          <w:p w14:paraId="215CB85F"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66</w:t>
            </w:r>
          </w:p>
        </w:tc>
        <w:tc>
          <w:tcPr>
            <w:tcW w:w="1528" w:type="dxa"/>
            <w:tcBorders>
              <w:top w:val="nil"/>
              <w:left w:val="nil"/>
              <w:bottom w:val="single" w:sz="4" w:space="0" w:color="auto"/>
              <w:right w:val="nil"/>
            </w:tcBorders>
            <w:shd w:val="clear" w:color="auto" w:fill="auto"/>
            <w:noWrap/>
            <w:vAlign w:val="bottom"/>
            <w:hideMark/>
          </w:tcPr>
          <w:p w14:paraId="7D19D47F" w14:textId="13AA5CA1"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66</w:t>
            </w:r>
            <w:r>
              <w:rPr>
                <w:rFonts w:eastAsia="Times New Roman"/>
                <w:color w:val="000000"/>
                <w:szCs w:val="24"/>
                <w:lang w:eastAsia="cs-CZ"/>
              </w:rPr>
              <w:t>,</w:t>
            </w:r>
            <w:r w:rsidRPr="009E5DD6">
              <w:rPr>
                <w:rFonts w:eastAsia="Times New Roman"/>
                <w:color w:val="000000"/>
                <w:szCs w:val="24"/>
                <w:lang w:eastAsia="cs-CZ"/>
              </w:rPr>
              <w:t>1</w:t>
            </w:r>
          </w:p>
        </w:tc>
        <w:tc>
          <w:tcPr>
            <w:tcW w:w="2237" w:type="dxa"/>
            <w:tcBorders>
              <w:top w:val="nil"/>
              <w:left w:val="nil"/>
              <w:bottom w:val="single" w:sz="4" w:space="0" w:color="auto"/>
              <w:right w:val="nil"/>
            </w:tcBorders>
            <w:shd w:val="clear" w:color="auto" w:fill="auto"/>
            <w:noWrap/>
            <w:vAlign w:val="bottom"/>
            <w:hideMark/>
          </w:tcPr>
          <w:p w14:paraId="62FA10FC" w14:textId="4B30A5C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89</w:t>
            </w:r>
            <w:r>
              <w:rPr>
                <w:rFonts w:eastAsia="Times New Roman"/>
                <w:color w:val="000000"/>
                <w:szCs w:val="24"/>
                <w:lang w:eastAsia="cs-CZ"/>
              </w:rPr>
              <w:t>,</w:t>
            </w:r>
            <w:r w:rsidRPr="009E5DD6">
              <w:rPr>
                <w:rFonts w:eastAsia="Times New Roman"/>
                <w:color w:val="000000"/>
                <w:szCs w:val="24"/>
                <w:lang w:eastAsia="cs-CZ"/>
              </w:rPr>
              <w:t>32 %</w:t>
            </w:r>
          </w:p>
        </w:tc>
      </w:tr>
      <w:tr w:rsidR="0057327F" w:rsidRPr="009E5DD6" w14:paraId="691F6E6D"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192A47C4"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Ústí n. Labem</w:t>
            </w:r>
          </w:p>
        </w:tc>
        <w:tc>
          <w:tcPr>
            <w:tcW w:w="1531" w:type="dxa"/>
            <w:tcBorders>
              <w:top w:val="nil"/>
              <w:left w:val="nil"/>
              <w:bottom w:val="single" w:sz="4" w:space="0" w:color="auto"/>
              <w:right w:val="nil"/>
            </w:tcBorders>
            <w:shd w:val="clear" w:color="auto" w:fill="auto"/>
            <w:noWrap/>
            <w:vAlign w:val="bottom"/>
            <w:hideMark/>
          </w:tcPr>
          <w:p w14:paraId="060FDBCF"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120</w:t>
            </w:r>
          </w:p>
        </w:tc>
        <w:tc>
          <w:tcPr>
            <w:tcW w:w="1528" w:type="dxa"/>
            <w:tcBorders>
              <w:top w:val="nil"/>
              <w:left w:val="nil"/>
              <w:bottom w:val="single" w:sz="4" w:space="0" w:color="auto"/>
              <w:right w:val="nil"/>
            </w:tcBorders>
            <w:shd w:val="clear" w:color="auto" w:fill="auto"/>
            <w:noWrap/>
            <w:vAlign w:val="bottom"/>
            <w:hideMark/>
          </w:tcPr>
          <w:p w14:paraId="2970511E"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114</w:t>
            </w:r>
          </w:p>
        </w:tc>
        <w:tc>
          <w:tcPr>
            <w:tcW w:w="1528" w:type="dxa"/>
            <w:tcBorders>
              <w:top w:val="nil"/>
              <w:left w:val="nil"/>
              <w:bottom w:val="single" w:sz="4" w:space="0" w:color="auto"/>
              <w:right w:val="nil"/>
            </w:tcBorders>
            <w:shd w:val="clear" w:color="auto" w:fill="auto"/>
            <w:noWrap/>
            <w:vAlign w:val="bottom"/>
            <w:hideMark/>
          </w:tcPr>
          <w:p w14:paraId="54E4B939" w14:textId="6019909F"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112</w:t>
            </w:r>
            <w:r>
              <w:rPr>
                <w:rFonts w:eastAsia="Times New Roman"/>
                <w:color w:val="000000"/>
                <w:szCs w:val="24"/>
                <w:lang w:eastAsia="cs-CZ"/>
              </w:rPr>
              <w:t>,</w:t>
            </w:r>
            <w:r w:rsidRPr="009E5DD6">
              <w:rPr>
                <w:rFonts w:eastAsia="Times New Roman"/>
                <w:color w:val="000000"/>
                <w:szCs w:val="24"/>
                <w:lang w:eastAsia="cs-CZ"/>
              </w:rPr>
              <w:t>73</w:t>
            </w:r>
          </w:p>
        </w:tc>
        <w:tc>
          <w:tcPr>
            <w:tcW w:w="2237" w:type="dxa"/>
            <w:tcBorders>
              <w:top w:val="nil"/>
              <w:left w:val="nil"/>
              <w:bottom w:val="single" w:sz="4" w:space="0" w:color="auto"/>
              <w:right w:val="nil"/>
            </w:tcBorders>
            <w:shd w:val="clear" w:color="auto" w:fill="auto"/>
            <w:noWrap/>
            <w:vAlign w:val="bottom"/>
            <w:hideMark/>
          </w:tcPr>
          <w:p w14:paraId="65A2AAED" w14:textId="2EE83334"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93</w:t>
            </w:r>
            <w:r>
              <w:rPr>
                <w:rFonts w:eastAsia="Times New Roman"/>
                <w:color w:val="000000"/>
                <w:szCs w:val="24"/>
                <w:lang w:eastAsia="cs-CZ"/>
              </w:rPr>
              <w:t>,</w:t>
            </w:r>
            <w:r w:rsidRPr="009E5DD6">
              <w:rPr>
                <w:rFonts w:eastAsia="Times New Roman"/>
                <w:color w:val="000000"/>
                <w:szCs w:val="24"/>
                <w:lang w:eastAsia="cs-CZ"/>
              </w:rPr>
              <w:t>94 %</w:t>
            </w:r>
          </w:p>
        </w:tc>
      </w:tr>
      <w:tr w:rsidR="0057327F" w:rsidRPr="009E5DD6" w14:paraId="4D8493B3"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75DC4A60"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Hr. Králové</w:t>
            </w:r>
          </w:p>
        </w:tc>
        <w:tc>
          <w:tcPr>
            <w:tcW w:w="1531" w:type="dxa"/>
            <w:tcBorders>
              <w:top w:val="nil"/>
              <w:left w:val="nil"/>
              <w:bottom w:val="single" w:sz="4" w:space="0" w:color="auto"/>
              <w:right w:val="nil"/>
            </w:tcBorders>
            <w:shd w:val="clear" w:color="auto" w:fill="auto"/>
            <w:noWrap/>
            <w:vAlign w:val="bottom"/>
            <w:hideMark/>
          </w:tcPr>
          <w:p w14:paraId="1F1E2B9B"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79</w:t>
            </w:r>
          </w:p>
        </w:tc>
        <w:tc>
          <w:tcPr>
            <w:tcW w:w="1528" w:type="dxa"/>
            <w:tcBorders>
              <w:top w:val="nil"/>
              <w:left w:val="nil"/>
              <w:bottom w:val="single" w:sz="4" w:space="0" w:color="auto"/>
              <w:right w:val="nil"/>
            </w:tcBorders>
            <w:shd w:val="clear" w:color="auto" w:fill="auto"/>
            <w:noWrap/>
            <w:vAlign w:val="bottom"/>
            <w:hideMark/>
          </w:tcPr>
          <w:p w14:paraId="637B8DFB"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79</w:t>
            </w:r>
          </w:p>
        </w:tc>
        <w:tc>
          <w:tcPr>
            <w:tcW w:w="1528" w:type="dxa"/>
            <w:tcBorders>
              <w:top w:val="nil"/>
              <w:left w:val="nil"/>
              <w:bottom w:val="single" w:sz="4" w:space="0" w:color="auto"/>
              <w:right w:val="nil"/>
            </w:tcBorders>
            <w:shd w:val="clear" w:color="auto" w:fill="auto"/>
            <w:noWrap/>
            <w:vAlign w:val="bottom"/>
            <w:hideMark/>
          </w:tcPr>
          <w:p w14:paraId="1602CAA0" w14:textId="4C73EA98"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76</w:t>
            </w:r>
            <w:r>
              <w:rPr>
                <w:rFonts w:eastAsia="Times New Roman"/>
                <w:color w:val="000000"/>
                <w:szCs w:val="24"/>
                <w:lang w:eastAsia="cs-CZ"/>
              </w:rPr>
              <w:t>,</w:t>
            </w:r>
            <w:r w:rsidRPr="009E5DD6">
              <w:rPr>
                <w:rFonts w:eastAsia="Times New Roman"/>
                <w:color w:val="000000"/>
                <w:szCs w:val="24"/>
                <w:lang w:eastAsia="cs-CZ"/>
              </w:rPr>
              <w:t>35</w:t>
            </w:r>
          </w:p>
        </w:tc>
        <w:tc>
          <w:tcPr>
            <w:tcW w:w="2237" w:type="dxa"/>
            <w:tcBorders>
              <w:top w:val="nil"/>
              <w:left w:val="nil"/>
              <w:bottom w:val="single" w:sz="4" w:space="0" w:color="auto"/>
              <w:right w:val="nil"/>
            </w:tcBorders>
            <w:shd w:val="clear" w:color="auto" w:fill="auto"/>
            <w:noWrap/>
            <w:vAlign w:val="bottom"/>
            <w:hideMark/>
          </w:tcPr>
          <w:p w14:paraId="042419F2" w14:textId="72A83CBD"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96</w:t>
            </w:r>
            <w:r>
              <w:rPr>
                <w:rFonts w:eastAsia="Times New Roman"/>
                <w:color w:val="000000"/>
                <w:szCs w:val="24"/>
                <w:lang w:eastAsia="cs-CZ"/>
              </w:rPr>
              <w:t>,</w:t>
            </w:r>
            <w:r w:rsidRPr="009E5DD6">
              <w:rPr>
                <w:rFonts w:eastAsia="Times New Roman"/>
                <w:color w:val="000000"/>
                <w:szCs w:val="24"/>
                <w:lang w:eastAsia="cs-CZ"/>
              </w:rPr>
              <w:t>65 %</w:t>
            </w:r>
          </w:p>
        </w:tc>
      </w:tr>
      <w:tr w:rsidR="0057327F" w:rsidRPr="009E5DD6" w14:paraId="22EE0B5F"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722315A9"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Brno</w:t>
            </w:r>
          </w:p>
        </w:tc>
        <w:tc>
          <w:tcPr>
            <w:tcW w:w="1531" w:type="dxa"/>
            <w:tcBorders>
              <w:top w:val="nil"/>
              <w:left w:val="nil"/>
              <w:bottom w:val="single" w:sz="4" w:space="0" w:color="auto"/>
              <w:right w:val="nil"/>
            </w:tcBorders>
            <w:shd w:val="clear" w:color="auto" w:fill="auto"/>
            <w:noWrap/>
            <w:vAlign w:val="bottom"/>
            <w:hideMark/>
          </w:tcPr>
          <w:p w14:paraId="4702FA37"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139</w:t>
            </w:r>
          </w:p>
        </w:tc>
        <w:tc>
          <w:tcPr>
            <w:tcW w:w="1528" w:type="dxa"/>
            <w:tcBorders>
              <w:top w:val="nil"/>
              <w:left w:val="nil"/>
              <w:bottom w:val="single" w:sz="4" w:space="0" w:color="auto"/>
              <w:right w:val="nil"/>
            </w:tcBorders>
            <w:shd w:val="clear" w:color="auto" w:fill="auto"/>
            <w:noWrap/>
            <w:vAlign w:val="bottom"/>
            <w:hideMark/>
          </w:tcPr>
          <w:p w14:paraId="5845F9B4"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150</w:t>
            </w:r>
          </w:p>
        </w:tc>
        <w:tc>
          <w:tcPr>
            <w:tcW w:w="1528" w:type="dxa"/>
            <w:tcBorders>
              <w:top w:val="nil"/>
              <w:left w:val="nil"/>
              <w:bottom w:val="single" w:sz="4" w:space="0" w:color="auto"/>
              <w:right w:val="nil"/>
            </w:tcBorders>
            <w:shd w:val="clear" w:color="auto" w:fill="auto"/>
            <w:noWrap/>
            <w:vAlign w:val="bottom"/>
            <w:hideMark/>
          </w:tcPr>
          <w:p w14:paraId="0F89538C" w14:textId="1713B4D0"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152</w:t>
            </w:r>
            <w:r>
              <w:rPr>
                <w:rFonts w:eastAsia="Times New Roman"/>
                <w:color w:val="000000"/>
                <w:szCs w:val="24"/>
                <w:lang w:eastAsia="cs-CZ"/>
              </w:rPr>
              <w:t>,</w:t>
            </w:r>
            <w:r w:rsidRPr="009E5DD6">
              <w:rPr>
                <w:rFonts w:eastAsia="Times New Roman"/>
                <w:color w:val="000000"/>
                <w:szCs w:val="24"/>
                <w:lang w:eastAsia="cs-CZ"/>
              </w:rPr>
              <w:t>5</w:t>
            </w:r>
          </w:p>
        </w:tc>
        <w:tc>
          <w:tcPr>
            <w:tcW w:w="2237" w:type="dxa"/>
            <w:tcBorders>
              <w:top w:val="nil"/>
              <w:left w:val="nil"/>
              <w:bottom w:val="single" w:sz="4" w:space="0" w:color="auto"/>
              <w:right w:val="nil"/>
            </w:tcBorders>
            <w:shd w:val="clear" w:color="auto" w:fill="auto"/>
            <w:noWrap/>
            <w:vAlign w:val="bottom"/>
            <w:hideMark/>
          </w:tcPr>
          <w:p w14:paraId="2256DD94" w14:textId="77B0578C"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109</w:t>
            </w:r>
            <w:r>
              <w:rPr>
                <w:rFonts w:eastAsia="Times New Roman"/>
                <w:color w:val="000000"/>
                <w:szCs w:val="24"/>
                <w:lang w:eastAsia="cs-CZ"/>
              </w:rPr>
              <w:t>,</w:t>
            </w:r>
            <w:r w:rsidRPr="009E5DD6">
              <w:rPr>
                <w:rFonts w:eastAsia="Times New Roman"/>
                <w:color w:val="000000"/>
                <w:szCs w:val="24"/>
                <w:lang w:eastAsia="cs-CZ"/>
              </w:rPr>
              <w:t>71 %</w:t>
            </w:r>
          </w:p>
        </w:tc>
      </w:tr>
      <w:tr w:rsidR="0057327F" w:rsidRPr="009E5DD6" w14:paraId="35E82C1E" w14:textId="77777777" w:rsidTr="003D5F1A">
        <w:trPr>
          <w:trHeight w:val="330"/>
        </w:trPr>
        <w:tc>
          <w:tcPr>
            <w:tcW w:w="2080" w:type="dxa"/>
            <w:tcBorders>
              <w:top w:val="nil"/>
              <w:left w:val="nil"/>
              <w:bottom w:val="double" w:sz="6" w:space="0" w:color="auto"/>
              <w:right w:val="nil"/>
            </w:tcBorders>
            <w:shd w:val="clear" w:color="auto" w:fill="auto"/>
            <w:noWrap/>
            <w:vAlign w:val="bottom"/>
            <w:hideMark/>
          </w:tcPr>
          <w:p w14:paraId="21370CA9"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Ostrava</w:t>
            </w:r>
          </w:p>
        </w:tc>
        <w:tc>
          <w:tcPr>
            <w:tcW w:w="1531" w:type="dxa"/>
            <w:tcBorders>
              <w:top w:val="nil"/>
              <w:left w:val="nil"/>
              <w:bottom w:val="double" w:sz="6" w:space="0" w:color="auto"/>
              <w:right w:val="nil"/>
            </w:tcBorders>
            <w:shd w:val="clear" w:color="auto" w:fill="auto"/>
            <w:noWrap/>
            <w:vAlign w:val="bottom"/>
            <w:hideMark/>
          </w:tcPr>
          <w:p w14:paraId="57ED7E5E"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142</w:t>
            </w:r>
          </w:p>
        </w:tc>
        <w:tc>
          <w:tcPr>
            <w:tcW w:w="1528" w:type="dxa"/>
            <w:tcBorders>
              <w:top w:val="nil"/>
              <w:left w:val="nil"/>
              <w:bottom w:val="double" w:sz="6" w:space="0" w:color="auto"/>
              <w:right w:val="nil"/>
            </w:tcBorders>
            <w:shd w:val="clear" w:color="auto" w:fill="auto"/>
            <w:noWrap/>
            <w:vAlign w:val="bottom"/>
            <w:hideMark/>
          </w:tcPr>
          <w:p w14:paraId="4D15C738"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140</w:t>
            </w:r>
          </w:p>
        </w:tc>
        <w:tc>
          <w:tcPr>
            <w:tcW w:w="1528" w:type="dxa"/>
            <w:tcBorders>
              <w:top w:val="nil"/>
              <w:left w:val="nil"/>
              <w:bottom w:val="double" w:sz="6" w:space="0" w:color="auto"/>
              <w:right w:val="nil"/>
            </w:tcBorders>
            <w:shd w:val="clear" w:color="auto" w:fill="auto"/>
            <w:noWrap/>
            <w:vAlign w:val="bottom"/>
            <w:hideMark/>
          </w:tcPr>
          <w:p w14:paraId="57889ED6" w14:textId="116A7764"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138</w:t>
            </w:r>
            <w:r>
              <w:rPr>
                <w:rFonts w:eastAsia="Times New Roman"/>
                <w:color w:val="000000"/>
                <w:szCs w:val="24"/>
                <w:lang w:eastAsia="cs-CZ"/>
              </w:rPr>
              <w:t>,</w:t>
            </w:r>
            <w:r w:rsidRPr="009E5DD6">
              <w:rPr>
                <w:rFonts w:eastAsia="Times New Roman"/>
                <w:color w:val="000000"/>
                <w:szCs w:val="24"/>
                <w:lang w:eastAsia="cs-CZ"/>
              </w:rPr>
              <w:t>2</w:t>
            </w:r>
          </w:p>
        </w:tc>
        <w:tc>
          <w:tcPr>
            <w:tcW w:w="2237" w:type="dxa"/>
            <w:tcBorders>
              <w:top w:val="nil"/>
              <w:left w:val="nil"/>
              <w:bottom w:val="double" w:sz="6" w:space="0" w:color="auto"/>
              <w:right w:val="nil"/>
            </w:tcBorders>
            <w:shd w:val="clear" w:color="auto" w:fill="auto"/>
            <w:noWrap/>
            <w:vAlign w:val="bottom"/>
            <w:hideMark/>
          </w:tcPr>
          <w:p w14:paraId="2F425C5F" w14:textId="21E2B8C6"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97</w:t>
            </w:r>
            <w:r>
              <w:rPr>
                <w:rFonts w:eastAsia="Times New Roman"/>
                <w:color w:val="000000"/>
                <w:szCs w:val="24"/>
                <w:lang w:eastAsia="cs-CZ"/>
              </w:rPr>
              <w:t>,</w:t>
            </w:r>
            <w:r w:rsidRPr="009E5DD6">
              <w:rPr>
                <w:rFonts w:eastAsia="Times New Roman"/>
                <w:color w:val="000000"/>
                <w:szCs w:val="24"/>
                <w:lang w:eastAsia="cs-CZ"/>
              </w:rPr>
              <w:t>32 %</w:t>
            </w:r>
          </w:p>
        </w:tc>
      </w:tr>
      <w:tr w:rsidR="0057327F" w:rsidRPr="009E5DD6" w14:paraId="2BBAA6E4" w14:textId="77777777" w:rsidTr="003D5F1A">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26F158B6" w14:textId="77777777" w:rsidR="0057327F" w:rsidRPr="009E5DD6" w:rsidRDefault="0057327F" w:rsidP="009E5DD6">
            <w:pPr>
              <w:spacing w:line="240" w:lineRule="auto"/>
              <w:jc w:val="left"/>
              <w:rPr>
                <w:rFonts w:eastAsia="Times New Roman"/>
                <w:b/>
                <w:bCs/>
                <w:color w:val="000000"/>
                <w:szCs w:val="24"/>
                <w:lang w:eastAsia="cs-CZ"/>
              </w:rPr>
            </w:pPr>
            <w:r w:rsidRPr="009E5DD6">
              <w:rPr>
                <w:rFonts w:eastAsia="Times New Roman"/>
                <w:b/>
                <w:bCs/>
                <w:color w:val="000000"/>
                <w:szCs w:val="24"/>
                <w:lang w:eastAsia="cs-CZ"/>
              </w:rPr>
              <w:t>Celkem ČR</w:t>
            </w:r>
          </w:p>
        </w:tc>
        <w:tc>
          <w:tcPr>
            <w:tcW w:w="1531" w:type="dxa"/>
            <w:tcBorders>
              <w:top w:val="double" w:sz="6" w:space="0" w:color="auto"/>
              <w:left w:val="nil"/>
              <w:bottom w:val="double" w:sz="6" w:space="0" w:color="auto"/>
              <w:right w:val="nil"/>
            </w:tcBorders>
            <w:shd w:val="clear" w:color="auto" w:fill="auto"/>
            <w:noWrap/>
            <w:vAlign w:val="bottom"/>
            <w:hideMark/>
          </w:tcPr>
          <w:p w14:paraId="13E5017B"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941</w:t>
            </w:r>
          </w:p>
        </w:tc>
        <w:tc>
          <w:tcPr>
            <w:tcW w:w="1528" w:type="dxa"/>
            <w:tcBorders>
              <w:top w:val="double" w:sz="6" w:space="0" w:color="auto"/>
              <w:left w:val="nil"/>
              <w:bottom w:val="double" w:sz="6" w:space="0" w:color="auto"/>
              <w:right w:val="nil"/>
            </w:tcBorders>
            <w:shd w:val="clear" w:color="auto" w:fill="auto"/>
            <w:noWrap/>
            <w:vAlign w:val="bottom"/>
            <w:hideMark/>
          </w:tcPr>
          <w:p w14:paraId="53768A79"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919</w:t>
            </w:r>
          </w:p>
        </w:tc>
        <w:tc>
          <w:tcPr>
            <w:tcW w:w="1528" w:type="dxa"/>
            <w:tcBorders>
              <w:top w:val="double" w:sz="6" w:space="0" w:color="auto"/>
              <w:left w:val="nil"/>
              <w:bottom w:val="double" w:sz="6" w:space="0" w:color="auto"/>
              <w:right w:val="nil"/>
            </w:tcBorders>
            <w:shd w:val="clear" w:color="auto" w:fill="auto"/>
            <w:noWrap/>
            <w:vAlign w:val="bottom"/>
            <w:hideMark/>
          </w:tcPr>
          <w:p w14:paraId="05AB260B" w14:textId="0BF919FA"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912</w:t>
            </w:r>
            <w:r>
              <w:rPr>
                <w:rFonts w:eastAsia="Times New Roman"/>
                <w:b/>
                <w:bCs/>
                <w:color w:val="000000"/>
                <w:szCs w:val="24"/>
                <w:lang w:eastAsia="cs-CZ"/>
              </w:rPr>
              <w:t>,</w:t>
            </w:r>
            <w:r w:rsidRPr="009E5DD6">
              <w:rPr>
                <w:rFonts w:eastAsia="Times New Roman"/>
                <w:b/>
                <w:bCs/>
                <w:color w:val="000000"/>
                <w:szCs w:val="24"/>
                <w:lang w:eastAsia="cs-CZ"/>
              </w:rPr>
              <w:t>33</w:t>
            </w:r>
          </w:p>
        </w:tc>
        <w:tc>
          <w:tcPr>
            <w:tcW w:w="2237" w:type="dxa"/>
            <w:tcBorders>
              <w:top w:val="double" w:sz="6" w:space="0" w:color="auto"/>
              <w:left w:val="nil"/>
              <w:bottom w:val="double" w:sz="6" w:space="0" w:color="auto"/>
              <w:right w:val="nil"/>
            </w:tcBorders>
            <w:shd w:val="clear" w:color="auto" w:fill="auto"/>
            <w:noWrap/>
            <w:vAlign w:val="bottom"/>
            <w:hideMark/>
          </w:tcPr>
          <w:p w14:paraId="11DF1E8F" w14:textId="65B0A018"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96</w:t>
            </w:r>
            <w:r>
              <w:rPr>
                <w:rFonts w:eastAsia="Times New Roman"/>
                <w:b/>
                <w:bCs/>
                <w:color w:val="000000"/>
                <w:szCs w:val="24"/>
                <w:lang w:eastAsia="cs-CZ"/>
              </w:rPr>
              <w:t>,</w:t>
            </w:r>
            <w:r w:rsidRPr="009E5DD6">
              <w:rPr>
                <w:rFonts w:eastAsia="Times New Roman"/>
                <w:b/>
                <w:bCs/>
                <w:color w:val="000000"/>
                <w:szCs w:val="24"/>
                <w:lang w:eastAsia="cs-CZ"/>
              </w:rPr>
              <w:t>95 %</w:t>
            </w:r>
          </w:p>
        </w:tc>
      </w:tr>
    </w:tbl>
    <w:p w14:paraId="581812FE" w14:textId="695D8556" w:rsidR="008645AE" w:rsidRPr="00033A3F" w:rsidRDefault="002B14FE" w:rsidP="003E2A1B">
      <w:pPr>
        <w:rPr>
          <w:color w:val="000000" w:themeColor="text1"/>
        </w:rPr>
      </w:pPr>
      <w:r w:rsidRPr="00033A3F">
        <w:rPr>
          <w:color w:val="000000" w:themeColor="text1"/>
        </w:rPr>
        <w:lastRenderedPageBreak/>
        <w:t>V roce 2023 byl počet skutečných soudců v zásadě stejný jako počet plánovaný. V roce 2024 ale došlo k určitému poklesu a naplněnost soudů klesla na 9</w:t>
      </w:r>
      <w:r w:rsidR="003E2A1B" w:rsidRPr="00033A3F">
        <w:rPr>
          <w:color w:val="000000" w:themeColor="text1"/>
        </w:rPr>
        <w:t>6</w:t>
      </w:r>
      <w:r w:rsidRPr="00033A3F">
        <w:rPr>
          <w:color w:val="000000" w:themeColor="text1"/>
        </w:rPr>
        <w:t>,</w:t>
      </w:r>
      <w:r w:rsidR="003E2A1B" w:rsidRPr="00033A3F">
        <w:rPr>
          <w:color w:val="000000" w:themeColor="text1"/>
        </w:rPr>
        <w:t>92</w:t>
      </w:r>
      <w:r w:rsidRPr="00033A3F">
        <w:rPr>
          <w:color w:val="000000" w:themeColor="text1"/>
        </w:rPr>
        <w:t xml:space="preserve"> %. </w:t>
      </w:r>
      <w:r w:rsidR="008645AE" w:rsidRPr="00033A3F">
        <w:rPr>
          <w:color w:val="000000" w:themeColor="text1"/>
        </w:rPr>
        <w:t xml:space="preserve">Analyzovat tento jev ale přesahuje účel Výroční statistické zprávy. Roli zde určitě hraje dopad načasování jmenovacích etap a dopad stážistů z OS, který má tendenci zvyšovat skutečné počty. </w:t>
      </w:r>
      <w:r w:rsidR="00E66B92" w:rsidRPr="00033A3F">
        <w:rPr>
          <w:color w:val="000000" w:themeColor="text1"/>
        </w:rPr>
        <w:t>Opačný vliv</w:t>
      </w:r>
      <w:r w:rsidR="008645AE" w:rsidRPr="00033A3F">
        <w:rPr>
          <w:color w:val="000000" w:themeColor="text1"/>
        </w:rPr>
        <w:t xml:space="preserve"> mají nepřítomnosti (MD/RD, stáže u vyšších soudů, nemoci, dočasná zproštění).</w:t>
      </w:r>
    </w:p>
    <w:p w14:paraId="2E9D84F9" w14:textId="40F9E5E7" w:rsidR="008645AE" w:rsidRPr="00033A3F" w:rsidRDefault="008645AE" w:rsidP="008645AE">
      <w:pPr>
        <w:pStyle w:val="OdstavecASR"/>
        <w:rPr>
          <w:color w:val="000000" w:themeColor="text1"/>
        </w:rPr>
      </w:pPr>
      <w:r w:rsidRPr="00033A3F">
        <w:rPr>
          <w:color w:val="000000" w:themeColor="text1"/>
        </w:rPr>
        <w:t xml:space="preserve">Poměr velikosti soudních úseků je poměrně stabilní. U krajských soudů sledujeme výrazně více kategorií (agend), než u soudů okresních. V této souvislosti je třeba upozornit na to, že </w:t>
      </w:r>
      <w:r w:rsidR="00D53961" w:rsidRPr="00033A3F">
        <w:rPr>
          <w:color w:val="000000" w:themeColor="text1"/>
        </w:rPr>
        <w:t xml:space="preserve">v grafu níže </w:t>
      </w:r>
      <w:r w:rsidRPr="00033A3F">
        <w:rPr>
          <w:color w:val="000000" w:themeColor="text1"/>
        </w:rPr>
        <w:t>obchodní úsek nezahrnuje insolvenční agendu a insolvenční agenda nezahrnuje rejstřík ICm (incidenční spory).</w:t>
      </w:r>
    </w:p>
    <w:p w14:paraId="6C14E171" w14:textId="7FF58827" w:rsidR="00E22139" w:rsidRPr="00033A3F" w:rsidRDefault="008645AE" w:rsidP="00E22139">
      <w:pPr>
        <w:pStyle w:val="Podnadpis"/>
        <w:numPr>
          <w:ilvl w:val="0"/>
          <w:numId w:val="0"/>
        </w:numPr>
        <w:rPr>
          <w:color w:val="000000" w:themeColor="text1"/>
        </w:rPr>
      </w:pPr>
      <w:bookmarkStart w:id="1007" w:name="_Toc169250972"/>
      <w:bookmarkStart w:id="1008" w:name="_Toc174080658"/>
      <w:bookmarkStart w:id="1009" w:name="_Toc193530809"/>
      <w:bookmarkStart w:id="1010" w:name="_Toc193634083"/>
      <w:bookmarkStart w:id="1011" w:name="_Toc20303288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54</w:t>
      </w:r>
      <w:r w:rsidRPr="00033A3F">
        <w:rPr>
          <w:color w:val="000000" w:themeColor="text1"/>
        </w:rPr>
        <w:fldChar w:fldCharType="end"/>
      </w:r>
      <w:r w:rsidRPr="00033A3F">
        <w:rPr>
          <w:color w:val="000000" w:themeColor="text1"/>
        </w:rPr>
        <w:t>: KS – skutečný počet soudců dle úseků v roce 202</w:t>
      </w:r>
      <w:bookmarkEnd w:id="1007"/>
      <w:bookmarkEnd w:id="1008"/>
      <w:r w:rsidRPr="00033A3F">
        <w:rPr>
          <w:color w:val="000000" w:themeColor="text1"/>
        </w:rPr>
        <w:t>4</w:t>
      </w:r>
      <w:bookmarkEnd w:id="1009"/>
      <w:bookmarkEnd w:id="1010"/>
      <w:bookmarkEnd w:id="1011"/>
    </w:p>
    <w:p w14:paraId="0834D681" w14:textId="1419C554" w:rsidR="008645AE" w:rsidRPr="00033A3F" w:rsidRDefault="009E5DD6" w:rsidP="008645AE">
      <w:pPr>
        <w:rPr>
          <w:color w:val="000000" w:themeColor="text1"/>
        </w:rPr>
      </w:pPr>
      <w:r w:rsidRPr="009E5DD6">
        <w:rPr>
          <w:noProof/>
          <w:color w:val="000000" w:themeColor="text1"/>
        </w:rPr>
        <w:drawing>
          <wp:inline distT="0" distB="0" distL="0" distR="0" wp14:anchorId="68822AEB" wp14:editId="6B8CD023">
            <wp:extent cx="5029200" cy="3657600"/>
            <wp:effectExtent l="0" t="0" r="0" b="0"/>
            <wp:docPr id="5342308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54E3873" w14:textId="77777777" w:rsidR="008645AE" w:rsidRPr="00033A3F" w:rsidRDefault="008645AE" w:rsidP="008645AE">
      <w:pPr>
        <w:pStyle w:val="OdstavecASR"/>
        <w:rPr>
          <w:color w:val="000000" w:themeColor="text1"/>
        </w:rPr>
      </w:pPr>
    </w:p>
    <w:p w14:paraId="79529519" w14:textId="5981E9E0" w:rsidR="008645AE" w:rsidRPr="00033A3F" w:rsidRDefault="008645AE" w:rsidP="008645AE">
      <w:pPr>
        <w:pStyle w:val="OdstavecASR"/>
        <w:rPr>
          <w:color w:val="000000" w:themeColor="text1"/>
        </w:rPr>
      </w:pPr>
      <w:r w:rsidRPr="00033A3F">
        <w:rPr>
          <w:color w:val="000000" w:themeColor="text1"/>
        </w:rPr>
        <w:t>Z grafu a z následující tabulky lze vyčíst poměrně velké množství informací. Například:</w:t>
      </w:r>
    </w:p>
    <w:p w14:paraId="702EE5FA" w14:textId="77777777" w:rsidR="008645AE" w:rsidRPr="00033A3F" w:rsidRDefault="008645AE" w:rsidP="008645AE">
      <w:pPr>
        <w:pStyle w:val="OdstavecASR"/>
        <w:numPr>
          <w:ilvl w:val="0"/>
          <w:numId w:val="23"/>
        </w:numPr>
        <w:rPr>
          <w:color w:val="000000" w:themeColor="text1"/>
        </w:rPr>
      </w:pPr>
      <w:r w:rsidRPr="00033A3F">
        <w:rPr>
          <w:color w:val="000000" w:themeColor="text1"/>
        </w:rPr>
        <w:t>Asi 41 % soudců vyřizuje civilní agendu, přibližně 25 % působí na trestním úseku, cca 22 % se zabývá obchodní agendou (včetně insolvencí a incidenčních sporů) a zbytek (12 %) jsou soudci správní.</w:t>
      </w:r>
    </w:p>
    <w:p w14:paraId="52399870" w14:textId="77777777" w:rsidR="008645AE" w:rsidRPr="00033A3F" w:rsidRDefault="008645AE" w:rsidP="008645AE">
      <w:pPr>
        <w:pStyle w:val="OdstavecASR"/>
        <w:numPr>
          <w:ilvl w:val="0"/>
          <w:numId w:val="23"/>
        </w:numPr>
        <w:rPr>
          <w:color w:val="000000" w:themeColor="text1"/>
        </w:rPr>
      </w:pPr>
      <w:r w:rsidRPr="00033A3F">
        <w:rPr>
          <w:color w:val="000000" w:themeColor="text1"/>
        </w:rPr>
        <w:t>Velmi malý počet soudců vyřizuje prvostupňovou civilní agendu (představuje v zásadě jen rejstřík C), naopak civilní odvolací agenda (kde se rozhoduje v tříčlenných senátech) je nejobsáhlejší.</w:t>
      </w:r>
    </w:p>
    <w:p w14:paraId="37AE1704" w14:textId="693ADE80" w:rsidR="002F5CE6" w:rsidRPr="00033A3F" w:rsidRDefault="008645AE" w:rsidP="002F5CE6">
      <w:pPr>
        <w:pStyle w:val="OdstavecASR"/>
        <w:numPr>
          <w:ilvl w:val="0"/>
          <w:numId w:val="23"/>
        </w:numPr>
        <w:rPr>
          <w:color w:val="000000" w:themeColor="text1"/>
        </w:rPr>
      </w:pPr>
      <w:r w:rsidRPr="00033A3F">
        <w:rPr>
          <w:color w:val="000000" w:themeColor="text1"/>
        </w:rPr>
        <w:t>V trestní agendě jsou si počty soudců mnohem bližší, ale odvolací agendu stále vyřizuje více soudců než agendu prvostupňovou; o odvoláních a stížnostech rozhoduje senát o 3 soudcích, zatímco prvostupňovou agendu řeší vždy jeden soudce jako samosoudce nebo předseda senátu se dvěma přísedícími.</w:t>
      </w:r>
    </w:p>
    <w:p w14:paraId="5E935240" w14:textId="4A8D93FB" w:rsidR="000E596D" w:rsidRPr="000E596D" w:rsidRDefault="000E596D" w:rsidP="000E596D">
      <w:pPr>
        <w:pStyle w:val="Podnadpis"/>
        <w:numPr>
          <w:ilvl w:val="0"/>
          <w:numId w:val="0"/>
        </w:numPr>
        <w:rPr>
          <w:color w:val="000000" w:themeColor="text1"/>
        </w:rPr>
      </w:pPr>
      <w:bookmarkStart w:id="1012" w:name="_Toc203033074"/>
      <w:bookmarkStart w:id="1013" w:name="_Toc203033152"/>
      <w:r w:rsidRPr="000E596D">
        <w:rPr>
          <w:color w:val="000000" w:themeColor="text1"/>
        </w:rPr>
        <w:lastRenderedPageBreak/>
        <w:t xml:space="preserve">Tabulka </w:t>
      </w:r>
      <w:r w:rsidRPr="000E596D">
        <w:rPr>
          <w:color w:val="000000" w:themeColor="text1"/>
        </w:rPr>
        <w:fldChar w:fldCharType="begin"/>
      </w:r>
      <w:r w:rsidRPr="000E596D">
        <w:rPr>
          <w:color w:val="000000" w:themeColor="text1"/>
        </w:rPr>
        <w:instrText xml:space="preserve"> SEQ Tabulka \* ARABIC </w:instrText>
      </w:r>
      <w:r w:rsidRPr="000E596D">
        <w:rPr>
          <w:color w:val="000000" w:themeColor="text1"/>
        </w:rPr>
        <w:fldChar w:fldCharType="separate"/>
      </w:r>
      <w:r w:rsidR="00163B51">
        <w:rPr>
          <w:noProof/>
          <w:color w:val="000000" w:themeColor="text1"/>
        </w:rPr>
        <w:t>32</w:t>
      </w:r>
      <w:r w:rsidRPr="000E596D">
        <w:rPr>
          <w:color w:val="000000" w:themeColor="text1"/>
        </w:rPr>
        <w:fldChar w:fldCharType="end"/>
      </w:r>
      <w:r w:rsidR="00163B51">
        <w:rPr>
          <w:color w:val="000000" w:themeColor="text1"/>
        </w:rPr>
        <w:t>:</w:t>
      </w:r>
      <w:r>
        <w:rPr>
          <w:color w:val="000000" w:themeColor="text1"/>
        </w:rPr>
        <w:t xml:space="preserve"> </w:t>
      </w:r>
      <w:r w:rsidRPr="00033A3F">
        <w:rPr>
          <w:color w:val="000000" w:themeColor="text1"/>
        </w:rPr>
        <w:t>KS – počet soudců v roce 2024</w:t>
      </w:r>
      <w:bookmarkEnd w:id="1012"/>
      <w:bookmarkEnd w:id="1013"/>
    </w:p>
    <w:tbl>
      <w:tblPr>
        <w:tblW w:w="9214" w:type="dxa"/>
        <w:tblCellMar>
          <w:left w:w="70" w:type="dxa"/>
          <w:right w:w="70" w:type="dxa"/>
        </w:tblCellMar>
        <w:tblLook w:val="04A0" w:firstRow="1" w:lastRow="0" w:firstColumn="1" w:lastColumn="0" w:noHBand="0" w:noVBand="1"/>
      </w:tblPr>
      <w:tblGrid>
        <w:gridCol w:w="1985"/>
        <w:gridCol w:w="1559"/>
        <w:gridCol w:w="1418"/>
        <w:gridCol w:w="1513"/>
        <w:gridCol w:w="1322"/>
        <w:gridCol w:w="1417"/>
      </w:tblGrid>
      <w:tr w:rsidR="00C75983" w:rsidRPr="00C75983" w14:paraId="2284D584" w14:textId="77777777" w:rsidTr="003D5F1A">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p w14:paraId="689BFDFF" w14:textId="0D9DC33E" w:rsidR="00C75983" w:rsidRPr="00C75983" w:rsidRDefault="003D5F1A" w:rsidP="00C75983">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00C75983" w:rsidRPr="00C75983">
              <w:rPr>
                <w:rFonts w:eastAsia="Times New Roman"/>
                <w:b/>
                <w:bCs/>
                <w:color w:val="000000"/>
                <w:szCs w:val="24"/>
                <w:lang w:eastAsia="cs-CZ"/>
              </w:rPr>
              <w:t>oud</w:t>
            </w:r>
          </w:p>
        </w:tc>
        <w:tc>
          <w:tcPr>
            <w:tcW w:w="7229" w:type="dxa"/>
            <w:gridSpan w:val="5"/>
            <w:tcBorders>
              <w:top w:val="double" w:sz="6" w:space="0" w:color="auto"/>
              <w:left w:val="nil"/>
              <w:bottom w:val="nil"/>
              <w:right w:val="nil"/>
            </w:tcBorders>
            <w:shd w:val="clear" w:color="auto" w:fill="auto"/>
            <w:vAlign w:val="center"/>
            <w:hideMark/>
          </w:tcPr>
          <w:p w14:paraId="436C083D"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Skutečný počet úvazků</w:t>
            </w:r>
          </w:p>
        </w:tc>
      </w:tr>
      <w:tr w:rsidR="00C75983" w:rsidRPr="00C75983" w14:paraId="30587053" w14:textId="77777777" w:rsidTr="003D5F1A">
        <w:trPr>
          <w:trHeight w:val="645"/>
        </w:trPr>
        <w:tc>
          <w:tcPr>
            <w:tcW w:w="1985" w:type="dxa"/>
            <w:vMerge/>
            <w:tcBorders>
              <w:top w:val="double" w:sz="6" w:space="0" w:color="auto"/>
              <w:left w:val="nil"/>
              <w:bottom w:val="double" w:sz="6" w:space="0" w:color="000000"/>
              <w:right w:val="nil"/>
            </w:tcBorders>
            <w:vAlign w:val="center"/>
            <w:hideMark/>
          </w:tcPr>
          <w:p w14:paraId="5CFFFC1F" w14:textId="77777777" w:rsidR="00C75983" w:rsidRPr="00C75983" w:rsidRDefault="00C75983" w:rsidP="00C75983">
            <w:pPr>
              <w:spacing w:line="240" w:lineRule="auto"/>
              <w:jc w:val="left"/>
              <w:rPr>
                <w:rFonts w:eastAsia="Times New Roman"/>
                <w:b/>
                <w:bCs/>
                <w:color w:val="000000"/>
                <w:szCs w:val="24"/>
                <w:lang w:eastAsia="cs-CZ"/>
              </w:rPr>
            </w:pPr>
          </w:p>
        </w:tc>
        <w:tc>
          <w:tcPr>
            <w:tcW w:w="1559" w:type="dxa"/>
            <w:tcBorders>
              <w:top w:val="nil"/>
              <w:left w:val="nil"/>
              <w:bottom w:val="double" w:sz="6" w:space="0" w:color="auto"/>
              <w:right w:val="nil"/>
            </w:tcBorders>
            <w:shd w:val="clear" w:color="auto" w:fill="auto"/>
            <w:vAlign w:val="center"/>
            <w:hideMark/>
          </w:tcPr>
          <w:p w14:paraId="637822ED"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Civilní prvostupňová</w:t>
            </w:r>
          </w:p>
        </w:tc>
        <w:tc>
          <w:tcPr>
            <w:tcW w:w="1418" w:type="dxa"/>
            <w:tcBorders>
              <w:top w:val="nil"/>
              <w:left w:val="nil"/>
              <w:bottom w:val="double" w:sz="6" w:space="0" w:color="auto"/>
              <w:right w:val="nil"/>
            </w:tcBorders>
            <w:shd w:val="clear" w:color="auto" w:fill="auto"/>
            <w:vAlign w:val="center"/>
            <w:hideMark/>
          </w:tcPr>
          <w:p w14:paraId="12E0CCFF"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Civilní odvolací</w:t>
            </w:r>
          </w:p>
        </w:tc>
        <w:tc>
          <w:tcPr>
            <w:tcW w:w="1513" w:type="dxa"/>
            <w:tcBorders>
              <w:top w:val="nil"/>
              <w:left w:val="nil"/>
              <w:bottom w:val="double" w:sz="6" w:space="0" w:color="auto"/>
              <w:right w:val="nil"/>
            </w:tcBorders>
            <w:shd w:val="clear" w:color="auto" w:fill="auto"/>
            <w:vAlign w:val="center"/>
            <w:hideMark/>
          </w:tcPr>
          <w:p w14:paraId="5524FF85"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Trestní prvostupňová</w:t>
            </w:r>
          </w:p>
        </w:tc>
        <w:tc>
          <w:tcPr>
            <w:tcW w:w="1322" w:type="dxa"/>
            <w:tcBorders>
              <w:top w:val="nil"/>
              <w:left w:val="nil"/>
              <w:bottom w:val="double" w:sz="6" w:space="0" w:color="auto"/>
              <w:right w:val="nil"/>
            </w:tcBorders>
            <w:shd w:val="clear" w:color="auto" w:fill="auto"/>
            <w:vAlign w:val="center"/>
            <w:hideMark/>
          </w:tcPr>
          <w:p w14:paraId="076B6397"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Trestní odvolací</w:t>
            </w:r>
          </w:p>
        </w:tc>
        <w:tc>
          <w:tcPr>
            <w:tcW w:w="1417" w:type="dxa"/>
            <w:tcBorders>
              <w:top w:val="nil"/>
              <w:left w:val="nil"/>
              <w:bottom w:val="double" w:sz="6" w:space="0" w:color="auto"/>
              <w:right w:val="nil"/>
            </w:tcBorders>
            <w:shd w:val="clear" w:color="auto" w:fill="auto"/>
            <w:vAlign w:val="center"/>
            <w:hideMark/>
          </w:tcPr>
          <w:p w14:paraId="3DD85C44"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Obchodní</w:t>
            </w:r>
          </w:p>
        </w:tc>
      </w:tr>
      <w:tr w:rsidR="00C75983" w:rsidRPr="00C75983" w14:paraId="00DA466A" w14:textId="77777777" w:rsidTr="003D5F1A">
        <w:trPr>
          <w:trHeight w:val="330"/>
        </w:trPr>
        <w:tc>
          <w:tcPr>
            <w:tcW w:w="1985" w:type="dxa"/>
            <w:tcBorders>
              <w:top w:val="single" w:sz="4" w:space="0" w:color="auto"/>
              <w:left w:val="nil"/>
              <w:bottom w:val="single" w:sz="4" w:space="0" w:color="auto"/>
              <w:right w:val="nil"/>
            </w:tcBorders>
            <w:shd w:val="clear" w:color="auto" w:fill="auto"/>
            <w:noWrap/>
            <w:vAlign w:val="bottom"/>
            <w:hideMark/>
          </w:tcPr>
          <w:p w14:paraId="4BD9EEE7"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MS Praha</w:t>
            </w:r>
          </w:p>
        </w:tc>
        <w:tc>
          <w:tcPr>
            <w:tcW w:w="1559" w:type="dxa"/>
            <w:tcBorders>
              <w:top w:val="single" w:sz="4" w:space="0" w:color="auto"/>
              <w:left w:val="nil"/>
              <w:bottom w:val="single" w:sz="4" w:space="0" w:color="auto"/>
              <w:right w:val="nil"/>
            </w:tcBorders>
            <w:shd w:val="clear" w:color="auto" w:fill="auto"/>
            <w:noWrap/>
            <w:vAlign w:val="bottom"/>
            <w:hideMark/>
          </w:tcPr>
          <w:p w14:paraId="02AEEA17" w14:textId="46B0AC0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75</w:t>
            </w:r>
          </w:p>
        </w:tc>
        <w:tc>
          <w:tcPr>
            <w:tcW w:w="1418" w:type="dxa"/>
            <w:tcBorders>
              <w:top w:val="single" w:sz="4" w:space="0" w:color="auto"/>
              <w:left w:val="nil"/>
              <w:bottom w:val="single" w:sz="4" w:space="0" w:color="auto"/>
              <w:right w:val="nil"/>
            </w:tcBorders>
            <w:shd w:val="clear" w:color="auto" w:fill="auto"/>
            <w:noWrap/>
            <w:vAlign w:val="bottom"/>
            <w:hideMark/>
          </w:tcPr>
          <w:p w14:paraId="0B57237D" w14:textId="50F13AA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88</w:t>
            </w:r>
            <w:r>
              <w:rPr>
                <w:rFonts w:eastAsia="Times New Roman"/>
                <w:color w:val="000000"/>
                <w:szCs w:val="24"/>
                <w:lang w:eastAsia="cs-CZ"/>
              </w:rPr>
              <w:t>,</w:t>
            </w:r>
            <w:r w:rsidRPr="00C75983">
              <w:rPr>
                <w:rFonts w:eastAsia="Times New Roman"/>
                <w:color w:val="000000"/>
                <w:szCs w:val="24"/>
                <w:lang w:eastAsia="cs-CZ"/>
              </w:rPr>
              <w:t>75</w:t>
            </w:r>
          </w:p>
        </w:tc>
        <w:tc>
          <w:tcPr>
            <w:tcW w:w="1513" w:type="dxa"/>
            <w:tcBorders>
              <w:top w:val="single" w:sz="4" w:space="0" w:color="auto"/>
              <w:left w:val="nil"/>
              <w:bottom w:val="single" w:sz="4" w:space="0" w:color="auto"/>
              <w:right w:val="nil"/>
            </w:tcBorders>
            <w:shd w:val="clear" w:color="auto" w:fill="auto"/>
            <w:noWrap/>
            <w:vAlign w:val="bottom"/>
            <w:hideMark/>
          </w:tcPr>
          <w:p w14:paraId="28F92F8E" w14:textId="7FE2EA5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20</w:t>
            </w:r>
            <w:r>
              <w:rPr>
                <w:rFonts w:eastAsia="Times New Roman"/>
                <w:color w:val="000000"/>
                <w:szCs w:val="24"/>
                <w:lang w:eastAsia="cs-CZ"/>
              </w:rPr>
              <w:t>,</w:t>
            </w:r>
            <w:r w:rsidRPr="00C75983">
              <w:rPr>
                <w:rFonts w:eastAsia="Times New Roman"/>
                <w:color w:val="000000"/>
                <w:szCs w:val="24"/>
                <w:lang w:eastAsia="cs-CZ"/>
              </w:rPr>
              <w:t>30</w:t>
            </w:r>
          </w:p>
        </w:tc>
        <w:tc>
          <w:tcPr>
            <w:tcW w:w="1322" w:type="dxa"/>
            <w:tcBorders>
              <w:top w:val="single" w:sz="4" w:space="0" w:color="auto"/>
              <w:left w:val="nil"/>
              <w:bottom w:val="single" w:sz="4" w:space="0" w:color="auto"/>
              <w:right w:val="nil"/>
            </w:tcBorders>
            <w:shd w:val="clear" w:color="auto" w:fill="auto"/>
            <w:noWrap/>
            <w:vAlign w:val="bottom"/>
            <w:hideMark/>
          </w:tcPr>
          <w:p w14:paraId="7AA22D72" w14:textId="649897F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23</w:t>
            </w:r>
            <w:r>
              <w:rPr>
                <w:rFonts w:eastAsia="Times New Roman"/>
                <w:color w:val="000000"/>
                <w:szCs w:val="24"/>
                <w:lang w:eastAsia="cs-CZ"/>
              </w:rPr>
              <w:t>,</w:t>
            </w:r>
            <w:r w:rsidRPr="00C75983">
              <w:rPr>
                <w:rFonts w:eastAsia="Times New Roman"/>
                <w:color w:val="000000"/>
                <w:szCs w:val="24"/>
                <w:lang w:eastAsia="cs-CZ"/>
              </w:rPr>
              <w:t>00</w:t>
            </w:r>
          </w:p>
        </w:tc>
        <w:tc>
          <w:tcPr>
            <w:tcW w:w="1417" w:type="dxa"/>
            <w:tcBorders>
              <w:top w:val="single" w:sz="4" w:space="0" w:color="auto"/>
              <w:left w:val="nil"/>
              <w:bottom w:val="single" w:sz="4" w:space="0" w:color="auto"/>
              <w:right w:val="nil"/>
            </w:tcBorders>
            <w:shd w:val="clear" w:color="auto" w:fill="auto"/>
            <w:noWrap/>
            <w:vAlign w:val="bottom"/>
            <w:hideMark/>
          </w:tcPr>
          <w:p w14:paraId="3AB65B53" w14:textId="1728224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27</w:t>
            </w:r>
            <w:r>
              <w:rPr>
                <w:rFonts w:eastAsia="Times New Roman"/>
                <w:color w:val="000000"/>
                <w:szCs w:val="24"/>
                <w:lang w:eastAsia="cs-CZ"/>
              </w:rPr>
              <w:t>,</w:t>
            </w:r>
            <w:r w:rsidRPr="00C75983">
              <w:rPr>
                <w:rFonts w:eastAsia="Times New Roman"/>
                <w:color w:val="000000"/>
                <w:szCs w:val="24"/>
                <w:lang w:eastAsia="cs-CZ"/>
              </w:rPr>
              <w:t>30</w:t>
            </w:r>
          </w:p>
        </w:tc>
      </w:tr>
      <w:tr w:rsidR="00C75983" w:rsidRPr="00C75983" w14:paraId="39410EC5"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50CBFA04"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Praha</w:t>
            </w:r>
          </w:p>
        </w:tc>
        <w:tc>
          <w:tcPr>
            <w:tcW w:w="1559" w:type="dxa"/>
            <w:tcBorders>
              <w:top w:val="nil"/>
              <w:left w:val="nil"/>
              <w:bottom w:val="single" w:sz="4" w:space="0" w:color="auto"/>
              <w:right w:val="nil"/>
            </w:tcBorders>
            <w:shd w:val="clear" w:color="auto" w:fill="auto"/>
            <w:noWrap/>
            <w:vAlign w:val="bottom"/>
            <w:hideMark/>
          </w:tcPr>
          <w:p w14:paraId="3C435D6C" w14:textId="2E57B63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40</w:t>
            </w:r>
          </w:p>
        </w:tc>
        <w:tc>
          <w:tcPr>
            <w:tcW w:w="1418" w:type="dxa"/>
            <w:tcBorders>
              <w:top w:val="nil"/>
              <w:left w:val="nil"/>
              <w:bottom w:val="single" w:sz="4" w:space="0" w:color="auto"/>
              <w:right w:val="nil"/>
            </w:tcBorders>
            <w:shd w:val="clear" w:color="auto" w:fill="auto"/>
            <w:noWrap/>
            <w:vAlign w:val="bottom"/>
            <w:hideMark/>
          </w:tcPr>
          <w:p w14:paraId="7F63C1BC" w14:textId="0A63046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43</w:t>
            </w:r>
            <w:r>
              <w:rPr>
                <w:rFonts w:eastAsia="Times New Roman"/>
                <w:color w:val="000000"/>
                <w:szCs w:val="24"/>
                <w:lang w:eastAsia="cs-CZ"/>
              </w:rPr>
              <w:t>,</w:t>
            </w:r>
            <w:r w:rsidRPr="00C75983">
              <w:rPr>
                <w:rFonts w:eastAsia="Times New Roman"/>
                <w:color w:val="000000"/>
                <w:szCs w:val="24"/>
                <w:lang w:eastAsia="cs-CZ"/>
              </w:rPr>
              <w:t>75</w:t>
            </w:r>
          </w:p>
        </w:tc>
        <w:tc>
          <w:tcPr>
            <w:tcW w:w="1513" w:type="dxa"/>
            <w:tcBorders>
              <w:top w:val="nil"/>
              <w:left w:val="nil"/>
              <w:bottom w:val="single" w:sz="4" w:space="0" w:color="auto"/>
              <w:right w:val="nil"/>
            </w:tcBorders>
            <w:shd w:val="clear" w:color="auto" w:fill="auto"/>
            <w:noWrap/>
            <w:vAlign w:val="bottom"/>
            <w:hideMark/>
          </w:tcPr>
          <w:p w14:paraId="310C50C5" w14:textId="6985A95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75</w:t>
            </w:r>
          </w:p>
        </w:tc>
        <w:tc>
          <w:tcPr>
            <w:tcW w:w="1322" w:type="dxa"/>
            <w:tcBorders>
              <w:top w:val="nil"/>
              <w:left w:val="nil"/>
              <w:bottom w:val="single" w:sz="4" w:space="0" w:color="auto"/>
              <w:right w:val="nil"/>
            </w:tcBorders>
            <w:shd w:val="clear" w:color="auto" w:fill="auto"/>
            <w:noWrap/>
            <w:vAlign w:val="bottom"/>
            <w:hideMark/>
          </w:tcPr>
          <w:p w14:paraId="408358A1" w14:textId="109F916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16</w:t>
            </w:r>
            <w:r>
              <w:rPr>
                <w:rFonts w:eastAsia="Times New Roman"/>
                <w:color w:val="000000"/>
                <w:szCs w:val="24"/>
                <w:lang w:eastAsia="cs-CZ"/>
              </w:rPr>
              <w:t>,</w:t>
            </w:r>
            <w:r w:rsidRPr="00C75983">
              <w:rPr>
                <w:rFonts w:eastAsia="Times New Roman"/>
                <w:color w:val="000000"/>
                <w:szCs w:val="24"/>
                <w:lang w:eastAsia="cs-CZ"/>
              </w:rPr>
              <w:t>50</w:t>
            </w:r>
          </w:p>
        </w:tc>
        <w:tc>
          <w:tcPr>
            <w:tcW w:w="1417" w:type="dxa"/>
            <w:tcBorders>
              <w:top w:val="nil"/>
              <w:left w:val="nil"/>
              <w:bottom w:val="single" w:sz="4" w:space="0" w:color="auto"/>
              <w:right w:val="nil"/>
            </w:tcBorders>
            <w:shd w:val="clear" w:color="auto" w:fill="auto"/>
            <w:noWrap/>
            <w:vAlign w:val="bottom"/>
            <w:hideMark/>
          </w:tcPr>
          <w:p w14:paraId="09EBE1C6" w14:textId="357DB7A7"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w:t>
            </w:r>
            <w:r>
              <w:rPr>
                <w:rFonts w:eastAsia="Times New Roman"/>
                <w:color w:val="000000"/>
                <w:szCs w:val="24"/>
                <w:lang w:eastAsia="cs-CZ"/>
              </w:rPr>
              <w:t>,</w:t>
            </w:r>
            <w:r w:rsidRPr="00C75983">
              <w:rPr>
                <w:rFonts w:eastAsia="Times New Roman"/>
                <w:color w:val="000000"/>
                <w:szCs w:val="24"/>
                <w:lang w:eastAsia="cs-CZ"/>
              </w:rPr>
              <w:t>60</w:t>
            </w:r>
          </w:p>
        </w:tc>
      </w:tr>
      <w:tr w:rsidR="00C75983" w:rsidRPr="00C75983" w14:paraId="22E6AA02"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0FE06AFE"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Č. Budějovice</w:t>
            </w:r>
          </w:p>
        </w:tc>
        <w:tc>
          <w:tcPr>
            <w:tcW w:w="1559" w:type="dxa"/>
            <w:tcBorders>
              <w:top w:val="nil"/>
              <w:left w:val="nil"/>
              <w:bottom w:val="single" w:sz="4" w:space="0" w:color="auto"/>
              <w:right w:val="nil"/>
            </w:tcBorders>
            <w:shd w:val="clear" w:color="auto" w:fill="auto"/>
            <w:noWrap/>
            <w:vAlign w:val="bottom"/>
            <w:hideMark/>
          </w:tcPr>
          <w:p w14:paraId="2F755A6E" w14:textId="58B3508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50</w:t>
            </w:r>
          </w:p>
        </w:tc>
        <w:tc>
          <w:tcPr>
            <w:tcW w:w="1418" w:type="dxa"/>
            <w:tcBorders>
              <w:top w:val="nil"/>
              <w:left w:val="nil"/>
              <w:bottom w:val="single" w:sz="4" w:space="0" w:color="auto"/>
              <w:right w:val="nil"/>
            </w:tcBorders>
            <w:shd w:val="clear" w:color="auto" w:fill="auto"/>
            <w:noWrap/>
            <w:vAlign w:val="bottom"/>
            <w:hideMark/>
          </w:tcPr>
          <w:p w14:paraId="441B04BA" w14:textId="45BD5E23"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18</w:t>
            </w:r>
            <w:r>
              <w:rPr>
                <w:rFonts w:eastAsia="Times New Roman"/>
                <w:color w:val="000000"/>
                <w:szCs w:val="24"/>
                <w:lang w:eastAsia="cs-CZ"/>
              </w:rPr>
              <w:t>,</w:t>
            </w:r>
            <w:r w:rsidRPr="00C75983">
              <w:rPr>
                <w:rFonts w:eastAsia="Times New Roman"/>
                <w:color w:val="000000"/>
                <w:szCs w:val="24"/>
                <w:lang w:eastAsia="cs-CZ"/>
              </w:rPr>
              <w:t>75</w:t>
            </w:r>
          </w:p>
        </w:tc>
        <w:tc>
          <w:tcPr>
            <w:tcW w:w="1513" w:type="dxa"/>
            <w:tcBorders>
              <w:top w:val="nil"/>
              <w:left w:val="nil"/>
              <w:bottom w:val="single" w:sz="4" w:space="0" w:color="auto"/>
              <w:right w:val="nil"/>
            </w:tcBorders>
            <w:shd w:val="clear" w:color="auto" w:fill="auto"/>
            <w:noWrap/>
            <w:vAlign w:val="bottom"/>
            <w:hideMark/>
          </w:tcPr>
          <w:p w14:paraId="5B913A72" w14:textId="54E901C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3</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6D7C1050" w14:textId="3623D29B"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9</w:t>
            </w:r>
            <w:r>
              <w:rPr>
                <w:rFonts w:eastAsia="Times New Roman"/>
                <w:color w:val="000000"/>
                <w:szCs w:val="24"/>
                <w:lang w:eastAsia="cs-CZ"/>
              </w:rPr>
              <w:t>,</w:t>
            </w:r>
            <w:r w:rsidRPr="00C75983">
              <w:rPr>
                <w:rFonts w:eastAsia="Times New Roman"/>
                <w:color w:val="000000"/>
                <w:szCs w:val="24"/>
                <w:lang w:eastAsia="cs-CZ"/>
              </w:rPr>
              <w:t>00</w:t>
            </w:r>
          </w:p>
        </w:tc>
        <w:tc>
          <w:tcPr>
            <w:tcW w:w="1417" w:type="dxa"/>
            <w:tcBorders>
              <w:top w:val="nil"/>
              <w:left w:val="nil"/>
              <w:bottom w:val="single" w:sz="4" w:space="0" w:color="auto"/>
              <w:right w:val="nil"/>
            </w:tcBorders>
            <w:shd w:val="clear" w:color="auto" w:fill="auto"/>
            <w:noWrap/>
            <w:vAlign w:val="bottom"/>
            <w:hideMark/>
          </w:tcPr>
          <w:p w14:paraId="4B8AB24A" w14:textId="71178EB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w:t>
            </w:r>
            <w:r>
              <w:rPr>
                <w:rFonts w:eastAsia="Times New Roman"/>
                <w:color w:val="000000"/>
                <w:szCs w:val="24"/>
                <w:lang w:eastAsia="cs-CZ"/>
              </w:rPr>
              <w:t>,</w:t>
            </w:r>
            <w:r w:rsidRPr="00C75983">
              <w:rPr>
                <w:rFonts w:eastAsia="Times New Roman"/>
                <w:color w:val="000000"/>
                <w:szCs w:val="24"/>
                <w:lang w:eastAsia="cs-CZ"/>
              </w:rPr>
              <w:t>50</w:t>
            </w:r>
          </w:p>
        </w:tc>
      </w:tr>
      <w:tr w:rsidR="00C75983" w:rsidRPr="00C75983" w14:paraId="304F8E1C"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0614E280"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Plzeň</w:t>
            </w:r>
          </w:p>
        </w:tc>
        <w:tc>
          <w:tcPr>
            <w:tcW w:w="1559" w:type="dxa"/>
            <w:tcBorders>
              <w:top w:val="nil"/>
              <w:left w:val="nil"/>
              <w:bottom w:val="single" w:sz="4" w:space="0" w:color="auto"/>
              <w:right w:val="nil"/>
            </w:tcBorders>
            <w:shd w:val="clear" w:color="auto" w:fill="auto"/>
            <w:noWrap/>
            <w:vAlign w:val="bottom"/>
            <w:hideMark/>
          </w:tcPr>
          <w:p w14:paraId="6A41FED2" w14:textId="729ABD22"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50</w:t>
            </w:r>
          </w:p>
        </w:tc>
        <w:tc>
          <w:tcPr>
            <w:tcW w:w="1418" w:type="dxa"/>
            <w:tcBorders>
              <w:top w:val="nil"/>
              <w:left w:val="nil"/>
              <w:bottom w:val="single" w:sz="4" w:space="0" w:color="auto"/>
              <w:right w:val="nil"/>
            </w:tcBorders>
            <w:shd w:val="clear" w:color="auto" w:fill="auto"/>
            <w:noWrap/>
            <w:vAlign w:val="bottom"/>
            <w:hideMark/>
          </w:tcPr>
          <w:p w14:paraId="00D9B295" w14:textId="585E239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24</w:t>
            </w:r>
            <w:r>
              <w:rPr>
                <w:rFonts w:eastAsia="Times New Roman"/>
                <w:color w:val="000000"/>
                <w:szCs w:val="24"/>
                <w:lang w:eastAsia="cs-CZ"/>
              </w:rPr>
              <w:t>,</w:t>
            </w:r>
            <w:r w:rsidRPr="00C75983">
              <w:rPr>
                <w:rFonts w:eastAsia="Times New Roman"/>
                <w:color w:val="000000"/>
                <w:szCs w:val="24"/>
                <w:lang w:eastAsia="cs-CZ"/>
              </w:rPr>
              <w:t>60</w:t>
            </w:r>
          </w:p>
        </w:tc>
        <w:tc>
          <w:tcPr>
            <w:tcW w:w="1513" w:type="dxa"/>
            <w:tcBorders>
              <w:top w:val="nil"/>
              <w:left w:val="nil"/>
              <w:bottom w:val="single" w:sz="4" w:space="0" w:color="auto"/>
              <w:right w:val="nil"/>
            </w:tcBorders>
            <w:shd w:val="clear" w:color="auto" w:fill="auto"/>
            <w:noWrap/>
            <w:vAlign w:val="bottom"/>
            <w:hideMark/>
          </w:tcPr>
          <w:p w14:paraId="3AA4AE02" w14:textId="4410B64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6</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5AB45F30" w14:textId="1C26CB9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14</w:t>
            </w:r>
            <w:r>
              <w:rPr>
                <w:rFonts w:eastAsia="Times New Roman"/>
                <w:color w:val="000000"/>
                <w:szCs w:val="24"/>
                <w:lang w:eastAsia="cs-CZ"/>
              </w:rPr>
              <w:t>,</w:t>
            </w:r>
            <w:r w:rsidRPr="00C75983">
              <w:rPr>
                <w:rFonts w:eastAsia="Times New Roman"/>
                <w:color w:val="000000"/>
                <w:szCs w:val="24"/>
                <w:lang w:eastAsia="cs-CZ"/>
              </w:rPr>
              <w:t>30</w:t>
            </w:r>
          </w:p>
        </w:tc>
        <w:tc>
          <w:tcPr>
            <w:tcW w:w="1417" w:type="dxa"/>
            <w:tcBorders>
              <w:top w:val="nil"/>
              <w:left w:val="nil"/>
              <w:bottom w:val="single" w:sz="4" w:space="0" w:color="auto"/>
              <w:right w:val="nil"/>
            </w:tcBorders>
            <w:shd w:val="clear" w:color="auto" w:fill="auto"/>
            <w:noWrap/>
            <w:vAlign w:val="bottom"/>
            <w:hideMark/>
          </w:tcPr>
          <w:p w14:paraId="54B49F49" w14:textId="092189E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w:t>
            </w:r>
            <w:r>
              <w:rPr>
                <w:rFonts w:eastAsia="Times New Roman"/>
                <w:color w:val="000000"/>
                <w:szCs w:val="24"/>
                <w:lang w:eastAsia="cs-CZ"/>
              </w:rPr>
              <w:t>,</w:t>
            </w:r>
            <w:r w:rsidRPr="00C75983">
              <w:rPr>
                <w:rFonts w:eastAsia="Times New Roman"/>
                <w:color w:val="000000"/>
                <w:szCs w:val="24"/>
                <w:lang w:eastAsia="cs-CZ"/>
              </w:rPr>
              <w:t>50</w:t>
            </w:r>
          </w:p>
        </w:tc>
      </w:tr>
      <w:tr w:rsidR="00C75983" w:rsidRPr="00C75983" w14:paraId="3C53C28E"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770B92CC"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Ústí n. Labem</w:t>
            </w:r>
          </w:p>
        </w:tc>
        <w:tc>
          <w:tcPr>
            <w:tcW w:w="1559" w:type="dxa"/>
            <w:tcBorders>
              <w:top w:val="nil"/>
              <w:left w:val="nil"/>
              <w:bottom w:val="single" w:sz="4" w:space="0" w:color="auto"/>
              <w:right w:val="nil"/>
            </w:tcBorders>
            <w:shd w:val="clear" w:color="auto" w:fill="auto"/>
            <w:noWrap/>
            <w:vAlign w:val="bottom"/>
            <w:hideMark/>
          </w:tcPr>
          <w:p w14:paraId="120B9905" w14:textId="606F351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69</w:t>
            </w:r>
          </w:p>
        </w:tc>
        <w:tc>
          <w:tcPr>
            <w:tcW w:w="1418" w:type="dxa"/>
            <w:tcBorders>
              <w:top w:val="nil"/>
              <w:left w:val="nil"/>
              <w:bottom w:val="single" w:sz="4" w:space="0" w:color="auto"/>
              <w:right w:val="nil"/>
            </w:tcBorders>
            <w:shd w:val="clear" w:color="auto" w:fill="auto"/>
            <w:noWrap/>
            <w:vAlign w:val="bottom"/>
            <w:hideMark/>
          </w:tcPr>
          <w:p w14:paraId="61FA007F" w14:textId="67DC7E6A"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42</w:t>
            </w:r>
            <w:r>
              <w:rPr>
                <w:rFonts w:eastAsia="Times New Roman"/>
                <w:color w:val="000000"/>
                <w:szCs w:val="24"/>
                <w:lang w:eastAsia="cs-CZ"/>
              </w:rPr>
              <w:t>,</w:t>
            </w:r>
            <w:r w:rsidRPr="00C75983">
              <w:rPr>
                <w:rFonts w:eastAsia="Times New Roman"/>
                <w:color w:val="000000"/>
                <w:szCs w:val="24"/>
                <w:lang w:eastAsia="cs-CZ"/>
              </w:rPr>
              <w:t>54</w:t>
            </w:r>
          </w:p>
        </w:tc>
        <w:tc>
          <w:tcPr>
            <w:tcW w:w="1513" w:type="dxa"/>
            <w:tcBorders>
              <w:top w:val="nil"/>
              <w:left w:val="nil"/>
              <w:bottom w:val="single" w:sz="4" w:space="0" w:color="auto"/>
              <w:right w:val="nil"/>
            </w:tcBorders>
            <w:shd w:val="clear" w:color="auto" w:fill="auto"/>
            <w:noWrap/>
            <w:vAlign w:val="bottom"/>
            <w:hideMark/>
          </w:tcPr>
          <w:p w14:paraId="4EF2045E" w14:textId="124C22D7"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11</w:t>
            </w:r>
            <w:r>
              <w:rPr>
                <w:rFonts w:eastAsia="Times New Roman"/>
                <w:color w:val="000000"/>
                <w:szCs w:val="24"/>
                <w:lang w:eastAsia="cs-CZ"/>
              </w:rPr>
              <w:t>,</w:t>
            </w:r>
            <w:r w:rsidRPr="00C75983">
              <w:rPr>
                <w:rFonts w:eastAsia="Times New Roman"/>
                <w:color w:val="000000"/>
                <w:szCs w:val="24"/>
                <w:lang w:eastAsia="cs-CZ"/>
              </w:rPr>
              <w:t>33</w:t>
            </w:r>
          </w:p>
        </w:tc>
        <w:tc>
          <w:tcPr>
            <w:tcW w:w="1322" w:type="dxa"/>
            <w:tcBorders>
              <w:top w:val="nil"/>
              <w:left w:val="nil"/>
              <w:bottom w:val="single" w:sz="4" w:space="0" w:color="auto"/>
              <w:right w:val="nil"/>
            </w:tcBorders>
            <w:shd w:val="clear" w:color="auto" w:fill="auto"/>
            <w:noWrap/>
            <w:vAlign w:val="bottom"/>
            <w:hideMark/>
          </w:tcPr>
          <w:p w14:paraId="359E6A22" w14:textId="16C9D03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23</w:t>
            </w:r>
            <w:r>
              <w:rPr>
                <w:rFonts w:eastAsia="Times New Roman"/>
                <w:color w:val="000000"/>
                <w:szCs w:val="24"/>
                <w:lang w:eastAsia="cs-CZ"/>
              </w:rPr>
              <w:t>,</w:t>
            </w:r>
            <w:r w:rsidRPr="00C75983">
              <w:rPr>
                <w:rFonts w:eastAsia="Times New Roman"/>
                <w:color w:val="000000"/>
                <w:szCs w:val="24"/>
                <w:lang w:eastAsia="cs-CZ"/>
              </w:rPr>
              <w:t>42</w:t>
            </w:r>
          </w:p>
        </w:tc>
        <w:tc>
          <w:tcPr>
            <w:tcW w:w="1417" w:type="dxa"/>
            <w:tcBorders>
              <w:top w:val="nil"/>
              <w:left w:val="nil"/>
              <w:bottom w:val="single" w:sz="4" w:space="0" w:color="auto"/>
              <w:right w:val="nil"/>
            </w:tcBorders>
            <w:shd w:val="clear" w:color="auto" w:fill="auto"/>
            <w:noWrap/>
            <w:vAlign w:val="bottom"/>
            <w:hideMark/>
          </w:tcPr>
          <w:p w14:paraId="195A67FB" w14:textId="22A436B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95</w:t>
            </w:r>
          </w:p>
        </w:tc>
      </w:tr>
      <w:tr w:rsidR="00C75983" w:rsidRPr="00C75983" w14:paraId="0CC705C5"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745B882A"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Hr. Králové</w:t>
            </w:r>
          </w:p>
        </w:tc>
        <w:tc>
          <w:tcPr>
            <w:tcW w:w="1559" w:type="dxa"/>
            <w:tcBorders>
              <w:top w:val="nil"/>
              <w:left w:val="nil"/>
              <w:bottom w:val="single" w:sz="4" w:space="0" w:color="auto"/>
              <w:right w:val="nil"/>
            </w:tcBorders>
            <w:shd w:val="clear" w:color="auto" w:fill="auto"/>
            <w:noWrap/>
            <w:vAlign w:val="bottom"/>
            <w:hideMark/>
          </w:tcPr>
          <w:p w14:paraId="7683B781" w14:textId="17F2F9DB"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40</w:t>
            </w:r>
          </w:p>
        </w:tc>
        <w:tc>
          <w:tcPr>
            <w:tcW w:w="1418" w:type="dxa"/>
            <w:tcBorders>
              <w:top w:val="nil"/>
              <w:left w:val="nil"/>
              <w:bottom w:val="single" w:sz="4" w:space="0" w:color="auto"/>
              <w:right w:val="nil"/>
            </w:tcBorders>
            <w:shd w:val="clear" w:color="auto" w:fill="auto"/>
            <w:noWrap/>
            <w:vAlign w:val="bottom"/>
            <w:hideMark/>
          </w:tcPr>
          <w:p w14:paraId="3623C0A2" w14:textId="32A8202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28</w:t>
            </w:r>
            <w:r>
              <w:rPr>
                <w:rFonts w:eastAsia="Times New Roman"/>
                <w:color w:val="000000"/>
                <w:szCs w:val="24"/>
                <w:lang w:eastAsia="cs-CZ"/>
              </w:rPr>
              <w:t>,</w:t>
            </w:r>
            <w:r w:rsidRPr="00C75983">
              <w:rPr>
                <w:rFonts w:eastAsia="Times New Roman"/>
                <w:color w:val="000000"/>
                <w:szCs w:val="24"/>
                <w:lang w:eastAsia="cs-CZ"/>
              </w:rPr>
              <w:t>90</w:t>
            </w:r>
          </w:p>
        </w:tc>
        <w:tc>
          <w:tcPr>
            <w:tcW w:w="1513" w:type="dxa"/>
            <w:tcBorders>
              <w:top w:val="nil"/>
              <w:left w:val="nil"/>
              <w:bottom w:val="single" w:sz="4" w:space="0" w:color="auto"/>
              <w:right w:val="nil"/>
            </w:tcBorders>
            <w:shd w:val="clear" w:color="auto" w:fill="auto"/>
            <w:noWrap/>
            <w:vAlign w:val="bottom"/>
            <w:hideMark/>
          </w:tcPr>
          <w:p w14:paraId="14A1C891" w14:textId="1D8350B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1D98219E" w14:textId="3561628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12</w:t>
            </w:r>
            <w:r>
              <w:rPr>
                <w:rFonts w:eastAsia="Times New Roman"/>
                <w:color w:val="000000"/>
                <w:szCs w:val="24"/>
                <w:lang w:eastAsia="cs-CZ"/>
              </w:rPr>
              <w:t>,</w:t>
            </w:r>
            <w:r w:rsidRPr="00C75983">
              <w:rPr>
                <w:rFonts w:eastAsia="Times New Roman"/>
                <w:color w:val="000000"/>
                <w:szCs w:val="24"/>
                <w:lang w:eastAsia="cs-CZ"/>
              </w:rPr>
              <w:t>25</w:t>
            </w:r>
          </w:p>
        </w:tc>
        <w:tc>
          <w:tcPr>
            <w:tcW w:w="1417" w:type="dxa"/>
            <w:tcBorders>
              <w:top w:val="nil"/>
              <w:left w:val="nil"/>
              <w:bottom w:val="single" w:sz="4" w:space="0" w:color="auto"/>
              <w:right w:val="nil"/>
            </w:tcBorders>
            <w:shd w:val="clear" w:color="auto" w:fill="auto"/>
            <w:noWrap/>
            <w:vAlign w:val="bottom"/>
            <w:hideMark/>
          </w:tcPr>
          <w:p w14:paraId="704E740D" w14:textId="1BAB8A9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6</w:t>
            </w:r>
            <w:r>
              <w:rPr>
                <w:rFonts w:eastAsia="Times New Roman"/>
                <w:color w:val="000000"/>
                <w:szCs w:val="24"/>
                <w:lang w:eastAsia="cs-CZ"/>
              </w:rPr>
              <w:t>,</w:t>
            </w:r>
            <w:r w:rsidRPr="00C75983">
              <w:rPr>
                <w:rFonts w:eastAsia="Times New Roman"/>
                <w:color w:val="000000"/>
                <w:szCs w:val="24"/>
                <w:lang w:eastAsia="cs-CZ"/>
              </w:rPr>
              <w:t>10</w:t>
            </w:r>
          </w:p>
        </w:tc>
      </w:tr>
      <w:tr w:rsidR="00C75983" w:rsidRPr="00C75983" w14:paraId="1648530C"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4A351189"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Brno</w:t>
            </w:r>
          </w:p>
        </w:tc>
        <w:tc>
          <w:tcPr>
            <w:tcW w:w="1559" w:type="dxa"/>
            <w:tcBorders>
              <w:top w:val="nil"/>
              <w:left w:val="nil"/>
              <w:bottom w:val="single" w:sz="4" w:space="0" w:color="auto"/>
              <w:right w:val="nil"/>
            </w:tcBorders>
            <w:shd w:val="clear" w:color="auto" w:fill="auto"/>
            <w:noWrap/>
            <w:vAlign w:val="bottom"/>
            <w:hideMark/>
          </w:tcPr>
          <w:p w14:paraId="70EE8CBC" w14:textId="67E4E44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w:t>
            </w:r>
            <w:r>
              <w:rPr>
                <w:rFonts w:eastAsia="Times New Roman"/>
                <w:color w:val="000000"/>
                <w:szCs w:val="24"/>
                <w:lang w:eastAsia="cs-CZ"/>
              </w:rPr>
              <w:t>,</w:t>
            </w:r>
            <w:r w:rsidRPr="00C75983">
              <w:rPr>
                <w:rFonts w:eastAsia="Times New Roman"/>
                <w:color w:val="000000"/>
                <w:szCs w:val="24"/>
                <w:lang w:eastAsia="cs-CZ"/>
              </w:rPr>
              <w:t>00</w:t>
            </w:r>
          </w:p>
        </w:tc>
        <w:tc>
          <w:tcPr>
            <w:tcW w:w="1418" w:type="dxa"/>
            <w:tcBorders>
              <w:top w:val="nil"/>
              <w:left w:val="nil"/>
              <w:bottom w:val="single" w:sz="4" w:space="0" w:color="auto"/>
              <w:right w:val="nil"/>
            </w:tcBorders>
            <w:shd w:val="clear" w:color="auto" w:fill="auto"/>
            <w:noWrap/>
            <w:vAlign w:val="bottom"/>
            <w:hideMark/>
          </w:tcPr>
          <w:p w14:paraId="0A99EB95" w14:textId="0E6B0E1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70</w:t>
            </w:r>
            <w:r>
              <w:rPr>
                <w:rFonts w:eastAsia="Times New Roman"/>
                <w:color w:val="000000"/>
                <w:szCs w:val="24"/>
                <w:lang w:eastAsia="cs-CZ"/>
              </w:rPr>
              <w:t>,</w:t>
            </w:r>
            <w:r w:rsidRPr="00C75983">
              <w:rPr>
                <w:rFonts w:eastAsia="Times New Roman"/>
                <w:color w:val="000000"/>
                <w:szCs w:val="24"/>
                <w:lang w:eastAsia="cs-CZ"/>
              </w:rPr>
              <w:t>00</w:t>
            </w:r>
          </w:p>
        </w:tc>
        <w:tc>
          <w:tcPr>
            <w:tcW w:w="1513" w:type="dxa"/>
            <w:tcBorders>
              <w:top w:val="nil"/>
              <w:left w:val="nil"/>
              <w:bottom w:val="single" w:sz="4" w:space="0" w:color="auto"/>
              <w:right w:val="nil"/>
            </w:tcBorders>
            <w:shd w:val="clear" w:color="auto" w:fill="auto"/>
            <w:noWrap/>
            <w:vAlign w:val="bottom"/>
            <w:hideMark/>
          </w:tcPr>
          <w:p w14:paraId="4DEF5A2B" w14:textId="2B1E8DA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13</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7262EF72" w14:textId="254082C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19</w:t>
            </w:r>
            <w:r>
              <w:rPr>
                <w:rFonts w:eastAsia="Times New Roman"/>
                <w:color w:val="000000"/>
                <w:szCs w:val="24"/>
                <w:lang w:eastAsia="cs-CZ"/>
              </w:rPr>
              <w:t>,</w:t>
            </w:r>
            <w:r w:rsidRPr="00C75983">
              <w:rPr>
                <w:rFonts w:eastAsia="Times New Roman"/>
                <w:color w:val="000000"/>
                <w:szCs w:val="24"/>
                <w:lang w:eastAsia="cs-CZ"/>
              </w:rPr>
              <w:t>00</w:t>
            </w:r>
          </w:p>
        </w:tc>
        <w:tc>
          <w:tcPr>
            <w:tcW w:w="1417" w:type="dxa"/>
            <w:tcBorders>
              <w:top w:val="nil"/>
              <w:left w:val="nil"/>
              <w:bottom w:val="single" w:sz="4" w:space="0" w:color="auto"/>
              <w:right w:val="nil"/>
            </w:tcBorders>
            <w:shd w:val="clear" w:color="auto" w:fill="auto"/>
            <w:noWrap/>
            <w:vAlign w:val="bottom"/>
            <w:hideMark/>
          </w:tcPr>
          <w:p w14:paraId="5888E1B9" w14:textId="17ED6BC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00</w:t>
            </w:r>
          </w:p>
        </w:tc>
      </w:tr>
      <w:tr w:rsidR="00C75983" w:rsidRPr="00C75983" w14:paraId="31A64EAF" w14:textId="77777777" w:rsidTr="003D5F1A">
        <w:trPr>
          <w:trHeight w:val="330"/>
        </w:trPr>
        <w:tc>
          <w:tcPr>
            <w:tcW w:w="1985" w:type="dxa"/>
            <w:tcBorders>
              <w:top w:val="nil"/>
              <w:left w:val="nil"/>
              <w:bottom w:val="double" w:sz="6" w:space="0" w:color="auto"/>
              <w:right w:val="nil"/>
            </w:tcBorders>
            <w:shd w:val="clear" w:color="auto" w:fill="auto"/>
            <w:noWrap/>
            <w:vAlign w:val="bottom"/>
            <w:hideMark/>
          </w:tcPr>
          <w:p w14:paraId="6FA6A8DB"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Ostrava</w:t>
            </w:r>
          </w:p>
        </w:tc>
        <w:tc>
          <w:tcPr>
            <w:tcW w:w="1559" w:type="dxa"/>
            <w:tcBorders>
              <w:top w:val="nil"/>
              <w:left w:val="nil"/>
              <w:bottom w:val="double" w:sz="6" w:space="0" w:color="auto"/>
              <w:right w:val="nil"/>
            </w:tcBorders>
            <w:shd w:val="clear" w:color="auto" w:fill="auto"/>
            <w:noWrap/>
            <w:vAlign w:val="bottom"/>
            <w:hideMark/>
          </w:tcPr>
          <w:p w14:paraId="67A8CDEC" w14:textId="304C8EE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w:t>
            </w:r>
            <w:r>
              <w:rPr>
                <w:rFonts w:eastAsia="Times New Roman"/>
                <w:color w:val="000000"/>
                <w:szCs w:val="24"/>
                <w:lang w:eastAsia="cs-CZ"/>
              </w:rPr>
              <w:t>,</w:t>
            </w:r>
            <w:r w:rsidRPr="00C75983">
              <w:rPr>
                <w:rFonts w:eastAsia="Times New Roman"/>
                <w:color w:val="000000"/>
                <w:szCs w:val="24"/>
                <w:lang w:eastAsia="cs-CZ"/>
              </w:rPr>
              <w:t>20</w:t>
            </w:r>
          </w:p>
        </w:tc>
        <w:tc>
          <w:tcPr>
            <w:tcW w:w="1418" w:type="dxa"/>
            <w:tcBorders>
              <w:top w:val="nil"/>
              <w:left w:val="nil"/>
              <w:bottom w:val="double" w:sz="6" w:space="0" w:color="auto"/>
              <w:right w:val="nil"/>
            </w:tcBorders>
            <w:shd w:val="clear" w:color="auto" w:fill="auto"/>
            <w:noWrap/>
            <w:vAlign w:val="bottom"/>
            <w:hideMark/>
          </w:tcPr>
          <w:p w14:paraId="51F0B405" w14:textId="6346EABE"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45</w:t>
            </w:r>
            <w:r>
              <w:rPr>
                <w:rFonts w:eastAsia="Times New Roman"/>
                <w:color w:val="000000"/>
                <w:szCs w:val="24"/>
                <w:lang w:eastAsia="cs-CZ"/>
              </w:rPr>
              <w:t>,</w:t>
            </w:r>
            <w:r w:rsidRPr="00C75983">
              <w:rPr>
                <w:rFonts w:eastAsia="Times New Roman"/>
                <w:color w:val="000000"/>
                <w:szCs w:val="24"/>
                <w:lang w:eastAsia="cs-CZ"/>
              </w:rPr>
              <w:t>80</w:t>
            </w:r>
          </w:p>
        </w:tc>
        <w:tc>
          <w:tcPr>
            <w:tcW w:w="1513" w:type="dxa"/>
            <w:tcBorders>
              <w:top w:val="nil"/>
              <w:left w:val="nil"/>
              <w:bottom w:val="double" w:sz="6" w:space="0" w:color="auto"/>
              <w:right w:val="nil"/>
            </w:tcBorders>
            <w:shd w:val="clear" w:color="auto" w:fill="auto"/>
            <w:noWrap/>
            <w:vAlign w:val="bottom"/>
            <w:hideMark/>
          </w:tcPr>
          <w:p w14:paraId="1A370321" w14:textId="015616B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15</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4B7FBE43" w14:textId="0D4959B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28</w:t>
            </w:r>
            <w:r>
              <w:rPr>
                <w:rFonts w:eastAsia="Times New Roman"/>
                <w:color w:val="000000"/>
                <w:szCs w:val="24"/>
                <w:lang w:eastAsia="cs-CZ"/>
              </w:rPr>
              <w:t>,</w:t>
            </w:r>
            <w:r w:rsidRPr="00C75983">
              <w:rPr>
                <w:rFonts w:eastAsia="Times New Roman"/>
                <w:color w:val="000000"/>
                <w:szCs w:val="24"/>
                <w:lang w:eastAsia="cs-CZ"/>
              </w:rPr>
              <w:t>00</w:t>
            </w:r>
          </w:p>
        </w:tc>
        <w:tc>
          <w:tcPr>
            <w:tcW w:w="1417" w:type="dxa"/>
            <w:tcBorders>
              <w:top w:val="nil"/>
              <w:left w:val="nil"/>
              <w:bottom w:val="double" w:sz="6" w:space="0" w:color="auto"/>
              <w:right w:val="nil"/>
            </w:tcBorders>
            <w:shd w:val="clear" w:color="auto" w:fill="auto"/>
            <w:noWrap/>
            <w:vAlign w:val="bottom"/>
            <w:hideMark/>
          </w:tcPr>
          <w:p w14:paraId="7EB2EFCC" w14:textId="54EA5F4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13</w:t>
            </w:r>
            <w:r>
              <w:rPr>
                <w:rFonts w:eastAsia="Times New Roman"/>
                <w:color w:val="000000"/>
                <w:szCs w:val="24"/>
                <w:lang w:eastAsia="cs-CZ"/>
              </w:rPr>
              <w:t>,</w:t>
            </w:r>
            <w:r w:rsidRPr="00C75983">
              <w:rPr>
                <w:rFonts w:eastAsia="Times New Roman"/>
                <w:color w:val="000000"/>
                <w:szCs w:val="24"/>
                <w:lang w:eastAsia="cs-CZ"/>
              </w:rPr>
              <w:t>70</w:t>
            </w:r>
          </w:p>
        </w:tc>
      </w:tr>
      <w:tr w:rsidR="00C75983" w:rsidRPr="00C75983" w14:paraId="2C70EE59" w14:textId="77777777" w:rsidTr="003D5F1A">
        <w:trPr>
          <w:trHeight w:val="345"/>
        </w:trPr>
        <w:tc>
          <w:tcPr>
            <w:tcW w:w="1985" w:type="dxa"/>
            <w:tcBorders>
              <w:top w:val="nil"/>
              <w:left w:val="nil"/>
              <w:bottom w:val="double" w:sz="6" w:space="0" w:color="auto"/>
              <w:right w:val="nil"/>
            </w:tcBorders>
            <w:shd w:val="clear" w:color="auto" w:fill="auto"/>
            <w:noWrap/>
            <w:vAlign w:val="bottom"/>
            <w:hideMark/>
          </w:tcPr>
          <w:p w14:paraId="542566DD" w14:textId="77777777" w:rsidR="00C75983" w:rsidRPr="00C75983" w:rsidRDefault="00C75983" w:rsidP="00C75983">
            <w:pPr>
              <w:spacing w:line="240" w:lineRule="auto"/>
              <w:jc w:val="left"/>
              <w:rPr>
                <w:rFonts w:eastAsia="Times New Roman"/>
                <w:b/>
                <w:bCs/>
                <w:color w:val="000000"/>
                <w:szCs w:val="24"/>
                <w:lang w:eastAsia="cs-CZ"/>
              </w:rPr>
            </w:pPr>
            <w:r w:rsidRPr="00C75983">
              <w:rPr>
                <w:rFonts w:eastAsia="Times New Roman"/>
                <w:b/>
                <w:bCs/>
                <w:color w:val="000000"/>
                <w:szCs w:val="24"/>
                <w:lang w:eastAsia="cs-CZ"/>
              </w:rPr>
              <w:t>Celkem ČR</w:t>
            </w:r>
          </w:p>
        </w:tc>
        <w:tc>
          <w:tcPr>
            <w:tcW w:w="1559" w:type="dxa"/>
            <w:tcBorders>
              <w:top w:val="nil"/>
              <w:left w:val="nil"/>
              <w:bottom w:val="double" w:sz="6" w:space="0" w:color="auto"/>
              <w:right w:val="nil"/>
            </w:tcBorders>
            <w:shd w:val="clear" w:color="auto" w:fill="auto"/>
            <w:noWrap/>
            <w:vAlign w:val="bottom"/>
            <w:hideMark/>
          </w:tcPr>
          <w:p w14:paraId="39E81D94" w14:textId="18B9AEAC"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8</w:t>
            </w:r>
            <w:r>
              <w:rPr>
                <w:rFonts w:eastAsia="Times New Roman"/>
                <w:b/>
                <w:bCs/>
                <w:color w:val="000000"/>
                <w:szCs w:val="24"/>
                <w:lang w:eastAsia="cs-CZ"/>
              </w:rPr>
              <w:t>,</w:t>
            </w:r>
            <w:r w:rsidRPr="00C75983">
              <w:rPr>
                <w:rFonts w:eastAsia="Times New Roman"/>
                <w:b/>
                <w:bCs/>
                <w:color w:val="000000"/>
                <w:szCs w:val="24"/>
                <w:lang w:eastAsia="cs-CZ"/>
              </w:rPr>
              <w:t>44</w:t>
            </w:r>
          </w:p>
        </w:tc>
        <w:tc>
          <w:tcPr>
            <w:tcW w:w="1418" w:type="dxa"/>
            <w:tcBorders>
              <w:top w:val="nil"/>
              <w:left w:val="nil"/>
              <w:bottom w:val="double" w:sz="6" w:space="0" w:color="auto"/>
              <w:right w:val="nil"/>
            </w:tcBorders>
            <w:shd w:val="clear" w:color="auto" w:fill="auto"/>
            <w:noWrap/>
            <w:vAlign w:val="bottom"/>
            <w:hideMark/>
          </w:tcPr>
          <w:p w14:paraId="18C382D2" w14:textId="03E1EE2F"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363</w:t>
            </w:r>
            <w:r>
              <w:rPr>
                <w:rFonts w:eastAsia="Times New Roman"/>
                <w:b/>
                <w:bCs/>
                <w:color w:val="000000"/>
                <w:szCs w:val="24"/>
                <w:lang w:eastAsia="cs-CZ"/>
              </w:rPr>
              <w:t>,</w:t>
            </w:r>
            <w:r w:rsidRPr="00C75983">
              <w:rPr>
                <w:rFonts w:eastAsia="Times New Roman"/>
                <w:b/>
                <w:bCs/>
                <w:color w:val="000000"/>
                <w:szCs w:val="24"/>
                <w:lang w:eastAsia="cs-CZ"/>
              </w:rPr>
              <w:t>09</w:t>
            </w:r>
          </w:p>
        </w:tc>
        <w:tc>
          <w:tcPr>
            <w:tcW w:w="1513" w:type="dxa"/>
            <w:tcBorders>
              <w:top w:val="nil"/>
              <w:left w:val="nil"/>
              <w:bottom w:val="double" w:sz="6" w:space="0" w:color="auto"/>
              <w:right w:val="nil"/>
            </w:tcBorders>
            <w:shd w:val="clear" w:color="auto" w:fill="auto"/>
            <w:noWrap/>
            <w:vAlign w:val="bottom"/>
            <w:hideMark/>
          </w:tcPr>
          <w:p w14:paraId="1F7E73C7" w14:textId="4A1A7CB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82</w:t>
            </w:r>
            <w:r>
              <w:rPr>
                <w:rFonts w:eastAsia="Times New Roman"/>
                <w:b/>
                <w:bCs/>
                <w:color w:val="000000"/>
                <w:szCs w:val="24"/>
                <w:lang w:eastAsia="cs-CZ"/>
              </w:rPr>
              <w:t>,</w:t>
            </w:r>
            <w:r w:rsidRPr="00C75983">
              <w:rPr>
                <w:rFonts w:eastAsia="Times New Roman"/>
                <w:b/>
                <w:bCs/>
                <w:color w:val="000000"/>
                <w:szCs w:val="24"/>
                <w:lang w:eastAsia="cs-CZ"/>
              </w:rPr>
              <w:t>38</w:t>
            </w:r>
          </w:p>
        </w:tc>
        <w:tc>
          <w:tcPr>
            <w:tcW w:w="1322" w:type="dxa"/>
            <w:tcBorders>
              <w:top w:val="double" w:sz="6" w:space="0" w:color="auto"/>
              <w:left w:val="nil"/>
              <w:bottom w:val="double" w:sz="6" w:space="0" w:color="auto"/>
              <w:right w:val="nil"/>
            </w:tcBorders>
            <w:shd w:val="clear" w:color="auto" w:fill="auto"/>
            <w:noWrap/>
            <w:vAlign w:val="bottom"/>
            <w:hideMark/>
          </w:tcPr>
          <w:p w14:paraId="512C69B1" w14:textId="3270513B"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145</w:t>
            </w:r>
            <w:r>
              <w:rPr>
                <w:rFonts w:eastAsia="Times New Roman"/>
                <w:b/>
                <w:bCs/>
                <w:color w:val="000000"/>
                <w:szCs w:val="24"/>
                <w:lang w:eastAsia="cs-CZ"/>
              </w:rPr>
              <w:t>,</w:t>
            </w:r>
            <w:r w:rsidRPr="00C75983">
              <w:rPr>
                <w:rFonts w:eastAsia="Times New Roman"/>
                <w:b/>
                <w:bCs/>
                <w:color w:val="000000"/>
                <w:szCs w:val="24"/>
                <w:lang w:eastAsia="cs-CZ"/>
              </w:rPr>
              <w:t>47</w:t>
            </w:r>
          </w:p>
        </w:tc>
        <w:tc>
          <w:tcPr>
            <w:tcW w:w="1417" w:type="dxa"/>
            <w:tcBorders>
              <w:top w:val="nil"/>
              <w:left w:val="nil"/>
              <w:bottom w:val="double" w:sz="6" w:space="0" w:color="auto"/>
              <w:right w:val="nil"/>
            </w:tcBorders>
            <w:shd w:val="clear" w:color="auto" w:fill="auto"/>
            <w:noWrap/>
            <w:vAlign w:val="bottom"/>
            <w:hideMark/>
          </w:tcPr>
          <w:p w14:paraId="2FDF8152" w14:textId="242CCA6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66</w:t>
            </w:r>
            <w:r>
              <w:rPr>
                <w:rFonts w:eastAsia="Times New Roman"/>
                <w:b/>
                <w:bCs/>
                <w:color w:val="000000"/>
                <w:szCs w:val="24"/>
                <w:lang w:eastAsia="cs-CZ"/>
              </w:rPr>
              <w:t>,</w:t>
            </w:r>
            <w:r w:rsidRPr="00C75983">
              <w:rPr>
                <w:rFonts w:eastAsia="Times New Roman"/>
                <w:b/>
                <w:bCs/>
                <w:color w:val="000000"/>
                <w:szCs w:val="24"/>
                <w:lang w:eastAsia="cs-CZ"/>
              </w:rPr>
              <w:t>65</w:t>
            </w:r>
          </w:p>
        </w:tc>
      </w:tr>
      <w:tr w:rsidR="00C75983" w:rsidRPr="00C75983" w14:paraId="0B29531C" w14:textId="77777777" w:rsidTr="003D5F1A">
        <w:trPr>
          <w:trHeight w:val="330"/>
        </w:trPr>
        <w:tc>
          <w:tcPr>
            <w:tcW w:w="1985" w:type="dxa"/>
            <w:vMerge w:val="restart"/>
            <w:tcBorders>
              <w:top w:val="nil"/>
              <w:left w:val="nil"/>
              <w:bottom w:val="double" w:sz="6" w:space="0" w:color="000000"/>
              <w:right w:val="nil"/>
            </w:tcBorders>
            <w:shd w:val="clear" w:color="auto" w:fill="auto"/>
            <w:noWrap/>
            <w:vAlign w:val="center"/>
            <w:hideMark/>
          </w:tcPr>
          <w:p w14:paraId="037491B8" w14:textId="5D370B4C" w:rsidR="00C75983" w:rsidRPr="00C75983" w:rsidRDefault="003D5F1A" w:rsidP="00C75983">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00C75983" w:rsidRPr="00C75983">
              <w:rPr>
                <w:rFonts w:eastAsia="Times New Roman"/>
                <w:b/>
                <w:bCs/>
                <w:color w:val="000000"/>
                <w:szCs w:val="24"/>
                <w:lang w:eastAsia="cs-CZ"/>
              </w:rPr>
              <w:t>oud</w:t>
            </w:r>
          </w:p>
        </w:tc>
        <w:tc>
          <w:tcPr>
            <w:tcW w:w="5812" w:type="dxa"/>
            <w:gridSpan w:val="4"/>
            <w:tcBorders>
              <w:top w:val="double" w:sz="6" w:space="0" w:color="auto"/>
              <w:left w:val="nil"/>
              <w:bottom w:val="nil"/>
              <w:right w:val="nil"/>
            </w:tcBorders>
            <w:shd w:val="clear" w:color="auto" w:fill="auto"/>
            <w:vAlign w:val="center"/>
            <w:hideMark/>
          </w:tcPr>
          <w:p w14:paraId="2A06FAF7"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Skutečný počet úvazků</w:t>
            </w:r>
          </w:p>
        </w:tc>
        <w:tc>
          <w:tcPr>
            <w:tcW w:w="1417" w:type="dxa"/>
            <w:tcBorders>
              <w:top w:val="nil"/>
              <w:left w:val="nil"/>
              <w:bottom w:val="nil"/>
              <w:right w:val="nil"/>
            </w:tcBorders>
            <w:shd w:val="clear" w:color="auto" w:fill="auto"/>
            <w:vAlign w:val="center"/>
            <w:hideMark/>
          </w:tcPr>
          <w:p w14:paraId="68D69544" w14:textId="77777777" w:rsidR="00C75983" w:rsidRPr="00C75983" w:rsidRDefault="00C75983" w:rsidP="00C75983">
            <w:pPr>
              <w:spacing w:line="240" w:lineRule="auto"/>
              <w:jc w:val="center"/>
              <w:rPr>
                <w:rFonts w:eastAsia="Times New Roman"/>
                <w:b/>
                <w:bCs/>
                <w:color w:val="000000"/>
                <w:szCs w:val="24"/>
                <w:lang w:eastAsia="cs-CZ"/>
              </w:rPr>
            </w:pPr>
          </w:p>
        </w:tc>
      </w:tr>
      <w:tr w:rsidR="00C75983" w:rsidRPr="00C75983" w14:paraId="3FDBB619" w14:textId="77777777" w:rsidTr="003D5F1A">
        <w:trPr>
          <w:trHeight w:val="330"/>
        </w:trPr>
        <w:tc>
          <w:tcPr>
            <w:tcW w:w="1985" w:type="dxa"/>
            <w:vMerge/>
            <w:tcBorders>
              <w:top w:val="nil"/>
              <w:left w:val="nil"/>
              <w:bottom w:val="double" w:sz="6" w:space="0" w:color="000000"/>
              <w:right w:val="nil"/>
            </w:tcBorders>
            <w:vAlign w:val="center"/>
            <w:hideMark/>
          </w:tcPr>
          <w:p w14:paraId="4B6600E2" w14:textId="77777777" w:rsidR="00C75983" w:rsidRPr="00C75983" w:rsidRDefault="00C75983" w:rsidP="00C75983">
            <w:pPr>
              <w:spacing w:line="240" w:lineRule="auto"/>
              <w:jc w:val="left"/>
              <w:rPr>
                <w:rFonts w:eastAsia="Times New Roman"/>
                <w:b/>
                <w:bCs/>
                <w:color w:val="000000"/>
                <w:szCs w:val="24"/>
                <w:lang w:eastAsia="cs-CZ"/>
              </w:rPr>
            </w:pPr>
          </w:p>
        </w:tc>
        <w:tc>
          <w:tcPr>
            <w:tcW w:w="1559" w:type="dxa"/>
            <w:tcBorders>
              <w:top w:val="nil"/>
              <w:left w:val="nil"/>
              <w:bottom w:val="double" w:sz="6" w:space="0" w:color="auto"/>
              <w:right w:val="nil"/>
            </w:tcBorders>
            <w:shd w:val="clear" w:color="auto" w:fill="auto"/>
            <w:vAlign w:val="center"/>
            <w:hideMark/>
          </w:tcPr>
          <w:p w14:paraId="233CC248"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Insolvenční</w:t>
            </w:r>
          </w:p>
        </w:tc>
        <w:tc>
          <w:tcPr>
            <w:tcW w:w="1418" w:type="dxa"/>
            <w:tcBorders>
              <w:top w:val="nil"/>
              <w:left w:val="nil"/>
              <w:bottom w:val="double" w:sz="6" w:space="0" w:color="auto"/>
              <w:right w:val="nil"/>
            </w:tcBorders>
            <w:shd w:val="clear" w:color="auto" w:fill="auto"/>
            <w:vAlign w:val="center"/>
            <w:hideMark/>
          </w:tcPr>
          <w:p w14:paraId="6CF61860" w14:textId="0C73BF36"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Rejstřík I</w:t>
            </w:r>
            <w:r w:rsidR="003D5F1A">
              <w:rPr>
                <w:rFonts w:eastAsia="Times New Roman"/>
                <w:b/>
                <w:bCs/>
                <w:color w:val="000000"/>
                <w:szCs w:val="24"/>
                <w:lang w:eastAsia="cs-CZ"/>
              </w:rPr>
              <w:t>C</w:t>
            </w:r>
            <w:r w:rsidRPr="00C75983">
              <w:rPr>
                <w:rFonts w:eastAsia="Times New Roman"/>
                <w:b/>
                <w:bCs/>
                <w:color w:val="000000"/>
                <w:szCs w:val="24"/>
                <w:lang w:eastAsia="cs-CZ"/>
              </w:rPr>
              <w:t>m</w:t>
            </w:r>
          </w:p>
        </w:tc>
        <w:tc>
          <w:tcPr>
            <w:tcW w:w="1513" w:type="dxa"/>
            <w:tcBorders>
              <w:top w:val="nil"/>
              <w:left w:val="nil"/>
              <w:bottom w:val="double" w:sz="6" w:space="0" w:color="auto"/>
              <w:right w:val="nil"/>
            </w:tcBorders>
            <w:shd w:val="clear" w:color="auto" w:fill="auto"/>
            <w:vAlign w:val="center"/>
            <w:hideMark/>
          </w:tcPr>
          <w:p w14:paraId="3811FB02"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Správní</w:t>
            </w:r>
          </w:p>
        </w:tc>
        <w:tc>
          <w:tcPr>
            <w:tcW w:w="1322" w:type="dxa"/>
            <w:tcBorders>
              <w:top w:val="nil"/>
              <w:left w:val="nil"/>
              <w:bottom w:val="double" w:sz="6" w:space="0" w:color="auto"/>
              <w:right w:val="nil"/>
            </w:tcBorders>
            <w:shd w:val="clear" w:color="auto" w:fill="auto"/>
            <w:noWrap/>
            <w:vAlign w:val="center"/>
            <w:hideMark/>
          </w:tcPr>
          <w:p w14:paraId="24D7575E"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Celkem</w:t>
            </w:r>
          </w:p>
        </w:tc>
        <w:tc>
          <w:tcPr>
            <w:tcW w:w="1417" w:type="dxa"/>
            <w:tcBorders>
              <w:top w:val="nil"/>
              <w:left w:val="nil"/>
              <w:bottom w:val="nil"/>
              <w:right w:val="nil"/>
            </w:tcBorders>
            <w:shd w:val="clear" w:color="auto" w:fill="auto"/>
            <w:vAlign w:val="center"/>
            <w:hideMark/>
          </w:tcPr>
          <w:p w14:paraId="743F6A3E" w14:textId="77777777" w:rsidR="00C75983" w:rsidRPr="00C75983" w:rsidRDefault="00C75983" w:rsidP="00C75983">
            <w:pPr>
              <w:spacing w:line="240" w:lineRule="auto"/>
              <w:jc w:val="center"/>
              <w:rPr>
                <w:rFonts w:eastAsia="Times New Roman"/>
                <w:b/>
                <w:bCs/>
                <w:color w:val="000000"/>
                <w:szCs w:val="24"/>
                <w:lang w:eastAsia="cs-CZ"/>
              </w:rPr>
            </w:pPr>
          </w:p>
        </w:tc>
      </w:tr>
      <w:tr w:rsidR="00C75983" w:rsidRPr="00C75983" w14:paraId="00BC200C" w14:textId="77777777" w:rsidTr="003D5F1A">
        <w:trPr>
          <w:trHeight w:val="330"/>
        </w:trPr>
        <w:tc>
          <w:tcPr>
            <w:tcW w:w="1985" w:type="dxa"/>
            <w:tcBorders>
              <w:top w:val="single" w:sz="4" w:space="0" w:color="auto"/>
              <w:left w:val="nil"/>
              <w:bottom w:val="single" w:sz="4" w:space="0" w:color="auto"/>
              <w:right w:val="nil"/>
            </w:tcBorders>
            <w:shd w:val="clear" w:color="auto" w:fill="auto"/>
            <w:noWrap/>
            <w:vAlign w:val="bottom"/>
            <w:hideMark/>
          </w:tcPr>
          <w:p w14:paraId="6AE5B45F"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MS Praha</w:t>
            </w:r>
          </w:p>
        </w:tc>
        <w:tc>
          <w:tcPr>
            <w:tcW w:w="1559" w:type="dxa"/>
            <w:tcBorders>
              <w:top w:val="single" w:sz="4" w:space="0" w:color="auto"/>
              <w:left w:val="nil"/>
              <w:bottom w:val="single" w:sz="4" w:space="0" w:color="auto"/>
              <w:right w:val="nil"/>
            </w:tcBorders>
            <w:shd w:val="clear" w:color="auto" w:fill="auto"/>
            <w:noWrap/>
            <w:vAlign w:val="bottom"/>
            <w:hideMark/>
          </w:tcPr>
          <w:p w14:paraId="094591CF" w14:textId="1DE2449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18</w:t>
            </w:r>
            <w:r>
              <w:rPr>
                <w:rFonts w:eastAsia="Times New Roman"/>
                <w:color w:val="000000"/>
                <w:szCs w:val="24"/>
                <w:lang w:eastAsia="cs-CZ"/>
              </w:rPr>
              <w:t>,</w:t>
            </w:r>
            <w:r w:rsidRPr="00C75983">
              <w:rPr>
                <w:rFonts w:eastAsia="Times New Roman"/>
                <w:color w:val="000000"/>
                <w:szCs w:val="24"/>
                <w:lang w:eastAsia="cs-CZ"/>
              </w:rPr>
              <w:t>40</w:t>
            </w:r>
          </w:p>
        </w:tc>
        <w:tc>
          <w:tcPr>
            <w:tcW w:w="1418" w:type="dxa"/>
            <w:tcBorders>
              <w:top w:val="single" w:sz="4" w:space="0" w:color="auto"/>
              <w:left w:val="nil"/>
              <w:bottom w:val="single" w:sz="4" w:space="0" w:color="auto"/>
              <w:right w:val="nil"/>
            </w:tcBorders>
            <w:shd w:val="clear" w:color="auto" w:fill="auto"/>
            <w:noWrap/>
            <w:vAlign w:val="bottom"/>
            <w:hideMark/>
          </w:tcPr>
          <w:p w14:paraId="4CF757E3" w14:textId="274DEAA3"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30</w:t>
            </w:r>
          </w:p>
        </w:tc>
        <w:tc>
          <w:tcPr>
            <w:tcW w:w="1513" w:type="dxa"/>
            <w:tcBorders>
              <w:top w:val="single" w:sz="4" w:space="0" w:color="auto"/>
              <w:left w:val="nil"/>
              <w:bottom w:val="single" w:sz="4" w:space="0" w:color="auto"/>
              <w:right w:val="nil"/>
            </w:tcBorders>
            <w:shd w:val="clear" w:color="auto" w:fill="auto"/>
            <w:noWrap/>
            <w:vAlign w:val="bottom"/>
            <w:hideMark/>
          </w:tcPr>
          <w:p w14:paraId="47F38751" w14:textId="760D070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38</w:t>
            </w:r>
            <w:r>
              <w:rPr>
                <w:rFonts w:eastAsia="Times New Roman"/>
                <w:color w:val="000000"/>
                <w:szCs w:val="24"/>
                <w:lang w:eastAsia="cs-CZ"/>
              </w:rPr>
              <w:t>,</w:t>
            </w:r>
            <w:r w:rsidRPr="00C75983">
              <w:rPr>
                <w:rFonts w:eastAsia="Times New Roman"/>
                <w:color w:val="000000"/>
                <w:szCs w:val="24"/>
                <w:lang w:eastAsia="cs-CZ"/>
              </w:rPr>
              <w:t>40</w:t>
            </w:r>
          </w:p>
        </w:tc>
        <w:tc>
          <w:tcPr>
            <w:tcW w:w="1322" w:type="dxa"/>
            <w:tcBorders>
              <w:top w:val="single" w:sz="4" w:space="0" w:color="auto"/>
              <w:left w:val="nil"/>
              <w:bottom w:val="single" w:sz="4" w:space="0" w:color="auto"/>
              <w:right w:val="nil"/>
            </w:tcBorders>
            <w:shd w:val="clear" w:color="auto" w:fill="auto"/>
            <w:noWrap/>
            <w:vAlign w:val="bottom"/>
            <w:hideMark/>
          </w:tcPr>
          <w:p w14:paraId="649AFED2" w14:textId="1413F432"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225</w:t>
            </w:r>
            <w:r>
              <w:rPr>
                <w:rFonts w:eastAsia="Times New Roman"/>
                <w:color w:val="000000"/>
                <w:szCs w:val="24"/>
                <w:lang w:eastAsia="cs-CZ"/>
              </w:rPr>
              <w:t>,</w:t>
            </w:r>
            <w:r w:rsidRPr="00C75983">
              <w:rPr>
                <w:rFonts w:eastAsia="Times New Roman"/>
                <w:color w:val="000000"/>
                <w:szCs w:val="24"/>
                <w:lang w:eastAsia="cs-CZ"/>
              </w:rPr>
              <w:t>20</w:t>
            </w:r>
          </w:p>
        </w:tc>
        <w:tc>
          <w:tcPr>
            <w:tcW w:w="1417" w:type="dxa"/>
            <w:tcBorders>
              <w:top w:val="nil"/>
              <w:left w:val="nil"/>
              <w:bottom w:val="nil"/>
              <w:right w:val="nil"/>
            </w:tcBorders>
            <w:shd w:val="clear" w:color="auto" w:fill="auto"/>
            <w:noWrap/>
            <w:vAlign w:val="bottom"/>
            <w:hideMark/>
          </w:tcPr>
          <w:p w14:paraId="292EBAAC"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5C97D195"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4C260B61"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Praha</w:t>
            </w:r>
          </w:p>
        </w:tc>
        <w:tc>
          <w:tcPr>
            <w:tcW w:w="1559" w:type="dxa"/>
            <w:tcBorders>
              <w:top w:val="nil"/>
              <w:left w:val="nil"/>
              <w:bottom w:val="single" w:sz="4" w:space="0" w:color="auto"/>
              <w:right w:val="nil"/>
            </w:tcBorders>
            <w:shd w:val="clear" w:color="auto" w:fill="auto"/>
            <w:noWrap/>
            <w:vAlign w:val="bottom"/>
            <w:hideMark/>
          </w:tcPr>
          <w:p w14:paraId="6A8F69B8" w14:textId="7C47BDF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11</w:t>
            </w:r>
            <w:r>
              <w:rPr>
                <w:rFonts w:eastAsia="Times New Roman"/>
                <w:color w:val="000000"/>
                <w:szCs w:val="24"/>
                <w:lang w:eastAsia="cs-CZ"/>
              </w:rPr>
              <w:t>,</w:t>
            </w:r>
            <w:r w:rsidRPr="00C75983">
              <w:rPr>
                <w:rFonts w:eastAsia="Times New Roman"/>
                <w:color w:val="000000"/>
                <w:szCs w:val="24"/>
                <w:lang w:eastAsia="cs-CZ"/>
              </w:rPr>
              <w:t>70</w:t>
            </w:r>
          </w:p>
        </w:tc>
        <w:tc>
          <w:tcPr>
            <w:tcW w:w="1418" w:type="dxa"/>
            <w:tcBorders>
              <w:top w:val="nil"/>
              <w:left w:val="nil"/>
              <w:bottom w:val="single" w:sz="4" w:space="0" w:color="auto"/>
              <w:right w:val="nil"/>
            </w:tcBorders>
            <w:shd w:val="clear" w:color="auto" w:fill="auto"/>
            <w:noWrap/>
            <w:vAlign w:val="bottom"/>
            <w:hideMark/>
          </w:tcPr>
          <w:p w14:paraId="1AD7A936" w14:textId="7D1094DA"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w:t>
            </w:r>
            <w:r>
              <w:rPr>
                <w:rFonts w:eastAsia="Times New Roman"/>
                <w:color w:val="000000"/>
                <w:szCs w:val="24"/>
                <w:lang w:eastAsia="cs-CZ"/>
              </w:rPr>
              <w:t>,</w:t>
            </w:r>
            <w:r w:rsidRPr="00C75983">
              <w:rPr>
                <w:rFonts w:eastAsia="Times New Roman"/>
                <w:color w:val="000000"/>
                <w:szCs w:val="24"/>
                <w:lang w:eastAsia="cs-CZ"/>
              </w:rPr>
              <w:t>80</w:t>
            </w:r>
          </w:p>
        </w:tc>
        <w:tc>
          <w:tcPr>
            <w:tcW w:w="1513" w:type="dxa"/>
            <w:tcBorders>
              <w:top w:val="nil"/>
              <w:left w:val="nil"/>
              <w:bottom w:val="single" w:sz="4" w:space="0" w:color="auto"/>
              <w:right w:val="nil"/>
            </w:tcBorders>
            <w:shd w:val="clear" w:color="auto" w:fill="auto"/>
            <w:noWrap/>
            <w:vAlign w:val="bottom"/>
            <w:hideMark/>
          </w:tcPr>
          <w:p w14:paraId="5E834FA3" w14:textId="1D0451B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14</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6E9303F1" w14:textId="78E270B1"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96</w:t>
            </w:r>
            <w:r>
              <w:rPr>
                <w:rFonts w:eastAsia="Times New Roman"/>
                <w:color w:val="000000"/>
                <w:szCs w:val="24"/>
                <w:lang w:eastAsia="cs-CZ"/>
              </w:rPr>
              <w:t>,</w:t>
            </w:r>
            <w:r w:rsidRPr="00C75983">
              <w:rPr>
                <w:rFonts w:eastAsia="Times New Roman"/>
                <w:color w:val="000000"/>
                <w:szCs w:val="24"/>
                <w:lang w:eastAsia="cs-CZ"/>
              </w:rPr>
              <w:t>50</w:t>
            </w:r>
          </w:p>
        </w:tc>
        <w:tc>
          <w:tcPr>
            <w:tcW w:w="1417" w:type="dxa"/>
            <w:tcBorders>
              <w:top w:val="nil"/>
              <w:left w:val="nil"/>
              <w:bottom w:val="nil"/>
              <w:right w:val="nil"/>
            </w:tcBorders>
            <w:shd w:val="clear" w:color="auto" w:fill="auto"/>
            <w:noWrap/>
            <w:vAlign w:val="bottom"/>
            <w:hideMark/>
          </w:tcPr>
          <w:p w14:paraId="190B2BB1"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6AEF45DA"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47502861"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Č. Budějovice</w:t>
            </w:r>
          </w:p>
        </w:tc>
        <w:tc>
          <w:tcPr>
            <w:tcW w:w="1559" w:type="dxa"/>
            <w:tcBorders>
              <w:top w:val="nil"/>
              <w:left w:val="nil"/>
              <w:bottom w:val="single" w:sz="4" w:space="0" w:color="auto"/>
              <w:right w:val="nil"/>
            </w:tcBorders>
            <w:shd w:val="clear" w:color="auto" w:fill="auto"/>
            <w:noWrap/>
            <w:vAlign w:val="bottom"/>
            <w:hideMark/>
          </w:tcPr>
          <w:p w14:paraId="6929F69D" w14:textId="79224F57"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6</w:t>
            </w:r>
            <w:r>
              <w:rPr>
                <w:rFonts w:eastAsia="Times New Roman"/>
                <w:color w:val="000000"/>
                <w:szCs w:val="24"/>
                <w:lang w:eastAsia="cs-CZ"/>
              </w:rPr>
              <w:t>,</w:t>
            </w:r>
            <w:r w:rsidRPr="00C75983">
              <w:rPr>
                <w:rFonts w:eastAsia="Times New Roman"/>
                <w:color w:val="000000"/>
                <w:szCs w:val="24"/>
                <w:lang w:eastAsia="cs-CZ"/>
              </w:rPr>
              <w:t>00</w:t>
            </w:r>
          </w:p>
        </w:tc>
        <w:tc>
          <w:tcPr>
            <w:tcW w:w="1418" w:type="dxa"/>
            <w:tcBorders>
              <w:top w:val="nil"/>
              <w:left w:val="nil"/>
              <w:bottom w:val="single" w:sz="4" w:space="0" w:color="auto"/>
              <w:right w:val="nil"/>
            </w:tcBorders>
            <w:shd w:val="clear" w:color="auto" w:fill="auto"/>
            <w:noWrap/>
            <w:vAlign w:val="bottom"/>
            <w:hideMark/>
          </w:tcPr>
          <w:p w14:paraId="09E6DC06" w14:textId="2F9C612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w:t>
            </w:r>
            <w:r>
              <w:rPr>
                <w:rFonts w:eastAsia="Times New Roman"/>
                <w:color w:val="000000"/>
                <w:szCs w:val="24"/>
                <w:lang w:eastAsia="cs-CZ"/>
              </w:rPr>
              <w:t>,</w:t>
            </w:r>
            <w:r w:rsidRPr="00C75983">
              <w:rPr>
                <w:rFonts w:eastAsia="Times New Roman"/>
                <w:color w:val="000000"/>
                <w:szCs w:val="24"/>
                <w:lang w:eastAsia="cs-CZ"/>
              </w:rPr>
              <w:t>00</w:t>
            </w:r>
          </w:p>
        </w:tc>
        <w:tc>
          <w:tcPr>
            <w:tcW w:w="1513" w:type="dxa"/>
            <w:tcBorders>
              <w:top w:val="nil"/>
              <w:left w:val="nil"/>
              <w:bottom w:val="single" w:sz="4" w:space="0" w:color="auto"/>
              <w:right w:val="nil"/>
            </w:tcBorders>
            <w:shd w:val="clear" w:color="auto" w:fill="auto"/>
            <w:noWrap/>
            <w:vAlign w:val="bottom"/>
            <w:hideMark/>
          </w:tcPr>
          <w:p w14:paraId="789396BC" w14:textId="6DD9782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510AB237" w14:textId="35158E2E"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44</w:t>
            </w:r>
            <w:r>
              <w:rPr>
                <w:rFonts w:eastAsia="Times New Roman"/>
                <w:color w:val="000000"/>
                <w:szCs w:val="24"/>
                <w:lang w:eastAsia="cs-CZ"/>
              </w:rPr>
              <w:t>,</w:t>
            </w:r>
            <w:r w:rsidRPr="00C75983">
              <w:rPr>
                <w:rFonts w:eastAsia="Times New Roman"/>
                <w:color w:val="000000"/>
                <w:szCs w:val="24"/>
                <w:lang w:eastAsia="cs-CZ"/>
              </w:rPr>
              <w:t>75</w:t>
            </w:r>
          </w:p>
        </w:tc>
        <w:tc>
          <w:tcPr>
            <w:tcW w:w="1417" w:type="dxa"/>
            <w:tcBorders>
              <w:top w:val="nil"/>
              <w:left w:val="nil"/>
              <w:bottom w:val="nil"/>
              <w:right w:val="nil"/>
            </w:tcBorders>
            <w:shd w:val="clear" w:color="auto" w:fill="auto"/>
            <w:noWrap/>
            <w:vAlign w:val="bottom"/>
            <w:hideMark/>
          </w:tcPr>
          <w:p w14:paraId="2263D501"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363FC004"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7857A8C3"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Plzeň</w:t>
            </w:r>
          </w:p>
        </w:tc>
        <w:tc>
          <w:tcPr>
            <w:tcW w:w="1559" w:type="dxa"/>
            <w:tcBorders>
              <w:top w:val="nil"/>
              <w:left w:val="nil"/>
              <w:bottom w:val="single" w:sz="4" w:space="0" w:color="auto"/>
              <w:right w:val="nil"/>
            </w:tcBorders>
            <w:shd w:val="clear" w:color="auto" w:fill="auto"/>
            <w:noWrap/>
            <w:vAlign w:val="bottom"/>
            <w:hideMark/>
          </w:tcPr>
          <w:p w14:paraId="55F248AF" w14:textId="67BAA89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35</w:t>
            </w:r>
          </w:p>
        </w:tc>
        <w:tc>
          <w:tcPr>
            <w:tcW w:w="1418" w:type="dxa"/>
            <w:tcBorders>
              <w:top w:val="nil"/>
              <w:left w:val="nil"/>
              <w:bottom w:val="single" w:sz="4" w:space="0" w:color="auto"/>
              <w:right w:val="nil"/>
            </w:tcBorders>
            <w:shd w:val="clear" w:color="auto" w:fill="auto"/>
            <w:noWrap/>
            <w:vAlign w:val="bottom"/>
            <w:hideMark/>
          </w:tcPr>
          <w:p w14:paraId="4ADB478D" w14:textId="73891E92"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35</w:t>
            </w:r>
          </w:p>
        </w:tc>
        <w:tc>
          <w:tcPr>
            <w:tcW w:w="1513" w:type="dxa"/>
            <w:tcBorders>
              <w:top w:val="nil"/>
              <w:left w:val="nil"/>
              <w:bottom w:val="single" w:sz="4" w:space="0" w:color="auto"/>
              <w:right w:val="nil"/>
            </w:tcBorders>
            <w:shd w:val="clear" w:color="auto" w:fill="auto"/>
            <w:noWrap/>
            <w:vAlign w:val="bottom"/>
            <w:hideMark/>
          </w:tcPr>
          <w:p w14:paraId="5954CE3A" w14:textId="792CD94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7</w:t>
            </w:r>
            <w:r>
              <w:rPr>
                <w:rFonts w:eastAsia="Times New Roman"/>
                <w:color w:val="000000"/>
                <w:szCs w:val="24"/>
                <w:lang w:eastAsia="cs-CZ"/>
              </w:rPr>
              <w:t>,</w:t>
            </w:r>
            <w:r w:rsidRPr="00C75983">
              <w:rPr>
                <w:rFonts w:eastAsia="Times New Roman"/>
                <w:color w:val="000000"/>
                <w:szCs w:val="24"/>
                <w:lang w:eastAsia="cs-CZ"/>
              </w:rPr>
              <w:t>50</w:t>
            </w:r>
          </w:p>
        </w:tc>
        <w:tc>
          <w:tcPr>
            <w:tcW w:w="1322" w:type="dxa"/>
            <w:tcBorders>
              <w:top w:val="nil"/>
              <w:left w:val="nil"/>
              <w:bottom w:val="single" w:sz="4" w:space="0" w:color="auto"/>
              <w:right w:val="nil"/>
            </w:tcBorders>
            <w:shd w:val="clear" w:color="auto" w:fill="auto"/>
            <w:noWrap/>
            <w:vAlign w:val="bottom"/>
            <w:hideMark/>
          </w:tcPr>
          <w:p w14:paraId="25787764" w14:textId="3C6CAF8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66</w:t>
            </w:r>
            <w:r>
              <w:rPr>
                <w:rFonts w:eastAsia="Times New Roman"/>
                <w:color w:val="000000"/>
                <w:szCs w:val="24"/>
                <w:lang w:eastAsia="cs-CZ"/>
              </w:rPr>
              <w:t>,</w:t>
            </w:r>
            <w:r w:rsidRPr="00C75983">
              <w:rPr>
                <w:rFonts w:eastAsia="Times New Roman"/>
                <w:color w:val="000000"/>
                <w:szCs w:val="24"/>
                <w:lang w:eastAsia="cs-CZ"/>
              </w:rPr>
              <w:t>10</w:t>
            </w:r>
          </w:p>
        </w:tc>
        <w:tc>
          <w:tcPr>
            <w:tcW w:w="1417" w:type="dxa"/>
            <w:tcBorders>
              <w:top w:val="nil"/>
              <w:left w:val="nil"/>
              <w:bottom w:val="nil"/>
              <w:right w:val="nil"/>
            </w:tcBorders>
            <w:shd w:val="clear" w:color="auto" w:fill="auto"/>
            <w:noWrap/>
            <w:vAlign w:val="bottom"/>
            <w:hideMark/>
          </w:tcPr>
          <w:p w14:paraId="1988F585"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32C69D12"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46B624FB"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Ústí n. Labem</w:t>
            </w:r>
          </w:p>
        </w:tc>
        <w:tc>
          <w:tcPr>
            <w:tcW w:w="1559" w:type="dxa"/>
            <w:tcBorders>
              <w:top w:val="nil"/>
              <w:left w:val="nil"/>
              <w:bottom w:val="single" w:sz="4" w:space="0" w:color="auto"/>
              <w:right w:val="nil"/>
            </w:tcBorders>
            <w:shd w:val="clear" w:color="auto" w:fill="auto"/>
            <w:noWrap/>
            <w:vAlign w:val="bottom"/>
            <w:hideMark/>
          </w:tcPr>
          <w:p w14:paraId="54B58E9E" w14:textId="3A4FBCC3"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14</w:t>
            </w:r>
            <w:r>
              <w:rPr>
                <w:rFonts w:eastAsia="Times New Roman"/>
                <w:color w:val="000000"/>
                <w:szCs w:val="24"/>
                <w:lang w:eastAsia="cs-CZ"/>
              </w:rPr>
              <w:t>,</w:t>
            </w:r>
            <w:r w:rsidRPr="00C75983">
              <w:rPr>
                <w:rFonts w:eastAsia="Times New Roman"/>
                <w:color w:val="000000"/>
                <w:szCs w:val="24"/>
                <w:lang w:eastAsia="cs-CZ"/>
              </w:rPr>
              <w:t>77</w:t>
            </w:r>
          </w:p>
        </w:tc>
        <w:tc>
          <w:tcPr>
            <w:tcW w:w="1418" w:type="dxa"/>
            <w:tcBorders>
              <w:top w:val="nil"/>
              <w:left w:val="nil"/>
              <w:bottom w:val="single" w:sz="4" w:space="0" w:color="auto"/>
              <w:right w:val="nil"/>
            </w:tcBorders>
            <w:shd w:val="clear" w:color="auto" w:fill="auto"/>
            <w:noWrap/>
            <w:vAlign w:val="bottom"/>
            <w:hideMark/>
          </w:tcPr>
          <w:p w14:paraId="542D30A5" w14:textId="2193759E"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w:t>
            </w:r>
            <w:r>
              <w:rPr>
                <w:rFonts w:eastAsia="Times New Roman"/>
                <w:color w:val="000000"/>
                <w:szCs w:val="24"/>
                <w:lang w:eastAsia="cs-CZ"/>
              </w:rPr>
              <w:t>,</w:t>
            </w:r>
            <w:r w:rsidRPr="00C75983">
              <w:rPr>
                <w:rFonts w:eastAsia="Times New Roman"/>
                <w:color w:val="000000"/>
                <w:szCs w:val="24"/>
                <w:lang w:eastAsia="cs-CZ"/>
              </w:rPr>
              <w:t>53</w:t>
            </w:r>
          </w:p>
        </w:tc>
        <w:tc>
          <w:tcPr>
            <w:tcW w:w="1513" w:type="dxa"/>
            <w:tcBorders>
              <w:top w:val="nil"/>
              <w:left w:val="nil"/>
              <w:bottom w:val="single" w:sz="4" w:space="0" w:color="auto"/>
              <w:right w:val="nil"/>
            </w:tcBorders>
            <w:shd w:val="clear" w:color="auto" w:fill="auto"/>
            <w:noWrap/>
            <w:vAlign w:val="bottom"/>
            <w:hideMark/>
          </w:tcPr>
          <w:p w14:paraId="64AFFD56" w14:textId="6800042B"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9</w:t>
            </w:r>
            <w:r>
              <w:rPr>
                <w:rFonts w:eastAsia="Times New Roman"/>
                <w:color w:val="000000"/>
                <w:szCs w:val="24"/>
                <w:lang w:eastAsia="cs-CZ"/>
              </w:rPr>
              <w:t>,</w:t>
            </w:r>
            <w:r w:rsidRPr="00C75983">
              <w:rPr>
                <w:rFonts w:eastAsia="Times New Roman"/>
                <w:color w:val="000000"/>
                <w:szCs w:val="24"/>
                <w:lang w:eastAsia="cs-CZ"/>
              </w:rPr>
              <w:t>50</w:t>
            </w:r>
          </w:p>
        </w:tc>
        <w:tc>
          <w:tcPr>
            <w:tcW w:w="1322" w:type="dxa"/>
            <w:tcBorders>
              <w:top w:val="nil"/>
              <w:left w:val="nil"/>
              <w:bottom w:val="single" w:sz="4" w:space="0" w:color="auto"/>
              <w:right w:val="nil"/>
            </w:tcBorders>
            <w:shd w:val="clear" w:color="auto" w:fill="auto"/>
            <w:noWrap/>
            <w:vAlign w:val="bottom"/>
            <w:hideMark/>
          </w:tcPr>
          <w:p w14:paraId="4E96AC73" w14:textId="76ACB2DA"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112</w:t>
            </w:r>
            <w:r>
              <w:rPr>
                <w:rFonts w:eastAsia="Times New Roman"/>
                <w:color w:val="000000"/>
                <w:szCs w:val="24"/>
                <w:lang w:eastAsia="cs-CZ"/>
              </w:rPr>
              <w:t>,</w:t>
            </w:r>
            <w:r w:rsidRPr="00C75983">
              <w:rPr>
                <w:rFonts w:eastAsia="Times New Roman"/>
                <w:color w:val="000000"/>
                <w:szCs w:val="24"/>
                <w:lang w:eastAsia="cs-CZ"/>
              </w:rPr>
              <w:t>73</w:t>
            </w:r>
          </w:p>
        </w:tc>
        <w:tc>
          <w:tcPr>
            <w:tcW w:w="1417" w:type="dxa"/>
            <w:tcBorders>
              <w:top w:val="nil"/>
              <w:left w:val="nil"/>
              <w:bottom w:val="nil"/>
              <w:right w:val="nil"/>
            </w:tcBorders>
            <w:shd w:val="clear" w:color="auto" w:fill="auto"/>
            <w:noWrap/>
            <w:vAlign w:val="bottom"/>
            <w:hideMark/>
          </w:tcPr>
          <w:p w14:paraId="05629A50"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4B5E41A3"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08848340"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Hr. Králové</w:t>
            </w:r>
          </w:p>
        </w:tc>
        <w:tc>
          <w:tcPr>
            <w:tcW w:w="1559" w:type="dxa"/>
            <w:tcBorders>
              <w:top w:val="nil"/>
              <w:left w:val="nil"/>
              <w:bottom w:val="single" w:sz="4" w:space="0" w:color="auto"/>
              <w:right w:val="nil"/>
            </w:tcBorders>
            <w:shd w:val="clear" w:color="auto" w:fill="auto"/>
            <w:noWrap/>
            <w:vAlign w:val="bottom"/>
            <w:hideMark/>
          </w:tcPr>
          <w:p w14:paraId="5EABDB35" w14:textId="3DD7933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80</w:t>
            </w:r>
          </w:p>
        </w:tc>
        <w:tc>
          <w:tcPr>
            <w:tcW w:w="1418" w:type="dxa"/>
            <w:tcBorders>
              <w:top w:val="nil"/>
              <w:left w:val="nil"/>
              <w:bottom w:val="single" w:sz="4" w:space="0" w:color="auto"/>
              <w:right w:val="nil"/>
            </w:tcBorders>
            <w:shd w:val="clear" w:color="auto" w:fill="auto"/>
            <w:noWrap/>
            <w:vAlign w:val="bottom"/>
            <w:hideMark/>
          </w:tcPr>
          <w:p w14:paraId="0205597F" w14:textId="712C67F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w:t>
            </w:r>
            <w:r>
              <w:rPr>
                <w:rFonts w:eastAsia="Times New Roman"/>
                <w:color w:val="000000"/>
                <w:szCs w:val="24"/>
                <w:lang w:eastAsia="cs-CZ"/>
              </w:rPr>
              <w:t>,</w:t>
            </w:r>
            <w:r w:rsidRPr="00C75983">
              <w:rPr>
                <w:rFonts w:eastAsia="Times New Roman"/>
                <w:color w:val="000000"/>
                <w:szCs w:val="24"/>
                <w:lang w:eastAsia="cs-CZ"/>
              </w:rPr>
              <w:t>20</w:t>
            </w:r>
          </w:p>
        </w:tc>
        <w:tc>
          <w:tcPr>
            <w:tcW w:w="1513" w:type="dxa"/>
            <w:tcBorders>
              <w:top w:val="nil"/>
              <w:left w:val="nil"/>
              <w:bottom w:val="single" w:sz="4" w:space="0" w:color="auto"/>
              <w:right w:val="nil"/>
            </w:tcBorders>
            <w:shd w:val="clear" w:color="auto" w:fill="auto"/>
            <w:noWrap/>
            <w:vAlign w:val="bottom"/>
            <w:hideMark/>
          </w:tcPr>
          <w:p w14:paraId="22471D6D" w14:textId="57591DE7"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9</w:t>
            </w:r>
            <w:r>
              <w:rPr>
                <w:rFonts w:eastAsia="Times New Roman"/>
                <w:color w:val="000000"/>
                <w:szCs w:val="24"/>
                <w:lang w:eastAsia="cs-CZ"/>
              </w:rPr>
              <w:t>,</w:t>
            </w:r>
            <w:r w:rsidRPr="00C75983">
              <w:rPr>
                <w:rFonts w:eastAsia="Times New Roman"/>
                <w:color w:val="000000"/>
                <w:szCs w:val="24"/>
                <w:lang w:eastAsia="cs-CZ"/>
              </w:rPr>
              <w:t>70</w:t>
            </w:r>
          </w:p>
        </w:tc>
        <w:tc>
          <w:tcPr>
            <w:tcW w:w="1322" w:type="dxa"/>
            <w:tcBorders>
              <w:top w:val="nil"/>
              <w:left w:val="nil"/>
              <w:bottom w:val="single" w:sz="4" w:space="0" w:color="auto"/>
              <w:right w:val="nil"/>
            </w:tcBorders>
            <w:shd w:val="clear" w:color="auto" w:fill="auto"/>
            <w:noWrap/>
            <w:vAlign w:val="bottom"/>
            <w:hideMark/>
          </w:tcPr>
          <w:p w14:paraId="1D40B299" w14:textId="0BA36AE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76</w:t>
            </w:r>
            <w:r>
              <w:rPr>
                <w:rFonts w:eastAsia="Times New Roman"/>
                <w:color w:val="000000"/>
                <w:szCs w:val="24"/>
                <w:lang w:eastAsia="cs-CZ"/>
              </w:rPr>
              <w:t>,</w:t>
            </w:r>
            <w:r w:rsidRPr="00C75983">
              <w:rPr>
                <w:rFonts w:eastAsia="Times New Roman"/>
                <w:color w:val="000000"/>
                <w:szCs w:val="24"/>
                <w:lang w:eastAsia="cs-CZ"/>
              </w:rPr>
              <w:t>35</w:t>
            </w:r>
          </w:p>
        </w:tc>
        <w:tc>
          <w:tcPr>
            <w:tcW w:w="1417" w:type="dxa"/>
            <w:tcBorders>
              <w:top w:val="nil"/>
              <w:left w:val="nil"/>
              <w:bottom w:val="nil"/>
              <w:right w:val="nil"/>
            </w:tcBorders>
            <w:shd w:val="clear" w:color="auto" w:fill="auto"/>
            <w:noWrap/>
            <w:vAlign w:val="bottom"/>
            <w:hideMark/>
          </w:tcPr>
          <w:p w14:paraId="56105373"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5F7A35B7"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7A08E267"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Brno</w:t>
            </w:r>
          </w:p>
        </w:tc>
        <w:tc>
          <w:tcPr>
            <w:tcW w:w="1559" w:type="dxa"/>
            <w:tcBorders>
              <w:top w:val="nil"/>
              <w:left w:val="nil"/>
              <w:bottom w:val="single" w:sz="4" w:space="0" w:color="auto"/>
              <w:right w:val="nil"/>
            </w:tcBorders>
            <w:shd w:val="clear" w:color="auto" w:fill="auto"/>
            <w:noWrap/>
            <w:vAlign w:val="bottom"/>
            <w:hideMark/>
          </w:tcPr>
          <w:p w14:paraId="41E2819A" w14:textId="0E1CE6E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17</w:t>
            </w:r>
            <w:r>
              <w:rPr>
                <w:rFonts w:eastAsia="Times New Roman"/>
                <w:color w:val="000000"/>
                <w:szCs w:val="24"/>
                <w:lang w:eastAsia="cs-CZ"/>
              </w:rPr>
              <w:t>,</w:t>
            </w:r>
            <w:r w:rsidRPr="00C75983">
              <w:rPr>
                <w:rFonts w:eastAsia="Times New Roman"/>
                <w:color w:val="000000"/>
                <w:szCs w:val="24"/>
                <w:lang w:eastAsia="cs-CZ"/>
              </w:rPr>
              <w:t>00</w:t>
            </w:r>
          </w:p>
        </w:tc>
        <w:tc>
          <w:tcPr>
            <w:tcW w:w="1418" w:type="dxa"/>
            <w:tcBorders>
              <w:top w:val="nil"/>
              <w:left w:val="nil"/>
              <w:bottom w:val="single" w:sz="4" w:space="0" w:color="auto"/>
              <w:right w:val="nil"/>
            </w:tcBorders>
            <w:shd w:val="clear" w:color="auto" w:fill="auto"/>
            <w:noWrap/>
            <w:vAlign w:val="bottom"/>
            <w:hideMark/>
          </w:tcPr>
          <w:p w14:paraId="2992D846" w14:textId="3245175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00</w:t>
            </w:r>
          </w:p>
        </w:tc>
        <w:tc>
          <w:tcPr>
            <w:tcW w:w="1513" w:type="dxa"/>
            <w:tcBorders>
              <w:top w:val="nil"/>
              <w:left w:val="nil"/>
              <w:bottom w:val="single" w:sz="4" w:space="0" w:color="auto"/>
              <w:right w:val="nil"/>
            </w:tcBorders>
            <w:shd w:val="clear" w:color="auto" w:fill="auto"/>
            <w:noWrap/>
            <w:vAlign w:val="bottom"/>
            <w:hideMark/>
          </w:tcPr>
          <w:p w14:paraId="017FBB6B" w14:textId="0F3DD35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16</w:t>
            </w:r>
            <w:r>
              <w:rPr>
                <w:rFonts w:eastAsia="Times New Roman"/>
                <w:color w:val="000000"/>
                <w:szCs w:val="24"/>
                <w:lang w:eastAsia="cs-CZ"/>
              </w:rPr>
              <w:t>,</w:t>
            </w:r>
            <w:r w:rsidRPr="00C75983">
              <w:rPr>
                <w:rFonts w:eastAsia="Times New Roman"/>
                <w:color w:val="000000"/>
                <w:szCs w:val="24"/>
                <w:lang w:eastAsia="cs-CZ"/>
              </w:rPr>
              <w:t>50</w:t>
            </w:r>
          </w:p>
        </w:tc>
        <w:tc>
          <w:tcPr>
            <w:tcW w:w="1322" w:type="dxa"/>
            <w:tcBorders>
              <w:top w:val="nil"/>
              <w:left w:val="nil"/>
              <w:bottom w:val="single" w:sz="4" w:space="0" w:color="auto"/>
              <w:right w:val="nil"/>
            </w:tcBorders>
            <w:shd w:val="clear" w:color="auto" w:fill="auto"/>
            <w:noWrap/>
            <w:vAlign w:val="bottom"/>
            <w:hideMark/>
          </w:tcPr>
          <w:p w14:paraId="1C459E03" w14:textId="3EBDA41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152</w:t>
            </w:r>
            <w:r>
              <w:rPr>
                <w:rFonts w:eastAsia="Times New Roman"/>
                <w:color w:val="000000"/>
                <w:szCs w:val="24"/>
                <w:lang w:eastAsia="cs-CZ"/>
              </w:rPr>
              <w:t>,</w:t>
            </w:r>
            <w:r w:rsidRPr="00C75983">
              <w:rPr>
                <w:rFonts w:eastAsia="Times New Roman"/>
                <w:color w:val="000000"/>
                <w:szCs w:val="24"/>
                <w:lang w:eastAsia="cs-CZ"/>
              </w:rPr>
              <w:t>50</w:t>
            </w:r>
          </w:p>
        </w:tc>
        <w:tc>
          <w:tcPr>
            <w:tcW w:w="1417" w:type="dxa"/>
            <w:tcBorders>
              <w:top w:val="nil"/>
              <w:left w:val="nil"/>
              <w:bottom w:val="nil"/>
              <w:right w:val="nil"/>
            </w:tcBorders>
            <w:shd w:val="clear" w:color="auto" w:fill="auto"/>
            <w:noWrap/>
            <w:vAlign w:val="bottom"/>
            <w:hideMark/>
          </w:tcPr>
          <w:p w14:paraId="35CB9E07"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21B011A8" w14:textId="77777777" w:rsidTr="003D5F1A">
        <w:trPr>
          <w:trHeight w:val="330"/>
        </w:trPr>
        <w:tc>
          <w:tcPr>
            <w:tcW w:w="1985" w:type="dxa"/>
            <w:tcBorders>
              <w:top w:val="nil"/>
              <w:left w:val="nil"/>
              <w:bottom w:val="double" w:sz="6" w:space="0" w:color="auto"/>
              <w:right w:val="nil"/>
            </w:tcBorders>
            <w:shd w:val="clear" w:color="auto" w:fill="auto"/>
            <w:noWrap/>
            <w:vAlign w:val="bottom"/>
            <w:hideMark/>
          </w:tcPr>
          <w:p w14:paraId="6E6B946E"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Ostrava</w:t>
            </w:r>
          </w:p>
        </w:tc>
        <w:tc>
          <w:tcPr>
            <w:tcW w:w="1559" w:type="dxa"/>
            <w:tcBorders>
              <w:top w:val="nil"/>
              <w:left w:val="nil"/>
              <w:bottom w:val="double" w:sz="6" w:space="0" w:color="auto"/>
              <w:right w:val="nil"/>
            </w:tcBorders>
            <w:shd w:val="clear" w:color="auto" w:fill="auto"/>
            <w:noWrap/>
            <w:vAlign w:val="bottom"/>
            <w:hideMark/>
          </w:tcPr>
          <w:p w14:paraId="302A2FD5" w14:textId="1617E643"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14</w:t>
            </w:r>
            <w:r>
              <w:rPr>
                <w:rFonts w:eastAsia="Times New Roman"/>
                <w:color w:val="000000"/>
                <w:szCs w:val="24"/>
                <w:lang w:eastAsia="cs-CZ"/>
              </w:rPr>
              <w:t>,</w:t>
            </w:r>
            <w:r w:rsidRPr="00C75983">
              <w:rPr>
                <w:rFonts w:eastAsia="Times New Roman"/>
                <w:color w:val="000000"/>
                <w:szCs w:val="24"/>
                <w:lang w:eastAsia="cs-CZ"/>
              </w:rPr>
              <w:t>00</w:t>
            </w:r>
          </w:p>
        </w:tc>
        <w:tc>
          <w:tcPr>
            <w:tcW w:w="1418" w:type="dxa"/>
            <w:tcBorders>
              <w:top w:val="nil"/>
              <w:left w:val="nil"/>
              <w:bottom w:val="double" w:sz="6" w:space="0" w:color="auto"/>
              <w:right w:val="nil"/>
            </w:tcBorders>
            <w:shd w:val="clear" w:color="auto" w:fill="auto"/>
            <w:noWrap/>
            <w:vAlign w:val="bottom"/>
            <w:hideMark/>
          </w:tcPr>
          <w:p w14:paraId="5D79B932" w14:textId="68F78F2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50</w:t>
            </w:r>
          </w:p>
        </w:tc>
        <w:tc>
          <w:tcPr>
            <w:tcW w:w="1513" w:type="dxa"/>
            <w:tcBorders>
              <w:top w:val="nil"/>
              <w:left w:val="nil"/>
              <w:bottom w:val="double" w:sz="6" w:space="0" w:color="auto"/>
              <w:right w:val="nil"/>
            </w:tcBorders>
            <w:shd w:val="clear" w:color="auto" w:fill="auto"/>
            <w:noWrap/>
            <w:vAlign w:val="bottom"/>
            <w:hideMark/>
          </w:tcPr>
          <w:p w14:paraId="21C2A38F" w14:textId="084F9B0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12</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43096A1C" w14:textId="5C562770"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138</w:t>
            </w:r>
            <w:r>
              <w:rPr>
                <w:rFonts w:eastAsia="Times New Roman"/>
                <w:color w:val="000000"/>
                <w:szCs w:val="24"/>
                <w:lang w:eastAsia="cs-CZ"/>
              </w:rPr>
              <w:t>,</w:t>
            </w:r>
            <w:r w:rsidRPr="00C75983">
              <w:rPr>
                <w:rFonts w:eastAsia="Times New Roman"/>
                <w:color w:val="000000"/>
                <w:szCs w:val="24"/>
                <w:lang w:eastAsia="cs-CZ"/>
              </w:rPr>
              <w:t>20</w:t>
            </w:r>
          </w:p>
        </w:tc>
        <w:tc>
          <w:tcPr>
            <w:tcW w:w="1417" w:type="dxa"/>
            <w:tcBorders>
              <w:top w:val="nil"/>
              <w:left w:val="nil"/>
              <w:bottom w:val="nil"/>
              <w:right w:val="nil"/>
            </w:tcBorders>
            <w:shd w:val="clear" w:color="auto" w:fill="auto"/>
            <w:noWrap/>
            <w:vAlign w:val="bottom"/>
            <w:hideMark/>
          </w:tcPr>
          <w:p w14:paraId="5B3880BF"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6EDF9176" w14:textId="77777777" w:rsidTr="003D5F1A">
        <w:trPr>
          <w:trHeight w:val="345"/>
        </w:trPr>
        <w:tc>
          <w:tcPr>
            <w:tcW w:w="1985" w:type="dxa"/>
            <w:tcBorders>
              <w:top w:val="nil"/>
              <w:left w:val="nil"/>
              <w:bottom w:val="double" w:sz="6" w:space="0" w:color="auto"/>
              <w:right w:val="nil"/>
            </w:tcBorders>
            <w:shd w:val="clear" w:color="auto" w:fill="auto"/>
            <w:noWrap/>
            <w:vAlign w:val="bottom"/>
            <w:hideMark/>
          </w:tcPr>
          <w:p w14:paraId="7AA20D94" w14:textId="77777777" w:rsidR="00C75983" w:rsidRPr="00C75983" w:rsidRDefault="00C75983" w:rsidP="00C75983">
            <w:pPr>
              <w:spacing w:line="240" w:lineRule="auto"/>
              <w:jc w:val="left"/>
              <w:rPr>
                <w:rFonts w:eastAsia="Times New Roman"/>
                <w:b/>
                <w:bCs/>
                <w:color w:val="000000"/>
                <w:szCs w:val="24"/>
                <w:lang w:eastAsia="cs-CZ"/>
              </w:rPr>
            </w:pPr>
            <w:r w:rsidRPr="00C75983">
              <w:rPr>
                <w:rFonts w:eastAsia="Times New Roman"/>
                <w:b/>
                <w:bCs/>
                <w:color w:val="000000"/>
                <w:szCs w:val="24"/>
                <w:lang w:eastAsia="cs-CZ"/>
              </w:rPr>
              <w:t>Celkem ČR</w:t>
            </w:r>
          </w:p>
        </w:tc>
        <w:tc>
          <w:tcPr>
            <w:tcW w:w="1559" w:type="dxa"/>
            <w:tcBorders>
              <w:top w:val="nil"/>
              <w:left w:val="nil"/>
              <w:bottom w:val="double" w:sz="6" w:space="0" w:color="auto"/>
              <w:right w:val="nil"/>
            </w:tcBorders>
            <w:shd w:val="clear" w:color="auto" w:fill="auto"/>
            <w:noWrap/>
            <w:vAlign w:val="bottom"/>
            <w:hideMark/>
          </w:tcPr>
          <w:p w14:paraId="35EFE5C5" w14:textId="105A6EF5"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96</w:t>
            </w:r>
            <w:r>
              <w:rPr>
                <w:rFonts w:eastAsia="Times New Roman"/>
                <w:b/>
                <w:bCs/>
                <w:color w:val="000000"/>
                <w:szCs w:val="24"/>
                <w:lang w:eastAsia="cs-CZ"/>
              </w:rPr>
              <w:t>,</w:t>
            </w:r>
            <w:r w:rsidRPr="00C75983">
              <w:rPr>
                <w:rFonts w:eastAsia="Times New Roman"/>
                <w:b/>
                <w:bCs/>
                <w:color w:val="000000"/>
                <w:szCs w:val="24"/>
                <w:lang w:eastAsia="cs-CZ"/>
              </w:rPr>
              <w:t>02</w:t>
            </w:r>
          </w:p>
        </w:tc>
        <w:tc>
          <w:tcPr>
            <w:tcW w:w="1418" w:type="dxa"/>
            <w:tcBorders>
              <w:top w:val="nil"/>
              <w:left w:val="nil"/>
              <w:bottom w:val="double" w:sz="6" w:space="0" w:color="auto"/>
              <w:right w:val="nil"/>
            </w:tcBorders>
            <w:shd w:val="clear" w:color="auto" w:fill="auto"/>
            <w:noWrap/>
            <w:vAlign w:val="bottom"/>
            <w:hideMark/>
          </w:tcPr>
          <w:p w14:paraId="4F4E8BE9" w14:textId="7E839AA9"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38</w:t>
            </w:r>
            <w:r>
              <w:rPr>
                <w:rFonts w:eastAsia="Times New Roman"/>
                <w:b/>
                <w:bCs/>
                <w:color w:val="000000"/>
                <w:szCs w:val="24"/>
                <w:lang w:eastAsia="cs-CZ"/>
              </w:rPr>
              <w:t>,</w:t>
            </w:r>
            <w:r w:rsidRPr="00C75983">
              <w:rPr>
                <w:rFonts w:eastAsia="Times New Roman"/>
                <w:b/>
                <w:bCs/>
                <w:color w:val="000000"/>
                <w:szCs w:val="24"/>
                <w:lang w:eastAsia="cs-CZ"/>
              </w:rPr>
              <w:t>68</w:t>
            </w:r>
          </w:p>
        </w:tc>
        <w:tc>
          <w:tcPr>
            <w:tcW w:w="1513" w:type="dxa"/>
            <w:tcBorders>
              <w:top w:val="nil"/>
              <w:left w:val="nil"/>
              <w:bottom w:val="double" w:sz="6" w:space="0" w:color="auto"/>
              <w:right w:val="nil"/>
            </w:tcBorders>
            <w:shd w:val="clear" w:color="auto" w:fill="auto"/>
            <w:noWrap/>
            <w:vAlign w:val="bottom"/>
            <w:hideMark/>
          </w:tcPr>
          <w:p w14:paraId="135A3F37" w14:textId="0DEEBEBE"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111</w:t>
            </w:r>
            <w:r>
              <w:rPr>
                <w:rFonts w:eastAsia="Times New Roman"/>
                <w:b/>
                <w:bCs/>
                <w:color w:val="000000"/>
                <w:szCs w:val="24"/>
                <w:lang w:eastAsia="cs-CZ"/>
              </w:rPr>
              <w:t>,</w:t>
            </w:r>
            <w:r w:rsidRPr="00C75983">
              <w:rPr>
                <w:rFonts w:eastAsia="Times New Roman"/>
                <w:b/>
                <w:bCs/>
                <w:color w:val="000000"/>
                <w:szCs w:val="24"/>
                <w:lang w:eastAsia="cs-CZ"/>
              </w:rPr>
              <w:t>6</w:t>
            </w:r>
          </w:p>
        </w:tc>
        <w:tc>
          <w:tcPr>
            <w:tcW w:w="1322" w:type="dxa"/>
            <w:tcBorders>
              <w:top w:val="double" w:sz="6" w:space="0" w:color="auto"/>
              <w:left w:val="nil"/>
              <w:bottom w:val="double" w:sz="6" w:space="0" w:color="auto"/>
              <w:right w:val="nil"/>
            </w:tcBorders>
            <w:shd w:val="clear" w:color="auto" w:fill="auto"/>
            <w:noWrap/>
            <w:vAlign w:val="bottom"/>
            <w:hideMark/>
          </w:tcPr>
          <w:p w14:paraId="0837E518" w14:textId="0D8F250F"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912</w:t>
            </w:r>
            <w:r>
              <w:rPr>
                <w:rFonts w:eastAsia="Times New Roman"/>
                <w:b/>
                <w:bCs/>
                <w:color w:val="000000"/>
                <w:szCs w:val="24"/>
                <w:lang w:eastAsia="cs-CZ"/>
              </w:rPr>
              <w:t>,</w:t>
            </w:r>
            <w:r w:rsidRPr="00C75983">
              <w:rPr>
                <w:rFonts w:eastAsia="Times New Roman"/>
                <w:b/>
                <w:bCs/>
                <w:color w:val="000000"/>
                <w:szCs w:val="24"/>
                <w:lang w:eastAsia="cs-CZ"/>
              </w:rPr>
              <w:t>33</w:t>
            </w:r>
          </w:p>
        </w:tc>
        <w:tc>
          <w:tcPr>
            <w:tcW w:w="1417" w:type="dxa"/>
            <w:tcBorders>
              <w:top w:val="nil"/>
              <w:left w:val="nil"/>
              <w:bottom w:val="nil"/>
              <w:right w:val="nil"/>
            </w:tcBorders>
            <w:shd w:val="clear" w:color="auto" w:fill="auto"/>
            <w:noWrap/>
            <w:vAlign w:val="bottom"/>
            <w:hideMark/>
          </w:tcPr>
          <w:p w14:paraId="635C8177" w14:textId="77777777" w:rsidR="00C75983" w:rsidRPr="00C75983" w:rsidRDefault="00C75983" w:rsidP="00C75983">
            <w:pPr>
              <w:spacing w:line="240" w:lineRule="auto"/>
              <w:jc w:val="center"/>
              <w:rPr>
                <w:rFonts w:eastAsia="Times New Roman"/>
                <w:b/>
                <w:bCs/>
                <w:color w:val="000000"/>
                <w:szCs w:val="24"/>
                <w:lang w:eastAsia="cs-CZ"/>
              </w:rPr>
            </w:pPr>
          </w:p>
        </w:tc>
      </w:tr>
      <w:tr w:rsidR="00C75983" w:rsidRPr="00C75983" w14:paraId="06B5612A" w14:textId="77777777" w:rsidTr="003D5F1A">
        <w:trPr>
          <w:trHeight w:val="330"/>
        </w:trPr>
        <w:tc>
          <w:tcPr>
            <w:tcW w:w="1985" w:type="dxa"/>
            <w:tcBorders>
              <w:top w:val="nil"/>
              <w:left w:val="nil"/>
              <w:bottom w:val="nil"/>
              <w:right w:val="nil"/>
            </w:tcBorders>
            <w:shd w:val="clear" w:color="auto" w:fill="auto"/>
            <w:noWrap/>
            <w:vAlign w:val="bottom"/>
            <w:hideMark/>
          </w:tcPr>
          <w:p w14:paraId="11DC56E7" w14:textId="77777777" w:rsidR="00C75983" w:rsidRPr="00C75983" w:rsidRDefault="00C75983" w:rsidP="00C75983">
            <w:pPr>
              <w:spacing w:line="240" w:lineRule="auto"/>
              <w:jc w:val="center"/>
              <w:rPr>
                <w:rFonts w:ascii="Times New Roman" w:eastAsia="Times New Roman" w:hAnsi="Times New Roman"/>
                <w:sz w:val="20"/>
                <w:szCs w:val="20"/>
                <w:lang w:eastAsia="cs-CZ"/>
              </w:rPr>
            </w:pPr>
          </w:p>
        </w:tc>
        <w:tc>
          <w:tcPr>
            <w:tcW w:w="1559" w:type="dxa"/>
            <w:tcBorders>
              <w:top w:val="nil"/>
              <w:left w:val="nil"/>
              <w:bottom w:val="nil"/>
              <w:right w:val="nil"/>
            </w:tcBorders>
            <w:shd w:val="clear" w:color="auto" w:fill="auto"/>
            <w:noWrap/>
            <w:vAlign w:val="bottom"/>
            <w:hideMark/>
          </w:tcPr>
          <w:p w14:paraId="4CFE9949"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c>
          <w:tcPr>
            <w:tcW w:w="1418" w:type="dxa"/>
            <w:tcBorders>
              <w:top w:val="nil"/>
              <w:left w:val="nil"/>
              <w:bottom w:val="nil"/>
              <w:right w:val="nil"/>
            </w:tcBorders>
            <w:shd w:val="clear" w:color="auto" w:fill="auto"/>
            <w:noWrap/>
            <w:vAlign w:val="bottom"/>
            <w:hideMark/>
          </w:tcPr>
          <w:p w14:paraId="5E4B564A"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c>
          <w:tcPr>
            <w:tcW w:w="1513" w:type="dxa"/>
            <w:tcBorders>
              <w:top w:val="nil"/>
              <w:left w:val="nil"/>
              <w:bottom w:val="nil"/>
              <w:right w:val="nil"/>
            </w:tcBorders>
            <w:shd w:val="clear" w:color="auto" w:fill="auto"/>
            <w:noWrap/>
            <w:vAlign w:val="bottom"/>
            <w:hideMark/>
          </w:tcPr>
          <w:p w14:paraId="0B3A4DBF"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c>
          <w:tcPr>
            <w:tcW w:w="1322" w:type="dxa"/>
            <w:tcBorders>
              <w:top w:val="nil"/>
              <w:left w:val="nil"/>
              <w:bottom w:val="nil"/>
              <w:right w:val="nil"/>
            </w:tcBorders>
            <w:shd w:val="clear" w:color="auto" w:fill="auto"/>
            <w:noWrap/>
            <w:vAlign w:val="bottom"/>
            <w:hideMark/>
          </w:tcPr>
          <w:p w14:paraId="56C54B56"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bottom"/>
            <w:hideMark/>
          </w:tcPr>
          <w:p w14:paraId="69E80FDC"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r>
    </w:tbl>
    <w:p w14:paraId="4DBB91D6" w14:textId="2EA138DB" w:rsidR="003A1FB1" w:rsidRPr="00033A3F" w:rsidRDefault="003A1FB1" w:rsidP="003A1FB1">
      <w:pPr>
        <w:pStyle w:val="OdstavecASR"/>
        <w:rPr>
          <w:color w:val="000000" w:themeColor="text1"/>
        </w:rPr>
      </w:pPr>
      <w:r w:rsidRPr="00033A3F">
        <w:rPr>
          <w:color w:val="000000" w:themeColor="text1"/>
        </w:rPr>
        <w:t>Jak již bylo zmíněno, u KS sledujeme více agend, proto může být tabulka méně přehledná, na druhou stranu poskytuje detailnější vhled než v předchozích zprávách. Jak je z tabulky patrné, největší je MS Praha a nejmenší je KS České Budějovice. Sledovat můžeme i složení soudců dle pohlaví. Data jsou v tabulce a grafech níže.</w:t>
      </w:r>
    </w:p>
    <w:p w14:paraId="1578438A" w14:textId="1EBF378D" w:rsidR="003A1FB1" w:rsidRPr="00033A3F" w:rsidRDefault="003A1FB1" w:rsidP="003A1FB1">
      <w:pPr>
        <w:pStyle w:val="Podnadpis"/>
        <w:rPr>
          <w:color w:val="000000" w:themeColor="text1"/>
        </w:rPr>
      </w:pPr>
      <w:bookmarkStart w:id="1014" w:name="_Toc169250973"/>
      <w:bookmarkStart w:id="1015" w:name="_Toc174080659"/>
      <w:bookmarkStart w:id="1016" w:name="_Toc193530810"/>
      <w:bookmarkStart w:id="1017" w:name="_Toc193634084"/>
      <w:bookmarkStart w:id="1018" w:name="_Toc203032882"/>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55</w:t>
      </w:r>
      <w:r w:rsidRPr="00033A3F">
        <w:rPr>
          <w:color w:val="000000" w:themeColor="text1"/>
        </w:rPr>
        <w:fldChar w:fldCharType="end"/>
      </w:r>
      <w:r w:rsidRPr="00033A3F">
        <w:rPr>
          <w:color w:val="000000" w:themeColor="text1"/>
        </w:rPr>
        <w:t>: KS – skutečný počet soudců dle pohlaví v roce 202</w:t>
      </w:r>
      <w:bookmarkEnd w:id="1014"/>
      <w:bookmarkEnd w:id="1015"/>
      <w:r w:rsidRPr="00033A3F">
        <w:rPr>
          <w:color w:val="000000" w:themeColor="text1"/>
        </w:rPr>
        <w:t>4</w:t>
      </w:r>
      <w:bookmarkEnd w:id="1016"/>
      <w:bookmarkEnd w:id="1017"/>
      <w:bookmarkEnd w:id="1018"/>
    </w:p>
    <w:p w14:paraId="4A6E5B6C" w14:textId="738D40A5" w:rsidR="003A1FB1" w:rsidRPr="00033A3F" w:rsidRDefault="00C75983" w:rsidP="003A1FB1">
      <w:pPr>
        <w:pStyle w:val="OdstavecASR"/>
        <w:rPr>
          <w:color w:val="000000" w:themeColor="text1"/>
        </w:rPr>
      </w:pPr>
      <w:r w:rsidRPr="00C75983">
        <w:rPr>
          <w:noProof/>
          <w:color w:val="000000" w:themeColor="text1"/>
        </w:rPr>
        <w:drawing>
          <wp:inline distT="0" distB="0" distL="0" distR="0" wp14:anchorId="6E6B671D" wp14:editId="3B70DAF8">
            <wp:extent cx="5029200" cy="3657600"/>
            <wp:effectExtent l="0" t="0" r="0" b="0"/>
            <wp:docPr id="20515867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03633EB" w14:textId="01BEFB3E" w:rsidR="003A1FB1" w:rsidRPr="00033A3F" w:rsidRDefault="003A1FB1" w:rsidP="003A1FB1">
      <w:pPr>
        <w:pStyle w:val="Podnadpis"/>
        <w:rPr>
          <w:color w:val="000000" w:themeColor="text1"/>
        </w:rPr>
      </w:pPr>
      <w:bookmarkStart w:id="1019" w:name="_Toc169251092"/>
      <w:bookmarkStart w:id="1020" w:name="_Toc174080778"/>
      <w:bookmarkStart w:id="1021" w:name="_Toc193530908"/>
      <w:bookmarkStart w:id="1022" w:name="_Toc194045604"/>
      <w:bookmarkStart w:id="1023" w:name="_Toc199495014"/>
      <w:bookmarkStart w:id="1024" w:name="_Toc203033075"/>
      <w:bookmarkStart w:id="1025" w:name="_Toc20303315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33</w:t>
      </w:r>
      <w:r w:rsidRPr="00033A3F">
        <w:rPr>
          <w:noProof/>
          <w:color w:val="000000" w:themeColor="text1"/>
        </w:rPr>
        <w:fldChar w:fldCharType="end"/>
      </w:r>
      <w:r w:rsidRPr="00033A3F">
        <w:rPr>
          <w:color w:val="000000" w:themeColor="text1"/>
        </w:rPr>
        <w:t>: KS – skutečný počet soudců dle pohlaví a </w:t>
      </w:r>
      <w:bookmarkEnd w:id="1019"/>
      <w:bookmarkEnd w:id="1020"/>
      <w:bookmarkEnd w:id="1021"/>
      <w:r w:rsidR="00A8692D" w:rsidRPr="00033A3F">
        <w:rPr>
          <w:color w:val="000000" w:themeColor="text1"/>
        </w:rPr>
        <w:t>soudů</w:t>
      </w:r>
      <w:bookmarkEnd w:id="1022"/>
      <w:bookmarkEnd w:id="1023"/>
      <w:bookmarkEnd w:id="1024"/>
      <w:bookmarkEnd w:id="1025"/>
    </w:p>
    <w:tbl>
      <w:tblPr>
        <w:tblW w:w="6800" w:type="dxa"/>
        <w:tblCellMar>
          <w:left w:w="70" w:type="dxa"/>
          <w:right w:w="70" w:type="dxa"/>
        </w:tblCellMar>
        <w:tblLook w:val="04A0" w:firstRow="1" w:lastRow="0" w:firstColumn="1" w:lastColumn="0" w:noHBand="0" w:noVBand="1"/>
      </w:tblPr>
      <w:tblGrid>
        <w:gridCol w:w="2480"/>
        <w:gridCol w:w="1360"/>
        <w:gridCol w:w="1360"/>
        <w:gridCol w:w="1600"/>
      </w:tblGrid>
      <w:tr w:rsidR="006B4072" w:rsidRPr="006B4072" w14:paraId="539B842D" w14:textId="77777777" w:rsidTr="006B407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21A904E"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Soud</w:t>
            </w:r>
          </w:p>
        </w:tc>
        <w:tc>
          <w:tcPr>
            <w:tcW w:w="2720" w:type="dxa"/>
            <w:gridSpan w:val="2"/>
            <w:tcBorders>
              <w:top w:val="double" w:sz="6" w:space="0" w:color="auto"/>
              <w:left w:val="nil"/>
              <w:bottom w:val="nil"/>
              <w:right w:val="nil"/>
            </w:tcBorders>
            <w:shd w:val="clear" w:color="auto" w:fill="auto"/>
            <w:noWrap/>
            <w:vAlign w:val="center"/>
            <w:hideMark/>
          </w:tcPr>
          <w:p w14:paraId="401EBCBA"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763B14D7"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Podíl žen v %</w:t>
            </w:r>
          </w:p>
        </w:tc>
      </w:tr>
      <w:tr w:rsidR="006B4072" w:rsidRPr="006B4072" w14:paraId="323B7F52" w14:textId="77777777" w:rsidTr="006B4072">
        <w:trPr>
          <w:trHeight w:val="330"/>
        </w:trPr>
        <w:tc>
          <w:tcPr>
            <w:tcW w:w="2480" w:type="dxa"/>
            <w:vMerge/>
            <w:tcBorders>
              <w:top w:val="double" w:sz="6" w:space="0" w:color="auto"/>
              <w:left w:val="nil"/>
              <w:bottom w:val="double" w:sz="6" w:space="0" w:color="000000"/>
              <w:right w:val="nil"/>
            </w:tcBorders>
            <w:vAlign w:val="center"/>
            <w:hideMark/>
          </w:tcPr>
          <w:p w14:paraId="102A86CC" w14:textId="77777777" w:rsidR="006B4072" w:rsidRPr="006B4072" w:rsidRDefault="006B4072" w:rsidP="006B4072">
            <w:pPr>
              <w:spacing w:line="240" w:lineRule="auto"/>
              <w:jc w:val="left"/>
              <w:rPr>
                <w:rFonts w:eastAsia="Times New Roman"/>
                <w:b/>
                <w:bCs/>
                <w:color w:val="000000"/>
                <w:szCs w:val="24"/>
                <w:lang w:eastAsia="cs-CZ"/>
              </w:rPr>
            </w:pPr>
          </w:p>
        </w:tc>
        <w:tc>
          <w:tcPr>
            <w:tcW w:w="1360" w:type="dxa"/>
            <w:tcBorders>
              <w:top w:val="nil"/>
              <w:left w:val="nil"/>
              <w:bottom w:val="double" w:sz="6" w:space="0" w:color="auto"/>
              <w:right w:val="nil"/>
            </w:tcBorders>
            <w:shd w:val="clear" w:color="auto" w:fill="auto"/>
            <w:noWrap/>
            <w:vAlign w:val="center"/>
            <w:hideMark/>
          </w:tcPr>
          <w:p w14:paraId="4A81E86C"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Žen</w:t>
            </w:r>
          </w:p>
        </w:tc>
        <w:tc>
          <w:tcPr>
            <w:tcW w:w="1360" w:type="dxa"/>
            <w:tcBorders>
              <w:top w:val="nil"/>
              <w:left w:val="nil"/>
              <w:bottom w:val="double" w:sz="6" w:space="0" w:color="auto"/>
              <w:right w:val="nil"/>
            </w:tcBorders>
            <w:shd w:val="clear" w:color="auto" w:fill="auto"/>
            <w:noWrap/>
            <w:vAlign w:val="center"/>
            <w:hideMark/>
          </w:tcPr>
          <w:p w14:paraId="74BE466E"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42A0E9F0" w14:textId="77777777" w:rsidR="006B4072" w:rsidRPr="006B4072" w:rsidRDefault="006B4072" w:rsidP="006B4072">
            <w:pPr>
              <w:spacing w:line="240" w:lineRule="auto"/>
              <w:jc w:val="left"/>
              <w:rPr>
                <w:rFonts w:eastAsia="Times New Roman"/>
                <w:b/>
                <w:bCs/>
                <w:color w:val="000000"/>
                <w:szCs w:val="24"/>
                <w:lang w:eastAsia="cs-CZ"/>
              </w:rPr>
            </w:pPr>
          </w:p>
        </w:tc>
      </w:tr>
      <w:tr w:rsidR="006B4072" w:rsidRPr="006B4072" w14:paraId="1A5FC5F6" w14:textId="77777777" w:rsidTr="006B4072">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F902C2E"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MS Praha</w:t>
            </w:r>
          </w:p>
        </w:tc>
        <w:tc>
          <w:tcPr>
            <w:tcW w:w="1360" w:type="dxa"/>
            <w:tcBorders>
              <w:top w:val="single" w:sz="4" w:space="0" w:color="auto"/>
              <w:left w:val="nil"/>
              <w:bottom w:val="single" w:sz="4" w:space="0" w:color="auto"/>
              <w:right w:val="nil"/>
            </w:tcBorders>
            <w:shd w:val="clear" w:color="auto" w:fill="auto"/>
            <w:noWrap/>
            <w:vAlign w:val="bottom"/>
            <w:hideMark/>
          </w:tcPr>
          <w:p w14:paraId="48FBADD0" w14:textId="02361DE4"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139</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single" w:sz="4" w:space="0" w:color="auto"/>
              <w:left w:val="nil"/>
              <w:bottom w:val="single" w:sz="4" w:space="0" w:color="auto"/>
              <w:right w:val="nil"/>
            </w:tcBorders>
            <w:shd w:val="clear" w:color="auto" w:fill="auto"/>
            <w:noWrap/>
            <w:vAlign w:val="bottom"/>
            <w:hideMark/>
          </w:tcPr>
          <w:p w14:paraId="7A47DAE0" w14:textId="403E6C70"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86</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single" w:sz="4" w:space="0" w:color="auto"/>
              <w:left w:val="nil"/>
              <w:bottom w:val="single" w:sz="4" w:space="0" w:color="auto"/>
              <w:right w:val="nil"/>
            </w:tcBorders>
            <w:shd w:val="clear" w:color="auto" w:fill="auto"/>
            <w:noWrap/>
            <w:vAlign w:val="bottom"/>
            <w:hideMark/>
          </w:tcPr>
          <w:p w14:paraId="31A4CD2B" w14:textId="73E98725"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61</w:t>
            </w:r>
            <w:r>
              <w:rPr>
                <w:rFonts w:eastAsia="Times New Roman"/>
                <w:color w:val="000000"/>
                <w:szCs w:val="24"/>
                <w:lang w:eastAsia="cs-CZ"/>
              </w:rPr>
              <w:t>,</w:t>
            </w:r>
            <w:r w:rsidRPr="006B4072">
              <w:rPr>
                <w:rFonts w:eastAsia="Times New Roman"/>
                <w:color w:val="000000"/>
                <w:szCs w:val="24"/>
                <w:lang w:eastAsia="cs-CZ"/>
              </w:rPr>
              <w:t>78</w:t>
            </w:r>
          </w:p>
        </w:tc>
      </w:tr>
      <w:tr w:rsidR="006B4072" w:rsidRPr="006B4072" w14:paraId="427CB860"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673A31F3"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Praha</w:t>
            </w:r>
          </w:p>
        </w:tc>
        <w:tc>
          <w:tcPr>
            <w:tcW w:w="1360" w:type="dxa"/>
            <w:tcBorders>
              <w:top w:val="nil"/>
              <w:left w:val="nil"/>
              <w:bottom w:val="single" w:sz="4" w:space="0" w:color="auto"/>
              <w:right w:val="nil"/>
            </w:tcBorders>
            <w:shd w:val="clear" w:color="auto" w:fill="auto"/>
            <w:noWrap/>
            <w:vAlign w:val="bottom"/>
            <w:hideMark/>
          </w:tcPr>
          <w:p w14:paraId="3E9B3156" w14:textId="55508C46"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62</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single" w:sz="4" w:space="0" w:color="auto"/>
              <w:right w:val="nil"/>
            </w:tcBorders>
            <w:shd w:val="clear" w:color="auto" w:fill="auto"/>
            <w:noWrap/>
            <w:vAlign w:val="bottom"/>
            <w:hideMark/>
          </w:tcPr>
          <w:p w14:paraId="62C085F5" w14:textId="52EA3AA8"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33</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0EE0006B" w14:textId="6C5C34FF"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65</w:t>
            </w:r>
            <w:r>
              <w:rPr>
                <w:rFonts w:eastAsia="Times New Roman"/>
                <w:color w:val="000000"/>
                <w:szCs w:val="24"/>
                <w:lang w:eastAsia="cs-CZ"/>
              </w:rPr>
              <w:t>,</w:t>
            </w:r>
            <w:r w:rsidRPr="006B4072">
              <w:rPr>
                <w:rFonts w:eastAsia="Times New Roman"/>
                <w:color w:val="000000"/>
                <w:szCs w:val="24"/>
                <w:lang w:eastAsia="cs-CZ"/>
              </w:rPr>
              <w:t>26</w:t>
            </w:r>
          </w:p>
        </w:tc>
      </w:tr>
      <w:tr w:rsidR="006B4072" w:rsidRPr="006B4072" w14:paraId="2579D55C"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45BA1ADC"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Č. Budějovice</w:t>
            </w:r>
          </w:p>
        </w:tc>
        <w:tc>
          <w:tcPr>
            <w:tcW w:w="1360" w:type="dxa"/>
            <w:tcBorders>
              <w:top w:val="nil"/>
              <w:left w:val="nil"/>
              <w:bottom w:val="single" w:sz="4" w:space="0" w:color="auto"/>
              <w:right w:val="nil"/>
            </w:tcBorders>
            <w:shd w:val="clear" w:color="auto" w:fill="auto"/>
            <w:noWrap/>
            <w:vAlign w:val="bottom"/>
            <w:hideMark/>
          </w:tcPr>
          <w:p w14:paraId="0FA5378D" w14:textId="07B19195"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21</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single" w:sz="4" w:space="0" w:color="auto"/>
              <w:right w:val="nil"/>
            </w:tcBorders>
            <w:shd w:val="clear" w:color="auto" w:fill="auto"/>
            <w:noWrap/>
            <w:vAlign w:val="bottom"/>
            <w:hideMark/>
          </w:tcPr>
          <w:p w14:paraId="5050D697" w14:textId="7C9E819F"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29</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48454BCD" w14:textId="0BF3A123"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42</w:t>
            </w:r>
            <w:r>
              <w:rPr>
                <w:rFonts w:eastAsia="Times New Roman"/>
                <w:color w:val="000000"/>
                <w:szCs w:val="24"/>
                <w:lang w:eastAsia="cs-CZ"/>
              </w:rPr>
              <w:t>,</w:t>
            </w:r>
            <w:r w:rsidRPr="006B4072">
              <w:rPr>
                <w:rFonts w:eastAsia="Times New Roman"/>
                <w:color w:val="000000"/>
                <w:szCs w:val="24"/>
                <w:lang w:eastAsia="cs-CZ"/>
              </w:rPr>
              <w:t>00</w:t>
            </w:r>
          </w:p>
        </w:tc>
      </w:tr>
      <w:tr w:rsidR="006B4072" w:rsidRPr="006B4072" w14:paraId="5ECB9903"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4DFAF4C0"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Plzeň</w:t>
            </w:r>
          </w:p>
        </w:tc>
        <w:tc>
          <w:tcPr>
            <w:tcW w:w="1360" w:type="dxa"/>
            <w:tcBorders>
              <w:top w:val="nil"/>
              <w:left w:val="nil"/>
              <w:bottom w:val="single" w:sz="4" w:space="0" w:color="auto"/>
              <w:right w:val="nil"/>
            </w:tcBorders>
            <w:shd w:val="clear" w:color="auto" w:fill="auto"/>
            <w:noWrap/>
            <w:vAlign w:val="bottom"/>
            <w:hideMark/>
          </w:tcPr>
          <w:p w14:paraId="2F8C4AC9" w14:textId="7C37FF1D"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38</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single" w:sz="4" w:space="0" w:color="auto"/>
              <w:right w:val="nil"/>
            </w:tcBorders>
            <w:shd w:val="clear" w:color="auto" w:fill="auto"/>
            <w:noWrap/>
            <w:vAlign w:val="bottom"/>
            <w:hideMark/>
          </w:tcPr>
          <w:p w14:paraId="341DBD1D" w14:textId="2178CD96"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28</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73ECCEEF" w14:textId="1E6B3522"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57</w:t>
            </w:r>
            <w:r>
              <w:rPr>
                <w:rFonts w:eastAsia="Times New Roman"/>
                <w:color w:val="000000"/>
                <w:szCs w:val="24"/>
                <w:lang w:eastAsia="cs-CZ"/>
              </w:rPr>
              <w:t>,</w:t>
            </w:r>
            <w:r w:rsidRPr="006B4072">
              <w:rPr>
                <w:rFonts w:eastAsia="Times New Roman"/>
                <w:color w:val="000000"/>
                <w:szCs w:val="24"/>
                <w:lang w:eastAsia="cs-CZ"/>
              </w:rPr>
              <w:t>58</w:t>
            </w:r>
          </w:p>
        </w:tc>
      </w:tr>
      <w:tr w:rsidR="006B4072" w:rsidRPr="006B4072" w14:paraId="199DDAFC"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43BA0166"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Ústí n. Labem</w:t>
            </w:r>
          </w:p>
        </w:tc>
        <w:tc>
          <w:tcPr>
            <w:tcW w:w="1360" w:type="dxa"/>
            <w:tcBorders>
              <w:top w:val="nil"/>
              <w:left w:val="nil"/>
              <w:bottom w:val="nil"/>
              <w:right w:val="nil"/>
            </w:tcBorders>
            <w:shd w:val="clear" w:color="auto" w:fill="auto"/>
            <w:noWrap/>
            <w:vAlign w:val="bottom"/>
            <w:hideMark/>
          </w:tcPr>
          <w:p w14:paraId="51D482D1" w14:textId="299CC0F9"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55</w:t>
            </w:r>
            <w:r>
              <w:rPr>
                <w:rFonts w:eastAsia="Times New Roman"/>
                <w:color w:val="000000"/>
                <w:szCs w:val="24"/>
                <w:lang w:eastAsia="cs-CZ"/>
              </w:rPr>
              <w:t>,</w:t>
            </w:r>
            <w:r w:rsidRPr="006B4072">
              <w:rPr>
                <w:rFonts w:eastAsia="Times New Roman"/>
                <w:color w:val="000000"/>
                <w:szCs w:val="24"/>
                <w:lang w:eastAsia="cs-CZ"/>
              </w:rPr>
              <w:t>08</w:t>
            </w:r>
          </w:p>
        </w:tc>
        <w:tc>
          <w:tcPr>
            <w:tcW w:w="1360" w:type="dxa"/>
            <w:tcBorders>
              <w:top w:val="nil"/>
              <w:left w:val="nil"/>
              <w:bottom w:val="nil"/>
              <w:right w:val="nil"/>
            </w:tcBorders>
            <w:shd w:val="clear" w:color="auto" w:fill="auto"/>
            <w:noWrap/>
            <w:vAlign w:val="bottom"/>
            <w:hideMark/>
          </w:tcPr>
          <w:p w14:paraId="60AB60D1" w14:textId="10300786"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57</w:t>
            </w:r>
            <w:r>
              <w:rPr>
                <w:rFonts w:eastAsia="Times New Roman"/>
                <w:color w:val="000000"/>
                <w:szCs w:val="24"/>
                <w:lang w:eastAsia="cs-CZ"/>
              </w:rPr>
              <w:t>,</w:t>
            </w:r>
            <w:r w:rsidRPr="006B4072">
              <w:rPr>
                <w:rFonts w:eastAsia="Times New Roman"/>
                <w:color w:val="000000"/>
                <w:szCs w:val="24"/>
                <w:lang w:eastAsia="cs-CZ"/>
              </w:rPr>
              <w:t>65</w:t>
            </w:r>
          </w:p>
        </w:tc>
        <w:tc>
          <w:tcPr>
            <w:tcW w:w="1600" w:type="dxa"/>
            <w:tcBorders>
              <w:top w:val="nil"/>
              <w:left w:val="nil"/>
              <w:bottom w:val="single" w:sz="4" w:space="0" w:color="auto"/>
              <w:right w:val="nil"/>
            </w:tcBorders>
            <w:shd w:val="clear" w:color="auto" w:fill="auto"/>
            <w:noWrap/>
            <w:vAlign w:val="bottom"/>
            <w:hideMark/>
          </w:tcPr>
          <w:p w14:paraId="29AE2A6A" w14:textId="37E23353"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48</w:t>
            </w:r>
            <w:r>
              <w:rPr>
                <w:rFonts w:eastAsia="Times New Roman"/>
                <w:color w:val="000000"/>
                <w:szCs w:val="24"/>
                <w:lang w:eastAsia="cs-CZ"/>
              </w:rPr>
              <w:t>,</w:t>
            </w:r>
            <w:r w:rsidRPr="006B4072">
              <w:rPr>
                <w:rFonts w:eastAsia="Times New Roman"/>
                <w:color w:val="000000"/>
                <w:szCs w:val="24"/>
                <w:lang w:eastAsia="cs-CZ"/>
              </w:rPr>
              <w:t>86</w:t>
            </w:r>
          </w:p>
        </w:tc>
      </w:tr>
      <w:tr w:rsidR="006B4072" w:rsidRPr="006B4072" w14:paraId="185C6DA3"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57E6AB0B"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Hr. Králové</w:t>
            </w:r>
          </w:p>
        </w:tc>
        <w:tc>
          <w:tcPr>
            <w:tcW w:w="1360" w:type="dxa"/>
            <w:tcBorders>
              <w:top w:val="single" w:sz="4" w:space="0" w:color="auto"/>
              <w:left w:val="nil"/>
              <w:bottom w:val="single" w:sz="4" w:space="0" w:color="auto"/>
              <w:right w:val="nil"/>
            </w:tcBorders>
            <w:shd w:val="clear" w:color="auto" w:fill="auto"/>
            <w:noWrap/>
            <w:vAlign w:val="bottom"/>
            <w:hideMark/>
          </w:tcPr>
          <w:p w14:paraId="473CB95C" w14:textId="20208177"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34</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single" w:sz="4" w:space="0" w:color="auto"/>
              <w:left w:val="nil"/>
              <w:bottom w:val="single" w:sz="4" w:space="0" w:color="auto"/>
              <w:right w:val="nil"/>
            </w:tcBorders>
            <w:shd w:val="clear" w:color="auto" w:fill="auto"/>
            <w:noWrap/>
            <w:vAlign w:val="bottom"/>
            <w:hideMark/>
          </w:tcPr>
          <w:p w14:paraId="7F9FDBA1" w14:textId="7A44E7F8"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45</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32B9AE31" w14:textId="22F03BDD"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43</w:t>
            </w:r>
            <w:r>
              <w:rPr>
                <w:rFonts w:eastAsia="Times New Roman"/>
                <w:color w:val="000000"/>
                <w:szCs w:val="24"/>
                <w:lang w:eastAsia="cs-CZ"/>
              </w:rPr>
              <w:t>,</w:t>
            </w:r>
            <w:r w:rsidRPr="006B4072">
              <w:rPr>
                <w:rFonts w:eastAsia="Times New Roman"/>
                <w:color w:val="000000"/>
                <w:szCs w:val="24"/>
                <w:lang w:eastAsia="cs-CZ"/>
              </w:rPr>
              <w:t>04</w:t>
            </w:r>
          </w:p>
        </w:tc>
      </w:tr>
      <w:tr w:rsidR="006B4072" w:rsidRPr="006B4072" w14:paraId="7C714058"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2CE6C5E8"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Brno</w:t>
            </w:r>
          </w:p>
        </w:tc>
        <w:tc>
          <w:tcPr>
            <w:tcW w:w="1360" w:type="dxa"/>
            <w:tcBorders>
              <w:top w:val="nil"/>
              <w:left w:val="nil"/>
              <w:bottom w:val="single" w:sz="4" w:space="0" w:color="auto"/>
              <w:right w:val="nil"/>
            </w:tcBorders>
            <w:shd w:val="clear" w:color="auto" w:fill="auto"/>
            <w:noWrap/>
            <w:vAlign w:val="bottom"/>
            <w:hideMark/>
          </w:tcPr>
          <w:p w14:paraId="2C4317E5" w14:textId="18DC952D"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66</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single" w:sz="4" w:space="0" w:color="auto"/>
              <w:right w:val="nil"/>
            </w:tcBorders>
            <w:shd w:val="clear" w:color="auto" w:fill="auto"/>
            <w:noWrap/>
            <w:vAlign w:val="bottom"/>
            <w:hideMark/>
          </w:tcPr>
          <w:p w14:paraId="24F87207" w14:textId="5FBB68BC"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84</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6A3B351B" w14:textId="2FF78D4C"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44</w:t>
            </w:r>
            <w:r>
              <w:rPr>
                <w:rFonts w:eastAsia="Times New Roman"/>
                <w:color w:val="000000"/>
                <w:szCs w:val="24"/>
                <w:lang w:eastAsia="cs-CZ"/>
              </w:rPr>
              <w:t>,</w:t>
            </w:r>
            <w:r w:rsidRPr="006B4072">
              <w:rPr>
                <w:rFonts w:eastAsia="Times New Roman"/>
                <w:color w:val="000000"/>
                <w:szCs w:val="24"/>
                <w:lang w:eastAsia="cs-CZ"/>
              </w:rPr>
              <w:t>00</w:t>
            </w:r>
          </w:p>
        </w:tc>
      </w:tr>
      <w:tr w:rsidR="006B4072" w:rsidRPr="006B4072" w14:paraId="19A299CD" w14:textId="77777777" w:rsidTr="006B4072">
        <w:trPr>
          <w:trHeight w:val="330"/>
        </w:trPr>
        <w:tc>
          <w:tcPr>
            <w:tcW w:w="2480" w:type="dxa"/>
            <w:tcBorders>
              <w:top w:val="nil"/>
              <w:left w:val="nil"/>
              <w:bottom w:val="double" w:sz="6" w:space="0" w:color="auto"/>
              <w:right w:val="nil"/>
            </w:tcBorders>
            <w:shd w:val="clear" w:color="auto" w:fill="auto"/>
            <w:noWrap/>
            <w:vAlign w:val="bottom"/>
            <w:hideMark/>
          </w:tcPr>
          <w:p w14:paraId="1FBE739F"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Ostrava</w:t>
            </w:r>
          </w:p>
        </w:tc>
        <w:tc>
          <w:tcPr>
            <w:tcW w:w="1360" w:type="dxa"/>
            <w:tcBorders>
              <w:top w:val="nil"/>
              <w:left w:val="nil"/>
              <w:bottom w:val="double" w:sz="6" w:space="0" w:color="auto"/>
              <w:right w:val="nil"/>
            </w:tcBorders>
            <w:shd w:val="clear" w:color="auto" w:fill="auto"/>
            <w:noWrap/>
            <w:vAlign w:val="bottom"/>
            <w:hideMark/>
          </w:tcPr>
          <w:p w14:paraId="686653C8" w14:textId="2C4B619F"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79</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double" w:sz="6" w:space="0" w:color="auto"/>
              <w:right w:val="nil"/>
            </w:tcBorders>
            <w:shd w:val="clear" w:color="auto" w:fill="auto"/>
            <w:noWrap/>
            <w:vAlign w:val="bottom"/>
            <w:hideMark/>
          </w:tcPr>
          <w:p w14:paraId="38A90243" w14:textId="34EE3342"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61</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double" w:sz="6" w:space="0" w:color="auto"/>
              <w:right w:val="nil"/>
            </w:tcBorders>
            <w:shd w:val="clear" w:color="auto" w:fill="auto"/>
            <w:noWrap/>
            <w:vAlign w:val="bottom"/>
            <w:hideMark/>
          </w:tcPr>
          <w:p w14:paraId="46C89FAD" w14:textId="482FEE5C"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56</w:t>
            </w:r>
            <w:r>
              <w:rPr>
                <w:rFonts w:eastAsia="Times New Roman"/>
                <w:color w:val="000000"/>
                <w:szCs w:val="24"/>
                <w:lang w:eastAsia="cs-CZ"/>
              </w:rPr>
              <w:t>,</w:t>
            </w:r>
            <w:r w:rsidRPr="006B4072">
              <w:rPr>
                <w:rFonts w:eastAsia="Times New Roman"/>
                <w:color w:val="000000"/>
                <w:szCs w:val="24"/>
                <w:lang w:eastAsia="cs-CZ"/>
              </w:rPr>
              <w:t>43</w:t>
            </w:r>
          </w:p>
        </w:tc>
      </w:tr>
      <w:tr w:rsidR="006B4072" w:rsidRPr="006B4072" w14:paraId="0974DDD5" w14:textId="77777777" w:rsidTr="006B4072">
        <w:trPr>
          <w:trHeight w:val="345"/>
        </w:trPr>
        <w:tc>
          <w:tcPr>
            <w:tcW w:w="2480" w:type="dxa"/>
            <w:tcBorders>
              <w:top w:val="nil"/>
              <w:left w:val="nil"/>
              <w:bottom w:val="double" w:sz="6" w:space="0" w:color="auto"/>
              <w:right w:val="nil"/>
            </w:tcBorders>
            <w:shd w:val="clear" w:color="auto" w:fill="auto"/>
            <w:noWrap/>
            <w:vAlign w:val="bottom"/>
            <w:hideMark/>
          </w:tcPr>
          <w:p w14:paraId="0DF2FACF" w14:textId="77777777" w:rsidR="006B4072" w:rsidRPr="006B4072" w:rsidRDefault="006B4072" w:rsidP="006B4072">
            <w:pPr>
              <w:spacing w:line="240" w:lineRule="auto"/>
              <w:jc w:val="left"/>
              <w:rPr>
                <w:rFonts w:eastAsia="Times New Roman"/>
                <w:b/>
                <w:bCs/>
                <w:color w:val="000000"/>
                <w:szCs w:val="24"/>
                <w:lang w:eastAsia="cs-CZ"/>
              </w:rPr>
            </w:pPr>
            <w:r w:rsidRPr="006B4072">
              <w:rPr>
                <w:rFonts w:eastAsia="Times New Roman"/>
                <w:b/>
                <w:bCs/>
                <w:color w:val="000000"/>
                <w:szCs w:val="24"/>
                <w:lang w:eastAsia="cs-CZ"/>
              </w:rPr>
              <w:t>Celkem ČR</w:t>
            </w:r>
          </w:p>
        </w:tc>
        <w:tc>
          <w:tcPr>
            <w:tcW w:w="1360" w:type="dxa"/>
            <w:tcBorders>
              <w:top w:val="nil"/>
              <w:left w:val="nil"/>
              <w:bottom w:val="double" w:sz="6" w:space="0" w:color="auto"/>
              <w:right w:val="nil"/>
            </w:tcBorders>
            <w:shd w:val="clear" w:color="auto" w:fill="auto"/>
            <w:noWrap/>
            <w:vAlign w:val="bottom"/>
            <w:hideMark/>
          </w:tcPr>
          <w:p w14:paraId="3D8C868E" w14:textId="09B2B800"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494</w:t>
            </w:r>
            <w:r>
              <w:rPr>
                <w:rFonts w:eastAsia="Times New Roman"/>
                <w:b/>
                <w:bCs/>
                <w:color w:val="000000"/>
                <w:szCs w:val="24"/>
                <w:lang w:eastAsia="cs-CZ"/>
              </w:rPr>
              <w:t>,</w:t>
            </w:r>
            <w:r w:rsidRPr="006B4072">
              <w:rPr>
                <w:rFonts w:eastAsia="Times New Roman"/>
                <w:b/>
                <w:bCs/>
                <w:color w:val="000000"/>
                <w:szCs w:val="24"/>
                <w:lang w:eastAsia="cs-CZ"/>
              </w:rPr>
              <w:t>08</w:t>
            </w:r>
          </w:p>
        </w:tc>
        <w:tc>
          <w:tcPr>
            <w:tcW w:w="1360" w:type="dxa"/>
            <w:tcBorders>
              <w:top w:val="nil"/>
              <w:left w:val="nil"/>
              <w:bottom w:val="double" w:sz="6" w:space="0" w:color="auto"/>
              <w:right w:val="nil"/>
            </w:tcBorders>
            <w:shd w:val="clear" w:color="auto" w:fill="auto"/>
            <w:noWrap/>
            <w:vAlign w:val="bottom"/>
            <w:hideMark/>
          </w:tcPr>
          <w:p w14:paraId="5312C7A2" w14:textId="274226F6"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423</w:t>
            </w:r>
            <w:r>
              <w:rPr>
                <w:rFonts w:eastAsia="Times New Roman"/>
                <w:b/>
                <w:bCs/>
                <w:color w:val="000000"/>
                <w:szCs w:val="24"/>
                <w:lang w:eastAsia="cs-CZ"/>
              </w:rPr>
              <w:t>,</w:t>
            </w:r>
            <w:r w:rsidRPr="006B4072">
              <w:rPr>
                <w:rFonts w:eastAsia="Times New Roman"/>
                <w:b/>
                <w:bCs/>
                <w:color w:val="000000"/>
                <w:szCs w:val="24"/>
                <w:lang w:eastAsia="cs-CZ"/>
              </w:rPr>
              <w:t>65</w:t>
            </w:r>
          </w:p>
        </w:tc>
        <w:tc>
          <w:tcPr>
            <w:tcW w:w="1600" w:type="dxa"/>
            <w:tcBorders>
              <w:top w:val="nil"/>
              <w:left w:val="nil"/>
              <w:bottom w:val="double" w:sz="6" w:space="0" w:color="auto"/>
              <w:right w:val="nil"/>
            </w:tcBorders>
            <w:shd w:val="clear" w:color="auto" w:fill="auto"/>
            <w:noWrap/>
            <w:vAlign w:val="bottom"/>
            <w:hideMark/>
          </w:tcPr>
          <w:p w14:paraId="128167B9" w14:textId="5DF06F15"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53</w:t>
            </w:r>
            <w:r>
              <w:rPr>
                <w:rFonts w:eastAsia="Times New Roman"/>
                <w:b/>
                <w:bCs/>
                <w:color w:val="000000"/>
                <w:szCs w:val="24"/>
                <w:lang w:eastAsia="cs-CZ"/>
              </w:rPr>
              <w:t>,</w:t>
            </w:r>
            <w:r w:rsidRPr="006B4072">
              <w:rPr>
                <w:rFonts w:eastAsia="Times New Roman"/>
                <w:b/>
                <w:bCs/>
                <w:color w:val="000000"/>
                <w:szCs w:val="24"/>
                <w:lang w:eastAsia="cs-CZ"/>
              </w:rPr>
              <w:t>84</w:t>
            </w:r>
          </w:p>
        </w:tc>
      </w:tr>
      <w:tr w:rsidR="006B4072" w:rsidRPr="006B4072" w14:paraId="259F9459" w14:textId="77777777" w:rsidTr="006B4072">
        <w:trPr>
          <w:trHeight w:val="330"/>
        </w:trPr>
        <w:tc>
          <w:tcPr>
            <w:tcW w:w="2480" w:type="dxa"/>
            <w:tcBorders>
              <w:top w:val="nil"/>
              <w:left w:val="nil"/>
              <w:bottom w:val="nil"/>
              <w:right w:val="nil"/>
            </w:tcBorders>
            <w:shd w:val="clear" w:color="auto" w:fill="auto"/>
            <w:noWrap/>
            <w:vAlign w:val="bottom"/>
            <w:hideMark/>
          </w:tcPr>
          <w:p w14:paraId="636EDBA4" w14:textId="77777777" w:rsidR="006B4072" w:rsidRPr="006B4072" w:rsidRDefault="006B4072" w:rsidP="006B4072">
            <w:pPr>
              <w:spacing w:line="240" w:lineRule="auto"/>
              <w:jc w:val="center"/>
              <w:rPr>
                <w:rFonts w:eastAsia="Times New Roman"/>
                <w:b/>
                <w:bCs/>
                <w:color w:val="000000"/>
                <w:szCs w:val="24"/>
                <w:lang w:eastAsia="cs-CZ"/>
              </w:rPr>
            </w:pPr>
          </w:p>
        </w:tc>
        <w:tc>
          <w:tcPr>
            <w:tcW w:w="1360" w:type="dxa"/>
            <w:tcBorders>
              <w:top w:val="nil"/>
              <w:left w:val="nil"/>
              <w:bottom w:val="nil"/>
              <w:right w:val="nil"/>
            </w:tcBorders>
            <w:shd w:val="clear" w:color="auto" w:fill="auto"/>
            <w:noWrap/>
            <w:vAlign w:val="bottom"/>
            <w:hideMark/>
          </w:tcPr>
          <w:p w14:paraId="2EED0350" w14:textId="77777777" w:rsidR="006B4072" w:rsidRPr="006B4072" w:rsidRDefault="006B4072" w:rsidP="006B4072">
            <w:pPr>
              <w:spacing w:line="240" w:lineRule="auto"/>
              <w:jc w:val="left"/>
              <w:rPr>
                <w:rFonts w:ascii="Times New Roman" w:eastAsia="Times New Roman" w:hAnsi="Times New Roman"/>
                <w:sz w:val="20"/>
                <w:szCs w:val="20"/>
                <w:lang w:eastAsia="cs-CZ"/>
              </w:rPr>
            </w:pPr>
          </w:p>
        </w:tc>
        <w:tc>
          <w:tcPr>
            <w:tcW w:w="1360" w:type="dxa"/>
            <w:tcBorders>
              <w:top w:val="nil"/>
              <w:left w:val="nil"/>
              <w:bottom w:val="nil"/>
              <w:right w:val="nil"/>
            </w:tcBorders>
            <w:shd w:val="clear" w:color="auto" w:fill="auto"/>
            <w:noWrap/>
            <w:vAlign w:val="bottom"/>
            <w:hideMark/>
          </w:tcPr>
          <w:p w14:paraId="55A4DAA5" w14:textId="77777777" w:rsidR="006B4072" w:rsidRPr="006B4072" w:rsidRDefault="006B4072" w:rsidP="006B4072">
            <w:pPr>
              <w:spacing w:line="240" w:lineRule="auto"/>
              <w:jc w:val="left"/>
              <w:rPr>
                <w:rFonts w:ascii="Times New Roman" w:eastAsia="Times New Roman" w:hAnsi="Times New Roman"/>
                <w:sz w:val="20"/>
                <w:szCs w:val="20"/>
                <w:lang w:eastAsia="cs-CZ"/>
              </w:rPr>
            </w:pPr>
          </w:p>
        </w:tc>
        <w:tc>
          <w:tcPr>
            <w:tcW w:w="1600" w:type="dxa"/>
            <w:tcBorders>
              <w:top w:val="nil"/>
              <w:left w:val="nil"/>
              <w:bottom w:val="nil"/>
              <w:right w:val="nil"/>
            </w:tcBorders>
            <w:shd w:val="clear" w:color="auto" w:fill="auto"/>
            <w:noWrap/>
            <w:vAlign w:val="bottom"/>
            <w:hideMark/>
          </w:tcPr>
          <w:p w14:paraId="3064C9D4" w14:textId="77777777" w:rsidR="006B4072" w:rsidRPr="006B4072" w:rsidRDefault="006B4072" w:rsidP="006B4072">
            <w:pPr>
              <w:spacing w:line="240" w:lineRule="auto"/>
              <w:jc w:val="left"/>
              <w:rPr>
                <w:rFonts w:ascii="Times New Roman" w:eastAsia="Times New Roman" w:hAnsi="Times New Roman"/>
                <w:sz w:val="20"/>
                <w:szCs w:val="20"/>
                <w:lang w:eastAsia="cs-CZ"/>
              </w:rPr>
            </w:pPr>
          </w:p>
        </w:tc>
      </w:tr>
    </w:tbl>
    <w:p w14:paraId="37B5627C" w14:textId="766C1075" w:rsidR="003A1FB1" w:rsidRPr="00033A3F" w:rsidRDefault="003A1FB1" w:rsidP="003A1FB1">
      <w:pPr>
        <w:pStyle w:val="OdstavecASR"/>
        <w:rPr>
          <w:color w:val="000000" w:themeColor="text1"/>
        </w:rPr>
      </w:pPr>
      <w:r w:rsidRPr="00033A3F">
        <w:rPr>
          <w:color w:val="000000" w:themeColor="text1"/>
        </w:rPr>
        <w:t>Stejně jako u OS působí i u krajských soudů více soudkyň než soudců. Podíl žen je ale nižší než u okresních soudů (65,</w:t>
      </w:r>
      <w:r w:rsidR="006B4072">
        <w:rPr>
          <w:color w:val="000000" w:themeColor="text1"/>
        </w:rPr>
        <w:t>70</w:t>
      </w:r>
      <w:r w:rsidRPr="00033A3F">
        <w:rPr>
          <w:color w:val="000000" w:themeColor="text1"/>
        </w:rPr>
        <w:t> %, viz tabulka č. 3). Jak uvidíme níže, tento jev se dále prohlubuje s každým dalším stupněm soudní soustavy.</w:t>
      </w:r>
    </w:p>
    <w:p w14:paraId="4490091C" w14:textId="2EF059F2" w:rsidR="003A1FB1" w:rsidRPr="00033A3F" w:rsidRDefault="003A1FB1" w:rsidP="003A1FB1">
      <w:pPr>
        <w:pStyle w:val="OdstavecASR"/>
        <w:rPr>
          <w:color w:val="000000" w:themeColor="text1"/>
        </w:rPr>
      </w:pPr>
      <w:r w:rsidRPr="00033A3F">
        <w:rPr>
          <w:color w:val="000000" w:themeColor="text1"/>
        </w:rPr>
        <w:t>Rozdíly mezi soudy jsou poměrně velké. Nejvyšší podíl žen mezi soudci má KS Praha (6</w:t>
      </w:r>
      <w:r w:rsidR="0024369B" w:rsidRPr="00033A3F">
        <w:rPr>
          <w:color w:val="000000" w:themeColor="text1"/>
        </w:rPr>
        <w:t>5</w:t>
      </w:r>
      <w:r w:rsidRPr="00033A3F">
        <w:rPr>
          <w:color w:val="000000" w:themeColor="text1"/>
        </w:rPr>
        <w:t> %) a nejnižší KS Č. Budějovice (4</w:t>
      </w:r>
      <w:r w:rsidR="0024369B" w:rsidRPr="00033A3F">
        <w:rPr>
          <w:color w:val="000000" w:themeColor="text1"/>
        </w:rPr>
        <w:t>2</w:t>
      </w:r>
      <w:r w:rsidRPr="00033A3F">
        <w:rPr>
          <w:color w:val="000000" w:themeColor="text1"/>
        </w:rPr>
        <w:t> %), což je o 23 procentních bodů méně.</w:t>
      </w:r>
    </w:p>
    <w:p w14:paraId="64BA5DBF" w14:textId="4396D675" w:rsidR="003A1FB1" w:rsidRPr="00033A3F" w:rsidRDefault="003A1FB1" w:rsidP="003A1FB1">
      <w:pPr>
        <w:pStyle w:val="OdstavecASR"/>
        <w:rPr>
          <w:color w:val="000000" w:themeColor="text1"/>
        </w:rPr>
      </w:pPr>
      <w:r w:rsidRPr="00033A3F">
        <w:rPr>
          <w:color w:val="000000" w:themeColor="text1"/>
        </w:rPr>
        <w:t xml:space="preserve">Podíl žen v krajském soudnictví přitom velmi zvolna klesá. V roce 2008 činil kolem 60 %, nyní </w:t>
      </w:r>
      <w:r w:rsidR="00374D9E" w:rsidRPr="00033A3F">
        <w:rPr>
          <w:color w:val="000000" w:themeColor="text1"/>
        </w:rPr>
        <w:t>54 </w:t>
      </w:r>
      <w:r w:rsidRPr="00033A3F">
        <w:rPr>
          <w:color w:val="000000" w:themeColor="text1"/>
        </w:rPr>
        <w:t>%.</w:t>
      </w:r>
    </w:p>
    <w:p w14:paraId="34ECB0A5" w14:textId="77777777" w:rsidR="003A1FB1" w:rsidRPr="00033A3F" w:rsidRDefault="003A1FB1" w:rsidP="003A1FB1">
      <w:pPr>
        <w:pStyle w:val="OdstavecASR"/>
        <w:rPr>
          <w:color w:val="000000" w:themeColor="text1"/>
        </w:rPr>
      </w:pPr>
      <w:r w:rsidRPr="00033A3F">
        <w:rPr>
          <w:color w:val="000000" w:themeColor="text1"/>
        </w:rPr>
        <w:t>Nakonec se stejně jako u okresních soudů zaměříme na věkovou strukturu soudců vypočtenou z jejich evidenčních počtů.</w:t>
      </w:r>
    </w:p>
    <w:p w14:paraId="7783E142" w14:textId="338DAEDA" w:rsidR="0024369B" w:rsidRPr="00033A3F" w:rsidRDefault="0024369B" w:rsidP="0024369B">
      <w:pPr>
        <w:pStyle w:val="Podnadpis"/>
        <w:numPr>
          <w:ilvl w:val="0"/>
          <w:numId w:val="0"/>
        </w:numPr>
        <w:rPr>
          <w:color w:val="000000" w:themeColor="text1"/>
        </w:rPr>
      </w:pPr>
      <w:bookmarkStart w:id="1026" w:name="_Toc11135110"/>
      <w:bookmarkStart w:id="1027" w:name="_Toc43841429"/>
      <w:bookmarkStart w:id="1028" w:name="_Toc75952233"/>
      <w:bookmarkStart w:id="1029" w:name="_Toc106106689"/>
      <w:bookmarkStart w:id="1030" w:name="_Toc109802013"/>
      <w:bookmarkStart w:id="1031" w:name="_Toc144104163"/>
      <w:bookmarkStart w:id="1032" w:name="_Toc169250974"/>
      <w:bookmarkStart w:id="1033" w:name="_Toc174080660"/>
      <w:bookmarkStart w:id="1034" w:name="_Toc193530811"/>
      <w:bookmarkStart w:id="1035" w:name="_Toc193634085"/>
      <w:bookmarkStart w:id="1036" w:name="_Toc203032883"/>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56</w:t>
      </w:r>
      <w:r w:rsidRPr="00033A3F">
        <w:rPr>
          <w:color w:val="000000" w:themeColor="text1"/>
        </w:rPr>
        <w:fldChar w:fldCharType="end"/>
      </w:r>
      <w:r w:rsidRPr="00033A3F">
        <w:rPr>
          <w:color w:val="000000" w:themeColor="text1"/>
        </w:rPr>
        <w:t>: KS – věkové složení soudců v letech 2008–</w:t>
      </w:r>
      <w:bookmarkEnd w:id="1026"/>
      <w:bookmarkEnd w:id="1027"/>
      <w:bookmarkEnd w:id="1028"/>
      <w:bookmarkEnd w:id="1029"/>
      <w:bookmarkEnd w:id="1030"/>
      <w:r w:rsidRPr="00033A3F">
        <w:rPr>
          <w:color w:val="000000" w:themeColor="text1"/>
        </w:rPr>
        <w:t>202</w:t>
      </w:r>
      <w:bookmarkEnd w:id="1031"/>
      <w:bookmarkEnd w:id="1032"/>
      <w:bookmarkEnd w:id="1033"/>
      <w:r w:rsidRPr="00033A3F">
        <w:rPr>
          <w:color w:val="000000" w:themeColor="text1"/>
        </w:rPr>
        <w:t>4</w:t>
      </w:r>
      <w:bookmarkEnd w:id="1034"/>
      <w:bookmarkEnd w:id="1035"/>
      <w:bookmarkEnd w:id="1036"/>
    </w:p>
    <w:p w14:paraId="3F27B11E" w14:textId="0CAE2418" w:rsidR="003A1FB1" w:rsidRPr="00033A3F" w:rsidRDefault="00B62165" w:rsidP="003A1FB1">
      <w:pPr>
        <w:pStyle w:val="OdstavecASR"/>
        <w:rPr>
          <w:color w:val="000000" w:themeColor="text1"/>
        </w:rPr>
      </w:pPr>
      <w:r w:rsidRPr="00033A3F">
        <w:rPr>
          <w:noProof/>
          <w:color w:val="000000" w:themeColor="text1"/>
          <w:lang w:eastAsia="cs-CZ"/>
        </w:rPr>
        <w:drawing>
          <wp:inline distT="0" distB="0" distL="0" distR="0" wp14:anchorId="618B6E26" wp14:editId="6C3AE89B">
            <wp:extent cx="5029200" cy="3657600"/>
            <wp:effectExtent l="0" t="0" r="0" b="0"/>
            <wp:docPr id="131093925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F9849E9" w14:textId="77777777" w:rsidR="00DE43A3" w:rsidRPr="00033A3F" w:rsidRDefault="00DE43A3" w:rsidP="003A1FB1">
      <w:pPr>
        <w:pStyle w:val="OdstavecASR"/>
        <w:rPr>
          <w:color w:val="000000" w:themeColor="text1"/>
        </w:rPr>
      </w:pPr>
    </w:p>
    <w:p w14:paraId="5F4D8CA4" w14:textId="5253E9C2" w:rsidR="00DE43A3" w:rsidRPr="00033A3F" w:rsidRDefault="00DE43A3" w:rsidP="003A1FB1">
      <w:pPr>
        <w:pStyle w:val="OdstavecASR"/>
        <w:rPr>
          <w:color w:val="000000" w:themeColor="text1"/>
        </w:rPr>
      </w:pPr>
    </w:p>
    <w:p w14:paraId="0E0B631F" w14:textId="367C90D7" w:rsidR="00B62165" w:rsidRPr="00033A3F" w:rsidRDefault="00B62165" w:rsidP="00B62165">
      <w:pPr>
        <w:pStyle w:val="Podnadpis"/>
        <w:rPr>
          <w:color w:val="000000" w:themeColor="text1"/>
        </w:rPr>
      </w:pPr>
      <w:bookmarkStart w:id="1037" w:name="_Toc169250975"/>
      <w:bookmarkStart w:id="1038" w:name="_Toc174080661"/>
      <w:bookmarkStart w:id="1039" w:name="_Toc193530812"/>
      <w:bookmarkStart w:id="1040" w:name="_Toc193634086"/>
      <w:bookmarkStart w:id="1041" w:name="_Toc20303288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57</w:t>
      </w:r>
      <w:r w:rsidRPr="00033A3F">
        <w:rPr>
          <w:color w:val="000000" w:themeColor="text1"/>
        </w:rPr>
        <w:fldChar w:fldCharType="end"/>
      </w:r>
      <w:r w:rsidRPr="00033A3F">
        <w:rPr>
          <w:color w:val="000000" w:themeColor="text1"/>
        </w:rPr>
        <w:t>: KS – věková struktura soudců dle soudů v %, 202</w:t>
      </w:r>
      <w:bookmarkEnd w:id="1037"/>
      <w:bookmarkEnd w:id="1038"/>
      <w:r w:rsidRPr="00033A3F">
        <w:rPr>
          <w:color w:val="000000" w:themeColor="text1"/>
        </w:rPr>
        <w:t>4</w:t>
      </w:r>
      <w:bookmarkEnd w:id="1039"/>
      <w:bookmarkEnd w:id="1040"/>
      <w:bookmarkEnd w:id="1041"/>
    </w:p>
    <w:p w14:paraId="6D948520" w14:textId="0FAB722E" w:rsidR="003A1FB1" w:rsidRPr="00033A3F" w:rsidRDefault="00DC7D8C" w:rsidP="003A1FB1">
      <w:pPr>
        <w:pStyle w:val="OdstavecASR"/>
        <w:rPr>
          <w:color w:val="000000" w:themeColor="text1"/>
        </w:rPr>
      </w:pPr>
      <w:r w:rsidRPr="00033A3F">
        <w:rPr>
          <w:noProof/>
          <w:color w:val="000000" w:themeColor="text1"/>
          <w:lang w:eastAsia="cs-CZ"/>
        </w:rPr>
        <w:drawing>
          <wp:inline distT="0" distB="0" distL="0" distR="0" wp14:anchorId="5569D3E4" wp14:editId="29CCB3F9">
            <wp:extent cx="5029200" cy="3657600"/>
            <wp:effectExtent l="0" t="0" r="0" b="0"/>
            <wp:docPr id="196753310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2D751C5" w14:textId="77777777" w:rsidR="00374D9E" w:rsidRPr="00033A3F" w:rsidRDefault="00374D9E" w:rsidP="003A1FB1">
      <w:pPr>
        <w:pStyle w:val="OdstavecASR"/>
        <w:rPr>
          <w:color w:val="000000" w:themeColor="text1"/>
        </w:rPr>
      </w:pPr>
    </w:p>
    <w:p w14:paraId="4FFA3F87" w14:textId="77777777" w:rsidR="00CB1286" w:rsidRPr="00033A3F" w:rsidRDefault="00CB1286" w:rsidP="00CB1286">
      <w:pPr>
        <w:pStyle w:val="OdstavecASR"/>
        <w:rPr>
          <w:color w:val="000000" w:themeColor="text1"/>
        </w:rPr>
      </w:pPr>
      <w:r w:rsidRPr="00033A3F">
        <w:rPr>
          <w:color w:val="000000" w:themeColor="text1"/>
        </w:rPr>
        <w:lastRenderedPageBreak/>
        <w:t>Z těchto dat můžeme vyvodit následující závěry:</w:t>
      </w:r>
    </w:p>
    <w:p w14:paraId="4E640AC3" w14:textId="77777777" w:rsidR="00CB1286" w:rsidRPr="00033A3F" w:rsidRDefault="00CB1286" w:rsidP="00CB1286">
      <w:pPr>
        <w:pStyle w:val="OdstavecASR"/>
        <w:numPr>
          <w:ilvl w:val="0"/>
          <w:numId w:val="11"/>
        </w:numPr>
        <w:rPr>
          <w:color w:val="000000" w:themeColor="text1"/>
        </w:rPr>
      </w:pPr>
      <w:r w:rsidRPr="00033A3F">
        <w:rPr>
          <w:color w:val="000000" w:themeColor="text1"/>
        </w:rPr>
        <w:t>Soudci u krajských soudů jsou v průměru výrazně starší než soudci u soudů okresních. To je logické, protože to plyne z kariérního postupu soudců. V naprosté většině jsou noví soudci jmenováni na okresní soudy. Někteří tam zůstanou, jiní jsou přeloženi ke krajským soudům (a později případně i k VS, NS nebo NSS). Mezi jmenováním a přeložením samozřejmě většinou uplyne několik let.</w:t>
      </w:r>
    </w:p>
    <w:p w14:paraId="55276BED" w14:textId="588DD443" w:rsidR="00B40EF0" w:rsidRPr="00033A3F" w:rsidRDefault="002F5CE6" w:rsidP="00B40EF0">
      <w:pPr>
        <w:pStyle w:val="OdstavecASR"/>
        <w:numPr>
          <w:ilvl w:val="0"/>
          <w:numId w:val="11"/>
        </w:numPr>
        <w:rPr>
          <w:color w:val="000000" w:themeColor="text1"/>
        </w:rPr>
      </w:pPr>
      <w:r w:rsidRPr="00033A3F">
        <w:rPr>
          <w:color w:val="000000" w:themeColor="text1"/>
        </w:rPr>
        <w:t>N</w:t>
      </w:r>
      <w:r w:rsidR="00B40EF0" w:rsidRPr="00033A3F">
        <w:rPr>
          <w:color w:val="000000" w:themeColor="text1"/>
        </w:rPr>
        <w:t xml:space="preserve">a úrovni </w:t>
      </w:r>
      <w:r w:rsidR="00FC60E4" w:rsidRPr="00033A3F">
        <w:rPr>
          <w:color w:val="000000" w:themeColor="text1"/>
        </w:rPr>
        <w:t>krajských soudů</w:t>
      </w:r>
      <w:r w:rsidR="00B40EF0" w:rsidRPr="00033A3F">
        <w:rPr>
          <w:color w:val="000000" w:themeColor="text1"/>
        </w:rPr>
        <w:t xml:space="preserve"> o</w:t>
      </w:r>
      <w:r w:rsidR="00507AE3" w:rsidRPr="00033A3F">
        <w:rPr>
          <w:color w:val="000000" w:themeColor="text1"/>
        </w:rPr>
        <w:t xml:space="preserve"> soudci</w:t>
      </w:r>
      <w:r w:rsidR="00B40EF0" w:rsidRPr="00033A3F">
        <w:rPr>
          <w:color w:val="000000" w:themeColor="text1"/>
        </w:rPr>
        <w:t xml:space="preserve"> ve věku 41 až </w:t>
      </w:r>
      <w:r w:rsidR="00507AE3" w:rsidRPr="00033A3F">
        <w:rPr>
          <w:color w:val="000000" w:themeColor="text1"/>
        </w:rPr>
        <w:t>5</w:t>
      </w:r>
      <w:r w:rsidR="00B40EF0" w:rsidRPr="00033A3F">
        <w:rPr>
          <w:color w:val="000000" w:themeColor="text1"/>
        </w:rPr>
        <w:t xml:space="preserve">0 let tvoří </w:t>
      </w:r>
      <w:r w:rsidR="00507AE3" w:rsidRPr="00033A3F">
        <w:rPr>
          <w:color w:val="000000" w:themeColor="text1"/>
        </w:rPr>
        <w:t>33</w:t>
      </w:r>
      <w:r w:rsidR="00B40EF0" w:rsidRPr="00033A3F">
        <w:rPr>
          <w:color w:val="000000" w:themeColor="text1"/>
        </w:rPr>
        <w:t xml:space="preserve"> % evidenčního počtu </w:t>
      </w:r>
      <w:r w:rsidR="00507AE3" w:rsidRPr="00033A3F">
        <w:rPr>
          <w:color w:val="000000" w:themeColor="text1"/>
        </w:rPr>
        <w:t>a soudci ve věku 51 až 60 let tvoří 39 % evidenčního počtu</w:t>
      </w:r>
      <w:r w:rsidR="00B40EF0" w:rsidRPr="00033A3F">
        <w:rPr>
          <w:color w:val="000000" w:themeColor="text1"/>
        </w:rPr>
        <w:t xml:space="preserve">. </w:t>
      </w:r>
      <w:r w:rsidR="00507AE3" w:rsidRPr="00033A3F">
        <w:rPr>
          <w:color w:val="000000" w:themeColor="text1"/>
        </w:rPr>
        <w:t>Další</w:t>
      </w:r>
      <w:r w:rsidR="00B40EF0" w:rsidRPr="00033A3F">
        <w:rPr>
          <w:color w:val="000000" w:themeColor="text1"/>
        </w:rPr>
        <w:t xml:space="preserve"> důležitou skupinou </w:t>
      </w:r>
      <w:r w:rsidR="00A91C8E" w:rsidRPr="00033A3F">
        <w:rPr>
          <w:color w:val="000000" w:themeColor="text1"/>
        </w:rPr>
        <w:t>je 2</w:t>
      </w:r>
      <w:r w:rsidR="00507AE3" w:rsidRPr="00033A3F">
        <w:rPr>
          <w:color w:val="000000" w:themeColor="text1"/>
        </w:rPr>
        <w:t>1</w:t>
      </w:r>
      <w:r w:rsidR="003D5F1A">
        <w:rPr>
          <w:color w:val="000000" w:themeColor="text1"/>
        </w:rPr>
        <w:t> </w:t>
      </w:r>
      <w:r w:rsidR="00A91C8E" w:rsidRPr="00033A3F">
        <w:rPr>
          <w:color w:val="000000" w:themeColor="text1"/>
        </w:rPr>
        <w:t>% soudců</w:t>
      </w:r>
      <w:r w:rsidR="00B40EF0" w:rsidRPr="00033A3F">
        <w:rPr>
          <w:color w:val="000000" w:themeColor="text1"/>
        </w:rPr>
        <w:t xml:space="preserve"> nad 60 let</w:t>
      </w:r>
      <w:r w:rsidR="00507AE3" w:rsidRPr="00033A3F">
        <w:rPr>
          <w:color w:val="000000" w:themeColor="text1"/>
        </w:rPr>
        <w:t>. Podíl M</w:t>
      </w:r>
      <w:r w:rsidR="002E1A92" w:rsidRPr="00033A3F">
        <w:rPr>
          <w:color w:val="000000" w:themeColor="text1"/>
        </w:rPr>
        <w:t>lad</w:t>
      </w:r>
      <w:r w:rsidR="00507AE3" w:rsidRPr="00033A3F">
        <w:rPr>
          <w:color w:val="000000" w:themeColor="text1"/>
        </w:rPr>
        <w:t>ých</w:t>
      </w:r>
      <w:r w:rsidR="002E1A92" w:rsidRPr="00033A3F">
        <w:rPr>
          <w:color w:val="000000" w:themeColor="text1"/>
        </w:rPr>
        <w:t xml:space="preserve"> soudc</w:t>
      </w:r>
      <w:r w:rsidR="00507AE3" w:rsidRPr="00033A3F">
        <w:rPr>
          <w:color w:val="000000" w:themeColor="text1"/>
        </w:rPr>
        <w:t>ů</w:t>
      </w:r>
      <w:r w:rsidR="002E1A92" w:rsidRPr="00033A3F">
        <w:rPr>
          <w:color w:val="000000" w:themeColor="text1"/>
        </w:rPr>
        <w:t xml:space="preserve"> a soudky</w:t>
      </w:r>
      <w:r w:rsidR="00507AE3" w:rsidRPr="00033A3F">
        <w:rPr>
          <w:color w:val="000000" w:themeColor="text1"/>
        </w:rPr>
        <w:t>ň</w:t>
      </w:r>
      <w:r w:rsidR="002E1A92" w:rsidRPr="00033A3F">
        <w:rPr>
          <w:color w:val="000000" w:themeColor="text1"/>
        </w:rPr>
        <w:t xml:space="preserve"> ve věku 30 až 40 let</w:t>
      </w:r>
      <w:r w:rsidR="00A91C8E" w:rsidRPr="00033A3F">
        <w:rPr>
          <w:color w:val="000000" w:themeColor="text1"/>
        </w:rPr>
        <w:t xml:space="preserve"> </w:t>
      </w:r>
      <w:r w:rsidR="00507AE3" w:rsidRPr="00033A3F">
        <w:rPr>
          <w:color w:val="000000" w:themeColor="text1"/>
        </w:rPr>
        <w:t>byl dlouho</w:t>
      </w:r>
      <w:r w:rsidR="00A91C8E" w:rsidRPr="00033A3F">
        <w:rPr>
          <w:color w:val="000000" w:themeColor="text1"/>
        </w:rPr>
        <w:t xml:space="preserve"> 10</w:t>
      </w:r>
      <w:r w:rsidR="003D5F1A">
        <w:rPr>
          <w:color w:val="000000" w:themeColor="text1"/>
        </w:rPr>
        <w:t> </w:t>
      </w:r>
      <w:r w:rsidR="00A91C8E" w:rsidRPr="00033A3F">
        <w:rPr>
          <w:color w:val="000000" w:themeColor="text1"/>
        </w:rPr>
        <w:t xml:space="preserve">%, </w:t>
      </w:r>
      <w:r w:rsidR="00507AE3" w:rsidRPr="00033A3F">
        <w:rPr>
          <w:color w:val="000000" w:themeColor="text1"/>
        </w:rPr>
        <w:t>nyní ale</w:t>
      </w:r>
      <w:r w:rsidR="00A91C8E" w:rsidRPr="00033A3F">
        <w:rPr>
          <w:color w:val="000000" w:themeColor="text1"/>
        </w:rPr>
        <w:t xml:space="preserve"> klesl k</w:t>
      </w:r>
      <w:r w:rsidR="00507AE3" w:rsidRPr="00033A3F">
        <w:rPr>
          <w:color w:val="000000" w:themeColor="text1"/>
        </w:rPr>
        <w:t> </w:t>
      </w:r>
      <w:r w:rsidR="00A91C8E" w:rsidRPr="00033A3F">
        <w:rPr>
          <w:color w:val="000000" w:themeColor="text1"/>
        </w:rPr>
        <w:t>7</w:t>
      </w:r>
      <w:r w:rsidR="00507AE3" w:rsidRPr="00033A3F">
        <w:rPr>
          <w:color w:val="000000" w:themeColor="text1"/>
        </w:rPr>
        <w:t xml:space="preserve"> </w:t>
      </w:r>
      <w:r w:rsidR="00A91C8E" w:rsidRPr="00033A3F">
        <w:rPr>
          <w:color w:val="000000" w:themeColor="text1"/>
        </w:rPr>
        <w:t>% evidenčního počtu</w:t>
      </w:r>
      <w:r w:rsidR="00507AE3" w:rsidRPr="00033A3F">
        <w:rPr>
          <w:color w:val="000000" w:themeColor="text1"/>
        </w:rPr>
        <w:t>.</w:t>
      </w:r>
    </w:p>
    <w:p w14:paraId="6EFDCA2E" w14:textId="1FB41CD2" w:rsidR="00CB1286" w:rsidRPr="00033A3F" w:rsidRDefault="00CB1286" w:rsidP="00CB1286">
      <w:pPr>
        <w:pStyle w:val="OdstavecASR"/>
        <w:numPr>
          <w:ilvl w:val="0"/>
          <w:numId w:val="11"/>
        </w:numPr>
        <w:rPr>
          <w:color w:val="000000" w:themeColor="text1"/>
        </w:rPr>
      </w:pPr>
      <w:r w:rsidRPr="00033A3F">
        <w:rPr>
          <w:color w:val="000000" w:themeColor="text1"/>
        </w:rPr>
        <w:t xml:space="preserve">K dispozici </w:t>
      </w:r>
      <w:r w:rsidR="00EE72A2" w:rsidRPr="00033A3F">
        <w:rPr>
          <w:color w:val="000000" w:themeColor="text1"/>
        </w:rPr>
        <w:t xml:space="preserve">však </w:t>
      </w:r>
      <w:r w:rsidRPr="00033A3F">
        <w:rPr>
          <w:color w:val="000000" w:themeColor="text1"/>
        </w:rPr>
        <w:t xml:space="preserve">nejsou detailní údaje o věku </w:t>
      </w:r>
      <w:r w:rsidR="00EE72A2" w:rsidRPr="00033A3F">
        <w:rPr>
          <w:color w:val="000000" w:themeColor="text1"/>
        </w:rPr>
        <w:t xml:space="preserve">jednotlivých </w:t>
      </w:r>
      <w:r w:rsidRPr="00033A3F">
        <w:rPr>
          <w:color w:val="000000" w:themeColor="text1"/>
        </w:rPr>
        <w:t>soudců, takže nelze přesně říct, kde jsou soudci nejmladší. Dle podílů jednotlivých skupin se ale zdá, že nejmladší soudci jsou v průměru u KS v Praze, kde v roce 2020 došlo k výraznému omlazení.</w:t>
      </w:r>
    </w:p>
    <w:p w14:paraId="194243C5" w14:textId="77777777" w:rsidR="00CB1286" w:rsidRPr="00033A3F" w:rsidRDefault="00CB1286" w:rsidP="00CB1286">
      <w:pPr>
        <w:pStyle w:val="OdstavecASR"/>
        <w:numPr>
          <w:ilvl w:val="0"/>
          <w:numId w:val="11"/>
        </w:numPr>
        <w:rPr>
          <w:color w:val="000000" w:themeColor="text1"/>
        </w:rPr>
      </w:pPr>
      <w:r w:rsidRPr="00033A3F">
        <w:rPr>
          <w:color w:val="000000" w:themeColor="text1"/>
        </w:rPr>
        <w:t>I u KS se věk soudců postupně zvyšoval až do roku 2018, přičemž počet soudců v nejvyšší věkové kategorii zůstával v podstatě stabilní. V posledních letech pak již nedošlo prakticky k žádným výrazným změnám. Důvody pro zvyšování věkového průměru jsou obdobné jako u okresních soudů, plynou především ze zvyšování evidenčního počtu soudců před rokem 2006 a ze zvyšování průměrného věku jmenovaných soudců. Pokud jsou u okresních soudů v průměru starší soudci, budou logicky ke krajským soudům také překládáni starší soudci.</w:t>
      </w:r>
    </w:p>
    <w:p w14:paraId="6273F54C" w14:textId="77777777" w:rsidR="000933DC" w:rsidRPr="00033A3F" w:rsidRDefault="000933DC" w:rsidP="000933DC">
      <w:pPr>
        <w:pStyle w:val="Nadpis3"/>
        <w:numPr>
          <w:ilvl w:val="2"/>
          <w:numId w:val="1"/>
        </w:numPr>
        <w:rPr>
          <w:color w:val="000000" w:themeColor="text1"/>
        </w:rPr>
      </w:pPr>
      <w:bookmarkStart w:id="1042" w:name="_Toc109801361"/>
      <w:bookmarkStart w:id="1043" w:name="_Toc169250826"/>
      <w:bookmarkStart w:id="1044" w:name="_Toc193530988"/>
      <w:bookmarkStart w:id="1045" w:name="_Toc193957044"/>
      <w:bookmarkStart w:id="1046" w:name="_Toc203032734"/>
      <w:r w:rsidRPr="00033A3F">
        <w:rPr>
          <w:color w:val="000000" w:themeColor="text1"/>
        </w:rPr>
        <w:t>Zaměstnanci ve výkonu a ve správě</w:t>
      </w:r>
      <w:bookmarkEnd w:id="1042"/>
      <w:bookmarkEnd w:id="1043"/>
      <w:bookmarkEnd w:id="1044"/>
      <w:bookmarkEnd w:id="1045"/>
      <w:bookmarkEnd w:id="1046"/>
    </w:p>
    <w:p w14:paraId="19215485" w14:textId="59F3E9EB" w:rsidR="00CB1286" w:rsidRPr="00033A3F" w:rsidRDefault="00CB1286" w:rsidP="00CB1286">
      <w:pPr>
        <w:pStyle w:val="OdstavecASR"/>
        <w:rPr>
          <w:color w:val="000000" w:themeColor="text1"/>
        </w:rPr>
      </w:pPr>
      <w:r w:rsidRPr="00033A3F">
        <w:rPr>
          <w:color w:val="000000" w:themeColor="text1"/>
        </w:rPr>
        <w:t>Pracovní pozice zaměstnanců ve výkonu a jejich pracovní náplň se od okresních soudů mírně liší. Pro účely této zprávy ale postačuje uvést stejné kategorie zaměstnanců ve výkonu jako u soudů okresních. Popis pracovní náplně a význam použitých zkratek uvádíme v podkapitole </w:t>
      </w:r>
      <w:r w:rsidRPr="00033A3F">
        <w:rPr>
          <w:color w:val="000000" w:themeColor="text1"/>
        </w:rPr>
        <w:fldChar w:fldCharType="begin"/>
      </w:r>
      <w:r w:rsidRPr="00033A3F">
        <w:rPr>
          <w:color w:val="000000" w:themeColor="text1"/>
        </w:rPr>
        <w:instrText xml:space="preserve"> REF _Ref165903038 \r \h  \* MERGEFORMAT </w:instrText>
      </w:r>
      <w:r w:rsidRPr="00033A3F">
        <w:rPr>
          <w:color w:val="000000" w:themeColor="text1"/>
        </w:rPr>
      </w:r>
      <w:r w:rsidRPr="00033A3F">
        <w:rPr>
          <w:color w:val="000000" w:themeColor="text1"/>
        </w:rPr>
        <w:fldChar w:fldCharType="separate"/>
      </w:r>
      <w:r w:rsidR="00163B51">
        <w:rPr>
          <w:color w:val="000000" w:themeColor="text1"/>
        </w:rPr>
        <w:t>2.1.2</w:t>
      </w:r>
      <w:r w:rsidRPr="00033A3F">
        <w:rPr>
          <w:color w:val="000000" w:themeColor="text1"/>
        </w:rPr>
        <w:fldChar w:fldCharType="end"/>
      </w:r>
      <w:r w:rsidRPr="00033A3F">
        <w:rPr>
          <w:color w:val="000000" w:themeColor="text1"/>
        </w:rPr>
        <w:t>. Znovu tedy pracujeme s nejfrekventovanějšími pracovními pozicemi.</w:t>
      </w:r>
    </w:p>
    <w:p w14:paraId="64FAEEB9" w14:textId="0DAFBCA6" w:rsidR="00CB1286" w:rsidRPr="00033A3F" w:rsidRDefault="00CB1286" w:rsidP="00CB1286">
      <w:pPr>
        <w:pStyle w:val="Podnadpis"/>
        <w:numPr>
          <w:ilvl w:val="0"/>
          <w:numId w:val="0"/>
        </w:numPr>
        <w:rPr>
          <w:color w:val="000000" w:themeColor="text1"/>
        </w:rPr>
      </w:pPr>
      <w:bookmarkStart w:id="1047" w:name="_Toc515871467"/>
      <w:bookmarkStart w:id="1048" w:name="_Toc11133234"/>
      <w:bookmarkStart w:id="1049" w:name="_Toc43931210"/>
      <w:bookmarkStart w:id="1050" w:name="_Toc75952343"/>
      <w:bookmarkStart w:id="1051" w:name="_Toc106106801"/>
      <w:bookmarkStart w:id="1052" w:name="_Toc109802124"/>
      <w:bookmarkStart w:id="1053" w:name="_Toc144104281"/>
      <w:bookmarkStart w:id="1054" w:name="_Toc169251093"/>
      <w:bookmarkStart w:id="1055" w:name="_Toc174080779"/>
      <w:bookmarkStart w:id="1056" w:name="_Toc193530909"/>
      <w:bookmarkStart w:id="1057" w:name="_Toc194045605"/>
      <w:bookmarkStart w:id="1058" w:name="_Toc199495015"/>
      <w:bookmarkStart w:id="1059" w:name="_Toc203033076"/>
      <w:bookmarkStart w:id="1060" w:name="_Toc203033154"/>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34</w:t>
      </w:r>
      <w:r w:rsidRPr="00033A3F">
        <w:rPr>
          <w:noProof/>
          <w:color w:val="000000" w:themeColor="text1"/>
        </w:rPr>
        <w:fldChar w:fldCharType="end"/>
      </w:r>
      <w:r w:rsidRPr="00033A3F">
        <w:rPr>
          <w:color w:val="000000" w:themeColor="text1"/>
        </w:rPr>
        <w:t>: KS – počet zaměstnanců ve výkonu dle soudů</w:t>
      </w:r>
      <w:bookmarkEnd w:id="1047"/>
      <w:bookmarkEnd w:id="1048"/>
      <w:bookmarkEnd w:id="1049"/>
      <w:bookmarkEnd w:id="1050"/>
      <w:bookmarkEnd w:id="1051"/>
      <w:bookmarkEnd w:id="1052"/>
      <w:bookmarkEnd w:id="1053"/>
      <w:r w:rsidRPr="00033A3F">
        <w:rPr>
          <w:color w:val="000000" w:themeColor="text1"/>
        </w:rPr>
        <w:t>, 202</w:t>
      </w:r>
      <w:bookmarkEnd w:id="1054"/>
      <w:bookmarkEnd w:id="1055"/>
      <w:r w:rsidRPr="00033A3F">
        <w:rPr>
          <w:color w:val="000000" w:themeColor="text1"/>
        </w:rPr>
        <w:t>4</w:t>
      </w:r>
      <w:bookmarkEnd w:id="1056"/>
      <w:bookmarkEnd w:id="1057"/>
      <w:bookmarkEnd w:id="1058"/>
      <w:bookmarkEnd w:id="1059"/>
      <w:bookmarkEnd w:id="1060"/>
    </w:p>
    <w:tbl>
      <w:tblPr>
        <w:tblW w:w="9072" w:type="dxa"/>
        <w:tblLayout w:type="fixed"/>
        <w:tblCellMar>
          <w:left w:w="70" w:type="dxa"/>
          <w:right w:w="70" w:type="dxa"/>
        </w:tblCellMar>
        <w:tblLook w:val="04A0" w:firstRow="1" w:lastRow="0" w:firstColumn="1" w:lastColumn="0" w:noHBand="0" w:noVBand="1"/>
      </w:tblPr>
      <w:tblGrid>
        <w:gridCol w:w="2080"/>
        <w:gridCol w:w="816"/>
        <w:gridCol w:w="817"/>
        <w:gridCol w:w="817"/>
        <w:gridCol w:w="816"/>
        <w:gridCol w:w="817"/>
        <w:gridCol w:w="817"/>
        <w:gridCol w:w="817"/>
        <w:gridCol w:w="1275"/>
      </w:tblGrid>
      <w:tr w:rsidR="00033A3F" w:rsidRPr="00033A3F" w14:paraId="1584845F" w14:textId="77777777" w:rsidTr="004C0D35">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F740F7B"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6992" w:type="dxa"/>
            <w:gridSpan w:val="8"/>
            <w:tcBorders>
              <w:top w:val="double" w:sz="6" w:space="0" w:color="auto"/>
              <w:left w:val="nil"/>
              <w:bottom w:val="nil"/>
              <w:right w:val="nil"/>
            </w:tcBorders>
            <w:shd w:val="clear" w:color="auto" w:fill="auto"/>
            <w:noWrap/>
            <w:vAlign w:val="bottom"/>
            <w:hideMark/>
          </w:tcPr>
          <w:p w14:paraId="72828DBD"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490EECC6" w14:textId="77777777" w:rsidTr="004C0D35">
        <w:trPr>
          <w:trHeight w:val="330"/>
        </w:trPr>
        <w:tc>
          <w:tcPr>
            <w:tcW w:w="2080" w:type="dxa"/>
            <w:vMerge/>
            <w:tcBorders>
              <w:top w:val="double" w:sz="6" w:space="0" w:color="auto"/>
              <w:left w:val="nil"/>
              <w:bottom w:val="double" w:sz="6" w:space="0" w:color="000000"/>
              <w:right w:val="nil"/>
            </w:tcBorders>
            <w:vAlign w:val="center"/>
            <w:hideMark/>
          </w:tcPr>
          <w:p w14:paraId="17D6FBF8" w14:textId="77777777" w:rsidR="00194ABE" w:rsidRPr="00033A3F" w:rsidRDefault="00194ABE" w:rsidP="00194ABE">
            <w:pPr>
              <w:spacing w:line="240" w:lineRule="auto"/>
              <w:jc w:val="left"/>
              <w:rPr>
                <w:rFonts w:eastAsia="Times New Roman"/>
                <w:b/>
                <w:bCs/>
                <w:color w:val="000000" w:themeColor="text1"/>
                <w:szCs w:val="24"/>
                <w:lang w:eastAsia="cs-CZ"/>
              </w:rPr>
            </w:pPr>
          </w:p>
        </w:tc>
        <w:tc>
          <w:tcPr>
            <w:tcW w:w="816" w:type="dxa"/>
            <w:tcBorders>
              <w:top w:val="nil"/>
              <w:left w:val="nil"/>
              <w:bottom w:val="double" w:sz="6" w:space="0" w:color="auto"/>
              <w:right w:val="nil"/>
            </w:tcBorders>
            <w:shd w:val="clear" w:color="auto" w:fill="auto"/>
            <w:noWrap/>
            <w:vAlign w:val="bottom"/>
            <w:hideMark/>
          </w:tcPr>
          <w:p w14:paraId="2D8D0933"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VSÚ</w:t>
            </w:r>
          </w:p>
        </w:tc>
        <w:tc>
          <w:tcPr>
            <w:tcW w:w="817" w:type="dxa"/>
            <w:tcBorders>
              <w:top w:val="nil"/>
              <w:left w:val="nil"/>
              <w:bottom w:val="double" w:sz="6" w:space="0" w:color="auto"/>
              <w:right w:val="nil"/>
            </w:tcBorders>
            <w:shd w:val="clear" w:color="auto" w:fill="auto"/>
            <w:noWrap/>
            <w:vAlign w:val="bottom"/>
            <w:hideMark/>
          </w:tcPr>
          <w:p w14:paraId="16A6B489"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ST</w:t>
            </w:r>
          </w:p>
        </w:tc>
        <w:tc>
          <w:tcPr>
            <w:tcW w:w="817" w:type="dxa"/>
            <w:tcBorders>
              <w:top w:val="nil"/>
              <w:left w:val="nil"/>
              <w:bottom w:val="double" w:sz="6" w:space="0" w:color="auto"/>
              <w:right w:val="nil"/>
            </w:tcBorders>
            <w:shd w:val="clear" w:color="auto" w:fill="auto"/>
            <w:noWrap/>
            <w:vAlign w:val="bottom"/>
            <w:hideMark/>
          </w:tcPr>
          <w:p w14:paraId="1468986E"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A</w:t>
            </w:r>
          </w:p>
        </w:tc>
        <w:tc>
          <w:tcPr>
            <w:tcW w:w="816" w:type="dxa"/>
            <w:tcBorders>
              <w:top w:val="nil"/>
              <w:left w:val="nil"/>
              <w:bottom w:val="double" w:sz="6" w:space="0" w:color="auto"/>
              <w:right w:val="nil"/>
            </w:tcBorders>
            <w:shd w:val="clear" w:color="auto" w:fill="auto"/>
            <w:noWrap/>
            <w:vAlign w:val="bottom"/>
            <w:hideMark/>
          </w:tcPr>
          <w:p w14:paraId="0BAC7155"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VK</w:t>
            </w:r>
          </w:p>
        </w:tc>
        <w:tc>
          <w:tcPr>
            <w:tcW w:w="817" w:type="dxa"/>
            <w:tcBorders>
              <w:top w:val="nil"/>
              <w:left w:val="nil"/>
              <w:bottom w:val="double" w:sz="6" w:space="0" w:color="auto"/>
              <w:right w:val="nil"/>
            </w:tcBorders>
            <w:shd w:val="clear" w:color="auto" w:fill="auto"/>
            <w:noWrap/>
            <w:vAlign w:val="bottom"/>
            <w:hideMark/>
          </w:tcPr>
          <w:p w14:paraId="71847449"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PÚ</w:t>
            </w:r>
          </w:p>
        </w:tc>
        <w:tc>
          <w:tcPr>
            <w:tcW w:w="817" w:type="dxa"/>
            <w:tcBorders>
              <w:top w:val="nil"/>
              <w:left w:val="nil"/>
              <w:bottom w:val="double" w:sz="6" w:space="0" w:color="auto"/>
              <w:right w:val="nil"/>
            </w:tcBorders>
            <w:shd w:val="clear" w:color="auto" w:fill="auto"/>
            <w:noWrap/>
            <w:vAlign w:val="bottom"/>
            <w:hideMark/>
          </w:tcPr>
          <w:p w14:paraId="016E0D62"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Z</w:t>
            </w:r>
          </w:p>
        </w:tc>
        <w:tc>
          <w:tcPr>
            <w:tcW w:w="817" w:type="dxa"/>
            <w:tcBorders>
              <w:top w:val="nil"/>
              <w:left w:val="nil"/>
              <w:bottom w:val="double" w:sz="6" w:space="0" w:color="auto"/>
              <w:right w:val="nil"/>
            </w:tcBorders>
            <w:shd w:val="clear" w:color="auto" w:fill="auto"/>
            <w:noWrap/>
            <w:vAlign w:val="bottom"/>
            <w:hideMark/>
          </w:tcPr>
          <w:p w14:paraId="76041BA0"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RV</w:t>
            </w:r>
          </w:p>
        </w:tc>
        <w:tc>
          <w:tcPr>
            <w:tcW w:w="1275" w:type="dxa"/>
            <w:tcBorders>
              <w:top w:val="nil"/>
              <w:left w:val="nil"/>
              <w:bottom w:val="double" w:sz="6" w:space="0" w:color="auto"/>
              <w:right w:val="nil"/>
            </w:tcBorders>
            <w:shd w:val="clear" w:color="auto" w:fill="auto"/>
            <w:noWrap/>
            <w:vAlign w:val="bottom"/>
            <w:hideMark/>
          </w:tcPr>
          <w:p w14:paraId="16A4BDB8"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r>
      <w:tr w:rsidR="00033A3F" w:rsidRPr="00033A3F" w14:paraId="02CC7744" w14:textId="77777777" w:rsidTr="004C0D35">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5C9E32DB"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816" w:type="dxa"/>
            <w:tcBorders>
              <w:top w:val="single" w:sz="4" w:space="0" w:color="auto"/>
              <w:left w:val="nil"/>
              <w:bottom w:val="single" w:sz="4" w:space="0" w:color="auto"/>
              <w:right w:val="nil"/>
            </w:tcBorders>
            <w:shd w:val="clear" w:color="auto" w:fill="auto"/>
            <w:noWrap/>
            <w:vAlign w:val="bottom"/>
            <w:hideMark/>
          </w:tcPr>
          <w:p w14:paraId="3C11EDFA"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w:t>
            </w:r>
          </w:p>
        </w:tc>
        <w:tc>
          <w:tcPr>
            <w:tcW w:w="817" w:type="dxa"/>
            <w:tcBorders>
              <w:top w:val="single" w:sz="4" w:space="0" w:color="auto"/>
              <w:left w:val="nil"/>
              <w:bottom w:val="single" w:sz="4" w:space="0" w:color="auto"/>
              <w:right w:val="nil"/>
            </w:tcBorders>
            <w:shd w:val="clear" w:color="auto" w:fill="auto"/>
            <w:noWrap/>
            <w:vAlign w:val="bottom"/>
            <w:hideMark/>
          </w:tcPr>
          <w:p w14:paraId="16E3514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w:t>
            </w:r>
          </w:p>
        </w:tc>
        <w:tc>
          <w:tcPr>
            <w:tcW w:w="817" w:type="dxa"/>
            <w:tcBorders>
              <w:top w:val="single" w:sz="4" w:space="0" w:color="auto"/>
              <w:left w:val="nil"/>
              <w:bottom w:val="single" w:sz="4" w:space="0" w:color="auto"/>
              <w:right w:val="nil"/>
            </w:tcBorders>
            <w:shd w:val="clear" w:color="auto" w:fill="auto"/>
            <w:noWrap/>
            <w:vAlign w:val="bottom"/>
            <w:hideMark/>
          </w:tcPr>
          <w:p w14:paraId="29B3141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134</w:t>
            </w:r>
          </w:p>
        </w:tc>
        <w:tc>
          <w:tcPr>
            <w:tcW w:w="816" w:type="dxa"/>
            <w:tcBorders>
              <w:top w:val="single" w:sz="4" w:space="0" w:color="auto"/>
              <w:left w:val="nil"/>
              <w:bottom w:val="single" w:sz="4" w:space="0" w:color="auto"/>
              <w:right w:val="nil"/>
            </w:tcBorders>
            <w:shd w:val="clear" w:color="auto" w:fill="auto"/>
            <w:noWrap/>
            <w:vAlign w:val="bottom"/>
            <w:hideMark/>
          </w:tcPr>
          <w:p w14:paraId="5616D91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w:t>
            </w:r>
          </w:p>
        </w:tc>
        <w:tc>
          <w:tcPr>
            <w:tcW w:w="817" w:type="dxa"/>
            <w:tcBorders>
              <w:top w:val="single" w:sz="4" w:space="0" w:color="auto"/>
              <w:left w:val="nil"/>
              <w:bottom w:val="single" w:sz="4" w:space="0" w:color="auto"/>
              <w:right w:val="nil"/>
            </w:tcBorders>
            <w:shd w:val="clear" w:color="auto" w:fill="auto"/>
            <w:noWrap/>
            <w:vAlign w:val="bottom"/>
            <w:hideMark/>
          </w:tcPr>
          <w:p w14:paraId="4593820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817" w:type="dxa"/>
            <w:tcBorders>
              <w:top w:val="single" w:sz="4" w:space="0" w:color="auto"/>
              <w:left w:val="nil"/>
              <w:bottom w:val="single" w:sz="4" w:space="0" w:color="auto"/>
              <w:right w:val="nil"/>
            </w:tcBorders>
            <w:shd w:val="clear" w:color="auto" w:fill="auto"/>
            <w:noWrap/>
            <w:vAlign w:val="bottom"/>
            <w:hideMark/>
          </w:tcPr>
          <w:p w14:paraId="46EF25B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73</w:t>
            </w:r>
          </w:p>
        </w:tc>
        <w:tc>
          <w:tcPr>
            <w:tcW w:w="817" w:type="dxa"/>
            <w:tcBorders>
              <w:top w:val="single" w:sz="4" w:space="0" w:color="auto"/>
              <w:left w:val="nil"/>
              <w:bottom w:val="single" w:sz="4" w:space="0" w:color="auto"/>
              <w:right w:val="nil"/>
            </w:tcBorders>
            <w:shd w:val="clear" w:color="auto" w:fill="auto"/>
            <w:noWrap/>
            <w:vAlign w:val="bottom"/>
            <w:hideMark/>
          </w:tcPr>
          <w:p w14:paraId="5F87F1DE"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p>
        </w:tc>
        <w:tc>
          <w:tcPr>
            <w:tcW w:w="1275" w:type="dxa"/>
            <w:tcBorders>
              <w:top w:val="single" w:sz="4" w:space="0" w:color="auto"/>
              <w:left w:val="nil"/>
              <w:bottom w:val="single" w:sz="4" w:space="0" w:color="auto"/>
              <w:right w:val="nil"/>
            </w:tcBorders>
            <w:shd w:val="clear" w:color="auto" w:fill="auto"/>
            <w:noWrap/>
            <w:vAlign w:val="bottom"/>
            <w:hideMark/>
          </w:tcPr>
          <w:p w14:paraId="7D56B78C"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452</w:t>
            </w:r>
          </w:p>
        </w:tc>
      </w:tr>
      <w:tr w:rsidR="00033A3F" w:rsidRPr="00033A3F" w14:paraId="05FE504B"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7908137D"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816" w:type="dxa"/>
            <w:tcBorders>
              <w:top w:val="nil"/>
              <w:left w:val="nil"/>
              <w:bottom w:val="single" w:sz="4" w:space="0" w:color="auto"/>
              <w:right w:val="nil"/>
            </w:tcBorders>
            <w:shd w:val="clear" w:color="auto" w:fill="auto"/>
            <w:noWrap/>
            <w:vAlign w:val="bottom"/>
            <w:hideMark/>
          </w:tcPr>
          <w:p w14:paraId="45E08D8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w:t>
            </w:r>
          </w:p>
        </w:tc>
        <w:tc>
          <w:tcPr>
            <w:tcW w:w="817" w:type="dxa"/>
            <w:tcBorders>
              <w:top w:val="nil"/>
              <w:left w:val="nil"/>
              <w:bottom w:val="single" w:sz="4" w:space="0" w:color="auto"/>
              <w:right w:val="nil"/>
            </w:tcBorders>
            <w:shd w:val="clear" w:color="auto" w:fill="auto"/>
            <w:noWrap/>
            <w:vAlign w:val="bottom"/>
            <w:hideMark/>
          </w:tcPr>
          <w:p w14:paraId="52A38E2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817" w:type="dxa"/>
            <w:tcBorders>
              <w:top w:val="nil"/>
              <w:left w:val="nil"/>
              <w:bottom w:val="single" w:sz="4" w:space="0" w:color="auto"/>
              <w:right w:val="nil"/>
            </w:tcBorders>
            <w:shd w:val="clear" w:color="auto" w:fill="auto"/>
            <w:noWrap/>
            <w:vAlign w:val="bottom"/>
            <w:hideMark/>
          </w:tcPr>
          <w:p w14:paraId="67904008"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w:t>
            </w:r>
          </w:p>
        </w:tc>
        <w:tc>
          <w:tcPr>
            <w:tcW w:w="816" w:type="dxa"/>
            <w:tcBorders>
              <w:top w:val="nil"/>
              <w:left w:val="nil"/>
              <w:bottom w:val="single" w:sz="4" w:space="0" w:color="auto"/>
              <w:right w:val="nil"/>
            </w:tcBorders>
            <w:shd w:val="clear" w:color="auto" w:fill="auto"/>
            <w:noWrap/>
            <w:vAlign w:val="bottom"/>
            <w:hideMark/>
          </w:tcPr>
          <w:p w14:paraId="23F56E0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817" w:type="dxa"/>
            <w:tcBorders>
              <w:top w:val="nil"/>
              <w:left w:val="nil"/>
              <w:bottom w:val="single" w:sz="4" w:space="0" w:color="auto"/>
              <w:right w:val="nil"/>
            </w:tcBorders>
            <w:shd w:val="clear" w:color="auto" w:fill="auto"/>
            <w:noWrap/>
            <w:vAlign w:val="bottom"/>
            <w:hideMark/>
          </w:tcPr>
          <w:p w14:paraId="198A53A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817" w:type="dxa"/>
            <w:tcBorders>
              <w:top w:val="nil"/>
              <w:left w:val="nil"/>
              <w:bottom w:val="single" w:sz="4" w:space="0" w:color="auto"/>
              <w:right w:val="nil"/>
            </w:tcBorders>
            <w:shd w:val="clear" w:color="auto" w:fill="auto"/>
            <w:noWrap/>
            <w:vAlign w:val="bottom"/>
            <w:hideMark/>
          </w:tcPr>
          <w:p w14:paraId="6AB7794A"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817" w:type="dxa"/>
            <w:tcBorders>
              <w:top w:val="nil"/>
              <w:left w:val="nil"/>
              <w:bottom w:val="single" w:sz="4" w:space="0" w:color="auto"/>
              <w:right w:val="nil"/>
            </w:tcBorders>
            <w:shd w:val="clear" w:color="auto" w:fill="auto"/>
            <w:noWrap/>
            <w:vAlign w:val="bottom"/>
            <w:hideMark/>
          </w:tcPr>
          <w:p w14:paraId="1BB50D5D"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w:t>
            </w:r>
          </w:p>
        </w:tc>
        <w:tc>
          <w:tcPr>
            <w:tcW w:w="1275" w:type="dxa"/>
            <w:tcBorders>
              <w:top w:val="nil"/>
              <w:left w:val="nil"/>
              <w:bottom w:val="single" w:sz="4" w:space="0" w:color="auto"/>
              <w:right w:val="nil"/>
            </w:tcBorders>
            <w:shd w:val="clear" w:color="auto" w:fill="auto"/>
            <w:noWrap/>
            <w:vAlign w:val="bottom"/>
            <w:hideMark/>
          </w:tcPr>
          <w:p w14:paraId="0BCE5778"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143</w:t>
            </w:r>
          </w:p>
        </w:tc>
      </w:tr>
      <w:tr w:rsidR="00033A3F" w:rsidRPr="00033A3F" w14:paraId="47357519"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085AFB7B"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816" w:type="dxa"/>
            <w:tcBorders>
              <w:top w:val="nil"/>
              <w:left w:val="nil"/>
              <w:bottom w:val="single" w:sz="4" w:space="0" w:color="auto"/>
              <w:right w:val="nil"/>
            </w:tcBorders>
            <w:shd w:val="clear" w:color="auto" w:fill="auto"/>
            <w:noWrap/>
            <w:vAlign w:val="bottom"/>
            <w:hideMark/>
          </w:tcPr>
          <w:p w14:paraId="256E53E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w:t>
            </w:r>
          </w:p>
        </w:tc>
        <w:tc>
          <w:tcPr>
            <w:tcW w:w="817" w:type="dxa"/>
            <w:tcBorders>
              <w:top w:val="nil"/>
              <w:left w:val="nil"/>
              <w:bottom w:val="single" w:sz="4" w:space="0" w:color="auto"/>
              <w:right w:val="nil"/>
            </w:tcBorders>
            <w:shd w:val="clear" w:color="auto" w:fill="auto"/>
            <w:noWrap/>
            <w:vAlign w:val="bottom"/>
            <w:hideMark/>
          </w:tcPr>
          <w:p w14:paraId="1496BEC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p>
        </w:tc>
        <w:tc>
          <w:tcPr>
            <w:tcW w:w="817" w:type="dxa"/>
            <w:tcBorders>
              <w:top w:val="nil"/>
              <w:left w:val="nil"/>
              <w:bottom w:val="single" w:sz="4" w:space="0" w:color="auto"/>
              <w:right w:val="nil"/>
            </w:tcBorders>
            <w:shd w:val="clear" w:color="auto" w:fill="auto"/>
            <w:noWrap/>
            <w:vAlign w:val="bottom"/>
            <w:hideMark/>
          </w:tcPr>
          <w:p w14:paraId="7621D90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w:t>
            </w:r>
          </w:p>
        </w:tc>
        <w:tc>
          <w:tcPr>
            <w:tcW w:w="816" w:type="dxa"/>
            <w:tcBorders>
              <w:top w:val="nil"/>
              <w:left w:val="nil"/>
              <w:bottom w:val="single" w:sz="4" w:space="0" w:color="auto"/>
              <w:right w:val="nil"/>
            </w:tcBorders>
            <w:shd w:val="clear" w:color="auto" w:fill="auto"/>
            <w:noWrap/>
            <w:vAlign w:val="bottom"/>
            <w:hideMark/>
          </w:tcPr>
          <w:p w14:paraId="0B8F70E8"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p>
        </w:tc>
        <w:tc>
          <w:tcPr>
            <w:tcW w:w="817" w:type="dxa"/>
            <w:tcBorders>
              <w:top w:val="nil"/>
              <w:left w:val="nil"/>
              <w:bottom w:val="single" w:sz="4" w:space="0" w:color="auto"/>
              <w:right w:val="nil"/>
            </w:tcBorders>
            <w:shd w:val="clear" w:color="auto" w:fill="auto"/>
            <w:noWrap/>
            <w:vAlign w:val="bottom"/>
            <w:hideMark/>
          </w:tcPr>
          <w:p w14:paraId="18EB30E7"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p>
        </w:tc>
        <w:tc>
          <w:tcPr>
            <w:tcW w:w="817" w:type="dxa"/>
            <w:tcBorders>
              <w:top w:val="nil"/>
              <w:left w:val="nil"/>
              <w:bottom w:val="single" w:sz="4" w:space="0" w:color="auto"/>
              <w:right w:val="nil"/>
            </w:tcBorders>
            <w:shd w:val="clear" w:color="auto" w:fill="auto"/>
            <w:noWrap/>
            <w:vAlign w:val="bottom"/>
            <w:hideMark/>
          </w:tcPr>
          <w:p w14:paraId="11BFBF6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817" w:type="dxa"/>
            <w:tcBorders>
              <w:top w:val="nil"/>
              <w:left w:val="nil"/>
              <w:bottom w:val="single" w:sz="4" w:space="0" w:color="auto"/>
              <w:right w:val="nil"/>
            </w:tcBorders>
            <w:shd w:val="clear" w:color="auto" w:fill="auto"/>
            <w:noWrap/>
            <w:vAlign w:val="bottom"/>
            <w:hideMark/>
          </w:tcPr>
          <w:p w14:paraId="041D74DC"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275" w:type="dxa"/>
            <w:tcBorders>
              <w:top w:val="nil"/>
              <w:left w:val="nil"/>
              <w:bottom w:val="single" w:sz="4" w:space="0" w:color="auto"/>
              <w:right w:val="nil"/>
            </w:tcBorders>
            <w:shd w:val="clear" w:color="auto" w:fill="auto"/>
            <w:noWrap/>
            <w:vAlign w:val="bottom"/>
            <w:hideMark/>
          </w:tcPr>
          <w:p w14:paraId="7918CB20"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93</w:t>
            </w:r>
          </w:p>
        </w:tc>
      </w:tr>
      <w:tr w:rsidR="00033A3F" w:rsidRPr="00033A3F" w14:paraId="20924801"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68DA1E44"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816" w:type="dxa"/>
            <w:tcBorders>
              <w:top w:val="nil"/>
              <w:left w:val="nil"/>
              <w:bottom w:val="single" w:sz="4" w:space="0" w:color="auto"/>
              <w:right w:val="nil"/>
            </w:tcBorders>
            <w:shd w:val="clear" w:color="auto" w:fill="auto"/>
            <w:noWrap/>
            <w:vAlign w:val="bottom"/>
            <w:hideMark/>
          </w:tcPr>
          <w:p w14:paraId="12C7FCE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w:t>
            </w:r>
          </w:p>
        </w:tc>
        <w:tc>
          <w:tcPr>
            <w:tcW w:w="817" w:type="dxa"/>
            <w:tcBorders>
              <w:top w:val="nil"/>
              <w:left w:val="nil"/>
              <w:bottom w:val="single" w:sz="4" w:space="0" w:color="auto"/>
              <w:right w:val="nil"/>
            </w:tcBorders>
            <w:shd w:val="clear" w:color="auto" w:fill="auto"/>
            <w:noWrap/>
            <w:vAlign w:val="bottom"/>
            <w:hideMark/>
          </w:tcPr>
          <w:p w14:paraId="1D3E20D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817" w:type="dxa"/>
            <w:tcBorders>
              <w:top w:val="nil"/>
              <w:left w:val="nil"/>
              <w:bottom w:val="single" w:sz="4" w:space="0" w:color="auto"/>
              <w:right w:val="nil"/>
            </w:tcBorders>
            <w:shd w:val="clear" w:color="auto" w:fill="auto"/>
            <w:noWrap/>
            <w:vAlign w:val="bottom"/>
            <w:hideMark/>
          </w:tcPr>
          <w:p w14:paraId="737E48F8"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816" w:type="dxa"/>
            <w:tcBorders>
              <w:top w:val="nil"/>
              <w:left w:val="nil"/>
              <w:bottom w:val="single" w:sz="4" w:space="0" w:color="auto"/>
              <w:right w:val="nil"/>
            </w:tcBorders>
            <w:shd w:val="clear" w:color="auto" w:fill="auto"/>
            <w:noWrap/>
            <w:vAlign w:val="bottom"/>
            <w:hideMark/>
          </w:tcPr>
          <w:p w14:paraId="4EC237C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817" w:type="dxa"/>
            <w:tcBorders>
              <w:top w:val="nil"/>
              <w:left w:val="nil"/>
              <w:bottom w:val="single" w:sz="4" w:space="0" w:color="auto"/>
              <w:right w:val="nil"/>
            </w:tcBorders>
            <w:shd w:val="clear" w:color="auto" w:fill="auto"/>
            <w:noWrap/>
            <w:vAlign w:val="bottom"/>
            <w:hideMark/>
          </w:tcPr>
          <w:p w14:paraId="0BE26D2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817" w:type="dxa"/>
            <w:tcBorders>
              <w:top w:val="nil"/>
              <w:left w:val="nil"/>
              <w:bottom w:val="single" w:sz="4" w:space="0" w:color="auto"/>
              <w:right w:val="nil"/>
            </w:tcBorders>
            <w:shd w:val="clear" w:color="auto" w:fill="auto"/>
            <w:noWrap/>
            <w:vAlign w:val="bottom"/>
            <w:hideMark/>
          </w:tcPr>
          <w:p w14:paraId="0881B92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817" w:type="dxa"/>
            <w:tcBorders>
              <w:top w:val="nil"/>
              <w:left w:val="nil"/>
              <w:bottom w:val="single" w:sz="4" w:space="0" w:color="auto"/>
              <w:right w:val="nil"/>
            </w:tcBorders>
            <w:shd w:val="clear" w:color="auto" w:fill="auto"/>
            <w:noWrap/>
            <w:vAlign w:val="bottom"/>
            <w:hideMark/>
          </w:tcPr>
          <w:p w14:paraId="73A7B931"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275" w:type="dxa"/>
            <w:tcBorders>
              <w:top w:val="nil"/>
              <w:left w:val="nil"/>
              <w:bottom w:val="single" w:sz="4" w:space="0" w:color="auto"/>
              <w:right w:val="nil"/>
            </w:tcBorders>
            <w:shd w:val="clear" w:color="auto" w:fill="auto"/>
            <w:noWrap/>
            <w:vAlign w:val="bottom"/>
            <w:hideMark/>
          </w:tcPr>
          <w:p w14:paraId="04789254"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100</w:t>
            </w:r>
          </w:p>
        </w:tc>
      </w:tr>
      <w:tr w:rsidR="00033A3F" w:rsidRPr="00033A3F" w14:paraId="0F1D16E8"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26E11DA4"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816" w:type="dxa"/>
            <w:tcBorders>
              <w:top w:val="nil"/>
              <w:left w:val="nil"/>
              <w:bottom w:val="single" w:sz="4" w:space="0" w:color="auto"/>
              <w:right w:val="nil"/>
            </w:tcBorders>
            <w:shd w:val="clear" w:color="auto" w:fill="auto"/>
            <w:noWrap/>
            <w:vAlign w:val="bottom"/>
            <w:hideMark/>
          </w:tcPr>
          <w:p w14:paraId="253AD6CD"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w:t>
            </w:r>
          </w:p>
        </w:tc>
        <w:tc>
          <w:tcPr>
            <w:tcW w:w="817" w:type="dxa"/>
            <w:tcBorders>
              <w:top w:val="nil"/>
              <w:left w:val="nil"/>
              <w:bottom w:val="single" w:sz="4" w:space="0" w:color="auto"/>
              <w:right w:val="nil"/>
            </w:tcBorders>
            <w:shd w:val="clear" w:color="auto" w:fill="auto"/>
            <w:noWrap/>
            <w:vAlign w:val="bottom"/>
            <w:hideMark/>
          </w:tcPr>
          <w:p w14:paraId="5D4F2F1E"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817" w:type="dxa"/>
            <w:tcBorders>
              <w:top w:val="nil"/>
              <w:left w:val="nil"/>
              <w:bottom w:val="single" w:sz="4" w:space="0" w:color="auto"/>
              <w:right w:val="nil"/>
            </w:tcBorders>
            <w:shd w:val="clear" w:color="auto" w:fill="auto"/>
            <w:noWrap/>
            <w:vAlign w:val="bottom"/>
            <w:hideMark/>
          </w:tcPr>
          <w:p w14:paraId="41CF7807"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w:t>
            </w:r>
          </w:p>
        </w:tc>
        <w:tc>
          <w:tcPr>
            <w:tcW w:w="816" w:type="dxa"/>
            <w:tcBorders>
              <w:top w:val="nil"/>
              <w:left w:val="nil"/>
              <w:bottom w:val="single" w:sz="4" w:space="0" w:color="auto"/>
              <w:right w:val="nil"/>
            </w:tcBorders>
            <w:shd w:val="clear" w:color="auto" w:fill="auto"/>
            <w:noWrap/>
            <w:vAlign w:val="bottom"/>
            <w:hideMark/>
          </w:tcPr>
          <w:p w14:paraId="4F3C6E1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817" w:type="dxa"/>
            <w:tcBorders>
              <w:top w:val="nil"/>
              <w:left w:val="nil"/>
              <w:bottom w:val="single" w:sz="4" w:space="0" w:color="auto"/>
              <w:right w:val="nil"/>
            </w:tcBorders>
            <w:shd w:val="clear" w:color="auto" w:fill="auto"/>
            <w:noWrap/>
            <w:vAlign w:val="bottom"/>
            <w:hideMark/>
          </w:tcPr>
          <w:p w14:paraId="5C598356"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817" w:type="dxa"/>
            <w:tcBorders>
              <w:top w:val="nil"/>
              <w:left w:val="nil"/>
              <w:bottom w:val="single" w:sz="4" w:space="0" w:color="auto"/>
              <w:right w:val="nil"/>
            </w:tcBorders>
            <w:shd w:val="clear" w:color="auto" w:fill="auto"/>
            <w:noWrap/>
            <w:vAlign w:val="bottom"/>
            <w:hideMark/>
          </w:tcPr>
          <w:p w14:paraId="71105F8B"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w:t>
            </w:r>
          </w:p>
        </w:tc>
        <w:tc>
          <w:tcPr>
            <w:tcW w:w="817" w:type="dxa"/>
            <w:tcBorders>
              <w:top w:val="nil"/>
              <w:left w:val="nil"/>
              <w:bottom w:val="single" w:sz="4" w:space="0" w:color="auto"/>
              <w:right w:val="nil"/>
            </w:tcBorders>
            <w:shd w:val="clear" w:color="auto" w:fill="auto"/>
            <w:noWrap/>
            <w:vAlign w:val="bottom"/>
            <w:hideMark/>
          </w:tcPr>
          <w:p w14:paraId="1C2E478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1275" w:type="dxa"/>
            <w:tcBorders>
              <w:top w:val="nil"/>
              <w:left w:val="nil"/>
              <w:bottom w:val="single" w:sz="4" w:space="0" w:color="auto"/>
              <w:right w:val="nil"/>
            </w:tcBorders>
            <w:shd w:val="clear" w:color="auto" w:fill="auto"/>
            <w:noWrap/>
            <w:vAlign w:val="bottom"/>
            <w:hideMark/>
          </w:tcPr>
          <w:p w14:paraId="367A5BB6"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221</w:t>
            </w:r>
          </w:p>
        </w:tc>
      </w:tr>
      <w:tr w:rsidR="00033A3F" w:rsidRPr="00033A3F" w14:paraId="3110072B"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6A048830"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816" w:type="dxa"/>
            <w:tcBorders>
              <w:top w:val="nil"/>
              <w:left w:val="nil"/>
              <w:bottom w:val="single" w:sz="4" w:space="0" w:color="auto"/>
              <w:right w:val="nil"/>
            </w:tcBorders>
            <w:shd w:val="clear" w:color="auto" w:fill="auto"/>
            <w:noWrap/>
            <w:vAlign w:val="bottom"/>
            <w:hideMark/>
          </w:tcPr>
          <w:p w14:paraId="4AE9855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w:t>
            </w:r>
          </w:p>
        </w:tc>
        <w:tc>
          <w:tcPr>
            <w:tcW w:w="817" w:type="dxa"/>
            <w:tcBorders>
              <w:top w:val="nil"/>
              <w:left w:val="nil"/>
              <w:bottom w:val="single" w:sz="4" w:space="0" w:color="auto"/>
              <w:right w:val="nil"/>
            </w:tcBorders>
            <w:shd w:val="clear" w:color="auto" w:fill="auto"/>
            <w:noWrap/>
            <w:vAlign w:val="bottom"/>
            <w:hideMark/>
          </w:tcPr>
          <w:p w14:paraId="7BACFD4B"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817" w:type="dxa"/>
            <w:tcBorders>
              <w:top w:val="nil"/>
              <w:left w:val="nil"/>
              <w:bottom w:val="single" w:sz="4" w:space="0" w:color="auto"/>
              <w:right w:val="nil"/>
            </w:tcBorders>
            <w:shd w:val="clear" w:color="auto" w:fill="auto"/>
            <w:noWrap/>
            <w:vAlign w:val="bottom"/>
            <w:hideMark/>
          </w:tcPr>
          <w:p w14:paraId="367E2A4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w:t>
            </w:r>
          </w:p>
        </w:tc>
        <w:tc>
          <w:tcPr>
            <w:tcW w:w="816" w:type="dxa"/>
            <w:tcBorders>
              <w:top w:val="nil"/>
              <w:left w:val="nil"/>
              <w:bottom w:val="single" w:sz="4" w:space="0" w:color="auto"/>
              <w:right w:val="nil"/>
            </w:tcBorders>
            <w:shd w:val="clear" w:color="auto" w:fill="auto"/>
            <w:noWrap/>
            <w:vAlign w:val="bottom"/>
            <w:hideMark/>
          </w:tcPr>
          <w:p w14:paraId="21287501"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817" w:type="dxa"/>
            <w:tcBorders>
              <w:top w:val="nil"/>
              <w:left w:val="nil"/>
              <w:bottom w:val="single" w:sz="4" w:space="0" w:color="auto"/>
              <w:right w:val="nil"/>
            </w:tcBorders>
            <w:shd w:val="clear" w:color="auto" w:fill="auto"/>
            <w:noWrap/>
            <w:vAlign w:val="bottom"/>
            <w:hideMark/>
          </w:tcPr>
          <w:p w14:paraId="281D7C5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817" w:type="dxa"/>
            <w:tcBorders>
              <w:top w:val="nil"/>
              <w:left w:val="nil"/>
              <w:bottom w:val="single" w:sz="4" w:space="0" w:color="auto"/>
              <w:right w:val="nil"/>
            </w:tcBorders>
            <w:shd w:val="clear" w:color="auto" w:fill="auto"/>
            <w:noWrap/>
            <w:vAlign w:val="bottom"/>
            <w:hideMark/>
          </w:tcPr>
          <w:p w14:paraId="0E37A1F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817" w:type="dxa"/>
            <w:tcBorders>
              <w:top w:val="nil"/>
              <w:left w:val="nil"/>
              <w:bottom w:val="single" w:sz="4" w:space="0" w:color="auto"/>
              <w:right w:val="nil"/>
            </w:tcBorders>
            <w:shd w:val="clear" w:color="auto" w:fill="auto"/>
            <w:noWrap/>
            <w:vAlign w:val="bottom"/>
            <w:hideMark/>
          </w:tcPr>
          <w:p w14:paraId="074D7FD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1275" w:type="dxa"/>
            <w:tcBorders>
              <w:top w:val="nil"/>
              <w:left w:val="nil"/>
              <w:bottom w:val="single" w:sz="4" w:space="0" w:color="auto"/>
              <w:right w:val="nil"/>
            </w:tcBorders>
            <w:shd w:val="clear" w:color="auto" w:fill="auto"/>
            <w:noWrap/>
            <w:vAlign w:val="bottom"/>
            <w:hideMark/>
          </w:tcPr>
          <w:p w14:paraId="432D0470"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141</w:t>
            </w:r>
          </w:p>
        </w:tc>
      </w:tr>
      <w:tr w:rsidR="00033A3F" w:rsidRPr="00033A3F" w14:paraId="3EA866F3"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4EEFC53A"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816" w:type="dxa"/>
            <w:tcBorders>
              <w:top w:val="nil"/>
              <w:left w:val="nil"/>
              <w:bottom w:val="single" w:sz="4" w:space="0" w:color="auto"/>
              <w:right w:val="nil"/>
            </w:tcBorders>
            <w:shd w:val="clear" w:color="auto" w:fill="auto"/>
            <w:noWrap/>
            <w:vAlign w:val="bottom"/>
            <w:hideMark/>
          </w:tcPr>
          <w:p w14:paraId="5F6E1C48"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w:t>
            </w:r>
          </w:p>
        </w:tc>
        <w:tc>
          <w:tcPr>
            <w:tcW w:w="817" w:type="dxa"/>
            <w:tcBorders>
              <w:top w:val="nil"/>
              <w:left w:val="nil"/>
              <w:bottom w:val="single" w:sz="4" w:space="0" w:color="auto"/>
              <w:right w:val="nil"/>
            </w:tcBorders>
            <w:shd w:val="clear" w:color="auto" w:fill="auto"/>
            <w:noWrap/>
            <w:vAlign w:val="bottom"/>
            <w:hideMark/>
          </w:tcPr>
          <w:p w14:paraId="1E3FEAAC"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817" w:type="dxa"/>
            <w:tcBorders>
              <w:top w:val="nil"/>
              <w:left w:val="nil"/>
              <w:bottom w:val="single" w:sz="4" w:space="0" w:color="auto"/>
              <w:right w:val="nil"/>
            </w:tcBorders>
            <w:shd w:val="clear" w:color="auto" w:fill="auto"/>
            <w:noWrap/>
            <w:vAlign w:val="bottom"/>
            <w:hideMark/>
          </w:tcPr>
          <w:p w14:paraId="151A8D46"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816" w:type="dxa"/>
            <w:tcBorders>
              <w:top w:val="nil"/>
              <w:left w:val="nil"/>
              <w:bottom w:val="single" w:sz="4" w:space="0" w:color="auto"/>
              <w:right w:val="nil"/>
            </w:tcBorders>
            <w:shd w:val="clear" w:color="auto" w:fill="auto"/>
            <w:noWrap/>
            <w:vAlign w:val="bottom"/>
            <w:hideMark/>
          </w:tcPr>
          <w:p w14:paraId="36AA602A"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w:t>
            </w:r>
          </w:p>
        </w:tc>
        <w:tc>
          <w:tcPr>
            <w:tcW w:w="817" w:type="dxa"/>
            <w:tcBorders>
              <w:top w:val="nil"/>
              <w:left w:val="nil"/>
              <w:bottom w:val="single" w:sz="4" w:space="0" w:color="auto"/>
              <w:right w:val="nil"/>
            </w:tcBorders>
            <w:shd w:val="clear" w:color="auto" w:fill="auto"/>
            <w:noWrap/>
            <w:vAlign w:val="bottom"/>
            <w:hideMark/>
          </w:tcPr>
          <w:p w14:paraId="41380BC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817" w:type="dxa"/>
            <w:tcBorders>
              <w:top w:val="nil"/>
              <w:left w:val="nil"/>
              <w:bottom w:val="single" w:sz="4" w:space="0" w:color="auto"/>
              <w:right w:val="nil"/>
            </w:tcBorders>
            <w:shd w:val="clear" w:color="auto" w:fill="auto"/>
            <w:noWrap/>
            <w:vAlign w:val="bottom"/>
            <w:hideMark/>
          </w:tcPr>
          <w:p w14:paraId="1E28363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w:t>
            </w:r>
          </w:p>
        </w:tc>
        <w:tc>
          <w:tcPr>
            <w:tcW w:w="817" w:type="dxa"/>
            <w:tcBorders>
              <w:top w:val="nil"/>
              <w:left w:val="nil"/>
              <w:bottom w:val="single" w:sz="4" w:space="0" w:color="auto"/>
              <w:right w:val="nil"/>
            </w:tcBorders>
            <w:shd w:val="clear" w:color="auto" w:fill="auto"/>
            <w:noWrap/>
            <w:vAlign w:val="bottom"/>
            <w:hideMark/>
          </w:tcPr>
          <w:p w14:paraId="07B5D2C7"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w:t>
            </w:r>
          </w:p>
        </w:tc>
        <w:tc>
          <w:tcPr>
            <w:tcW w:w="1275" w:type="dxa"/>
            <w:tcBorders>
              <w:top w:val="nil"/>
              <w:left w:val="nil"/>
              <w:bottom w:val="single" w:sz="4" w:space="0" w:color="auto"/>
              <w:right w:val="nil"/>
            </w:tcBorders>
            <w:shd w:val="clear" w:color="auto" w:fill="auto"/>
            <w:noWrap/>
            <w:vAlign w:val="bottom"/>
            <w:hideMark/>
          </w:tcPr>
          <w:p w14:paraId="6563BF22"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255</w:t>
            </w:r>
          </w:p>
        </w:tc>
      </w:tr>
      <w:tr w:rsidR="00033A3F" w:rsidRPr="00033A3F" w14:paraId="45CDFCC2" w14:textId="77777777" w:rsidTr="004C0D35">
        <w:trPr>
          <w:trHeight w:val="330"/>
        </w:trPr>
        <w:tc>
          <w:tcPr>
            <w:tcW w:w="2080" w:type="dxa"/>
            <w:tcBorders>
              <w:top w:val="nil"/>
              <w:left w:val="nil"/>
              <w:bottom w:val="double" w:sz="6" w:space="0" w:color="auto"/>
              <w:right w:val="nil"/>
            </w:tcBorders>
            <w:shd w:val="clear" w:color="auto" w:fill="auto"/>
            <w:noWrap/>
            <w:vAlign w:val="bottom"/>
            <w:hideMark/>
          </w:tcPr>
          <w:p w14:paraId="5D824BD2"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816" w:type="dxa"/>
            <w:tcBorders>
              <w:top w:val="nil"/>
              <w:left w:val="nil"/>
              <w:bottom w:val="double" w:sz="6" w:space="0" w:color="auto"/>
              <w:right w:val="nil"/>
            </w:tcBorders>
            <w:shd w:val="clear" w:color="auto" w:fill="auto"/>
            <w:noWrap/>
            <w:vAlign w:val="bottom"/>
            <w:hideMark/>
          </w:tcPr>
          <w:p w14:paraId="6AA3A56E"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817" w:type="dxa"/>
            <w:tcBorders>
              <w:top w:val="nil"/>
              <w:left w:val="nil"/>
              <w:bottom w:val="double" w:sz="6" w:space="0" w:color="auto"/>
              <w:right w:val="nil"/>
            </w:tcBorders>
            <w:shd w:val="clear" w:color="auto" w:fill="auto"/>
            <w:noWrap/>
            <w:vAlign w:val="bottom"/>
            <w:hideMark/>
          </w:tcPr>
          <w:p w14:paraId="230E6D9D"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817" w:type="dxa"/>
            <w:tcBorders>
              <w:top w:val="nil"/>
              <w:left w:val="nil"/>
              <w:bottom w:val="double" w:sz="6" w:space="0" w:color="auto"/>
              <w:right w:val="nil"/>
            </w:tcBorders>
            <w:shd w:val="clear" w:color="auto" w:fill="auto"/>
            <w:noWrap/>
            <w:vAlign w:val="bottom"/>
            <w:hideMark/>
          </w:tcPr>
          <w:p w14:paraId="7B8FF526"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816" w:type="dxa"/>
            <w:tcBorders>
              <w:top w:val="nil"/>
              <w:left w:val="nil"/>
              <w:bottom w:val="double" w:sz="6" w:space="0" w:color="auto"/>
              <w:right w:val="nil"/>
            </w:tcBorders>
            <w:shd w:val="clear" w:color="auto" w:fill="auto"/>
            <w:noWrap/>
            <w:vAlign w:val="bottom"/>
            <w:hideMark/>
          </w:tcPr>
          <w:p w14:paraId="5CBCC031"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817" w:type="dxa"/>
            <w:tcBorders>
              <w:top w:val="nil"/>
              <w:left w:val="nil"/>
              <w:bottom w:val="double" w:sz="6" w:space="0" w:color="auto"/>
              <w:right w:val="nil"/>
            </w:tcBorders>
            <w:shd w:val="clear" w:color="auto" w:fill="auto"/>
            <w:noWrap/>
            <w:vAlign w:val="bottom"/>
            <w:hideMark/>
          </w:tcPr>
          <w:p w14:paraId="50260EB6"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817" w:type="dxa"/>
            <w:tcBorders>
              <w:top w:val="nil"/>
              <w:left w:val="nil"/>
              <w:bottom w:val="double" w:sz="6" w:space="0" w:color="auto"/>
              <w:right w:val="nil"/>
            </w:tcBorders>
            <w:shd w:val="clear" w:color="auto" w:fill="auto"/>
            <w:noWrap/>
            <w:vAlign w:val="bottom"/>
            <w:hideMark/>
          </w:tcPr>
          <w:p w14:paraId="5F0F4012"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w:t>
            </w:r>
          </w:p>
        </w:tc>
        <w:tc>
          <w:tcPr>
            <w:tcW w:w="817" w:type="dxa"/>
            <w:tcBorders>
              <w:top w:val="nil"/>
              <w:left w:val="nil"/>
              <w:bottom w:val="double" w:sz="6" w:space="0" w:color="auto"/>
              <w:right w:val="nil"/>
            </w:tcBorders>
            <w:shd w:val="clear" w:color="auto" w:fill="auto"/>
            <w:noWrap/>
            <w:vAlign w:val="bottom"/>
            <w:hideMark/>
          </w:tcPr>
          <w:p w14:paraId="6719D837"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1275" w:type="dxa"/>
            <w:tcBorders>
              <w:top w:val="nil"/>
              <w:left w:val="nil"/>
              <w:bottom w:val="nil"/>
              <w:right w:val="nil"/>
            </w:tcBorders>
            <w:shd w:val="clear" w:color="auto" w:fill="auto"/>
            <w:noWrap/>
            <w:vAlign w:val="bottom"/>
            <w:hideMark/>
          </w:tcPr>
          <w:p w14:paraId="6588A27A"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277</w:t>
            </w:r>
          </w:p>
        </w:tc>
      </w:tr>
      <w:tr w:rsidR="00033A3F" w:rsidRPr="00033A3F" w14:paraId="0DD3AD9D" w14:textId="77777777" w:rsidTr="004C0D35">
        <w:trPr>
          <w:trHeight w:val="345"/>
        </w:trPr>
        <w:tc>
          <w:tcPr>
            <w:tcW w:w="2080" w:type="dxa"/>
            <w:tcBorders>
              <w:top w:val="nil"/>
              <w:left w:val="nil"/>
              <w:bottom w:val="double" w:sz="6" w:space="0" w:color="auto"/>
              <w:right w:val="nil"/>
            </w:tcBorders>
            <w:shd w:val="clear" w:color="auto" w:fill="auto"/>
            <w:noWrap/>
            <w:vAlign w:val="bottom"/>
            <w:hideMark/>
          </w:tcPr>
          <w:p w14:paraId="0A668189" w14:textId="77777777" w:rsidR="00194ABE" w:rsidRPr="00033A3F" w:rsidRDefault="00194ABE" w:rsidP="00194ABE">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816" w:type="dxa"/>
            <w:tcBorders>
              <w:top w:val="nil"/>
              <w:left w:val="nil"/>
              <w:bottom w:val="double" w:sz="6" w:space="0" w:color="auto"/>
              <w:right w:val="nil"/>
            </w:tcBorders>
            <w:shd w:val="clear" w:color="auto" w:fill="auto"/>
            <w:noWrap/>
            <w:vAlign w:val="bottom"/>
            <w:hideMark/>
          </w:tcPr>
          <w:p w14:paraId="19841D31"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307</w:t>
            </w:r>
          </w:p>
        </w:tc>
        <w:tc>
          <w:tcPr>
            <w:tcW w:w="817" w:type="dxa"/>
            <w:tcBorders>
              <w:top w:val="nil"/>
              <w:left w:val="nil"/>
              <w:bottom w:val="double" w:sz="6" w:space="0" w:color="auto"/>
              <w:right w:val="nil"/>
            </w:tcBorders>
            <w:shd w:val="clear" w:color="auto" w:fill="auto"/>
            <w:noWrap/>
            <w:vAlign w:val="bottom"/>
            <w:hideMark/>
          </w:tcPr>
          <w:p w14:paraId="7C60B205"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76</w:t>
            </w:r>
          </w:p>
        </w:tc>
        <w:tc>
          <w:tcPr>
            <w:tcW w:w="817" w:type="dxa"/>
            <w:tcBorders>
              <w:top w:val="nil"/>
              <w:left w:val="nil"/>
              <w:bottom w:val="double" w:sz="6" w:space="0" w:color="auto"/>
              <w:right w:val="nil"/>
            </w:tcBorders>
            <w:shd w:val="clear" w:color="auto" w:fill="auto"/>
            <w:noWrap/>
            <w:vAlign w:val="bottom"/>
            <w:hideMark/>
          </w:tcPr>
          <w:p w14:paraId="249A6620"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377</w:t>
            </w:r>
          </w:p>
        </w:tc>
        <w:tc>
          <w:tcPr>
            <w:tcW w:w="816" w:type="dxa"/>
            <w:tcBorders>
              <w:top w:val="nil"/>
              <w:left w:val="nil"/>
              <w:bottom w:val="double" w:sz="6" w:space="0" w:color="auto"/>
              <w:right w:val="nil"/>
            </w:tcBorders>
            <w:shd w:val="clear" w:color="auto" w:fill="auto"/>
            <w:noWrap/>
            <w:vAlign w:val="bottom"/>
            <w:hideMark/>
          </w:tcPr>
          <w:p w14:paraId="524C9A4A"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192</w:t>
            </w:r>
          </w:p>
        </w:tc>
        <w:tc>
          <w:tcPr>
            <w:tcW w:w="817" w:type="dxa"/>
            <w:tcBorders>
              <w:top w:val="nil"/>
              <w:left w:val="nil"/>
              <w:bottom w:val="double" w:sz="6" w:space="0" w:color="auto"/>
              <w:right w:val="nil"/>
            </w:tcBorders>
            <w:shd w:val="clear" w:color="auto" w:fill="auto"/>
            <w:noWrap/>
            <w:vAlign w:val="bottom"/>
            <w:hideMark/>
          </w:tcPr>
          <w:p w14:paraId="5FC7D95B"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130</w:t>
            </w:r>
          </w:p>
        </w:tc>
        <w:tc>
          <w:tcPr>
            <w:tcW w:w="817" w:type="dxa"/>
            <w:tcBorders>
              <w:top w:val="nil"/>
              <w:left w:val="nil"/>
              <w:bottom w:val="double" w:sz="6" w:space="0" w:color="auto"/>
              <w:right w:val="nil"/>
            </w:tcBorders>
            <w:shd w:val="clear" w:color="auto" w:fill="auto"/>
            <w:noWrap/>
            <w:vAlign w:val="bottom"/>
            <w:hideMark/>
          </w:tcPr>
          <w:p w14:paraId="10EA550C"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311</w:t>
            </w:r>
          </w:p>
        </w:tc>
        <w:tc>
          <w:tcPr>
            <w:tcW w:w="817" w:type="dxa"/>
            <w:tcBorders>
              <w:top w:val="nil"/>
              <w:left w:val="nil"/>
              <w:bottom w:val="double" w:sz="6" w:space="0" w:color="auto"/>
              <w:right w:val="nil"/>
            </w:tcBorders>
            <w:shd w:val="clear" w:color="auto" w:fill="auto"/>
            <w:noWrap/>
            <w:vAlign w:val="bottom"/>
            <w:hideMark/>
          </w:tcPr>
          <w:p w14:paraId="08CD70CC"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289</w:t>
            </w:r>
          </w:p>
        </w:tc>
        <w:tc>
          <w:tcPr>
            <w:tcW w:w="1275" w:type="dxa"/>
            <w:tcBorders>
              <w:top w:val="double" w:sz="6" w:space="0" w:color="auto"/>
              <w:left w:val="nil"/>
              <w:bottom w:val="double" w:sz="6" w:space="0" w:color="auto"/>
              <w:right w:val="nil"/>
            </w:tcBorders>
            <w:shd w:val="clear" w:color="auto" w:fill="auto"/>
            <w:noWrap/>
            <w:vAlign w:val="bottom"/>
            <w:hideMark/>
          </w:tcPr>
          <w:p w14:paraId="4C6D07DE" w14:textId="3F4810CC"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FC40F0"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682</w:t>
            </w:r>
          </w:p>
        </w:tc>
      </w:tr>
      <w:tr w:rsidR="00033A3F" w:rsidRPr="00033A3F" w14:paraId="5B959572" w14:textId="77777777" w:rsidTr="004C0D35">
        <w:trPr>
          <w:trHeight w:val="330"/>
        </w:trPr>
        <w:tc>
          <w:tcPr>
            <w:tcW w:w="2080" w:type="dxa"/>
            <w:tcBorders>
              <w:top w:val="nil"/>
              <w:left w:val="nil"/>
              <w:bottom w:val="nil"/>
              <w:right w:val="nil"/>
            </w:tcBorders>
            <w:shd w:val="clear" w:color="auto" w:fill="auto"/>
            <w:noWrap/>
            <w:vAlign w:val="bottom"/>
            <w:hideMark/>
          </w:tcPr>
          <w:p w14:paraId="0CB80AF9" w14:textId="77777777" w:rsidR="00194ABE" w:rsidRPr="00033A3F" w:rsidRDefault="00194ABE" w:rsidP="00194ABE">
            <w:pPr>
              <w:spacing w:line="240" w:lineRule="auto"/>
              <w:jc w:val="center"/>
              <w:rPr>
                <w:rFonts w:eastAsia="Times New Roman"/>
                <w:b/>
                <w:bCs/>
                <w:color w:val="000000" w:themeColor="text1"/>
                <w:szCs w:val="24"/>
                <w:lang w:eastAsia="cs-CZ"/>
              </w:rPr>
            </w:pPr>
          </w:p>
        </w:tc>
        <w:tc>
          <w:tcPr>
            <w:tcW w:w="816" w:type="dxa"/>
            <w:tcBorders>
              <w:top w:val="nil"/>
              <w:left w:val="nil"/>
              <w:bottom w:val="nil"/>
              <w:right w:val="nil"/>
            </w:tcBorders>
            <w:shd w:val="clear" w:color="auto" w:fill="auto"/>
            <w:noWrap/>
            <w:vAlign w:val="bottom"/>
            <w:hideMark/>
          </w:tcPr>
          <w:p w14:paraId="0B89A902"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3B256E32"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26013E0C"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6" w:type="dxa"/>
            <w:tcBorders>
              <w:top w:val="nil"/>
              <w:left w:val="nil"/>
              <w:bottom w:val="nil"/>
              <w:right w:val="nil"/>
            </w:tcBorders>
            <w:shd w:val="clear" w:color="auto" w:fill="auto"/>
            <w:noWrap/>
            <w:vAlign w:val="bottom"/>
            <w:hideMark/>
          </w:tcPr>
          <w:p w14:paraId="18B60996"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1A9A6DF3"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3178CE6E"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029432EC"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1275" w:type="dxa"/>
            <w:tcBorders>
              <w:top w:val="nil"/>
              <w:left w:val="nil"/>
              <w:bottom w:val="nil"/>
              <w:right w:val="nil"/>
            </w:tcBorders>
            <w:shd w:val="clear" w:color="auto" w:fill="auto"/>
            <w:noWrap/>
            <w:vAlign w:val="bottom"/>
            <w:hideMark/>
          </w:tcPr>
          <w:p w14:paraId="0A723CDD"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r>
    </w:tbl>
    <w:p w14:paraId="73F5E14B" w14:textId="4B03874F" w:rsidR="00194ABE" w:rsidRPr="00033A3F" w:rsidRDefault="00194ABE" w:rsidP="00194ABE">
      <w:pPr>
        <w:pStyle w:val="OdstavecASR"/>
        <w:rPr>
          <w:color w:val="000000" w:themeColor="text1"/>
        </w:rPr>
      </w:pPr>
      <w:r w:rsidRPr="00033A3F">
        <w:rPr>
          <w:color w:val="000000" w:themeColor="text1"/>
        </w:rPr>
        <w:t xml:space="preserve">Opět platí, že počet zaměstnanců ve výkonu se odvíjí od systemizace, personální politiky soudů a situace na trhu práce. U krajských soudů je počet zaměstnanců ve výkonu v poměru k počtu </w:t>
      </w:r>
      <w:r w:rsidRPr="00033A3F">
        <w:rPr>
          <w:color w:val="000000" w:themeColor="text1"/>
        </w:rPr>
        <w:lastRenderedPageBreak/>
        <w:t xml:space="preserve">soudců nižší než u okresních soudů. To je důsledkem rozdílnosti zpracovávaných agend (méně práce, kterou lze delegovat na nesoudcovský personál). Po skokovém posílení jejich stavu o 101 zaměstnanců v roce 2017 došlo ke stabilizaci počtů v roce 2018. Z 1 531 v roce 2016 vzrostl počet zaměstnanců ve výkonu na 1 632, tedy asi o 7 %, a v roce 2018 již pouze o 12 osob. Jestliže v roce 2017 byl v zásadě celý růst dán růstem počtu asistentů z 228 na 326, v roce 2018 docházelo zejména k přesunům mezi funkcemi v rámci krajských soudů. V roce 2020 došlo opět k mírnému nárůstu (o 47 osob), a to především u soudů v Praze (MS Praha, KS Praha). Vzrostl především počet VSÚ a zapisovatelek. V roce 2021 se celkový počet zaměstnanců takřka nezměnil – vzrostl o 10 na 1 738. V roce 2022 také došlo k malé změně, počet zaměstnanců klesl o 23 na 1715. V jednotlivých kategoriích došlo k malým posunům. Totéž lze říci o roce 2023, kdy celkový počet zaměstnanců klesl o 16 nad 1 699. V roce 2024 počet zaměstnanců velmi mírně klesl na 1 682 a došlo k určitým přesunům mezi kategoriemi. Přesuny ale spíše souvisejí se změnami v oficiálním názvu </w:t>
      </w:r>
      <w:r w:rsidR="00B161CE" w:rsidRPr="00033A3F">
        <w:rPr>
          <w:color w:val="000000" w:themeColor="text1"/>
        </w:rPr>
        <w:t>pozice,</w:t>
      </w:r>
      <w:r w:rsidRPr="00033A3F">
        <w:rPr>
          <w:color w:val="000000" w:themeColor="text1"/>
        </w:rPr>
        <w:t xml:space="preserve"> ne ve změnách pracovní náplně. </w:t>
      </w:r>
      <w:r w:rsidR="004B3756" w:rsidRPr="00033A3F">
        <w:rPr>
          <w:color w:val="000000" w:themeColor="text1"/>
        </w:rPr>
        <w:t>Ve správě pracovalo 698 zaměst</w:t>
      </w:r>
      <w:r w:rsidR="00FC40F0" w:rsidRPr="00033A3F">
        <w:rPr>
          <w:color w:val="000000" w:themeColor="text1"/>
        </w:rPr>
        <w:t>n</w:t>
      </w:r>
      <w:r w:rsidR="004B3756" w:rsidRPr="00033A3F">
        <w:rPr>
          <w:color w:val="000000" w:themeColor="text1"/>
        </w:rPr>
        <w:t>anců.</w:t>
      </w:r>
    </w:p>
    <w:p w14:paraId="3DA338E2" w14:textId="77777777" w:rsidR="00506350" w:rsidRPr="00033A3F" w:rsidRDefault="00506350" w:rsidP="00506350">
      <w:pPr>
        <w:pStyle w:val="Nadpis3"/>
        <w:numPr>
          <w:ilvl w:val="2"/>
          <w:numId w:val="1"/>
        </w:numPr>
        <w:rPr>
          <w:color w:val="000000" w:themeColor="text1"/>
        </w:rPr>
      </w:pPr>
      <w:bookmarkStart w:id="1061" w:name="_Toc109801362"/>
      <w:bookmarkStart w:id="1062" w:name="_Toc169250827"/>
      <w:bookmarkStart w:id="1063" w:name="_Toc193530989"/>
      <w:bookmarkStart w:id="1064" w:name="_Toc193957045"/>
      <w:bookmarkStart w:id="1065" w:name="_Toc203032735"/>
      <w:r w:rsidRPr="00033A3F">
        <w:rPr>
          <w:color w:val="000000" w:themeColor="text1"/>
        </w:rPr>
        <w:t>Přísedící soudu</w:t>
      </w:r>
      <w:bookmarkEnd w:id="1061"/>
      <w:bookmarkEnd w:id="1062"/>
      <w:bookmarkEnd w:id="1063"/>
      <w:bookmarkEnd w:id="1064"/>
      <w:bookmarkEnd w:id="1065"/>
    </w:p>
    <w:p w14:paraId="5C477D36" w14:textId="5A7DA9E0" w:rsidR="00B161CE" w:rsidRPr="00033A3F" w:rsidRDefault="00775F67" w:rsidP="004C0D35">
      <w:pPr>
        <w:pStyle w:val="OdstavecASR"/>
        <w:rPr>
          <w:color w:val="000000" w:themeColor="text1"/>
        </w:rPr>
      </w:pPr>
      <w:r w:rsidRPr="00033A3F">
        <w:rPr>
          <w:color w:val="000000" w:themeColor="text1"/>
        </w:rPr>
        <w:t>Již několik let</w:t>
      </w:r>
      <w:r w:rsidR="00B161CE" w:rsidRPr="00033A3F">
        <w:rPr>
          <w:color w:val="000000" w:themeColor="text1"/>
        </w:rPr>
        <w:t xml:space="preserve"> jsou k dispozici počty přísedících dle krajů, pohlaví a věku, což umožňuje jejich bližší prozkoumání jak u okresních, tak i u krajských soudů. U krajských soudů přísedící rozhodují v prvostupňovém řízení o trestném činu, na který zákon stanoví trest odnětí svobody, jehož dolní hranice je minimálně pět let (což jsou u krajských soudů v podstatě všechna řízení). Data jsou k 1. 1. 2024. Ve srovnání s rokem 2019, kdy byly počty přísedících publikovány poprvé, se jejich počet zvýšil z 887 na současných 1 041 osob a podíl žen vzrostl z 52,8 % na 54,7 %.</w:t>
      </w:r>
    </w:p>
    <w:p w14:paraId="3D9B7AC0" w14:textId="13619E9A" w:rsidR="00B161CE" w:rsidRPr="00033A3F" w:rsidRDefault="00B161CE" w:rsidP="001B2C7E">
      <w:pPr>
        <w:pStyle w:val="Podnadpis"/>
        <w:numPr>
          <w:ilvl w:val="0"/>
          <w:numId w:val="0"/>
        </w:numPr>
        <w:rPr>
          <w:color w:val="000000" w:themeColor="text1"/>
        </w:rPr>
      </w:pPr>
      <w:bookmarkStart w:id="1066" w:name="_Toc75952344"/>
      <w:bookmarkStart w:id="1067" w:name="_Toc106106802"/>
      <w:bookmarkStart w:id="1068" w:name="_Toc109802125"/>
      <w:bookmarkStart w:id="1069" w:name="_Toc144104282"/>
      <w:bookmarkStart w:id="1070" w:name="_Toc169251094"/>
      <w:bookmarkStart w:id="1071" w:name="_Toc174080780"/>
      <w:bookmarkStart w:id="1072" w:name="_Toc193530910"/>
      <w:bookmarkStart w:id="1073" w:name="_Toc194045606"/>
      <w:bookmarkStart w:id="1074" w:name="_Toc199495016"/>
      <w:bookmarkStart w:id="1075" w:name="_Toc203033077"/>
      <w:bookmarkStart w:id="1076" w:name="_Toc203033155"/>
      <w:r w:rsidRPr="00033A3F">
        <w:rPr>
          <w:color w:val="000000" w:themeColor="text1"/>
        </w:rPr>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35</w:t>
      </w:r>
      <w:r w:rsidRPr="00033A3F">
        <w:rPr>
          <w:color w:val="000000" w:themeColor="text1"/>
        </w:rPr>
        <w:fldChar w:fldCharType="end"/>
      </w:r>
      <w:r w:rsidRPr="00033A3F">
        <w:rPr>
          <w:color w:val="000000" w:themeColor="text1"/>
        </w:rPr>
        <w:t>: KS – počet přísedících dle soudů a pohlaví</w:t>
      </w:r>
      <w:bookmarkEnd w:id="1066"/>
      <w:bookmarkEnd w:id="1067"/>
      <w:bookmarkEnd w:id="1068"/>
      <w:bookmarkEnd w:id="1069"/>
      <w:r w:rsidRPr="00033A3F">
        <w:rPr>
          <w:color w:val="000000" w:themeColor="text1"/>
        </w:rPr>
        <w:t>, 202</w:t>
      </w:r>
      <w:bookmarkEnd w:id="1070"/>
      <w:bookmarkEnd w:id="1071"/>
      <w:r w:rsidRPr="00033A3F">
        <w:rPr>
          <w:color w:val="000000" w:themeColor="text1"/>
        </w:rPr>
        <w:t>4</w:t>
      </w:r>
      <w:bookmarkEnd w:id="1072"/>
      <w:bookmarkEnd w:id="1073"/>
      <w:bookmarkEnd w:id="1074"/>
      <w:bookmarkEnd w:id="1075"/>
      <w:bookmarkEnd w:id="1076"/>
    </w:p>
    <w:tbl>
      <w:tblPr>
        <w:tblW w:w="6540" w:type="dxa"/>
        <w:tblLayout w:type="fixed"/>
        <w:tblCellMar>
          <w:left w:w="70" w:type="dxa"/>
          <w:right w:w="70" w:type="dxa"/>
        </w:tblCellMar>
        <w:tblLook w:val="04A0" w:firstRow="1" w:lastRow="0" w:firstColumn="1" w:lastColumn="0" w:noHBand="0" w:noVBand="1"/>
      </w:tblPr>
      <w:tblGrid>
        <w:gridCol w:w="2220"/>
        <w:gridCol w:w="1620"/>
        <w:gridCol w:w="1620"/>
        <w:gridCol w:w="1080"/>
      </w:tblGrid>
      <w:tr w:rsidR="00033A3F" w:rsidRPr="00033A3F" w14:paraId="70B9787A" w14:textId="77777777" w:rsidTr="004C0D35">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58DF859E" w14:textId="605F23F0" w:rsidR="001B2C7E" w:rsidRPr="00033A3F" w:rsidRDefault="00327519"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1B2C7E" w:rsidRPr="00033A3F">
              <w:rPr>
                <w:rFonts w:eastAsia="Times New Roman"/>
                <w:b/>
                <w:bCs/>
                <w:color w:val="000000" w:themeColor="text1"/>
                <w:szCs w:val="24"/>
                <w:lang w:eastAsia="cs-CZ"/>
              </w:rPr>
              <w:t>oud</w:t>
            </w:r>
          </w:p>
        </w:tc>
        <w:tc>
          <w:tcPr>
            <w:tcW w:w="3240" w:type="dxa"/>
            <w:gridSpan w:val="2"/>
            <w:tcBorders>
              <w:top w:val="double" w:sz="6" w:space="0" w:color="auto"/>
              <w:left w:val="nil"/>
              <w:bottom w:val="nil"/>
              <w:right w:val="nil"/>
            </w:tcBorders>
            <w:shd w:val="clear" w:color="auto" w:fill="auto"/>
            <w:noWrap/>
            <w:vAlign w:val="bottom"/>
            <w:hideMark/>
          </w:tcPr>
          <w:p w14:paraId="1215E833" w14:textId="344A552F"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přísedíc</w:t>
            </w:r>
            <w:r w:rsidR="00FC40F0" w:rsidRPr="00033A3F">
              <w:rPr>
                <w:rFonts w:eastAsia="Times New Roman"/>
                <w:b/>
                <w:bCs/>
                <w:color w:val="000000" w:themeColor="text1"/>
                <w:szCs w:val="24"/>
                <w:lang w:eastAsia="cs-CZ"/>
              </w:rPr>
              <w:t>íc</w:t>
            </w:r>
            <w:r w:rsidRPr="00033A3F">
              <w:rPr>
                <w:rFonts w:eastAsia="Times New Roman"/>
                <w:b/>
                <w:bCs/>
                <w:color w:val="000000" w:themeColor="text1"/>
                <w:szCs w:val="24"/>
                <w:lang w:eastAsia="cs-CZ"/>
              </w:rPr>
              <w:t>h</w:t>
            </w:r>
          </w:p>
        </w:tc>
        <w:tc>
          <w:tcPr>
            <w:tcW w:w="1080" w:type="dxa"/>
            <w:vMerge w:val="restart"/>
            <w:tcBorders>
              <w:top w:val="double" w:sz="6" w:space="0" w:color="auto"/>
              <w:left w:val="nil"/>
              <w:bottom w:val="double" w:sz="6" w:space="0" w:color="000000"/>
              <w:right w:val="nil"/>
            </w:tcBorders>
            <w:shd w:val="clear" w:color="auto" w:fill="auto"/>
            <w:vAlign w:val="center"/>
            <w:hideMark/>
          </w:tcPr>
          <w:p w14:paraId="6D79B248"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Podíl žen v %</w:t>
            </w:r>
          </w:p>
        </w:tc>
      </w:tr>
      <w:tr w:rsidR="00033A3F" w:rsidRPr="00033A3F" w14:paraId="7B8E9CF8" w14:textId="77777777" w:rsidTr="00FC40F0">
        <w:trPr>
          <w:trHeight w:val="330"/>
        </w:trPr>
        <w:tc>
          <w:tcPr>
            <w:tcW w:w="2220" w:type="dxa"/>
            <w:vMerge/>
            <w:tcBorders>
              <w:top w:val="double" w:sz="6" w:space="0" w:color="auto"/>
              <w:left w:val="nil"/>
              <w:bottom w:val="double" w:sz="6" w:space="0" w:color="000000"/>
              <w:right w:val="nil"/>
            </w:tcBorders>
            <w:vAlign w:val="center"/>
            <w:hideMark/>
          </w:tcPr>
          <w:p w14:paraId="164FD822" w14:textId="77777777" w:rsidR="001B2C7E" w:rsidRPr="00033A3F" w:rsidRDefault="001B2C7E" w:rsidP="001B2C7E">
            <w:pPr>
              <w:spacing w:line="240" w:lineRule="auto"/>
              <w:jc w:val="left"/>
              <w:rPr>
                <w:rFonts w:eastAsia="Times New Roman"/>
                <w:b/>
                <w:bCs/>
                <w:color w:val="000000" w:themeColor="text1"/>
                <w:szCs w:val="24"/>
                <w:lang w:eastAsia="cs-CZ"/>
              </w:rPr>
            </w:pPr>
          </w:p>
        </w:tc>
        <w:tc>
          <w:tcPr>
            <w:tcW w:w="1620" w:type="dxa"/>
            <w:tcBorders>
              <w:top w:val="nil"/>
              <w:left w:val="nil"/>
              <w:bottom w:val="double" w:sz="6" w:space="0" w:color="auto"/>
              <w:right w:val="nil"/>
            </w:tcBorders>
            <w:shd w:val="clear" w:color="auto" w:fill="auto"/>
            <w:noWrap/>
            <w:vAlign w:val="bottom"/>
            <w:hideMark/>
          </w:tcPr>
          <w:p w14:paraId="102354EA"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Mužů</w:t>
            </w:r>
          </w:p>
        </w:tc>
        <w:tc>
          <w:tcPr>
            <w:tcW w:w="1620" w:type="dxa"/>
            <w:tcBorders>
              <w:top w:val="nil"/>
              <w:left w:val="nil"/>
              <w:bottom w:val="double" w:sz="6" w:space="0" w:color="auto"/>
              <w:right w:val="nil"/>
            </w:tcBorders>
            <w:shd w:val="clear" w:color="auto" w:fill="auto"/>
            <w:noWrap/>
            <w:vAlign w:val="bottom"/>
            <w:hideMark/>
          </w:tcPr>
          <w:p w14:paraId="367D5034"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Žen</w:t>
            </w:r>
          </w:p>
        </w:tc>
        <w:tc>
          <w:tcPr>
            <w:tcW w:w="1080" w:type="dxa"/>
            <w:vMerge/>
            <w:tcBorders>
              <w:top w:val="double" w:sz="6" w:space="0" w:color="auto"/>
              <w:left w:val="nil"/>
              <w:bottom w:val="double" w:sz="6" w:space="0" w:color="000000"/>
              <w:right w:val="nil"/>
            </w:tcBorders>
            <w:vAlign w:val="center"/>
            <w:hideMark/>
          </w:tcPr>
          <w:p w14:paraId="007AA167" w14:textId="77777777" w:rsidR="001B2C7E" w:rsidRPr="00033A3F" w:rsidRDefault="001B2C7E" w:rsidP="001B2C7E">
            <w:pPr>
              <w:spacing w:line="240" w:lineRule="auto"/>
              <w:jc w:val="left"/>
              <w:rPr>
                <w:rFonts w:eastAsia="Times New Roman"/>
                <w:b/>
                <w:bCs/>
                <w:color w:val="000000" w:themeColor="text1"/>
                <w:szCs w:val="24"/>
                <w:lang w:eastAsia="cs-CZ"/>
              </w:rPr>
            </w:pPr>
          </w:p>
        </w:tc>
      </w:tr>
      <w:tr w:rsidR="00033A3F" w:rsidRPr="00033A3F" w14:paraId="48188616" w14:textId="77777777" w:rsidTr="004C0D35">
        <w:trPr>
          <w:trHeight w:val="330"/>
        </w:trPr>
        <w:tc>
          <w:tcPr>
            <w:tcW w:w="2220" w:type="dxa"/>
            <w:tcBorders>
              <w:top w:val="nil"/>
              <w:left w:val="nil"/>
              <w:bottom w:val="single" w:sz="4" w:space="0" w:color="auto"/>
              <w:right w:val="nil"/>
            </w:tcBorders>
            <w:shd w:val="clear" w:color="auto" w:fill="auto"/>
            <w:noWrap/>
            <w:vAlign w:val="bottom"/>
            <w:hideMark/>
          </w:tcPr>
          <w:p w14:paraId="2928CAE9"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620" w:type="dxa"/>
            <w:tcBorders>
              <w:top w:val="nil"/>
              <w:left w:val="nil"/>
              <w:bottom w:val="single" w:sz="4" w:space="0" w:color="auto"/>
              <w:right w:val="nil"/>
            </w:tcBorders>
            <w:shd w:val="clear" w:color="auto" w:fill="auto"/>
            <w:noWrap/>
            <w:vAlign w:val="bottom"/>
            <w:hideMark/>
          </w:tcPr>
          <w:p w14:paraId="1CFD128E"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129</w:t>
            </w:r>
          </w:p>
        </w:tc>
        <w:tc>
          <w:tcPr>
            <w:tcW w:w="1620" w:type="dxa"/>
            <w:tcBorders>
              <w:top w:val="nil"/>
              <w:left w:val="nil"/>
              <w:bottom w:val="single" w:sz="4" w:space="0" w:color="auto"/>
              <w:right w:val="nil"/>
            </w:tcBorders>
            <w:shd w:val="clear" w:color="auto" w:fill="auto"/>
            <w:noWrap/>
            <w:vAlign w:val="bottom"/>
            <w:hideMark/>
          </w:tcPr>
          <w:p w14:paraId="33BD971F"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131</w:t>
            </w:r>
          </w:p>
        </w:tc>
        <w:tc>
          <w:tcPr>
            <w:tcW w:w="1080" w:type="dxa"/>
            <w:tcBorders>
              <w:top w:val="single" w:sz="4" w:space="0" w:color="auto"/>
              <w:left w:val="nil"/>
              <w:bottom w:val="single" w:sz="4" w:space="0" w:color="auto"/>
              <w:right w:val="nil"/>
            </w:tcBorders>
            <w:shd w:val="clear" w:color="auto" w:fill="auto"/>
            <w:noWrap/>
            <w:vAlign w:val="bottom"/>
            <w:hideMark/>
          </w:tcPr>
          <w:p w14:paraId="0B5B4952" w14:textId="5F287835"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50,38</w:t>
            </w:r>
          </w:p>
        </w:tc>
      </w:tr>
      <w:tr w:rsidR="00033A3F" w:rsidRPr="00033A3F" w14:paraId="564DD22F"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6FDCD5C7"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620" w:type="dxa"/>
            <w:tcBorders>
              <w:top w:val="nil"/>
              <w:left w:val="nil"/>
              <w:bottom w:val="single" w:sz="4" w:space="0" w:color="auto"/>
              <w:right w:val="nil"/>
            </w:tcBorders>
            <w:shd w:val="clear" w:color="auto" w:fill="auto"/>
            <w:noWrap/>
            <w:vAlign w:val="bottom"/>
            <w:hideMark/>
          </w:tcPr>
          <w:p w14:paraId="060220B1"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w:t>
            </w:r>
          </w:p>
        </w:tc>
        <w:tc>
          <w:tcPr>
            <w:tcW w:w="1620" w:type="dxa"/>
            <w:tcBorders>
              <w:top w:val="nil"/>
              <w:left w:val="nil"/>
              <w:bottom w:val="single" w:sz="4" w:space="0" w:color="auto"/>
              <w:right w:val="nil"/>
            </w:tcBorders>
            <w:shd w:val="clear" w:color="auto" w:fill="auto"/>
            <w:noWrap/>
            <w:vAlign w:val="bottom"/>
            <w:hideMark/>
          </w:tcPr>
          <w:p w14:paraId="1AACE146"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w:t>
            </w:r>
          </w:p>
        </w:tc>
        <w:tc>
          <w:tcPr>
            <w:tcW w:w="1080" w:type="dxa"/>
            <w:tcBorders>
              <w:top w:val="nil"/>
              <w:left w:val="nil"/>
              <w:bottom w:val="single" w:sz="4" w:space="0" w:color="auto"/>
              <w:right w:val="nil"/>
            </w:tcBorders>
            <w:shd w:val="clear" w:color="auto" w:fill="auto"/>
            <w:noWrap/>
            <w:vAlign w:val="bottom"/>
            <w:hideMark/>
          </w:tcPr>
          <w:p w14:paraId="754AEC07" w14:textId="288E50D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47,22</w:t>
            </w:r>
          </w:p>
        </w:tc>
      </w:tr>
      <w:tr w:rsidR="00033A3F" w:rsidRPr="00033A3F" w14:paraId="00054FB6"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028548D8"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620" w:type="dxa"/>
            <w:tcBorders>
              <w:top w:val="nil"/>
              <w:left w:val="nil"/>
              <w:bottom w:val="single" w:sz="4" w:space="0" w:color="auto"/>
              <w:right w:val="nil"/>
            </w:tcBorders>
            <w:shd w:val="clear" w:color="auto" w:fill="auto"/>
            <w:noWrap/>
            <w:vAlign w:val="bottom"/>
            <w:hideMark/>
          </w:tcPr>
          <w:p w14:paraId="4E482BEF"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w:t>
            </w:r>
          </w:p>
        </w:tc>
        <w:tc>
          <w:tcPr>
            <w:tcW w:w="1620" w:type="dxa"/>
            <w:tcBorders>
              <w:top w:val="nil"/>
              <w:left w:val="nil"/>
              <w:bottom w:val="single" w:sz="4" w:space="0" w:color="auto"/>
              <w:right w:val="nil"/>
            </w:tcBorders>
            <w:shd w:val="clear" w:color="auto" w:fill="auto"/>
            <w:noWrap/>
            <w:vAlign w:val="bottom"/>
            <w:hideMark/>
          </w:tcPr>
          <w:p w14:paraId="41CA42C6"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080" w:type="dxa"/>
            <w:tcBorders>
              <w:top w:val="nil"/>
              <w:left w:val="nil"/>
              <w:bottom w:val="single" w:sz="4" w:space="0" w:color="auto"/>
              <w:right w:val="nil"/>
            </w:tcBorders>
            <w:shd w:val="clear" w:color="auto" w:fill="auto"/>
            <w:noWrap/>
            <w:vAlign w:val="bottom"/>
            <w:hideMark/>
          </w:tcPr>
          <w:p w14:paraId="07707356" w14:textId="3F820506"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63,64</w:t>
            </w:r>
          </w:p>
        </w:tc>
      </w:tr>
      <w:tr w:rsidR="00033A3F" w:rsidRPr="00033A3F" w14:paraId="0C667EB2"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66CFA5B3"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620" w:type="dxa"/>
            <w:tcBorders>
              <w:top w:val="nil"/>
              <w:left w:val="nil"/>
              <w:bottom w:val="single" w:sz="4" w:space="0" w:color="auto"/>
              <w:right w:val="nil"/>
            </w:tcBorders>
            <w:shd w:val="clear" w:color="auto" w:fill="auto"/>
            <w:noWrap/>
            <w:vAlign w:val="bottom"/>
            <w:hideMark/>
          </w:tcPr>
          <w:p w14:paraId="4714A0CA"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620" w:type="dxa"/>
            <w:tcBorders>
              <w:top w:val="nil"/>
              <w:left w:val="nil"/>
              <w:bottom w:val="single" w:sz="4" w:space="0" w:color="auto"/>
              <w:right w:val="nil"/>
            </w:tcBorders>
            <w:shd w:val="clear" w:color="auto" w:fill="auto"/>
            <w:noWrap/>
            <w:vAlign w:val="bottom"/>
            <w:hideMark/>
          </w:tcPr>
          <w:p w14:paraId="7D694823"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1080" w:type="dxa"/>
            <w:tcBorders>
              <w:top w:val="nil"/>
              <w:left w:val="nil"/>
              <w:bottom w:val="single" w:sz="4" w:space="0" w:color="auto"/>
              <w:right w:val="nil"/>
            </w:tcBorders>
            <w:shd w:val="clear" w:color="auto" w:fill="auto"/>
            <w:noWrap/>
            <w:vAlign w:val="bottom"/>
            <w:hideMark/>
          </w:tcPr>
          <w:p w14:paraId="4B014FFD" w14:textId="0EA6C64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47,14</w:t>
            </w:r>
          </w:p>
        </w:tc>
      </w:tr>
      <w:tr w:rsidR="00033A3F" w:rsidRPr="00033A3F" w14:paraId="084498D7"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531727B6"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620" w:type="dxa"/>
            <w:tcBorders>
              <w:top w:val="nil"/>
              <w:left w:val="nil"/>
              <w:bottom w:val="single" w:sz="4" w:space="0" w:color="auto"/>
              <w:right w:val="nil"/>
            </w:tcBorders>
            <w:shd w:val="clear" w:color="auto" w:fill="auto"/>
            <w:noWrap/>
            <w:vAlign w:val="bottom"/>
            <w:hideMark/>
          </w:tcPr>
          <w:p w14:paraId="3A5B6209"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1620" w:type="dxa"/>
            <w:tcBorders>
              <w:top w:val="nil"/>
              <w:left w:val="nil"/>
              <w:bottom w:val="single" w:sz="4" w:space="0" w:color="auto"/>
              <w:right w:val="nil"/>
            </w:tcBorders>
            <w:shd w:val="clear" w:color="auto" w:fill="auto"/>
            <w:noWrap/>
            <w:vAlign w:val="bottom"/>
            <w:hideMark/>
          </w:tcPr>
          <w:p w14:paraId="5ECCC2D8"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w:t>
            </w:r>
          </w:p>
        </w:tc>
        <w:tc>
          <w:tcPr>
            <w:tcW w:w="1080" w:type="dxa"/>
            <w:tcBorders>
              <w:top w:val="nil"/>
              <w:left w:val="nil"/>
              <w:bottom w:val="single" w:sz="4" w:space="0" w:color="auto"/>
              <w:right w:val="nil"/>
            </w:tcBorders>
            <w:shd w:val="clear" w:color="auto" w:fill="auto"/>
            <w:noWrap/>
            <w:vAlign w:val="bottom"/>
            <w:hideMark/>
          </w:tcPr>
          <w:p w14:paraId="705BAE8F" w14:textId="1EE0EC4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66,67</w:t>
            </w:r>
          </w:p>
        </w:tc>
      </w:tr>
      <w:tr w:rsidR="00033A3F" w:rsidRPr="00033A3F" w14:paraId="32A51A3D"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4AA8315E"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620" w:type="dxa"/>
            <w:tcBorders>
              <w:top w:val="nil"/>
              <w:left w:val="nil"/>
              <w:bottom w:val="single" w:sz="4" w:space="0" w:color="auto"/>
              <w:right w:val="nil"/>
            </w:tcBorders>
            <w:shd w:val="clear" w:color="auto" w:fill="auto"/>
            <w:noWrap/>
            <w:vAlign w:val="bottom"/>
            <w:hideMark/>
          </w:tcPr>
          <w:p w14:paraId="317AC502"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w:t>
            </w:r>
          </w:p>
        </w:tc>
        <w:tc>
          <w:tcPr>
            <w:tcW w:w="1620" w:type="dxa"/>
            <w:tcBorders>
              <w:top w:val="nil"/>
              <w:left w:val="nil"/>
              <w:bottom w:val="single" w:sz="4" w:space="0" w:color="auto"/>
              <w:right w:val="nil"/>
            </w:tcBorders>
            <w:shd w:val="clear" w:color="auto" w:fill="auto"/>
            <w:noWrap/>
            <w:vAlign w:val="bottom"/>
            <w:hideMark/>
          </w:tcPr>
          <w:p w14:paraId="4DE499BE"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w:t>
            </w:r>
          </w:p>
        </w:tc>
        <w:tc>
          <w:tcPr>
            <w:tcW w:w="1080" w:type="dxa"/>
            <w:tcBorders>
              <w:top w:val="nil"/>
              <w:left w:val="nil"/>
              <w:bottom w:val="single" w:sz="4" w:space="0" w:color="auto"/>
              <w:right w:val="nil"/>
            </w:tcBorders>
            <w:shd w:val="clear" w:color="auto" w:fill="auto"/>
            <w:noWrap/>
            <w:vAlign w:val="bottom"/>
            <w:hideMark/>
          </w:tcPr>
          <w:p w14:paraId="55EAFAD1" w14:textId="49E3D4A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48,39</w:t>
            </w:r>
          </w:p>
        </w:tc>
      </w:tr>
      <w:tr w:rsidR="00033A3F" w:rsidRPr="00033A3F" w14:paraId="24EC9C5B"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02EC68BC"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620" w:type="dxa"/>
            <w:tcBorders>
              <w:top w:val="nil"/>
              <w:left w:val="nil"/>
              <w:bottom w:val="single" w:sz="4" w:space="0" w:color="auto"/>
              <w:right w:val="nil"/>
            </w:tcBorders>
            <w:shd w:val="clear" w:color="auto" w:fill="auto"/>
            <w:noWrap/>
            <w:vAlign w:val="bottom"/>
            <w:hideMark/>
          </w:tcPr>
          <w:p w14:paraId="427AAE37"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1620" w:type="dxa"/>
            <w:tcBorders>
              <w:top w:val="nil"/>
              <w:left w:val="nil"/>
              <w:bottom w:val="single" w:sz="4" w:space="0" w:color="auto"/>
              <w:right w:val="nil"/>
            </w:tcBorders>
            <w:shd w:val="clear" w:color="auto" w:fill="auto"/>
            <w:noWrap/>
            <w:vAlign w:val="bottom"/>
            <w:hideMark/>
          </w:tcPr>
          <w:p w14:paraId="777A5D7B"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p>
        </w:tc>
        <w:tc>
          <w:tcPr>
            <w:tcW w:w="1080" w:type="dxa"/>
            <w:tcBorders>
              <w:top w:val="nil"/>
              <w:left w:val="nil"/>
              <w:bottom w:val="single" w:sz="4" w:space="0" w:color="auto"/>
              <w:right w:val="nil"/>
            </w:tcBorders>
            <w:shd w:val="clear" w:color="auto" w:fill="auto"/>
            <w:noWrap/>
            <w:vAlign w:val="bottom"/>
            <w:hideMark/>
          </w:tcPr>
          <w:p w14:paraId="2C611EF0" w14:textId="7AEF9C3D"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54,22</w:t>
            </w:r>
          </w:p>
        </w:tc>
      </w:tr>
      <w:tr w:rsidR="00033A3F" w:rsidRPr="00033A3F" w14:paraId="62777FCA" w14:textId="77777777" w:rsidTr="004C0D35">
        <w:trPr>
          <w:trHeight w:val="330"/>
        </w:trPr>
        <w:tc>
          <w:tcPr>
            <w:tcW w:w="2220" w:type="dxa"/>
            <w:tcBorders>
              <w:top w:val="nil"/>
              <w:left w:val="nil"/>
              <w:bottom w:val="double" w:sz="6" w:space="0" w:color="auto"/>
              <w:right w:val="nil"/>
            </w:tcBorders>
            <w:shd w:val="clear" w:color="auto" w:fill="auto"/>
            <w:noWrap/>
            <w:vAlign w:val="bottom"/>
            <w:hideMark/>
          </w:tcPr>
          <w:p w14:paraId="24370742"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620" w:type="dxa"/>
            <w:tcBorders>
              <w:top w:val="nil"/>
              <w:left w:val="nil"/>
              <w:bottom w:val="double" w:sz="6" w:space="0" w:color="auto"/>
              <w:right w:val="nil"/>
            </w:tcBorders>
            <w:shd w:val="clear" w:color="auto" w:fill="auto"/>
            <w:noWrap/>
            <w:vAlign w:val="bottom"/>
            <w:hideMark/>
          </w:tcPr>
          <w:p w14:paraId="6E1E2B4B"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w:t>
            </w:r>
          </w:p>
        </w:tc>
        <w:tc>
          <w:tcPr>
            <w:tcW w:w="1620" w:type="dxa"/>
            <w:tcBorders>
              <w:top w:val="nil"/>
              <w:left w:val="nil"/>
              <w:bottom w:val="double" w:sz="6" w:space="0" w:color="auto"/>
              <w:right w:val="nil"/>
            </w:tcBorders>
            <w:shd w:val="clear" w:color="auto" w:fill="auto"/>
            <w:noWrap/>
            <w:vAlign w:val="bottom"/>
            <w:hideMark/>
          </w:tcPr>
          <w:p w14:paraId="166FBE8E"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157</w:t>
            </w:r>
          </w:p>
        </w:tc>
        <w:tc>
          <w:tcPr>
            <w:tcW w:w="1080" w:type="dxa"/>
            <w:tcBorders>
              <w:top w:val="nil"/>
              <w:left w:val="nil"/>
              <w:bottom w:val="double" w:sz="6" w:space="0" w:color="auto"/>
              <w:right w:val="nil"/>
            </w:tcBorders>
            <w:shd w:val="clear" w:color="auto" w:fill="auto"/>
            <w:noWrap/>
            <w:vAlign w:val="bottom"/>
            <w:hideMark/>
          </w:tcPr>
          <w:p w14:paraId="57EE0D0D" w14:textId="0C7D8984"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58,58</w:t>
            </w:r>
          </w:p>
        </w:tc>
      </w:tr>
      <w:tr w:rsidR="00033A3F" w:rsidRPr="00033A3F" w14:paraId="5D363BAB" w14:textId="77777777" w:rsidTr="004C0D35">
        <w:trPr>
          <w:trHeight w:val="345"/>
        </w:trPr>
        <w:tc>
          <w:tcPr>
            <w:tcW w:w="2220" w:type="dxa"/>
            <w:tcBorders>
              <w:top w:val="nil"/>
              <w:left w:val="nil"/>
              <w:bottom w:val="double" w:sz="6" w:space="0" w:color="auto"/>
              <w:right w:val="nil"/>
            </w:tcBorders>
            <w:shd w:val="clear" w:color="auto" w:fill="auto"/>
            <w:noWrap/>
            <w:vAlign w:val="bottom"/>
            <w:hideMark/>
          </w:tcPr>
          <w:p w14:paraId="1D6E60F2" w14:textId="77777777" w:rsidR="001B2C7E" w:rsidRPr="00033A3F" w:rsidRDefault="001B2C7E" w:rsidP="001B2C7E">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620" w:type="dxa"/>
            <w:tcBorders>
              <w:top w:val="nil"/>
              <w:left w:val="nil"/>
              <w:bottom w:val="double" w:sz="6" w:space="0" w:color="auto"/>
              <w:right w:val="nil"/>
            </w:tcBorders>
            <w:shd w:val="clear" w:color="auto" w:fill="auto"/>
            <w:noWrap/>
            <w:vAlign w:val="bottom"/>
            <w:hideMark/>
          </w:tcPr>
          <w:p w14:paraId="2E89E15B"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472</w:t>
            </w:r>
          </w:p>
        </w:tc>
        <w:tc>
          <w:tcPr>
            <w:tcW w:w="1620" w:type="dxa"/>
            <w:tcBorders>
              <w:top w:val="nil"/>
              <w:left w:val="nil"/>
              <w:bottom w:val="double" w:sz="6" w:space="0" w:color="auto"/>
              <w:right w:val="nil"/>
            </w:tcBorders>
            <w:shd w:val="clear" w:color="auto" w:fill="auto"/>
            <w:noWrap/>
            <w:vAlign w:val="bottom"/>
            <w:hideMark/>
          </w:tcPr>
          <w:p w14:paraId="7A9737CC"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569</w:t>
            </w:r>
          </w:p>
        </w:tc>
        <w:tc>
          <w:tcPr>
            <w:tcW w:w="1080" w:type="dxa"/>
            <w:tcBorders>
              <w:top w:val="nil"/>
              <w:left w:val="nil"/>
              <w:bottom w:val="double" w:sz="6" w:space="0" w:color="auto"/>
              <w:right w:val="nil"/>
            </w:tcBorders>
            <w:shd w:val="clear" w:color="auto" w:fill="auto"/>
            <w:noWrap/>
            <w:vAlign w:val="bottom"/>
            <w:hideMark/>
          </w:tcPr>
          <w:p w14:paraId="164481DA" w14:textId="7ECFCBE0"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54,66</w:t>
            </w:r>
          </w:p>
        </w:tc>
      </w:tr>
      <w:tr w:rsidR="00033A3F" w:rsidRPr="00033A3F" w14:paraId="374B833D" w14:textId="77777777" w:rsidTr="004C0D35">
        <w:trPr>
          <w:trHeight w:val="345"/>
        </w:trPr>
        <w:tc>
          <w:tcPr>
            <w:tcW w:w="2220" w:type="dxa"/>
            <w:tcBorders>
              <w:top w:val="nil"/>
              <w:left w:val="nil"/>
              <w:bottom w:val="nil"/>
              <w:right w:val="nil"/>
            </w:tcBorders>
            <w:shd w:val="clear" w:color="auto" w:fill="auto"/>
            <w:noWrap/>
            <w:vAlign w:val="bottom"/>
            <w:hideMark/>
          </w:tcPr>
          <w:p w14:paraId="049C0729" w14:textId="77777777" w:rsidR="001B2C7E" w:rsidRPr="00033A3F" w:rsidRDefault="001B2C7E" w:rsidP="001B2C7E">
            <w:pPr>
              <w:spacing w:line="240" w:lineRule="auto"/>
              <w:jc w:val="center"/>
              <w:rPr>
                <w:rFonts w:eastAsia="Times New Roman"/>
                <w:b/>
                <w:bCs/>
                <w:color w:val="000000" w:themeColor="text1"/>
                <w:szCs w:val="24"/>
                <w:lang w:eastAsia="cs-CZ"/>
              </w:rPr>
            </w:pPr>
          </w:p>
        </w:tc>
        <w:tc>
          <w:tcPr>
            <w:tcW w:w="1620" w:type="dxa"/>
            <w:tcBorders>
              <w:top w:val="nil"/>
              <w:left w:val="nil"/>
              <w:bottom w:val="nil"/>
              <w:right w:val="nil"/>
            </w:tcBorders>
            <w:shd w:val="clear" w:color="auto" w:fill="auto"/>
            <w:noWrap/>
            <w:vAlign w:val="bottom"/>
            <w:hideMark/>
          </w:tcPr>
          <w:p w14:paraId="70CB62EB"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620" w:type="dxa"/>
            <w:tcBorders>
              <w:top w:val="nil"/>
              <w:left w:val="nil"/>
              <w:bottom w:val="nil"/>
              <w:right w:val="nil"/>
            </w:tcBorders>
            <w:shd w:val="clear" w:color="auto" w:fill="auto"/>
            <w:noWrap/>
            <w:vAlign w:val="bottom"/>
            <w:hideMark/>
          </w:tcPr>
          <w:p w14:paraId="459EC5F6"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771D3A1E"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r>
    </w:tbl>
    <w:p w14:paraId="39386D34" w14:textId="3CF293A4" w:rsidR="001B2C7E" w:rsidRPr="00033A3F" w:rsidRDefault="001B2C7E" w:rsidP="004C0D35">
      <w:pPr>
        <w:pStyle w:val="OdstavecASR"/>
        <w:rPr>
          <w:color w:val="000000" w:themeColor="text1"/>
        </w:rPr>
      </w:pPr>
      <w:r w:rsidRPr="00033A3F">
        <w:rPr>
          <w:color w:val="000000" w:themeColor="text1"/>
        </w:rPr>
        <w:t>V tabulce na první pohled rozhodně zaujme srovnání s okresními soudy. Podíl mužů, kteří působí jako přísedící, je totiž u krajských soudů výrazně vyšší (45 % vs. 35 %). U tří soudů dokonce působí více mužů než žen. Přísedících je však mnohem méně než u OS, neboť počet věcí, které vyřizují, je násobně nižší, i když agenda KS je náročnější.</w:t>
      </w:r>
    </w:p>
    <w:p w14:paraId="44C23BC8" w14:textId="7FE2B492" w:rsidR="001B2C7E" w:rsidRPr="00033A3F" w:rsidRDefault="001B2C7E" w:rsidP="004C0D35">
      <w:pPr>
        <w:pStyle w:val="OdstavecASR"/>
        <w:rPr>
          <w:color w:val="000000" w:themeColor="text1"/>
        </w:rPr>
      </w:pPr>
      <w:r w:rsidRPr="00033A3F">
        <w:rPr>
          <w:color w:val="000000" w:themeColor="text1"/>
        </w:rPr>
        <w:t>Další tabulka se (stejně jako u OS) zabývá věkovou strukturou. Zatímco struktura dle pohlaví se liší, věková struktura přísedících u OS a přísedících u KS je podobná. U KS je funkce přísedícího rovněž mnohem populárnější u vyšších věkových skupin. Téměř 5</w:t>
      </w:r>
      <w:r w:rsidR="00E85325" w:rsidRPr="00033A3F">
        <w:rPr>
          <w:color w:val="000000" w:themeColor="text1"/>
        </w:rPr>
        <w:t>6</w:t>
      </w:r>
      <w:r w:rsidRPr="00033A3F">
        <w:rPr>
          <w:color w:val="000000" w:themeColor="text1"/>
        </w:rPr>
        <w:t> % (u OS 6</w:t>
      </w:r>
      <w:r w:rsidR="00A76D1D" w:rsidRPr="00033A3F">
        <w:rPr>
          <w:color w:val="000000" w:themeColor="text1"/>
        </w:rPr>
        <w:t>1</w:t>
      </w:r>
      <w:r w:rsidRPr="00033A3F">
        <w:rPr>
          <w:color w:val="000000" w:themeColor="text1"/>
        </w:rPr>
        <w:t> %) přísedících tvoří lidé ve věku 60 let a více, tedy ve většině případů v důchodovém věku. Naopak přísedící ve věku do 39 let tvoří pouze 7,</w:t>
      </w:r>
      <w:r w:rsidR="00A76D1D" w:rsidRPr="00033A3F">
        <w:rPr>
          <w:color w:val="000000" w:themeColor="text1"/>
        </w:rPr>
        <w:t>20</w:t>
      </w:r>
      <w:r w:rsidRPr="00033A3F">
        <w:rPr>
          <w:color w:val="000000" w:themeColor="text1"/>
        </w:rPr>
        <w:t> % (u OS 4,</w:t>
      </w:r>
      <w:r w:rsidR="00A76D1D" w:rsidRPr="00033A3F">
        <w:rPr>
          <w:color w:val="000000" w:themeColor="text1"/>
        </w:rPr>
        <w:t>48</w:t>
      </w:r>
      <w:r w:rsidRPr="00033A3F">
        <w:rPr>
          <w:color w:val="000000" w:themeColor="text1"/>
        </w:rPr>
        <w:t xml:space="preserve"> %). V průměru nejstarší jsou, stejně jako u OS, </w:t>
      </w:r>
      <w:r w:rsidRPr="00033A3F">
        <w:rPr>
          <w:color w:val="000000" w:themeColor="text1"/>
        </w:rPr>
        <w:lastRenderedPageBreak/>
        <w:t>přísedící v Jihočeském kraji. V tomto kraji ale působí u KS málo přísedících (jedná se o nejmenší krajský soud). Od předchozího roku nedošlo ve složení přísedících prakticky k žádné změně.</w:t>
      </w:r>
    </w:p>
    <w:p w14:paraId="552771A4" w14:textId="07AB7D34" w:rsidR="001B2C7E" w:rsidRPr="00033A3F" w:rsidRDefault="001B2C7E" w:rsidP="001B2C7E">
      <w:pPr>
        <w:pStyle w:val="Podnadpis"/>
        <w:rPr>
          <w:color w:val="000000" w:themeColor="text1"/>
        </w:rPr>
      </w:pPr>
      <w:bookmarkStart w:id="1077" w:name="_Toc75952345"/>
      <w:bookmarkStart w:id="1078" w:name="_Toc106106803"/>
      <w:bookmarkStart w:id="1079" w:name="_Toc109802126"/>
      <w:bookmarkStart w:id="1080" w:name="_Toc144104283"/>
      <w:bookmarkStart w:id="1081" w:name="_Toc169251095"/>
      <w:bookmarkStart w:id="1082" w:name="_Toc174080781"/>
      <w:bookmarkStart w:id="1083" w:name="_Toc193530911"/>
      <w:bookmarkStart w:id="1084" w:name="_Toc194045607"/>
      <w:bookmarkStart w:id="1085" w:name="_Toc199495017"/>
      <w:bookmarkStart w:id="1086" w:name="_Toc203033078"/>
      <w:bookmarkStart w:id="1087" w:name="_Toc203033156"/>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36</w:t>
      </w:r>
      <w:r w:rsidRPr="00033A3F">
        <w:rPr>
          <w:noProof/>
          <w:color w:val="000000" w:themeColor="text1"/>
        </w:rPr>
        <w:fldChar w:fldCharType="end"/>
      </w:r>
      <w:r w:rsidRPr="00033A3F">
        <w:rPr>
          <w:color w:val="000000" w:themeColor="text1"/>
        </w:rPr>
        <w:t>: KS – počet přísedících dle soudů a věku</w:t>
      </w:r>
      <w:bookmarkEnd w:id="1077"/>
      <w:bookmarkEnd w:id="1078"/>
      <w:bookmarkEnd w:id="1079"/>
      <w:bookmarkEnd w:id="1080"/>
      <w:r w:rsidRPr="00033A3F">
        <w:rPr>
          <w:color w:val="000000" w:themeColor="text1"/>
        </w:rPr>
        <w:t>, 202</w:t>
      </w:r>
      <w:bookmarkEnd w:id="1081"/>
      <w:bookmarkEnd w:id="1082"/>
      <w:r w:rsidRPr="00033A3F">
        <w:rPr>
          <w:color w:val="000000" w:themeColor="text1"/>
        </w:rPr>
        <w:t>4</w:t>
      </w:r>
      <w:bookmarkEnd w:id="1083"/>
      <w:bookmarkEnd w:id="1084"/>
      <w:bookmarkEnd w:id="1085"/>
      <w:bookmarkEnd w:id="1086"/>
      <w:bookmarkEnd w:id="1087"/>
    </w:p>
    <w:tbl>
      <w:tblPr>
        <w:tblW w:w="7620" w:type="dxa"/>
        <w:tblLayout w:type="fixed"/>
        <w:tblCellMar>
          <w:left w:w="70" w:type="dxa"/>
          <w:right w:w="70" w:type="dxa"/>
        </w:tblCellMar>
        <w:tblLook w:val="04A0" w:firstRow="1" w:lastRow="0" w:firstColumn="1" w:lastColumn="0" w:noHBand="0" w:noVBand="1"/>
      </w:tblPr>
      <w:tblGrid>
        <w:gridCol w:w="2220"/>
        <w:gridCol w:w="1080"/>
        <w:gridCol w:w="1080"/>
        <w:gridCol w:w="1080"/>
        <w:gridCol w:w="1080"/>
        <w:gridCol w:w="1080"/>
      </w:tblGrid>
      <w:tr w:rsidR="00033A3F" w:rsidRPr="00033A3F" w14:paraId="0E7037BD" w14:textId="77777777" w:rsidTr="004C0D35">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40CCBC13" w14:textId="4116D22B" w:rsidR="001B2C7E" w:rsidRPr="00033A3F" w:rsidRDefault="00327519"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1B2C7E" w:rsidRPr="00033A3F">
              <w:rPr>
                <w:rFonts w:eastAsia="Times New Roman"/>
                <w:b/>
                <w:bCs/>
                <w:color w:val="000000" w:themeColor="text1"/>
                <w:szCs w:val="24"/>
                <w:lang w:eastAsia="cs-CZ"/>
              </w:rPr>
              <w:t>oud</w:t>
            </w:r>
          </w:p>
        </w:tc>
        <w:tc>
          <w:tcPr>
            <w:tcW w:w="5400" w:type="dxa"/>
            <w:gridSpan w:val="5"/>
            <w:tcBorders>
              <w:top w:val="double" w:sz="6" w:space="0" w:color="auto"/>
              <w:left w:val="nil"/>
              <w:bottom w:val="nil"/>
              <w:right w:val="nil"/>
            </w:tcBorders>
            <w:shd w:val="clear" w:color="auto" w:fill="auto"/>
            <w:noWrap/>
            <w:vAlign w:val="bottom"/>
            <w:hideMark/>
          </w:tcPr>
          <w:p w14:paraId="0957F575" w14:textId="77777777" w:rsidR="001B2C7E" w:rsidRPr="00033A3F" w:rsidRDefault="001B2C7E" w:rsidP="001B2C7E">
            <w:pPr>
              <w:spacing w:line="240" w:lineRule="auto"/>
              <w:jc w:val="center"/>
              <w:rPr>
                <w:b/>
                <w:color w:val="000000" w:themeColor="text1"/>
              </w:rPr>
            </w:pPr>
            <w:r w:rsidRPr="00033A3F">
              <w:rPr>
                <w:b/>
                <w:color w:val="000000" w:themeColor="text1"/>
              </w:rPr>
              <w:t>Věková skupina (podíl v %)</w:t>
            </w:r>
          </w:p>
        </w:tc>
      </w:tr>
      <w:tr w:rsidR="00033A3F" w:rsidRPr="00033A3F" w14:paraId="4AB188A1" w14:textId="77777777" w:rsidTr="00374D9E">
        <w:trPr>
          <w:trHeight w:val="330"/>
        </w:trPr>
        <w:tc>
          <w:tcPr>
            <w:tcW w:w="2220" w:type="dxa"/>
            <w:vMerge/>
            <w:tcBorders>
              <w:top w:val="double" w:sz="6" w:space="0" w:color="auto"/>
              <w:left w:val="nil"/>
              <w:bottom w:val="double" w:sz="6" w:space="0" w:color="000000"/>
              <w:right w:val="nil"/>
            </w:tcBorders>
            <w:vAlign w:val="center"/>
            <w:hideMark/>
          </w:tcPr>
          <w:p w14:paraId="021703EA" w14:textId="77777777" w:rsidR="001B2C7E" w:rsidRPr="00033A3F" w:rsidRDefault="001B2C7E" w:rsidP="001B2C7E">
            <w:pPr>
              <w:spacing w:line="240" w:lineRule="auto"/>
              <w:jc w:val="left"/>
              <w:rPr>
                <w:rFonts w:eastAsia="Times New Roman"/>
                <w:b/>
                <w:bCs/>
                <w:color w:val="000000" w:themeColor="text1"/>
                <w:szCs w:val="24"/>
                <w:lang w:eastAsia="cs-CZ"/>
              </w:rPr>
            </w:pPr>
          </w:p>
        </w:tc>
        <w:tc>
          <w:tcPr>
            <w:tcW w:w="1080" w:type="dxa"/>
            <w:tcBorders>
              <w:top w:val="nil"/>
              <w:left w:val="nil"/>
              <w:bottom w:val="double" w:sz="6" w:space="0" w:color="auto"/>
              <w:right w:val="nil"/>
            </w:tcBorders>
            <w:shd w:val="clear" w:color="auto" w:fill="auto"/>
            <w:noWrap/>
            <w:vAlign w:val="bottom"/>
            <w:hideMark/>
          </w:tcPr>
          <w:p w14:paraId="47FDC89A" w14:textId="5317C739" w:rsidR="001B2C7E" w:rsidRPr="00033A3F" w:rsidRDefault="001B2C7E" w:rsidP="001B2C7E">
            <w:pPr>
              <w:spacing w:line="240" w:lineRule="auto"/>
              <w:jc w:val="center"/>
              <w:rPr>
                <w:b/>
                <w:color w:val="000000" w:themeColor="text1"/>
              </w:rPr>
            </w:pPr>
            <w:r w:rsidRPr="00033A3F">
              <w:rPr>
                <w:b/>
                <w:color w:val="000000" w:themeColor="text1"/>
              </w:rPr>
              <w:t>30-39</w:t>
            </w:r>
          </w:p>
        </w:tc>
        <w:tc>
          <w:tcPr>
            <w:tcW w:w="1080" w:type="dxa"/>
            <w:tcBorders>
              <w:top w:val="nil"/>
              <w:left w:val="nil"/>
              <w:bottom w:val="double" w:sz="6" w:space="0" w:color="auto"/>
              <w:right w:val="nil"/>
            </w:tcBorders>
            <w:shd w:val="clear" w:color="auto" w:fill="auto"/>
            <w:noWrap/>
            <w:vAlign w:val="bottom"/>
            <w:hideMark/>
          </w:tcPr>
          <w:p w14:paraId="6E05964F" w14:textId="77777777" w:rsidR="001B2C7E" w:rsidRPr="00033A3F" w:rsidRDefault="001B2C7E" w:rsidP="001B2C7E">
            <w:pPr>
              <w:spacing w:line="240" w:lineRule="auto"/>
              <w:jc w:val="center"/>
              <w:rPr>
                <w:b/>
                <w:color w:val="000000" w:themeColor="text1"/>
              </w:rPr>
            </w:pPr>
            <w:r w:rsidRPr="00033A3F">
              <w:rPr>
                <w:b/>
                <w:color w:val="000000" w:themeColor="text1"/>
              </w:rPr>
              <w:t>40-49</w:t>
            </w:r>
          </w:p>
        </w:tc>
        <w:tc>
          <w:tcPr>
            <w:tcW w:w="1080" w:type="dxa"/>
            <w:tcBorders>
              <w:top w:val="nil"/>
              <w:left w:val="nil"/>
              <w:bottom w:val="double" w:sz="6" w:space="0" w:color="auto"/>
              <w:right w:val="nil"/>
            </w:tcBorders>
            <w:shd w:val="clear" w:color="auto" w:fill="auto"/>
            <w:noWrap/>
            <w:vAlign w:val="bottom"/>
            <w:hideMark/>
          </w:tcPr>
          <w:p w14:paraId="676447C9" w14:textId="77777777" w:rsidR="001B2C7E" w:rsidRPr="00033A3F" w:rsidRDefault="001B2C7E" w:rsidP="001B2C7E">
            <w:pPr>
              <w:spacing w:line="240" w:lineRule="auto"/>
              <w:jc w:val="center"/>
              <w:rPr>
                <w:b/>
                <w:color w:val="000000" w:themeColor="text1"/>
              </w:rPr>
            </w:pPr>
            <w:r w:rsidRPr="00033A3F">
              <w:rPr>
                <w:b/>
                <w:color w:val="000000" w:themeColor="text1"/>
              </w:rPr>
              <w:t>50-59</w:t>
            </w:r>
          </w:p>
        </w:tc>
        <w:tc>
          <w:tcPr>
            <w:tcW w:w="1080" w:type="dxa"/>
            <w:tcBorders>
              <w:top w:val="nil"/>
              <w:left w:val="nil"/>
              <w:bottom w:val="double" w:sz="6" w:space="0" w:color="auto"/>
              <w:right w:val="nil"/>
            </w:tcBorders>
            <w:shd w:val="clear" w:color="auto" w:fill="auto"/>
            <w:noWrap/>
            <w:vAlign w:val="bottom"/>
            <w:hideMark/>
          </w:tcPr>
          <w:p w14:paraId="0D22EA3A" w14:textId="77777777" w:rsidR="001B2C7E" w:rsidRPr="00033A3F" w:rsidRDefault="001B2C7E" w:rsidP="001B2C7E">
            <w:pPr>
              <w:spacing w:line="240" w:lineRule="auto"/>
              <w:jc w:val="center"/>
              <w:rPr>
                <w:b/>
                <w:color w:val="000000" w:themeColor="text1"/>
              </w:rPr>
            </w:pPr>
            <w:r w:rsidRPr="00033A3F">
              <w:rPr>
                <w:b/>
                <w:color w:val="000000" w:themeColor="text1"/>
              </w:rPr>
              <w:t>60-69</w:t>
            </w:r>
          </w:p>
        </w:tc>
        <w:tc>
          <w:tcPr>
            <w:tcW w:w="1080" w:type="dxa"/>
            <w:tcBorders>
              <w:top w:val="nil"/>
              <w:left w:val="nil"/>
              <w:bottom w:val="double" w:sz="6" w:space="0" w:color="auto"/>
              <w:right w:val="nil"/>
            </w:tcBorders>
            <w:shd w:val="clear" w:color="auto" w:fill="auto"/>
            <w:noWrap/>
            <w:vAlign w:val="bottom"/>
            <w:hideMark/>
          </w:tcPr>
          <w:p w14:paraId="0F805E62" w14:textId="77777777" w:rsidR="001B2C7E" w:rsidRPr="00033A3F" w:rsidRDefault="001B2C7E" w:rsidP="001B2C7E">
            <w:pPr>
              <w:spacing w:line="240" w:lineRule="auto"/>
              <w:jc w:val="center"/>
              <w:rPr>
                <w:b/>
                <w:color w:val="000000" w:themeColor="text1"/>
              </w:rPr>
            </w:pPr>
            <w:r w:rsidRPr="00033A3F">
              <w:rPr>
                <w:b/>
                <w:color w:val="000000" w:themeColor="text1"/>
              </w:rPr>
              <w:t>70 a více</w:t>
            </w:r>
          </w:p>
        </w:tc>
      </w:tr>
      <w:tr w:rsidR="00033A3F" w:rsidRPr="00033A3F" w14:paraId="3F6F8A95" w14:textId="77777777" w:rsidTr="004C0D35">
        <w:trPr>
          <w:trHeight w:val="330"/>
        </w:trPr>
        <w:tc>
          <w:tcPr>
            <w:tcW w:w="2220" w:type="dxa"/>
            <w:tcBorders>
              <w:top w:val="nil"/>
              <w:left w:val="nil"/>
              <w:bottom w:val="single" w:sz="4" w:space="0" w:color="auto"/>
              <w:right w:val="nil"/>
            </w:tcBorders>
            <w:shd w:val="clear" w:color="auto" w:fill="auto"/>
            <w:noWrap/>
            <w:vAlign w:val="bottom"/>
            <w:hideMark/>
          </w:tcPr>
          <w:p w14:paraId="17D356B7"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21B2763C" w14:textId="70F5FBE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8,85</w:t>
            </w:r>
          </w:p>
        </w:tc>
        <w:tc>
          <w:tcPr>
            <w:tcW w:w="1080" w:type="dxa"/>
            <w:tcBorders>
              <w:top w:val="nil"/>
              <w:left w:val="nil"/>
              <w:bottom w:val="single" w:sz="4" w:space="0" w:color="auto"/>
              <w:right w:val="nil"/>
            </w:tcBorders>
            <w:shd w:val="clear" w:color="auto" w:fill="auto"/>
            <w:noWrap/>
            <w:vAlign w:val="bottom"/>
            <w:hideMark/>
          </w:tcPr>
          <w:p w14:paraId="566EA7C6" w14:textId="44870BA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24,23</w:t>
            </w:r>
          </w:p>
        </w:tc>
        <w:tc>
          <w:tcPr>
            <w:tcW w:w="1080" w:type="dxa"/>
            <w:tcBorders>
              <w:top w:val="nil"/>
              <w:left w:val="nil"/>
              <w:bottom w:val="single" w:sz="4" w:space="0" w:color="auto"/>
              <w:right w:val="nil"/>
            </w:tcBorders>
            <w:shd w:val="clear" w:color="auto" w:fill="auto"/>
            <w:noWrap/>
            <w:vAlign w:val="bottom"/>
            <w:hideMark/>
          </w:tcPr>
          <w:p w14:paraId="6E2737CF" w14:textId="77730A4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26,54</w:t>
            </w:r>
          </w:p>
        </w:tc>
        <w:tc>
          <w:tcPr>
            <w:tcW w:w="1080" w:type="dxa"/>
            <w:tcBorders>
              <w:top w:val="nil"/>
              <w:left w:val="nil"/>
              <w:bottom w:val="single" w:sz="4" w:space="0" w:color="auto"/>
              <w:right w:val="nil"/>
            </w:tcBorders>
            <w:shd w:val="clear" w:color="auto" w:fill="auto"/>
            <w:noWrap/>
            <w:vAlign w:val="bottom"/>
            <w:hideMark/>
          </w:tcPr>
          <w:p w14:paraId="7194FB14" w14:textId="207F9288"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20,38</w:t>
            </w:r>
          </w:p>
        </w:tc>
        <w:tc>
          <w:tcPr>
            <w:tcW w:w="1080" w:type="dxa"/>
            <w:tcBorders>
              <w:top w:val="nil"/>
              <w:left w:val="nil"/>
              <w:bottom w:val="single" w:sz="4" w:space="0" w:color="auto"/>
              <w:right w:val="nil"/>
            </w:tcBorders>
            <w:shd w:val="clear" w:color="auto" w:fill="auto"/>
            <w:noWrap/>
            <w:vAlign w:val="bottom"/>
            <w:hideMark/>
          </w:tcPr>
          <w:p w14:paraId="7B712A45" w14:textId="7FBFBA0A"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20,00</w:t>
            </w:r>
          </w:p>
        </w:tc>
      </w:tr>
      <w:tr w:rsidR="00033A3F" w:rsidRPr="00033A3F" w14:paraId="30F8664B"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35245729"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4E30A25A" w14:textId="33770F53"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6,94</w:t>
            </w:r>
          </w:p>
        </w:tc>
        <w:tc>
          <w:tcPr>
            <w:tcW w:w="1080" w:type="dxa"/>
            <w:tcBorders>
              <w:top w:val="nil"/>
              <w:left w:val="nil"/>
              <w:bottom w:val="single" w:sz="4" w:space="0" w:color="auto"/>
              <w:right w:val="nil"/>
            </w:tcBorders>
            <w:shd w:val="clear" w:color="auto" w:fill="auto"/>
            <w:noWrap/>
            <w:vAlign w:val="bottom"/>
            <w:hideMark/>
          </w:tcPr>
          <w:p w14:paraId="3AD12419" w14:textId="31D7C431"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19,44</w:t>
            </w:r>
          </w:p>
        </w:tc>
        <w:tc>
          <w:tcPr>
            <w:tcW w:w="1080" w:type="dxa"/>
            <w:tcBorders>
              <w:top w:val="nil"/>
              <w:left w:val="nil"/>
              <w:bottom w:val="single" w:sz="4" w:space="0" w:color="auto"/>
              <w:right w:val="nil"/>
            </w:tcBorders>
            <w:shd w:val="clear" w:color="auto" w:fill="auto"/>
            <w:noWrap/>
            <w:vAlign w:val="bottom"/>
            <w:hideMark/>
          </w:tcPr>
          <w:p w14:paraId="04629EEA" w14:textId="17D0396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25,00</w:t>
            </w:r>
          </w:p>
        </w:tc>
        <w:tc>
          <w:tcPr>
            <w:tcW w:w="1080" w:type="dxa"/>
            <w:tcBorders>
              <w:top w:val="nil"/>
              <w:left w:val="nil"/>
              <w:bottom w:val="single" w:sz="4" w:space="0" w:color="auto"/>
              <w:right w:val="nil"/>
            </w:tcBorders>
            <w:shd w:val="clear" w:color="auto" w:fill="auto"/>
            <w:noWrap/>
            <w:vAlign w:val="bottom"/>
            <w:hideMark/>
          </w:tcPr>
          <w:p w14:paraId="56772397" w14:textId="3E7420A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19,44</w:t>
            </w:r>
          </w:p>
        </w:tc>
        <w:tc>
          <w:tcPr>
            <w:tcW w:w="1080" w:type="dxa"/>
            <w:tcBorders>
              <w:top w:val="nil"/>
              <w:left w:val="nil"/>
              <w:bottom w:val="single" w:sz="4" w:space="0" w:color="auto"/>
              <w:right w:val="nil"/>
            </w:tcBorders>
            <w:shd w:val="clear" w:color="auto" w:fill="auto"/>
            <w:noWrap/>
            <w:vAlign w:val="bottom"/>
            <w:hideMark/>
          </w:tcPr>
          <w:p w14:paraId="339D349E" w14:textId="39A56748"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29,17</w:t>
            </w:r>
          </w:p>
        </w:tc>
      </w:tr>
      <w:tr w:rsidR="00033A3F" w:rsidRPr="00033A3F" w14:paraId="1776D7E5"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44791D5E"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80" w:type="dxa"/>
            <w:tcBorders>
              <w:top w:val="nil"/>
              <w:left w:val="nil"/>
              <w:bottom w:val="single" w:sz="4" w:space="0" w:color="auto"/>
              <w:right w:val="nil"/>
            </w:tcBorders>
            <w:shd w:val="clear" w:color="auto" w:fill="auto"/>
            <w:noWrap/>
            <w:vAlign w:val="bottom"/>
            <w:hideMark/>
          </w:tcPr>
          <w:p w14:paraId="75687BFB" w14:textId="2D5464C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9,09</w:t>
            </w:r>
          </w:p>
        </w:tc>
        <w:tc>
          <w:tcPr>
            <w:tcW w:w="1080" w:type="dxa"/>
            <w:tcBorders>
              <w:top w:val="nil"/>
              <w:left w:val="nil"/>
              <w:bottom w:val="single" w:sz="4" w:space="0" w:color="auto"/>
              <w:right w:val="nil"/>
            </w:tcBorders>
            <w:shd w:val="clear" w:color="auto" w:fill="auto"/>
            <w:noWrap/>
            <w:vAlign w:val="bottom"/>
            <w:hideMark/>
          </w:tcPr>
          <w:p w14:paraId="44694E69" w14:textId="4C821471"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6,82</w:t>
            </w:r>
          </w:p>
        </w:tc>
        <w:tc>
          <w:tcPr>
            <w:tcW w:w="1080" w:type="dxa"/>
            <w:tcBorders>
              <w:top w:val="nil"/>
              <w:left w:val="nil"/>
              <w:bottom w:val="single" w:sz="4" w:space="0" w:color="auto"/>
              <w:right w:val="nil"/>
            </w:tcBorders>
            <w:shd w:val="clear" w:color="auto" w:fill="auto"/>
            <w:noWrap/>
            <w:vAlign w:val="bottom"/>
            <w:hideMark/>
          </w:tcPr>
          <w:p w14:paraId="16F1E04C" w14:textId="68DE09C1"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15,91</w:t>
            </w:r>
          </w:p>
        </w:tc>
        <w:tc>
          <w:tcPr>
            <w:tcW w:w="1080" w:type="dxa"/>
            <w:tcBorders>
              <w:top w:val="nil"/>
              <w:left w:val="nil"/>
              <w:bottom w:val="single" w:sz="4" w:space="0" w:color="auto"/>
              <w:right w:val="nil"/>
            </w:tcBorders>
            <w:shd w:val="clear" w:color="auto" w:fill="auto"/>
            <w:noWrap/>
            <w:vAlign w:val="bottom"/>
            <w:hideMark/>
          </w:tcPr>
          <w:p w14:paraId="58368864" w14:textId="2ADA532C"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27,27</w:t>
            </w:r>
          </w:p>
        </w:tc>
        <w:tc>
          <w:tcPr>
            <w:tcW w:w="1080" w:type="dxa"/>
            <w:tcBorders>
              <w:top w:val="nil"/>
              <w:left w:val="nil"/>
              <w:bottom w:val="single" w:sz="4" w:space="0" w:color="auto"/>
              <w:right w:val="nil"/>
            </w:tcBorders>
            <w:shd w:val="clear" w:color="auto" w:fill="auto"/>
            <w:noWrap/>
            <w:vAlign w:val="bottom"/>
            <w:hideMark/>
          </w:tcPr>
          <w:p w14:paraId="3F1B5ACA" w14:textId="10EC1F6C"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40,91</w:t>
            </w:r>
          </w:p>
        </w:tc>
      </w:tr>
      <w:tr w:rsidR="00033A3F" w:rsidRPr="00033A3F" w14:paraId="473319E0"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45451DDE"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0797B7E7" w14:textId="7A09995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11,43</w:t>
            </w:r>
          </w:p>
        </w:tc>
        <w:tc>
          <w:tcPr>
            <w:tcW w:w="1080" w:type="dxa"/>
            <w:tcBorders>
              <w:top w:val="nil"/>
              <w:left w:val="nil"/>
              <w:bottom w:val="single" w:sz="4" w:space="0" w:color="auto"/>
              <w:right w:val="nil"/>
            </w:tcBorders>
            <w:shd w:val="clear" w:color="auto" w:fill="auto"/>
            <w:noWrap/>
            <w:vAlign w:val="bottom"/>
            <w:hideMark/>
          </w:tcPr>
          <w:p w14:paraId="6276BBC2" w14:textId="5DF40E46"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20,00</w:t>
            </w:r>
          </w:p>
        </w:tc>
        <w:tc>
          <w:tcPr>
            <w:tcW w:w="1080" w:type="dxa"/>
            <w:tcBorders>
              <w:top w:val="nil"/>
              <w:left w:val="nil"/>
              <w:bottom w:val="single" w:sz="4" w:space="0" w:color="auto"/>
              <w:right w:val="nil"/>
            </w:tcBorders>
            <w:shd w:val="clear" w:color="auto" w:fill="auto"/>
            <w:noWrap/>
            <w:vAlign w:val="bottom"/>
            <w:hideMark/>
          </w:tcPr>
          <w:p w14:paraId="000DED14" w14:textId="51AF7C5D"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11,43</w:t>
            </w:r>
          </w:p>
        </w:tc>
        <w:tc>
          <w:tcPr>
            <w:tcW w:w="1080" w:type="dxa"/>
            <w:tcBorders>
              <w:top w:val="nil"/>
              <w:left w:val="nil"/>
              <w:bottom w:val="single" w:sz="4" w:space="0" w:color="auto"/>
              <w:right w:val="nil"/>
            </w:tcBorders>
            <w:shd w:val="clear" w:color="auto" w:fill="auto"/>
            <w:noWrap/>
            <w:vAlign w:val="bottom"/>
            <w:hideMark/>
          </w:tcPr>
          <w:p w14:paraId="314CC573" w14:textId="22B9B06C"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24,29</w:t>
            </w:r>
          </w:p>
        </w:tc>
        <w:tc>
          <w:tcPr>
            <w:tcW w:w="1080" w:type="dxa"/>
            <w:tcBorders>
              <w:top w:val="nil"/>
              <w:left w:val="nil"/>
              <w:bottom w:val="single" w:sz="4" w:space="0" w:color="auto"/>
              <w:right w:val="nil"/>
            </w:tcBorders>
            <w:shd w:val="clear" w:color="auto" w:fill="auto"/>
            <w:noWrap/>
            <w:vAlign w:val="bottom"/>
            <w:hideMark/>
          </w:tcPr>
          <w:p w14:paraId="693F948F" w14:textId="68E7A20C"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32,86</w:t>
            </w:r>
          </w:p>
        </w:tc>
      </w:tr>
      <w:tr w:rsidR="00033A3F" w:rsidRPr="00033A3F" w14:paraId="504C3843"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0E747DBF"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80" w:type="dxa"/>
            <w:tcBorders>
              <w:top w:val="nil"/>
              <w:left w:val="nil"/>
              <w:bottom w:val="single" w:sz="4" w:space="0" w:color="auto"/>
              <w:right w:val="nil"/>
            </w:tcBorders>
            <w:shd w:val="clear" w:color="auto" w:fill="auto"/>
            <w:noWrap/>
            <w:vAlign w:val="bottom"/>
            <w:hideMark/>
          </w:tcPr>
          <w:p w14:paraId="2608B3EC" w14:textId="5BADE8BF"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w:t>
            </w:r>
          </w:p>
        </w:tc>
        <w:tc>
          <w:tcPr>
            <w:tcW w:w="1080" w:type="dxa"/>
            <w:tcBorders>
              <w:top w:val="nil"/>
              <w:left w:val="nil"/>
              <w:bottom w:val="single" w:sz="4" w:space="0" w:color="auto"/>
              <w:right w:val="nil"/>
            </w:tcBorders>
            <w:shd w:val="clear" w:color="auto" w:fill="auto"/>
            <w:noWrap/>
            <w:vAlign w:val="bottom"/>
            <w:hideMark/>
          </w:tcPr>
          <w:p w14:paraId="36EB2CAB" w14:textId="1DA129B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11,11</w:t>
            </w:r>
          </w:p>
        </w:tc>
        <w:tc>
          <w:tcPr>
            <w:tcW w:w="1080" w:type="dxa"/>
            <w:tcBorders>
              <w:top w:val="nil"/>
              <w:left w:val="nil"/>
              <w:bottom w:val="single" w:sz="4" w:space="0" w:color="auto"/>
              <w:right w:val="nil"/>
            </w:tcBorders>
            <w:shd w:val="clear" w:color="auto" w:fill="auto"/>
            <w:noWrap/>
            <w:vAlign w:val="bottom"/>
            <w:hideMark/>
          </w:tcPr>
          <w:p w14:paraId="771D5DFB" w14:textId="1B6D467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23,23</w:t>
            </w:r>
          </w:p>
        </w:tc>
        <w:tc>
          <w:tcPr>
            <w:tcW w:w="1080" w:type="dxa"/>
            <w:tcBorders>
              <w:top w:val="nil"/>
              <w:left w:val="nil"/>
              <w:bottom w:val="single" w:sz="4" w:space="0" w:color="auto"/>
              <w:right w:val="nil"/>
            </w:tcBorders>
            <w:shd w:val="clear" w:color="auto" w:fill="auto"/>
            <w:noWrap/>
            <w:vAlign w:val="bottom"/>
            <w:hideMark/>
          </w:tcPr>
          <w:p w14:paraId="3CAB596D" w14:textId="16A8AE98"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29,29</w:t>
            </w:r>
          </w:p>
        </w:tc>
        <w:tc>
          <w:tcPr>
            <w:tcW w:w="1080" w:type="dxa"/>
            <w:tcBorders>
              <w:top w:val="nil"/>
              <w:left w:val="nil"/>
              <w:bottom w:val="single" w:sz="4" w:space="0" w:color="auto"/>
              <w:right w:val="nil"/>
            </w:tcBorders>
            <w:shd w:val="clear" w:color="auto" w:fill="auto"/>
            <w:noWrap/>
            <w:vAlign w:val="bottom"/>
            <w:hideMark/>
          </w:tcPr>
          <w:p w14:paraId="14926C2A" w14:textId="63774705"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34,34</w:t>
            </w:r>
          </w:p>
        </w:tc>
      </w:tr>
      <w:tr w:rsidR="00033A3F" w:rsidRPr="00033A3F" w14:paraId="46980892"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1717343D"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80" w:type="dxa"/>
            <w:tcBorders>
              <w:top w:val="nil"/>
              <w:left w:val="nil"/>
              <w:bottom w:val="single" w:sz="4" w:space="0" w:color="auto"/>
              <w:right w:val="nil"/>
            </w:tcBorders>
            <w:shd w:val="clear" w:color="auto" w:fill="auto"/>
            <w:noWrap/>
            <w:vAlign w:val="bottom"/>
            <w:hideMark/>
          </w:tcPr>
          <w:p w14:paraId="703BD017" w14:textId="16C6FCB8"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1,61</w:t>
            </w:r>
          </w:p>
        </w:tc>
        <w:tc>
          <w:tcPr>
            <w:tcW w:w="1080" w:type="dxa"/>
            <w:tcBorders>
              <w:top w:val="nil"/>
              <w:left w:val="nil"/>
              <w:bottom w:val="single" w:sz="4" w:space="0" w:color="auto"/>
              <w:right w:val="nil"/>
            </w:tcBorders>
            <w:shd w:val="clear" w:color="auto" w:fill="auto"/>
            <w:noWrap/>
            <w:vAlign w:val="bottom"/>
            <w:hideMark/>
          </w:tcPr>
          <w:p w14:paraId="41AAEA95" w14:textId="4593B55A"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6,45</w:t>
            </w:r>
          </w:p>
        </w:tc>
        <w:tc>
          <w:tcPr>
            <w:tcW w:w="1080" w:type="dxa"/>
            <w:tcBorders>
              <w:top w:val="nil"/>
              <w:left w:val="nil"/>
              <w:bottom w:val="single" w:sz="4" w:space="0" w:color="auto"/>
              <w:right w:val="nil"/>
            </w:tcBorders>
            <w:shd w:val="clear" w:color="auto" w:fill="auto"/>
            <w:noWrap/>
            <w:vAlign w:val="bottom"/>
            <w:hideMark/>
          </w:tcPr>
          <w:p w14:paraId="54F62314" w14:textId="153EB26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24,19</w:t>
            </w:r>
          </w:p>
        </w:tc>
        <w:tc>
          <w:tcPr>
            <w:tcW w:w="1080" w:type="dxa"/>
            <w:tcBorders>
              <w:top w:val="nil"/>
              <w:left w:val="nil"/>
              <w:bottom w:val="single" w:sz="4" w:space="0" w:color="auto"/>
              <w:right w:val="nil"/>
            </w:tcBorders>
            <w:shd w:val="clear" w:color="auto" w:fill="auto"/>
            <w:noWrap/>
            <w:vAlign w:val="bottom"/>
            <w:hideMark/>
          </w:tcPr>
          <w:p w14:paraId="01ACA504" w14:textId="4065BC85"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29,03</w:t>
            </w:r>
          </w:p>
        </w:tc>
        <w:tc>
          <w:tcPr>
            <w:tcW w:w="1080" w:type="dxa"/>
            <w:tcBorders>
              <w:top w:val="nil"/>
              <w:left w:val="nil"/>
              <w:bottom w:val="single" w:sz="4" w:space="0" w:color="auto"/>
              <w:right w:val="nil"/>
            </w:tcBorders>
            <w:shd w:val="clear" w:color="auto" w:fill="auto"/>
            <w:noWrap/>
            <w:vAlign w:val="bottom"/>
            <w:hideMark/>
          </w:tcPr>
          <w:p w14:paraId="57432966" w14:textId="4449895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38,71</w:t>
            </w:r>
          </w:p>
        </w:tc>
      </w:tr>
      <w:tr w:rsidR="00033A3F" w:rsidRPr="00033A3F" w14:paraId="6BC801EA"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518DA3B4"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41CE01FD" w14:textId="69E53169"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12,05</w:t>
            </w:r>
          </w:p>
        </w:tc>
        <w:tc>
          <w:tcPr>
            <w:tcW w:w="1080" w:type="dxa"/>
            <w:tcBorders>
              <w:top w:val="nil"/>
              <w:left w:val="nil"/>
              <w:bottom w:val="single" w:sz="4" w:space="0" w:color="auto"/>
              <w:right w:val="nil"/>
            </w:tcBorders>
            <w:shd w:val="clear" w:color="auto" w:fill="auto"/>
            <w:noWrap/>
            <w:vAlign w:val="bottom"/>
            <w:hideMark/>
          </w:tcPr>
          <w:p w14:paraId="172F1956" w14:textId="211FF22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12,65</w:t>
            </w:r>
          </w:p>
        </w:tc>
        <w:tc>
          <w:tcPr>
            <w:tcW w:w="1080" w:type="dxa"/>
            <w:tcBorders>
              <w:top w:val="nil"/>
              <w:left w:val="nil"/>
              <w:bottom w:val="single" w:sz="4" w:space="0" w:color="auto"/>
              <w:right w:val="nil"/>
            </w:tcBorders>
            <w:shd w:val="clear" w:color="auto" w:fill="auto"/>
            <w:noWrap/>
            <w:vAlign w:val="bottom"/>
            <w:hideMark/>
          </w:tcPr>
          <w:p w14:paraId="04EBA43B" w14:textId="0124EA3B"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21,69</w:t>
            </w:r>
          </w:p>
        </w:tc>
        <w:tc>
          <w:tcPr>
            <w:tcW w:w="1080" w:type="dxa"/>
            <w:tcBorders>
              <w:top w:val="nil"/>
              <w:left w:val="nil"/>
              <w:bottom w:val="single" w:sz="4" w:space="0" w:color="auto"/>
              <w:right w:val="nil"/>
            </w:tcBorders>
            <w:shd w:val="clear" w:color="auto" w:fill="auto"/>
            <w:noWrap/>
            <w:vAlign w:val="bottom"/>
            <w:hideMark/>
          </w:tcPr>
          <w:p w14:paraId="5F081072" w14:textId="62FD0424"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27,71</w:t>
            </w:r>
          </w:p>
        </w:tc>
        <w:tc>
          <w:tcPr>
            <w:tcW w:w="1080" w:type="dxa"/>
            <w:tcBorders>
              <w:top w:val="nil"/>
              <w:left w:val="nil"/>
              <w:bottom w:val="single" w:sz="4" w:space="0" w:color="auto"/>
              <w:right w:val="nil"/>
            </w:tcBorders>
            <w:shd w:val="clear" w:color="auto" w:fill="auto"/>
            <w:noWrap/>
            <w:vAlign w:val="bottom"/>
            <w:hideMark/>
          </w:tcPr>
          <w:p w14:paraId="536BDB47" w14:textId="29AD0BD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25,90</w:t>
            </w:r>
          </w:p>
        </w:tc>
      </w:tr>
      <w:tr w:rsidR="00033A3F" w:rsidRPr="00033A3F" w14:paraId="118796D7" w14:textId="77777777" w:rsidTr="004C0D35">
        <w:trPr>
          <w:trHeight w:val="330"/>
        </w:trPr>
        <w:tc>
          <w:tcPr>
            <w:tcW w:w="2220" w:type="dxa"/>
            <w:tcBorders>
              <w:top w:val="nil"/>
              <w:left w:val="nil"/>
              <w:bottom w:val="double" w:sz="6" w:space="0" w:color="auto"/>
              <w:right w:val="nil"/>
            </w:tcBorders>
            <w:shd w:val="clear" w:color="auto" w:fill="auto"/>
            <w:noWrap/>
            <w:vAlign w:val="bottom"/>
            <w:hideMark/>
          </w:tcPr>
          <w:p w14:paraId="72FE6704"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80" w:type="dxa"/>
            <w:tcBorders>
              <w:top w:val="nil"/>
              <w:left w:val="nil"/>
              <w:bottom w:val="double" w:sz="6" w:space="0" w:color="auto"/>
              <w:right w:val="nil"/>
            </w:tcBorders>
            <w:shd w:val="clear" w:color="auto" w:fill="auto"/>
            <w:noWrap/>
            <w:vAlign w:val="bottom"/>
            <w:hideMark/>
          </w:tcPr>
          <w:p w14:paraId="24C2EBC8" w14:textId="32225199"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4,48</w:t>
            </w:r>
          </w:p>
        </w:tc>
        <w:tc>
          <w:tcPr>
            <w:tcW w:w="1080" w:type="dxa"/>
            <w:tcBorders>
              <w:top w:val="nil"/>
              <w:left w:val="nil"/>
              <w:bottom w:val="double" w:sz="6" w:space="0" w:color="auto"/>
              <w:right w:val="nil"/>
            </w:tcBorders>
            <w:shd w:val="clear" w:color="auto" w:fill="auto"/>
            <w:noWrap/>
            <w:vAlign w:val="bottom"/>
            <w:hideMark/>
          </w:tcPr>
          <w:p w14:paraId="64DC1DB6" w14:textId="68E91EF4"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13,43</w:t>
            </w:r>
          </w:p>
        </w:tc>
        <w:tc>
          <w:tcPr>
            <w:tcW w:w="1080" w:type="dxa"/>
            <w:tcBorders>
              <w:top w:val="nil"/>
              <w:left w:val="nil"/>
              <w:bottom w:val="double" w:sz="6" w:space="0" w:color="auto"/>
              <w:right w:val="nil"/>
            </w:tcBorders>
            <w:shd w:val="clear" w:color="auto" w:fill="auto"/>
            <w:noWrap/>
            <w:vAlign w:val="bottom"/>
            <w:hideMark/>
          </w:tcPr>
          <w:p w14:paraId="6B6CC8F3" w14:textId="34020B0A"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17,16</w:t>
            </w:r>
          </w:p>
        </w:tc>
        <w:tc>
          <w:tcPr>
            <w:tcW w:w="1080" w:type="dxa"/>
            <w:tcBorders>
              <w:top w:val="nil"/>
              <w:left w:val="nil"/>
              <w:bottom w:val="double" w:sz="6" w:space="0" w:color="auto"/>
              <w:right w:val="nil"/>
            </w:tcBorders>
            <w:shd w:val="clear" w:color="auto" w:fill="auto"/>
            <w:noWrap/>
            <w:vAlign w:val="bottom"/>
            <w:hideMark/>
          </w:tcPr>
          <w:p w14:paraId="4765F974" w14:textId="19E0D2B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32,09</w:t>
            </w:r>
          </w:p>
        </w:tc>
        <w:tc>
          <w:tcPr>
            <w:tcW w:w="1080" w:type="dxa"/>
            <w:tcBorders>
              <w:top w:val="nil"/>
              <w:left w:val="nil"/>
              <w:bottom w:val="double" w:sz="6" w:space="0" w:color="auto"/>
              <w:right w:val="nil"/>
            </w:tcBorders>
            <w:shd w:val="clear" w:color="auto" w:fill="auto"/>
            <w:noWrap/>
            <w:vAlign w:val="bottom"/>
            <w:hideMark/>
          </w:tcPr>
          <w:p w14:paraId="2E1FB5A0" w14:textId="4227E0BA"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32,84</w:t>
            </w:r>
          </w:p>
        </w:tc>
      </w:tr>
      <w:tr w:rsidR="00033A3F" w:rsidRPr="00033A3F" w14:paraId="035BD1F4" w14:textId="77777777" w:rsidTr="004C0D35">
        <w:trPr>
          <w:trHeight w:val="345"/>
        </w:trPr>
        <w:tc>
          <w:tcPr>
            <w:tcW w:w="2220" w:type="dxa"/>
            <w:tcBorders>
              <w:top w:val="nil"/>
              <w:left w:val="nil"/>
              <w:bottom w:val="double" w:sz="6" w:space="0" w:color="auto"/>
              <w:right w:val="nil"/>
            </w:tcBorders>
            <w:shd w:val="clear" w:color="auto" w:fill="auto"/>
            <w:noWrap/>
            <w:vAlign w:val="bottom"/>
            <w:hideMark/>
          </w:tcPr>
          <w:p w14:paraId="19B2762C" w14:textId="77777777" w:rsidR="001B2C7E" w:rsidRPr="00033A3F" w:rsidRDefault="001B2C7E" w:rsidP="001B2C7E">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80" w:type="dxa"/>
            <w:tcBorders>
              <w:top w:val="nil"/>
              <w:left w:val="nil"/>
              <w:bottom w:val="double" w:sz="6" w:space="0" w:color="auto"/>
              <w:right w:val="nil"/>
            </w:tcBorders>
            <w:shd w:val="clear" w:color="auto" w:fill="auto"/>
            <w:noWrap/>
            <w:vAlign w:val="bottom"/>
            <w:hideMark/>
          </w:tcPr>
          <w:p w14:paraId="6E6C3512" w14:textId="0817CB48"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7,20</w:t>
            </w:r>
          </w:p>
        </w:tc>
        <w:tc>
          <w:tcPr>
            <w:tcW w:w="1080" w:type="dxa"/>
            <w:tcBorders>
              <w:top w:val="nil"/>
              <w:left w:val="nil"/>
              <w:bottom w:val="double" w:sz="6" w:space="0" w:color="auto"/>
              <w:right w:val="nil"/>
            </w:tcBorders>
            <w:shd w:val="clear" w:color="auto" w:fill="auto"/>
            <w:noWrap/>
            <w:vAlign w:val="bottom"/>
            <w:hideMark/>
          </w:tcPr>
          <w:p w14:paraId="483CF17E" w14:textId="524CC78E"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15,95</w:t>
            </w:r>
          </w:p>
        </w:tc>
        <w:tc>
          <w:tcPr>
            <w:tcW w:w="1080" w:type="dxa"/>
            <w:tcBorders>
              <w:top w:val="nil"/>
              <w:left w:val="nil"/>
              <w:bottom w:val="double" w:sz="6" w:space="0" w:color="auto"/>
              <w:right w:val="nil"/>
            </w:tcBorders>
            <w:shd w:val="clear" w:color="auto" w:fill="auto"/>
            <w:noWrap/>
            <w:vAlign w:val="bottom"/>
            <w:hideMark/>
          </w:tcPr>
          <w:p w14:paraId="650955A6" w14:textId="4D2F282F"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21,33</w:t>
            </w:r>
          </w:p>
        </w:tc>
        <w:tc>
          <w:tcPr>
            <w:tcW w:w="1080" w:type="dxa"/>
            <w:tcBorders>
              <w:top w:val="nil"/>
              <w:left w:val="nil"/>
              <w:bottom w:val="double" w:sz="6" w:space="0" w:color="auto"/>
              <w:right w:val="nil"/>
            </w:tcBorders>
            <w:shd w:val="clear" w:color="auto" w:fill="auto"/>
            <w:noWrap/>
            <w:vAlign w:val="bottom"/>
            <w:hideMark/>
          </w:tcPr>
          <w:p w14:paraId="3227AA35" w14:textId="28379A0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26,42</w:t>
            </w:r>
          </w:p>
        </w:tc>
        <w:tc>
          <w:tcPr>
            <w:tcW w:w="1080" w:type="dxa"/>
            <w:tcBorders>
              <w:top w:val="nil"/>
              <w:left w:val="nil"/>
              <w:bottom w:val="double" w:sz="6" w:space="0" w:color="auto"/>
              <w:right w:val="nil"/>
            </w:tcBorders>
            <w:shd w:val="clear" w:color="auto" w:fill="auto"/>
            <w:noWrap/>
            <w:vAlign w:val="bottom"/>
            <w:hideMark/>
          </w:tcPr>
          <w:p w14:paraId="36B9721F" w14:textId="00987379"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29,11</w:t>
            </w:r>
          </w:p>
        </w:tc>
      </w:tr>
      <w:tr w:rsidR="00033A3F" w:rsidRPr="00033A3F" w14:paraId="1A80792C" w14:textId="77777777" w:rsidTr="004C0D35">
        <w:trPr>
          <w:trHeight w:val="330"/>
        </w:trPr>
        <w:tc>
          <w:tcPr>
            <w:tcW w:w="2220" w:type="dxa"/>
            <w:tcBorders>
              <w:top w:val="nil"/>
              <w:left w:val="nil"/>
              <w:bottom w:val="nil"/>
              <w:right w:val="nil"/>
            </w:tcBorders>
            <w:shd w:val="clear" w:color="auto" w:fill="auto"/>
            <w:noWrap/>
            <w:vAlign w:val="bottom"/>
            <w:hideMark/>
          </w:tcPr>
          <w:p w14:paraId="74922413" w14:textId="77777777" w:rsidR="001B2C7E" w:rsidRPr="00033A3F" w:rsidRDefault="001B2C7E" w:rsidP="001B2C7E">
            <w:pPr>
              <w:spacing w:line="240" w:lineRule="auto"/>
              <w:jc w:val="center"/>
              <w:rPr>
                <w:rFonts w:eastAsia="Times New Roman"/>
                <w:b/>
                <w:bCs/>
                <w:color w:val="000000" w:themeColor="text1"/>
                <w:szCs w:val="24"/>
                <w:lang w:eastAsia="cs-CZ"/>
              </w:rPr>
            </w:pPr>
          </w:p>
        </w:tc>
        <w:tc>
          <w:tcPr>
            <w:tcW w:w="1080" w:type="dxa"/>
            <w:tcBorders>
              <w:top w:val="nil"/>
              <w:left w:val="nil"/>
              <w:bottom w:val="nil"/>
              <w:right w:val="nil"/>
            </w:tcBorders>
            <w:shd w:val="clear" w:color="auto" w:fill="auto"/>
            <w:noWrap/>
            <w:vAlign w:val="bottom"/>
            <w:hideMark/>
          </w:tcPr>
          <w:p w14:paraId="257EF413"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12664A75"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79431DE7"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1EDF17FD"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6FA7FC21"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r>
    </w:tbl>
    <w:p w14:paraId="6A7C43F7" w14:textId="795BE32F" w:rsidR="001B2C7E" w:rsidRPr="00033A3F" w:rsidRDefault="001B2C7E" w:rsidP="001B2C7E">
      <w:pPr>
        <w:spacing w:after="160" w:line="259" w:lineRule="auto"/>
        <w:jc w:val="left"/>
        <w:rPr>
          <w:color w:val="000000" w:themeColor="text1"/>
        </w:rPr>
      </w:pPr>
      <w:r w:rsidRPr="00033A3F">
        <w:rPr>
          <w:color w:val="000000" w:themeColor="text1"/>
        </w:rPr>
        <w:br w:type="page"/>
      </w:r>
    </w:p>
    <w:p w14:paraId="21BB7146" w14:textId="6834FC8D" w:rsidR="005A734C" w:rsidRPr="00033A3F" w:rsidRDefault="008430BD" w:rsidP="00BD4804">
      <w:pPr>
        <w:pStyle w:val="Nadpis2"/>
        <w:pageBreakBefore/>
        <w:numPr>
          <w:ilvl w:val="1"/>
          <w:numId w:val="1"/>
        </w:numPr>
        <w:spacing w:before="120"/>
        <w:ind w:left="578" w:hanging="578"/>
      </w:pPr>
      <w:bookmarkStart w:id="1088" w:name="_Toc515871248"/>
      <w:bookmarkStart w:id="1089" w:name="_Toc106092752"/>
      <w:bookmarkStart w:id="1090" w:name="_Toc169250828"/>
      <w:bookmarkStart w:id="1091" w:name="_Toc193530990"/>
      <w:bookmarkStart w:id="1092" w:name="_Toc193957046"/>
      <w:bookmarkStart w:id="1093" w:name="_Toc203032736"/>
      <w:r w:rsidRPr="00033A3F">
        <w:lastRenderedPageBreak/>
        <w:t>Prvostupňová civilní a obchodní agenda</w:t>
      </w:r>
      <w:bookmarkEnd w:id="1088"/>
      <w:bookmarkEnd w:id="1089"/>
      <w:bookmarkEnd w:id="1090"/>
      <w:bookmarkEnd w:id="1091"/>
      <w:bookmarkEnd w:id="1092"/>
      <w:bookmarkEnd w:id="1093"/>
    </w:p>
    <w:p w14:paraId="2C1A3DA4" w14:textId="77777777" w:rsidR="00A76D1D" w:rsidRPr="00033A3F" w:rsidRDefault="00A76D1D" w:rsidP="00A76D1D">
      <w:pPr>
        <w:pStyle w:val="OdstavecASR"/>
        <w:rPr>
          <w:color w:val="000000" w:themeColor="text1"/>
        </w:rPr>
      </w:pPr>
      <w:r w:rsidRPr="00033A3F">
        <w:rPr>
          <w:color w:val="000000" w:themeColor="text1"/>
        </w:rPr>
        <w:t>Krajské soudy vyřizují podobně jako okresní soudy větší množství typů prvostupňové agendy. Na rozdíl od okresních soudů vyřizují krajské soudy s výjimkou KS Praha též věci veřejných rejstříků právnických a fyzických osob, evidence svěřenských fondů a evidence skutečných majitelů. Tato podkapitola se věnuje prvostupňové civilní (občanskoprávní) a obchodní agendě. V rámci této zprávy se jedná o rejstříky označené jako C, EC, Cm a ECm. Ve vedení statistik došlo k podobným změnám jako u OS, což se do určité míry projeví i v časových řadách, a to i přes snahu data o tyto změny očistit. Data, která se týkají délek řízení a dalších statistik, byla opět v největší možné míře očištěna o rozkazní řízení.</w:t>
      </w:r>
    </w:p>
    <w:p w14:paraId="05BB9765" w14:textId="77777777" w:rsidR="00A76D1D" w:rsidRPr="00033A3F" w:rsidRDefault="00A76D1D" w:rsidP="00A76D1D">
      <w:pPr>
        <w:pStyle w:val="Nadpis3"/>
        <w:numPr>
          <w:ilvl w:val="2"/>
          <w:numId w:val="1"/>
        </w:numPr>
        <w:rPr>
          <w:color w:val="000000" w:themeColor="text1"/>
        </w:rPr>
      </w:pPr>
      <w:bookmarkStart w:id="1094" w:name="_Toc75952087"/>
      <w:bookmarkStart w:id="1095" w:name="_Ref103764802"/>
      <w:bookmarkStart w:id="1096" w:name="_Ref103764829"/>
      <w:bookmarkStart w:id="1097" w:name="_Toc106092753"/>
      <w:bookmarkStart w:id="1098" w:name="_Toc169250829"/>
      <w:bookmarkStart w:id="1099" w:name="_Toc174080865"/>
      <w:bookmarkStart w:id="1100" w:name="_Toc193530991"/>
      <w:bookmarkStart w:id="1101" w:name="_Toc193957047"/>
      <w:bookmarkStart w:id="1102" w:name="_Toc203032737"/>
      <w:r w:rsidRPr="00033A3F">
        <w:rPr>
          <w:color w:val="000000" w:themeColor="text1"/>
        </w:rPr>
        <w:t>Délka řízení</w:t>
      </w:r>
      <w:bookmarkEnd w:id="1094"/>
      <w:bookmarkEnd w:id="1095"/>
      <w:bookmarkEnd w:id="1096"/>
      <w:bookmarkEnd w:id="1097"/>
      <w:bookmarkEnd w:id="1098"/>
      <w:bookmarkEnd w:id="1099"/>
      <w:bookmarkEnd w:id="1100"/>
      <w:bookmarkEnd w:id="1101"/>
      <w:bookmarkEnd w:id="1102"/>
    </w:p>
    <w:p w14:paraId="2417C04C" w14:textId="77777777" w:rsidR="00C37722" w:rsidRPr="00033A3F" w:rsidRDefault="00C37722" w:rsidP="00C37722">
      <w:pPr>
        <w:pStyle w:val="OdstavecASR"/>
        <w:rPr>
          <w:color w:val="000000" w:themeColor="text1"/>
        </w:rPr>
      </w:pPr>
      <w:r w:rsidRPr="00033A3F">
        <w:rPr>
          <w:color w:val="000000" w:themeColor="text1"/>
        </w:rPr>
        <w:t>Uvádíme délky řízení v kalendářních dnech ode dne nápadu do dne konečného vyřízení soudem I. stupně zjištěné ze statistických listů.</w:t>
      </w:r>
    </w:p>
    <w:p w14:paraId="3E38F236" w14:textId="77777777" w:rsidR="00C37722" w:rsidRPr="00033A3F" w:rsidRDefault="00C37722" w:rsidP="00C37722">
      <w:pPr>
        <w:pStyle w:val="OdstavecASR"/>
        <w:rPr>
          <w:color w:val="000000" w:themeColor="text1"/>
        </w:rPr>
      </w:pPr>
      <w:r w:rsidRPr="00033A3F">
        <w:rPr>
          <w:color w:val="000000" w:themeColor="text1"/>
        </w:rPr>
        <w:t xml:space="preserve">Data byla očištěna o věci s předmětem </w:t>
      </w:r>
      <w:bookmarkStart w:id="1103" w:name="_Hlk98502272"/>
      <w:r w:rsidRPr="00033A3F">
        <w:rPr>
          <w:color w:val="000000" w:themeColor="text1"/>
        </w:rPr>
        <w:t xml:space="preserve">sporu </w:t>
      </w:r>
      <w:r w:rsidRPr="00033A3F">
        <w:rPr>
          <w:i/>
          <w:color w:val="000000" w:themeColor="text1"/>
        </w:rPr>
        <w:t>právní vztahy související se zrušením a likvidací obchodní korporace</w:t>
      </w:r>
      <w:r w:rsidRPr="00033A3F">
        <w:rPr>
          <w:color w:val="000000" w:themeColor="text1"/>
        </w:rPr>
        <w:t>.</w:t>
      </w:r>
      <w:bookmarkEnd w:id="1103"/>
      <w:r w:rsidRPr="00033A3F">
        <w:rPr>
          <w:color w:val="000000" w:themeColor="text1"/>
        </w:rPr>
        <w:t xml:space="preserve"> Přestože se může jednat o administrativně náročnou agendu, především v Praze se velmi často vyskytují jednoduché a rychle vyřízené věci. Právě u tohoto soudu přitom došlo v roce 2017 k velkému nárůstu v počtu pravomocně skončených věcí (nárůst o 176 %), což samozřejmě značně ovlivňuje vykazovanou délku řízení – výrazně ji to snižuje. Stejně tak má tato kategorie sporů významný vliv na míru odvolání. Po úvaze byla proto především z důvodu zachování srovnatelnosti mezi soudními kraji a roky data využitá v této zprávě o uvedený typ sporu očištěna.</w:t>
      </w:r>
    </w:p>
    <w:p w14:paraId="29B0C9DA" w14:textId="3CF41B64" w:rsidR="00C37722" w:rsidRPr="00033A3F" w:rsidRDefault="00C37722" w:rsidP="004C0D35">
      <w:pPr>
        <w:pStyle w:val="OdstavecASR"/>
        <w:rPr>
          <w:color w:val="000000" w:themeColor="text1"/>
        </w:rPr>
      </w:pPr>
      <w:r w:rsidRPr="00033A3F">
        <w:rPr>
          <w:color w:val="000000" w:themeColor="text1"/>
        </w:rPr>
        <w:t xml:space="preserve">V roce 2021 došlo k další úpravě metodiky. Data byla po úvaze očištěna i o spory s předmětem sporu </w:t>
      </w:r>
      <w:bookmarkStart w:id="1104" w:name="_Hlk98502296"/>
      <w:r w:rsidRPr="00033A3F">
        <w:rPr>
          <w:i/>
          <w:color w:val="000000" w:themeColor="text1"/>
        </w:rPr>
        <w:t>zrušení a jmenování likvidátora u jiných korporací (spolky, odborové organizace atd.)</w:t>
      </w:r>
      <w:r w:rsidRPr="00033A3F">
        <w:rPr>
          <w:color w:val="000000" w:themeColor="text1"/>
        </w:rPr>
        <w:t xml:space="preserve">. </w:t>
      </w:r>
      <w:bookmarkEnd w:id="1104"/>
      <w:r w:rsidRPr="00033A3F">
        <w:rPr>
          <w:color w:val="000000" w:themeColor="text1"/>
        </w:rPr>
        <w:t>Podobně jako u </w:t>
      </w:r>
      <w:r w:rsidRPr="00033A3F">
        <w:rPr>
          <w:i/>
          <w:color w:val="000000" w:themeColor="text1"/>
        </w:rPr>
        <w:t xml:space="preserve">právních vztahů souvisejících se zrušením a likvidací obchodní korporace </w:t>
      </w:r>
      <w:r w:rsidRPr="00033A3F">
        <w:rPr>
          <w:color w:val="000000" w:themeColor="text1"/>
        </w:rPr>
        <w:t xml:space="preserve">se nejedná o typický obchodní spor a délka řízení je u těchto sporů výrazně kratší. V roce 2021 došlo asi k trojnásobnému nárůstu v počtu těchto řízení oproti roku 2020, a to především u MS Praha, částečně pak u KS Brno a KS Hradec Králové. Bez očištění dat by došlo k výraznému poklesu délky řízení (opět především u MS Praha). Pokles délky řízení by nicméně plynul právě pouze ze změny ve složení agendy, nikoliv ze zrychlení vyřizování věcí obecně. Pro ilustraci – po očištění o tento předmět sporu u MS Praha vykázal mediánovou délku řízení 334 dnů v roce 2020 a 321 v roce 2021. Bez očištění by ale vykázal délky řízení 260 v roce 2020 a 125 v roce 2021. Zahrnutí tohoto předmětu sporu by tedy (opět) výrazně zkreslilo jak porovnání mezi soudy, tak i porovnání mezi roky. Z tohoto důvodu byla data o tento spor očištěna. Očištění </w:t>
      </w:r>
      <w:r w:rsidR="00F61880" w:rsidRPr="00033A3F">
        <w:rPr>
          <w:color w:val="000000" w:themeColor="text1"/>
        </w:rPr>
        <w:t>bylo</w:t>
      </w:r>
      <w:r w:rsidRPr="00033A3F">
        <w:rPr>
          <w:color w:val="000000" w:themeColor="text1"/>
        </w:rPr>
        <w:t xml:space="preserve"> zpětně aplikováno i na předchozí roky</w:t>
      </w:r>
      <w:r w:rsidR="00E13195" w:rsidRPr="00033A3F">
        <w:rPr>
          <w:color w:val="000000" w:themeColor="text1"/>
        </w:rPr>
        <w:t>.</w:t>
      </w:r>
    </w:p>
    <w:p w14:paraId="7E3C6790" w14:textId="213AB54E" w:rsidR="00754E1D" w:rsidRPr="00033A3F" w:rsidRDefault="00C37722" w:rsidP="00C37722">
      <w:pPr>
        <w:pStyle w:val="Podnadpis"/>
        <w:numPr>
          <w:ilvl w:val="0"/>
          <w:numId w:val="0"/>
        </w:numPr>
        <w:rPr>
          <w:color w:val="000000" w:themeColor="text1"/>
        </w:rPr>
      </w:pPr>
      <w:bookmarkStart w:id="1105" w:name="_Toc43841430"/>
      <w:bookmarkStart w:id="1106" w:name="_Toc75952234"/>
      <w:bookmarkStart w:id="1107" w:name="_Toc106106690"/>
      <w:bookmarkStart w:id="1108" w:name="_Toc109802014"/>
      <w:bookmarkStart w:id="1109" w:name="_Toc144104164"/>
      <w:bookmarkStart w:id="1110" w:name="_Toc169250976"/>
      <w:bookmarkStart w:id="1111" w:name="_Toc174080662"/>
      <w:bookmarkStart w:id="1112" w:name="_Toc193530813"/>
      <w:bookmarkStart w:id="1113" w:name="_Toc193634087"/>
      <w:bookmarkStart w:id="1114" w:name="_Toc203032885"/>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58</w:t>
      </w:r>
      <w:r w:rsidRPr="00033A3F">
        <w:rPr>
          <w:color w:val="000000" w:themeColor="text1"/>
        </w:rPr>
        <w:fldChar w:fldCharType="end"/>
      </w:r>
      <w:r w:rsidRPr="00033A3F">
        <w:rPr>
          <w:color w:val="000000" w:themeColor="text1"/>
        </w:rPr>
        <w:t>: KS – délka prvostupňového civilního řízení v letech 2015–20</w:t>
      </w:r>
      <w:bookmarkEnd w:id="1105"/>
      <w:r w:rsidRPr="00033A3F">
        <w:rPr>
          <w:color w:val="000000" w:themeColor="text1"/>
        </w:rPr>
        <w:t>2</w:t>
      </w:r>
      <w:bookmarkEnd w:id="1106"/>
      <w:bookmarkEnd w:id="1107"/>
      <w:bookmarkEnd w:id="1108"/>
      <w:bookmarkEnd w:id="1109"/>
      <w:bookmarkEnd w:id="1110"/>
      <w:bookmarkEnd w:id="1111"/>
      <w:r w:rsidRPr="00033A3F">
        <w:rPr>
          <w:color w:val="000000" w:themeColor="text1"/>
        </w:rPr>
        <w:t>4</w:t>
      </w:r>
      <w:bookmarkEnd w:id="1112"/>
      <w:bookmarkEnd w:id="1113"/>
      <w:bookmarkEnd w:id="1114"/>
    </w:p>
    <w:p w14:paraId="2D243955" w14:textId="2389A26D" w:rsidR="00754E1D" w:rsidRPr="00033A3F" w:rsidRDefault="00BF04E8" w:rsidP="00BF04E8">
      <w:pPr>
        <w:spacing w:after="160" w:line="259" w:lineRule="auto"/>
        <w:jc w:val="left"/>
        <w:rPr>
          <w:color w:val="000000" w:themeColor="text1"/>
        </w:rPr>
      </w:pPr>
      <w:r w:rsidRPr="00033A3F">
        <w:rPr>
          <w:noProof/>
          <w:color w:val="000000" w:themeColor="text1"/>
          <w:lang w:eastAsia="cs-CZ"/>
        </w:rPr>
        <w:drawing>
          <wp:inline distT="0" distB="0" distL="0" distR="0" wp14:anchorId="24722C7A" wp14:editId="075C9017">
            <wp:extent cx="5029200" cy="3657600"/>
            <wp:effectExtent l="0" t="0" r="0" b="0"/>
            <wp:docPr id="196095585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DEDFA22" w14:textId="35A1CFEC" w:rsidR="00754E1D" w:rsidRPr="00033A3F" w:rsidRDefault="00754E1D" w:rsidP="00754E1D">
      <w:pPr>
        <w:pStyle w:val="OdstavecASR"/>
        <w:rPr>
          <w:color w:val="000000" w:themeColor="text1"/>
        </w:rPr>
      </w:pPr>
      <w:r w:rsidRPr="00033A3F">
        <w:rPr>
          <w:color w:val="000000" w:themeColor="text1"/>
        </w:rPr>
        <w:t xml:space="preserve">Medián je </w:t>
      </w:r>
      <w:r w:rsidR="00507AE3" w:rsidRPr="00033A3F">
        <w:rPr>
          <w:color w:val="000000" w:themeColor="text1"/>
        </w:rPr>
        <w:t>z dlouhodobého hlediska r</w:t>
      </w:r>
      <w:r w:rsidR="00185A06">
        <w:rPr>
          <w:color w:val="000000" w:themeColor="text1"/>
        </w:rPr>
        <w:t>ela</w:t>
      </w:r>
      <w:r w:rsidR="00507AE3" w:rsidRPr="00033A3F">
        <w:rPr>
          <w:color w:val="000000" w:themeColor="text1"/>
        </w:rPr>
        <w:t xml:space="preserve">tivně </w:t>
      </w:r>
      <w:r w:rsidRPr="00033A3F">
        <w:rPr>
          <w:color w:val="000000" w:themeColor="text1"/>
        </w:rPr>
        <w:t>stabilní</w:t>
      </w:r>
      <w:r w:rsidR="00507AE3" w:rsidRPr="00033A3F">
        <w:rPr>
          <w:rStyle w:val="Znakapoznpodarou"/>
          <w:color w:val="000000" w:themeColor="text1"/>
        </w:rPr>
        <w:footnoteReference w:id="13"/>
      </w:r>
      <w:r w:rsidRPr="00033A3F">
        <w:rPr>
          <w:color w:val="000000" w:themeColor="text1"/>
        </w:rPr>
        <w:t>, průměr už méně a percentil 90 v celém sledovaném období vysoce nestabilní – mezi rokem 2021 a 202</w:t>
      </w:r>
      <w:r w:rsidR="00721EB6" w:rsidRPr="00033A3F">
        <w:rPr>
          <w:color w:val="000000" w:themeColor="text1"/>
        </w:rPr>
        <w:t>4</w:t>
      </w:r>
      <w:r w:rsidRPr="00033A3F">
        <w:rPr>
          <w:color w:val="000000" w:themeColor="text1"/>
        </w:rPr>
        <w:t xml:space="preserve"> tak například poklesl o </w:t>
      </w:r>
      <w:r w:rsidR="00721EB6" w:rsidRPr="00033A3F">
        <w:rPr>
          <w:color w:val="000000" w:themeColor="text1"/>
        </w:rPr>
        <w:t>92</w:t>
      </w:r>
      <w:r w:rsidRPr="00033A3F">
        <w:rPr>
          <w:color w:val="000000" w:themeColor="text1"/>
        </w:rPr>
        <w:t xml:space="preserve"> %.</w:t>
      </w:r>
      <w:r w:rsidR="00721EB6" w:rsidRPr="00033A3F">
        <w:rPr>
          <w:color w:val="000000" w:themeColor="text1"/>
        </w:rPr>
        <w:t xml:space="preserve"> Na roku 2024 je také zajímavý fakt, že průměr a percentil 90 poměrně značně poklesly a medián naopak </w:t>
      </w:r>
      <w:r w:rsidR="00631987" w:rsidRPr="00033A3F">
        <w:rPr>
          <w:color w:val="000000" w:themeColor="text1"/>
        </w:rPr>
        <w:t>poměrně výrazně</w:t>
      </w:r>
      <w:r w:rsidR="00721EB6" w:rsidRPr="00033A3F">
        <w:rPr>
          <w:color w:val="000000" w:themeColor="text1"/>
        </w:rPr>
        <w:t xml:space="preserve"> vzrostl. Pokles v průměru </w:t>
      </w:r>
      <w:r w:rsidR="00374D9E" w:rsidRPr="00033A3F">
        <w:rPr>
          <w:color w:val="000000" w:themeColor="text1"/>
        </w:rPr>
        <w:t>a </w:t>
      </w:r>
      <w:r w:rsidR="00721EB6" w:rsidRPr="00033A3F">
        <w:rPr>
          <w:color w:val="000000" w:themeColor="text1"/>
        </w:rPr>
        <w:t xml:space="preserve">percentilu 90 ale může být způsobem prostě jen tím, že pravomocně bylo skončeno méně věcí, </w:t>
      </w:r>
      <w:r w:rsidR="00C34598" w:rsidRPr="00033A3F">
        <w:rPr>
          <w:color w:val="000000" w:themeColor="text1"/>
        </w:rPr>
        <w:t xml:space="preserve">které </w:t>
      </w:r>
      <w:r w:rsidR="00721EB6" w:rsidRPr="00033A3F">
        <w:rPr>
          <w:color w:val="000000" w:themeColor="text1"/>
        </w:rPr>
        <w:t>byly</w:t>
      </w:r>
      <w:r w:rsidR="00C34598" w:rsidRPr="00033A3F">
        <w:rPr>
          <w:color w:val="000000" w:themeColor="text1"/>
        </w:rPr>
        <w:t xml:space="preserve"> dříve</w:t>
      </w:r>
      <w:r w:rsidR="00721EB6" w:rsidRPr="00033A3F">
        <w:rPr>
          <w:color w:val="000000" w:themeColor="text1"/>
        </w:rPr>
        <w:t xml:space="preserve"> přerušeny (více viz níže).</w:t>
      </w:r>
    </w:p>
    <w:p w14:paraId="6DA1C17E" w14:textId="25676046" w:rsidR="00754E1D" w:rsidRPr="00033A3F" w:rsidRDefault="00754E1D" w:rsidP="00754E1D">
      <w:pPr>
        <w:pStyle w:val="Podnadpis"/>
        <w:rPr>
          <w:color w:val="000000" w:themeColor="text1"/>
        </w:rPr>
      </w:pPr>
      <w:bookmarkStart w:id="1115" w:name="_Toc144104284"/>
      <w:bookmarkStart w:id="1116" w:name="_Toc169251096"/>
      <w:bookmarkStart w:id="1117" w:name="_Toc174080782"/>
      <w:bookmarkStart w:id="1118" w:name="_Toc193530912"/>
      <w:bookmarkStart w:id="1119" w:name="_Toc194045608"/>
      <w:bookmarkStart w:id="1120" w:name="_Toc199495018"/>
      <w:bookmarkStart w:id="1121" w:name="_Toc203033079"/>
      <w:bookmarkStart w:id="1122" w:name="_Toc203033157"/>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37</w:t>
      </w:r>
      <w:r w:rsidRPr="00033A3F">
        <w:rPr>
          <w:noProof/>
          <w:color w:val="000000" w:themeColor="text1"/>
        </w:rPr>
        <w:fldChar w:fldCharType="end"/>
      </w:r>
      <w:r w:rsidRPr="00033A3F">
        <w:rPr>
          <w:color w:val="000000" w:themeColor="text1"/>
        </w:rPr>
        <w:t>: KS – délky prvostupňového civilního řízení dle soudů</w:t>
      </w:r>
      <w:bookmarkEnd w:id="1115"/>
      <w:r w:rsidRPr="00033A3F">
        <w:rPr>
          <w:color w:val="000000" w:themeColor="text1"/>
        </w:rPr>
        <w:t>, 202</w:t>
      </w:r>
      <w:bookmarkEnd w:id="1116"/>
      <w:bookmarkEnd w:id="1117"/>
      <w:r w:rsidRPr="00033A3F">
        <w:rPr>
          <w:color w:val="000000" w:themeColor="text1"/>
        </w:rPr>
        <w:t>4</w:t>
      </w:r>
      <w:bookmarkEnd w:id="1118"/>
      <w:bookmarkEnd w:id="1119"/>
      <w:bookmarkEnd w:id="1120"/>
      <w:bookmarkEnd w:id="1121"/>
      <w:bookmarkEnd w:id="1122"/>
    </w:p>
    <w:tbl>
      <w:tblPr>
        <w:tblW w:w="8364" w:type="dxa"/>
        <w:tblLayout w:type="fixed"/>
        <w:tblCellMar>
          <w:left w:w="70" w:type="dxa"/>
          <w:right w:w="70" w:type="dxa"/>
        </w:tblCellMar>
        <w:tblLook w:val="04A0" w:firstRow="1" w:lastRow="0" w:firstColumn="1" w:lastColumn="0" w:noHBand="0" w:noVBand="1"/>
      </w:tblPr>
      <w:tblGrid>
        <w:gridCol w:w="2480"/>
        <w:gridCol w:w="1064"/>
        <w:gridCol w:w="897"/>
        <w:gridCol w:w="1088"/>
        <w:gridCol w:w="873"/>
        <w:gridCol w:w="1111"/>
        <w:gridCol w:w="851"/>
      </w:tblGrid>
      <w:tr w:rsidR="00033A3F" w:rsidRPr="00033A3F" w14:paraId="16BABCF6"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E96DDD5"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884" w:type="dxa"/>
            <w:gridSpan w:val="6"/>
            <w:tcBorders>
              <w:top w:val="double" w:sz="6" w:space="0" w:color="auto"/>
              <w:left w:val="nil"/>
              <w:bottom w:val="nil"/>
              <w:right w:val="nil"/>
            </w:tcBorders>
            <w:shd w:val="clear" w:color="auto" w:fill="auto"/>
            <w:noWrap/>
            <w:vAlign w:val="center"/>
            <w:hideMark/>
          </w:tcPr>
          <w:p w14:paraId="0CC90468"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4E7C977B" w14:textId="77777777" w:rsidTr="00FF6C17">
        <w:trPr>
          <w:trHeight w:val="330"/>
        </w:trPr>
        <w:tc>
          <w:tcPr>
            <w:tcW w:w="2480" w:type="dxa"/>
            <w:vMerge/>
            <w:tcBorders>
              <w:top w:val="double" w:sz="6" w:space="0" w:color="auto"/>
              <w:left w:val="nil"/>
              <w:bottom w:val="double" w:sz="6" w:space="0" w:color="000000"/>
              <w:right w:val="nil"/>
            </w:tcBorders>
            <w:vAlign w:val="center"/>
            <w:hideMark/>
          </w:tcPr>
          <w:p w14:paraId="14EFDF2B" w14:textId="77777777" w:rsidR="00754E1D" w:rsidRPr="00033A3F" w:rsidRDefault="00754E1D" w:rsidP="00754E1D">
            <w:pPr>
              <w:spacing w:line="240" w:lineRule="auto"/>
              <w:jc w:val="left"/>
              <w:rPr>
                <w:rFonts w:eastAsia="Times New Roman"/>
                <w:b/>
                <w:bCs/>
                <w:color w:val="000000" w:themeColor="text1"/>
                <w:szCs w:val="24"/>
                <w:lang w:eastAsia="cs-CZ"/>
              </w:rPr>
            </w:pPr>
          </w:p>
        </w:tc>
        <w:tc>
          <w:tcPr>
            <w:tcW w:w="1961" w:type="dxa"/>
            <w:gridSpan w:val="2"/>
            <w:tcBorders>
              <w:top w:val="nil"/>
              <w:left w:val="nil"/>
              <w:bottom w:val="double" w:sz="6" w:space="0" w:color="auto"/>
              <w:right w:val="nil"/>
            </w:tcBorders>
            <w:shd w:val="clear" w:color="auto" w:fill="auto"/>
            <w:noWrap/>
            <w:vAlign w:val="center"/>
            <w:hideMark/>
          </w:tcPr>
          <w:p w14:paraId="51513821"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96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3E33D14"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962" w:type="dxa"/>
            <w:gridSpan w:val="2"/>
            <w:tcBorders>
              <w:top w:val="nil"/>
              <w:left w:val="nil"/>
              <w:bottom w:val="double" w:sz="6" w:space="0" w:color="auto"/>
              <w:right w:val="nil"/>
            </w:tcBorders>
            <w:shd w:val="clear" w:color="auto" w:fill="auto"/>
            <w:noWrap/>
            <w:vAlign w:val="center"/>
            <w:hideMark/>
          </w:tcPr>
          <w:p w14:paraId="2FAB021B"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2C4763DC" w14:textId="77777777" w:rsidTr="00FF6C17">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CCC2313"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bottom"/>
            <w:hideMark/>
          </w:tcPr>
          <w:p w14:paraId="5E6A5E20"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620</w:t>
            </w:r>
          </w:p>
        </w:tc>
        <w:tc>
          <w:tcPr>
            <w:tcW w:w="897" w:type="dxa"/>
            <w:tcBorders>
              <w:top w:val="single" w:sz="4" w:space="0" w:color="auto"/>
              <w:left w:val="nil"/>
              <w:bottom w:val="single" w:sz="4" w:space="0" w:color="auto"/>
              <w:right w:val="nil"/>
            </w:tcBorders>
            <w:shd w:val="clear" w:color="auto" w:fill="auto"/>
            <w:noWrap/>
            <w:vAlign w:val="center"/>
            <w:hideMark/>
          </w:tcPr>
          <w:p w14:paraId="31A9E3BE" w14:textId="7228EB2A"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88" w:type="dxa"/>
            <w:tcBorders>
              <w:top w:val="nil"/>
              <w:left w:val="single" w:sz="4" w:space="0" w:color="auto"/>
              <w:bottom w:val="single" w:sz="4" w:space="0" w:color="auto"/>
              <w:right w:val="nil"/>
            </w:tcBorders>
            <w:shd w:val="clear" w:color="auto" w:fill="auto"/>
            <w:noWrap/>
            <w:vAlign w:val="bottom"/>
            <w:hideMark/>
          </w:tcPr>
          <w:p w14:paraId="5D92BC00"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260</w:t>
            </w:r>
          </w:p>
        </w:tc>
        <w:tc>
          <w:tcPr>
            <w:tcW w:w="873" w:type="dxa"/>
            <w:tcBorders>
              <w:top w:val="nil"/>
              <w:left w:val="nil"/>
              <w:bottom w:val="single" w:sz="4" w:space="0" w:color="auto"/>
              <w:right w:val="single" w:sz="4" w:space="0" w:color="auto"/>
            </w:tcBorders>
            <w:shd w:val="clear" w:color="auto" w:fill="auto"/>
            <w:noWrap/>
            <w:vAlign w:val="center"/>
            <w:hideMark/>
          </w:tcPr>
          <w:p w14:paraId="61432CE1" w14:textId="26D2939C"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111" w:type="dxa"/>
            <w:tcBorders>
              <w:top w:val="single" w:sz="4" w:space="0" w:color="auto"/>
              <w:left w:val="nil"/>
              <w:bottom w:val="single" w:sz="4" w:space="0" w:color="auto"/>
              <w:right w:val="nil"/>
            </w:tcBorders>
            <w:shd w:val="clear" w:color="auto" w:fill="auto"/>
            <w:noWrap/>
            <w:vAlign w:val="bottom"/>
            <w:hideMark/>
          </w:tcPr>
          <w:p w14:paraId="691DAE9E" w14:textId="77758A21"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394</w:t>
            </w:r>
          </w:p>
        </w:tc>
        <w:tc>
          <w:tcPr>
            <w:tcW w:w="851" w:type="dxa"/>
            <w:tcBorders>
              <w:top w:val="single" w:sz="4" w:space="0" w:color="auto"/>
              <w:left w:val="nil"/>
              <w:bottom w:val="single" w:sz="4" w:space="0" w:color="auto"/>
              <w:right w:val="nil"/>
            </w:tcBorders>
            <w:shd w:val="clear" w:color="auto" w:fill="auto"/>
            <w:noWrap/>
            <w:vAlign w:val="center"/>
            <w:hideMark/>
          </w:tcPr>
          <w:p w14:paraId="32C0DF68" w14:textId="7341189C"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033A3F" w:rsidRPr="00033A3F" w14:paraId="58C09623"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49CEC8E9"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64" w:type="dxa"/>
            <w:tcBorders>
              <w:top w:val="nil"/>
              <w:left w:val="nil"/>
              <w:bottom w:val="single" w:sz="4" w:space="0" w:color="auto"/>
              <w:right w:val="nil"/>
            </w:tcBorders>
            <w:shd w:val="clear" w:color="auto" w:fill="auto"/>
            <w:noWrap/>
            <w:vAlign w:val="bottom"/>
            <w:hideMark/>
          </w:tcPr>
          <w:p w14:paraId="1CFE7241"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933</w:t>
            </w:r>
          </w:p>
        </w:tc>
        <w:tc>
          <w:tcPr>
            <w:tcW w:w="897" w:type="dxa"/>
            <w:tcBorders>
              <w:top w:val="nil"/>
              <w:left w:val="nil"/>
              <w:bottom w:val="single" w:sz="4" w:space="0" w:color="auto"/>
              <w:right w:val="nil"/>
            </w:tcBorders>
            <w:shd w:val="clear" w:color="auto" w:fill="auto"/>
            <w:noWrap/>
            <w:vAlign w:val="center"/>
            <w:hideMark/>
          </w:tcPr>
          <w:p w14:paraId="6871F8C2" w14:textId="235A05FF"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+56 %</w:t>
            </w:r>
          </w:p>
        </w:tc>
        <w:tc>
          <w:tcPr>
            <w:tcW w:w="1088" w:type="dxa"/>
            <w:tcBorders>
              <w:top w:val="nil"/>
              <w:left w:val="single" w:sz="4" w:space="0" w:color="auto"/>
              <w:bottom w:val="single" w:sz="4" w:space="0" w:color="auto"/>
              <w:right w:val="nil"/>
            </w:tcBorders>
            <w:shd w:val="clear" w:color="auto" w:fill="auto"/>
            <w:noWrap/>
            <w:vAlign w:val="bottom"/>
            <w:hideMark/>
          </w:tcPr>
          <w:p w14:paraId="77611FD0"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211</w:t>
            </w:r>
          </w:p>
        </w:tc>
        <w:tc>
          <w:tcPr>
            <w:tcW w:w="873" w:type="dxa"/>
            <w:tcBorders>
              <w:top w:val="nil"/>
              <w:left w:val="nil"/>
              <w:bottom w:val="single" w:sz="4" w:space="0" w:color="auto"/>
              <w:right w:val="single" w:sz="4" w:space="0" w:color="auto"/>
            </w:tcBorders>
            <w:shd w:val="clear" w:color="auto" w:fill="auto"/>
            <w:noWrap/>
            <w:vAlign w:val="center"/>
            <w:hideMark/>
          </w:tcPr>
          <w:p w14:paraId="640E59A2" w14:textId="4FA4BBB6"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111" w:type="dxa"/>
            <w:tcBorders>
              <w:top w:val="nil"/>
              <w:left w:val="nil"/>
              <w:bottom w:val="single" w:sz="4" w:space="0" w:color="auto"/>
              <w:right w:val="nil"/>
            </w:tcBorders>
            <w:shd w:val="clear" w:color="auto" w:fill="auto"/>
            <w:noWrap/>
            <w:vAlign w:val="bottom"/>
            <w:hideMark/>
          </w:tcPr>
          <w:p w14:paraId="15918B6C" w14:textId="7DC2182B"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688</w:t>
            </w:r>
          </w:p>
        </w:tc>
        <w:tc>
          <w:tcPr>
            <w:tcW w:w="851" w:type="dxa"/>
            <w:tcBorders>
              <w:top w:val="nil"/>
              <w:left w:val="nil"/>
              <w:bottom w:val="single" w:sz="4" w:space="0" w:color="auto"/>
              <w:right w:val="nil"/>
            </w:tcBorders>
            <w:shd w:val="clear" w:color="auto" w:fill="auto"/>
            <w:noWrap/>
            <w:vAlign w:val="center"/>
            <w:hideMark/>
          </w:tcPr>
          <w:p w14:paraId="0B9E7379" w14:textId="1A262EC5"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+111 %</w:t>
            </w:r>
          </w:p>
        </w:tc>
      </w:tr>
      <w:tr w:rsidR="00033A3F" w:rsidRPr="00033A3F" w14:paraId="674D817D"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6F4CAADB"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64" w:type="dxa"/>
            <w:tcBorders>
              <w:top w:val="nil"/>
              <w:left w:val="nil"/>
              <w:bottom w:val="single" w:sz="4" w:space="0" w:color="auto"/>
              <w:right w:val="nil"/>
            </w:tcBorders>
            <w:shd w:val="clear" w:color="auto" w:fill="auto"/>
            <w:noWrap/>
            <w:vAlign w:val="bottom"/>
            <w:hideMark/>
          </w:tcPr>
          <w:p w14:paraId="6B439435"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780</w:t>
            </w:r>
          </w:p>
        </w:tc>
        <w:tc>
          <w:tcPr>
            <w:tcW w:w="897" w:type="dxa"/>
            <w:tcBorders>
              <w:top w:val="nil"/>
              <w:left w:val="nil"/>
              <w:bottom w:val="single" w:sz="4" w:space="0" w:color="auto"/>
              <w:right w:val="nil"/>
            </w:tcBorders>
            <w:shd w:val="clear" w:color="auto" w:fill="auto"/>
            <w:noWrap/>
            <w:vAlign w:val="center"/>
            <w:hideMark/>
          </w:tcPr>
          <w:p w14:paraId="1A99B0D0" w14:textId="45DD0CDD"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088" w:type="dxa"/>
            <w:tcBorders>
              <w:top w:val="nil"/>
              <w:left w:val="single" w:sz="4" w:space="0" w:color="auto"/>
              <w:bottom w:val="single" w:sz="4" w:space="0" w:color="auto"/>
              <w:right w:val="nil"/>
            </w:tcBorders>
            <w:shd w:val="clear" w:color="auto" w:fill="auto"/>
            <w:noWrap/>
            <w:vAlign w:val="bottom"/>
            <w:hideMark/>
          </w:tcPr>
          <w:p w14:paraId="1520E346"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193</w:t>
            </w:r>
          </w:p>
        </w:tc>
        <w:tc>
          <w:tcPr>
            <w:tcW w:w="873" w:type="dxa"/>
            <w:tcBorders>
              <w:top w:val="nil"/>
              <w:left w:val="nil"/>
              <w:bottom w:val="single" w:sz="4" w:space="0" w:color="auto"/>
              <w:right w:val="single" w:sz="4" w:space="0" w:color="auto"/>
            </w:tcBorders>
            <w:shd w:val="clear" w:color="auto" w:fill="auto"/>
            <w:noWrap/>
            <w:vAlign w:val="center"/>
            <w:hideMark/>
          </w:tcPr>
          <w:p w14:paraId="29BBA163" w14:textId="4C435732"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-39 %</w:t>
            </w:r>
          </w:p>
        </w:tc>
        <w:tc>
          <w:tcPr>
            <w:tcW w:w="1111" w:type="dxa"/>
            <w:tcBorders>
              <w:top w:val="nil"/>
              <w:left w:val="nil"/>
              <w:bottom w:val="single" w:sz="4" w:space="0" w:color="auto"/>
              <w:right w:val="nil"/>
            </w:tcBorders>
            <w:shd w:val="clear" w:color="auto" w:fill="auto"/>
            <w:noWrap/>
            <w:vAlign w:val="bottom"/>
            <w:hideMark/>
          </w:tcPr>
          <w:p w14:paraId="1E2B2C35" w14:textId="4E74FBFE"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501</w:t>
            </w:r>
          </w:p>
        </w:tc>
        <w:tc>
          <w:tcPr>
            <w:tcW w:w="851" w:type="dxa"/>
            <w:tcBorders>
              <w:top w:val="nil"/>
              <w:left w:val="nil"/>
              <w:bottom w:val="single" w:sz="4" w:space="0" w:color="auto"/>
              <w:right w:val="nil"/>
            </w:tcBorders>
            <w:shd w:val="clear" w:color="auto" w:fill="auto"/>
            <w:noWrap/>
            <w:vAlign w:val="center"/>
            <w:hideMark/>
          </w:tcPr>
          <w:p w14:paraId="794BAD8A" w14:textId="78F42F83"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r>
      <w:tr w:rsidR="00033A3F" w:rsidRPr="00033A3F" w14:paraId="2C3DBA9C"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236D8A14"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64" w:type="dxa"/>
            <w:tcBorders>
              <w:top w:val="nil"/>
              <w:left w:val="nil"/>
              <w:bottom w:val="single" w:sz="4" w:space="0" w:color="auto"/>
              <w:right w:val="nil"/>
            </w:tcBorders>
            <w:shd w:val="clear" w:color="auto" w:fill="auto"/>
            <w:noWrap/>
            <w:vAlign w:val="bottom"/>
            <w:hideMark/>
          </w:tcPr>
          <w:p w14:paraId="3C56E9CC"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791</w:t>
            </w:r>
          </w:p>
        </w:tc>
        <w:tc>
          <w:tcPr>
            <w:tcW w:w="897" w:type="dxa"/>
            <w:tcBorders>
              <w:top w:val="nil"/>
              <w:left w:val="nil"/>
              <w:bottom w:val="single" w:sz="4" w:space="0" w:color="auto"/>
              <w:right w:val="nil"/>
            </w:tcBorders>
            <w:shd w:val="clear" w:color="auto" w:fill="auto"/>
            <w:noWrap/>
            <w:vAlign w:val="center"/>
            <w:hideMark/>
          </w:tcPr>
          <w:p w14:paraId="6D540A5A" w14:textId="4ACFB88A"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88" w:type="dxa"/>
            <w:tcBorders>
              <w:top w:val="nil"/>
              <w:left w:val="single" w:sz="4" w:space="0" w:color="auto"/>
              <w:bottom w:val="single" w:sz="4" w:space="0" w:color="auto"/>
              <w:right w:val="nil"/>
            </w:tcBorders>
            <w:shd w:val="clear" w:color="auto" w:fill="auto"/>
            <w:noWrap/>
            <w:vAlign w:val="bottom"/>
            <w:hideMark/>
          </w:tcPr>
          <w:p w14:paraId="4C1E1754"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462</w:t>
            </w:r>
          </w:p>
        </w:tc>
        <w:tc>
          <w:tcPr>
            <w:tcW w:w="873" w:type="dxa"/>
            <w:tcBorders>
              <w:top w:val="nil"/>
              <w:left w:val="nil"/>
              <w:bottom w:val="single" w:sz="4" w:space="0" w:color="auto"/>
              <w:right w:val="single" w:sz="4" w:space="0" w:color="auto"/>
            </w:tcBorders>
            <w:shd w:val="clear" w:color="auto" w:fill="auto"/>
            <w:noWrap/>
            <w:vAlign w:val="center"/>
            <w:hideMark/>
          </w:tcPr>
          <w:p w14:paraId="3971DC70" w14:textId="1DE75B07"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11" w:type="dxa"/>
            <w:tcBorders>
              <w:top w:val="nil"/>
              <w:left w:val="nil"/>
              <w:bottom w:val="single" w:sz="4" w:space="0" w:color="auto"/>
              <w:right w:val="nil"/>
            </w:tcBorders>
            <w:shd w:val="clear" w:color="auto" w:fill="auto"/>
            <w:noWrap/>
            <w:vAlign w:val="bottom"/>
            <w:hideMark/>
          </w:tcPr>
          <w:p w14:paraId="6022963E" w14:textId="4F9BEDAA"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077</w:t>
            </w:r>
          </w:p>
        </w:tc>
        <w:tc>
          <w:tcPr>
            <w:tcW w:w="851" w:type="dxa"/>
            <w:tcBorders>
              <w:top w:val="nil"/>
              <w:left w:val="nil"/>
              <w:bottom w:val="single" w:sz="4" w:space="0" w:color="auto"/>
              <w:right w:val="nil"/>
            </w:tcBorders>
            <w:shd w:val="clear" w:color="auto" w:fill="auto"/>
            <w:noWrap/>
            <w:vAlign w:val="center"/>
            <w:hideMark/>
          </w:tcPr>
          <w:p w14:paraId="29EAB565" w14:textId="2BF96F98"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r>
      <w:tr w:rsidR="00033A3F" w:rsidRPr="00033A3F" w14:paraId="058E6C15"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572CC11F"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64" w:type="dxa"/>
            <w:tcBorders>
              <w:top w:val="nil"/>
              <w:left w:val="nil"/>
              <w:bottom w:val="single" w:sz="4" w:space="0" w:color="auto"/>
              <w:right w:val="nil"/>
            </w:tcBorders>
            <w:shd w:val="clear" w:color="auto" w:fill="auto"/>
            <w:noWrap/>
            <w:vAlign w:val="bottom"/>
            <w:hideMark/>
          </w:tcPr>
          <w:p w14:paraId="6AF9A2EB"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695</w:t>
            </w:r>
          </w:p>
        </w:tc>
        <w:tc>
          <w:tcPr>
            <w:tcW w:w="897" w:type="dxa"/>
            <w:tcBorders>
              <w:top w:val="nil"/>
              <w:left w:val="nil"/>
              <w:bottom w:val="single" w:sz="4" w:space="0" w:color="auto"/>
              <w:right w:val="nil"/>
            </w:tcBorders>
            <w:shd w:val="clear" w:color="auto" w:fill="auto"/>
            <w:noWrap/>
            <w:vAlign w:val="center"/>
            <w:hideMark/>
          </w:tcPr>
          <w:p w14:paraId="05EBF75A" w14:textId="1B3AF615"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1088" w:type="dxa"/>
            <w:tcBorders>
              <w:top w:val="nil"/>
              <w:left w:val="single" w:sz="4" w:space="0" w:color="auto"/>
              <w:bottom w:val="single" w:sz="4" w:space="0" w:color="auto"/>
              <w:right w:val="nil"/>
            </w:tcBorders>
            <w:shd w:val="clear" w:color="auto" w:fill="auto"/>
            <w:noWrap/>
            <w:vAlign w:val="bottom"/>
            <w:hideMark/>
          </w:tcPr>
          <w:p w14:paraId="487CF36A"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532</w:t>
            </w:r>
          </w:p>
        </w:tc>
        <w:tc>
          <w:tcPr>
            <w:tcW w:w="873" w:type="dxa"/>
            <w:tcBorders>
              <w:top w:val="nil"/>
              <w:left w:val="nil"/>
              <w:bottom w:val="single" w:sz="4" w:space="0" w:color="auto"/>
              <w:right w:val="single" w:sz="4" w:space="0" w:color="auto"/>
            </w:tcBorders>
            <w:shd w:val="clear" w:color="auto" w:fill="auto"/>
            <w:noWrap/>
            <w:vAlign w:val="center"/>
            <w:hideMark/>
          </w:tcPr>
          <w:p w14:paraId="7C92FA6D" w14:textId="3FFF51A1"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111" w:type="dxa"/>
            <w:tcBorders>
              <w:top w:val="nil"/>
              <w:left w:val="nil"/>
              <w:bottom w:val="single" w:sz="4" w:space="0" w:color="auto"/>
              <w:right w:val="nil"/>
            </w:tcBorders>
            <w:shd w:val="clear" w:color="auto" w:fill="auto"/>
            <w:noWrap/>
            <w:vAlign w:val="bottom"/>
            <w:hideMark/>
          </w:tcPr>
          <w:p w14:paraId="2D9E2E65" w14:textId="40EB6AB3"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072</w:t>
            </w:r>
          </w:p>
        </w:tc>
        <w:tc>
          <w:tcPr>
            <w:tcW w:w="851" w:type="dxa"/>
            <w:tcBorders>
              <w:top w:val="nil"/>
              <w:left w:val="nil"/>
              <w:bottom w:val="single" w:sz="4" w:space="0" w:color="auto"/>
              <w:right w:val="nil"/>
            </w:tcBorders>
            <w:shd w:val="clear" w:color="auto" w:fill="auto"/>
            <w:noWrap/>
            <w:vAlign w:val="center"/>
            <w:hideMark/>
          </w:tcPr>
          <w:p w14:paraId="2866A9D7" w14:textId="22692D5F"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-53 %</w:t>
            </w:r>
          </w:p>
        </w:tc>
      </w:tr>
      <w:tr w:rsidR="00033A3F" w:rsidRPr="00033A3F" w14:paraId="7C8399EE"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43D52657"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64" w:type="dxa"/>
            <w:tcBorders>
              <w:top w:val="nil"/>
              <w:left w:val="nil"/>
              <w:bottom w:val="single" w:sz="4" w:space="0" w:color="auto"/>
              <w:right w:val="nil"/>
            </w:tcBorders>
            <w:shd w:val="clear" w:color="auto" w:fill="auto"/>
            <w:noWrap/>
            <w:vAlign w:val="bottom"/>
            <w:hideMark/>
          </w:tcPr>
          <w:p w14:paraId="632CA0BC"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565</w:t>
            </w:r>
          </w:p>
        </w:tc>
        <w:tc>
          <w:tcPr>
            <w:tcW w:w="897" w:type="dxa"/>
            <w:tcBorders>
              <w:top w:val="nil"/>
              <w:left w:val="nil"/>
              <w:bottom w:val="single" w:sz="4" w:space="0" w:color="auto"/>
              <w:right w:val="nil"/>
            </w:tcBorders>
            <w:shd w:val="clear" w:color="auto" w:fill="auto"/>
            <w:noWrap/>
            <w:vAlign w:val="center"/>
            <w:hideMark/>
          </w:tcPr>
          <w:p w14:paraId="421F30ED" w14:textId="37FE4EE8"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088" w:type="dxa"/>
            <w:tcBorders>
              <w:top w:val="nil"/>
              <w:left w:val="single" w:sz="4" w:space="0" w:color="auto"/>
              <w:bottom w:val="single" w:sz="4" w:space="0" w:color="auto"/>
              <w:right w:val="nil"/>
            </w:tcBorders>
            <w:shd w:val="clear" w:color="auto" w:fill="auto"/>
            <w:noWrap/>
            <w:vAlign w:val="bottom"/>
            <w:hideMark/>
          </w:tcPr>
          <w:p w14:paraId="41A4CBC4"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211</w:t>
            </w:r>
          </w:p>
        </w:tc>
        <w:tc>
          <w:tcPr>
            <w:tcW w:w="873" w:type="dxa"/>
            <w:tcBorders>
              <w:top w:val="nil"/>
              <w:left w:val="nil"/>
              <w:bottom w:val="single" w:sz="4" w:space="0" w:color="auto"/>
              <w:right w:val="single" w:sz="4" w:space="0" w:color="auto"/>
            </w:tcBorders>
            <w:shd w:val="clear" w:color="auto" w:fill="auto"/>
            <w:noWrap/>
            <w:vAlign w:val="center"/>
            <w:hideMark/>
          </w:tcPr>
          <w:p w14:paraId="6A29E59C" w14:textId="3225F95E"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11" w:type="dxa"/>
            <w:tcBorders>
              <w:top w:val="nil"/>
              <w:left w:val="nil"/>
              <w:bottom w:val="single" w:sz="4" w:space="0" w:color="auto"/>
              <w:right w:val="nil"/>
            </w:tcBorders>
            <w:shd w:val="clear" w:color="auto" w:fill="auto"/>
            <w:noWrap/>
            <w:vAlign w:val="bottom"/>
            <w:hideMark/>
          </w:tcPr>
          <w:p w14:paraId="645A6F7B" w14:textId="75DC51E1"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123</w:t>
            </w:r>
          </w:p>
        </w:tc>
        <w:tc>
          <w:tcPr>
            <w:tcW w:w="851" w:type="dxa"/>
            <w:tcBorders>
              <w:top w:val="nil"/>
              <w:left w:val="nil"/>
              <w:bottom w:val="single" w:sz="4" w:space="0" w:color="auto"/>
              <w:right w:val="nil"/>
            </w:tcBorders>
            <w:shd w:val="clear" w:color="auto" w:fill="auto"/>
            <w:noWrap/>
            <w:vAlign w:val="center"/>
            <w:hideMark/>
          </w:tcPr>
          <w:p w14:paraId="7C73AB67" w14:textId="203E1090"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033A3F" w:rsidRPr="00033A3F" w14:paraId="036443E6"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5FB5480E"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64" w:type="dxa"/>
            <w:tcBorders>
              <w:top w:val="nil"/>
              <w:left w:val="nil"/>
              <w:bottom w:val="single" w:sz="4" w:space="0" w:color="auto"/>
              <w:right w:val="nil"/>
            </w:tcBorders>
            <w:shd w:val="clear" w:color="auto" w:fill="auto"/>
            <w:noWrap/>
            <w:vAlign w:val="bottom"/>
            <w:hideMark/>
          </w:tcPr>
          <w:p w14:paraId="489A2005"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1036</w:t>
            </w:r>
          </w:p>
        </w:tc>
        <w:tc>
          <w:tcPr>
            <w:tcW w:w="897" w:type="dxa"/>
            <w:tcBorders>
              <w:top w:val="nil"/>
              <w:left w:val="nil"/>
              <w:bottom w:val="single" w:sz="4" w:space="0" w:color="auto"/>
              <w:right w:val="nil"/>
            </w:tcBorders>
            <w:shd w:val="clear" w:color="auto" w:fill="auto"/>
            <w:noWrap/>
            <w:vAlign w:val="center"/>
            <w:hideMark/>
          </w:tcPr>
          <w:p w14:paraId="5BCB3EF9" w14:textId="080E267A"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088" w:type="dxa"/>
            <w:tcBorders>
              <w:top w:val="nil"/>
              <w:left w:val="single" w:sz="4" w:space="0" w:color="auto"/>
              <w:bottom w:val="single" w:sz="4" w:space="0" w:color="auto"/>
              <w:right w:val="nil"/>
            </w:tcBorders>
            <w:shd w:val="clear" w:color="auto" w:fill="auto"/>
            <w:noWrap/>
            <w:vAlign w:val="bottom"/>
            <w:hideMark/>
          </w:tcPr>
          <w:p w14:paraId="1F3BCA86"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350</w:t>
            </w:r>
          </w:p>
        </w:tc>
        <w:tc>
          <w:tcPr>
            <w:tcW w:w="873" w:type="dxa"/>
            <w:tcBorders>
              <w:top w:val="nil"/>
              <w:left w:val="nil"/>
              <w:bottom w:val="single" w:sz="4" w:space="0" w:color="auto"/>
              <w:right w:val="single" w:sz="4" w:space="0" w:color="auto"/>
            </w:tcBorders>
            <w:shd w:val="clear" w:color="auto" w:fill="auto"/>
            <w:noWrap/>
            <w:vAlign w:val="center"/>
            <w:hideMark/>
          </w:tcPr>
          <w:p w14:paraId="53D53804" w14:textId="21E6D8B5"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111" w:type="dxa"/>
            <w:tcBorders>
              <w:top w:val="nil"/>
              <w:left w:val="nil"/>
              <w:bottom w:val="single" w:sz="4" w:space="0" w:color="auto"/>
              <w:right w:val="nil"/>
            </w:tcBorders>
            <w:shd w:val="clear" w:color="auto" w:fill="auto"/>
            <w:noWrap/>
            <w:vAlign w:val="bottom"/>
            <w:hideMark/>
          </w:tcPr>
          <w:p w14:paraId="35D2DA47" w14:textId="30146F0C"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821</w:t>
            </w:r>
          </w:p>
        </w:tc>
        <w:tc>
          <w:tcPr>
            <w:tcW w:w="851" w:type="dxa"/>
            <w:tcBorders>
              <w:top w:val="nil"/>
              <w:left w:val="nil"/>
              <w:bottom w:val="single" w:sz="4" w:space="0" w:color="auto"/>
              <w:right w:val="nil"/>
            </w:tcBorders>
            <w:shd w:val="clear" w:color="auto" w:fill="auto"/>
            <w:noWrap/>
            <w:vAlign w:val="center"/>
            <w:hideMark/>
          </w:tcPr>
          <w:p w14:paraId="750CB40D" w14:textId="1AF4EA4A"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43C613C0" w14:textId="77777777" w:rsidTr="00FF6C17">
        <w:trPr>
          <w:trHeight w:val="330"/>
        </w:trPr>
        <w:tc>
          <w:tcPr>
            <w:tcW w:w="2480" w:type="dxa"/>
            <w:tcBorders>
              <w:top w:val="nil"/>
              <w:left w:val="nil"/>
              <w:bottom w:val="double" w:sz="6" w:space="0" w:color="auto"/>
              <w:right w:val="nil"/>
            </w:tcBorders>
            <w:shd w:val="clear" w:color="auto" w:fill="auto"/>
            <w:noWrap/>
            <w:vAlign w:val="bottom"/>
            <w:hideMark/>
          </w:tcPr>
          <w:p w14:paraId="388D74B2"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64" w:type="dxa"/>
            <w:tcBorders>
              <w:top w:val="nil"/>
              <w:left w:val="nil"/>
              <w:bottom w:val="double" w:sz="6" w:space="0" w:color="auto"/>
              <w:right w:val="nil"/>
            </w:tcBorders>
            <w:shd w:val="clear" w:color="auto" w:fill="auto"/>
            <w:noWrap/>
            <w:vAlign w:val="bottom"/>
            <w:hideMark/>
          </w:tcPr>
          <w:p w14:paraId="25C2959A"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471</w:t>
            </w:r>
          </w:p>
        </w:tc>
        <w:tc>
          <w:tcPr>
            <w:tcW w:w="897" w:type="dxa"/>
            <w:tcBorders>
              <w:top w:val="nil"/>
              <w:left w:val="nil"/>
              <w:bottom w:val="double" w:sz="6" w:space="0" w:color="auto"/>
              <w:right w:val="nil"/>
            </w:tcBorders>
            <w:shd w:val="clear" w:color="auto" w:fill="auto"/>
            <w:noWrap/>
            <w:vAlign w:val="center"/>
            <w:hideMark/>
          </w:tcPr>
          <w:p w14:paraId="34F1EC9E" w14:textId="40CCE4EF"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-31 %</w:t>
            </w:r>
          </w:p>
        </w:tc>
        <w:tc>
          <w:tcPr>
            <w:tcW w:w="1088" w:type="dxa"/>
            <w:tcBorders>
              <w:top w:val="nil"/>
              <w:left w:val="single" w:sz="4" w:space="0" w:color="auto"/>
              <w:bottom w:val="double" w:sz="6" w:space="0" w:color="auto"/>
              <w:right w:val="nil"/>
            </w:tcBorders>
            <w:shd w:val="clear" w:color="auto" w:fill="auto"/>
            <w:noWrap/>
            <w:vAlign w:val="bottom"/>
            <w:hideMark/>
          </w:tcPr>
          <w:p w14:paraId="400F41AA"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252</w:t>
            </w:r>
          </w:p>
        </w:tc>
        <w:tc>
          <w:tcPr>
            <w:tcW w:w="873" w:type="dxa"/>
            <w:tcBorders>
              <w:top w:val="nil"/>
              <w:left w:val="nil"/>
              <w:bottom w:val="double" w:sz="6" w:space="0" w:color="auto"/>
              <w:right w:val="single" w:sz="4" w:space="0" w:color="auto"/>
            </w:tcBorders>
            <w:shd w:val="clear" w:color="auto" w:fill="auto"/>
            <w:noWrap/>
            <w:vAlign w:val="center"/>
            <w:hideMark/>
          </w:tcPr>
          <w:p w14:paraId="2456EF8D" w14:textId="0F778CAE"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+36 %</w:t>
            </w:r>
          </w:p>
        </w:tc>
        <w:tc>
          <w:tcPr>
            <w:tcW w:w="1111" w:type="dxa"/>
            <w:tcBorders>
              <w:top w:val="nil"/>
              <w:left w:val="nil"/>
              <w:bottom w:val="double" w:sz="6" w:space="0" w:color="auto"/>
              <w:right w:val="nil"/>
            </w:tcBorders>
            <w:shd w:val="clear" w:color="auto" w:fill="auto"/>
            <w:noWrap/>
            <w:vAlign w:val="bottom"/>
            <w:hideMark/>
          </w:tcPr>
          <w:p w14:paraId="3630B111"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553</w:t>
            </w:r>
          </w:p>
        </w:tc>
        <w:tc>
          <w:tcPr>
            <w:tcW w:w="851" w:type="dxa"/>
            <w:tcBorders>
              <w:top w:val="nil"/>
              <w:left w:val="nil"/>
              <w:bottom w:val="double" w:sz="6" w:space="0" w:color="auto"/>
              <w:right w:val="nil"/>
            </w:tcBorders>
            <w:shd w:val="clear" w:color="auto" w:fill="auto"/>
            <w:noWrap/>
            <w:vAlign w:val="center"/>
            <w:hideMark/>
          </w:tcPr>
          <w:p w14:paraId="05059F8A" w14:textId="785C993E"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-61 %</w:t>
            </w:r>
          </w:p>
        </w:tc>
      </w:tr>
      <w:tr w:rsidR="00033A3F" w:rsidRPr="00033A3F" w14:paraId="71217218" w14:textId="77777777" w:rsidTr="00FF6C17">
        <w:trPr>
          <w:trHeight w:val="345"/>
        </w:trPr>
        <w:tc>
          <w:tcPr>
            <w:tcW w:w="2480" w:type="dxa"/>
            <w:tcBorders>
              <w:top w:val="nil"/>
              <w:left w:val="nil"/>
              <w:bottom w:val="double" w:sz="6" w:space="0" w:color="auto"/>
              <w:right w:val="nil"/>
            </w:tcBorders>
            <w:shd w:val="clear" w:color="auto" w:fill="auto"/>
            <w:noWrap/>
            <w:vAlign w:val="bottom"/>
            <w:hideMark/>
          </w:tcPr>
          <w:p w14:paraId="20F08372" w14:textId="77777777" w:rsidR="00754E1D" w:rsidRPr="00033A3F" w:rsidRDefault="00754E1D" w:rsidP="00754E1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64" w:type="dxa"/>
            <w:tcBorders>
              <w:top w:val="nil"/>
              <w:left w:val="nil"/>
              <w:bottom w:val="double" w:sz="6" w:space="0" w:color="auto"/>
              <w:right w:val="nil"/>
            </w:tcBorders>
            <w:shd w:val="clear" w:color="auto" w:fill="auto"/>
            <w:noWrap/>
            <w:vAlign w:val="bottom"/>
            <w:hideMark/>
          </w:tcPr>
          <w:p w14:paraId="45EF65F5"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662</w:t>
            </w:r>
          </w:p>
        </w:tc>
        <w:tc>
          <w:tcPr>
            <w:tcW w:w="897" w:type="dxa"/>
            <w:tcBorders>
              <w:top w:val="nil"/>
              <w:left w:val="nil"/>
              <w:bottom w:val="double" w:sz="6" w:space="0" w:color="auto"/>
              <w:right w:val="nil"/>
            </w:tcBorders>
            <w:shd w:val="clear" w:color="auto" w:fill="auto"/>
            <w:noWrap/>
            <w:vAlign w:val="center"/>
            <w:hideMark/>
          </w:tcPr>
          <w:p w14:paraId="0C275507" w14:textId="136FDBE8" w:rsidR="00754E1D" w:rsidRPr="00033A3F" w:rsidRDefault="00754E1D"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-19 %</w:t>
            </w:r>
          </w:p>
        </w:tc>
        <w:tc>
          <w:tcPr>
            <w:tcW w:w="1088" w:type="dxa"/>
            <w:tcBorders>
              <w:top w:val="nil"/>
              <w:left w:val="single" w:sz="4" w:space="0" w:color="auto"/>
              <w:bottom w:val="double" w:sz="6" w:space="0" w:color="auto"/>
              <w:right w:val="nil"/>
            </w:tcBorders>
            <w:shd w:val="clear" w:color="auto" w:fill="auto"/>
            <w:noWrap/>
            <w:vAlign w:val="bottom"/>
            <w:hideMark/>
          </w:tcPr>
          <w:p w14:paraId="5BF5AC08"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367</w:t>
            </w:r>
          </w:p>
        </w:tc>
        <w:tc>
          <w:tcPr>
            <w:tcW w:w="873" w:type="dxa"/>
            <w:tcBorders>
              <w:top w:val="nil"/>
              <w:left w:val="nil"/>
              <w:bottom w:val="double" w:sz="6" w:space="0" w:color="auto"/>
              <w:right w:val="single" w:sz="4" w:space="0" w:color="auto"/>
            </w:tcBorders>
            <w:shd w:val="clear" w:color="auto" w:fill="auto"/>
            <w:noWrap/>
            <w:vAlign w:val="center"/>
            <w:hideMark/>
          </w:tcPr>
          <w:p w14:paraId="7AD59B79" w14:textId="45541AD6" w:rsidR="00754E1D" w:rsidRPr="00033A3F" w:rsidRDefault="00754E1D"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+17 %</w:t>
            </w:r>
          </w:p>
        </w:tc>
        <w:tc>
          <w:tcPr>
            <w:tcW w:w="1111" w:type="dxa"/>
            <w:tcBorders>
              <w:top w:val="nil"/>
              <w:left w:val="nil"/>
              <w:bottom w:val="double" w:sz="6" w:space="0" w:color="auto"/>
              <w:right w:val="nil"/>
            </w:tcBorders>
            <w:shd w:val="clear" w:color="auto" w:fill="auto"/>
            <w:noWrap/>
            <w:vAlign w:val="bottom"/>
            <w:hideMark/>
          </w:tcPr>
          <w:p w14:paraId="6FBA78B9" w14:textId="46966F7D"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FC40F0"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415</w:t>
            </w:r>
          </w:p>
        </w:tc>
        <w:tc>
          <w:tcPr>
            <w:tcW w:w="851" w:type="dxa"/>
            <w:tcBorders>
              <w:top w:val="nil"/>
              <w:left w:val="nil"/>
              <w:bottom w:val="double" w:sz="6" w:space="0" w:color="auto"/>
              <w:right w:val="nil"/>
            </w:tcBorders>
            <w:shd w:val="clear" w:color="auto" w:fill="auto"/>
            <w:noWrap/>
            <w:vAlign w:val="center"/>
            <w:hideMark/>
          </w:tcPr>
          <w:p w14:paraId="5FB65681" w14:textId="143FEFE5" w:rsidR="00754E1D" w:rsidRPr="00033A3F" w:rsidRDefault="00754E1D"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-33 %</w:t>
            </w:r>
          </w:p>
        </w:tc>
      </w:tr>
      <w:tr w:rsidR="00033A3F" w:rsidRPr="00033A3F" w14:paraId="1874A5E7" w14:textId="77777777" w:rsidTr="00FF6C17">
        <w:trPr>
          <w:trHeight w:val="330"/>
        </w:trPr>
        <w:tc>
          <w:tcPr>
            <w:tcW w:w="2480" w:type="dxa"/>
            <w:tcBorders>
              <w:top w:val="nil"/>
              <w:left w:val="nil"/>
              <w:bottom w:val="nil"/>
              <w:right w:val="nil"/>
            </w:tcBorders>
            <w:shd w:val="clear" w:color="auto" w:fill="auto"/>
            <w:noWrap/>
            <w:vAlign w:val="bottom"/>
            <w:hideMark/>
          </w:tcPr>
          <w:p w14:paraId="2B22FDC1" w14:textId="77777777" w:rsidR="00754E1D" w:rsidRPr="00033A3F" w:rsidRDefault="00754E1D" w:rsidP="00754E1D">
            <w:pPr>
              <w:spacing w:line="240" w:lineRule="auto"/>
              <w:jc w:val="right"/>
              <w:rPr>
                <w:rFonts w:eastAsia="Times New Roman"/>
                <w:b/>
                <w:bCs/>
                <w:color w:val="000000" w:themeColor="text1"/>
                <w:sz w:val="20"/>
                <w:szCs w:val="20"/>
                <w:lang w:eastAsia="cs-CZ"/>
              </w:rPr>
            </w:pPr>
          </w:p>
        </w:tc>
        <w:tc>
          <w:tcPr>
            <w:tcW w:w="1064" w:type="dxa"/>
            <w:tcBorders>
              <w:top w:val="nil"/>
              <w:left w:val="nil"/>
              <w:bottom w:val="nil"/>
              <w:right w:val="nil"/>
            </w:tcBorders>
            <w:shd w:val="clear" w:color="auto" w:fill="auto"/>
            <w:noWrap/>
            <w:vAlign w:val="bottom"/>
            <w:hideMark/>
          </w:tcPr>
          <w:p w14:paraId="786D927A"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897" w:type="dxa"/>
            <w:tcBorders>
              <w:top w:val="nil"/>
              <w:left w:val="nil"/>
              <w:bottom w:val="nil"/>
              <w:right w:val="nil"/>
            </w:tcBorders>
            <w:shd w:val="clear" w:color="auto" w:fill="auto"/>
            <w:noWrap/>
            <w:vAlign w:val="bottom"/>
            <w:hideMark/>
          </w:tcPr>
          <w:p w14:paraId="1E994975"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1088" w:type="dxa"/>
            <w:tcBorders>
              <w:top w:val="nil"/>
              <w:left w:val="nil"/>
              <w:bottom w:val="nil"/>
              <w:right w:val="nil"/>
            </w:tcBorders>
            <w:shd w:val="clear" w:color="auto" w:fill="auto"/>
            <w:noWrap/>
            <w:vAlign w:val="bottom"/>
            <w:hideMark/>
          </w:tcPr>
          <w:p w14:paraId="79A3E026"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873" w:type="dxa"/>
            <w:tcBorders>
              <w:top w:val="nil"/>
              <w:left w:val="nil"/>
              <w:bottom w:val="nil"/>
              <w:right w:val="nil"/>
            </w:tcBorders>
            <w:shd w:val="clear" w:color="auto" w:fill="auto"/>
            <w:noWrap/>
            <w:vAlign w:val="bottom"/>
            <w:hideMark/>
          </w:tcPr>
          <w:p w14:paraId="1EDAF90F"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1111" w:type="dxa"/>
            <w:tcBorders>
              <w:top w:val="nil"/>
              <w:left w:val="nil"/>
              <w:bottom w:val="nil"/>
              <w:right w:val="nil"/>
            </w:tcBorders>
            <w:shd w:val="clear" w:color="auto" w:fill="auto"/>
            <w:noWrap/>
            <w:vAlign w:val="bottom"/>
            <w:hideMark/>
          </w:tcPr>
          <w:p w14:paraId="5191739D"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540D2C98"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r>
    </w:tbl>
    <w:p w14:paraId="73093C45" w14:textId="5CBAB6C5" w:rsidR="00721EB6" w:rsidRPr="00033A3F" w:rsidRDefault="00721EB6" w:rsidP="00721EB6">
      <w:pPr>
        <w:pStyle w:val="OdstavecASR"/>
        <w:rPr>
          <w:color w:val="000000" w:themeColor="text1"/>
        </w:rPr>
      </w:pPr>
      <w:r w:rsidRPr="00033A3F">
        <w:rPr>
          <w:color w:val="000000" w:themeColor="text1"/>
        </w:rPr>
        <w:t>Absolutní hodnoty průměru i percentilu 90 jsou u očištěných</w:t>
      </w:r>
      <w:r w:rsidR="00A80BE1" w:rsidRPr="00033A3F">
        <w:rPr>
          <w:color w:val="000000" w:themeColor="text1"/>
        </w:rPr>
        <w:t xml:space="preserve"> hodnot</w:t>
      </w:r>
      <w:r w:rsidRPr="00033A3F">
        <w:rPr>
          <w:color w:val="000000" w:themeColor="text1"/>
        </w:rPr>
        <w:t xml:space="preserve"> </w:t>
      </w:r>
      <w:r w:rsidR="008477F4" w:rsidRPr="00033A3F">
        <w:rPr>
          <w:color w:val="000000" w:themeColor="text1"/>
        </w:rPr>
        <w:t xml:space="preserve">i přes pokles </w:t>
      </w:r>
      <w:r w:rsidRPr="00033A3F">
        <w:rPr>
          <w:color w:val="000000" w:themeColor="text1"/>
        </w:rPr>
        <w:t>vysoké – celorepublikový percentil 90 byl v roce 202</w:t>
      </w:r>
      <w:r w:rsidR="008477F4" w:rsidRPr="00033A3F">
        <w:rPr>
          <w:color w:val="000000" w:themeColor="text1"/>
        </w:rPr>
        <w:t>4</w:t>
      </w:r>
      <w:r w:rsidRPr="00033A3F">
        <w:rPr>
          <w:color w:val="000000" w:themeColor="text1"/>
        </w:rPr>
        <w:t xml:space="preserve"> téměř </w:t>
      </w:r>
      <w:r w:rsidR="008477F4" w:rsidRPr="00033A3F">
        <w:rPr>
          <w:color w:val="000000" w:themeColor="text1"/>
        </w:rPr>
        <w:t>4 roky</w:t>
      </w:r>
      <w:r w:rsidRPr="00033A3F">
        <w:rPr>
          <w:color w:val="000000" w:themeColor="text1"/>
        </w:rPr>
        <w:t xml:space="preserve"> a celorepublikový </w:t>
      </w:r>
      <w:r w:rsidR="008477F4" w:rsidRPr="00033A3F">
        <w:rPr>
          <w:color w:val="000000" w:themeColor="text1"/>
        </w:rPr>
        <w:t>téměř 2 roky</w:t>
      </w:r>
      <w:r w:rsidRPr="00033A3F">
        <w:rPr>
          <w:color w:val="000000" w:themeColor="text1"/>
        </w:rPr>
        <w:t xml:space="preserve">. </w:t>
      </w:r>
      <w:r w:rsidR="00631987" w:rsidRPr="00033A3F">
        <w:rPr>
          <w:color w:val="000000" w:themeColor="text1"/>
        </w:rPr>
        <w:t>A</w:t>
      </w:r>
      <w:r w:rsidR="008477F4" w:rsidRPr="00033A3F">
        <w:rPr>
          <w:color w:val="000000" w:themeColor="text1"/>
        </w:rPr>
        <w:t>si 3</w:t>
      </w:r>
      <w:r w:rsidRPr="00033A3F">
        <w:rPr>
          <w:color w:val="000000" w:themeColor="text1"/>
        </w:rPr>
        <w:t xml:space="preserve"> % </w:t>
      </w:r>
      <w:r w:rsidRPr="00033A3F">
        <w:rPr>
          <w:color w:val="000000" w:themeColor="text1"/>
        </w:rPr>
        <w:lastRenderedPageBreak/>
        <w:t xml:space="preserve">řízení </w:t>
      </w:r>
      <w:r w:rsidR="00631987" w:rsidRPr="00033A3F">
        <w:rPr>
          <w:color w:val="000000" w:themeColor="text1"/>
        </w:rPr>
        <w:t>skončených v roce 2024</w:t>
      </w:r>
      <w:r w:rsidRPr="00033A3F">
        <w:rPr>
          <w:color w:val="000000" w:themeColor="text1"/>
        </w:rPr>
        <w:t xml:space="preserve"> trval</w:t>
      </w:r>
      <w:r w:rsidR="008477F4" w:rsidRPr="00033A3F">
        <w:rPr>
          <w:color w:val="000000" w:themeColor="text1"/>
        </w:rPr>
        <w:t>a</w:t>
      </w:r>
      <w:r w:rsidRPr="00033A3F">
        <w:rPr>
          <w:color w:val="000000" w:themeColor="text1"/>
        </w:rPr>
        <w:t xml:space="preserve"> déle než 4 000 dnů (11 let) a </w:t>
      </w:r>
      <w:r w:rsidR="008477F4" w:rsidRPr="00033A3F">
        <w:rPr>
          <w:color w:val="000000" w:themeColor="text1"/>
        </w:rPr>
        <w:t>asi 14</w:t>
      </w:r>
      <w:r w:rsidRPr="00033A3F">
        <w:rPr>
          <w:color w:val="000000" w:themeColor="text1"/>
        </w:rPr>
        <w:t xml:space="preserve"> % řízení trvalo 1000 dnů a déle.</w:t>
      </w:r>
    </w:p>
    <w:p w14:paraId="445A272A" w14:textId="2ED9FD8D" w:rsidR="00721EB6" w:rsidRPr="00033A3F" w:rsidRDefault="00721EB6" w:rsidP="00721EB6">
      <w:pPr>
        <w:pStyle w:val="Podnadpis"/>
        <w:rPr>
          <w:color w:val="000000" w:themeColor="text1"/>
        </w:rPr>
      </w:pPr>
      <w:bookmarkStart w:id="1123" w:name="_Toc169250977"/>
      <w:bookmarkStart w:id="1124" w:name="_Toc174080663"/>
      <w:bookmarkStart w:id="1125" w:name="_Toc193530814"/>
      <w:bookmarkStart w:id="1126" w:name="_Toc193634088"/>
      <w:bookmarkStart w:id="1127" w:name="_Toc20303288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59</w:t>
      </w:r>
      <w:r w:rsidRPr="00033A3F">
        <w:rPr>
          <w:color w:val="000000" w:themeColor="text1"/>
        </w:rPr>
        <w:fldChar w:fldCharType="end"/>
      </w:r>
      <w:r w:rsidRPr="00033A3F">
        <w:rPr>
          <w:color w:val="000000" w:themeColor="text1"/>
        </w:rPr>
        <w:t>: KS – distribuce délek civilního řízení, 202</w:t>
      </w:r>
      <w:bookmarkEnd w:id="1123"/>
      <w:bookmarkEnd w:id="1124"/>
      <w:r w:rsidRPr="00033A3F">
        <w:rPr>
          <w:color w:val="000000" w:themeColor="text1"/>
        </w:rPr>
        <w:t>4</w:t>
      </w:r>
      <w:bookmarkEnd w:id="1125"/>
      <w:bookmarkEnd w:id="1126"/>
      <w:bookmarkEnd w:id="1127"/>
    </w:p>
    <w:p w14:paraId="74355AEC" w14:textId="624757F8" w:rsidR="00754E1D" w:rsidRPr="00033A3F" w:rsidRDefault="00721EB6" w:rsidP="00754E1D">
      <w:pPr>
        <w:rPr>
          <w:color w:val="000000" w:themeColor="text1"/>
        </w:rPr>
      </w:pPr>
      <w:r w:rsidRPr="00033A3F">
        <w:rPr>
          <w:noProof/>
          <w:color w:val="000000" w:themeColor="text1"/>
          <w:lang w:eastAsia="cs-CZ"/>
        </w:rPr>
        <w:drawing>
          <wp:inline distT="0" distB="0" distL="0" distR="0" wp14:anchorId="2820083D" wp14:editId="0783D365">
            <wp:extent cx="5029200" cy="3657600"/>
            <wp:effectExtent l="0" t="0" r="0" b="0"/>
            <wp:docPr id="1090159259"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2569AB7" w14:textId="77777777" w:rsidR="00721EB6" w:rsidRPr="00033A3F" w:rsidRDefault="00721EB6" w:rsidP="00754E1D">
      <w:pPr>
        <w:rPr>
          <w:color w:val="000000" w:themeColor="text1"/>
        </w:rPr>
      </w:pPr>
    </w:p>
    <w:p w14:paraId="61EE4144" w14:textId="77777777" w:rsidR="00721EB6" w:rsidRPr="00033A3F" w:rsidRDefault="00721EB6" w:rsidP="00721EB6">
      <w:pPr>
        <w:pStyle w:val="OdstavecASR"/>
        <w:rPr>
          <w:color w:val="000000" w:themeColor="text1"/>
        </w:rPr>
      </w:pPr>
      <w:r w:rsidRPr="00033A3F">
        <w:rPr>
          <w:color w:val="000000" w:themeColor="text1"/>
        </w:rPr>
        <w:t>Situace je nicméně lepší, než by se z výše uvedeného mohlo zdát, a to z následujících důvodů:</w:t>
      </w:r>
    </w:p>
    <w:p w14:paraId="0C4AB721" w14:textId="6606B99B" w:rsidR="00721EB6" w:rsidRPr="00033A3F" w:rsidRDefault="00721EB6" w:rsidP="00721EB6">
      <w:pPr>
        <w:pStyle w:val="OdstavecASR"/>
        <w:numPr>
          <w:ilvl w:val="0"/>
          <w:numId w:val="11"/>
        </w:numPr>
        <w:rPr>
          <w:color w:val="000000" w:themeColor="text1"/>
        </w:rPr>
      </w:pPr>
      <w:r w:rsidRPr="00033A3F">
        <w:rPr>
          <w:color w:val="000000" w:themeColor="text1"/>
        </w:rPr>
        <w:t>Jak je vidět v další podkapitole, počet nevyřízených věcí trvale klesal až do roku 2022. Od roku 2011 klesl počet nevyřízených věcí téměř na třetinu (ze 44 618 na 13 210, tedy asi o 70 %). V tom samozřejmě hraje velkou roli i převod vybrané agendy na OS.</w:t>
      </w:r>
    </w:p>
    <w:p w14:paraId="29603645" w14:textId="77777777" w:rsidR="00721EB6" w:rsidRPr="00033A3F" w:rsidRDefault="00721EB6" w:rsidP="00721EB6">
      <w:pPr>
        <w:pStyle w:val="OdstavecASR"/>
        <w:numPr>
          <w:ilvl w:val="0"/>
          <w:numId w:val="11"/>
        </w:numPr>
        <w:rPr>
          <w:color w:val="000000" w:themeColor="text1"/>
        </w:rPr>
      </w:pPr>
      <w:r w:rsidRPr="00033A3F">
        <w:rPr>
          <w:color w:val="000000" w:themeColor="text1"/>
        </w:rPr>
        <w:t>Počty déle nevyřízených věcí (přes 3 roky, přes 5 let či přes 7 let) v posledních letech také klesal. To také samozřejmě může ovlivnit vykázanou délku řízení.</w:t>
      </w:r>
    </w:p>
    <w:p w14:paraId="6B0EC144" w14:textId="14D3E65C" w:rsidR="00721EB6" w:rsidRPr="00033A3F" w:rsidRDefault="00721EB6" w:rsidP="00721EB6">
      <w:pPr>
        <w:pStyle w:val="OdstavecASR"/>
        <w:numPr>
          <w:ilvl w:val="0"/>
          <w:numId w:val="11"/>
        </w:numPr>
        <w:rPr>
          <w:color w:val="000000" w:themeColor="text1"/>
        </w:rPr>
      </w:pPr>
      <w:r w:rsidRPr="00033A3F">
        <w:rPr>
          <w:color w:val="000000" w:themeColor="text1"/>
        </w:rPr>
        <w:t>Především je však velká část věcí přerušena z důvodu rozhodnutí o úpadku či konkursu s tím, že do vykazované délky řízení se tato doba promítne. Data ze statistických listů bohužel neumožňují očištění o tuto dobu nebo o řízení, která byla takto přerušena, přestože by takovéto očištění bylo korektní. Můžeme alespoň odhadnout, jak velký vliv tato kategorie věcí má. Například data z výkazů ukazují, že k 31. 12. 202</w:t>
      </w:r>
      <w:r w:rsidR="004C3C48" w:rsidRPr="00033A3F">
        <w:rPr>
          <w:color w:val="000000" w:themeColor="text1"/>
        </w:rPr>
        <w:t>4</w:t>
      </w:r>
      <w:r w:rsidRPr="00033A3F">
        <w:rPr>
          <w:color w:val="000000" w:themeColor="text1"/>
        </w:rPr>
        <w:t xml:space="preserve"> bylo v rejstříku Cm nevyřízeno déle než 5 let 1 </w:t>
      </w:r>
      <w:r w:rsidR="004C3C48" w:rsidRPr="00033A3F">
        <w:rPr>
          <w:color w:val="000000" w:themeColor="text1"/>
        </w:rPr>
        <w:t>206</w:t>
      </w:r>
      <w:r w:rsidRPr="00033A3F">
        <w:rPr>
          <w:color w:val="000000" w:themeColor="text1"/>
        </w:rPr>
        <w:t xml:space="preserve"> věcí, z důvodu rozhodnutí o úpadku/prohlášení konkursu 1 026 věcí, tedy asi </w:t>
      </w:r>
      <w:r w:rsidR="004C3C48" w:rsidRPr="00033A3F">
        <w:rPr>
          <w:color w:val="000000" w:themeColor="text1"/>
        </w:rPr>
        <w:t>55</w:t>
      </w:r>
      <w:r w:rsidRPr="00033A3F">
        <w:rPr>
          <w:color w:val="000000" w:themeColor="text1"/>
        </w:rPr>
        <w:t> %. Tyto věci se samozřejmě nakonec objeví ve statistických listech a výrazně ovlivní délku řízení. Velká část z nich ale nevypovídá o fungování soudu.</w:t>
      </w:r>
    </w:p>
    <w:p w14:paraId="3019437E" w14:textId="77777777" w:rsidR="00721EB6" w:rsidRPr="00033A3F" w:rsidRDefault="00721EB6" w:rsidP="00721EB6">
      <w:pPr>
        <w:pStyle w:val="OdstavecASR"/>
        <w:numPr>
          <w:ilvl w:val="0"/>
          <w:numId w:val="11"/>
        </w:numPr>
        <w:rPr>
          <w:color w:val="000000" w:themeColor="text1"/>
        </w:rPr>
      </w:pPr>
      <w:r w:rsidRPr="00033A3F">
        <w:rPr>
          <w:color w:val="000000" w:themeColor="text1"/>
        </w:rPr>
        <w:t>Z výše uvedeného důvodu doporučujeme sledovat u této agendy v zásadě jen medián (který činí dlouhodobě asi 10 měsíců až rok). Průměr a percentil 90 jsou příliš ovlivněny malým počtem věcí, které vykazují obrovskou délku řízení právě kvůli přerušení z důvodu rozhodnutí o úpadku či konkursu. Průměr a percentil 90 jsou tak uvedeny spíše kvůli zachování stejného formátu v rámci této zprávy.</w:t>
      </w:r>
    </w:p>
    <w:p w14:paraId="45999154" w14:textId="6E2164DE" w:rsidR="008430BD" w:rsidRPr="00033A3F" w:rsidRDefault="008430BD" w:rsidP="008430BD">
      <w:pPr>
        <w:pStyle w:val="Nadpis3"/>
        <w:numPr>
          <w:ilvl w:val="2"/>
          <w:numId w:val="1"/>
        </w:numPr>
        <w:rPr>
          <w:color w:val="000000" w:themeColor="text1"/>
        </w:rPr>
      </w:pPr>
      <w:bookmarkStart w:id="1128" w:name="_Toc515871250"/>
      <w:bookmarkStart w:id="1129" w:name="_Toc106092754"/>
      <w:bookmarkStart w:id="1130" w:name="_Toc169250830"/>
      <w:bookmarkStart w:id="1131" w:name="_Toc193530992"/>
      <w:bookmarkStart w:id="1132" w:name="_Toc193957048"/>
      <w:bookmarkStart w:id="1133" w:name="_Toc203032738"/>
      <w:r w:rsidRPr="00033A3F">
        <w:rPr>
          <w:color w:val="000000" w:themeColor="text1"/>
        </w:rPr>
        <w:lastRenderedPageBreak/>
        <w:t>Vyřizování věcí</w:t>
      </w:r>
      <w:bookmarkEnd w:id="1128"/>
      <w:bookmarkEnd w:id="1129"/>
      <w:bookmarkEnd w:id="1130"/>
      <w:bookmarkEnd w:id="1131"/>
      <w:bookmarkEnd w:id="1132"/>
      <w:bookmarkEnd w:id="1133"/>
    </w:p>
    <w:p w14:paraId="502C0403" w14:textId="4B142407" w:rsidR="004C3C48" w:rsidRPr="00033A3F" w:rsidRDefault="004C3C48" w:rsidP="009B2238">
      <w:pPr>
        <w:rPr>
          <w:color w:val="000000" w:themeColor="text1"/>
        </w:rPr>
      </w:pPr>
      <w:r w:rsidRPr="00033A3F">
        <w:rPr>
          <w:color w:val="000000" w:themeColor="text1"/>
        </w:rPr>
        <w:t xml:space="preserve">Do časových řad se opět promítá zavedení elektronického platebního rozkazu, ale i změny ve vedení statistik a převod části agendy z krajských soudů na okresní. I přes tyto vlivy však můžeme bezpečně dojít k závěru, že počet napadlých civilních a obchodních věcí </w:t>
      </w:r>
      <w:r w:rsidR="009B2238" w:rsidRPr="00033A3F">
        <w:rPr>
          <w:color w:val="000000" w:themeColor="text1"/>
        </w:rPr>
        <w:t>  měl v letech 2013 až 2020 zjevnou klesající tendenci. Od roku 2021 je trend mírně stoupající</w:t>
      </w:r>
      <w:r w:rsidR="00631987" w:rsidRPr="00033A3F">
        <w:rPr>
          <w:color w:val="000000" w:themeColor="text1"/>
        </w:rPr>
        <w:t xml:space="preserve"> a</w:t>
      </w:r>
      <w:r w:rsidR="009B2238" w:rsidRPr="00033A3F">
        <w:rPr>
          <w:color w:val="000000" w:themeColor="text1"/>
        </w:rPr>
        <w:t xml:space="preserve"> v </w:t>
      </w:r>
      <w:r w:rsidRPr="00033A3F">
        <w:rPr>
          <w:color w:val="000000" w:themeColor="text1"/>
        </w:rPr>
        <w:t>roce 2023 náhle došlo k</w:t>
      </w:r>
      <w:r w:rsidR="00327519" w:rsidRPr="00033A3F">
        <w:rPr>
          <w:color w:val="000000" w:themeColor="text1"/>
        </w:rPr>
        <w:t> </w:t>
      </w:r>
      <w:r w:rsidRPr="00033A3F">
        <w:rPr>
          <w:color w:val="000000" w:themeColor="text1"/>
        </w:rPr>
        <w:t>nemalému nárůstu v počtu příchozích věcí z 23 156 na 27 133, tedy o 17,1 %. Soudy na to nedokázaly reagovat a počet nevyřízených věcí poprvé</w:t>
      </w:r>
      <w:r w:rsidR="009B2238" w:rsidRPr="00033A3F">
        <w:rPr>
          <w:color w:val="000000" w:themeColor="text1"/>
        </w:rPr>
        <w:t xml:space="preserve"> od roku 2011</w:t>
      </w:r>
      <w:r w:rsidRPr="00033A3F">
        <w:rPr>
          <w:color w:val="000000" w:themeColor="text1"/>
        </w:rPr>
        <w:t xml:space="preserve"> významně narostl. V roce 2024 zůstal počet příchozích věcí na stejné úrovni, ale so</w:t>
      </w:r>
      <w:r w:rsidR="00B14528" w:rsidRPr="00033A3F">
        <w:rPr>
          <w:color w:val="000000" w:themeColor="text1"/>
        </w:rPr>
        <w:t>u</w:t>
      </w:r>
      <w:r w:rsidRPr="00033A3F">
        <w:rPr>
          <w:color w:val="000000" w:themeColor="text1"/>
        </w:rPr>
        <w:t>dy dokázaly vyřídit více věcí. Počet nevyřízených věcí stále stoup</w:t>
      </w:r>
      <w:r w:rsidR="008948E6" w:rsidRPr="00033A3F">
        <w:rPr>
          <w:color w:val="000000" w:themeColor="text1"/>
        </w:rPr>
        <w:t>á</w:t>
      </w:r>
      <w:r w:rsidRPr="00033A3F">
        <w:rPr>
          <w:color w:val="000000" w:themeColor="text1"/>
        </w:rPr>
        <w:t>, ale zdá se, že situace se stabilizovala.</w:t>
      </w:r>
    </w:p>
    <w:p w14:paraId="43A2CAE5" w14:textId="77777777" w:rsidR="004C3C48" w:rsidRPr="00033A3F" w:rsidRDefault="004C3C48" w:rsidP="004C3C48">
      <w:pPr>
        <w:pStyle w:val="OdstavecASR"/>
        <w:rPr>
          <w:color w:val="000000" w:themeColor="text1"/>
        </w:rPr>
      </w:pPr>
      <w:r w:rsidRPr="00033A3F">
        <w:rPr>
          <w:color w:val="000000" w:themeColor="text1"/>
        </w:rPr>
        <w:t>Hlubší analýza zmíněného klesajícího trendu přesahuje rozsah této zprávy. V krátkosti však můžeme uvést, že za pokles v nápadu je do velké míry zodpovědný již dříve zmíněný převod velkého množství obchodních řízení z krajských soudů na okresní v roce 2014 (v návaznosti na o. z. se změnila věcná příslušnost soudů k vedení těchto řízení). Graf níže zobrazuje vývoj v počtu příchozích, vyřízených a nevyřízených věcí a za ním následující graf se zaměřuje pouze na rejstřík Cm. Z obou grafů vyplývá, že většinu prvostupňové občanskoprávní a obchodněprávní agendy tvoří rejstřík Cm, tedy obchodněprávní spory.</w:t>
      </w:r>
    </w:p>
    <w:p w14:paraId="5D1CEA82" w14:textId="23AF3708" w:rsidR="008477F4" w:rsidRPr="00033A3F" w:rsidRDefault="008477F4" w:rsidP="008477F4">
      <w:pPr>
        <w:pStyle w:val="Podnadpis"/>
        <w:numPr>
          <w:ilvl w:val="0"/>
          <w:numId w:val="0"/>
        </w:numPr>
        <w:rPr>
          <w:color w:val="000000" w:themeColor="text1"/>
        </w:rPr>
      </w:pPr>
      <w:bookmarkStart w:id="1134" w:name="_Toc515871382"/>
      <w:bookmarkStart w:id="1135" w:name="_Toc11135113"/>
      <w:bookmarkStart w:id="1136" w:name="_Toc43841432"/>
      <w:bookmarkStart w:id="1137" w:name="_Toc75952235"/>
      <w:bookmarkStart w:id="1138" w:name="_Toc106106692"/>
      <w:bookmarkStart w:id="1139" w:name="_Toc144104166"/>
      <w:bookmarkStart w:id="1140" w:name="_Toc169250978"/>
      <w:bookmarkStart w:id="1141" w:name="_Toc174080664"/>
      <w:bookmarkStart w:id="1142" w:name="_Toc193530815"/>
      <w:bookmarkStart w:id="1143" w:name="_Toc193634089"/>
      <w:bookmarkStart w:id="1144" w:name="_Toc20303288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60</w:t>
      </w:r>
      <w:r w:rsidRPr="00033A3F">
        <w:rPr>
          <w:color w:val="000000" w:themeColor="text1"/>
        </w:rPr>
        <w:fldChar w:fldCharType="end"/>
      </w:r>
      <w:r w:rsidRPr="00033A3F">
        <w:rPr>
          <w:color w:val="000000" w:themeColor="text1"/>
        </w:rPr>
        <w:t>: KS – vyřizování prvostupňových civilních věcí v letech 20</w:t>
      </w:r>
      <w:bookmarkEnd w:id="1134"/>
      <w:bookmarkEnd w:id="1135"/>
      <w:bookmarkEnd w:id="1136"/>
      <w:bookmarkEnd w:id="1137"/>
      <w:bookmarkEnd w:id="1138"/>
      <w:bookmarkEnd w:id="1139"/>
      <w:r w:rsidRPr="00033A3F">
        <w:rPr>
          <w:color w:val="000000" w:themeColor="text1"/>
        </w:rPr>
        <w:t>15–202</w:t>
      </w:r>
      <w:bookmarkEnd w:id="1140"/>
      <w:bookmarkEnd w:id="1141"/>
      <w:r w:rsidRPr="00033A3F">
        <w:rPr>
          <w:color w:val="000000" w:themeColor="text1"/>
        </w:rPr>
        <w:t>4</w:t>
      </w:r>
      <w:bookmarkEnd w:id="1142"/>
      <w:bookmarkEnd w:id="1143"/>
      <w:bookmarkEnd w:id="1144"/>
    </w:p>
    <w:p w14:paraId="4DDEED77" w14:textId="49959674" w:rsidR="008477F4" w:rsidRPr="00033A3F" w:rsidRDefault="004C3C48" w:rsidP="008477F4">
      <w:pPr>
        <w:rPr>
          <w:color w:val="000000" w:themeColor="text1"/>
        </w:rPr>
      </w:pPr>
      <w:r w:rsidRPr="00033A3F">
        <w:rPr>
          <w:noProof/>
          <w:color w:val="000000" w:themeColor="text1"/>
          <w:lang w:eastAsia="cs-CZ"/>
        </w:rPr>
        <w:drawing>
          <wp:inline distT="0" distB="0" distL="0" distR="0" wp14:anchorId="4C08A53A" wp14:editId="73A0D0DB">
            <wp:extent cx="5029200" cy="3657600"/>
            <wp:effectExtent l="0" t="0" r="0" b="0"/>
            <wp:docPr id="767465563"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A4369F3" w14:textId="77777777" w:rsidR="004C3C48" w:rsidRPr="00033A3F" w:rsidRDefault="004C3C48" w:rsidP="008477F4">
      <w:pPr>
        <w:rPr>
          <w:color w:val="000000" w:themeColor="text1"/>
        </w:rPr>
      </w:pPr>
    </w:p>
    <w:p w14:paraId="7B59D8EA" w14:textId="27658122" w:rsidR="004C3C48" w:rsidRPr="00033A3F" w:rsidRDefault="004C3C48" w:rsidP="004C3C48">
      <w:pPr>
        <w:pStyle w:val="Podnadpis"/>
        <w:rPr>
          <w:color w:val="000000" w:themeColor="text1"/>
        </w:rPr>
      </w:pPr>
      <w:bookmarkStart w:id="1145" w:name="_Toc75952236"/>
      <w:bookmarkStart w:id="1146" w:name="_Toc106106693"/>
      <w:bookmarkStart w:id="1147" w:name="_Toc109802017"/>
      <w:bookmarkStart w:id="1148" w:name="_Toc144104167"/>
      <w:bookmarkStart w:id="1149" w:name="_Toc169250979"/>
      <w:bookmarkStart w:id="1150" w:name="_Toc174080665"/>
      <w:bookmarkStart w:id="1151" w:name="_Toc193530816"/>
      <w:bookmarkStart w:id="1152" w:name="_Toc193634090"/>
      <w:bookmarkStart w:id="1153" w:name="_Toc203032888"/>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61</w:t>
      </w:r>
      <w:r w:rsidRPr="00033A3F">
        <w:rPr>
          <w:color w:val="000000" w:themeColor="text1"/>
        </w:rPr>
        <w:fldChar w:fldCharType="end"/>
      </w:r>
      <w:r w:rsidRPr="00033A3F">
        <w:rPr>
          <w:color w:val="000000" w:themeColor="text1"/>
        </w:rPr>
        <w:t>: KS – vyřizování věcí v letech 2014–</w:t>
      </w:r>
      <w:r w:rsidR="00936B01" w:rsidRPr="00033A3F">
        <w:rPr>
          <w:color w:val="000000" w:themeColor="text1"/>
        </w:rPr>
        <w:t>2024</w:t>
      </w:r>
      <w:r w:rsidRPr="00033A3F">
        <w:rPr>
          <w:color w:val="000000" w:themeColor="text1"/>
        </w:rPr>
        <w:t>, pouze rejstřík Cm</w:t>
      </w:r>
      <w:bookmarkEnd w:id="1145"/>
      <w:bookmarkEnd w:id="1146"/>
      <w:bookmarkEnd w:id="1147"/>
      <w:bookmarkEnd w:id="1148"/>
      <w:bookmarkEnd w:id="1149"/>
      <w:bookmarkEnd w:id="1150"/>
      <w:bookmarkEnd w:id="1151"/>
      <w:bookmarkEnd w:id="1152"/>
      <w:bookmarkEnd w:id="1153"/>
    </w:p>
    <w:p w14:paraId="1D7D6F04" w14:textId="11DBA6F6" w:rsidR="004C3C48" w:rsidRPr="00033A3F" w:rsidRDefault="004C3C48" w:rsidP="008477F4">
      <w:pPr>
        <w:rPr>
          <w:color w:val="000000" w:themeColor="text1"/>
        </w:rPr>
      </w:pPr>
      <w:r w:rsidRPr="00033A3F">
        <w:rPr>
          <w:noProof/>
          <w:color w:val="000000" w:themeColor="text1"/>
          <w:lang w:eastAsia="cs-CZ"/>
        </w:rPr>
        <w:drawing>
          <wp:inline distT="0" distB="0" distL="0" distR="0" wp14:anchorId="4BBE73CF" wp14:editId="6AD54017">
            <wp:extent cx="5029200" cy="3657600"/>
            <wp:effectExtent l="0" t="0" r="0" b="0"/>
            <wp:docPr id="1959951434"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536A811" w14:textId="6C07C7B4" w:rsidR="004C3C48" w:rsidRPr="00033A3F" w:rsidRDefault="004C3C48" w:rsidP="004C3C48">
      <w:pPr>
        <w:pStyle w:val="Podnadpis"/>
        <w:rPr>
          <w:color w:val="000000" w:themeColor="text1"/>
        </w:rPr>
      </w:pPr>
      <w:bookmarkStart w:id="1154" w:name="_Toc106106804"/>
      <w:bookmarkStart w:id="1155" w:name="_Toc109802127"/>
      <w:bookmarkStart w:id="1156" w:name="_Toc144104285"/>
      <w:bookmarkStart w:id="1157" w:name="_Toc169251097"/>
      <w:bookmarkStart w:id="1158" w:name="_Toc174080783"/>
      <w:bookmarkStart w:id="1159" w:name="_Toc193530913"/>
      <w:bookmarkStart w:id="1160" w:name="_Toc194045609"/>
      <w:bookmarkStart w:id="1161" w:name="_Toc199495019"/>
      <w:bookmarkStart w:id="1162" w:name="_Toc203033080"/>
      <w:bookmarkStart w:id="1163" w:name="_Toc203033158"/>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38</w:t>
      </w:r>
      <w:r w:rsidRPr="00033A3F">
        <w:rPr>
          <w:color w:val="000000" w:themeColor="text1"/>
        </w:rPr>
        <w:fldChar w:fldCharType="end"/>
      </w:r>
      <w:r w:rsidRPr="00033A3F">
        <w:rPr>
          <w:color w:val="000000" w:themeColor="text1"/>
        </w:rPr>
        <w:t>: KS – vyřizování prvostupňových civilních věcí dle soudů</w:t>
      </w:r>
      <w:bookmarkEnd w:id="1154"/>
      <w:bookmarkEnd w:id="1155"/>
      <w:bookmarkEnd w:id="1156"/>
      <w:r w:rsidRPr="00033A3F">
        <w:rPr>
          <w:color w:val="000000" w:themeColor="text1"/>
        </w:rPr>
        <w:t>, 202</w:t>
      </w:r>
      <w:bookmarkEnd w:id="1157"/>
      <w:bookmarkEnd w:id="1158"/>
      <w:r w:rsidRPr="00033A3F">
        <w:rPr>
          <w:color w:val="000000" w:themeColor="text1"/>
        </w:rPr>
        <w:t>4</w:t>
      </w:r>
      <w:bookmarkEnd w:id="1159"/>
      <w:bookmarkEnd w:id="1160"/>
      <w:bookmarkEnd w:id="1161"/>
      <w:bookmarkEnd w:id="1162"/>
      <w:bookmarkEnd w:id="1163"/>
    </w:p>
    <w:tbl>
      <w:tblPr>
        <w:tblW w:w="9140" w:type="dxa"/>
        <w:tblCellMar>
          <w:left w:w="70" w:type="dxa"/>
          <w:right w:w="70" w:type="dxa"/>
        </w:tblCellMar>
        <w:tblLook w:val="04A0" w:firstRow="1" w:lastRow="0" w:firstColumn="1" w:lastColumn="0" w:noHBand="0" w:noVBand="1"/>
      </w:tblPr>
      <w:tblGrid>
        <w:gridCol w:w="2020"/>
        <w:gridCol w:w="1175"/>
        <w:gridCol w:w="1018"/>
        <w:gridCol w:w="1006"/>
        <w:gridCol w:w="872"/>
        <w:gridCol w:w="952"/>
        <w:gridCol w:w="872"/>
        <w:gridCol w:w="1225"/>
      </w:tblGrid>
      <w:tr w:rsidR="00033A3F" w:rsidRPr="00033A3F" w14:paraId="68A2F0A1" w14:textId="77777777" w:rsidTr="00E2334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72A4DCD5"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895" w:type="dxa"/>
            <w:gridSpan w:val="6"/>
            <w:tcBorders>
              <w:top w:val="double" w:sz="6" w:space="0" w:color="auto"/>
              <w:left w:val="nil"/>
              <w:bottom w:val="nil"/>
              <w:right w:val="single" w:sz="4" w:space="0" w:color="000000"/>
            </w:tcBorders>
            <w:shd w:val="clear" w:color="auto" w:fill="auto"/>
            <w:noWrap/>
            <w:vAlign w:val="center"/>
            <w:hideMark/>
          </w:tcPr>
          <w:p w14:paraId="39B8C526"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25" w:type="dxa"/>
            <w:vMerge w:val="restart"/>
            <w:tcBorders>
              <w:top w:val="double" w:sz="6" w:space="0" w:color="auto"/>
              <w:left w:val="nil"/>
              <w:bottom w:val="double" w:sz="6" w:space="0" w:color="000000"/>
              <w:right w:val="nil"/>
            </w:tcBorders>
            <w:shd w:val="clear" w:color="auto" w:fill="auto"/>
            <w:vAlign w:val="center"/>
            <w:hideMark/>
          </w:tcPr>
          <w:p w14:paraId="007020B2"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63757706" w14:textId="77777777" w:rsidTr="00E23341">
        <w:trPr>
          <w:trHeight w:val="330"/>
        </w:trPr>
        <w:tc>
          <w:tcPr>
            <w:tcW w:w="2020" w:type="dxa"/>
            <w:vMerge/>
            <w:tcBorders>
              <w:top w:val="double" w:sz="6" w:space="0" w:color="auto"/>
              <w:left w:val="nil"/>
              <w:bottom w:val="double" w:sz="6" w:space="0" w:color="000000"/>
              <w:right w:val="nil"/>
            </w:tcBorders>
            <w:vAlign w:val="center"/>
            <w:hideMark/>
          </w:tcPr>
          <w:p w14:paraId="4DF63185" w14:textId="77777777" w:rsidR="001C1DE9" w:rsidRPr="00033A3F" w:rsidRDefault="001C1DE9" w:rsidP="001C1DE9">
            <w:pPr>
              <w:spacing w:line="240" w:lineRule="auto"/>
              <w:jc w:val="left"/>
              <w:rPr>
                <w:rFonts w:eastAsia="Times New Roman"/>
                <w:b/>
                <w:bCs/>
                <w:color w:val="000000" w:themeColor="text1"/>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78D6A93C"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87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E274E8B"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24" w:type="dxa"/>
            <w:gridSpan w:val="2"/>
            <w:tcBorders>
              <w:top w:val="nil"/>
              <w:left w:val="nil"/>
              <w:bottom w:val="double" w:sz="6" w:space="0" w:color="auto"/>
              <w:right w:val="single" w:sz="4" w:space="0" w:color="000000"/>
            </w:tcBorders>
            <w:shd w:val="clear" w:color="auto" w:fill="auto"/>
            <w:noWrap/>
            <w:vAlign w:val="center"/>
            <w:hideMark/>
          </w:tcPr>
          <w:p w14:paraId="24FD0C21"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25" w:type="dxa"/>
            <w:vMerge/>
            <w:tcBorders>
              <w:top w:val="double" w:sz="6" w:space="0" w:color="auto"/>
              <w:left w:val="nil"/>
              <w:bottom w:val="double" w:sz="6" w:space="0" w:color="000000"/>
              <w:right w:val="nil"/>
            </w:tcBorders>
            <w:vAlign w:val="center"/>
            <w:hideMark/>
          </w:tcPr>
          <w:p w14:paraId="1AC71B77" w14:textId="77777777" w:rsidR="001C1DE9" w:rsidRPr="00033A3F" w:rsidRDefault="001C1DE9" w:rsidP="001C1DE9">
            <w:pPr>
              <w:spacing w:line="240" w:lineRule="auto"/>
              <w:jc w:val="left"/>
              <w:rPr>
                <w:rFonts w:eastAsia="Times New Roman"/>
                <w:b/>
                <w:bCs/>
                <w:color w:val="000000" w:themeColor="text1"/>
                <w:szCs w:val="24"/>
                <w:lang w:eastAsia="cs-CZ"/>
              </w:rPr>
            </w:pPr>
          </w:p>
        </w:tc>
      </w:tr>
      <w:tr w:rsidR="00033A3F" w:rsidRPr="00033A3F" w14:paraId="50EE3E84" w14:textId="77777777" w:rsidTr="00E23341">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C64165E"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175" w:type="dxa"/>
            <w:tcBorders>
              <w:top w:val="single" w:sz="4" w:space="0" w:color="auto"/>
              <w:left w:val="nil"/>
              <w:bottom w:val="single" w:sz="4" w:space="0" w:color="auto"/>
              <w:right w:val="nil"/>
            </w:tcBorders>
            <w:shd w:val="clear" w:color="auto" w:fill="auto"/>
            <w:noWrap/>
            <w:vAlign w:val="bottom"/>
            <w:hideMark/>
          </w:tcPr>
          <w:p w14:paraId="16BAF14A"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15 245</w:t>
            </w:r>
          </w:p>
        </w:tc>
        <w:tc>
          <w:tcPr>
            <w:tcW w:w="1018" w:type="dxa"/>
            <w:tcBorders>
              <w:top w:val="single" w:sz="4" w:space="0" w:color="auto"/>
              <w:left w:val="nil"/>
              <w:bottom w:val="single" w:sz="4" w:space="0" w:color="auto"/>
              <w:right w:val="nil"/>
            </w:tcBorders>
            <w:shd w:val="clear" w:color="auto" w:fill="auto"/>
            <w:noWrap/>
            <w:vAlign w:val="center"/>
            <w:hideMark/>
          </w:tcPr>
          <w:p w14:paraId="1CC74EE5" w14:textId="32A0F49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006" w:type="dxa"/>
            <w:tcBorders>
              <w:top w:val="single" w:sz="4" w:space="0" w:color="auto"/>
              <w:left w:val="single" w:sz="4" w:space="0" w:color="auto"/>
              <w:bottom w:val="single" w:sz="4" w:space="0" w:color="auto"/>
              <w:right w:val="nil"/>
            </w:tcBorders>
            <w:shd w:val="clear" w:color="auto" w:fill="auto"/>
            <w:noWrap/>
            <w:vAlign w:val="bottom"/>
            <w:hideMark/>
          </w:tcPr>
          <w:p w14:paraId="252A64B6"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15 033</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14:paraId="66665276" w14:textId="63D370A2"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52" w:type="dxa"/>
            <w:tcBorders>
              <w:top w:val="single" w:sz="4" w:space="0" w:color="auto"/>
              <w:left w:val="nil"/>
              <w:bottom w:val="single" w:sz="4" w:space="0" w:color="auto"/>
              <w:right w:val="nil"/>
            </w:tcBorders>
            <w:shd w:val="clear" w:color="auto" w:fill="auto"/>
            <w:noWrap/>
            <w:vAlign w:val="bottom"/>
            <w:hideMark/>
          </w:tcPr>
          <w:p w14:paraId="7E76697B"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6 520</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14:paraId="1FB9941D" w14:textId="4194F0C3" w:rsidR="001C1DE9" w:rsidRPr="00033A3F" w:rsidRDefault="001C1DE9" w:rsidP="001C1DE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225" w:type="dxa"/>
            <w:tcBorders>
              <w:top w:val="nil"/>
              <w:left w:val="nil"/>
              <w:bottom w:val="single" w:sz="4" w:space="0" w:color="auto"/>
              <w:right w:val="nil"/>
            </w:tcBorders>
            <w:shd w:val="clear" w:color="auto" w:fill="auto"/>
            <w:noWrap/>
            <w:vAlign w:val="center"/>
            <w:hideMark/>
          </w:tcPr>
          <w:p w14:paraId="2D73DCE6" w14:textId="6F6ADBE0"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98,6 %</w:t>
            </w:r>
          </w:p>
        </w:tc>
      </w:tr>
      <w:tr w:rsidR="00033A3F" w:rsidRPr="00033A3F" w14:paraId="5FC08867"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EE13B6C"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175" w:type="dxa"/>
            <w:tcBorders>
              <w:top w:val="nil"/>
              <w:left w:val="nil"/>
              <w:bottom w:val="single" w:sz="4" w:space="0" w:color="auto"/>
              <w:right w:val="nil"/>
            </w:tcBorders>
            <w:shd w:val="clear" w:color="auto" w:fill="auto"/>
            <w:noWrap/>
            <w:vAlign w:val="bottom"/>
            <w:hideMark/>
          </w:tcPr>
          <w:p w14:paraId="01B1868A"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427</w:t>
            </w:r>
          </w:p>
        </w:tc>
        <w:tc>
          <w:tcPr>
            <w:tcW w:w="1018" w:type="dxa"/>
            <w:tcBorders>
              <w:top w:val="nil"/>
              <w:left w:val="nil"/>
              <w:bottom w:val="single" w:sz="4" w:space="0" w:color="auto"/>
              <w:right w:val="nil"/>
            </w:tcBorders>
            <w:shd w:val="clear" w:color="auto" w:fill="auto"/>
            <w:noWrap/>
            <w:vAlign w:val="center"/>
            <w:hideMark/>
          </w:tcPr>
          <w:p w14:paraId="1283099E" w14:textId="09E530A0"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06" w:type="dxa"/>
            <w:tcBorders>
              <w:top w:val="nil"/>
              <w:left w:val="single" w:sz="4" w:space="0" w:color="auto"/>
              <w:bottom w:val="single" w:sz="4" w:space="0" w:color="auto"/>
              <w:right w:val="nil"/>
            </w:tcBorders>
            <w:shd w:val="clear" w:color="auto" w:fill="auto"/>
            <w:noWrap/>
            <w:vAlign w:val="bottom"/>
            <w:hideMark/>
          </w:tcPr>
          <w:p w14:paraId="4814AFB1"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444</w:t>
            </w:r>
          </w:p>
        </w:tc>
        <w:tc>
          <w:tcPr>
            <w:tcW w:w="872" w:type="dxa"/>
            <w:tcBorders>
              <w:top w:val="nil"/>
              <w:left w:val="nil"/>
              <w:bottom w:val="single" w:sz="4" w:space="0" w:color="auto"/>
              <w:right w:val="single" w:sz="4" w:space="0" w:color="auto"/>
            </w:tcBorders>
            <w:shd w:val="clear" w:color="auto" w:fill="auto"/>
            <w:noWrap/>
            <w:vAlign w:val="center"/>
            <w:hideMark/>
          </w:tcPr>
          <w:p w14:paraId="5CA4FA1B" w14:textId="38871E0D"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952" w:type="dxa"/>
            <w:tcBorders>
              <w:top w:val="nil"/>
              <w:left w:val="nil"/>
              <w:bottom w:val="single" w:sz="4" w:space="0" w:color="auto"/>
              <w:right w:val="nil"/>
            </w:tcBorders>
            <w:shd w:val="clear" w:color="auto" w:fill="auto"/>
            <w:noWrap/>
            <w:vAlign w:val="bottom"/>
            <w:hideMark/>
          </w:tcPr>
          <w:p w14:paraId="401BD1B9"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214</w:t>
            </w:r>
          </w:p>
        </w:tc>
        <w:tc>
          <w:tcPr>
            <w:tcW w:w="872" w:type="dxa"/>
            <w:tcBorders>
              <w:top w:val="nil"/>
              <w:left w:val="nil"/>
              <w:bottom w:val="single" w:sz="4" w:space="0" w:color="auto"/>
              <w:right w:val="single" w:sz="4" w:space="0" w:color="auto"/>
            </w:tcBorders>
            <w:shd w:val="clear" w:color="auto" w:fill="auto"/>
            <w:noWrap/>
            <w:vAlign w:val="center"/>
            <w:hideMark/>
          </w:tcPr>
          <w:p w14:paraId="06497FFA" w14:textId="3298ADD8"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25" w:type="dxa"/>
            <w:tcBorders>
              <w:top w:val="nil"/>
              <w:left w:val="nil"/>
              <w:bottom w:val="single" w:sz="4" w:space="0" w:color="auto"/>
              <w:right w:val="nil"/>
            </w:tcBorders>
            <w:shd w:val="clear" w:color="auto" w:fill="auto"/>
            <w:noWrap/>
            <w:vAlign w:val="center"/>
            <w:hideMark/>
          </w:tcPr>
          <w:p w14:paraId="4CBF3E29" w14:textId="26CCCF3D"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104,0 %</w:t>
            </w:r>
          </w:p>
        </w:tc>
      </w:tr>
      <w:tr w:rsidR="00033A3F" w:rsidRPr="00033A3F" w14:paraId="7D458259"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783DCBA1"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175" w:type="dxa"/>
            <w:tcBorders>
              <w:top w:val="nil"/>
              <w:left w:val="nil"/>
              <w:bottom w:val="single" w:sz="4" w:space="0" w:color="auto"/>
              <w:right w:val="nil"/>
            </w:tcBorders>
            <w:shd w:val="clear" w:color="auto" w:fill="auto"/>
            <w:noWrap/>
            <w:vAlign w:val="bottom"/>
            <w:hideMark/>
          </w:tcPr>
          <w:p w14:paraId="75B9D51F"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517</w:t>
            </w:r>
          </w:p>
        </w:tc>
        <w:tc>
          <w:tcPr>
            <w:tcW w:w="1018" w:type="dxa"/>
            <w:tcBorders>
              <w:top w:val="nil"/>
              <w:left w:val="nil"/>
              <w:bottom w:val="single" w:sz="4" w:space="0" w:color="auto"/>
              <w:right w:val="nil"/>
            </w:tcBorders>
            <w:shd w:val="clear" w:color="auto" w:fill="auto"/>
            <w:noWrap/>
            <w:vAlign w:val="center"/>
            <w:hideMark/>
          </w:tcPr>
          <w:p w14:paraId="75320D5B" w14:textId="2651F822"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006" w:type="dxa"/>
            <w:tcBorders>
              <w:top w:val="nil"/>
              <w:left w:val="single" w:sz="4" w:space="0" w:color="auto"/>
              <w:bottom w:val="single" w:sz="4" w:space="0" w:color="auto"/>
              <w:right w:val="nil"/>
            </w:tcBorders>
            <w:shd w:val="clear" w:color="auto" w:fill="auto"/>
            <w:noWrap/>
            <w:vAlign w:val="bottom"/>
            <w:hideMark/>
          </w:tcPr>
          <w:p w14:paraId="1C374915"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580</w:t>
            </w:r>
          </w:p>
        </w:tc>
        <w:tc>
          <w:tcPr>
            <w:tcW w:w="872" w:type="dxa"/>
            <w:tcBorders>
              <w:top w:val="nil"/>
              <w:left w:val="nil"/>
              <w:bottom w:val="single" w:sz="4" w:space="0" w:color="auto"/>
              <w:right w:val="single" w:sz="4" w:space="0" w:color="auto"/>
            </w:tcBorders>
            <w:shd w:val="clear" w:color="auto" w:fill="auto"/>
            <w:noWrap/>
            <w:vAlign w:val="center"/>
            <w:hideMark/>
          </w:tcPr>
          <w:p w14:paraId="0FFB6933" w14:textId="31A900D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952" w:type="dxa"/>
            <w:tcBorders>
              <w:top w:val="nil"/>
              <w:left w:val="nil"/>
              <w:bottom w:val="single" w:sz="4" w:space="0" w:color="auto"/>
              <w:right w:val="nil"/>
            </w:tcBorders>
            <w:shd w:val="clear" w:color="auto" w:fill="auto"/>
            <w:noWrap/>
            <w:vAlign w:val="bottom"/>
            <w:hideMark/>
          </w:tcPr>
          <w:p w14:paraId="3AFF7057"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231</w:t>
            </w:r>
          </w:p>
        </w:tc>
        <w:tc>
          <w:tcPr>
            <w:tcW w:w="872" w:type="dxa"/>
            <w:tcBorders>
              <w:top w:val="nil"/>
              <w:left w:val="nil"/>
              <w:bottom w:val="single" w:sz="4" w:space="0" w:color="auto"/>
              <w:right w:val="single" w:sz="4" w:space="0" w:color="auto"/>
            </w:tcBorders>
            <w:shd w:val="clear" w:color="auto" w:fill="auto"/>
            <w:noWrap/>
            <w:vAlign w:val="center"/>
            <w:hideMark/>
          </w:tcPr>
          <w:p w14:paraId="748596E3" w14:textId="3B917BA4"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225" w:type="dxa"/>
            <w:tcBorders>
              <w:top w:val="nil"/>
              <w:left w:val="nil"/>
              <w:bottom w:val="single" w:sz="4" w:space="0" w:color="auto"/>
              <w:right w:val="nil"/>
            </w:tcBorders>
            <w:shd w:val="clear" w:color="auto" w:fill="auto"/>
            <w:noWrap/>
            <w:vAlign w:val="center"/>
            <w:hideMark/>
          </w:tcPr>
          <w:p w14:paraId="43FA8823" w14:textId="4EA5499C"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112,2 %</w:t>
            </w:r>
          </w:p>
        </w:tc>
      </w:tr>
      <w:tr w:rsidR="00033A3F" w:rsidRPr="00033A3F" w14:paraId="159E3A0D"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6EA69627"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175" w:type="dxa"/>
            <w:tcBorders>
              <w:top w:val="nil"/>
              <w:left w:val="nil"/>
              <w:bottom w:val="single" w:sz="4" w:space="0" w:color="auto"/>
              <w:right w:val="nil"/>
            </w:tcBorders>
            <w:shd w:val="clear" w:color="auto" w:fill="auto"/>
            <w:noWrap/>
            <w:vAlign w:val="bottom"/>
            <w:hideMark/>
          </w:tcPr>
          <w:p w14:paraId="07DB3FE5"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1 358</w:t>
            </w:r>
          </w:p>
        </w:tc>
        <w:tc>
          <w:tcPr>
            <w:tcW w:w="1018" w:type="dxa"/>
            <w:tcBorders>
              <w:top w:val="nil"/>
              <w:left w:val="nil"/>
              <w:bottom w:val="single" w:sz="4" w:space="0" w:color="auto"/>
              <w:right w:val="nil"/>
            </w:tcBorders>
            <w:shd w:val="clear" w:color="auto" w:fill="auto"/>
            <w:noWrap/>
            <w:vAlign w:val="center"/>
            <w:hideMark/>
          </w:tcPr>
          <w:p w14:paraId="012EF30F" w14:textId="5741060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006" w:type="dxa"/>
            <w:tcBorders>
              <w:top w:val="nil"/>
              <w:left w:val="single" w:sz="4" w:space="0" w:color="auto"/>
              <w:bottom w:val="single" w:sz="4" w:space="0" w:color="auto"/>
              <w:right w:val="nil"/>
            </w:tcBorders>
            <w:shd w:val="clear" w:color="auto" w:fill="auto"/>
            <w:noWrap/>
            <w:vAlign w:val="bottom"/>
            <w:hideMark/>
          </w:tcPr>
          <w:p w14:paraId="012F4924"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879</w:t>
            </w:r>
          </w:p>
        </w:tc>
        <w:tc>
          <w:tcPr>
            <w:tcW w:w="872" w:type="dxa"/>
            <w:tcBorders>
              <w:top w:val="nil"/>
              <w:left w:val="nil"/>
              <w:bottom w:val="single" w:sz="4" w:space="0" w:color="auto"/>
              <w:right w:val="single" w:sz="4" w:space="0" w:color="auto"/>
            </w:tcBorders>
            <w:shd w:val="clear" w:color="auto" w:fill="auto"/>
            <w:noWrap/>
            <w:vAlign w:val="center"/>
            <w:hideMark/>
          </w:tcPr>
          <w:p w14:paraId="0E159085" w14:textId="74908D35"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52" w:type="dxa"/>
            <w:tcBorders>
              <w:top w:val="nil"/>
              <w:left w:val="nil"/>
              <w:bottom w:val="single" w:sz="4" w:space="0" w:color="auto"/>
              <w:right w:val="nil"/>
            </w:tcBorders>
            <w:shd w:val="clear" w:color="auto" w:fill="auto"/>
            <w:noWrap/>
            <w:vAlign w:val="bottom"/>
            <w:hideMark/>
          </w:tcPr>
          <w:p w14:paraId="6C560442"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1 500</w:t>
            </w:r>
          </w:p>
        </w:tc>
        <w:tc>
          <w:tcPr>
            <w:tcW w:w="872" w:type="dxa"/>
            <w:tcBorders>
              <w:top w:val="nil"/>
              <w:left w:val="nil"/>
              <w:bottom w:val="single" w:sz="4" w:space="0" w:color="auto"/>
              <w:right w:val="single" w:sz="4" w:space="0" w:color="auto"/>
            </w:tcBorders>
            <w:shd w:val="clear" w:color="auto" w:fill="auto"/>
            <w:noWrap/>
            <w:vAlign w:val="center"/>
            <w:hideMark/>
          </w:tcPr>
          <w:p w14:paraId="3AEE4389" w14:textId="68862E9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+47 %</w:t>
            </w:r>
          </w:p>
        </w:tc>
        <w:tc>
          <w:tcPr>
            <w:tcW w:w="1225" w:type="dxa"/>
            <w:tcBorders>
              <w:top w:val="nil"/>
              <w:left w:val="nil"/>
              <w:bottom w:val="single" w:sz="4" w:space="0" w:color="auto"/>
              <w:right w:val="nil"/>
            </w:tcBorders>
            <w:shd w:val="clear" w:color="auto" w:fill="auto"/>
            <w:noWrap/>
            <w:vAlign w:val="center"/>
            <w:hideMark/>
          </w:tcPr>
          <w:p w14:paraId="61A1C20C" w14:textId="13912D49"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64,7 %</w:t>
            </w:r>
          </w:p>
        </w:tc>
      </w:tr>
      <w:tr w:rsidR="00033A3F" w:rsidRPr="00033A3F" w14:paraId="4C4365E7"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7225C994"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175" w:type="dxa"/>
            <w:tcBorders>
              <w:top w:val="nil"/>
              <w:left w:val="nil"/>
              <w:bottom w:val="single" w:sz="4" w:space="0" w:color="auto"/>
              <w:right w:val="nil"/>
            </w:tcBorders>
            <w:shd w:val="clear" w:color="auto" w:fill="auto"/>
            <w:noWrap/>
            <w:vAlign w:val="bottom"/>
            <w:hideMark/>
          </w:tcPr>
          <w:p w14:paraId="2EB33032"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2 090</w:t>
            </w:r>
          </w:p>
        </w:tc>
        <w:tc>
          <w:tcPr>
            <w:tcW w:w="1018" w:type="dxa"/>
            <w:tcBorders>
              <w:top w:val="nil"/>
              <w:left w:val="nil"/>
              <w:bottom w:val="single" w:sz="4" w:space="0" w:color="auto"/>
              <w:right w:val="nil"/>
            </w:tcBorders>
            <w:shd w:val="clear" w:color="auto" w:fill="auto"/>
            <w:noWrap/>
            <w:vAlign w:val="center"/>
            <w:hideMark/>
          </w:tcPr>
          <w:p w14:paraId="2B4CCAB4" w14:textId="7EB5B536" w:rsidR="001C1DE9" w:rsidRPr="00033A3F" w:rsidRDefault="001C1DE9" w:rsidP="001C1DE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06" w:type="dxa"/>
            <w:tcBorders>
              <w:top w:val="nil"/>
              <w:left w:val="single" w:sz="4" w:space="0" w:color="auto"/>
              <w:bottom w:val="single" w:sz="4" w:space="0" w:color="auto"/>
              <w:right w:val="nil"/>
            </w:tcBorders>
            <w:shd w:val="clear" w:color="auto" w:fill="auto"/>
            <w:noWrap/>
            <w:vAlign w:val="bottom"/>
            <w:hideMark/>
          </w:tcPr>
          <w:p w14:paraId="3C091B61"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1 833</w:t>
            </w:r>
          </w:p>
        </w:tc>
        <w:tc>
          <w:tcPr>
            <w:tcW w:w="872" w:type="dxa"/>
            <w:tcBorders>
              <w:top w:val="nil"/>
              <w:left w:val="nil"/>
              <w:bottom w:val="single" w:sz="4" w:space="0" w:color="auto"/>
              <w:right w:val="single" w:sz="4" w:space="0" w:color="auto"/>
            </w:tcBorders>
            <w:shd w:val="clear" w:color="auto" w:fill="auto"/>
            <w:noWrap/>
            <w:vAlign w:val="center"/>
            <w:hideMark/>
          </w:tcPr>
          <w:p w14:paraId="446C36B9" w14:textId="1BF5C378"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952" w:type="dxa"/>
            <w:tcBorders>
              <w:top w:val="nil"/>
              <w:left w:val="nil"/>
              <w:bottom w:val="single" w:sz="4" w:space="0" w:color="auto"/>
              <w:right w:val="nil"/>
            </w:tcBorders>
            <w:shd w:val="clear" w:color="auto" w:fill="auto"/>
            <w:noWrap/>
            <w:vAlign w:val="bottom"/>
            <w:hideMark/>
          </w:tcPr>
          <w:p w14:paraId="067C32EC"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2 455</w:t>
            </w:r>
          </w:p>
        </w:tc>
        <w:tc>
          <w:tcPr>
            <w:tcW w:w="872" w:type="dxa"/>
            <w:tcBorders>
              <w:top w:val="nil"/>
              <w:left w:val="nil"/>
              <w:bottom w:val="single" w:sz="4" w:space="0" w:color="auto"/>
              <w:right w:val="single" w:sz="4" w:space="0" w:color="auto"/>
            </w:tcBorders>
            <w:shd w:val="clear" w:color="auto" w:fill="auto"/>
            <w:noWrap/>
            <w:vAlign w:val="center"/>
            <w:hideMark/>
          </w:tcPr>
          <w:p w14:paraId="65BA47CC" w14:textId="3E5886F8"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225" w:type="dxa"/>
            <w:tcBorders>
              <w:top w:val="nil"/>
              <w:left w:val="nil"/>
              <w:bottom w:val="single" w:sz="4" w:space="0" w:color="auto"/>
              <w:right w:val="nil"/>
            </w:tcBorders>
            <w:shd w:val="clear" w:color="auto" w:fill="auto"/>
            <w:noWrap/>
            <w:vAlign w:val="center"/>
            <w:hideMark/>
          </w:tcPr>
          <w:p w14:paraId="36614290" w14:textId="13D18D12"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87,7 %</w:t>
            </w:r>
          </w:p>
        </w:tc>
      </w:tr>
      <w:tr w:rsidR="00033A3F" w:rsidRPr="00033A3F" w14:paraId="030A6189"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0A935B8"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175" w:type="dxa"/>
            <w:tcBorders>
              <w:top w:val="nil"/>
              <w:left w:val="nil"/>
              <w:bottom w:val="single" w:sz="4" w:space="0" w:color="auto"/>
              <w:right w:val="nil"/>
            </w:tcBorders>
            <w:shd w:val="clear" w:color="auto" w:fill="auto"/>
            <w:noWrap/>
            <w:vAlign w:val="bottom"/>
            <w:hideMark/>
          </w:tcPr>
          <w:p w14:paraId="067EB5C7"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1 964</w:t>
            </w:r>
          </w:p>
        </w:tc>
        <w:tc>
          <w:tcPr>
            <w:tcW w:w="1018" w:type="dxa"/>
            <w:tcBorders>
              <w:top w:val="nil"/>
              <w:left w:val="nil"/>
              <w:bottom w:val="single" w:sz="4" w:space="0" w:color="auto"/>
              <w:right w:val="nil"/>
            </w:tcBorders>
            <w:shd w:val="clear" w:color="auto" w:fill="auto"/>
            <w:noWrap/>
            <w:vAlign w:val="center"/>
            <w:hideMark/>
          </w:tcPr>
          <w:p w14:paraId="46105647" w14:textId="653EB0A8"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1006" w:type="dxa"/>
            <w:tcBorders>
              <w:top w:val="nil"/>
              <w:left w:val="single" w:sz="4" w:space="0" w:color="auto"/>
              <w:bottom w:val="single" w:sz="4" w:space="0" w:color="auto"/>
              <w:right w:val="nil"/>
            </w:tcBorders>
            <w:shd w:val="clear" w:color="auto" w:fill="auto"/>
            <w:noWrap/>
            <w:vAlign w:val="bottom"/>
            <w:hideMark/>
          </w:tcPr>
          <w:p w14:paraId="7BCACA77"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2 420</w:t>
            </w:r>
          </w:p>
        </w:tc>
        <w:tc>
          <w:tcPr>
            <w:tcW w:w="872" w:type="dxa"/>
            <w:tcBorders>
              <w:top w:val="nil"/>
              <w:left w:val="nil"/>
              <w:bottom w:val="single" w:sz="4" w:space="0" w:color="auto"/>
              <w:right w:val="single" w:sz="4" w:space="0" w:color="auto"/>
            </w:tcBorders>
            <w:shd w:val="clear" w:color="auto" w:fill="auto"/>
            <w:noWrap/>
            <w:vAlign w:val="center"/>
            <w:hideMark/>
          </w:tcPr>
          <w:p w14:paraId="2DC62DEB" w14:textId="310C11B2"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52" w:type="dxa"/>
            <w:tcBorders>
              <w:top w:val="nil"/>
              <w:left w:val="nil"/>
              <w:bottom w:val="single" w:sz="4" w:space="0" w:color="auto"/>
              <w:right w:val="nil"/>
            </w:tcBorders>
            <w:shd w:val="clear" w:color="auto" w:fill="auto"/>
            <w:noWrap/>
            <w:vAlign w:val="bottom"/>
            <w:hideMark/>
          </w:tcPr>
          <w:p w14:paraId="26DC5F6C"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1 593</w:t>
            </w:r>
          </w:p>
        </w:tc>
        <w:tc>
          <w:tcPr>
            <w:tcW w:w="872" w:type="dxa"/>
            <w:tcBorders>
              <w:top w:val="nil"/>
              <w:left w:val="nil"/>
              <w:bottom w:val="single" w:sz="4" w:space="0" w:color="auto"/>
              <w:right w:val="single" w:sz="4" w:space="0" w:color="auto"/>
            </w:tcBorders>
            <w:shd w:val="clear" w:color="auto" w:fill="auto"/>
            <w:noWrap/>
            <w:vAlign w:val="center"/>
            <w:hideMark/>
          </w:tcPr>
          <w:p w14:paraId="6F457DE9" w14:textId="370FAC6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225" w:type="dxa"/>
            <w:tcBorders>
              <w:top w:val="nil"/>
              <w:left w:val="nil"/>
              <w:bottom w:val="single" w:sz="4" w:space="0" w:color="auto"/>
              <w:right w:val="nil"/>
            </w:tcBorders>
            <w:shd w:val="clear" w:color="auto" w:fill="auto"/>
            <w:noWrap/>
            <w:vAlign w:val="center"/>
            <w:hideMark/>
          </w:tcPr>
          <w:p w14:paraId="57FC3F04" w14:textId="3041EFF0"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123,2 %</w:t>
            </w:r>
          </w:p>
        </w:tc>
      </w:tr>
      <w:tr w:rsidR="00033A3F" w:rsidRPr="00033A3F" w14:paraId="0A8C3E08"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404C7985"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175" w:type="dxa"/>
            <w:tcBorders>
              <w:top w:val="nil"/>
              <w:left w:val="nil"/>
              <w:bottom w:val="single" w:sz="4" w:space="0" w:color="auto"/>
              <w:right w:val="nil"/>
            </w:tcBorders>
            <w:shd w:val="clear" w:color="auto" w:fill="auto"/>
            <w:noWrap/>
            <w:vAlign w:val="bottom"/>
            <w:hideMark/>
          </w:tcPr>
          <w:p w14:paraId="50DEB85D"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2 923</w:t>
            </w:r>
          </w:p>
        </w:tc>
        <w:tc>
          <w:tcPr>
            <w:tcW w:w="1018" w:type="dxa"/>
            <w:tcBorders>
              <w:top w:val="nil"/>
              <w:left w:val="nil"/>
              <w:bottom w:val="single" w:sz="4" w:space="0" w:color="auto"/>
              <w:right w:val="nil"/>
            </w:tcBorders>
            <w:shd w:val="clear" w:color="auto" w:fill="auto"/>
            <w:noWrap/>
            <w:vAlign w:val="center"/>
            <w:hideMark/>
          </w:tcPr>
          <w:p w14:paraId="0B53987D" w14:textId="6F5519D2"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06" w:type="dxa"/>
            <w:tcBorders>
              <w:top w:val="nil"/>
              <w:left w:val="single" w:sz="4" w:space="0" w:color="auto"/>
              <w:bottom w:val="single" w:sz="4" w:space="0" w:color="auto"/>
              <w:right w:val="nil"/>
            </w:tcBorders>
            <w:shd w:val="clear" w:color="auto" w:fill="auto"/>
            <w:noWrap/>
            <w:vAlign w:val="bottom"/>
            <w:hideMark/>
          </w:tcPr>
          <w:p w14:paraId="210D9894"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2 852</w:t>
            </w:r>
          </w:p>
        </w:tc>
        <w:tc>
          <w:tcPr>
            <w:tcW w:w="872" w:type="dxa"/>
            <w:tcBorders>
              <w:top w:val="nil"/>
              <w:left w:val="nil"/>
              <w:bottom w:val="single" w:sz="4" w:space="0" w:color="auto"/>
              <w:right w:val="single" w:sz="4" w:space="0" w:color="auto"/>
            </w:tcBorders>
            <w:shd w:val="clear" w:color="auto" w:fill="auto"/>
            <w:noWrap/>
            <w:vAlign w:val="center"/>
            <w:hideMark/>
          </w:tcPr>
          <w:p w14:paraId="21A31CD7" w14:textId="2ECC6E8C" w:rsidR="001C1DE9" w:rsidRPr="00033A3F" w:rsidRDefault="001C1DE9" w:rsidP="001C1DE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52" w:type="dxa"/>
            <w:tcBorders>
              <w:top w:val="nil"/>
              <w:left w:val="nil"/>
              <w:bottom w:val="single" w:sz="4" w:space="0" w:color="auto"/>
              <w:right w:val="nil"/>
            </w:tcBorders>
            <w:shd w:val="clear" w:color="auto" w:fill="auto"/>
            <w:noWrap/>
            <w:vAlign w:val="bottom"/>
            <w:hideMark/>
          </w:tcPr>
          <w:p w14:paraId="09962AFE"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2 770</w:t>
            </w:r>
          </w:p>
        </w:tc>
        <w:tc>
          <w:tcPr>
            <w:tcW w:w="872" w:type="dxa"/>
            <w:tcBorders>
              <w:top w:val="nil"/>
              <w:left w:val="nil"/>
              <w:bottom w:val="single" w:sz="4" w:space="0" w:color="auto"/>
              <w:right w:val="single" w:sz="4" w:space="0" w:color="auto"/>
            </w:tcBorders>
            <w:shd w:val="clear" w:color="auto" w:fill="auto"/>
            <w:noWrap/>
            <w:vAlign w:val="center"/>
            <w:hideMark/>
          </w:tcPr>
          <w:p w14:paraId="60FBFF4E" w14:textId="73B9C201"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225" w:type="dxa"/>
            <w:tcBorders>
              <w:top w:val="nil"/>
              <w:left w:val="nil"/>
              <w:bottom w:val="single" w:sz="4" w:space="0" w:color="auto"/>
              <w:right w:val="nil"/>
            </w:tcBorders>
            <w:shd w:val="clear" w:color="auto" w:fill="auto"/>
            <w:noWrap/>
            <w:vAlign w:val="center"/>
            <w:hideMark/>
          </w:tcPr>
          <w:p w14:paraId="3E7E338B" w14:textId="1A1C13D8"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97,6 %</w:t>
            </w:r>
          </w:p>
        </w:tc>
      </w:tr>
      <w:tr w:rsidR="00033A3F" w:rsidRPr="00033A3F" w14:paraId="335080B5" w14:textId="77777777" w:rsidTr="00E23341">
        <w:trPr>
          <w:trHeight w:val="330"/>
        </w:trPr>
        <w:tc>
          <w:tcPr>
            <w:tcW w:w="2020" w:type="dxa"/>
            <w:tcBorders>
              <w:top w:val="nil"/>
              <w:left w:val="nil"/>
              <w:bottom w:val="double" w:sz="6" w:space="0" w:color="auto"/>
              <w:right w:val="nil"/>
            </w:tcBorders>
            <w:shd w:val="clear" w:color="auto" w:fill="auto"/>
            <w:noWrap/>
            <w:vAlign w:val="bottom"/>
            <w:hideMark/>
          </w:tcPr>
          <w:p w14:paraId="413466EA"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175" w:type="dxa"/>
            <w:tcBorders>
              <w:top w:val="nil"/>
              <w:left w:val="nil"/>
              <w:bottom w:val="double" w:sz="6" w:space="0" w:color="auto"/>
              <w:right w:val="nil"/>
            </w:tcBorders>
            <w:shd w:val="clear" w:color="auto" w:fill="auto"/>
            <w:noWrap/>
            <w:vAlign w:val="bottom"/>
            <w:hideMark/>
          </w:tcPr>
          <w:p w14:paraId="125CE6B8"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2 657</w:t>
            </w:r>
          </w:p>
        </w:tc>
        <w:tc>
          <w:tcPr>
            <w:tcW w:w="1018" w:type="dxa"/>
            <w:tcBorders>
              <w:top w:val="nil"/>
              <w:left w:val="nil"/>
              <w:bottom w:val="double" w:sz="6" w:space="0" w:color="auto"/>
              <w:right w:val="nil"/>
            </w:tcBorders>
            <w:shd w:val="clear" w:color="auto" w:fill="auto"/>
            <w:noWrap/>
            <w:vAlign w:val="center"/>
            <w:hideMark/>
          </w:tcPr>
          <w:p w14:paraId="110BCDCE" w14:textId="385495B4"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06" w:type="dxa"/>
            <w:tcBorders>
              <w:top w:val="nil"/>
              <w:left w:val="single" w:sz="4" w:space="0" w:color="auto"/>
              <w:bottom w:val="double" w:sz="6" w:space="0" w:color="auto"/>
              <w:right w:val="nil"/>
            </w:tcBorders>
            <w:shd w:val="clear" w:color="auto" w:fill="auto"/>
            <w:noWrap/>
            <w:vAlign w:val="bottom"/>
            <w:hideMark/>
          </w:tcPr>
          <w:p w14:paraId="0CE30AB7"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2 670</w:t>
            </w:r>
          </w:p>
        </w:tc>
        <w:tc>
          <w:tcPr>
            <w:tcW w:w="872" w:type="dxa"/>
            <w:tcBorders>
              <w:top w:val="nil"/>
              <w:left w:val="nil"/>
              <w:bottom w:val="double" w:sz="6" w:space="0" w:color="auto"/>
              <w:right w:val="single" w:sz="4" w:space="0" w:color="auto"/>
            </w:tcBorders>
            <w:shd w:val="clear" w:color="auto" w:fill="auto"/>
            <w:noWrap/>
            <w:vAlign w:val="center"/>
            <w:hideMark/>
          </w:tcPr>
          <w:p w14:paraId="7D1ECEC4" w14:textId="1FFFDF41"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52" w:type="dxa"/>
            <w:tcBorders>
              <w:top w:val="nil"/>
              <w:left w:val="nil"/>
              <w:bottom w:val="double" w:sz="6" w:space="0" w:color="auto"/>
              <w:right w:val="nil"/>
            </w:tcBorders>
            <w:shd w:val="clear" w:color="auto" w:fill="auto"/>
            <w:noWrap/>
            <w:vAlign w:val="bottom"/>
            <w:hideMark/>
          </w:tcPr>
          <w:p w14:paraId="21EF2F90"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1 388</w:t>
            </w:r>
          </w:p>
        </w:tc>
        <w:tc>
          <w:tcPr>
            <w:tcW w:w="872" w:type="dxa"/>
            <w:tcBorders>
              <w:top w:val="nil"/>
              <w:left w:val="nil"/>
              <w:bottom w:val="double" w:sz="6" w:space="0" w:color="auto"/>
              <w:right w:val="single" w:sz="4" w:space="0" w:color="auto"/>
            </w:tcBorders>
            <w:shd w:val="clear" w:color="auto" w:fill="auto"/>
            <w:noWrap/>
            <w:vAlign w:val="center"/>
            <w:hideMark/>
          </w:tcPr>
          <w:p w14:paraId="7000729D" w14:textId="36247151"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225" w:type="dxa"/>
            <w:tcBorders>
              <w:top w:val="nil"/>
              <w:left w:val="nil"/>
              <w:bottom w:val="nil"/>
              <w:right w:val="nil"/>
            </w:tcBorders>
            <w:shd w:val="clear" w:color="auto" w:fill="auto"/>
            <w:noWrap/>
            <w:vAlign w:val="center"/>
            <w:hideMark/>
          </w:tcPr>
          <w:p w14:paraId="5C39DFED" w14:textId="11B532C3"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100,5 %</w:t>
            </w:r>
          </w:p>
        </w:tc>
      </w:tr>
      <w:tr w:rsidR="00033A3F" w:rsidRPr="00033A3F" w14:paraId="2EE53396" w14:textId="77777777" w:rsidTr="00E23341">
        <w:trPr>
          <w:trHeight w:val="345"/>
        </w:trPr>
        <w:tc>
          <w:tcPr>
            <w:tcW w:w="2020" w:type="dxa"/>
            <w:tcBorders>
              <w:top w:val="nil"/>
              <w:left w:val="nil"/>
              <w:bottom w:val="double" w:sz="6" w:space="0" w:color="auto"/>
              <w:right w:val="nil"/>
            </w:tcBorders>
            <w:shd w:val="clear" w:color="auto" w:fill="auto"/>
            <w:noWrap/>
            <w:vAlign w:val="bottom"/>
            <w:hideMark/>
          </w:tcPr>
          <w:p w14:paraId="32667207" w14:textId="77777777" w:rsidR="001C1DE9" w:rsidRPr="00033A3F" w:rsidRDefault="001C1DE9" w:rsidP="001C1DE9">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75" w:type="dxa"/>
            <w:tcBorders>
              <w:top w:val="nil"/>
              <w:left w:val="nil"/>
              <w:bottom w:val="double" w:sz="6" w:space="0" w:color="auto"/>
              <w:right w:val="nil"/>
            </w:tcBorders>
            <w:shd w:val="clear" w:color="auto" w:fill="auto"/>
            <w:noWrap/>
            <w:vAlign w:val="bottom"/>
            <w:hideMark/>
          </w:tcPr>
          <w:p w14:paraId="1F313AF4"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27 181</w:t>
            </w:r>
          </w:p>
        </w:tc>
        <w:tc>
          <w:tcPr>
            <w:tcW w:w="1018" w:type="dxa"/>
            <w:tcBorders>
              <w:top w:val="nil"/>
              <w:left w:val="nil"/>
              <w:bottom w:val="double" w:sz="6" w:space="0" w:color="auto"/>
              <w:right w:val="nil"/>
            </w:tcBorders>
            <w:shd w:val="clear" w:color="auto" w:fill="auto"/>
            <w:noWrap/>
            <w:vAlign w:val="center"/>
            <w:hideMark/>
          </w:tcPr>
          <w:p w14:paraId="3EAF7643" w14:textId="2F1C0CD0" w:rsidR="001C1DE9" w:rsidRPr="00033A3F" w:rsidRDefault="001C1DE9"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1006" w:type="dxa"/>
            <w:tcBorders>
              <w:top w:val="nil"/>
              <w:left w:val="single" w:sz="4" w:space="0" w:color="auto"/>
              <w:bottom w:val="double" w:sz="6" w:space="0" w:color="auto"/>
              <w:right w:val="nil"/>
            </w:tcBorders>
            <w:shd w:val="clear" w:color="auto" w:fill="auto"/>
            <w:noWrap/>
            <w:vAlign w:val="bottom"/>
            <w:hideMark/>
          </w:tcPr>
          <w:p w14:paraId="6C58B716"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26 711</w:t>
            </w:r>
          </w:p>
        </w:tc>
        <w:tc>
          <w:tcPr>
            <w:tcW w:w="872" w:type="dxa"/>
            <w:tcBorders>
              <w:top w:val="nil"/>
              <w:left w:val="nil"/>
              <w:bottom w:val="double" w:sz="6" w:space="0" w:color="auto"/>
              <w:right w:val="single" w:sz="4" w:space="0" w:color="auto"/>
            </w:tcBorders>
            <w:shd w:val="clear" w:color="auto" w:fill="auto"/>
            <w:noWrap/>
            <w:vAlign w:val="center"/>
            <w:hideMark/>
          </w:tcPr>
          <w:p w14:paraId="2274C386" w14:textId="62245FFA" w:rsidR="001C1DE9" w:rsidRPr="00033A3F" w:rsidRDefault="001C1DE9"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+11 %</w:t>
            </w:r>
          </w:p>
        </w:tc>
        <w:tc>
          <w:tcPr>
            <w:tcW w:w="952" w:type="dxa"/>
            <w:tcBorders>
              <w:top w:val="nil"/>
              <w:left w:val="nil"/>
              <w:bottom w:val="double" w:sz="6" w:space="0" w:color="auto"/>
              <w:right w:val="nil"/>
            </w:tcBorders>
            <w:shd w:val="clear" w:color="auto" w:fill="auto"/>
            <w:noWrap/>
            <w:vAlign w:val="bottom"/>
            <w:hideMark/>
          </w:tcPr>
          <w:p w14:paraId="747DC152"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16 671</w:t>
            </w:r>
          </w:p>
        </w:tc>
        <w:tc>
          <w:tcPr>
            <w:tcW w:w="872" w:type="dxa"/>
            <w:tcBorders>
              <w:top w:val="nil"/>
              <w:left w:val="nil"/>
              <w:bottom w:val="double" w:sz="6" w:space="0" w:color="auto"/>
              <w:right w:val="single" w:sz="4" w:space="0" w:color="auto"/>
            </w:tcBorders>
            <w:shd w:val="clear" w:color="auto" w:fill="auto"/>
            <w:noWrap/>
            <w:vAlign w:val="center"/>
            <w:hideMark/>
          </w:tcPr>
          <w:p w14:paraId="176E583C" w14:textId="2882E08C" w:rsidR="001C1DE9" w:rsidRPr="00033A3F" w:rsidRDefault="001C1DE9"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225" w:type="dxa"/>
            <w:tcBorders>
              <w:top w:val="double" w:sz="6" w:space="0" w:color="auto"/>
              <w:left w:val="nil"/>
              <w:bottom w:val="double" w:sz="6" w:space="0" w:color="auto"/>
              <w:right w:val="nil"/>
            </w:tcBorders>
            <w:shd w:val="clear" w:color="auto" w:fill="auto"/>
            <w:noWrap/>
            <w:vAlign w:val="center"/>
            <w:hideMark/>
          </w:tcPr>
          <w:p w14:paraId="7F3BA992" w14:textId="2F2DA038"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98,3 %</w:t>
            </w:r>
          </w:p>
        </w:tc>
      </w:tr>
      <w:tr w:rsidR="00033A3F" w:rsidRPr="00033A3F" w14:paraId="0A2CAA73" w14:textId="77777777" w:rsidTr="00E23341">
        <w:trPr>
          <w:trHeight w:val="330"/>
        </w:trPr>
        <w:tc>
          <w:tcPr>
            <w:tcW w:w="2020" w:type="dxa"/>
            <w:tcBorders>
              <w:top w:val="nil"/>
              <w:left w:val="nil"/>
              <w:bottom w:val="nil"/>
              <w:right w:val="nil"/>
            </w:tcBorders>
            <w:shd w:val="clear" w:color="auto" w:fill="auto"/>
            <w:noWrap/>
            <w:vAlign w:val="bottom"/>
            <w:hideMark/>
          </w:tcPr>
          <w:p w14:paraId="29F8CA8D" w14:textId="77777777" w:rsidR="001C1DE9" w:rsidRPr="00033A3F" w:rsidRDefault="001C1DE9" w:rsidP="001C1DE9">
            <w:pPr>
              <w:spacing w:line="240" w:lineRule="auto"/>
              <w:jc w:val="center"/>
              <w:rPr>
                <w:rFonts w:eastAsia="Times New Roman"/>
                <w:b/>
                <w:bCs/>
                <w:color w:val="000000" w:themeColor="text1"/>
                <w:szCs w:val="24"/>
                <w:lang w:eastAsia="cs-CZ"/>
              </w:rPr>
            </w:pPr>
          </w:p>
        </w:tc>
        <w:tc>
          <w:tcPr>
            <w:tcW w:w="1175" w:type="dxa"/>
            <w:tcBorders>
              <w:top w:val="nil"/>
              <w:left w:val="nil"/>
              <w:bottom w:val="nil"/>
              <w:right w:val="nil"/>
            </w:tcBorders>
            <w:shd w:val="clear" w:color="auto" w:fill="auto"/>
            <w:noWrap/>
            <w:vAlign w:val="bottom"/>
            <w:hideMark/>
          </w:tcPr>
          <w:p w14:paraId="487F3A85"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1018" w:type="dxa"/>
            <w:tcBorders>
              <w:top w:val="nil"/>
              <w:left w:val="nil"/>
              <w:bottom w:val="nil"/>
              <w:right w:val="nil"/>
            </w:tcBorders>
            <w:shd w:val="clear" w:color="auto" w:fill="auto"/>
            <w:noWrap/>
            <w:vAlign w:val="bottom"/>
            <w:hideMark/>
          </w:tcPr>
          <w:p w14:paraId="53F4DC1A"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1006" w:type="dxa"/>
            <w:tcBorders>
              <w:top w:val="nil"/>
              <w:left w:val="nil"/>
              <w:bottom w:val="nil"/>
              <w:right w:val="nil"/>
            </w:tcBorders>
            <w:shd w:val="clear" w:color="auto" w:fill="auto"/>
            <w:noWrap/>
            <w:vAlign w:val="bottom"/>
            <w:hideMark/>
          </w:tcPr>
          <w:p w14:paraId="73ACBED6"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872" w:type="dxa"/>
            <w:tcBorders>
              <w:top w:val="nil"/>
              <w:left w:val="nil"/>
              <w:bottom w:val="nil"/>
              <w:right w:val="nil"/>
            </w:tcBorders>
            <w:shd w:val="clear" w:color="auto" w:fill="auto"/>
            <w:noWrap/>
            <w:vAlign w:val="bottom"/>
            <w:hideMark/>
          </w:tcPr>
          <w:p w14:paraId="45221F70"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952" w:type="dxa"/>
            <w:tcBorders>
              <w:top w:val="nil"/>
              <w:left w:val="nil"/>
              <w:bottom w:val="nil"/>
              <w:right w:val="nil"/>
            </w:tcBorders>
            <w:shd w:val="clear" w:color="auto" w:fill="auto"/>
            <w:noWrap/>
            <w:vAlign w:val="bottom"/>
            <w:hideMark/>
          </w:tcPr>
          <w:p w14:paraId="491CE3BA"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872" w:type="dxa"/>
            <w:tcBorders>
              <w:top w:val="nil"/>
              <w:left w:val="nil"/>
              <w:bottom w:val="nil"/>
              <w:right w:val="nil"/>
            </w:tcBorders>
            <w:shd w:val="clear" w:color="auto" w:fill="auto"/>
            <w:noWrap/>
            <w:vAlign w:val="bottom"/>
            <w:hideMark/>
          </w:tcPr>
          <w:p w14:paraId="745940D1"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1225" w:type="dxa"/>
            <w:tcBorders>
              <w:top w:val="nil"/>
              <w:left w:val="nil"/>
              <w:bottom w:val="nil"/>
              <w:right w:val="nil"/>
            </w:tcBorders>
            <w:shd w:val="clear" w:color="auto" w:fill="auto"/>
            <w:noWrap/>
            <w:vAlign w:val="bottom"/>
            <w:hideMark/>
          </w:tcPr>
          <w:p w14:paraId="1F18817F"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r>
    </w:tbl>
    <w:p w14:paraId="2EF2B0CA" w14:textId="5BD9C703" w:rsidR="001C1DE9" w:rsidRPr="00033A3F" w:rsidRDefault="001C1DE9" w:rsidP="004C0D35">
      <w:pPr>
        <w:pStyle w:val="OdstavecASR"/>
        <w:rPr>
          <w:color w:val="000000" w:themeColor="text1"/>
        </w:rPr>
      </w:pPr>
      <w:r w:rsidRPr="00033A3F">
        <w:rPr>
          <w:color w:val="000000" w:themeColor="text1"/>
        </w:rPr>
        <w:t>V tabulce vidíme, že změna v počtu příchozích věcí je nevyrovnaná a mezi jednotlivými soudy se zásadně liší. U čtyř soudů počet příchozích věcí klesl (u KS v Králové o celých 34 %), u čtyř narostl, u KS Č. Budějovice o 18 %. Probl</w:t>
      </w:r>
      <w:r w:rsidR="00511CD1" w:rsidRPr="00033A3F">
        <w:rPr>
          <w:color w:val="000000" w:themeColor="text1"/>
        </w:rPr>
        <w:t xml:space="preserve">ematická se </w:t>
      </w:r>
      <w:r w:rsidR="004A5787" w:rsidRPr="00033A3F">
        <w:rPr>
          <w:color w:val="000000" w:themeColor="text1"/>
        </w:rPr>
        <w:t xml:space="preserve">již delší dobu </w:t>
      </w:r>
      <w:r w:rsidR="00511CD1" w:rsidRPr="00033A3F">
        <w:rPr>
          <w:color w:val="000000" w:themeColor="text1"/>
        </w:rPr>
        <w:t xml:space="preserve">zdá </w:t>
      </w:r>
      <w:r w:rsidRPr="00033A3F">
        <w:rPr>
          <w:color w:val="000000" w:themeColor="text1"/>
        </w:rPr>
        <w:t xml:space="preserve">být </w:t>
      </w:r>
      <w:r w:rsidR="00511CD1" w:rsidRPr="00033A3F">
        <w:rPr>
          <w:color w:val="000000" w:themeColor="text1"/>
        </w:rPr>
        <w:t xml:space="preserve">situace </w:t>
      </w:r>
      <w:r w:rsidRPr="00033A3F">
        <w:rPr>
          <w:color w:val="000000" w:themeColor="text1"/>
        </w:rPr>
        <w:t xml:space="preserve">u KS v Plzni, kde byla </w:t>
      </w:r>
      <w:r w:rsidR="00511CD1" w:rsidRPr="00033A3F">
        <w:rPr>
          <w:color w:val="000000" w:themeColor="text1"/>
        </w:rPr>
        <w:t xml:space="preserve">v roce 2024 </w:t>
      </w:r>
      <w:r w:rsidRPr="00033A3F">
        <w:rPr>
          <w:color w:val="000000" w:themeColor="text1"/>
        </w:rPr>
        <w:t>míra vyřizování 64,7 %</w:t>
      </w:r>
      <w:r w:rsidR="00511CD1" w:rsidRPr="00033A3F">
        <w:rPr>
          <w:color w:val="000000" w:themeColor="text1"/>
        </w:rPr>
        <w:t>,</w:t>
      </w:r>
      <w:r w:rsidRPr="00033A3F">
        <w:rPr>
          <w:color w:val="000000" w:themeColor="text1"/>
        </w:rPr>
        <w:t xml:space="preserve"> rok před tím 73,6 %</w:t>
      </w:r>
      <w:r w:rsidR="004A5787" w:rsidRPr="00033A3F">
        <w:rPr>
          <w:color w:val="000000" w:themeColor="text1"/>
        </w:rPr>
        <w:t>, v roce 2022 dosáhla 97,1</w:t>
      </w:r>
      <w:r w:rsidR="00C34598" w:rsidRPr="00033A3F">
        <w:rPr>
          <w:color w:val="000000" w:themeColor="text1"/>
        </w:rPr>
        <w:t xml:space="preserve"> </w:t>
      </w:r>
      <w:r w:rsidR="004A5787" w:rsidRPr="00033A3F">
        <w:rPr>
          <w:color w:val="000000" w:themeColor="text1"/>
        </w:rPr>
        <w:t>% a v </w:t>
      </w:r>
      <w:r w:rsidR="00C34598" w:rsidRPr="00033A3F">
        <w:rPr>
          <w:color w:val="000000" w:themeColor="text1"/>
        </w:rPr>
        <w:t>roce 2021</w:t>
      </w:r>
      <w:r w:rsidR="004A5787" w:rsidRPr="00033A3F">
        <w:rPr>
          <w:color w:val="000000" w:themeColor="text1"/>
        </w:rPr>
        <w:t xml:space="preserve"> 95,2%</w:t>
      </w:r>
      <w:r w:rsidRPr="00033A3F">
        <w:rPr>
          <w:color w:val="000000" w:themeColor="text1"/>
        </w:rPr>
        <w:t>.</w:t>
      </w:r>
      <w:r w:rsidR="004A5787" w:rsidRPr="00033A3F">
        <w:rPr>
          <w:color w:val="000000" w:themeColor="text1"/>
        </w:rPr>
        <w:t xml:space="preserve"> </w:t>
      </w:r>
      <w:r w:rsidR="001609E1" w:rsidRPr="00033A3F">
        <w:rPr>
          <w:color w:val="000000" w:themeColor="text1"/>
        </w:rPr>
        <w:t>Důvodem je průběžné zvyšování nápadu na soudce, které zatím vyvrcholilo v roce 2024 (v</w:t>
      </w:r>
      <w:r w:rsidR="00511CD1" w:rsidRPr="00033A3F">
        <w:rPr>
          <w:color w:val="000000" w:themeColor="text1"/>
        </w:rPr>
        <w:t> </w:t>
      </w:r>
      <w:r w:rsidR="001609E1" w:rsidRPr="00033A3F">
        <w:rPr>
          <w:color w:val="000000" w:themeColor="text1"/>
        </w:rPr>
        <w:t>podstatě dvojnásobn</w:t>
      </w:r>
      <w:r w:rsidR="00511CD1" w:rsidRPr="00033A3F">
        <w:rPr>
          <w:color w:val="000000" w:themeColor="text1"/>
        </w:rPr>
        <w:t>ý nápad</w:t>
      </w:r>
      <w:r w:rsidR="001609E1" w:rsidRPr="00033A3F">
        <w:rPr>
          <w:color w:val="000000" w:themeColor="text1"/>
        </w:rPr>
        <w:t xml:space="preserve"> </w:t>
      </w:r>
      <w:r w:rsidR="00511CD1" w:rsidRPr="00033A3F">
        <w:rPr>
          <w:color w:val="000000" w:themeColor="text1"/>
        </w:rPr>
        <w:t>oproti roku</w:t>
      </w:r>
      <w:r w:rsidR="00C34598" w:rsidRPr="00033A3F">
        <w:rPr>
          <w:color w:val="000000" w:themeColor="text1"/>
        </w:rPr>
        <w:t xml:space="preserve"> </w:t>
      </w:r>
      <w:r w:rsidR="001609E1" w:rsidRPr="00033A3F">
        <w:rPr>
          <w:color w:val="000000" w:themeColor="text1"/>
        </w:rPr>
        <w:t>2023)</w:t>
      </w:r>
      <w:r w:rsidR="004A5787" w:rsidRPr="00033A3F">
        <w:rPr>
          <w:color w:val="000000" w:themeColor="text1"/>
        </w:rPr>
        <w:t xml:space="preserve">, </w:t>
      </w:r>
      <w:r w:rsidR="001609E1" w:rsidRPr="00033A3F">
        <w:rPr>
          <w:color w:val="000000" w:themeColor="text1"/>
        </w:rPr>
        <w:t>jehož výsledkem je nárůst nevyřízených věcí</w:t>
      </w:r>
      <w:r w:rsidR="004A5787" w:rsidRPr="00033A3F">
        <w:rPr>
          <w:color w:val="000000" w:themeColor="text1"/>
        </w:rPr>
        <w:t xml:space="preserve"> z 678 v roce 2021 na 1500 k 31.</w:t>
      </w:r>
      <w:r w:rsidR="00632629" w:rsidRPr="00033A3F">
        <w:rPr>
          <w:color w:val="000000" w:themeColor="text1"/>
        </w:rPr>
        <w:t xml:space="preserve"> </w:t>
      </w:r>
      <w:r w:rsidR="004A5787" w:rsidRPr="00033A3F">
        <w:rPr>
          <w:color w:val="000000" w:themeColor="text1"/>
        </w:rPr>
        <w:t>12.</w:t>
      </w:r>
      <w:r w:rsidR="00632629" w:rsidRPr="00033A3F">
        <w:rPr>
          <w:color w:val="000000" w:themeColor="text1"/>
        </w:rPr>
        <w:t xml:space="preserve"> </w:t>
      </w:r>
      <w:r w:rsidR="004A5787" w:rsidRPr="00033A3F">
        <w:rPr>
          <w:color w:val="000000" w:themeColor="text1"/>
        </w:rPr>
        <w:t>2024.</w:t>
      </w:r>
    </w:p>
    <w:p w14:paraId="7D449A8B" w14:textId="77777777" w:rsidR="002D335C" w:rsidRPr="00033A3F" w:rsidRDefault="002D335C" w:rsidP="002D335C">
      <w:pPr>
        <w:pStyle w:val="Nadpis3"/>
        <w:numPr>
          <w:ilvl w:val="2"/>
          <w:numId w:val="1"/>
        </w:numPr>
        <w:rPr>
          <w:color w:val="000000" w:themeColor="text1"/>
        </w:rPr>
      </w:pPr>
      <w:bookmarkStart w:id="1164" w:name="_Toc106092755"/>
      <w:bookmarkStart w:id="1165" w:name="_Toc109801366"/>
      <w:bookmarkStart w:id="1166" w:name="_Toc169250831"/>
      <w:bookmarkStart w:id="1167" w:name="_Toc193530993"/>
      <w:bookmarkStart w:id="1168" w:name="_Toc193957049"/>
      <w:bookmarkStart w:id="1169" w:name="_Toc203032739"/>
      <w:r w:rsidRPr="00033A3F">
        <w:rPr>
          <w:color w:val="000000" w:themeColor="text1"/>
        </w:rPr>
        <w:lastRenderedPageBreak/>
        <w:t>Vyřizování v přepočtu na soudce</w:t>
      </w:r>
      <w:bookmarkEnd w:id="1164"/>
      <w:bookmarkEnd w:id="1165"/>
      <w:bookmarkEnd w:id="1166"/>
      <w:bookmarkEnd w:id="1167"/>
      <w:bookmarkEnd w:id="1168"/>
      <w:bookmarkEnd w:id="1169"/>
    </w:p>
    <w:p w14:paraId="68175466" w14:textId="141E9CEB" w:rsidR="001C1DE9" w:rsidRPr="00033A3F" w:rsidRDefault="001C1DE9" w:rsidP="001C1DE9">
      <w:pPr>
        <w:pStyle w:val="OdstavecASR"/>
        <w:rPr>
          <w:color w:val="000000" w:themeColor="text1"/>
        </w:rPr>
      </w:pPr>
      <w:r w:rsidRPr="00033A3F">
        <w:rPr>
          <w:color w:val="000000" w:themeColor="text1"/>
        </w:rPr>
        <w:t>Stejně jako u OS má Ministerstvo spravedlnosti k dispozici přesnější data o počtu soudců, která budou využita pro přepočet, neboť umožňují oddělit soudce vyřizující prvostupňovou agendu od soudců, kteří vyřizují agendu odvolací. V těchto datech tedy je zahrnut skutečný počet soudců (skutečných úvazků), kteří se zabývají prvostupňovou občanskoprávní a obchodněprávní agendou. Soudci, kteří se zabývají insolvencemi, incidenčními spory a obchodním rejstříkem zde započteni nejsou. Přepočet na soudce je uveden v tabulce níže.</w:t>
      </w:r>
      <w:r w:rsidR="00C34598" w:rsidRPr="00033A3F">
        <w:rPr>
          <w:color w:val="000000" w:themeColor="text1"/>
        </w:rPr>
        <w:t xml:space="preserve"> Je třeba poznamenat, že údaje už dále nejsou nijak upravovány či očišťovány dle předmětu sporu, protože u této statistiky není předmět sporu k dispozici.</w:t>
      </w:r>
    </w:p>
    <w:p w14:paraId="620DC6A9" w14:textId="3AD6FBC2" w:rsidR="001C1DE9" w:rsidRPr="00033A3F" w:rsidRDefault="001C1DE9" w:rsidP="001C1DE9">
      <w:pPr>
        <w:pStyle w:val="Podnadpis"/>
        <w:numPr>
          <w:ilvl w:val="0"/>
          <w:numId w:val="0"/>
        </w:numPr>
        <w:rPr>
          <w:color w:val="000000" w:themeColor="text1"/>
        </w:rPr>
      </w:pPr>
      <w:bookmarkStart w:id="1170" w:name="_Toc75952348"/>
      <w:bookmarkStart w:id="1171" w:name="_Toc106106805"/>
      <w:bookmarkStart w:id="1172" w:name="_Toc109802128"/>
      <w:bookmarkStart w:id="1173" w:name="_Toc144104286"/>
      <w:bookmarkStart w:id="1174" w:name="_Toc169251098"/>
      <w:bookmarkStart w:id="1175" w:name="_Toc174080784"/>
      <w:bookmarkStart w:id="1176" w:name="_Toc193530914"/>
      <w:bookmarkStart w:id="1177" w:name="_Toc194045610"/>
      <w:bookmarkStart w:id="1178" w:name="_Toc199495020"/>
      <w:bookmarkStart w:id="1179" w:name="_Toc203033081"/>
      <w:bookmarkStart w:id="1180" w:name="_Toc203033159"/>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39</w:t>
      </w:r>
      <w:r w:rsidRPr="00033A3F">
        <w:rPr>
          <w:noProof/>
          <w:color w:val="000000" w:themeColor="text1"/>
        </w:rPr>
        <w:fldChar w:fldCharType="end"/>
      </w:r>
      <w:r w:rsidRPr="00033A3F">
        <w:rPr>
          <w:color w:val="000000" w:themeColor="text1"/>
        </w:rPr>
        <w:t>: KS – vyřiz. prvostupň. civil. věcí na skut. úvazek dle soudů</w:t>
      </w:r>
      <w:bookmarkEnd w:id="1170"/>
      <w:bookmarkEnd w:id="1171"/>
      <w:bookmarkEnd w:id="1172"/>
      <w:bookmarkEnd w:id="1173"/>
      <w:r w:rsidRPr="00033A3F">
        <w:rPr>
          <w:color w:val="000000" w:themeColor="text1"/>
        </w:rPr>
        <w:t>, 202</w:t>
      </w:r>
      <w:bookmarkEnd w:id="1174"/>
      <w:bookmarkEnd w:id="1175"/>
      <w:r w:rsidRPr="00033A3F">
        <w:rPr>
          <w:color w:val="000000" w:themeColor="text1"/>
        </w:rPr>
        <w:t>4</w:t>
      </w:r>
      <w:bookmarkEnd w:id="1176"/>
      <w:bookmarkEnd w:id="1177"/>
      <w:bookmarkEnd w:id="1178"/>
      <w:bookmarkEnd w:id="1179"/>
      <w:bookmarkEnd w:id="1180"/>
    </w:p>
    <w:tbl>
      <w:tblPr>
        <w:tblW w:w="9021" w:type="dxa"/>
        <w:tblCellMar>
          <w:left w:w="70" w:type="dxa"/>
          <w:right w:w="70" w:type="dxa"/>
        </w:tblCellMar>
        <w:tblLook w:val="04A0" w:firstRow="1" w:lastRow="0" w:firstColumn="1" w:lastColumn="0" w:noHBand="0" w:noVBand="1"/>
      </w:tblPr>
      <w:tblGrid>
        <w:gridCol w:w="1820"/>
        <w:gridCol w:w="1015"/>
        <w:gridCol w:w="1134"/>
        <w:gridCol w:w="915"/>
        <w:gridCol w:w="1073"/>
        <w:gridCol w:w="989"/>
        <w:gridCol w:w="1276"/>
        <w:gridCol w:w="799"/>
      </w:tblGrid>
      <w:tr w:rsidR="00E819EB" w:rsidRPr="00E819EB" w14:paraId="449430D2" w14:textId="77777777" w:rsidTr="003D5F1A">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0DDE296A"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Soud</w:t>
            </w:r>
          </w:p>
        </w:tc>
        <w:tc>
          <w:tcPr>
            <w:tcW w:w="1015" w:type="dxa"/>
            <w:vMerge w:val="restart"/>
            <w:tcBorders>
              <w:top w:val="double" w:sz="6" w:space="0" w:color="auto"/>
              <w:left w:val="nil"/>
              <w:bottom w:val="double" w:sz="6" w:space="0" w:color="000000"/>
              <w:right w:val="nil"/>
            </w:tcBorders>
            <w:shd w:val="clear" w:color="auto" w:fill="auto"/>
            <w:vAlign w:val="center"/>
            <w:hideMark/>
          </w:tcPr>
          <w:p w14:paraId="1EE78CBE"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Počet úvazků</w:t>
            </w:r>
          </w:p>
        </w:tc>
        <w:tc>
          <w:tcPr>
            <w:tcW w:w="6186" w:type="dxa"/>
            <w:gridSpan w:val="6"/>
            <w:tcBorders>
              <w:top w:val="double" w:sz="6" w:space="0" w:color="auto"/>
              <w:left w:val="nil"/>
              <w:bottom w:val="nil"/>
              <w:right w:val="nil"/>
            </w:tcBorders>
            <w:shd w:val="clear" w:color="auto" w:fill="auto"/>
            <w:noWrap/>
            <w:vAlign w:val="center"/>
            <w:hideMark/>
          </w:tcPr>
          <w:p w14:paraId="340F2892"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Počet věcí na úvazek</w:t>
            </w:r>
          </w:p>
        </w:tc>
      </w:tr>
      <w:tr w:rsidR="00E819EB" w:rsidRPr="00E819EB" w14:paraId="01007B13" w14:textId="77777777" w:rsidTr="003D5F1A">
        <w:trPr>
          <w:trHeight w:val="330"/>
        </w:trPr>
        <w:tc>
          <w:tcPr>
            <w:tcW w:w="1820" w:type="dxa"/>
            <w:vMerge/>
            <w:tcBorders>
              <w:top w:val="double" w:sz="6" w:space="0" w:color="auto"/>
              <w:left w:val="nil"/>
              <w:bottom w:val="double" w:sz="6" w:space="0" w:color="000000"/>
              <w:right w:val="nil"/>
            </w:tcBorders>
            <w:vAlign w:val="center"/>
            <w:hideMark/>
          </w:tcPr>
          <w:p w14:paraId="0421C295" w14:textId="77777777" w:rsidR="00E819EB" w:rsidRPr="00E819EB" w:rsidRDefault="00E819EB" w:rsidP="00E819EB">
            <w:pPr>
              <w:spacing w:line="240" w:lineRule="auto"/>
              <w:jc w:val="left"/>
              <w:rPr>
                <w:rFonts w:eastAsia="Times New Roman"/>
                <w:b/>
                <w:bCs/>
                <w:color w:val="000000"/>
                <w:szCs w:val="24"/>
                <w:lang w:eastAsia="cs-CZ"/>
              </w:rPr>
            </w:pPr>
          </w:p>
        </w:tc>
        <w:tc>
          <w:tcPr>
            <w:tcW w:w="1015" w:type="dxa"/>
            <w:vMerge/>
            <w:tcBorders>
              <w:top w:val="double" w:sz="6" w:space="0" w:color="auto"/>
              <w:left w:val="nil"/>
              <w:bottom w:val="double" w:sz="6" w:space="0" w:color="000000"/>
              <w:right w:val="nil"/>
            </w:tcBorders>
            <w:vAlign w:val="center"/>
            <w:hideMark/>
          </w:tcPr>
          <w:p w14:paraId="1E327CE3" w14:textId="77777777" w:rsidR="00E819EB" w:rsidRPr="00E819EB" w:rsidRDefault="00E819EB" w:rsidP="00E819EB">
            <w:pPr>
              <w:spacing w:line="240" w:lineRule="auto"/>
              <w:jc w:val="left"/>
              <w:rPr>
                <w:rFonts w:eastAsia="Times New Roman"/>
                <w:b/>
                <w:bCs/>
                <w:color w:val="000000"/>
                <w:szCs w:val="24"/>
                <w:lang w:eastAsia="cs-CZ"/>
              </w:rPr>
            </w:pPr>
          </w:p>
        </w:tc>
        <w:tc>
          <w:tcPr>
            <w:tcW w:w="2049" w:type="dxa"/>
            <w:gridSpan w:val="2"/>
            <w:tcBorders>
              <w:top w:val="nil"/>
              <w:left w:val="nil"/>
              <w:bottom w:val="double" w:sz="6" w:space="0" w:color="auto"/>
              <w:right w:val="nil"/>
            </w:tcBorders>
            <w:shd w:val="clear" w:color="auto" w:fill="auto"/>
            <w:noWrap/>
            <w:vAlign w:val="center"/>
            <w:hideMark/>
          </w:tcPr>
          <w:p w14:paraId="11EDD122"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Nápad + obživlé věci</w:t>
            </w:r>
          </w:p>
        </w:tc>
        <w:tc>
          <w:tcPr>
            <w:tcW w:w="206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B7CAF75"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Vyřízeno</w:t>
            </w:r>
          </w:p>
        </w:tc>
        <w:tc>
          <w:tcPr>
            <w:tcW w:w="2075" w:type="dxa"/>
            <w:gridSpan w:val="2"/>
            <w:tcBorders>
              <w:top w:val="nil"/>
              <w:left w:val="nil"/>
              <w:bottom w:val="double" w:sz="6" w:space="0" w:color="auto"/>
              <w:right w:val="nil"/>
            </w:tcBorders>
            <w:shd w:val="clear" w:color="auto" w:fill="auto"/>
            <w:noWrap/>
            <w:vAlign w:val="center"/>
            <w:hideMark/>
          </w:tcPr>
          <w:p w14:paraId="29641EDB"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Nevyřízeno</w:t>
            </w:r>
          </w:p>
        </w:tc>
      </w:tr>
      <w:tr w:rsidR="00E819EB" w:rsidRPr="00E819EB" w14:paraId="510AF8E1" w14:textId="77777777" w:rsidTr="003D5F1A">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0A7E2E45"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MS Praha</w:t>
            </w:r>
          </w:p>
        </w:tc>
        <w:tc>
          <w:tcPr>
            <w:tcW w:w="1015" w:type="dxa"/>
            <w:tcBorders>
              <w:top w:val="single" w:sz="4" w:space="0" w:color="auto"/>
              <w:left w:val="nil"/>
              <w:bottom w:val="single" w:sz="4" w:space="0" w:color="auto"/>
              <w:right w:val="nil"/>
            </w:tcBorders>
            <w:shd w:val="clear" w:color="auto" w:fill="auto"/>
            <w:noWrap/>
            <w:vAlign w:val="bottom"/>
            <w:hideMark/>
          </w:tcPr>
          <w:p w14:paraId="25C1C08C" w14:textId="33A3E98A"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28</w:t>
            </w:r>
            <w:r w:rsidR="000E54AC">
              <w:rPr>
                <w:rFonts w:eastAsia="Times New Roman"/>
                <w:color w:val="000000"/>
                <w:szCs w:val="24"/>
                <w:lang w:eastAsia="cs-CZ"/>
              </w:rPr>
              <w:t>,</w:t>
            </w:r>
            <w:r w:rsidRPr="00E819EB">
              <w:rPr>
                <w:rFonts w:eastAsia="Times New Roman"/>
                <w:color w:val="000000"/>
                <w:szCs w:val="24"/>
                <w:lang w:eastAsia="cs-CZ"/>
              </w:rPr>
              <w:t>05</w:t>
            </w:r>
          </w:p>
        </w:tc>
        <w:tc>
          <w:tcPr>
            <w:tcW w:w="1134" w:type="dxa"/>
            <w:tcBorders>
              <w:top w:val="single" w:sz="4" w:space="0" w:color="auto"/>
              <w:left w:val="nil"/>
              <w:bottom w:val="single" w:sz="4" w:space="0" w:color="auto"/>
              <w:right w:val="nil"/>
            </w:tcBorders>
            <w:shd w:val="clear" w:color="auto" w:fill="auto"/>
            <w:noWrap/>
            <w:vAlign w:val="bottom"/>
            <w:hideMark/>
          </w:tcPr>
          <w:p w14:paraId="150471AC" w14:textId="51A9119A"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543</w:t>
            </w:r>
            <w:r w:rsidR="000E54AC">
              <w:rPr>
                <w:rFonts w:eastAsia="Times New Roman"/>
                <w:color w:val="000000"/>
                <w:szCs w:val="24"/>
                <w:lang w:eastAsia="cs-CZ"/>
              </w:rPr>
              <w:t>,</w:t>
            </w:r>
            <w:r w:rsidRPr="00E819EB">
              <w:rPr>
                <w:rFonts w:eastAsia="Times New Roman"/>
                <w:color w:val="000000"/>
                <w:szCs w:val="24"/>
                <w:lang w:eastAsia="cs-CZ"/>
              </w:rPr>
              <w:t>49</w:t>
            </w:r>
          </w:p>
        </w:tc>
        <w:tc>
          <w:tcPr>
            <w:tcW w:w="915" w:type="dxa"/>
            <w:tcBorders>
              <w:top w:val="single" w:sz="4" w:space="0" w:color="auto"/>
              <w:left w:val="nil"/>
              <w:bottom w:val="single" w:sz="4" w:space="0" w:color="auto"/>
              <w:right w:val="nil"/>
            </w:tcBorders>
            <w:shd w:val="clear" w:color="auto" w:fill="auto"/>
            <w:noWrap/>
            <w:vAlign w:val="center"/>
            <w:hideMark/>
          </w:tcPr>
          <w:p w14:paraId="66899528"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+4 %  </w:t>
            </w:r>
          </w:p>
        </w:tc>
        <w:tc>
          <w:tcPr>
            <w:tcW w:w="1073" w:type="dxa"/>
            <w:tcBorders>
              <w:top w:val="nil"/>
              <w:left w:val="single" w:sz="4" w:space="0" w:color="auto"/>
              <w:bottom w:val="single" w:sz="4" w:space="0" w:color="auto"/>
              <w:right w:val="nil"/>
            </w:tcBorders>
            <w:shd w:val="clear" w:color="auto" w:fill="auto"/>
            <w:noWrap/>
            <w:vAlign w:val="bottom"/>
            <w:hideMark/>
          </w:tcPr>
          <w:p w14:paraId="472C1488" w14:textId="6935F3C3"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535</w:t>
            </w:r>
            <w:r w:rsidR="000E54AC">
              <w:rPr>
                <w:rFonts w:eastAsia="Times New Roman"/>
                <w:color w:val="000000"/>
                <w:szCs w:val="24"/>
                <w:lang w:eastAsia="cs-CZ"/>
              </w:rPr>
              <w:t>,</w:t>
            </w:r>
            <w:r w:rsidRPr="00E819EB">
              <w:rPr>
                <w:rFonts w:eastAsia="Times New Roman"/>
                <w:color w:val="000000"/>
                <w:szCs w:val="24"/>
                <w:lang w:eastAsia="cs-CZ"/>
              </w:rPr>
              <w:t>94</w:t>
            </w:r>
          </w:p>
        </w:tc>
        <w:tc>
          <w:tcPr>
            <w:tcW w:w="989" w:type="dxa"/>
            <w:tcBorders>
              <w:top w:val="nil"/>
              <w:left w:val="nil"/>
              <w:bottom w:val="single" w:sz="4" w:space="0" w:color="auto"/>
              <w:right w:val="single" w:sz="4" w:space="0" w:color="auto"/>
            </w:tcBorders>
            <w:shd w:val="clear" w:color="auto" w:fill="auto"/>
            <w:noWrap/>
            <w:vAlign w:val="center"/>
            <w:hideMark/>
          </w:tcPr>
          <w:p w14:paraId="011C8445"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+9 %  </w:t>
            </w:r>
          </w:p>
        </w:tc>
        <w:tc>
          <w:tcPr>
            <w:tcW w:w="1276" w:type="dxa"/>
            <w:tcBorders>
              <w:top w:val="single" w:sz="4" w:space="0" w:color="auto"/>
              <w:left w:val="nil"/>
              <w:bottom w:val="single" w:sz="4" w:space="0" w:color="auto"/>
              <w:right w:val="nil"/>
            </w:tcBorders>
            <w:shd w:val="clear" w:color="auto" w:fill="auto"/>
            <w:noWrap/>
            <w:vAlign w:val="bottom"/>
            <w:hideMark/>
          </w:tcPr>
          <w:p w14:paraId="3E0AFCE5" w14:textId="75D56EC2"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232</w:t>
            </w:r>
            <w:r w:rsidR="000E54AC">
              <w:rPr>
                <w:rFonts w:eastAsia="Times New Roman"/>
                <w:color w:val="000000"/>
                <w:szCs w:val="24"/>
                <w:lang w:eastAsia="cs-CZ"/>
              </w:rPr>
              <w:t>,</w:t>
            </w:r>
            <w:r w:rsidRPr="00E819EB">
              <w:rPr>
                <w:rFonts w:eastAsia="Times New Roman"/>
                <w:color w:val="000000"/>
                <w:szCs w:val="24"/>
                <w:lang w:eastAsia="cs-CZ"/>
              </w:rPr>
              <w:t>44</w:t>
            </w:r>
          </w:p>
        </w:tc>
        <w:tc>
          <w:tcPr>
            <w:tcW w:w="799" w:type="dxa"/>
            <w:tcBorders>
              <w:top w:val="single" w:sz="4" w:space="0" w:color="auto"/>
              <w:left w:val="nil"/>
              <w:bottom w:val="single" w:sz="4" w:space="0" w:color="auto"/>
              <w:right w:val="nil"/>
            </w:tcBorders>
            <w:shd w:val="clear" w:color="auto" w:fill="auto"/>
            <w:noWrap/>
            <w:vAlign w:val="center"/>
            <w:hideMark/>
          </w:tcPr>
          <w:p w14:paraId="4694AF04"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+0 %  </w:t>
            </w:r>
          </w:p>
        </w:tc>
      </w:tr>
      <w:tr w:rsidR="00E819EB" w:rsidRPr="00E819EB" w14:paraId="6A05F632"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2CFAB412"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Praha</w:t>
            </w:r>
          </w:p>
        </w:tc>
        <w:tc>
          <w:tcPr>
            <w:tcW w:w="1015" w:type="dxa"/>
            <w:tcBorders>
              <w:top w:val="nil"/>
              <w:left w:val="nil"/>
              <w:bottom w:val="single" w:sz="4" w:space="0" w:color="auto"/>
              <w:right w:val="nil"/>
            </w:tcBorders>
            <w:shd w:val="clear" w:color="auto" w:fill="auto"/>
            <w:noWrap/>
            <w:vAlign w:val="bottom"/>
            <w:hideMark/>
          </w:tcPr>
          <w:p w14:paraId="28DAD255" w14:textId="7777777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w:t>
            </w:r>
          </w:p>
        </w:tc>
        <w:tc>
          <w:tcPr>
            <w:tcW w:w="1134" w:type="dxa"/>
            <w:tcBorders>
              <w:top w:val="nil"/>
              <w:left w:val="nil"/>
              <w:bottom w:val="single" w:sz="4" w:space="0" w:color="auto"/>
              <w:right w:val="nil"/>
            </w:tcBorders>
            <w:shd w:val="clear" w:color="auto" w:fill="auto"/>
            <w:noWrap/>
            <w:vAlign w:val="bottom"/>
            <w:hideMark/>
          </w:tcPr>
          <w:p w14:paraId="6DC3DEC4" w14:textId="5F74DD83"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213</w:t>
            </w:r>
            <w:r w:rsidR="000E54AC">
              <w:rPr>
                <w:rFonts w:eastAsia="Times New Roman"/>
                <w:color w:val="000000"/>
                <w:szCs w:val="24"/>
                <w:lang w:eastAsia="cs-CZ"/>
              </w:rPr>
              <w:t>,</w:t>
            </w:r>
            <w:r w:rsidRPr="00E819EB">
              <w:rPr>
                <w:rFonts w:eastAsia="Times New Roman"/>
                <w:color w:val="000000"/>
                <w:szCs w:val="24"/>
                <w:lang w:eastAsia="cs-CZ"/>
              </w:rPr>
              <w:t>50</w:t>
            </w:r>
          </w:p>
        </w:tc>
        <w:tc>
          <w:tcPr>
            <w:tcW w:w="915" w:type="dxa"/>
            <w:tcBorders>
              <w:top w:val="nil"/>
              <w:left w:val="nil"/>
              <w:bottom w:val="single" w:sz="4" w:space="0" w:color="auto"/>
              <w:right w:val="nil"/>
            </w:tcBorders>
            <w:shd w:val="clear" w:color="auto" w:fill="auto"/>
            <w:noWrap/>
            <w:vAlign w:val="center"/>
            <w:hideMark/>
          </w:tcPr>
          <w:p w14:paraId="0E4607E2"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-13 %  </w:t>
            </w:r>
          </w:p>
        </w:tc>
        <w:tc>
          <w:tcPr>
            <w:tcW w:w="1073" w:type="dxa"/>
            <w:tcBorders>
              <w:top w:val="nil"/>
              <w:left w:val="single" w:sz="4" w:space="0" w:color="auto"/>
              <w:bottom w:val="single" w:sz="4" w:space="0" w:color="auto"/>
              <w:right w:val="nil"/>
            </w:tcBorders>
            <w:shd w:val="clear" w:color="auto" w:fill="auto"/>
            <w:noWrap/>
            <w:vAlign w:val="bottom"/>
            <w:hideMark/>
          </w:tcPr>
          <w:p w14:paraId="2FA91430" w14:textId="64A0A6EF"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222</w:t>
            </w:r>
            <w:r w:rsidR="000E54AC">
              <w:rPr>
                <w:rFonts w:eastAsia="Times New Roman"/>
                <w:color w:val="000000"/>
                <w:szCs w:val="24"/>
                <w:lang w:eastAsia="cs-CZ"/>
              </w:rPr>
              <w:t>,</w:t>
            </w:r>
            <w:r w:rsidRPr="00E819EB">
              <w:rPr>
                <w:rFonts w:eastAsia="Times New Roman"/>
                <w:color w:val="000000"/>
                <w:szCs w:val="24"/>
                <w:lang w:eastAsia="cs-CZ"/>
              </w:rPr>
              <w:t>00</w:t>
            </w:r>
          </w:p>
        </w:tc>
        <w:tc>
          <w:tcPr>
            <w:tcW w:w="989" w:type="dxa"/>
            <w:tcBorders>
              <w:top w:val="nil"/>
              <w:left w:val="nil"/>
              <w:bottom w:val="single" w:sz="4" w:space="0" w:color="auto"/>
              <w:right w:val="single" w:sz="4" w:space="0" w:color="auto"/>
            </w:tcBorders>
            <w:shd w:val="clear" w:color="auto" w:fill="auto"/>
            <w:noWrap/>
            <w:vAlign w:val="center"/>
            <w:hideMark/>
          </w:tcPr>
          <w:p w14:paraId="047839ED"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-17 %  </w:t>
            </w:r>
          </w:p>
        </w:tc>
        <w:tc>
          <w:tcPr>
            <w:tcW w:w="1276" w:type="dxa"/>
            <w:tcBorders>
              <w:top w:val="nil"/>
              <w:left w:val="nil"/>
              <w:bottom w:val="single" w:sz="4" w:space="0" w:color="auto"/>
              <w:right w:val="nil"/>
            </w:tcBorders>
            <w:shd w:val="clear" w:color="auto" w:fill="auto"/>
            <w:noWrap/>
            <w:vAlign w:val="bottom"/>
            <w:hideMark/>
          </w:tcPr>
          <w:p w14:paraId="1352ED53" w14:textId="2E022970"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107</w:t>
            </w:r>
            <w:r w:rsidR="000E54AC">
              <w:rPr>
                <w:rFonts w:eastAsia="Times New Roman"/>
                <w:color w:val="000000"/>
                <w:szCs w:val="24"/>
                <w:lang w:eastAsia="cs-CZ"/>
              </w:rPr>
              <w:t>,</w:t>
            </w:r>
            <w:r w:rsidRPr="00E819EB">
              <w:rPr>
                <w:rFonts w:eastAsia="Times New Roman"/>
                <w:color w:val="000000"/>
                <w:szCs w:val="24"/>
                <w:lang w:eastAsia="cs-CZ"/>
              </w:rPr>
              <w:t>00</w:t>
            </w:r>
          </w:p>
        </w:tc>
        <w:tc>
          <w:tcPr>
            <w:tcW w:w="799" w:type="dxa"/>
            <w:tcBorders>
              <w:top w:val="nil"/>
              <w:left w:val="nil"/>
              <w:bottom w:val="single" w:sz="4" w:space="0" w:color="auto"/>
              <w:right w:val="nil"/>
            </w:tcBorders>
            <w:shd w:val="clear" w:color="auto" w:fill="auto"/>
            <w:noWrap/>
            <w:vAlign w:val="center"/>
            <w:hideMark/>
          </w:tcPr>
          <w:p w14:paraId="6F6753C7"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-7 %  </w:t>
            </w:r>
          </w:p>
        </w:tc>
      </w:tr>
      <w:tr w:rsidR="00E819EB" w:rsidRPr="00E819EB" w14:paraId="5F198CD8"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01C2D494"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Č. Budějovice</w:t>
            </w:r>
          </w:p>
        </w:tc>
        <w:tc>
          <w:tcPr>
            <w:tcW w:w="1015" w:type="dxa"/>
            <w:tcBorders>
              <w:top w:val="nil"/>
              <w:left w:val="nil"/>
              <w:bottom w:val="single" w:sz="4" w:space="0" w:color="auto"/>
              <w:right w:val="nil"/>
            </w:tcBorders>
            <w:shd w:val="clear" w:color="auto" w:fill="auto"/>
            <w:noWrap/>
            <w:vAlign w:val="bottom"/>
            <w:hideMark/>
          </w:tcPr>
          <w:p w14:paraId="2A61E146" w14:textId="7777777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w:t>
            </w:r>
          </w:p>
        </w:tc>
        <w:tc>
          <w:tcPr>
            <w:tcW w:w="1134" w:type="dxa"/>
            <w:tcBorders>
              <w:top w:val="nil"/>
              <w:left w:val="nil"/>
              <w:bottom w:val="single" w:sz="4" w:space="0" w:color="auto"/>
              <w:right w:val="nil"/>
            </w:tcBorders>
            <w:shd w:val="clear" w:color="auto" w:fill="auto"/>
            <w:noWrap/>
            <w:vAlign w:val="bottom"/>
            <w:hideMark/>
          </w:tcPr>
          <w:p w14:paraId="080BF40E" w14:textId="266FF6A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258</w:t>
            </w:r>
            <w:r w:rsidR="000E54AC">
              <w:rPr>
                <w:rFonts w:eastAsia="Times New Roman"/>
                <w:color w:val="000000"/>
                <w:szCs w:val="24"/>
                <w:lang w:eastAsia="cs-CZ"/>
              </w:rPr>
              <w:t>,</w:t>
            </w:r>
            <w:r w:rsidRPr="00E819EB">
              <w:rPr>
                <w:rFonts w:eastAsia="Times New Roman"/>
                <w:color w:val="000000"/>
                <w:szCs w:val="24"/>
                <w:lang w:eastAsia="cs-CZ"/>
              </w:rPr>
              <w:t>50</w:t>
            </w:r>
          </w:p>
        </w:tc>
        <w:tc>
          <w:tcPr>
            <w:tcW w:w="915" w:type="dxa"/>
            <w:tcBorders>
              <w:top w:val="nil"/>
              <w:left w:val="nil"/>
              <w:bottom w:val="single" w:sz="4" w:space="0" w:color="auto"/>
              <w:right w:val="nil"/>
            </w:tcBorders>
            <w:shd w:val="clear" w:color="auto" w:fill="auto"/>
            <w:noWrap/>
            <w:vAlign w:val="center"/>
            <w:hideMark/>
          </w:tcPr>
          <w:p w14:paraId="4D9E7B5A"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+48 %  </w:t>
            </w:r>
          </w:p>
        </w:tc>
        <w:tc>
          <w:tcPr>
            <w:tcW w:w="1073" w:type="dxa"/>
            <w:tcBorders>
              <w:top w:val="nil"/>
              <w:left w:val="single" w:sz="4" w:space="0" w:color="auto"/>
              <w:bottom w:val="single" w:sz="4" w:space="0" w:color="auto"/>
              <w:right w:val="nil"/>
            </w:tcBorders>
            <w:shd w:val="clear" w:color="auto" w:fill="auto"/>
            <w:noWrap/>
            <w:vAlign w:val="bottom"/>
            <w:hideMark/>
          </w:tcPr>
          <w:p w14:paraId="53EF035C" w14:textId="1F968705"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290</w:t>
            </w:r>
            <w:r w:rsidR="000E54AC">
              <w:rPr>
                <w:rFonts w:eastAsia="Times New Roman"/>
                <w:color w:val="000000"/>
                <w:szCs w:val="24"/>
                <w:lang w:eastAsia="cs-CZ"/>
              </w:rPr>
              <w:t>,</w:t>
            </w:r>
            <w:r w:rsidRPr="00E819EB">
              <w:rPr>
                <w:rFonts w:eastAsia="Times New Roman"/>
                <w:color w:val="000000"/>
                <w:szCs w:val="24"/>
                <w:lang w:eastAsia="cs-CZ"/>
              </w:rPr>
              <w:t>00</w:t>
            </w:r>
          </w:p>
        </w:tc>
        <w:tc>
          <w:tcPr>
            <w:tcW w:w="989" w:type="dxa"/>
            <w:tcBorders>
              <w:top w:val="nil"/>
              <w:left w:val="nil"/>
              <w:bottom w:val="single" w:sz="4" w:space="0" w:color="auto"/>
              <w:right w:val="single" w:sz="4" w:space="0" w:color="auto"/>
            </w:tcBorders>
            <w:shd w:val="clear" w:color="auto" w:fill="auto"/>
            <w:noWrap/>
            <w:vAlign w:val="center"/>
            <w:hideMark/>
          </w:tcPr>
          <w:p w14:paraId="1360CE32"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+67 %  </w:t>
            </w:r>
          </w:p>
        </w:tc>
        <w:tc>
          <w:tcPr>
            <w:tcW w:w="1276" w:type="dxa"/>
            <w:tcBorders>
              <w:top w:val="nil"/>
              <w:left w:val="nil"/>
              <w:bottom w:val="single" w:sz="4" w:space="0" w:color="auto"/>
              <w:right w:val="nil"/>
            </w:tcBorders>
            <w:shd w:val="clear" w:color="auto" w:fill="auto"/>
            <w:noWrap/>
            <w:vAlign w:val="bottom"/>
            <w:hideMark/>
          </w:tcPr>
          <w:p w14:paraId="03D30B9D" w14:textId="15E2152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115</w:t>
            </w:r>
            <w:r w:rsidR="000E54AC">
              <w:rPr>
                <w:rFonts w:eastAsia="Times New Roman"/>
                <w:color w:val="000000"/>
                <w:szCs w:val="24"/>
                <w:lang w:eastAsia="cs-CZ"/>
              </w:rPr>
              <w:t>,</w:t>
            </w:r>
            <w:r w:rsidRPr="00E819EB">
              <w:rPr>
                <w:rFonts w:eastAsia="Times New Roman"/>
                <w:color w:val="000000"/>
                <w:szCs w:val="24"/>
                <w:lang w:eastAsia="cs-CZ"/>
              </w:rPr>
              <w:t>50</w:t>
            </w:r>
          </w:p>
        </w:tc>
        <w:tc>
          <w:tcPr>
            <w:tcW w:w="799" w:type="dxa"/>
            <w:tcBorders>
              <w:top w:val="nil"/>
              <w:left w:val="nil"/>
              <w:bottom w:val="single" w:sz="4" w:space="0" w:color="auto"/>
              <w:right w:val="nil"/>
            </w:tcBorders>
            <w:shd w:val="clear" w:color="auto" w:fill="auto"/>
            <w:noWrap/>
            <w:vAlign w:val="center"/>
            <w:hideMark/>
          </w:tcPr>
          <w:p w14:paraId="52714965"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-2 %  </w:t>
            </w:r>
          </w:p>
        </w:tc>
      </w:tr>
      <w:tr w:rsidR="00E819EB" w:rsidRPr="00E819EB" w14:paraId="67FBCFBD"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723D1C8C"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Plzeň</w:t>
            </w:r>
          </w:p>
        </w:tc>
        <w:tc>
          <w:tcPr>
            <w:tcW w:w="1015" w:type="dxa"/>
            <w:tcBorders>
              <w:top w:val="nil"/>
              <w:left w:val="nil"/>
              <w:bottom w:val="single" w:sz="4" w:space="0" w:color="auto"/>
              <w:right w:val="nil"/>
            </w:tcBorders>
            <w:shd w:val="clear" w:color="auto" w:fill="auto"/>
            <w:noWrap/>
            <w:vAlign w:val="bottom"/>
            <w:hideMark/>
          </w:tcPr>
          <w:p w14:paraId="2D7D1E26" w14:textId="7777777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w:t>
            </w:r>
          </w:p>
        </w:tc>
        <w:tc>
          <w:tcPr>
            <w:tcW w:w="1134" w:type="dxa"/>
            <w:tcBorders>
              <w:top w:val="nil"/>
              <w:left w:val="nil"/>
              <w:bottom w:val="single" w:sz="4" w:space="0" w:color="auto"/>
              <w:right w:val="nil"/>
            </w:tcBorders>
            <w:shd w:val="clear" w:color="auto" w:fill="auto"/>
            <w:noWrap/>
            <w:vAlign w:val="bottom"/>
            <w:hideMark/>
          </w:tcPr>
          <w:p w14:paraId="33FA51E0" w14:textId="1DF0AAA9"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452</w:t>
            </w:r>
            <w:r w:rsidR="000E54AC">
              <w:rPr>
                <w:rFonts w:eastAsia="Times New Roman"/>
                <w:color w:val="000000"/>
                <w:szCs w:val="24"/>
                <w:lang w:eastAsia="cs-CZ"/>
              </w:rPr>
              <w:t>,</w:t>
            </w:r>
            <w:r w:rsidRPr="00E819EB">
              <w:rPr>
                <w:rFonts w:eastAsia="Times New Roman"/>
                <w:color w:val="000000"/>
                <w:szCs w:val="24"/>
                <w:lang w:eastAsia="cs-CZ"/>
              </w:rPr>
              <w:t>67</w:t>
            </w:r>
          </w:p>
        </w:tc>
        <w:tc>
          <w:tcPr>
            <w:tcW w:w="915" w:type="dxa"/>
            <w:tcBorders>
              <w:top w:val="nil"/>
              <w:left w:val="nil"/>
              <w:bottom w:val="single" w:sz="4" w:space="0" w:color="auto"/>
              <w:right w:val="nil"/>
            </w:tcBorders>
            <w:shd w:val="clear" w:color="auto" w:fill="auto"/>
            <w:noWrap/>
            <w:vAlign w:val="center"/>
            <w:hideMark/>
          </w:tcPr>
          <w:p w14:paraId="2523CF73"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+95 %  </w:t>
            </w:r>
          </w:p>
        </w:tc>
        <w:tc>
          <w:tcPr>
            <w:tcW w:w="1073" w:type="dxa"/>
            <w:tcBorders>
              <w:top w:val="nil"/>
              <w:left w:val="single" w:sz="4" w:space="0" w:color="auto"/>
              <w:bottom w:val="single" w:sz="4" w:space="0" w:color="auto"/>
              <w:right w:val="nil"/>
            </w:tcBorders>
            <w:shd w:val="clear" w:color="auto" w:fill="auto"/>
            <w:noWrap/>
            <w:vAlign w:val="bottom"/>
            <w:hideMark/>
          </w:tcPr>
          <w:p w14:paraId="69DA36C8" w14:textId="270B6EA1"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293</w:t>
            </w:r>
            <w:r w:rsidR="000E54AC">
              <w:rPr>
                <w:rFonts w:eastAsia="Times New Roman"/>
                <w:color w:val="000000"/>
                <w:szCs w:val="24"/>
                <w:lang w:eastAsia="cs-CZ"/>
              </w:rPr>
              <w:t>,</w:t>
            </w:r>
            <w:r w:rsidRPr="00E819EB">
              <w:rPr>
                <w:rFonts w:eastAsia="Times New Roman"/>
                <w:color w:val="000000"/>
                <w:szCs w:val="24"/>
                <w:lang w:eastAsia="cs-CZ"/>
              </w:rPr>
              <w:t>00</w:t>
            </w:r>
          </w:p>
        </w:tc>
        <w:tc>
          <w:tcPr>
            <w:tcW w:w="989" w:type="dxa"/>
            <w:tcBorders>
              <w:top w:val="nil"/>
              <w:left w:val="nil"/>
              <w:bottom w:val="single" w:sz="4" w:space="0" w:color="auto"/>
              <w:right w:val="single" w:sz="4" w:space="0" w:color="auto"/>
            </w:tcBorders>
            <w:shd w:val="clear" w:color="auto" w:fill="auto"/>
            <w:noWrap/>
            <w:vAlign w:val="center"/>
            <w:hideMark/>
          </w:tcPr>
          <w:p w14:paraId="737485D9"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+72 %  </w:t>
            </w:r>
          </w:p>
        </w:tc>
        <w:tc>
          <w:tcPr>
            <w:tcW w:w="1276" w:type="dxa"/>
            <w:tcBorders>
              <w:top w:val="nil"/>
              <w:left w:val="nil"/>
              <w:bottom w:val="single" w:sz="4" w:space="0" w:color="auto"/>
              <w:right w:val="nil"/>
            </w:tcBorders>
            <w:shd w:val="clear" w:color="auto" w:fill="auto"/>
            <w:noWrap/>
            <w:vAlign w:val="bottom"/>
            <w:hideMark/>
          </w:tcPr>
          <w:p w14:paraId="583FC4F3" w14:textId="199254B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500</w:t>
            </w:r>
            <w:r w:rsidR="000E54AC">
              <w:rPr>
                <w:rFonts w:eastAsia="Times New Roman"/>
                <w:color w:val="000000"/>
                <w:szCs w:val="24"/>
                <w:lang w:eastAsia="cs-CZ"/>
              </w:rPr>
              <w:t>,</w:t>
            </w:r>
            <w:r w:rsidRPr="00E819EB">
              <w:rPr>
                <w:rFonts w:eastAsia="Times New Roman"/>
                <w:color w:val="000000"/>
                <w:szCs w:val="24"/>
                <w:lang w:eastAsia="cs-CZ"/>
              </w:rPr>
              <w:t>00</w:t>
            </w:r>
          </w:p>
        </w:tc>
        <w:tc>
          <w:tcPr>
            <w:tcW w:w="799" w:type="dxa"/>
            <w:tcBorders>
              <w:top w:val="nil"/>
              <w:left w:val="nil"/>
              <w:bottom w:val="single" w:sz="4" w:space="0" w:color="auto"/>
              <w:right w:val="nil"/>
            </w:tcBorders>
            <w:shd w:val="clear" w:color="auto" w:fill="auto"/>
            <w:noWrap/>
            <w:vAlign w:val="center"/>
            <w:hideMark/>
          </w:tcPr>
          <w:p w14:paraId="21738681"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+145 %  </w:t>
            </w:r>
          </w:p>
        </w:tc>
      </w:tr>
      <w:tr w:rsidR="00E819EB" w:rsidRPr="00E819EB" w14:paraId="5A56CA52"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425D6D70"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Ústí n. Labem</w:t>
            </w:r>
          </w:p>
        </w:tc>
        <w:tc>
          <w:tcPr>
            <w:tcW w:w="1015" w:type="dxa"/>
            <w:tcBorders>
              <w:top w:val="nil"/>
              <w:left w:val="nil"/>
              <w:bottom w:val="single" w:sz="4" w:space="0" w:color="auto"/>
              <w:right w:val="nil"/>
            </w:tcBorders>
            <w:shd w:val="clear" w:color="auto" w:fill="auto"/>
            <w:noWrap/>
            <w:vAlign w:val="bottom"/>
            <w:hideMark/>
          </w:tcPr>
          <w:p w14:paraId="153C2B1F" w14:textId="36CDAE1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6</w:t>
            </w:r>
            <w:r w:rsidR="000E54AC">
              <w:rPr>
                <w:rFonts w:eastAsia="Times New Roman"/>
                <w:color w:val="000000"/>
                <w:szCs w:val="24"/>
                <w:lang w:eastAsia="cs-CZ"/>
              </w:rPr>
              <w:t>,</w:t>
            </w:r>
            <w:r w:rsidRPr="00E819EB">
              <w:rPr>
                <w:rFonts w:eastAsia="Times New Roman"/>
                <w:color w:val="000000"/>
                <w:szCs w:val="24"/>
                <w:lang w:eastAsia="cs-CZ"/>
              </w:rPr>
              <w:t>64</w:t>
            </w:r>
          </w:p>
        </w:tc>
        <w:tc>
          <w:tcPr>
            <w:tcW w:w="1134" w:type="dxa"/>
            <w:tcBorders>
              <w:top w:val="nil"/>
              <w:left w:val="nil"/>
              <w:bottom w:val="single" w:sz="4" w:space="0" w:color="auto"/>
              <w:right w:val="nil"/>
            </w:tcBorders>
            <w:shd w:val="clear" w:color="auto" w:fill="auto"/>
            <w:noWrap/>
            <w:vAlign w:val="bottom"/>
            <w:hideMark/>
          </w:tcPr>
          <w:p w14:paraId="404EF80A" w14:textId="0AA972F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314</w:t>
            </w:r>
            <w:r w:rsidR="000E54AC">
              <w:rPr>
                <w:rFonts w:eastAsia="Times New Roman"/>
                <w:color w:val="000000"/>
                <w:szCs w:val="24"/>
                <w:lang w:eastAsia="cs-CZ"/>
              </w:rPr>
              <w:t>,</w:t>
            </w:r>
            <w:r w:rsidRPr="00E819EB">
              <w:rPr>
                <w:rFonts w:eastAsia="Times New Roman"/>
                <w:color w:val="000000"/>
                <w:szCs w:val="24"/>
                <w:lang w:eastAsia="cs-CZ"/>
              </w:rPr>
              <w:t>76</w:t>
            </w:r>
          </w:p>
        </w:tc>
        <w:tc>
          <w:tcPr>
            <w:tcW w:w="915" w:type="dxa"/>
            <w:tcBorders>
              <w:top w:val="nil"/>
              <w:left w:val="nil"/>
              <w:bottom w:val="single" w:sz="4" w:space="0" w:color="auto"/>
              <w:right w:val="nil"/>
            </w:tcBorders>
            <w:shd w:val="clear" w:color="auto" w:fill="auto"/>
            <w:noWrap/>
            <w:vAlign w:val="center"/>
            <w:hideMark/>
          </w:tcPr>
          <w:p w14:paraId="308E5ED1"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-2 %  </w:t>
            </w:r>
          </w:p>
        </w:tc>
        <w:tc>
          <w:tcPr>
            <w:tcW w:w="1073" w:type="dxa"/>
            <w:tcBorders>
              <w:top w:val="nil"/>
              <w:left w:val="single" w:sz="4" w:space="0" w:color="auto"/>
              <w:bottom w:val="single" w:sz="4" w:space="0" w:color="auto"/>
              <w:right w:val="nil"/>
            </w:tcBorders>
            <w:shd w:val="clear" w:color="auto" w:fill="auto"/>
            <w:noWrap/>
            <w:vAlign w:val="bottom"/>
            <w:hideMark/>
          </w:tcPr>
          <w:p w14:paraId="60D840D4" w14:textId="645D3618"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276</w:t>
            </w:r>
            <w:r w:rsidR="000E54AC">
              <w:rPr>
                <w:rFonts w:eastAsia="Times New Roman"/>
                <w:color w:val="000000"/>
                <w:szCs w:val="24"/>
                <w:lang w:eastAsia="cs-CZ"/>
              </w:rPr>
              <w:t>,</w:t>
            </w:r>
            <w:r w:rsidRPr="00E819EB">
              <w:rPr>
                <w:rFonts w:eastAsia="Times New Roman"/>
                <w:color w:val="000000"/>
                <w:szCs w:val="24"/>
                <w:lang w:eastAsia="cs-CZ"/>
              </w:rPr>
              <w:t>05</w:t>
            </w:r>
          </w:p>
        </w:tc>
        <w:tc>
          <w:tcPr>
            <w:tcW w:w="989" w:type="dxa"/>
            <w:tcBorders>
              <w:top w:val="nil"/>
              <w:left w:val="nil"/>
              <w:bottom w:val="single" w:sz="4" w:space="0" w:color="auto"/>
              <w:right w:val="single" w:sz="4" w:space="0" w:color="auto"/>
            </w:tcBorders>
            <w:shd w:val="clear" w:color="auto" w:fill="auto"/>
            <w:noWrap/>
            <w:vAlign w:val="center"/>
            <w:hideMark/>
          </w:tcPr>
          <w:p w14:paraId="633BFB1A"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+34 %  </w:t>
            </w:r>
          </w:p>
        </w:tc>
        <w:tc>
          <w:tcPr>
            <w:tcW w:w="1276" w:type="dxa"/>
            <w:tcBorders>
              <w:top w:val="nil"/>
              <w:left w:val="nil"/>
              <w:bottom w:val="single" w:sz="4" w:space="0" w:color="auto"/>
              <w:right w:val="nil"/>
            </w:tcBorders>
            <w:shd w:val="clear" w:color="auto" w:fill="auto"/>
            <w:noWrap/>
            <w:vAlign w:val="bottom"/>
            <w:hideMark/>
          </w:tcPr>
          <w:p w14:paraId="0F1CF87A" w14:textId="4DD2190C"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369</w:t>
            </w:r>
            <w:r w:rsidR="000E54AC">
              <w:rPr>
                <w:rFonts w:eastAsia="Times New Roman"/>
                <w:color w:val="000000"/>
                <w:szCs w:val="24"/>
                <w:lang w:eastAsia="cs-CZ"/>
              </w:rPr>
              <w:t>,</w:t>
            </w:r>
            <w:r w:rsidRPr="00E819EB">
              <w:rPr>
                <w:rFonts w:eastAsia="Times New Roman"/>
                <w:color w:val="000000"/>
                <w:szCs w:val="24"/>
                <w:lang w:eastAsia="cs-CZ"/>
              </w:rPr>
              <w:t>73</w:t>
            </w:r>
          </w:p>
        </w:tc>
        <w:tc>
          <w:tcPr>
            <w:tcW w:w="799" w:type="dxa"/>
            <w:tcBorders>
              <w:top w:val="nil"/>
              <w:left w:val="nil"/>
              <w:bottom w:val="single" w:sz="4" w:space="0" w:color="auto"/>
              <w:right w:val="nil"/>
            </w:tcBorders>
            <w:shd w:val="clear" w:color="auto" w:fill="auto"/>
            <w:noWrap/>
            <w:vAlign w:val="center"/>
            <w:hideMark/>
          </w:tcPr>
          <w:p w14:paraId="6575269A"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+15 %  </w:t>
            </w:r>
          </w:p>
        </w:tc>
      </w:tr>
      <w:tr w:rsidR="00E819EB" w:rsidRPr="00E819EB" w14:paraId="5E5F2E6D"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4E9C869A"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Hr. Králové</w:t>
            </w:r>
          </w:p>
        </w:tc>
        <w:tc>
          <w:tcPr>
            <w:tcW w:w="1015" w:type="dxa"/>
            <w:tcBorders>
              <w:top w:val="nil"/>
              <w:left w:val="nil"/>
              <w:bottom w:val="single" w:sz="4" w:space="0" w:color="auto"/>
              <w:right w:val="nil"/>
            </w:tcBorders>
            <w:shd w:val="clear" w:color="auto" w:fill="auto"/>
            <w:noWrap/>
            <w:vAlign w:val="bottom"/>
            <w:hideMark/>
          </w:tcPr>
          <w:p w14:paraId="65E4A17A" w14:textId="777B7BF5"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6</w:t>
            </w:r>
            <w:r w:rsidR="000E54AC">
              <w:rPr>
                <w:rFonts w:eastAsia="Times New Roman"/>
                <w:color w:val="000000"/>
                <w:szCs w:val="24"/>
                <w:lang w:eastAsia="cs-CZ"/>
              </w:rPr>
              <w:t>,</w:t>
            </w:r>
            <w:r w:rsidRPr="00E819EB">
              <w:rPr>
                <w:rFonts w:eastAsia="Times New Roman"/>
                <w:color w:val="000000"/>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0F13B5DE" w14:textId="1B7597FD"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302</w:t>
            </w:r>
            <w:r w:rsidR="000E54AC">
              <w:rPr>
                <w:rFonts w:eastAsia="Times New Roman"/>
                <w:color w:val="000000"/>
                <w:szCs w:val="24"/>
                <w:lang w:eastAsia="cs-CZ"/>
              </w:rPr>
              <w:t>,</w:t>
            </w:r>
            <w:r w:rsidRPr="00E819EB">
              <w:rPr>
                <w:rFonts w:eastAsia="Times New Roman"/>
                <w:color w:val="000000"/>
                <w:szCs w:val="24"/>
                <w:lang w:eastAsia="cs-CZ"/>
              </w:rPr>
              <w:t>15</w:t>
            </w:r>
          </w:p>
        </w:tc>
        <w:tc>
          <w:tcPr>
            <w:tcW w:w="915" w:type="dxa"/>
            <w:tcBorders>
              <w:top w:val="nil"/>
              <w:left w:val="nil"/>
              <w:bottom w:val="single" w:sz="4" w:space="0" w:color="auto"/>
              <w:right w:val="nil"/>
            </w:tcBorders>
            <w:shd w:val="clear" w:color="auto" w:fill="auto"/>
            <w:noWrap/>
            <w:vAlign w:val="center"/>
            <w:hideMark/>
          </w:tcPr>
          <w:p w14:paraId="0234B262"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-44 %  </w:t>
            </w:r>
          </w:p>
        </w:tc>
        <w:tc>
          <w:tcPr>
            <w:tcW w:w="1073" w:type="dxa"/>
            <w:tcBorders>
              <w:top w:val="nil"/>
              <w:left w:val="single" w:sz="4" w:space="0" w:color="auto"/>
              <w:bottom w:val="single" w:sz="4" w:space="0" w:color="auto"/>
              <w:right w:val="nil"/>
            </w:tcBorders>
            <w:shd w:val="clear" w:color="auto" w:fill="auto"/>
            <w:noWrap/>
            <w:vAlign w:val="bottom"/>
            <w:hideMark/>
          </w:tcPr>
          <w:p w14:paraId="3AAC1DF0" w14:textId="08702195"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372</w:t>
            </w:r>
            <w:r w:rsidR="000E54AC">
              <w:rPr>
                <w:rFonts w:eastAsia="Times New Roman"/>
                <w:color w:val="000000"/>
                <w:szCs w:val="24"/>
                <w:lang w:eastAsia="cs-CZ"/>
              </w:rPr>
              <w:t>,</w:t>
            </w:r>
            <w:r w:rsidRPr="00E819EB">
              <w:rPr>
                <w:rFonts w:eastAsia="Times New Roman"/>
                <w:color w:val="000000"/>
                <w:szCs w:val="24"/>
                <w:lang w:eastAsia="cs-CZ"/>
              </w:rPr>
              <w:t>31</w:t>
            </w:r>
          </w:p>
        </w:tc>
        <w:tc>
          <w:tcPr>
            <w:tcW w:w="989" w:type="dxa"/>
            <w:tcBorders>
              <w:top w:val="nil"/>
              <w:left w:val="nil"/>
              <w:bottom w:val="single" w:sz="4" w:space="0" w:color="auto"/>
              <w:right w:val="single" w:sz="4" w:space="0" w:color="auto"/>
            </w:tcBorders>
            <w:shd w:val="clear" w:color="auto" w:fill="auto"/>
            <w:noWrap/>
            <w:vAlign w:val="center"/>
            <w:hideMark/>
          </w:tcPr>
          <w:p w14:paraId="78054CD7"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-7 %  </w:t>
            </w:r>
          </w:p>
        </w:tc>
        <w:tc>
          <w:tcPr>
            <w:tcW w:w="1276" w:type="dxa"/>
            <w:tcBorders>
              <w:top w:val="nil"/>
              <w:left w:val="nil"/>
              <w:bottom w:val="single" w:sz="4" w:space="0" w:color="auto"/>
              <w:right w:val="nil"/>
            </w:tcBorders>
            <w:shd w:val="clear" w:color="auto" w:fill="auto"/>
            <w:noWrap/>
            <w:vAlign w:val="bottom"/>
            <w:hideMark/>
          </w:tcPr>
          <w:p w14:paraId="7E61BDFA" w14:textId="2F013A7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245</w:t>
            </w:r>
            <w:r w:rsidR="000E54AC">
              <w:rPr>
                <w:rFonts w:eastAsia="Times New Roman"/>
                <w:color w:val="000000"/>
                <w:szCs w:val="24"/>
                <w:lang w:eastAsia="cs-CZ"/>
              </w:rPr>
              <w:t>,</w:t>
            </w:r>
            <w:r w:rsidRPr="00E819EB">
              <w:rPr>
                <w:rFonts w:eastAsia="Times New Roman"/>
                <w:color w:val="000000"/>
                <w:szCs w:val="24"/>
                <w:lang w:eastAsia="cs-CZ"/>
              </w:rPr>
              <w:t>08</w:t>
            </w:r>
          </w:p>
        </w:tc>
        <w:tc>
          <w:tcPr>
            <w:tcW w:w="799" w:type="dxa"/>
            <w:tcBorders>
              <w:top w:val="nil"/>
              <w:left w:val="nil"/>
              <w:bottom w:val="single" w:sz="4" w:space="0" w:color="auto"/>
              <w:right w:val="nil"/>
            </w:tcBorders>
            <w:shd w:val="clear" w:color="auto" w:fill="auto"/>
            <w:noWrap/>
            <w:vAlign w:val="center"/>
            <w:hideMark/>
          </w:tcPr>
          <w:p w14:paraId="06C212FD"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-34 %  </w:t>
            </w:r>
          </w:p>
        </w:tc>
      </w:tr>
      <w:tr w:rsidR="00E819EB" w:rsidRPr="00E819EB" w14:paraId="43F9F284"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0485067C"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Brno</w:t>
            </w:r>
          </w:p>
        </w:tc>
        <w:tc>
          <w:tcPr>
            <w:tcW w:w="1015" w:type="dxa"/>
            <w:tcBorders>
              <w:top w:val="nil"/>
              <w:left w:val="nil"/>
              <w:bottom w:val="single" w:sz="4" w:space="0" w:color="auto"/>
              <w:right w:val="nil"/>
            </w:tcBorders>
            <w:shd w:val="clear" w:color="auto" w:fill="auto"/>
            <w:noWrap/>
            <w:vAlign w:val="bottom"/>
            <w:hideMark/>
          </w:tcPr>
          <w:p w14:paraId="7E567253" w14:textId="7777777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12</w:t>
            </w:r>
          </w:p>
        </w:tc>
        <w:tc>
          <w:tcPr>
            <w:tcW w:w="1134" w:type="dxa"/>
            <w:tcBorders>
              <w:top w:val="nil"/>
              <w:left w:val="nil"/>
              <w:bottom w:val="single" w:sz="4" w:space="0" w:color="auto"/>
              <w:right w:val="nil"/>
            </w:tcBorders>
            <w:shd w:val="clear" w:color="auto" w:fill="auto"/>
            <w:noWrap/>
            <w:vAlign w:val="bottom"/>
            <w:hideMark/>
          </w:tcPr>
          <w:p w14:paraId="556CCB98" w14:textId="41443110"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243</w:t>
            </w:r>
            <w:r w:rsidR="000E54AC">
              <w:rPr>
                <w:rFonts w:eastAsia="Times New Roman"/>
                <w:color w:val="000000"/>
                <w:szCs w:val="24"/>
                <w:lang w:eastAsia="cs-CZ"/>
              </w:rPr>
              <w:t>,</w:t>
            </w:r>
            <w:r w:rsidRPr="00E819EB">
              <w:rPr>
                <w:rFonts w:eastAsia="Times New Roman"/>
                <w:color w:val="000000"/>
                <w:szCs w:val="24"/>
                <w:lang w:eastAsia="cs-CZ"/>
              </w:rPr>
              <w:t>58</w:t>
            </w:r>
          </w:p>
        </w:tc>
        <w:tc>
          <w:tcPr>
            <w:tcW w:w="915" w:type="dxa"/>
            <w:tcBorders>
              <w:top w:val="nil"/>
              <w:left w:val="nil"/>
              <w:bottom w:val="single" w:sz="4" w:space="0" w:color="auto"/>
              <w:right w:val="nil"/>
            </w:tcBorders>
            <w:shd w:val="clear" w:color="auto" w:fill="auto"/>
            <w:noWrap/>
            <w:vAlign w:val="center"/>
            <w:hideMark/>
          </w:tcPr>
          <w:p w14:paraId="49CB605B"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+36 %  </w:t>
            </w:r>
          </w:p>
        </w:tc>
        <w:tc>
          <w:tcPr>
            <w:tcW w:w="1073" w:type="dxa"/>
            <w:tcBorders>
              <w:top w:val="nil"/>
              <w:left w:val="single" w:sz="4" w:space="0" w:color="auto"/>
              <w:bottom w:val="single" w:sz="4" w:space="0" w:color="auto"/>
              <w:right w:val="nil"/>
            </w:tcBorders>
            <w:shd w:val="clear" w:color="auto" w:fill="auto"/>
            <w:noWrap/>
            <w:vAlign w:val="bottom"/>
            <w:hideMark/>
          </w:tcPr>
          <w:p w14:paraId="1A3C709B" w14:textId="559978A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237</w:t>
            </w:r>
            <w:r w:rsidR="000E54AC">
              <w:rPr>
                <w:rFonts w:eastAsia="Times New Roman"/>
                <w:color w:val="000000"/>
                <w:szCs w:val="24"/>
                <w:lang w:eastAsia="cs-CZ"/>
              </w:rPr>
              <w:t>,</w:t>
            </w:r>
            <w:r w:rsidRPr="00E819EB">
              <w:rPr>
                <w:rFonts w:eastAsia="Times New Roman"/>
                <w:color w:val="000000"/>
                <w:szCs w:val="24"/>
                <w:lang w:eastAsia="cs-CZ"/>
              </w:rPr>
              <w:t>67</w:t>
            </w:r>
          </w:p>
        </w:tc>
        <w:tc>
          <w:tcPr>
            <w:tcW w:w="989" w:type="dxa"/>
            <w:tcBorders>
              <w:top w:val="nil"/>
              <w:left w:val="nil"/>
              <w:bottom w:val="single" w:sz="4" w:space="0" w:color="auto"/>
              <w:right w:val="single" w:sz="4" w:space="0" w:color="auto"/>
            </w:tcBorders>
            <w:shd w:val="clear" w:color="auto" w:fill="auto"/>
            <w:noWrap/>
            <w:vAlign w:val="center"/>
            <w:hideMark/>
          </w:tcPr>
          <w:p w14:paraId="1BB8B337"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+39 %  </w:t>
            </w:r>
          </w:p>
        </w:tc>
        <w:tc>
          <w:tcPr>
            <w:tcW w:w="1276" w:type="dxa"/>
            <w:tcBorders>
              <w:top w:val="nil"/>
              <w:left w:val="nil"/>
              <w:bottom w:val="single" w:sz="4" w:space="0" w:color="auto"/>
              <w:right w:val="nil"/>
            </w:tcBorders>
            <w:shd w:val="clear" w:color="auto" w:fill="auto"/>
            <w:noWrap/>
            <w:vAlign w:val="bottom"/>
            <w:hideMark/>
          </w:tcPr>
          <w:p w14:paraId="17C014B5" w14:textId="4B7AC9C1"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230</w:t>
            </w:r>
            <w:r w:rsidR="000E54AC">
              <w:rPr>
                <w:rFonts w:eastAsia="Times New Roman"/>
                <w:color w:val="000000"/>
                <w:szCs w:val="24"/>
                <w:lang w:eastAsia="cs-CZ"/>
              </w:rPr>
              <w:t>,</w:t>
            </w:r>
            <w:r w:rsidRPr="00E819EB">
              <w:rPr>
                <w:rFonts w:eastAsia="Times New Roman"/>
                <w:color w:val="000000"/>
                <w:szCs w:val="24"/>
                <w:lang w:eastAsia="cs-CZ"/>
              </w:rPr>
              <w:t>83</w:t>
            </w:r>
          </w:p>
        </w:tc>
        <w:tc>
          <w:tcPr>
            <w:tcW w:w="799" w:type="dxa"/>
            <w:tcBorders>
              <w:top w:val="nil"/>
              <w:left w:val="nil"/>
              <w:bottom w:val="single" w:sz="4" w:space="0" w:color="auto"/>
              <w:right w:val="nil"/>
            </w:tcBorders>
            <w:shd w:val="clear" w:color="auto" w:fill="auto"/>
            <w:noWrap/>
            <w:vAlign w:val="center"/>
            <w:hideMark/>
          </w:tcPr>
          <w:p w14:paraId="3EE7216C"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+45 %  </w:t>
            </w:r>
          </w:p>
        </w:tc>
      </w:tr>
      <w:tr w:rsidR="00E819EB" w:rsidRPr="00E819EB" w14:paraId="4FC81BDF" w14:textId="77777777" w:rsidTr="003D5F1A">
        <w:trPr>
          <w:trHeight w:val="330"/>
        </w:trPr>
        <w:tc>
          <w:tcPr>
            <w:tcW w:w="1820" w:type="dxa"/>
            <w:tcBorders>
              <w:top w:val="nil"/>
              <w:left w:val="nil"/>
              <w:bottom w:val="double" w:sz="6" w:space="0" w:color="auto"/>
              <w:right w:val="nil"/>
            </w:tcBorders>
            <w:shd w:val="clear" w:color="auto" w:fill="auto"/>
            <w:noWrap/>
            <w:vAlign w:val="bottom"/>
            <w:hideMark/>
          </w:tcPr>
          <w:p w14:paraId="66D99A54"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Ostrava</w:t>
            </w:r>
          </w:p>
        </w:tc>
        <w:tc>
          <w:tcPr>
            <w:tcW w:w="1015" w:type="dxa"/>
            <w:tcBorders>
              <w:top w:val="nil"/>
              <w:left w:val="nil"/>
              <w:bottom w:val="double" w:sz="6" w:space="0" w:color="auto"/>
              <w:right w:val="nil"/>
            </w:tcBorders>
            <w:shd w:val="clear" w:color="auto" w:fill="auto"/>
            <w:noWrap/>
            <w:vAlign w:val="bottom"/>
            <w:hideMark/>
          </w:tcPr>
          <w:p w14:paraId="45026354" w14:textId="0F402F1B"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14</w:t>
            </w:r>
            <w:r w:rsidR="000E54AC">
              <w:rPr>
                <w:rFonts w:eastAsia="Times New Roman"/>
                <w:color w:val="000000"/>
                <w:szCs w:val="24"/>
                <w:lang w:eastAsia="cs-CZ"/>
              </w:rPr>
              <w:t>,</w:t>
            </w:r>
            <w:r w:rsidRPr="00E819EB">
              <w:rPr>
                <w:rFonts w:eastAsia="Times New Roman"/>
                <w:color w:val="000000"/>
                <w:szCs w:val="24"/>
                <w:lang w:eastAsia="cs-CZ"/>
              </w:rPr>
              <w:t>9</w:t>
            </w:r>
          </w:p>
        </w:tc>
        <w:tc>
          <w:tcPr>
            <w:tcW w:w="1134" w:type="dxa"/>
            <w:tcBorders>
              <w:top w:val="nil"/>
              <w:left w:val="nil"/>
              <w:bottom w:val="double" w:sz="6" w:space="0" w:color="auto"/>
              <w:right w:val="nil"/>
            </w:tcBorders>
            <w:shd w:val="clear" w:color="auto" w:fill="auto"/>
            <w:noWrap/>
            <w:vAlign w:val="bottom"/>
            <w:hideMark/>
          </w:tcPr>
          <w:p w14:paraId="07A96D0E" w14:textId="5BC1339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178</w:t>
            </w:r>
            <w:r w:rsidR="000E54AC">
              <w:rPr>
                <w:rFonts w:eastAsia="Times New Roman"/>
                <w:color w:val="000000"/>
                <w:szCs w:val="24"/>
                <w:lang w:eastAsia="cs-CZ"/>
              </w:rPr>
              <w:t>,</w:t>
            </w:r>
            <w:r w:rsidRPr="00E819EB">
              <w:rPr>
                <w:rFonts w:eastAsia="Times New Roman"/>
                <w:color w:val="000000"/>
                <w:szCs w:val="24"/>
                <w:lang w:eastAsia="cs-CZ"/>
              </w:rPr>
              <w:t>32</w:t>
            </w:r>
          </w:p>
        </w:tc>
        <w:tc>
          <w:tcPr>
            <w:tcW w:w="915" w:type="dxa"/>
            <w:tcBorders>
              <w:top w:val="nil"/>
              <w:left w:val="nil"/>
              <w:bottom w:val="double" w:sz="6" w:space="0" w:color="auto"/>
              <w:right w:val="nil"/>
            </w:tcBorders>
            <w:shd w:val="clear" w:color="auto" w:fill="auto"/>
            <w:noWrap/>
            <w:vAlign w:val="center"/>
            <w:hideMark/>
          </w:tcPr>
          <w:p w14:paraId="09C955E8"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-10 %  </w:t>
            </w:r>
          </w:p>
        </w:tc>
        <w:tc>
          <w:tcPr>
            <w:tcW w:w="1073" w:type="dxa"/>
            <w:tcBorders>
              <w:top w:val="nil"/>
              <w:left w:val="single" w:sz="4" w:space="0" w:color="auto"/>
              <w:bottom w:val="double" w:sz="6" w:space="0" w:color="auto"/>
              <w:right w:val="nil"/>
            </w:tcBorders>
            <w:shd w:val="clear" w:color="auto" w:fill="auto"/>
            <w:noWrap/>
            <w:vAlign w:val="bottom"/>
            <w:hideMark/>
          </w:tcPr>
          <w:p w14:paraId="0BF15204" w14:textId="210FE58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179</w:t>
            </w:r>
            <w:r w:rsidR="000E54AC">
              <w:rPr>
                <w:rFonts w:eastAsia="Times New Roman"/>
                <w:color w:val="000000"/>
                <w:szCs w:val="24"/>
                <w:lang w:eastAsia="cs-CZ"/>
              </w:rPr>
              <w:t>,</w:t>
            </w:r>
            <w:r w:rsidRPr="00E819EB">
              <w:rPr>
                <w:rFonts w:eastAsia="Times New Roman"/>
                <w:color w:val="000000"/>
                <w:szCs w:val="24"/>
                <w:lang w:eastAsia="cs-CZ"/>
              </w:rPr>
              <w:t>19</w:t>
            </w:r>
          </w:p>
        </w:tc>
        <w:tc>
          <w:tcPr>
            <w:tcW w:w="989" w:type="dxa"/>
            <w:tcBorders>
              <w:top w:val="nil"/>
              <w:left w:val="nil"/>
              <w:bottom w:val="double" w:sz="6" w:space="0" w:color="auto"/>
              <w:right w:val="single" w:sz="4" w:space="0" w:color="auto"/>
            </w:tcBorders>
            <w:shd w:val="clear" w:color="auto" w:fill="auto"/>
            <w:noWrap/>
            <w:vAlign w:val="center"/>
            <w:hideMark/>
          </w:tcPr>
          <w:p w14:paraId="43E427CA"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-5 %  </w:t>
            </w:r>
          </w:p>
        </w:tc>
        <w:tc>
          <w:tcPr>
            <w:tcW w:w="1276" w:type="dxa"/>
            <w:tcBorders>
              <w:top w:val="nil"/>
              <w:left w:val="nil"/>
              <w:bottom w:val="double" w:sz="6" w:space="0" w:color="auto"/>
              <w:right w:val="nil"/>
            </w:tcBorders>
            <w:shd w:val="clear" w:color="auto" w:fill="auto"/>
            <w:noWrap/>
            <w:vAlign w:val="bottom"/>
            <w:hideMark/>
          </w:tcPr>
          <w:p w14:paraId="22D73D09" w14:textId="0F4EE6D0"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93</w:t>
            </w:r>
            <w:r w:rsidR="000E54AC">
              <w:rPr>
                <w:rFonts w:eastAsia="Times New Roman"/>
                <w:color w:val="000000"/>
                <w:szCs w:val="24"/>
                <w:lang w:eastAsia="cs-CZ"/>
              </w:rPr>
              <w:t>,</w:t>
            </w:r>
            <w:r w:rsidRPr="00E819EB">
              <w:rPr>
                <w:rFonts w:eastAsia="Times New Roman"/>
                <w:color w:val="000000"/>
                <w:szCs w:val="24"/>
                <w:lang w:eastAsia="cs-CZ"/>
              </w:rPr>
              <w:t>15</w:t>
            </w:r>
          </w:p>
        </w:tc>
        <w:tc>
          <w:tcPr>
            <w:tcW w:w="799" w:type="dxa"/>
            <w:tcBorders>
              <w:top w:val="nil"/>
              <w:left w:val="nil"/>
              <w:bottom w:val="double" w:sz="6" w:space="0" w:color="auto"/>
              <w:right w:val="nil"/>
            </w:tcBorders>
            <w:shd w:val="clear" w:color="auto" w:fill="auto"/>
            <w:noWrap/>
            <w:vAlign w:val="center"/>
            <w:hideMark/>
          </w:tcPr>
          <w:p w14:paraId="364D5524"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-15 %  </w:t>
            </w:r>
          </w:p>
        </w:tc>
      </w:tr>
      <w:tr w:rsidR="00E819EB" w:rsidRPr="00E819EB" w14:paraId="07CB107F" w14:textId="77777777" w:rsidTr="003D5F1A">
        <w:trPr>
          <w:trHeight w:val="345"/>
        </w:trPr>
        <w:tc>
          <w:tcPr>
            <w:tcW w:w="1820" w:type="dxa"/>
            <w:tcBorders>
              <w:top w:val="nil"/>
              <w:left w:val="nil"/>
              <w:bottom w:val="double" w:sz="6" w:space="0" w:color="auto"/>
              <w:right w:val="nil"/>
            </w:tcBorders>
            <w:shd w:val="clear" w:color="auto" w:fill="auto"/>
            <w:noWrap/>
            <w:vAlign w:val="bottom"/>
            <w:hideMark/>
          </w:tcPr>
          <w:p w14:paraId="4AE21307" w14:textId="77777777" w:rsidR="00E819EB" w:rsidRPr="00E819EB" w:rsidRDefault="00E819EB" w:rsidP="00E819EB">
            <w:pPr>
              <w:spacing w:line="240" w:lineRule="auto"/>
              <w:jc w:val="left"/>
              <w:rPr>
                <w:rFonts w:eastAsia="Times New Roman"/>
                <w:b/>
                <w:bCs/>
                <w:color w:val="000000"/>
                <w:szCs w:val="24"/>
                <w:lang w:eastAsia="cs-CZ"/>
              </w:rPr>
            </w:pPr>
            <w:r w:rsidRPr="00E819EB">
              <w:rPr>
                <w:rFonts w:eastAsia="Times New Roman"/>
                <w:b/>
                <w:bCs/>
                <w:color w:val="000000"/>
                <w:szCs w:val="24"/>
                <w:lang w:eastAsia="cs-CZ"/>
              </w:rPr>
              <w:t>Celkem ČR</w:t>
            </w:r>
          </w:p>
        </w:tc>
        <w:tc>
          <w:tcPr>
            <w:tcW w:w="1015" w:type="dxa"/>
            <w:tcBorders>
              <w:top w:val="nil"/>
              <w:left w:val="nil"/>
              <w:bottom w:val="double" w:sz="6" w:space="0" w:color="auto"/>
              <w:right w:val="nil"/>
            </w:tcBorders>
            <w:shd w:val="clear" w:color="auto" w:fill="auto"/>
            <w:noWrap/>
            <w:vAlign w:val="bottom"/>
            <w:hideMark/>
          </w:tcPr>
          <w:p w14:paraId="5E00C54A" w14:textId="5E7F4BC8"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75</w:t>
            </w:r>
            <w:r w:rsidR="000E54AC">
              <w:rPr>
                <w:rFonts w:eastAsia="Times New Roman"/>
                <w:b/>
                <w:bCs/>
                <w:color w:val="000000"/>
                <w:szCs w:val="24"/>
                <w:lang w:eastAsia="cs-CZ"/>
              </w:rPr>
              <w:t>,</w:t>
            </w:r>
            <w:r w:rsidRPr="00E819EB">
              <w:rPr>
                <w:rFonts w:eastAsia="Times New Roman"/>
                <w:b/>
                <w:bCs/>
                <w:color w:val="000000"/>
                <w:szCs w:val="24"/>
                <w:lang w:eastAsia="cs-CZ"/>
              </w:rPr>
              <w:t>09</w:t>
            </w:r>
          </w:p>
        </w:tc>
        <w:tc>
          <w:tcPr>
            <w:tcW w:w="1134" w:type="dxa"/>
            <w:tcBorders>
              <w:top w:val="nil"/>
              <w:left w:val="nil"/>
              <w:bottom w:val="double" w:sz="6" w:space="0" w:color="auto"/>
              <w:right w:val="nil"/>
            </w:tcBorders>
            <w:shd w:val="clear" w:color="auto" w:fill="auto"/>
            <w:noWrap/>
            <w:vAlign w:val="bottom"/>
            <w:hideMark/>
          </w:tcPr>
          <w:p w14:paraId="5E9D883D" w14:textId="79D41CA5"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361</w:t>
            </w:r>
            <w:r w:rsidR="000E54AC">
              <w:rPr>
                <w:rFonts w:eastAsia="Times New Roman"/>
                <w:b/>
                <w:bCs/>
                <w:color w:val="000000"/>
                <w:szCs w:val="24"/>
                <w:lang w:eastAsia="cs-CZ"/>
              </w:rPr>
              <w:t>,</w:t>
            </w:r>
            <w:r w:rsidRPr="00E819EB">
              <w:rPr>
                <w:rFonts w:eastAsia="Times New Roman"/>
                <w:b/>
                <w:bCs/>
                <w:color w:val="000000"/>
                <w:szCs w:val="24"/>
                <w:lang w:eastAsia="cs-CZ"/>
              </w:rPr>
              <w:t>98</w:t>
            </w:r>
          </w:p>
        </w:tc>
        <w:tc>
          <w:tcPr>
            <w:tcW w:w="915" w:type="dxa"/>
            <w:tcBorders>
              <w:top w:val="nil"/>
              <w:left w:val="nil"/>
              <w:bottom w:val="double" w:sz="6" w:space="0" w:color="auto"/>
              <w:right w:val="nil"/>
            </w:tcBorders>
            <w:shd w:val="clear" w:color="auto" w:fill="auto"/>
            <w:noWrap/>
            <w:vAlign w:val="center"/>
            <w:hideMark/>
          </w:tcPr>
          <w:p w14:paraId="5C807CA0" w14:textId="77777777" w:rsidR="00E819EB" w:rsidRPr="00E819EB" w:rsidRDefault="00E819EB" w:rsidP="00E819EB">
            <w:pPr>
              <w:spacing w:line="240" w:lineRule="auto"/>
              <w:jc w:val="center"/>
              <w:rPr>
                <w:rFonts w:eastAsia="Times New Roman"/>
                <w:b/>
                <w:bCs/>
                <w:color w:val="000000"/>
                <w:sz w:val="20"/>
                <w:szCs w:val="20"/>
                <w:lang w:eastAsia="cs-CZ"/>
              </w:rPr>
            </w:pPr>
            <w:r w:rsidRPr="00E819EB">
              <w:rPr>
                <w:rFonts w:eastAsia="Times New Roman"/>
                <w:b/>
                <w:bCs/>
                <w:color w:val="000000"/>
                <w:sz w:val="20"/>
                <w:szCs w:val="20"/>
                <w:lang w:eastAsia="cs-CZ"/>
              </w:rPr>
              <w:t xml:space="preserve">+5 %  </w:t>
            </w:r>
          </w:p>
        </w:tc>
        <w:tc>
          <w:tcPr>
            <w:tcW w:w="1073" w:type="dxa"/>
            <w:tcBorders>
              <w:top w:val="nil"/>
              <w:left w:val="single" w:sz="4" w:space="0" w:color="auto"/>
              <w:bottom w:val="double" w:sz="6" w:space="0" w:color="auto"/>
              <w:right w:val="nil"/>
            </w:tcBorders>
            <w:shd w:val="clear" w:color="auto" w:fill="auto"/>
            <w:noWrap/>
            <w:vAlign w:val="bottom"/>
            <w:hideMark/>
          </w:tcPr>
          <w:p w14:paraId="4839F89E" w14:textId="356AED42"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355</w:t>
            </w:r>
            <w:r w:rsidR="000E54AC">
              <w:rPr>
                <w:rFonts w:eastAsia="Times New Roman"/>
                <w:b/>
                <w:bCs/>
                <w:color w:val="000000"/>
                <w:szCs w:val="24"/>
                <w:lang w:eastAsia="cs-CZ"/>
              </w:rPr>
              <w:t>,</w:t>
            </w:r>
            <w:r w:rsidRPr="00E819EB">
              <w:rPr>
                <w:rFonts w:eastAsia="Times New Roman"/>
                <w:b/>
                <w:bCs/>
                <w:color w:val="000000"/>
                <w:szCs w:val="24"/>
                <w:lang w:eastAsia="cs-CZ"/>
              </w:rPr>
              <w:t>72</w:t>
            </w:r>
          </w:p>
        </w:tc>
        <w:tc>
          <w:tcPr>
            <w:tcW w:w="989" w:type="dxa"/>
            <w:tcBorders>
              <w:top w:val="nil"/>
              <w:left w:val="nil"/>
              <w:bottom w:val="double" w:sz="6" w:space="0" w:color="auto"/>
              <w:right w:val="single" w:sz="4" w:space="0" w:color="auto"/>
            </w:tcBorders>
            <w:shd w:val="clear" w:color="auto" w:fill="auto"/>
            <w:noWrap/>
            <w:vAlign w:val="center"/>
            <w:hideMark/>
          </w:tcPr>
          <w:p w14:paraId="73038DDA" w14:textId="77777777" w:rsidR="00E819EB" w:rsidRPr="00E819EB" w:rsidRDefault="00E819EB" w:rsidP="00E819EB">
            <w:pPr>
              <w:spacing w:line="240" w:lineRule="auto"/>
              <w:jc w:val="center"/>
              <w:rPr>
                <w:rFonts w:eastAsia="Times New Roman"/>
                <w:b/>
                <w:bCs/>
                <w:color w:val="000000"/>
                <w:sz w:val="20"/>
                <w:szCs w:val="20"/>
                <w:lang w:eastAsia="cs-CZ"/>
              </w:rPr>
            </w:pPr>
            <w:r w:rsidRPr="00E819EB">
              <w:rPr>
                <w:rFonts w:eastAsia="Times New Roman"/>
                <w:b/>
                <w:bCs/>
                <w:color w:val="000000"/>
                <w:sz w:val="20"/>
                <w:szCs w:val="20"/>
                <w:lang w:eastAsia="cs-CZ"/>
              </w:rPr>
              <w:t xml:space="preserve">+16 %  </w:t>
            </w:r>
          </w:p>
        </w:tc>
        <w:tc>
          <w:tcPr>
            <w:tcW w:w="1276" w:type="dxa"/>
            <w:tcBorders>
              <w:top w:val="nil"/>
              <w:left w:val="nil"/>
              <w:bottom w:val="double" w:sz="6" w:space="0" w:color="auto"/>
              <w:right w:val="nil"/>
            </w:tcBorders>
            <w:shd w:val="clear" w:color="auto" w:fill="auto"/>
            <w:noWrap/>
            <w:vAlign w:val="bottom"/>
            <w:hideMark/>
          </w:tcPr>
          <w:p w14:paraId="6A65D6D5" w14:textId="06C608F9"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222</w:t>
            </w:r>
            <w:r w:rsidR="000E54AC">
              <w:rPr>
                <w:rFonts w:eastAsia="Times New Roman"/>
                <w:b/>
                <w:bCs/>
                <w:color w:val="000000"/>
                <w:szCs w:val="24"/>
                <w:lang w:eastAsia="cs-CZ"/>
              </w:rPr>
              <w:t>,</w:t>
            </w:r>
            <w:r w:rsidRPr="00E819EB">
              <w:rPr>
                <w:rFonts w:eastAsia="Times New Roman"/>
                <w:b/>
                <w:bCs/>
                <w:color w:val="000000"/>
                <w:szCs w:val="24"/>
                <w:lang w:eastAsia="cs-CZ"/>
              </w:rPr>
              <w:t>01</w:t>
            </w:r>
          </w:p>
        </w:tc>
        <w:tc>
          <w:tcPr>
            <w:tcW w:w="799" w:type="dxa"/>
            <w:tcBorders>
              <w:top w:val="nil"/>
              <w:left w:val="nil"/>
              <w:bottom w:val="double" w:sz="6" w:space="0" w:color="auto"/>
              <w:right w:val="nil"/>
            </w:tcBorders>
            <w:shd w:val="clear" w:color="auto" w:fill="auto"/>
            <w:noWrap/>
            <w:vAlign w:val="center"/>
            <w:hideMark/>
          </w:tcPr>
          <w:p w14:paraId="5FEFA648" w14:textId="77777777" w:rsidR="00E819EB" w:rsidRPr="00E819EB" w:rsidRDefault="00E819EB" w:rsidP="00E819EB">
            <w:pPr>
              <w:spacing w:line="240" w:lineRule="auto"/>
              <w:jc w:val="center"/>
              <w:rPr>
                <w:rFonts w:eastAsia="Times New Roman"/>
                <w:b/>
                <w:bCs/>
                <w:color w:val="000000"/>
                <w:sz w:val="20"/>
                <w:szCs w:val="20"/>
                <w:lang w:eastAsia="cs-CZ"/>
              </w:rPr>
            </w:pPr>
            <w:r w:rsidRPr="00E819EB">
              <w:rPr>
                <w:rFonts w:eastAsia="Times New Roman"/>
                <w:b/>
                <w:bCs/>
                <w:color w:val="000000"/>
                <w:sz w:val="20"/>
                <w:szCs w:val="20"/>
                <w:lang w:eastAsia="cs-CZ"/>
              </w:rPr>
              <w:t xml:space="preserve">+8 %  </w:t>
            </w:r>
          </w:p>
        </w:tc>
      </w:tr>
      <w:tr w:rsidR="00E819EB" w:rsidRPr="00E819EB" w14:paraId="2A8FDB8D" w14:textId="77777777" w:rsidTr="003D5F1A">
        <w:trPr>
          <w:trHeight w:val="330"/>
        </w:trPr>
        <w:tc>
          <w:tcPr>
            <w:tcW w:w="1820" w:type="dxa"/>
            <w:tcBorders>
              <w:top w:val="nil"/>
              <w:left w:val="nil"/>
              <w:bottom w:val="nil"/>
              <w:right w:val="nil"/>
            </w:tcBorders>
            <w:shd w:val="clear" w:color="auto" w:fill="auto"/>
            <w:noWrap/>
            <w:vAlign w:val="bottom"/>
            <w:hideMark/>
          </w:tcPr>
          <w:p w14:paraId="144480AD" w14:textId="77777777" w:rsidR="00E819EB" w:rsidRPr="00E819EB" w:rsidRDefault="00E819EB" w:rsidP="00E819EB">
            <w:pPr>
              <w:spacing w:line="240" w:lineRule="auto"/>
              <w:jc w:val="center"/>
              <w:rPr>
                <w:rFonts w:eastAsia="Times New Roman"/>
                <w:b/>
                <w:bCs/>
                <w:color w:val="000000"/>
                <w:sz w:val="20"/>
                <w:szCs w:val="20"/>
                <w:lang w:eastAsia="cs-CZ"/>
              </w:rPr>
            </w:pPr>
          </w:p>
        </w:tc>
        <w:tc>
          <w:tcPr>
            <w:tcW w:w="1015" w:type="dxa"/>
            <w:tcBorders>
              <w:top w:val="nil"/>
              <w:left w:val="nil"/>
              <w:bottom w:val="nil"/>
              <w:right w:val="nil"/>
            </w:tcBorders>
            <w:shd w:val="clear" w:color="auto" w:fill="auto"/>
            <w:noWrap/>
            <w:vAlign w:val="bottom"/>
            <w:hideMark/>
          </w:tcPr>
          <w:p w14:paraId="23092A97"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31B3B01C"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915" w:type="dxa"/>
            <w:tcBorders>
              <w:top w:val="nil"/>
              <w:left w:val="nil"/>
              <w:bottom w:val="nil"/>
              <w:right w:val="nil"/>
            </w:tcBorders>
            <w:shd w:val="clear" w:color="auto" w:fill="auto"/>
            <w:noWrap/>
            <w:vAlign w:val="bottom"/>
            <w:hideMark/>
          </w:tcPr>
          <w:p w14:paraId="5577E010"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1073" w:type="dxa"/>
            <w:tcBorders>
              <w:top w:val="nil"/>
              <w:left w:val="nil"/>
              <w:bottom w:val="nil"/>
              <w:right w:val="nil"/>
            </w:tcBorders>
            <w:shd w:val="clear" w:color="auto" w:fill="auto"/>
            <w:noWrap/>
            <w:vAlign w:val="bottom"/>
            <w:hideMark/>
          </w:tcPr>
          <w:p w14:paraId="72DBA0FF"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989" w:type="dxa"/>
            <w:tcBorders>
              <w:top w:val="nil"/>
              <w:left w:val="nil"/>
              <w:bottom w:val="nil"/>
              <w:right w:val="nil"/>
            </w:tcBorders>
            <w:shd w:val="clear" w:color="auto" w:fill="auto"/>
            <w:noWrap/>
            <w:vAlign w:val="bottom"/>
            <w:hideMark/>
          </w:tcPr>
          <w:p w14:paraId="6EBC5902"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4AAFA407"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799" w:type="dxa"/>
            <w:tcBorders>
              <w:top w:val="nil"/>
              <w:left w:val="nil"/>
              <w:bottom w:val="nil"/>
              <w:right w:val="nil"/>
            </w:tcBorders>
            <w:shd w:val="clear" w:color="auto" w:fill="auto"/>
            <w:noWrap/>
            <w:vAlign w:val="bottom"/>
            <w:hideMark/>
          </w:tcPr>
          <w:p w14:paraId="4F347596"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r>
    </w:tbl>
    <w:p w14:paraId="151BB5CE" w14:textId="1A735DA9" w:rsidR="008059E6" w:rsidRPr="00033A3F" w:rsidRDefault="008059E6" w:rsidP="008059E6">
      <w:pPr>
        <w:pStyle w:val="OdstavecASR"/>
        <w:rPr>
          <w:color w:val="000000" w:themeColor="text1"/>
        </w:rPr>
      </w:pPr>
      <w:r w:rsidRPr="00033A3F">
        <w:rPr>
          <w:color w:val="000000" w:themeColor="text1"/>
        </w:rPr>
        <w:t>Z tabulky vyplývá několik zajímavých údajů, například:</w:t>
      </w:r>
    </w:p>
    <w:p w14:paraId="631A4C44" w14:textId="77777777" w:rsidR="008059E6" w:rsidRPr="00033A3F" w:rsidRDefault="008059E6" w:rsidP="008059E6">
      <w:pPr>
        <w:pStyle w:val="OdstavecASR"/>
        <w:numPr>
          <w:ilvl w:val="0"/>
          <w:numId w:val="17"/>
        </w:numPr>
        <w:rPr>
          <w:color w:val="000000" w:themeColor="text1"/>
        </w:rPr>
      </w:pPr>
      <w:r w:rsidRPr="00033A3F">
        <w:rPr>
          <w:color w:val="000000" w:themeColor="text1"/>
        </w:rPr>
        <w:t>Mezi soudy jsou velké rozdíly v přepočtu věcí na soudce. U počtu nevyřízených věcí to plyne z celkové zatíženosti soudu i počtu soudců, kteří se danou agendou zabývají. Nicméně počet příchozích věcí (a tím v zásadě i vyřízených věcí) je zohledněn v systemizaci, takže by mezi soudy měly být menší rozdíly. Pro rozdíly může být několik vysvětlení:</w:t>
      </w:r>
    </w:p>
    <w:p w14:paraId="02ECC1E5" w14:textId="77777777" w:rsidR="008059E6" w:rsidRPr="00033A3F" w:rsidRDefault="008059E6" w:rsidP="008059E6">
      <w:pPr>
        <w:pStyle w:val="OdstavecASR"/>
        <w:numPr>
          <w:ilvl w:val="1"/>
          <w:numId w:val="17"/>
        </w:numPr>
        <w:rPr>
          <w:color w:val="000000" w:themeColor="text1"/>
        </w:rPr>
      </w:pPr>
      <w:r w:rsidRPr="00033A3F">
        <w:rPr>
          <w:color w:val="000000" w:themeColor="text1"/>
        </w:rPr>
        <w:t>Počet soudců je u některých soudů malý, dočasný výpadek i jednoho soudce proto může hrát velkou roli v datech.</w:t>
      </w:r>
    </w:p>
    <w:p w14:paraId="4FD724F7" w14:textId="77777777" w:rsidR="008059E6" w:rsidRPr="00033A3F" w:rsidRDefault="008059E6" w:rsidP="008059E6">
      <w:pPr>
        <w:pStyle w:val="OdstavecASR"/>
        <w:numPr>
          <w:ilvl w:val="1"/>
          <w:numId w:val="17"/>
        </w:numPr>
        <w:rPr>
          <w:color w:val="000000" w:themeColor="text1"/>
        </w:rPr>
      </w:pPr>
      <w:r w:rsidRPr="00033A3F">
        <w:rPr>
          <w:color w:val="000000" w:themeColor="text1"/>
        </w:rPr>
        <w:t>Některé KS tuto agendu mohly posílit kvůli vysokému počtu nedodělků, případně z jiných důvodů.</w:t>
      </w:r>
    </w:p>
    <w:p w14:paraId="0BB1E91C" w14:textId="77777777" w:rsidR="008059E6" w:rsidRPr="00033A3F" w:rsidRDefault="008059E6" w:rsidP="008059E6">
      <w:pPr>
        <w:pStyle w:val="OdstavecASR"/>
        <w:numPr>
          <w:ilvl w:val="1"/>
          <w:numId w:val="17"/>
        </w:numPr>
        <w:rPr>
          <w:color w:val="000000" w:themeColor="text1"/>
        </w:rPr>
      </w:pPr>
      <w:r w:rsidRPr="00033A3F">
        <w:rPr>
          <w:color w:val="000000" w:themeColor="text1"/>
        </w:rPr>
        <w:t>Přestože se Ministerstvo spravedlnosti snaží přesně definovat metodiku sběru dat, nelze garantovat jejich přesnost na 100 %. Jednotlivé soudy totiž mohou zvolit k vyplňování datových tabulek poněkud odlišný přístup.</w:t>
      </w:r>
    </w:p>
    <w:p w14:paraId="07B370A5" w14:textId="75B38010" w:rsidR="00C34598" w:rsidRPr="00033A3F" w:rsidRDefault="00C34598" w:rsidP="008059E6">
      <w:pPr>
        <w:pStyle w:val="OdstavecASR"/>
        <w:numPr>
          <w:ilvl w:val="1"/>
          <w:numId w:val="17"/>
        </w:numPr>
        <w:rPr>
          <w:color w:val="000000" w:themeColor="text1"/>
        </w:rPr>
      </w:pPr>
      <w:r w:rsidRPr="00033A3F">
        <w:rPr>
          <w:color w:val="000000" w:themeColor="text1"/>
        </w:rPr>
        <w:t xml:space="preserve">Složení agendy může být mezi jednotlivými soudy </w:t>
      </w:r>
      <w:r w:rsidR="004D53A9" w:rsidRPr="00033A3F">
        <w:rPr>
          <w:color w:val="000000" w:themeColor="text1"/>
        </w:rPr>
        <w:t>odlišné</w:t>
      </w:r>
      <w:r w:rsidRPr="00033A3F">
        <w:rPr>
          <w:color w:val="000000" w:themeColor="text1"/>
        </w:rPr>
        <w:t xml:space="preserve"> a rovněž zde mohou být rozdíly ve vnitřní organizaci soudů.</w:t>
      </w:r>
      <w:r w:rsidR="004D53A9" w:rsidRPr="00033A3F">
        <w:rPr>
          <w:color w:val="000000" w:themeColor="text1"/>
        </w:rPr>
        <w:t xml:space="preserve"> Například MS v Praze </w:t>
      </w:r>
      <w:r w:rsidR="00950728" w:rsidRPr="00033A3F">
        <w:rPr>
          <w:color w:val="000000" w:themeColor="text1"/>
        </w:rPr>
        <w:t>může mít v průměru jednodušší věci a</w:t>
      </w:r>
      <w:r w:rsidR="00632629" w:rsidRPr="00033A3F">
        <w:rPr>
          <w:color w:val="000000" w:themeColor="text1"/>
        </w:rPr>
        <w:t xml:space="preserve"> </w:t>
      </w:r>
      <w:r w:rsidR="00950728" w:rsidRPr="00033A3F">
        <w:rPr>
          <w:color w:val="000000" w:themeColor="text1"/>
        </w:rPr>
        <w:t>(nebo) mají organizaci práce s menšími nároky na soudce (více VSÚ a asistentů</w:t>
      </w:r>
      <w:r w:rsidR="00632629" w:rsidRPr="00033A3F">
        <w:rPr>
          <w:color w:val="000000" w:themeColor="text1"/>
        </w:rPr>
        <w:t>)</w:t>
      </w:r>
      <w:r w:rsidR="00950728" w:rsidRPr="00033A3F">
        <w:rPr>
          <w:color w:val="000000" w:themeColor="text1"/>
        </w:rPr>
        <w:t>.</w:t>
      </w:r>
    </w:p>
    <w:p w14:paraId="43488554" w14:textId="78222234" w:rsidR="008059E6" w:rsidRPr="00033A3F" w:rsidRDefault="008059E6" w:rsidP="008059E6">
      <w:pPr>
        <w:pStyle w:val="OdstavecASR"/>
        <w:numPr>
          <w:ilvl w:val="0"/>
          <w:numId w:val="17"/>
        </w:numPr>
        <w:rPr>
          <w:color w:val="000000" w:themeColor="text1"/>
        </w:rPr>
      </w:pPr>
      <w:r w:rsidRPr="00033A3F">
        <w:rPr>
          <w:color w:val="000000" w:themeColor="text1"/>
        </w:rPr>
        <w:lastRenderedPageBreak/>
        <w:t xml:space="preserve">Jak je již výše zmíněno, rozdíly jsou patrné i u stejného soudu mezi jednotlivými roky. Mezi roky na úrovni ČR v počtu </w:t>
      </w:r>
      <w:r w:rsidR="00632629" w:rsidRPr="00033A3F">
        <w:rPr>
          <w:color w:val="000000" w:themeColor="text1"/>
        </w:rPr>
        <w:t>úvazků</w:t>
      </w:r>
      <w:r w:rsidR="005E4F6E" w:rsidRPr="00033A3F">
        <w:rPr>
          <w:color w:val="000000" w:themeColor="text1"/>
        </w:rPr>
        <w:t xml:space="preserve"> </w:t>
      </w:r>
      <w:r w:rsidRPr="00033A3F">
        <w:rPr>
          <w:color w:val="000000" w:themeColor="text1"/>
        </w:rPr>
        <w:t xml:space="preserve">prakticky nedošlo ke změně, ale u jednotlivých soudů ano (například právě u KS v Plzni). Zřejmě dochází k přesunům </w:t>
      </w:r>
      <w:r w:rsidR="003A7DB2" w:rsidRPr="00033A3F">
        <w:rPr>
          <w:color w:val="000000" w:themeColor="text1"/>
        </w:rPr>
        <w:t xml:space="preserve">soudců </w:t>
      </w:r>
      <w:r w:rsidRPr="00033A3F">
        <w:rPr>
          <w:color w:val="000000" w:themeColor="text1"/>
        </w:rPr>
        <w:t>mezi úseky v rámci soudu, roli ale určitě bude hrát i to, jak soudy ke sběru dat</w:t>
      </w:r>
      <w:r w:rsidR="003A7DB2" w:rsidRPr="00033A3F">
        <w:rPr>
          <w:color w:val="000000" w:themeColor="text1"/>
        </w:rPr>
        <w:t xml:space="preserve"> o počtech soudců</w:t>
      </w:r>
      <w:r w:rsidRPr="00033A3F">
        <w:rPr>
          <w:color w:val="000000" w:themeColor="text1"/>
        </w:rPr>
        <w:t xml:space="preserve"> přistoupily. V neposlední řadě je třeba pamatovat na to, že </w:t>
      </w:r>
      <w:r w:rsidR="003A7DB2" w:rsidRPr="00033A3F">
        <w:rPr>
          <w:color w:val="000000" w:themeColor="text1"/>
        </w:rPr>
        <w:t xml:space="preserve">u počtu soudců </w:t>
      </w:r>
      <w:r w:rsidRPr="00033A3F">
        <w:rPr>
          <w:color w:val="000000" w:themeColor="text1"/>
        </w:rPr>
        <w:t>se jedná o stavovou veličinu k 1.1. K</w:t>
      </w:r>
      <w:r w:rsidR="003A7DB2" w:rsidRPr="00033A3F">
        <w:rPr>
          <w:color w:val="000000" w:themeColor="text1"/>
        </w:rPr>
        <w:t xml:space="preserve"> jejich </w:t>
      </w:r>
      <w:r w:rsidRPr="00033A3F">
        <w:rPr>
          <w:color w:val="000000" w:themeColor="text1"/>
        </w:rPr>
        <w:t>přesunu může tedy docházet i v průběhu roku.</w:t>
      </w:r>
    </w:p>
    <w:p w14:paraId="3E9687B7" w14:textId="77777777" w:rsidR="001C1DE9" w:rsidRPr="00033A3F" w:rsidRDefault="001C1DE9" w:rsidP="001C1DE9">
      <w:pPr>
        <w:rPr>
          <w:color w:val="000000" w:themeColor="text1"/>
        </w:rPr>
      </w:pPr>
    </w:p>
    <w:p w14:paraId="5B5C2E27" w14:textId="0D21637B" w:rsidR="008430BD" w:rsidRPr="00033A3F" w:rsidRDefault="008430BD" w:rsidP="008430BD">
      <w:pPr>
        <w:pStyle w:val="Nadpis3"/>
        <w:keepNext w:val="0"/>
        <w:numPr>
          <w:ilvl w:val="2"/>
          <w:numId w:val="1"/>
        </w:numPr>
        <w:rPr>
          <w:color w:val="000000" w:themeColor="text1"/>
        </w:rPr>
      </w:pPr>
      <w:bookmarkStart w:id="1181" w:name="_Toc515871251"/>
      <w:bookmarkStart w:id="1182" w:name="_Toc106092756"/>
      <w:bookmarkStart w:id="1183" w:name="_Toc169250832"/>
      <w:bookmarkStart w:id="1184" w:name="_Toc193530994"/>
      <w:bookmarkStart w:id="1185" w:name="_Toc193957050"/>
      <w:bookmarkStart w:id="1186" w:name="_Toc203032740"/>
      <w:r w:rsidRPr="00033A3F">
        <w:rPr>
          <w:color w:val="000000" w:themeColor="text1"/>
        </w:rPr>
        <w:t>Disposition time</w:t>
      </w:r>
      <w:bookmarkEnd w:id="1181"/>
      <w:r w:rsidRPr="00033A3F">
        <w:rPr>
          <w:color w:val="000000" w:themeColor="text1"/>
        </w:rPr>
        <w:t xml:space="preserve"> (dispoziční čas)</w:t>
      </w:r>
      <w:bookmarkEnd w:id="1182"/>
      <w:bookmarkEnd w:id="1183"/>
      <w:bookmarkEnd w:id="1184"/>
      <w:bookmarkEnd w:id="1185"/>
      <w:bookmarkEnd w:id="1186"/>
    </w:p>
    <w:p w14:paraId="15181FB2" w14:textId="383F2AC6" w:rsidR="008059E6" w:rsidRPr="00033A3F" w:rsidRDefault="008059E6" w:rsidP="004C0D35">
      <w:pPr>
        <w:pStyle w:val="OdstavecASR"/>
        <w:rPr>
          <w:color w:val="000000" w:themeColor="text1"/>
        </w:rPr>
      </w:pPr>
      <w:r w:rsidRPr="00033A3F">
        <w:rPr>
          <w:color w:val="000000" w:themeColor="text1"/>
        </w:rPr>
        <w:t>Od roku 2014 do roku 2019 byl DT celkem stabilizovaný okolo hodnoty 240 kalendářních dnů. V roce 2020 došlo k dalšímu poklesu, což je dáno poklesem v počtu nevyřízených věcí. V roce 2021 DT mírně narostl (jedná se ale o marginální změnu) a v roce 2022 opět mírně klesl s ohledem na nižší počet nevyřízených věcí. Pokles byl sice nevýrazný, ale díky němu byl DT v roce 2022 nejnižší za sledované období. Vzhledem k vývoji diskutovanému výše (nárůst v počtu nevyřízených věcí) vyrostl DT v roce 2023 na 245. DT stále ale není nejvyšší ve sledovaném období – v </w:t>
      </w:r>
      <w:r w:rsidR="00BD14EC" w:rsidRPr="00033A3F">
        <w:rPr>
          <w:color w:val="000000" w:themeColor="text1"/>
        </w:rPr>
        <w:t>roce</w:t>
      </w:r>
      <w:r w:rsidRPr="00033A3F">
        <w:rPr>
          <w:color w:val="000000" w:themeColor="text1"/>
        </w:rPr>
        <w:t xml:space="preserve"> 2017 byl vyšší.</w:t>
      </w:r>
      <w:r w:rsidR="00BD14EC" w:rsidRPr="00033A3F">
        <w:rPr>
          <w:color w:val="000000" w:themeColor="text1"/>
        </w:rPr>
        <w:t xml:space="preserve"> V roce 2024 DT poklesl.</w:t>
      </w:r>
    </w:p>
    <w:p w14:paraId="53D88430" w14:textId="76DA09C4" w:rsidR="008059E6" w:rsidRPr="00033A3F" w:rsidRDefault="008059E6" w:rsidP="008059E6">
      <w:pPr>
        <w:pStyle w:val="Podnadpis"/>
        <w:rPr>
          <w:color w:val="000000" w:themeColor="text1"/>
        </w:rPr>
      </w:pPr>
      <w:bookmarkStart w:id="1187" w:name="_Toc144104168"/>
      <w:bookmarkStart w:id="1188" w:name="_Toc169250980"/>
      <w:bookmarkStart w:id="1189" w:name="_Toc174080666"/>
      <w:bookmarkStart w:id="1190" w:name="_Toc193530817"/>
      <w:bookmarkStart w:id="1191" w:name="_Toc193634091"/>
      <w:bookmarkStart w:id="1192" w:name="_Toc20303288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62</w:t>
      </w:r>
      <w:r w:rsidRPr="00033A3F">
        <w:rPr>
          <w:color w:val="000000" w:themeColor="text1"/>
        </w:rPr>
        <w:fldChar w:fldCharType="end"/>
      </w:r>
      <w:r w:rsidRPr="00033A3F">
        <w:rPr>
          <w:color w:val="000000" w:themeColor="text1"/>
        </w:rPr>
        <w:t>: KS – DT prvostupňového civilního řízení v letech 2015–202</w:t>
      </w:r>
      <w:bookmarkEnd w:id="1187"/>
      <w:bookmarkEnd w:id="1188"/>
      <w:bookmarkEnd w:id="1189"/>
      <w:r w:rsidRPr="00033A3F">
        <w:rPr>
          <w:color w:val="000000" w:themeColor="text1"/>
        </w:rPr>
        <w:t>4</w:t>
      </w:r>
      <w:bookmarkEnd w:id="1190"/>
      <w:bookmarkEnd w:id="1191"/>
      <w:bookmarkEnd w:id="1192"/>
    </w:p>
    <w:p w14:paraId="4FC008A2" w14:textId="0B6CA9B6" w:rsidR="008059E6" w:rsidRPr="00033A3F" w:rsidRDefault="00BD14EC" w:rsidP="008059E6">
      <w:pPr>
        <w:rPr>
          <w:color w:val="000000" w:themeColor="text1"/>
        </w:rPr>
      </w:pPr>
      <w:r w:rsidRPr="00033A3F">
        <w:rPr>
          <w:noProof/>
          <w:color w:val="000000" w:themeColor="text1"/>
          <w:lang w:eastAsia="cs-CZ"/>
        </w:rPr>
        <w:drawing>
          <wp:inline distT="0" distB="0" distL="0" distR="0" wp14:anchorId="7121CC75" wp14:editId="2707B823">
            <wp:extent cx="5029200" cy="3657600"/>
            <wp:effectExtent l="0" t="0" r="0" b="0"/>
            <wp:docPr id="232882268"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98C3F2A" w14:textId="77777777" w:rsidR="00BD14EC" w:rsidRPr="00033A3F" w:rsidRDefault="00BD14EC" w:rsidP="008059E6">
      <w:pPr>
        <w:rPr>
          <w:color w:val="000000" w:themeColor="text1"/>
        </w:rPr>
      </w:pPr>
    </w:p>
    <w:p w14:paraId="4C96058D" w14:textId="370DC75F" w:rsidR="00BD14EC" w:rsidRPr="00033A3F" w:rsidRDefault="00BD14EC" w:rsidP="00BD14EC">
      <w:pPr>
        <w:pStyle w:val="OdstavecASR"/>
        <w:rPr>
          <w:color w:val="000000" w:themeColor="text1"/>
        </w:rPr>
      </w:pPr>
      <w:r w:rsidRPr="00033A3F">
        <w:rPr>
          <w:color w:val="000000" w:themeColor="text1"/>
        </w:rPr>
        <w:t>V tabulce níže vidíme, že</w:t>
      </w:r>
      <w:r w:rsidR="00857F88" w:rsidRPr="00033A3F">
        <w:rPr>
          <w:color w:val="000000" w:themeColor="text1"/>
        </w:rPr>
        <w:t xml:space="preserve"> </w:t>
      </w:r>
      <w:r w:rsidRPr="00033A3F">
        <w:rPr>
          <w:color w:val="000000" w:themeColor="text1"/>
        </w:rPr>
        <w:t>u některých</w:t>
      </w:r>
      <w:r w:rsidR="009360B5" w:rsidRPr="00033A3F">
        <w:rPr>
          <w:color w:val="000000" w:themeColor="text1"/>
        </w:rPr>
        <w:t xml:space="preserve"> krajských soudů</w:t>
      </w:r>
      <w:r w:rsidRPr="00033A3F">
        <w:rPr>
          <w:color w:val="000000" w:themeColor="text1"/>
        </w:rPr>
        <w:t xml:space="preserve"> DT </w:t>
      </w:r>
      <w:r w:rsidR="009360B5" w:rsidRPr="00033A3F">
        <w:rPr>
          <w:color w:val="000000" w:themeColor="text1"/>
        </w:rPr>
        <w:t>klesal</w:t>
      </w:r>
      <w:r w:rsidRPr="00033A3F">
        <w:rPr>
          <w:color w:val="000000" w:themeColor="text1"/>
        </w:rPr>
        <w:t>, u některých vzrostl. Nejnižší DT tak nyní vykazují KS Č. Budějovice a MS Praha. Nejvíce DT narostl u KS v Plzni – o</w:t>
      </w:r>
      <w:r w:rsidR="00AE7781" w:rsidRPr="00033A3F">
        <w:rPr>
          <w:color w:val="000000" w:themeColor="text1"/>
        </w:rPr>
        <w:t> </w:t>
      </w:r>
      <w:r w:rsidRPr="00033A3F">
        <w:rPr>
          <w:color w:val="000000" w:themeColor="text1"/>
        </w:rPr>
        <w:t>43 %, což bylo dáno nárůstem v počtu nevyřízených věcí. DT u tohoto soudu narostl i v roce 2023 – o 94 % v důsledku kombinace poklesu v počtu vyřízených věcí a prudkého růstu v počtu věcí nevyřízených. KS Plzeň tak nyní vykazuje nejvyšší DT.</w:t>
      </w:r>
      <w:r w:rsidR="00AE7781" w:rsidRPr="00033A3F">
        <w:rPr>
          <w:color w:val="000000" w:themeColor="text1"/>
        </w:rPr>
        <w:t xml:space="preserve"> Jak již bylo uvedeno dříve, jednou z příčin je </w:t>
      </w:r>
      <w:r w:rsidR="00805B2E" w:rsidRPr="00033A3F">
        <w:rPr>
          <w:color w:val="000000" w:themeColor="text1"/>
        </w:rPr>
        <w:t xml:space="preserve">také </w:t>
      </w:r>
      <w:r w:rsidR="00AE7781" w:rsidRPr="00033A3F">
        <w:rPr>
          <w:color w:val="000000" w:themeColor="text1"/>
        </w:rPr>
        <w:t xml:space="preserve">téměř dvojnásobný nápad na soudce v roce 2024 </w:t>
      </w:r>
      <w:r w:rsidR="00FE16E5" w:rsidRPr="00033A3F">
        <w:rPr>
          <w:color w:val="000000" w:themeColor="text1"/>
        </w:rPr>
        <w:t>oproti roku</w:t>
      </w:r>
      <w:r w:rsidR="00AE7781" w:rsidRPr="00033A3F">
        <w:rPr>
          <w:color w:val="000000" w:themeColor="text1"/>
        </w:rPr>
        <w:t xml:space="preserve"> 2023.</w:t>
      </w:r>
    </w:p>
    <w:p w14:paraId="4B1B9C92" w14:textId="74217A65" w:rsidR="00BD14EC" w:rsidRPr="00033A3F" w:rsidRDefault="00BD14EC" w:rsidP="00BD14EC">
      <w:pPr>
        <w:pStyle w:val="OdstavecASR"/>
        <w:rPr>
          <w:color w:val="000000" w:themeColor="text1"/>
        </w:rPr>
      </w:pPr>
      <w:r w:rsidRPr="00033A3F">
        <w:rPr>
          <w:color w:val="000000" w:themeColor="text1"/>
        </w:rPr>
        <w:lastRenderedPageBreak/>
        <w:t>Celkově se situace v této agendě pouze na základě statistických dat těžko hodnotí. Počet nevyřízených věcí až do roku 2022 kles</w:t>
      </w:r>
      <w:r w:rsidR="00FE16E5" w:rsidRPr="00033A3F">
        <w:rPr>
          <w:color w:val="000000" w:themeColor="text1"/>
        </w:rPr>
        <w:t>a</w:t>
      </w:r>
      <w:r w:rsidRPr="00033A3F">
        <w:rPr>
          <w:color w:val="000000" w:themeColor="text1"/>
        </w:rPr>
        <w:t xml:space="preserve">l, což je určitě dobré. Nárůst </w:t>
      </w:r>
      <w:r w:rsidR="00FE16E5" w:rsidRPr="00033A3F">
        <w:rPr>
          <w:color w:val="000000" w:themeColor="text1"/>
        </w:rPr>
        <w:t>z</w:t>
      </w:r>
      <w:r w:rsidRPr="00033A3F">
        <w:rPr>
          <w:color w:val="000000" w:themeColor="text1"/>
        </w:rPr>
        <w:t> ro</w:t>
      </w:r>
      <w:r w:rsidR="00FE16E5" w:rsidRPr="00033A3F">
        <w:rPr>
          <w:color w:val="000000" w:themeColor="text1"/>
        </w:rPr>
        <w:t>ku</w:t>
      </w:r>
      <w:r w:rsidRPr="00033A3F">
        <w:rPr>
          <w:color w:val="000000" w:themeColor="text1"/>
        </w:rPr>
        <w:t xml:space="preserve"> 2023 se v roce 2024 výrazně snížil a počet nevyřízených věcí se snad stabilizoval. Z délek řízení je relativně vypovídající pouze medián z důvodu nemožnosti odfiltrovat přerušené věci. Z dat se také zdá, že mezi jednotlivými soudy jsou značné rozdíly. Statistiky naznačují, že KS Plzeň se nyní může v této agendě potýkat s problémy.</w:t>
      </w:r>
    </w:p>
    <w:p w14:paraId="328BF49B" w14:textId="4F707FAE" w:rsidR="00BD14EC" w:rsidRPr="00033A3F" w:rsidRDefault="00BD14EC" w:rsidP="00BD14EC">
      <w:pPr>
        <w:pStyle w:val="Podnadpis"/>
        <w:rPr>
          <w:color w:val="000000" w:themeColor="text1"/>
        </w:rPr>
      </w:pPr>
      <w:bookmarkStart w:id="1193" w:name="_Toc144104287"/>
      <w:bookmarkStart w:id="1194" w:name="_Toc169251099"/>
      <w:bookmarkStart w:id="1195" w:name="_Toc174080785"/>
      <w:bookmarkStart w:id="1196" w:name="_Toc193530915"/>
      <w:bookmarkStart w:id="1197" w:name="_Toc194045611"/>
      <w:bookmarkStart w:id="1198" w:name="_Toc199495021"/>
      <w:bookmarkStart w:id="1199" w:name="_Toc203033082"/>
      <w:bookmarkStart w:id="1200" w:name="_Toc20303316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40</w:t>
      </w:r>
      <w:r w:rsidRPr="00033A3F">
        <w:rPr>
          <w:color w:val="000000" w:themeColor="text1"/>
        </w:rPr>
        <w:fldChar w:fldCharType="end"/>
      </w:r>
      <w:r w:rsidRPr="00033A3F">
        <w:rPr>
          <w:color w:val="000000" w:themeColor="text1"/>
        </w:rPr>
        <w:t>: KS – DT prvostupňového civilního řízení dle soudů</w:t>
      </w:r>
      <w:bookmarkEnd w:id="1193"/>
      <w:r w:rsidRPr="00033A3F">
        <w:rPr>
          <w:color w:val="000000" w:themeColor="text1"/>
        </w:rPr>
        <w:t>, 202</w:t>
      </w:r>
      <w:bookmarkEnd w:id="1194"/>
      <w:bookmarkEnd w:id="1195"/>
      <w:r w:rsidRPr="00033A3F">
        <w:rPr>
          <w:color w:val="000000" w:themeColor="text1"/>
        </w:rPr>
        <w:t>4</w:t>
      </w:r>
      <w:bookmarkEnd w:id="1196"/>
      <w:bookmarkEnd w:id="1197"/>
      <w:bookmarkEnd w:id="1198"/>
      <w:bookmarkEnd w:id="1199"/>
      <w:bookmarkEnd w:id="1200"/>
    </w:p>
    <w:tbl>
      <w:tblPr>
        <w:tblW w:w="5960" w:type="dxa"/>
        <w:tblCellMar>
          <w:left w:w="70" w:type="dxa"/>
          <w:right w:w="70" w:type="dxa"/>
        </w:tblCellMar>
        <w:tblLook w:val="04A0" w:firstRow="1" w:lastRow="0" w:firstColumn="1" w:lastColumn="0" w:noHBand="0" w:noVBand="1"/>
      </w:tblPr>
      <w:tblGrid>
        <w:gridCol w:w="2780"/>
        <w:gridCol w:w="1331"/>
        <w:gridCol w:w="1849"/>
      </w:tblGrid>
      <w:tr w:rsidR="00033A3F" w:rsidRPr="00033A3F" w14:paraId="389DAF70" w14:textId="77777777" w:rsidTr="00BD14EC">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5FF13608" w14:textId="77777777" w:rsidR="00BD14EC" w:rsidRPr="00033A3F" w:rsidRDefault="00BD14EC" w:rsidP="00BD14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43B2ACD8" w14:textId="77777777" w:rsidR="00BD14EC" w:rsidRPr="00033A3F" w:rsidRDefault="00BD14EC" w:rsidP="00BD14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Disposition time</w:t>
            </w:r>
          </w:p>
        </w:tc>
      </w:tr>
      <w:tr w:rsidR="00033A3F" w:rsidRPr="00033A3F" w14:paraId="37299D36" w14:textId="77777777" w:rsidTr="004C0D35">
        <w:trPr>
          <w:trHeight w:val="330"/>
        </w:trPr>
        <w:tc>
          <w:tcPr>
            <w:tcW w:w="2780" w:type="dxa"/>
            <w:tcBorders>
              <w:top w:val="nil"/>
              <w:left w:val="nil"/>
              <w:bottom w:val="single" w:sz="4" w:space="0" w:color="auto"/>
              <w:right w:val="nil"/>
            </w:tcBorders>
            <w:shd w:val="clear" w:color="auto" w:fill="auto"/>
            <w:noWrap/>
            <w:vAlign w:val="bottom"/>
            <w:hideMark/>
          </w:tcPr>
          <w:p w14:paraId="146034C8"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331" w:type="dxa"/>
            <w:tcBorders>
              <w:top w:val="nil"/>
              <w:left w:val="nil"/>
              <w:bottom w:val="single" w:sz="4" w:space="0" w:color="auto"/>
              <w:right w:val="nil"/>
            </w:tcBorders>
            <w:shd w:val="clear" w:color="auto" w:fill="auto"/>
            <w:noWrap/>
            <w:vAlign w:val="bottom"/>
            <w:hideMark/>
          </w:tcPr>
          <w:p w14:paraId="49D58F02"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158</w:t>
            </w:r>
          </w:p>
        </w:tc>
        <w:tc>
          <w:tcPr>
            <w:tcW w:w="1849" w:type="dxa"/>
            <w:tcBorders>
              <w:top w:val="nil"/>
              <w:left w:val="nil"/>
              <w:bottom w:val="single" w:sz="4" w:space="0" w:color="auto"/>
              <w:right w:val="nil"/>
            </w:tcBorders>
            <w:shd w:val="clear" w:color="auto" w:fill="auto"/>
            <w:noWrap/>
            <w:vAlign w:val="center"/>
            <w:hideMark/>
          </w:tcPr>
          <w:p w14:paraId="20DC1BF7" w14:textId="313E8D2D" w:rsidR="00BD14EC" w:rsidRPr="00033A3F" w:rsidRDefault="00BD14EC" w:rsidP="00BD14EC">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2A3C7940"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5280E939"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331" w:type="dxa"/>
            <w:tcBorders>
              <w:top w:val="nil"/>
              <w:left w:val="nil"/>
              <w:bottom w:val="single" w:sz="4" w:space="0" w:color="auto"/>
              <w:right w:val="nil"/>
            </w:tcBorders>
            <w:shd w:val="clear" w:color="auto" w:fill="auto"/>
            <w:noWrap/>
            <w:vAlign w:val="bottom"/>
            <w:hideMark/>
          </w:tcPr>
          <w:p w14:paraId="368009EC"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176</w:t>
            </w:r>
          </w:p>
        </w:tc>
        <w:tc>
          <w:tcPr>
            <w:tcW w:w="1849" w:type="dxa"/>
            <w:tcBorders>
              <w:top w:val="nil"/>
              <w:left w:val="nil"/>
              <w:bottom w:val="single" w:sz="4" w:space="0" w:color="auto"/>
              <w:right w:val="nil"/>
            </w:tcBorders>
            <w:shd w:val="clear" w:color="auto" w:fill="auto"/>
            <w:noWrap/>
            <w:vAlign w:val="center"/>
            <w:hideMark/>
          </w:tcPr>
          <w:p w14:paraId="690970E2" w14:textId="47BAB53D"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733977B0"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6D045C59"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331" w:type="dxa"/>
            <w:tcBorders>
              <w:top w:val="nil"/>
              <w:left w:val="nil"/>
              <w:bottom w:val="single" w:sz="4" w:space="0" w:color="auto"/>
              <w:right w:val="nil"/>
            </w:tcBorders>
            <w:shd w:val="clear" w:color="auto" w:fill="auto"/>
            <w:noWrap/>
            <w:vAlign w:val="bottom"/>
            <w:hideMark/>
          </w:tcPr>
          <w:p w14:paraId="5B57A2D7"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145</w:t>
            </w:r>
          </w:p>
        </w:tc>
        <w:tc>
          <w:tcPr>
            <w:tcW w:w="1849" w:type="dxa"/>
            <w:tcBorders>
              <w:top w:val="nil"/>
              <w:left w:val="nil"/>
              <w:bottom w:val="single" w:sz="4" w:space="0" w:color="auto"/>
              <w:right w:val="nil"/>
            </w:tcBorders>
            <w:shd w:val="clear" w:color="auto" w:fill="auto"/>
            <w:noWrap/>
            <w:vAlign w:val="center"/>
            <w:hideMark/>
          </w:tcPr>
          <w:p w14:paraId="4C0EEA25" w14:textId="60C7C059"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-41 %</w:t>
            </w:r>
          </w:p>
        </w:tc>
      </w:tr>
      <w:tr w:rsidR="00033A3F" w:rsidRPr="00033A3F" w14:paraId="31A12020"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7EB18A81"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331" w:type="dxa"/>
            <w:tcBorders>
              <w:top w:val="nil"/>
              <w:left w:val="nil"/>
              <w:bottom w:val="single" w:sz="4" w:space="0" w:color="auto"/>
              <w:right w:val="nil"/>
            </w:tcBorders>
            <w:shd w:val="clear" w:color="auto" w:fill="auto"/>
            <w:noWrap/>
            <w:vAlign w:val="bottom"/>
            <w:hideMark/>
          </w:tcPr>
          <w:p w14:paraId="7C1B6288"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623</w:t>
            </w:r>
          </w:p>
        </w:tc>
        <w:tc>
          <w:tcPr>
            <w:tcW w:w="1849" w:type="dxa"/>
            <w:tcBorders>
              <w:top w:val="nil"/>
              <w:left w:val="nil"/>
              <w:bottom w:val="single" w:sz="4" w:space="0" w:color="auto"/>
              <w:right w:val="nil"/>
            </w:tcBorders>
            <w:shd w:val="clear" w:color="auto" w:fill="auto"/>
            <w:noWrap/>
            <w:vAlign w:val="center"/>
            <w:hideMark/>
          </w:tcPr>
          <w:p w14:paraId="419FFC5C" w14:textId="6A2AF257"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+43 %</w:t>
            </w:r>
          </w:p>
        </w:tc>
      </w:tr>
      <w:tr w:rsidR="00033A3F" w:rsidRPr="00033A3F" w14:paraId="15E5E8DD"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0D5A4924"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331" w:type="dxa"/>
            <w:tcBorders>
              <w:top w:val="nil"/>
              <w:left w:val="nil"/>
              <w:bottom w:val="single" w:sz="4" w:space="0" w:color="auto"/>
              <w:right w:val="nil"/>
            </w:tcBorders>
            <w:shd w:val="clear" w:color="auto" w:fill="auto"/>
            <w:noWrap/>
            <w:vAlign w:val="bottom"/>
            <w:hideMark/>
          </w:tcPr>
          <w:p w14:paraId="5BB49190"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489</w:t>
            </w:r>
          </w:p>
        </w:tc>
        <w:tc>
          <w:tcPr>
            <w:tcW w:w="1849" w:type="dxa"/>
            <w:tcBorders>
              <w:top w:val="nil"/>
              <w:left w:val="nil"/>
              <w:bottom w:val="single" w:sz="4" w:space="0" w:color="auto"/>
              <w:right w:val="nil"/>
            </w:tcBorders>
            <w:shd w:val="clear" w:color="auto" w:fill="auto"/>
            <w:noWrap/>
            <w:vAlign w:val="center"/>
            <w:hideMark/>
          </w:tcPr>
          <w:p w14:paraId="394136F3" w14:textId="0C9FF5E9"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r>
      <w:tr w:rsidR="00033A3F" w:rsidRPr="00033A3F" w14:paraId="7647B266"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30231EEF"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331" w:type="dxa"/>
            <w:tcBorders>
              <w:top w:val="nil"/>
              <w:left w:val="nil"/>
              <w:bottom w:val="single" w:sz="4" w:space="0" w:color="auto"/>
              <w:right w:val="nil"/>
            </w:tcBorders>
            <w:shd w:val="clear" w:color="auto" w:fill="auto"/>
            <w:noWrap/>
            <w:vAlign w:val="bottom"/>
            <w:hideMark/>
          </w:tcPr>
          <w:p w14:paraId="4E667696"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240</w:t>
            </w:r>
          </w:p>
        </w:tc>
        <w:tc>
          <w:tcPr>
            <w:tcW w:w="1849" w:type="dxa"/>
            <w:tcBorders>
              <w:top w:val="nil"/>
              <w:left w:val="nil"/>
              <w:bottom w:val="single" w:sz="4" w:space="0" w:color="auto"/>
              <w:right w:val="nil"/>
            </w:tcBorders>
            <w:shd w:val="clear" w:color="auto" w:fill="auto"/>
            <w:noWrap/>
            <w:vAlign w:val="center"/>
            <w:hideMark/>
          </w:tcPr>
          <w:p w14:paraId="4BE0486F" w14:textId="6FA99A3F"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r>
      <w:tr w:rsidR="00033A3F" w:rsidRPr="00033A3F" w14:paraId="797E1318"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3793D85C"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331" w:type="dxa"/>
            <w:tcBorders>
              <w:top w:val="nil"/>
              <w:left w:val="nil"/>
              <w:bottom w:val="single" w:sz="4" w:space="0" w:color="auto"/>
              <w:right w:val="nil"/>
            </w:tcBorders>
            <w:shd w:val="clear" w:color="auto" w:fill="auto"/>
            <w:noWrap/>
            <w:vAlign w:val="bottom"/>
            <w:hideMark/>
          </w:tcPr>
          <w:p w14:paraId="3DE00B14"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355</w:t>
            </w:r>
          </w:p>
        </w:tc>
        <w:tc>
          <w:tcPr>
            <w:tcW w:w="1849" w:type="dxa"/>
            <w:tcBorders>
              <w:top w:val="nil"/>
              <w:left w:val="nil"/>
              <w:bottom w:val="single" w:sz="4" w:space="0" w:color="auto"/>
              <w:right w:val="nil"/>
            </w:tcBorders>
            <w:shd w:val="clear" w:color="auto" w:fill="auto"/>
            <w:noWrap/>
            <w:vAlign w:val="center"/>
            <w:hideMark/>
          </w:tcPr>
          <w:p w14:paraId="5715C6F2" w14:textId="588F6257"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012BE04D" w14:textId="77777777" w:rsidTr="004C0D35">
        <w:trPr>
          <w:trHeight w:val="330"/>
        </w:trPr>
        <w:tc>
          <w:tcPr>
            <w:tcW w:w="2780" w:type="dxa"/>
            <w:tcBorders>
              <w:top w:val="nil"/>
              <w:left w:val="nil"/>
              <w:bottom w:val="double" w:sz="6" w:space="0" w:color="auto"/>
              <w:right w:val="nil"/>
            </w:tcBorders>
            <w:shd w:val="clear" w:color="auto" w:fill="auto"/>
            <w:noWrap/>
            <w:vAlign w:val="bottom"/>
            <w:hideMark/>
          </w:tcPr>
          <w:p w14:paraId="74AF701C"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331" w:type="dxa"/>
            <w:tcBorders>
              <w:top w:val="nil"/>
              <w:left w:val="nil"/>
              <w:bottom w:val="double" w:sz="6" w:space="0" w:color="auto"/>
              <w:right w:val="nil"/>
            </w:tcBorders>
            <w:shd w:val="clear" w:color="auto" w:fill="auto"/>
            <w:noWrap/>
            <w:vAlign w:val="bottom"/>
            <w:hideMark/>
          </w:tcPr>
          <w:p w14:paraId="096CCDB3"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190</w:t>
            </w:r>
          </w:p>
        </w:tc>
        <w:tc>
          <w:tcPr>
            <w:tcW w:w="1849" w:type="dxa"/>
            <w:tcBorders>
              <w:top w:val="nil"/>
              <w:left w:val="nil"/>
              <w:bottom w:val="double" w:sz="6" w:space="0" w:color="auto"/>
              <w:right w:val="nil"/>
            </w:tcBorders>
            <w:shd w:val="clear" w:color="auto" w:fill="auto"/>
            <w:noWrap/>
            <w:vAlign w:val="center"/>
            <w:hideMark/>
          </w:tcPr>
          <w:p w14:paraId="2E1BF251" w14:textId="0FBC7C66"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43037828" w14:textId="77777777" w:rsidTr="004C0D35">
        <w:trPr>
          <w:trHeight w:val="345"/>
        </w:trPr>
        <w:tc>
          <w:tcPr>
            <w:tcW w:w="2780" w:type="dxa"/>
            <w:tcBorders>
              <w:top w:val="nil"/>
              <w:left w:val="nil"/>
              <w:bottom w:val="double" w:sz="6" w:space="0" w:color="auto"/>
              <w:right w:val="nil"/>
            </w:tcBorders>
            <w:shd w:val="clear" w:color="auto" w:fill="auto"/>
            <w:noWrap/>
            <w:vAlign w:val="bottom"/>
            <w:hideMark/>
          </w:tcPr>
          <w:p w14:paraId="0B489968" w14:textId="77777777" w:rsidR="00BD14EC" w:rsidRPr="00033A3F" w:rsidRDefault="00BD14EC" w:rsidP="00BD14E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331" w:type="dxa"/>
            <w:tcBorders>
              <w:top w:val="nil"/>
              <w:left w:val="nil"/>
              <w:bottom w:val="double" w:sz="6" w:space="0" w:color="auto"/>
              <w:right w:val="nil"/>
            </w:tcBorders>
            <w:shd w:val="clear" w:color="auto" w:fill="auto"/>
            <w:noWrap/>
            <w:vAlign w:val="bottom"/>
            <w:hideMark/>
          </w:tcPr>
          <w:p w14:paraId="7B31DD6E" w14:textId="77777777" w:rsidR="00BD14EC" w:rsidRPr="00033A3F" w:rsidRDefault="00BD14EC" w:rsidP="00BD14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228</w:t>
            </w:r>
          </w:p>
        </w:tc>
        <w:tc>
          <w:tcPr>
            <w:tcW w:w="1849" w:type="dxa"/>
            <w:tcBorders>
              <w:top w:val="nil"/>
              <w:left w:val="nil"/>
              <w:bottom w:val="double" w:sz="6" w:space="0" w:color="auto"/>
              <w:right w:val="nil"/>
            </w:tcBorders>
            <w:shd w:val="clear" w:color="auto" w:fill="auto"/>
            <w:noWrap/>
            <w:vAlign w:val="center"/>
            <w:hideMark/>
          </w:tcPr>
          <w:p w14:paraId="4308C893" w14:textId="4CFD11E5" w:rsidR="00BD14EC" w:rsidRPr="00033A3F" w:rsidRDefault="00BD14EC" w:rsidP="00BD14EC">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-7 %</w:t>
            </w:r>
          </w:p>
        </w:tc>
      </w:tr>
      <w:tr w:rsidR="00033A3F" w:rsidRPr="00033A3F" w14:paraId="71F25C20" w14:textId="77777777" w:rsidTr="004C0D35">
        <w:trPr>
          <w:trHeight w:val="330"/>
        </w:trPr>
        <w:tc>
          <w:tcPr>
            <w:tcW w:w="2780" w:type="dxa"/>
            <w:tcBorders>
              <w:top w:val="nil"/>
              <w:left w:val="nil"/>
              <w:bottom w:val="nil"/>
              <w:right w:val="nil"/>
            </w:tcBorders>
            <w:shd w:val="clear" w:color="auto" w:fill="auto"/>
            <w:noWrap/>
            <w:vAlign w:val="bottom"/>
            <w:hideMark/>
          </w:tcPr>
          <w:p w14:paraId="77257EAE" w14:textId="77777777" w:rsidR="00BD14EC" w:rsidRPr="00033A3F" w:rsidRDefault="00BD14EC" w:rsidP="00BD14EC">
            <w:pPr>
              <w:spacing w:line="240" w:lineRule="auto"/>
              <w:jc w:val="center"/>
              <w:rPr>
                <w:rFonts w:eastAsia="Times New Roman"/>
                <w:b/>
                <w:bCs/>
                <w:color w:val="000000" w:themeColor="text1"/>
                <w:sz w:val="20"/>
                <w:szCs w:val="20"/>
                <w:lang w:eastAsia="cs-CZ"/>
              </w:rPr>
            </w:pPr>
          </w:p>
        </w:tc>
        <w:tc>
          <w:tcPr>
            <w:tcW w:w="1331" w:type="dxa"/>
            <w:tcBorders>
              <w:top w:val="nil"/>
              <w:left w:val="nil"/>
              <w:bottom w:val="nil"/>
              <w:right w:val="nil"/>
            </w:tcBorders>
            <w:shd w:val="clear" w:color="auto" w:fill="auto"/>
            <w:noWrap/>
            <w:vAlign w:val="bottom"/>
            <w:hideMark/>
          </w:tcPr>
          <w:p w14:paraId="7479C57B" w14:textId="77777777" w:rsidR="00BD14EC" w:rsidRPr="00033A3F" w:rsidRDefault="00BD14EC" w:rsidP="00BD14EC">
            <w:pPr>
              <w:spacing w:line="240" w:lineRule="auto"/>
              <w:jc w:val="left"/>
              <w:rPr>
                <w:rFonts w:ascii="Times New Roman" w:eastAsia="Times New Roman" w:hAnsi="Times New Roman"/>
                <w:color w:val="000000" w:themeColor="text1"/>
                <w:sz w:val="20"/>
                <w:szCs w:val="20"/>
                <w:lang w:eastAsia="cs-CZ"/>
              </w:rPr>
            </w:pPr>
          </w:p>
        </w:tc>
        <w:tc>
          <w:tcPr>
            <w:tcW w:w="1849" w:type="dxa"/>
            <w:tcBorders>
              <w:top w:val="nil"/>
              <w:left w:val="nil"/>
              <w:bottom w:val="nil"/>
              <w:right w:val="nil"/>
            </w:tcBorders>
            <w:shd w:val="clear" w:color="auto" w:fill="auto"/>
            <w:noWrap/>
            <w:vAlign w:val="bottom"/>
            <w:hideMark/>
          </w:tcPr>
          <w:p w14:paraId="7E99EBA7" w14:textId="77777777" w:rsidR="00BD14EC" w:rsidRPr="00033A3F" w:rsidRDefault="00BD14EC" w:rsidP="00BD14EC">
            <w:pPr>
              <w:spacing w:line="240" w:lineRule="auto"/>
              <w:jc w:val="left"/>
              <w:rPr>
                <w:rFonts w:ascii="Times New Roman" w:eastAsia="Times New Roman" w:hAnsi="Times New Roman"/>
                <w:color w:val="000000" w:themeColor="text1"/>
                <w:sz w:val="20"/>
                <w:szCs w:val="20"/>
                <w:lang w:eastAsia="cs-CZ"/>
              </w:rPr>
            </w:pPr>
          </w:p>
        </w:tc>
      </w:tr>
    </w:tbl>
    <w:p w14:paraId="108E928D" w14:textId="5C8DF3A1" w:rsidR="008430BD" w:rsidRPr="00033A3F" w:rsidRDefault="008430BD" w:rsidP="008430BD">
      <w:pPr>
        <w:pStyle w:val="Nadpis3"/>
        <w:numPr>
          <w:ilvl w:val="2"/>
          <w:numId w:val="1"/>
        </w:numPr>
        <w:rPr>
          <w:color w:val="000000" w:themeColor="text1"/>
        </w:rPr>
      </w:pPr>
      <w:bookmarkStart w:id="1201" w:name="_Toc106092757"/>
      <w:bookmarkStart w:id="1202" w:name="_Toc169250833"/>
      <w:bookmarkStart w:id="1203" w:name="_Toc193530995"/>
      <w:bookmarkStart w:id="1204" w:name="_Toc193957051"/>
      <w:bookmarkStart w:id="1205" w:name="_Toc203032741"/>
      <w:r w:rsidRPr="00033A3F">
        <w:rPr>
          <w:color w:val="000000" w:themeColor="text1"/>
        </w:rPr>
        <w:t>Další statistiky</w:t>
      </w:r>
      <w:bookmarkEnd w:id="1201"/>
      <w:bookmarkEnd w:id="1202"/>
      <w:bookmarkEnd w:id="1203"/>
      <w:bookmarkEnd w:id="1204"/>
      <w:bookmarkEnd w:id="1205"/>
    </w:p>
    <w:p w14:paraId="6A6F849E" w14:textId="533F9C94" w:rsidR="00105C44" w:rsidRPr="00033A3F" w:rsidRDefault="00105C44" w:rsidP="004C0D35">
      <w:pPr>
        <w:pStyle w:val="OdstavecASR"/>
        <w:rPr>
          <w:color w:val="000000" w:themeColor="text1"/>
        </w:rPr>
      </w:pPr>
      <w:r w:rsidRPr="00033A3F">
        <w:rPr>
          <w:color w:val="000000" w:themeColor="text1"/>
        </w:rPr>
        <w:t xml:space="preserve">U krajských soudů uvádíme stejné </w:t>
      </w:r>
      <w:r w:rsidRPr="00033A3F">
        <w:rPr>
          <w:iCs/>
          <w:color w:val="000000" w:themeColor="text1"/>
        </w:rPr>
        <w:t xml:space="preserve">další </w:t>
      </w:r>
      <w:r w:rsidRPr="00033A3F">
        <w:rPr>
          <w:color w:val="000000" w:themeColor="text1"/>
        </w:rPr>
        <w:t>dvě</w:t>
      </w:r>
      <w:r w:rsidRPr="00033A3F">
        <w:rPr>
          <w:iCs/>
          <w:color w:val="000000" w:themeColor="text1"/>
        </w:rPr>
        <w:t xml:space="preserve"> statistiky</w:t>
      </w:r>
      <w:r w:rsidRPr="00033A3F">
        <w:rPr>
          <w:color w:val="000000" w:themeColor="text1"/>
        </w:rPr>
        <w:t xml:space="preserve"> jako u soudů okresních, tj. míru odvolání a míru změny rozsudku. Díky tomu je tyto statistiky možné porovnat mezi okresními a krajskými soudy. Dále je uveden podíl vybraných sporů (</w:t>
      </w:r>
      <w:r w:rsidRPr="00033A3F">
        <w:rPr>
          <w:i/>
          <w:iCs/>
          <w:color w:val="000000" w:themeColor="text1"/>
        </w:rPr>
        <w:t>zrušení a jmenování likvidátora u jiných korporací [spolky, odborové organizace atd.]</w:t>
      </w:r>
      <w:r w:rsidRPr="00033A3F">
        <w:rPr>
          <w:color w:val="000000" w:themeColor="text1"/>
        </w:rPr>
        <w:t xml:space="preserve"> a </w:t>
      </w:r>
      <w:r w:rsidRPr="00033A3F">
        <w:rPr>
          <w:i/>
          <w:iCs/>
          <w:color w:val="000000" w:themeColor="text1"/>
        </w:rPr>
        <w:t>právní vztahy související se zrušením a likvidací obchodní korporace</w:t>
      </w:r>
      <w:r w:rsidRPr="00033A3F">
        <w:rPr>
          <w:color w:val="000000" w:themeColor="text1"/>
        </w:rPr>
        <w:t>) v obchodní agendě.</w:t>
      </w:r>
    </w:p>
    <w:p w14:paraId="7B65B3FC" w14:textId="77777777" w:rsidR="00B20D86" w:rsidRDefault="00105C44" w:rsidP="00B20D86">
      <w:pPr>
        <w:pStyle w:val="OdstavecASR"/>
        <w:rPr>
          <w:b/>
          <w:color w:val="000000" w:themeColor="text1"/>
        </w:rPr>
      </w:pPr>
      <w:r w:rsidRPr="00033A3F">
        <w:rPr>
          <w:b/>
          <w:color w:val="000000" w:themeColor="text1"/>
        </w:rPr>
        <w:t>Míra</w:t>
      </w:r>
      <w:r w:rsidR="00B20D86">
        <w:rPr>
          <w:b/>
          <w:color w:val="000000" w:themeColor="text1"/>
        </w:rPr>
        <w:t xml:space="preserve"> </w:t>
      </w:r>
      <w:r w:rsidRPr="00033A3F">
        <w:rPr>
          <w:b/>
          <w:color w:val="000000" w:themeColor="text1"/>
        </w:rPr>
        <w:t>odvolání</w:t>
      </w:r>
    </w:p>
    <w:p w14:paraId="2B3457A6" w14:textId="07B6CBF4" w:rsidR="00B20D86" w:rsidRDefault="00B20D86" w:rsidP="00B20D86">
      <w:pPr>
        <w:pStyle w:val="OdstavecASR"/>
        <w:rPr>
          <w:color w:val="000000" w:themeColor="text1"/>
        </w:rPr>
      </w:pPr>
      <w:r>
        <w:rPr>
          <w:color w:val="000000" w:themeColor="text1"/>
        </w:rPr>
        <w:t>Míra odvolání i míra rozsudku jsou vypočteny ze statistických listů. K uvedeným statistkám uvádíme následující:</w:t>
      </w:r>
    </w:p>
    <w:p w14:paraId="12133647" w14:textId="0895B753" w:rsidR="00B20D86" w:rsidRDefault="00B20D86" w:rsidP="00B20D86">
      <w:pPr>
        <w:pStyle w:val="OdstavecASR"/>
        <w:numPr>
          <w:ilvl w:val="0"/>
          <w:numId w:val="38"/>
        </w:numPr>
        <w:rPr>
          <w:color w:val="000000" w:themeColor="text1"/>
        </w:rPr>
      </w:pPr>
      <w:r>
        <w:rPr>
          <w:color w:val="000000" w:themeColor="text1"/>
        </w:rPr>
        <w:t xml:space="preserve">týkají se pouze pravomocně skončených věcí v rejstřících C a Cm, </w:t>
      </w:r>
    </w:p>
    <w:p w14:paraId="0615F366" w14:textId="77777777" w:rsidR="00B20D86" w:rsidRDefault="00B20D86" w:rsidP="00B20D86">
      <w:pPr>
        <w:pStyle w:val="OdstavecASR"/>
        <w:numPr>
          <w:ilvl w:val="0"/>
          <w:numId w:val="38"/>
        </w:numPr>
        <w:rPr>
          <w:color w:val="000000" w:themeColor="text1"/>
        </w:rPr>
      </w:pPr>
      <w:r>
        <w:rPr>
          <w:color w:val="000000" w:themeColor="text1"/>
        </w:rPr>
        <w:t>jde pouze o odvolání v meritu věci,</w:t>
      </w:r>
    </w:p>
    <w:p w14:paraId="13274CF9" w14:textId="77777777" w:rsidR="00B20D86" w:rsidRDefault="00B20D86" w:rsidP="00B20D86">
      <w:pPr>
        <w:pStyle w:val="OdstavecASR"/>
        <w:numPr>
          <w:ilvl w:val="0"/>
          <w:numId w:val="38"/>
        </w:numPr>
        <w:rPr>
          <w:color w:val="000000" w:themeColor="text1"/>
        </w:rPr>
      </w:pPr>
      <w:r>
        <w:rPr>
          <w:color w:val="000000" w:themeColor="text1"/>
        </w:rPr>
        <w:t>započteny jsou i věci, kde</w:t>
      </w:r>
      <w:r w:rsidRPr="00B20D86">
        <w:rPr>
          <w:color w:val="000000" w:themeColor="text1"/>
        </w:rPr>
        <w:t xml:space="preserve"> </w:t>
      </w:r>
      <w:r>
        <w:rPr>
          <w:color w:val="000000" w:themeColor="text1"/>
        </w:rPr>
        <w:t xml:space="preserve">nadřízený </w:t>
      </w:r>
      <w:r w:rsidRPr="00033A3F">
        <w:rPr>
          <w:color w:val="000000" w:themeColor="text1"/>
        </w:rPr>
        <w:t>soud zrušil rozhodnutí soudu I. stupně a věc mu vrátil a následně již odvolání podáno nebylo</w:t>
      </w:r>
    </w:p>
    <w:p w14:paraId="65C0B9C8" w14:textId="42FEBA58" w:rsidR="00B20D86" w:rsidRDefault="00B20D86" w:rsidP="00B20D86">
      <w:pPr>
        <w:pStyle w:val="OdstavecASR"/>
        <w:numPr>
          <w:ilvl w:val="0"/>
          <w:numId w:val="38"/>
        </w:numPr>
        <w:rPr>
          <w:color w:val="000000" w:themeColor="text1"/>
        </w:rPr>
      </w:pPr>
      <w:r>
        <w:rPr>
          <w:color w:val="000000" w:themeColor="text1"/>
        </w:rPr>
        <w:t>data jsou dále očištěna (viz níže)</w:t>
      </w:r>
    </w:p>
    <w:p w14:paraId="0673D80B" w14:textId="1E8241C7" w:rsidR="00750DD6" w:rsidRPr="00033A3F" w:rsidRDefault="00105C44" w:rsidP="00750DD6">
      <w:pPr>
        <w:pStyle w:val="OdstavecASR"/>
        <w:rPr>
          <w:color w:val="000000" w:themeColor="text1"/>
        </w:rPr>
      </w:pPr>
      <w:r w:rsidRPr="00033A3F">
        <w:rPr>
          <w:color w:val="000000" w:themeColor="text1"/>
        </w:rPr>
        <w:t xml:space="preserve">Vypočtená míra odvolání byla již v letech 2017 až 2020 ovlivněna především očištěním dat o věci s předmětem sporu </w:t>
      </w:r>
      <w:r w:rsidRPr="00033A3F">
        <w:rPr>
          <w:i/>
          <w:color w:val="000000" w:themeColor="text1"/>
        </w:rPr>
        <w:t>právní vztahy související se zrušením a likvidací obchodních korporací</w:t>
      </w:r>
      <w:r w:rsidRPr="00033A3F">
        <w:rPr>
          <w:color w:val="000000" w:themeColor="text1"/>
        </w:rPr>
        <w:t xml:space="preserve"> (viz podkapitola </w:t>
      </w:r>
      <w:r w:rsidRPr="00033A3F">
        <w:rPr>
          <w:color w:val="000000" w:themeColor="text1"/>
        </w:rPr>
        <w:fldChar w:fldCharType="begin"/>
      </w:r>
      <w:r w:rsidRPr="00033A3F">
        <w:rPr>
          <w:color w:val="000000" w:themeColor="text1"/>
        </w:rPr>
        <w:instrText xml:space="preserve"> REF _Ref103764802 \r \h  \* MERGEFORMAT </w:instrText>
      </w:r>
      <w:r w:rsidRPr="00033A3F">
        <w:rPr>
          <w:color w:val="000000" w:themeColor="text1"/>
        </w:rPr>
      </w:r>
      <w:r w:rsidRPr="00033A3F">
        <w:rPr>
          <w:color w:val="000000" w:themeColor="text1"/>
        </w:rPr>
        <w:fldChar w:fldCharType="separate"/>
      </w:r>
      <w:r w:rsidR="00163B51">
        <w:rPr>
          <w:color w:val="000000" w:themeColor="text1"/>
        </w:rPr>
        <w:t>3.2.1</w:t>
      </w:r>
      <w:r w:rsidRPr="00033A3F">
        <w:rPr>
          <w:color w:val="000000" w:themeColor="text1"/>
        </w:rPr>
        <w:fldChar w:fldCharType="end"/>
      </w:r>
      <w:r w:rsidRPr="00033A3F">
        <w:rPr>
          <w:color w:val="000000" w:themeColor="text1"/>
        </w:rPr>
        <w:t xml:space="preserve">). Od roku 2021 byla míra odvolání rovněž očištěna o věci s předmětem sporu </w:t>
      </w:r>
      <w:r w:rsidRPr="00033A3F">
        <w:rPr>
          <w:i/>
          <w:iCs/>
          <w:color w:val="000000" w:themeColor="text1"/>
        </w:rPr>
        <w:t>zrušení a jmenování likvidátora u jiných korporací (spolky, odborové organizace atd.)</w:t>
      </w:r>
      <w:r w:rsidRPr="00033A3F">
        <w:rPr>
          <w:color w:val="000000" w:themeColor="text1"/>
        </w:rPr>
        <w:t xml:space="preserve">; více opět viz podkapitola </w:t>
      </w:r>
      <w:r w:rsidRPr="00033A3F">
        <w:rPr>
          <w:color w:val="000000" w:themeColor="text1"/>
        </w:rPr>
        <w:fldChar w:fldCharType="begin"/>
      </w:r>
      <w:r w:rsidRPr="00033A3F">
        <w:rPr>
          <w:color w:val="000000" w:themeColor="text1"/>
        </w:rPr>
        <w:instrText xml:space="preserve"> REF _Ref103764829 \r \h  \* MERGEFORMAT </w:instrText>
      </w:r>
      <w:r w:rsidRPr="00033A3F">
        <w:rPr>
          <w:color w:val="000000" w:themeColor="text1"/>
        </w:rPr>
      </w:r>
      <w:r w:rsidRPr="00033A3F">
        <w:rPr>
          <w:color w:val="000000" w:themeColor="text1"/>
        </w:rPr>
        <w:fldChar w:fldCharType="separate"/>
      </w:r>
      <w:r w:rsidR="00163B51">
        <w:rPr>
          <w:color w:val="000000" w:themeColor="text1"/>
        </w:rPr>
        <w:t>3.2.1</w:t>
      </w:r>
      <w:r w:rsidRPr="00033A3F">
        <w:rPr>
          <w:color w:val="000000" w:themeColor="text1"/>
        </w:rPr>
        <w:fldChar w:fldCharType="end"/>
      </w:r>
      <w:r w:rsidRPr="00033A3F">
        <w:rPr>
          <w:color w:val="000000" w:themeColor="text1"/>
        </w:rPr>
        <w:t>. Za účelem srovnání opět došlo ke změně i zpětně.</w:t>
      </w:r>
      <w:r w:rsidR="00750DD6" w:rsidRPr="00033A3F">
        <w:rPr>
          <w:color w:val="000000" w:themeColor="text1"/>
        </w:rPr>
        <w:t xml:space="preserve"> Stejně jako u OS upravilo Ministerstvo spravedlnosti výpočet míry odvolání – dříve byl</w:t>
      </w:r>
      <w:r w:rsidR="00FE16E5" w:rsidRPr="00033A3F">
        <w:rPr>
          <w:color w:val="000000" w:themeColor="text1"/>
        </w:rPr>
        <w:t>y</w:t>
      </w:r>
      <w:r w:rsidR="00750DD6" w:rsidRPr="00033A3F">
        <w:rPr>
          <w:color w:val="000000" w:themeColor="text1"/>
        </w:rPr>
        <w:t xml:space="preserve"> sledovány pouze soudem přiznané nároky v dané věci</w:t>
      </w:r>
      <w:r w:rsidR="00FE16E5" w:rsidRPr="00033A3F">
        <w:rPr>
          <w:color w:val="000000" w:themeColor="text1"/>
        </w:rPr>
        <w:t>,</w:t>
      </w:r>
      <w:r w:rsidR="00750DD6" w:rsidRPr="00033A3F">
        <w:rPr>
          <w:color w:val="000000" w:themeColor="text1"/>
        </w:rPr>
        <w:t xml:space="preserve"> </w:t>
      </w:r>
      <w:r w:rsidR="00FE16E5" w:rsidRPr="00033A3F">
        <w:rPr>
          <w:color w:val="000000" w:themeColor="text1"/>
        </w:rPr>
        <w:t>n</w:t>
      </w:r>
      <w:r w:rsidR="00750DD6" w:rsidRPr="00033A3F">
        <w:rPr>
          <w:color w:val="000000" w:themeColor="text1"/>
        </w:rPr>
        <w:t>yní jsou sledovány i nároky</w:t>
      </w:r>
      <w:r w:rsidR="00FE16E5" w:rsidRPr="00033A3F">
        <w:rPr>
          <w:color w:val="000000" w:themeColor="text1"/>
        </w:rPr>
        <w:t xml:space="preserve"> žalované</w:t>
      </w:r>
      <w:r w:rsidR="00750DD6" w:rsidRPr="00033A3F">
        <w:rPr>
          <w:color w:val="000000" w:themeColor="text1"/>
        </w:rPr>
        <w:t>. Je tedy možné zpřesnit data – vylouč</w:t>
      </w:r>
      <w:r w:rsidR="00FE16E5" w:rsidRPr="00033A3F">
        <w:rPr>
          <w:color w:val="000000" w:themeColor="text1"/>
        </w:rPr>
        <w:t>ením</w:t>
      </w:r>
      <w:r w:rsidR="00750DD6" w:rsidRPr="00033A3F">
        <w:rPr>
          <w:color w:val="000000" w:themeColor="text1"/>
        </w:rPr>
        <w:t xml:space="preserve"> bagatelní</w:t>
      </w:r>
      <w:r w:rsidR="00FE16E5" w:rsidRPr="00033A3F">
        <w:rPr>
          <w:color w:val="000000" w:themeColor="text1"/>
        </w:rPr>
        <w:t>ch</w:t>
      </w:r>
      <w:r w:rsidR="00750DD6" w:rsidRPr="00033A3F">
        <w:rPr>
          <w:color w:val="000000" w:themeColor="text1"/>
        </w:rPr>
        <w:t xml:space="preserve"> </w:t>
      </w:r>
      <w:r w:rsidR="00750DD6" w:rsidRPr="00033A3F">
        <w:rPr>
          <w:color w:val="000000" w:themeColor="text1"/>
        </w:rPr>
        <w:lastRenderedPageBreak/>
        <w:t>spor</w:t>
      </w:r>
      <w:r w:rsidR="00FE16E5" w:rsidRPr="00033A3F">
        <w:rPr>
          <w:color w:val="000000" w:themeColor="text1"/>
        </w:rPr>
        <w:t>ů</w:t>
      </w:r>
      <w:r w:rsidR="00750DD6" w:rsidRPr="00033A3F">
        <w:rPr>
          <w:color w:val="000000" w:themeColor="text1"/>
        </w:rPr>
        <w:t>, v</w:t>
      </w:r>
      <w:r w:rsidR="009C718D" w:rsidRPr="00033A3F">
        <w:rPr>
          <w:color w:val="000000" w:themeColor="text1"/>
        </w:rPr>
        <w:t>e</w:t>
      </w:r>
      <w:r w:rsidR="00750DD6" w:rsidRPr="00033A3F">
        <w:rPr>
          <w:color w:val="000000" w:themeColor="text1"/>
        </w:rPr>
        <w:t> kterých není odvolání přípustné. Data za roky 2023 a 2024 tedy byla přepočtena dle této nové metodiky</w:t>
      </w:r>
      <w:r w:rsidR="003843DD" w:rsidRPr="00033A3F">
        <w:rPr>
          <w:color w:val="000000" w:themeColor="text1"/>
        </w:rPr>
        <w:t>.</w:t>
      </w:r>
    </w:p>
    <w:p w14:paraId="21B9A895" w14:textId="0E45C20F" w:rsidR="00105C44" w:rsidRPr="00033A3F" w:rsidRDefault="00105C44" w:rsidP="00105C44">
      <w:pPr>
        <w:pStyle w:val="Podnadpis"/>
        <w:rPr>
          <w:color w:val="000000" w:themeColor="text1"/>
        </w:rPr>
      </w:pPr>
      <w:bookmarkStart w:id="1206" w:name="_Toc515871471"/>
      <w:bookmarkStart w:id="1207" w:name="_Toc11133238"/>
      <w:bookmarkStart w:id="1208" w:name="_Toc43931217"/>
      <w:bookmarkStart w:id="1209" w:name="_Toc75952350"/>
      <w:bookmarkStart w:id="1210" w:name="_Toc106106807"/>
      <w:bookmarkStart w:id="1211" w:name="_Toc109802130"/>
      <w:bookmarkStart w:id="1212" w:name="_Toc144104288"/>
      <w:bookmarkStart w:id="1213" w:name="_Toc169251100"/>
      <w:bookmarkStart w:id="1214" w:name="_Toc174080786"/>
      <w:bookmarkStart w:id="1215" w:name="_Toc193530916"/>
      <w:bookmarkStart w:id="1216" w:name="_Toc194045612"/>
      <w:bookmarkStart w:id="1217" w:name="_Toc199495022"/>
      <w:bookmarkStart w:id="1218" w:name="_Toc203033083"/>
      <w:bookmarkStart w:id="1219" w:name="_Toc203033161"/>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41</w:t>
      </w:r>
      <w:r w:rsidRPr="00033A3F">
        <w:rPr>
          <w:color w:val="000000" w:themeColor="text1"/>
        </w:rPr>
        <w:fldChar w:fldCharType="end"/>
      </w:r>
      <w:r w:rsidRPr="00033A3F">
        <w:rPr>
          <w:color w:val="000000" w:themeColor="text1"/>
        </w:rPr>
        <w:t>: KS – míra odvolání dle soudů v civilním řízení</w:t>
      </w:r>
      <w:bookmarkEnd w:id="1206"/>
      <w:bookmarkEnd w:id="1207"/>
      <w:bookmarkEnd w:id="1208"/>
      <w:bookmarkEnd w:id="1209"/>
      <w:bookmarkEnd w:id="1210"/>
      <w:bookmarkEnd w:id="1211"/>
      <w:bookmarkEnd w:id="1212"/>
      <w:r w:rsidRPr="00033A3F">
        <w:rPr>
          <w:color w:val="000000" w:themeColor="text1"/>
        </w:rPr>
        <w:t>, 202</w:t>
      </w:r>
      <w:bookmarkEnd w:id="1213"/>
      <w:bookmarkEnd w:id="1214"/>
      <w:r w:rsidRPr="00033A3F">
        <w:rPr>
          <w:color w:val="000000" w:themeColor="text1"/>
        </w:rPr>
        <w:t>4</w:t>
      </w:r>
      <w:bookmarkEnd w:id="1215"/>
      <w:bookmarkEnd w:id="1216"/>
      <w:bookmarkEnd w:id="1217"/>
      <w:bookmarkEnd w:id="1218"/>
      <w:bookmarkEnd w:id="1219"/>
    </w:p>
    <w:tbl>
      <w:tblPr>
        <w:tblW w:w="6300" w:type="dxa"/>
        <w:tblCellMar>
          <w:left w:w="70" w:type="dxa"/>
          <w:right w:w="70" w:type="dxa"/>
        </w:tblCellMar>
        <w:tblLook w:val="04A0" w:firstRow="1" w:lastRow="0" w:firstColumn="1" w:lastColumn="0" w:noHBand="0" w:noVBand="1"/>
      </w:tblPr>
      <w:tblGrid>
        <w:gridCol w:w="2780"/>
        <w:gridCol w:w="1794"/>
        <w:gridCol w:w="1726"/>
      </w:tblGrid>
      <w:tr w:rsidR="00033A3F" w:rsidRPr="00033A3F" w14:paraId="30124178" w14:textId="77777777" w:rsidTr="003843DD">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4500528" w14:textId="77777777" w:rsidR="003843DD" w:rsidRPr="00033A3F" w:rsidRDefault="003843DD" w:rsidP="003843D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4CE2B3A3" w14:textId="77777777" w:rsidR="003843DD" w:rsidRPr="00033A3F" w:rsidRDefault="003843DD" w:rsidP="003843D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Míra odvolání </w:t>
            </w:r>
          </w:p>
        </w:tc>
      </w:tr>
      <w:tr w:rsidR="00033A3F" w:rsidRPr="00033A3F" w14:paraId="7BE05422" w14:textId="77777777" w:rsidTr="003843DD">
        <w:trPr>
          <w:trHeight w:val="330"/>
        </w:trPr>
        <w:tc>
          <w:tcPr>
            <w:tcW w:w="2780" w:type="dxa"/>
            <w:tcBorders>
              <w:top w:val="nil"/>
              <w:left w:val="nil"/>
              <w:bottom w:val="single" w:sz="4" w:space="0" w:color="auto"/>
              <w:right w:val="nil"/>
            </w:tcBorders>
            <w:shd w:val="clear" w:color="auto" w:fill="auto"/>
            <w:noWrap/>
            <w:vAlign w:val="bottom"/>
            <w:hideMark/>
          </w:tcPr>
          <w:p w14:paraId="4766567C"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94" w:type="dxa"/>
            <w:tcBorders>
              <w:top w:val="nil"/>
              <w:left w:val="nil"/>
              <w:bottom w:val="single" w:sz="4" w:space="0" w:color="auto"/>
              <w:right w:val="nil"/>
            </w:tcBorders>
            <w:shd w:val="clear" w:color="auto" w:fill="auto"/>
            <w:noWrap/>
            <w:vAlign w:val="bottom"/>
            <w:hideMark/>
          </w:tcPr>
          <w:p w14:paraId="3C10AE3C" w14:textId="4C8F20A9"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55 %</w:t>
            </w:r>
          </w:p>
        </w:tc>
        <w:tc>
          <w:tcPr>
            <w:tcW w:w="1726" w:type="dxa"/>
            <w:tcBorders>
              <w:top w:val="nil"/>
              <w:left w:val="nil"/>
              <w:bottom w:val="single" w:sz="4" w:space="0" w:color="auto"/>
              <w:right w:val="nil"/>
            </w:tcBorders>
            <w:shd w:val="clear" w:color="auto" w:fill="auto"/>
            <w:noWrap/>
            <w:vAlign w:val="center"/>
            <w:hideMark/>
          </w:tcPr>
          <w:p w14:paraId="66F90FCF" w14:textId="365D9447"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4 p.b.</w:t>
            </w:r>
          </w:p>
        </w:tc>
      </w:tr>
      <w:tr w:rsidR="00033A3F" w:rsidRPr="00033A3F" w14:paraId="4FDDB0F9"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680897AE"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94" w:type="dxa"/>
            <w:tcBorders>
              <w:top w:val="nil"/>
              <w:left w:val="nil"/>
              <w:bottom w:val="single" w:sz="4" w:space="0" w:color="auto"/>
              <w:right w:val="nil"/>
            </w:tcBorders>
            <w:shd w:val="clear" w:color="auto" w:fill="auto"/>
            <w:noWrap/>
            <w:vAlign w:val="bottom"/>
            <w:hideMark/>
          </w:tcPr>
          <w:p w14:paraId="2CAFEDD1" w14:textId="4A8B1DFE"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36 %</w:t>
            </w:r>
          </w:p>
        </w:tc>
        <w:tc>
          <w:tcPr>
            <w:tcW w:w="1726" w:type="dxa"/>
            <w:tcBorders>
              <w:top w:val="nil"/>
              <w:left w:val="nil"/>
              <w:bottom w:val="single" w:sz="4" w:space="0" w:color="auto"/>
              <w:right w:val="nil"/>
            </w:tcBorders>
            <w:shd w:val="clear" w:color="auto" w:fill="auto"/>
            <w:noWrap/>
            <w:vAlign w:val="center"/>
            <w:hideMark/>
          </w:tcPr>
          <w:p w14:paraId="74432B36" w14:textId="1FC5235D"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1 p.b.</w:t>
            </w:r>
          </w:p>
        </w:tc>
      </w:tr>
      <w:tr w:rsidR="00033A3F" w:rsidRPr="00033A3F" w14:paraId="7A6FBF90"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06DB3221"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94" w:type="dxa"/>
            <w:tcBorders>
              <w:top w:val="nil"/>
              <w:left w:val="nil"/>
              <w:bottom w:val="single" w:sz="4" w:space="0" w:color="auto"/>
              <w:right w:val="nil"/>
            </w:tcBorders>
            <w:shd w:val="clear" w:color="auto" w:fill="auto"/>
            <w:noWrap/>
            <w:vAlign w:val="bottom"/>
            <w:hideMark/>
          </w:tcPr>
          <w:p w14:paraId="221EBE28" w14:textId="6B957E32"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80 %</w:t>
            </w:r>
          </w:p>
        </w:tc>
        <w:tc>
          <w:tcPr>
            <w:tcW w:w="1726" w:type="dxa"/>
            <w:tcBorders>
              <w:top w:val="nil"/>
              <w:left w:val="nil"/>
              <w:bottom w:val="single" w:sz="4" w:space="0" w:color="auto"/>
              <w:right w:val="nil"/>
            </w:tcBorders>
            <w:shd w:val="clear" w:color="auto" w:fill="auto"/>
            <w:noWrap/>
            <w:vAlign w:val="center"/>
            <w:hideMark/>
          </w:tcPr>
          <w:p w14:paraId="1071D7C8" w14:textId="045B8E12"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8 p.b.</w:t>
            </w:r>
          </w:p>
        </w:tc>
      </w:tr>
      <w:tr w:rsidR="00033A3F" w:rsidRPr="00033A3F" w14:paraId="04C60115"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2C14E216"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94" w:type="dxa"/>
            <w:tcBorders>
              <w:top w:val="nil"/>
              <w:left w:val="nil"/>
              <w:bottom w:val="single" w:sz="4" w:space="0" w:color="auto"/>
              <w:right w:val="nil"/>
            </w:tcBorders>
            <w:shd w:val="clear" w:color="auto" w:fill="auto"/>
            <w:noWrap/>
            <w:vAlign w:val="bottom"/>
            <w:hideMark/>
          </w:tcPr>
          <w:p w14:paraId="383239B0" w14:textId="500930F9"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09 %</w:t>
            </w:r>
          </w:p>
        </w:tc>
        <w:tc>
          <w:tcPr>
            <w:tcW w:w="1726" w:type="dxa"/>
            <w:tcBorders>
              <w:top w:val="nil"/>
              <w:left w:val="nil"/>
              <w:bottom w:val="single" w:sz="4" w:space="0" w:color="auto"/>
              <w:right w:val="nil"/>
            </w:tcBorders>
            <w:shd w:val="clear" w:color="auto" w:fill="auto"/>
            <w:noWrap/>
            <w:vAlign w:val="center"/>
            <w:hideMark/>
          </w:tcPr>
          <w:p w14:paraId="79DBEAA7" w14:textId="311FB8FE"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7 p.b.</w:t>
            </w:r>
          </w:p>
        </w:tc>
      </w:tr>
      <w:tr w:rsidR="00033A3F" w:rsidRPr="00033A3F" w14:paraId="78E817A8"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3B243236"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94" w:type="dxa"/>
            <w:tcBorders>
              <w:top w:val="nil"/>
              <w:left w:val="nil"/>
              <w:bottom w:val="single" w:sz="4" w:space="0" w:color="auto"/>
              <w:right w:val="nil"/>
            </w:tcBorders>
            <w:shd w:val="clear" w:color="auto" w:fill="auto"/>
            <w:noWrap/>
            <w:vAlign w:val="bottom"/>
            <w:hideMark/>
          </w:tcPr>
          <w:p w14:paraId="76A70234" w14:textId="5F003E19"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66 %</w:t>
            </w:r>
          </w:p>
        </w:tc>
        <w:tc>
          <w:tcPr>
            <w:tcW w:w="1726" w:type="dxa"/>
            <w:tcBorders>
              <w:top w:val="nil"/>
              <w:left w:val="nil"/>
              <w:bottom w:val="single" w:sz="4" w:space="0" w:color="auto"/>
              <w:right w:val="nil"/>
            </w:tcBorders>
            <w:shd w:val="clear" w:color="auto" w:fill="auto"/>
            <w:noWrap/>
            <w:vAlign w:val="center"/>
            <w:hideMark/>
          </w:tcPr>
          <w:p w14:paraId="000C74C3" w14:textId="4FCF46EC"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6 p.b.</w:t>
            </w:r>
          </w:p>
        </w:tc>
      </w:tr>
      <w:tr w:rsidR="00033A3F" w:rsidRPr="00033A3F" w14:paraId="4B2BA5BE"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7AE0786C"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94" w:type="dxa"/>
            <w:tcBorders>
              <w:top w:val="nil"/>
              <w:left w:val="nil"/>
              <w:bottom w:val="single" w:sz="4" w:space="0" w:color="auto"/>
              <w:right w:val="nil"/>
            </w:tcBorders>
            <w:shd w:val="clear" w:color="auto" w:fill="auto"/>
            <w:noWrap/>
            <w:vAlign w:val="bottom"/>
            <w:hideMark/>
          </w:tcPr>
          <w:p w14:paraId="1078C08C" w14:textId="6FD1DD7A"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93 %</w:t>
            </w:r>
          </w:p>
        </w:tc>
        <w:tc>
          <w:tcPr>
            <w:tcW w:w="1726" w:type="dxa"/>
            <w:tcBorders>
              <w:top w:val="nil"/>
              <w:left w:val="nil"/>
              <w:bottom w:val="single" w:sz="4" w:space="0" w:color="auto"/>
              <w:right w:val="nil"/>
            </w:tcBorders>
            <w:shd w:val="clear" w:color="auto" w:fill="auto"/>
            <w:noWrap/>
            <w:vAlign w:val="center"/>
            <w:hideMark/>
          </w:tcPr>
          <w:p w14:paraId="037F7156" w14:textId="0FA419E9"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4 p.b.</w:t>
            </w:r>
          </w:p>
        </w:tc>
      </w:tr>
      <w:tr w:rsidR="00033A3F" w:rsidRPr="00033A3F" w14:paraId="53CAB6F4"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64823806"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94" w:type="dxa"/>
            <w:tcBorders>
              <w:top w:val="nil"/>
              <w:left w:val="nil"/>
              <w:bottom w:val="single" w:sz="4" w:space="0" w:color="auto"/>
              <w:right w:val="nil"/>
            </w:tcBorders>
            <w:shd w:val="clear" w:color="auto" w:fill="auto"/>
            <w:noWrap/>
            <w:vAlign w:val="bottom"/>
            <w:hideMark/>
          </w:tcPr>
          <w:p w14:paraId="72AC1B63" w14:textId="39C72BDF"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64 %</w:t>
            </w:r>
          </w:p>
        </w:tc>
        <w:tc>
          <w:tcPr>
            <w:tcW w:w="1726" w:type="dxa"/>
            <w:tcBorders>
              <w:top w:val="nil"/>
              <w:left w:val="nil"/>
              <w:bottom w:val="single" w:sz="4" w:space="0" w:color="auto"/>
              <w:right w:val="nil"/>
            </w:tcBorders>
            <w:shd w:val="clear" w:color="auto" w:fill="auto"/>
            <w:noWrap/>
            <w:vAlign w:val="center"/>
            <w:hideMark/>
          </w:tcPr>
          <w:p w14:paraId="4FA3A3AB" w14:textId="255778D2"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6 p.b.</w:t>
            </w:r>
          </w:p>
        </w:tc>
      </w:tr>
      <w:tr w:rsidR="00033A3F" w:rsidRPr="00033A3F" w14:paraId="52050F0D" w14:textId="77777777" w:rsidTr="003843DD">
        <w:trPr>
          <w:trHeight w:val="330"/>
        </w:trPr>
        <w:tc>
          <w:tcPr>
            <w:tcW w:w="2780" w:type="dxa"/>
            <w:tcBorders>
              <w:top w:val="nil"/>
              <w:left w:val="nil"/>
              <w:bottom w:val="double" w:sz="6" w:space="0" w:color="auto"/>
              <w:right w:val="nil"/>
            </w:tcBorders>
            <w:shd w:val="clear" w:color="auto" w:fill="auto"/>
            <w:noWrap/>
            <w:vAlign w:val="bottom"/>
            <w:hideMark/>
          </w:tcPr>
          <w:p w14:paraId="22D994B2"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94" w:type="dxa"/>
            <w:tcBorders>
              <w:top w:val="nil"/>
              <w:left w:val="nil"/>
              <w:bottom w:val="double" w:sz="6" w:space="0" w:color="auto"/>
              <w:right w:val="nil"/>
            </w:tcBorders>
            <w:shd w:val="clear" w:color="auto" w:fill="auto"/>
            <w:noWrap/>
            <w:vAlign w:val="bottom"/>
            <w:hideMark/>
          </w:tcPr>
          <w:p w14:paraId="102A3347" w14:textId="564812F6"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48 %</w:t>
            </w:r>
          </w:p>
        </w:tc>
        <w:tc>
          <w:tcPr>
            <w:tcW w:w="1726" w:type="dxa"/>
            <w:tcBorders>
              <w:top w:val="nil"/>
              <w:left w:val="nil"/>
              <w:bottom w:val="nil"/>
              <w:right w:val="nil"/>
            </w:tcBorders>
            <w:shd w:val="clear" w:color="auto" w:fill="auto"/>
            <w:noWrap/>
            <w:vAlign w:val="center"/>
            <w:hideMark/>
          </w:tcPr>
          <w:p w14:paraId="3DFDF0A0" w14:textId="76C5DD66"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9 p.b.</w:t>
            </w:r>
          </w:p>
        </w:tc>
      </w:tr>
      <w:tr w:rsidR="00033A3F" w:rsidRPr="00033A3F" w14:paraId="12616EF7" w14:textId="77777777" w:rsidTr="003843DD">
        <w:trPr>
          <w:trHeight w:val="345"/>
        </w:trPr>
        <w:tc>
          <w:tcPr>
            <w:tcW w:w="2780" w:type="dxa"/>
            <w:tcBorders>
              <w:top w:val="nil"/>
              <w:left w:val="nil"/>
              <w:bottom w:val="double" w:sz="6" w:space="0" w:color="auto"/>
              <w:right w:val="nil"/>
            </w:tcBorders>
            <w:shd w:val="clear" w:color="auto" w:fill="auto"/>
            <w:noWrap/>
            <w:vAlign w:val="bottom"/>
            <w:hideMark/>
          </w:tcPr>
          <w:p w14:paraId="271F5944" w14:textId="77777777" w:rsidR="003843DD" w:rsidRPr="00033A3F" w:rsidRDefault="003843DD" w:rsidP="003843D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94" w:type="dxa"/>
            <w:tcBorders>
              <w:top w:val="nil"/>
              <w:left w:val="nil"/>
              <w:bottom w:val="double" w:sz="6" w:space="0" w:color="auto"/>
              <w:right w:val="nil"/>
            </w:tcBorders>
            <w:shd w:val="clear" w:color="auto" w:fill="auto"/>
            <w:noWrap/>
            <w:vAlign w:val="bottom"/>
            <w:hideMark/>
          </w:tcPr>
          <w:p w14:paraId="78B03C9F" w14:textId="408A3047" w:rsidR="003843DD" w:rsidRPr="00033A3F" w:rsidRDefault="003843DD" w:rsidP="003843D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13</w:t>
            </w:r>
            <w:r w:rsidR="006B463A"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11 %</w:t>
            </w:r>
          </w:p>
        </w:tc>
        <w:tc>
          <w:tcPr>
            <w:tcW w:w="1726" w:type="dxa"/>
            <w:tcBorders>
              <w:top w:val="double" w:sz="6" w:space="0" w:color="auto"/>
              <w:left w:val="nil"/>
              <w:bottom w:val="double" w:sz="6" w:space="0" w:color="auto"/>
              <w:right w:val="nil"/>
            </w:tcBorders>
            <w:shd w:val="clear" w:color="auto" w:fill="auto"/>
            <w:noWrap/>
            <w:vAlign w:val="center"/>
            <w:hideMark/>
          </w:tcPr>
          <w:p w14:paraId="1C12A570" w14:textId="5B9D8F00" w:rsidR="003843DD" w:rsidRPr="00033A3F" w:rsidRDefault="003843DD" w:rsidP="006B463A">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w:t>
            </w:r>
            <w:r w:rsidR="006B463A" w:rsidRPr="00033A3F">
              <w:rPr>
                <w:rFonts w:eastAsia="Times New Roman"/>
                <w:b/>
                <w:bCs/>
                <w:color w:val="000000" w:themeColor="text1"/>
                <w:sz w:val="20"/>
                <w:szCs w:val="20"/>
                <w:lang w:eastAsia="cs-CZ"/>
              </w:rPr>
              <w:t>,</w:t>
            </w:r>
            <w:r w:rsidRPr="00033A3F">
              <w:rPr>
                <w:rFonts w:eastAsia="Times New Roman"/>
                <w:b/>
                <w:bCs/>
                <w:color w:val="000000" w:themeColor="text1"/>
                <w:sz w:val="20"/>
                <w:szCs w:val="20"/>
                <w:lang w:eastAsia="cs-CZ"/>
              </w:rPr>
              <w:t>1 p.b.</w:t>
            </w:r>
          </w:p>
        </w:tc>
      </w:tr>
    </w:tbl>
    <w:p w14:paraId="18273CAB" w14:textId="07C401FC" w:rsidR="006B463A" w:rsidRPr="00033A3F" w:rsidRDefault="006B463A" w:rsidP="006B463A">
      <w:pPr>
        <w:pStyle w:val="OdstavecASR"/>
        <w:rPr>
          <w:color w:val="000000" w:themeColor="text1"/>
        </w:rPr>
      </w:pPr>
      <w:r w:rsidRPr="00033A3F">
        <w:rPr>
          <w:color w:val="000000" w:themeColor="text1"/>
        </w:rPr>
        <w:t>V tabulce výše vidíme značné rozdíly mezi jednotlivými soudy</w:t>
      </w:r>
      <w:r w:rsidR="00FE16E5" w:rsidRPr="00033A3F">
        <w:rPr>
          <w:color w:val="000000" w:themeColor="text1"/>
        </w:rPr>
        <w:t xml:space="preserve"> i</w:t>
      </w:r>
      <w:r w:rsidRPr="00033A3F">
        <w:rPr>
          <w:color w:val="000000" w:themeColor="text1"/>
        </w:rPr>
        <w:t xml:space="preserve"> rozdíly oproti předchozímu roku u některých soudů. Na úrovni jednotlivých soudů tak není míra odvolání stabilní. Tento rok změny na úrovni jednotlivých soudů vyústily v pokles o 3 procentní body na celorepublikové úrovni.</w:t>
      </w:r>
    </w:p>
    <w:p w14:paraId="344F1F4C" w14:textId="1080D501" w:rsidR="006B463A" w:rsidRPr="00033A3F" w:rsidRDefault="006B463A" w:rsidP="006B463A">
      <w:pPr>
        <w:pStyle w:val="OdstavecASR"/>
        <w:rPr>
          <w:color w:val="000000" w:themeColor="text1"/>
        </w:rPr>
      </w:pPr>
      <w:r w:rsidRPr="00033A3F">
        <w:rPr>
          <w:color w:val="000000" w:themeColor="text1"/>
        </w:rPr>
        <w:t xml:space="preserve">Při srovnání s tabulkou </w:t>
      </w:r>
      <w:r w:rsidR="001E3585" w:rsidRPr="00033A3F">
        <w:rPr>
          <w:color w:val="000000" w:themeColor="text1"/>
        </w:rPr>
        <w:t xml:space="preserve">12 </w:t>
      </w:r>
      <w:r w:rsidRPr="00033A3F">
        <w:rPr>
          <w:color w:val="000000" w:themeColor="text1"/>
        </w:rPr>
        <w:t xml:space="preserve">vidíme, že u krajských soudů byla míra odvolání </w:t>
      </w:r>
      <w:r w:rsidR="00E0099B" w:rsidRPr="00033A3F">
        <w:rPr>
          <w:color w:val="000000" w:themeColor="text1"/>
        </w:rPr>
        <w:t>téměř</w:t>
      </w:r>
      <w:r w:rsidRPr="00033A3F">
        <w:rPr>
          <w:color w:val="000000" w:themeColor="text1"/>
        </w:rPr>
        <w:t xml:space="preserve"> dvakrát vyšší než u soudů okresních. To souvisí s náročností a závažností vyřizované agendy, ale rozdíl se v posledních letech zmenšil. Změna také souvisí se změnou metodiky výpočtu.</w:t>
      </w:r>
    </w:p>
    <w:p w14:paraId="743BAEBD" w14:textId="77777777" w:rsidR="006B463A" w:rsidRPr="00033A3F" w:rsidRDefault="006B463A" w:rsidP="006B463A">
      <w:pPr>
        <w:pStyle w:val="Podnadpis"/>
        <w:outlineLvl w:val="3"/>
        <w:rPr>
          <w:color w:val="000000" w:themeColor="text1"/>
          <w:spacing w:val="0"/>
        </w:rPr>
      </w:pPr>
      <w:r w:rsidRPr="00033A3F">
        <w:rPr>
          <w:color w:val="000000" w:themeColor="text1"/>
          <w:spacing w:val="0"/>
        </w:rPr>
        <w:t>Míra změny rozsudku</w:t>
      </w:r>
    </w:p>
    <w:p w14:paraId="30AB8125" w14:textId="3773298A" w:rsidR="006B463A" w:rsidRPr="00033A3F" w:rsidRDefault="006B463A" w:rsidP="006B463A">
      <w:pPr>
        <w:pStyle w:val="Podnadpis"/>
        <w:rPr>
          <w:color w:val="000000" w:themeColor="text1"/>
        </w:rPr>
      </w:pPr>
      <w:bookmarkStart w:id="1220" w:name="_Toc75952351"/>
      <w:bookmarkStart w:id="1221" w:name="_Toc106106808"/>
      <w:bookmarkStart w:id="1222" w:name="_Toc109802131"/>
      <w:bookmarkStart w:id="1223" w:name="_Toc144104289"/>
      <w:bookmarkStart w:id="1224" w:name="_Toc169251101"/>
      <w:bookmarkStart w:id="1225" w:name="_Toc174080787"/>
      <w:bookmarkStart w:id="1226" w:name="_Toc193530917"/>
      <w:bookmarkStart w:id="1227" w:name="_Toc194045613"/>
      <w:bookmarkStart w:id="1228" w:name="_Toc199495023"/>
      <w:bookmarkStart w:id="1229" w:name="_Toc203033084"/>
      <w:bookmarkStart w:id="1230" w:name="_Toc203033162"/>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42</w:t>
      </w:r>
      <w:r w:rsidRPr="00033A3F">
        <w:rPr>
          <w:color w:val="000000" w:themeColor="text1"/>
        </w:rPr>
        <w:fldChar w:fldCharType="end"/>
      </w:r>
      <w:r w:rsidRPr="00033A3F">
        <w:rPr>
          <w:color w:val="000000" w:themeColor="text1"/>
        </w:rPr>
        <w:t>: KS – míra změny rozsudku dle soudů v civilním řízení</w:t>
      </w:r>
      <w:bookmarkEnd w:id="1220"/>
      <w:bookmarkEnd w:id="1221"/>
      <w:bookmarkEnd w:id="1222"/>
      <w:bookmarkEnd w:id="1223"/>
      <w:r w:rsidRPr="00033A3F">
        <w:rPr>
          <w:color w:val="000000" w:themeColor="text1"/>
        </w:rPr>
        <w:t>, 202</w:t>
      </w:r>
      <w:bookmarkEnd w:id="1224"/>
      <w:bookmarkEnd w:id="1225"/>
      <w:r w:rsidRPr="00033A3F">
        <w:rPr>
          <w:color w:val="000000" w:themeColor="text1"/>
        </w:rPr>
        <w:t>4</w:t>
      </w:r>
      <w:bookmarkEnd w:id="1226"/>
      <w:bookmarkEnd w:id="1227"/>
      <w:bookmarkEnd w:id="1228"/>
      <w:bookmarkEnd w:id="1229"/>
      <w:bookmarkEnd w:id="1230"/>
    </w:p>
    <w:tbl>
      <w:tblPr>
        <w:tblW w:w="6980" w:type="dxa"/>
        <w:tblCellMar>
          <w:left w:w="70" w:type="dxa"/>
          <w:right w:w="70" w:type="dxa"/>
        </w:tblCellMar>
        <w:tblLook w:val="04A0" w:firstRow="1" w:lastRow="0" w:firstColumn="1" w:lastColumn="0" w:noHBand="0" w:noVBand="1"/>
      </w:tblPr>
      <w:tblGrid>
        <w:gridCol w:w="2780"/>
        <w:gridCol w:w="2065"/>
        <w:gridCol w:w="2135"/>
      </w:tblGrid>
      <w:tr w:rsidR="00033A3F" w:rsidRPr="00033A3F" w14:paraId="4B270FF0" w14:textId="77777777" w:rsidTr="00DC286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1C82C65" w14:textId="77777777" w:rsidR="00DC286B" w:rsidRPr="00033A3F" w:rsidRDefault="00DC286B" w:rsidP="00DC286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675BE32C" w14:textId="77777777" w:rsidR="00DC286B" w:rsidRPr="00033A3F" w:rsidRDefault="00DC286B" w:rsidP="00DC286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změny rozsudku</w:t>
            </w:r>
          </w:p>
        </w:tc>
      </w:tr>
      <w:tr w:rsidR="00033A3F" w:rsidRPr="00033A3F" w14:paraId="729C6E93" w14:textId="77777777" w:rsidTr="00DC286B">
        <w:trPr>
          <w:trHeight w:val="330"/>
        </w:trPr>
        <w:tc>
          <w:tcPr>
            <w:tcW w:w="2780" w:type="dxa"/>
            <w:tcBorders>
              <w:top w:val="nil"/>
              <w:left w:val="nil"/>
              <w:bottom w:val="single" w:sz="4" w:space="0" w:color="auto"/>
              <w:right w:val="nil"/>
            </w:tcBorders>
            <w:shd w:val="clear" w:color="auto" w:fill="auto"/>
            <w:noWrap/>
            <w:vAlign w:val="bottom"/>
            <w:hideMark/>
          </w:tcPr>
          <w:p w14:paraId="349B34D1"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2065" w:type="dxa"/>
            <w:tcBorders>
              <w:top w:val="nil"/>
              <w:left w:val="nil"/>
              <w:bottom w:val="single" w:sz="4" w:space="0" w:color="auto"/>
              <w:right w:val="nil"/>
            </w:tcBorders>
            <w:shd w:val="clear" w:color="auto" w:fill="auto"/>
            <w:noWrap/>
            <w:vAlign w:val="bottom"/>
            <w:hideMark/>
          </w:tcPr>
          <w:p w14:paraId="41460C78" w14:textId="6835AC57"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43,17 %</w:t>
            </w:r>
          </w:p>
        </w:tc>
        <w:tc>
          <w:tcPr>
            <w:tcW w:w="2135" w:type="dxa"/>
            <w:tcBorders>
              <w:top w:val="nil"/>
              <w:left w:val="nil"/>
              <w:bottom w:val="single" w:sz="4" w:space="0" w:color="auto"/>
              <w:right w:val="nil"/>
            </w:tcBorders>
            <w:shd w:val="clear" w:color="auto" w:fill="auto"/>
            <w:noWrap/>
            <w:vAlign w:val="center"/>
            <w:hideMark/>
          </w:tcPr>
          <w:p w14:paraId="37592991" w14:textId="6A958162"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-0,8 p.b.</w:t>
            </w:r>
          </w:p>
        </w:tc>
      </w:tr>
      <w:tr w:rsidR="00033A3F" w:rsidRPr="00033A3F" w14:paraId="31BFAB76"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764AE181"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2065" w:type="dxa"/>
            <w:tcBorders>
              <w:top w:val="nil"/>
              <w:left w:val="nil"/>
              <w:bottom w:val="single" w:sz="4" w:space="0" w:color="auto"/>
              <w:right w:val="nil"/>
            </w:tcBorders>
            <w:shd w:val="clear" w:color="auto" w:fill="auto"/>
            <w:noWrap/>
            <w:vAlign w:val="bottom"/>
            <w:hideMark/>
          </w:tcPr>
          <w:p w14:paraId="31BA057B" w14:textId="127C9CE6"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31,25 %</w:t>
            </w:r>
          </w:p>
        </w:tc>
        <w:tc>
          <w:tcPr>
            <w:tcW w:w="2135" w:type="dxa"/>
            <w:tcBorders>
              <w:top w:val="nil"/>
              <w:left w:val="nil"/>
              <w:bottom w:val="single" w:sz="4" w:space="0" w:color="auto"/>
              <w:right w:val="nil"/>
            </w:tcBorders>
            <w:shd w:val="clear" w:color="auto" w:fill="auto"/>
            <w:noWrap/>
            <w:vAlign w:val="center"/>
            <w:hideMark/>
          </w:tcPr>
          <w:p w14:paraId="4870FDA6" w14:textId="5C91C680"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-8,8 p.b.</w:t>
            </w:r>
          </w:p>
        </w:tc>
      </w:tr>
      <w:tr w:rsidR="00033A3F" w:rsidRPr="00033A3F" w14:paraId="2749C4DD"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2121A5C3"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2065" w:type="dxa"/>
            <w:tcBorders>
              <w:top w:val="nil"/>
              <w:left w:val="nil"/>
              <w:bottom w:val="single" w:sz="4" w:space="0" w:color="auto"/>
              <w:right w:val="nil"/>
            </w:tcBorders>
            <w:shd w:val="clear" w:color="auto" w:fill="auto"/>
            <w:noWrap/>
            <w:vAlign w:val="bottom"/>
            <w:hideMark/>
          </w:tcPr>
          <w:p w14:paraId="22E0DFCA" w14:textId="62C31D82"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53,66 %</w:t>
            </w:r>
          </w:p>
        </w:tc>
        <w:tc>
          <w:tcPr>
            <w:tcW w:w="2135" w:type="dxa"/>
            <w:tcBorders>
              <w:top w:val="nil"/>
              <w:left w:val="nil"/>
              <w:bottom w:val="single" w:sz="4" w:space="0" w:color="auto"/>
              <w:right w:val="nil"/>
            </w:tcBorders>
            <w:shd w:val="clear" w:color="auto" w:fill="auto"/>
            <w:noWrap/>
            <w:vAlign w:val="center"/>
            <w:hideMark/>
          </w:tcPr>
          <w:p w14:paraId="27F619D5" w14:textId="41E4F2DE"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+16,7 p.b.</w:t>
            </w:r>
          </w:p>
        </w:tc>
      </w:tr>
      <w:tr w:rsidR="00033A3F" w:rsidRPr="00033A3F" w14:paraId="2C5C3A41"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54122CDF"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2065" w:type="dxa"/>
            <w:tcBorders>
              <w:top w:val="nil"/>
              <w:left w:val="nil"/>
              <w:bottom w:val="single" w:sz="4" w:space="0" w:color="auto"/>
              <w:right w:val="nil"/>
            </w:tcBorders>
            <w:shd w:val="clear" w:color="auto" w:fill="auto"/>
            <w:noWrap/>
            <w:vAlign w:val="bottom"/>
            <w:hideMark/>
          </w:tcPr>
          <w:p w14:paraId="58505801" w14:textId="7E93B1FF"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60,00 %</w:t>
            </w:r>
          </w:p>
        </w:tc>
        <w:tc>
          <w:tcPr>
            <w:tcW w:w="2135" w:type="dxa"/>
            <w:tcBorders>
              <w:top w:val="nil"/>
              <w:left w:val="nil"/>
              <w:bottom w:val="single" w:sz="4" w:space="0" w:color="auto"/>
              <w:right w:val="nil"/>
            </w:tcBorders>
            <w:shd w:val="clear" w:color="auto" w:fill="auto"/>
            <w:noWrap/>
            <w:vAlign w:val="center"/>
            <w:hideMark/>
          </w:tcPr>
          <w:p w14:paraId="1D4CF4E8" w14:textId="253C0F86"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+12,8 p.b.</w:t>
            </w:r>
          </w:p>
        </w:tc>
      </w:tr>
      <w:tr w:rsidR="00033A3F" w:rsidRPr="00033A3F" w14:paraId="79A86D55"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69339E83"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2065" w:type="dxa"/>
            <w:tcBorders>
              <w:top w:val="nil"/>
              <w:left w:val="nil"/>
              <w:bottom w:val="single" w:sz="4" w:space="0" w:color="auto"/>
              <w:right w:val="nil"/>
            </w:tcBorders>
            <w:shd w:val="clear" w:color="auto" w:fill="auto"/>
            <w:noWrap/>
            <w:vAlign w:val="bottom"/>
            <w:hideMark/>
          </w:tcPr>
          <w:p w14:paraId="7C54EBB1" w14:textId="126015FE"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45,45 %</w:t>
            </w:r>
          </w:p>
        </w:tc>
        <w:tc>
          <w:tcPr>
            <w:tcW w:w="2135" w:type="dxa"/>
            <w:tcBorders>
              <w:top w:val="nil"/>
              <w:left w:val="nil"/>
              <w:bottom w:val="single" w:sz="4" w:space="0" w:color="auto"/>
              <w:right w:val="nil"/>
            </w:tcBorders>
            <w:shd w:val="clear" w:color="auto" w:fill="auto"/>
            <w:noWrap/>
            <w:vAlign w:val="center"/>
            <w:hideMark/>
          </w:tcPr>
          <w:p w14:paraId="60E2D8EA" w14:textId="1A0586C3"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p.b.</w:t>
            </w:r>
          </w:p>
        </w:tc>
      </w:tr>
      <w:tr w:rsidR="00033A3F" w:rsidRPr="00033A3F" w14:paraId="4EB4EC73"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4D775E66"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2065" w:type="dxa"/>
            <w:tcBorders>
              <w:top w:val="nil"/>
              <w:left w:val="nil"/>
              <w:bottom w:val="single" w:sz="4" w:space="0" w:color="auto"/>
              <w:right w:val="nil"/>
            </w:tcBorders>
            <w:shd w:val="clear" w:color="auto" w:fill="auto"/>
            <w:noWrap/>
            <w:vAlign w:val="bottom"/>
            <w:hideMark/>
          </w:tcPr>
          <w:p w14:paraId="776D4718" w14:textId="0E5598BB"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53,13 %</w:t>
            </w:r>
          </w:p>
        </w:tc>
        <w:tc>
          <w:tcPr>
            <w:tcW w:w="2135" w:type="dxa"/>
            <w:tcBorders>
              <w:top w:val="nil"/>
              <w:left w:val="nil"/>
              <w:bottom w:val="single" w:sz="4" w:space="0" w:color="auto"/>
              <w:right w:val="nil"/>
            </w:tcBorders>
            <w:shd w:val="clear" w:color="auto" w:fill="auto"/>
            <w:noWrap/>
            <w:vAlign w:val="center"/>
            <w:hideMark/>
          </w:tcPr>
          <w:p w14:paraId="364D4DF8" w14:textId="3290D9B5"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+0,0 p.b.</w:t>
            </w:r>
          </w:p>
        </w:tc>
      </w:tr>
      <w:tr w:rsidR="00033A3F" w:rsidRPr="00033A3F" w14:paraId="7F01E1A3"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0DDFCAF3"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2065" w:type="dxa"/>
            <w:tcBorders>
              <w:top w:val="nil"/>
              <w:left w:val="nil"/>
              <w:bottom w:val="single" w:sz="4" w:space="0" w:color="auto"/>
              <w:right w:val="nil"/>
            </w:tcBorders>
            <w:shd w:val="clear" w:color="auto" w:fill="auto"/>
            <w:noWrap/>
            <w:vAlign w:val="bottom"/>
            <w:hideMark/>
          </w:tcPr>
          <w:p w14:paraId="5D799794" w14:textId="5D09AEFD"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38,60 %</w:t>
            </w:r>
          </w:p>
        </w:tc>
        <w:tc>
          <w:tcPr>
            <w:tcW w:w="2135" w:type="dxa"/>
            <w:tcBorders>
              <w:top w:val="nil"/>
              <w:left w:val="nil"/>
              <w:bottom w:val="single" w:sz="4" w:space="0" w:color="auto"/>
              <w:right w:val="nil"/>
            </w:tcBorders>
            <w:shd w:val="clear" w:color="auto" w:fill="auto"/>
            <w:noWrap/>
            <w:vAlign w:val="center"/>
            <w:hideMark/>
          </w:tcPr>
          <w:p w14:paraId="1CB8F7A9" w14:textId="6E6F7E5A"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+2,0 p.b.</w:t>
            </w:r>
          </w:p>
        </w:tc>
      </w:tr>
      <w:tr w:rsidR="00033A3F" w:rsidRPr="00033A3F" w14:paraId="7015D724" w14:textId="77777777" w:rsidTr="00DC286B">
        <w:trPr>
          <w:trHeight w:val="330"/>
        </w:trPr>
        <w:tc>
          <w:tcPr>
            <w:tcW w:w="2780" w:type="dxa"/>
            <w:tcBorders>
              <w:top w:val="nil"/>
              <w:left w:val="nil"/>
              <w:bottom w:val="double" w:sz="6" w:space="0" w:color="auto"/>
              <w:right w:val="nil"/>
            </w:tcBorders>
            <w:shd w:val="clear" w:color="auto" w:fill="auto"/>
            <w:noWrap/>
            <w:vAlign w:val="bottom"/>
            <w:hideMark/>
          </w:tcPr>
          <w:p w14:paraId="063A22DA"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2065" w:type="dxa"/>
            <w:tcBorders>
              <w:top w:val="nil"/>
              <w:left w:val="nil"/>
              <w:bottom w:val="double" w:sz="6" w:space="0" w:color="auto"/>
              <w:right w:val="nil"/>
            </w:tcBorders>
            <w:shd w:val="clear" w:color="auto" w:fill="auto"/>
            <w:noWrap/>
            <w:vAlign w:val="bottom"/>
            <w:hideMark/>
          </w:tcPr>
          <w:p w14:paraId="7F57C9C0" w14:textId="0DE61B06"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36,25 %</w:t>
            </w:r>
          </w:p>
        </w:tc>
        <w:tc>
          <w:tcPr>
            <w:tcW w:w="2135" w:type="dxa"/>
            <w:tcBorders>
              <w:top w:val="nil"/>
              <w:left w:val="nil"/>
              <w:bottom w:val="nil"/>
              <w:right w:val="nil"/>
            </w:tcBorders>
            <w:shd w:val="clear" w:color="auto" w:fill="auto"/>
            <w:noWrap/>
            <w:vAlign w:val="center"/>
            <w:hideMark/>
          </w:tcPr>
          <w:p w14:paraId="65E3D2AB" w14:textId="6667EA19"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-0,3 p.b.</w:t>
            </w:r>
          </w:p>
        </w:tc>
      </w:tr>
      <w:tr w:rsidR="00033A3F" w:rsidRPr="00033A3F" w14:paraId="6B1576C7" w14:textId="77777777" w:rsidTr="00DC286B">
        <w:trPr>
          <w:trHeight w:val="345"/>
        </w:trPr>
        <w:tc>
          <w:tcPr>
            <w:tcW w:w="2780" w:type="dxa"/>
            <w:tcBorders>
              <w:top w:val="nil"/>
              <w:left w:val="nil"/>
              <w:bottom w:val="double" w:sz="6" w:space="0" w:color="auto"/>
              <w:right w:val="nil"/>
            </w:tcBorders>
            <w:shd w:val="clear" w:color="auto" w:fill="auto"/>
            <w:noWrap/>
            <w:vAlign w:val="bottom"/>
            <w:hideMark/>
          </w:tcPr>
          <w:p w14:paraId="10EB64EF" w14:textId="77777777" w:rsidR="00DC286B" w:rsidRPr="00033A3F" w:rsidRDefault="00DC286B" w:rsidP="00DC286B">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2065" w:type="dxa"/>
            <w:tcBorders>
              <w:top w:val="nil"/>
              <w:left w:val="nil"/>
              <w:bottom w:val="double" w:sz="6" w:space="0" w:color="auto"/>
              <w:right w:val="nil"/>
            </w:tcBorders>
            <w:shd w:val="clear" w:color="auto" w:fill="auto"/>
            <w:noWrap/>
            <w:vAlign w:val="bottom"/>
            <w:hideMark/>
          </w:tcPr>
          <w:p w14:paraId="318BEB2F" w14:textId="6421C9CE" w:rsidR="00DC286B" w:rsidRPr="00033A3F" w:rsidRDefault="00DC286B" w:rsidP="00DC286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43,97 %</w:t>
            </w:r>
          </w:p>
        </w:tc>
        <w:tc>
          <w:tcPr>
            <w:tcW w:w="2135" w:type="dxa"/>
            <w:tcBorders>
              <w:top w:val="double" w:sz="6" w:space="0" w:color="auto"/>
              <w:left w:val="nil"/>
              <w:bottom w:val="double" w:sz="6" w:space="0" w:color="auto"/>
              <w:right w:val="nil"/>
            </w:tcBorders>
            <w:shd w:val="clear" w:color="auto" w:fill="auto"/>
            <w:noWrap/>
            <w:vAlign w:val="center"/>
            <w:hideMark/>
          </w:tcPr>
          <w:p w14:paraId="5FCA330E" w14:textId="1E67A728" w:rsidR="00DC286B" w:rsidRPr="00033A3F" w:rsidRDefault="00DC286B" w:rsidP="00DC286B">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+1,5 p.b.</w:t>
            </w:r>
          </w:p>
        </w:tc>
      </w:tr>
      <w:tr w:rsidR="00DC286B" w:rsidRPr="00033A3F" w14:paraId="06A7DEB1" w14:textId="77777777" w:rsidTr="00DC286B">
        <w:trPr>
          <w:trHeight w:val="330"/>
        </w:trPr>
        <w:tc>
          <w:tcPr>
            <w:tcW w:w="2780" w:type="dxa"/>
            <w:tcBorders>
              <w:top w:val="nil"/>
              <w:left w:val="nil"/>
              <w:bottom w:val="nil"/>
              <w:right w:val="nil"/>
            </w:tcBorders>
            <w:shd w:val="clear" w:color="auto" w:fill="auto"/>
            <w:noWrap/>
            <w:vAlign w:val="bottom"/>
            <w:hideMark/>
          </w:tcPr>
          <w:p w14:paraId="317A9034" w14:textId="77777777" w:rsidR="00DC286B" w:rsidRPr="00033A3F" w:rsidRDefault="00DC286B" w:rsidP="00DC286B">
            <w:pPr>
              <w:spacing w:line="240" w:lineRule="auto"/>
              <w:jc w:val="right"/>
              <w:rPr>
                <w:rFonts w:eastAsia="Times New Roman"/>
                <w:b/>
                <w:bCs/>
                <w:color w:val="000000" w:themeColor="text1"/>
                <w:sz w:val="20"/>
                <w:szCs w:val="20"/>
                <w:lang w:eastAsia="cs-CZ"/>
              </w:rPr>
            </w:pPr>
          </w:p>
        </w:tc>
        <w:tc>
          <w:tcPr>
            <w:tcW w:w="2065" w:type="dxa"/>
            <w:tcBorders>
              <w:top w:val="nil"/>
              <w:left w:val="nil"/>
              <w:bottom w:val="nil"/>
              <w:right w:val="nil"/>
            </w:tcBorders>
            <w:shd w:val="clear" w:color="auto" w:fill="auto"/>
            <w:noWrap/>
            <w:vAlign w:val="bottom"/>
            <w:hideMark/>
          </w:tcPr>
          <w:p w14:paraId="45FAE18C" w14:textId="77777777" w:rsidR="00DC286B" w:rsidRPr="00033A3F" w:rsidRDefault="00DC286B" w:rsidP="00DC286B">
            <w:pPr>
              <w:spacing w:line="240" w:lineRule="auto"/>
              <w:jc w:val="left"/>
              <w:rPr>
                <w:rFonts w:ascii="Times New Roman" w:eastAsia="Times New Roman" w:hAnsi="Times New Roman"/>
                <w:color w:val="000000" w:themeColor="text1"/>
                <w:sz w:val="20"/>
                <w:szCs w:val="20"/>
                <w:lang w:eastAsia="cs-CZ"/>
              </w:rPr>
            </w:pPr>
          </w:p>
        </w:tc>
        <w:tc>
          <w:tcPr>
            <w:tcW w:w="2135" w:type="dxa"/>
            <w:tcBorders>
              <w:top w:val="nil"/>
              <w:left w:val="nil"/>
              <w:bottom w:val="nil"/>
              <w:right w:val="nil"/>
            </w:tcBorders>
            <w:shd w:val="clear" w:color="auto" w:fill="auto"/>
            <w:noWrap/>
            <w:vAlign w:val="bottom"/>
            <w:hideMark/>
          </w:tcPr>
          <w:p w14:paraId="44AB9CB7" w14:textId="77777777" w:rsidR="00DC286B" w:rsidRPr="00033A3F" w:rsidRDefault="00DC286B" w:rsidP="00DC286B">
            <w:pPr>
              <w:spacing w:line="240" w:lineRule="auto"/>
              <w:jc w:val="left"/>
              <w:rPr>
                <w:rFonts w:ascii="Times New Roman" w:eastAsia="Times New Roman" w:hAnsi="Times New Roman"/>
                <w:color w:val="000000" w:themeColor="text1"/>
                <w:sz w:val="20"/>
                <w:szCs w:val="20"/>
                <w:lang w:eastAsia="cs-CZ"/>
              </w:rPr>
            </w:pPr>
          </w:p>
        </w:tc>
      </w:tr>
    </w:tbl>
    <w:p w14:paraId="0382542D" w14:textId="77777777" w:rsidR="006B463A" w:rsidRPr="00033A3F" w:rsidRDefault="006B463A" w:rsidP="00105C44">
      <w:pPr>
        <w:rPr>
          <w:color w:val="000000" w:themeColor="text1"/>
        </w:rPr>
      </w:pPr>
    </w:p>
    <w:p w14:paraId="3792641D" w14:textId="3D6F4637" w:rsidR="006B463A" w:rsidRPr="00033A3F" w:rsidRDefault="006B463A" w:rsidP="006B463A">
      <w:pPr>
        <w:pStyle w:val="OdstavecASR"/>
        <w:rPr>
          <w:color w:val="000000" w:themeColor="text1"/>
        </w:rPr>
      </w:pPr>
      <w:r w:rsidRPr="00033A3F">
        <w:rPr>
          <w:color w:val="000000" w:themeColor="text1"/>
        </w:rPr>
        <w:t>Rozdíly mezi jednotlivými soudy v míře změny rozsudku jsou rovněž poměrně vysoké. Rozdíly jsou často velké i u soudů mezi jednotlivými lety (viz především KS Praha</w:t>
      </w:r>
      <w:r w:rsidR="00267839" w:rsidRPr="00033A3F">
        <w:rPr>
          <w:color w:val="000000" w:themeColor="text1"/>
        </w:rPr>
        <w:t xml:space="preserve"> či</w:t>
      </w:r>
      <w:r w:rsidRPr="00033A3F">
        <w:rPr>
          <w:color w:val="000000" w:themeColor="text1"/>
        </w:rPr>
        <w:t xml:space="preserve"> KS Č. Budějovice). Míra změny rozsudku byla v roce 202</w:t>
      </w:r>
      <w:r w:rsidR="00267839" w:rsidRPr="00033A3F">
        <w:rPr>
          <w:color w:val="000000" w:themeColor="text1"/>
        </w:rPr>
        <w:t>4</w:t>
      </w:r>
      <w:r w:rsidRPr="00033A3F">
        <w:rPr>
          <w:color w:val="000000" w:themeColor="text1"/>
        </w:rPr>
        <w:t xml:space="preserve"> v zásadě shodná s mírou změny rozsudku u okresních soudů.</w:t>
      </w:r>
      <w:r w:rsidR="000168AE" w:rsidRPr="00033A3F">
        <w:rPr>
          <w:color w:val="000000" w:themeColor="text1"/>
        </w:rPr>
        <w:t xml:space="preserve"> </w:t>
      </w:r>
      <w:r w:rsidR="00081F06" w:rsidRPr="00033A3F">
        <w:rPr>
          <w:color w:val="000000" w:themeColor="text1"/>
        </w:rPr>
        <w:t>Nejvyšší míru změny rozsudku vykazuje</w:t>
      </w:r>
      <w:r w:rsidR="000168AE" w:rsidRPr="00033A3F">
        <w:rPr>
          <w:color w:val="000000" w:themeColor="text1"/>
        </w:rPr>
        <w:t xml:space="preserve"> KS Plzeň</w:t>
      </w:r>
      <w:r w:rsidR="00081F06" w:rsidRPr="00033A3F">
        <w:rPr>
          <w:color w:val="000000" w:themeColor="text1"/>
        </w:rPr>
        <w:t xml:space="preserve">; hodnota navíc v posledních letech </w:t>
      </w:r>
      <w:r w:rsidR="000168AE" w:rsidRPr="00033A3F">
        <w:rPr>
          <w:color w:val="000000" w:themeColor="text1"/>
        </w:rPr>
        <w:t xml:space="preserve">pomalu </w:t>
      </w:r>
      <w:r w:rsidR="001024E0" w:rsidRPr="00033A3F">
        <w:rPr>
          <w:color w:val="000000" w:themeColor="text1"/>
        </w:rPr>
        <w:t xml:space="preserve">ale jistě </w:t>
      </w:r>
      <w:r w:rsidR="000168AE" w:rsidRPr="00033A3F">
        <w:rPr>
          <w:color w:val="000000" w:themeColor="text1"/>
        </w:rPr>
        <w:t>st</w:t>
      </w:r>
      <w:r w:rsidR="001024E0" w:rsidRPr="00033A3F">
        <w:rPr>
          <w:color w:val="000000" w:themeColor="text1"/>
        </w:rPr>
        <w:t>o</w:t>
      </w:r>
      <w:r w:rsidR="000168AE" w:rsidRPr="00033A3F">
        <w:rPr>
          <w:color w:val="000000" w:themeColor="text1"/>
        </w:rPr>
        <w:t>upá (</w:t>
      </w:r>
      <w:r w:rsidR="00081F06" w:rsidRPr="00033A3F">
        <w:rPr>
          <w:color w:val="000000" w:themeColor="text1"/>
        </w:rPr>
        <w:t xml:space="preserve">v roce </w:t>
      </w:r>
      <w:r w:rsidR="000168AE" w:rsidRPr="00033A3F">
        <w:rPr>
          <w:color w:val="000000" w:themeColor="text1"/>
        </w:rPr>
        <w:t xml:space="preserve">2021 </w:t>
      </w:r>
      <w:r w:rsidR="00081F06" w:rsidRPr="00033A3F">
        <w:rPr>
          <w:color w:val="000000" w:themeColor="text1"/>
        </w:rPr>
        <w:t>činila</w:t>
      </w:r>
      <w:r w:rsidR="000168AE" w:rsidRPr="00033A3F">
        <w:rPr>
          <w:color w:val="000000" w:themeColor="text1"/>
        </w:rPr>
        <w:t xml:space="preserve"> 42,25</w:t>
      </w:r>
      <w:r w:rsidR="00950728" w:rsidRPr="00033A3F">
        <w:rPr>
          <w:color w:val="000000" w:themeColor="text1"/>
        </w:rPr>
        <w:t xml:space="preserve"> </w:t>
      </w:r>
      <w:r w:rsidR="000168AE" w:rsidRPr="00033A3F">
        <w:rPr>
          <w:color w:val="000000" w:themeColor="text1"/>
        </w:rPr>
        <w:t>%).</w:t>
      </w:r>
    </w:p>
    <w:p w14:paraId="485A4700" w14:textId="77777777" w:rsidR="00267839" w:rsidRPr="00033A3F" w:rsidRDefault="00267839" w:rsidP="00267839">
      <w:pPr>
        <w:pStyle w:val="OdstavecASR"/>
        <w:keepNext/>
        <w:outlineLvl w:val="3"/>
        <w:rPr>
          <w:b/>
          <w:color w:val="000000" w:themeColor="text1"/>
        </w:rPr>
      </w:pPr>
      <w:r w:rsidRPr="00033A3F">
        <w:rPr>
          <w:b/>
          <w:color w:val="000000" w:themeColor="text1"/>
        </w:rPr>
        <w:lastRenderedPageBreak/>
        <w:t>Podíl vybraných předmětů sporů</w:t>
      </w:r>
    </w:p>
    <w:p w14:paraId="4A629434" w14:textId="6FA02251" w:rsidR="00267839" w:rsidRPr="00033A3F" w:rsidRDefault="00267839" w:rsidP="00267839">
      <w:pPr>
        <w:pStyle w:val="OdstavecASR"/>
        <w:rPr>
          <w:color w:val="000000" w:themeColor="text1"/>
        </w:rPr>
      </w:pPr>
      <w:r w:rsidRPr="00033A3F">
        <w:rPr>
          <w:color w:val="000000" w:themeColor="text1"/>
        </w:rPr>
        <w:t>Výše uvádíme, že data očišťujeme o vybrané předměty sporů</w:t>
      </w:r>
      <w:r w:rsidR="00950728" w:rsidRPr="00033A3F">
        <w:rPr>
          <w:color w:val="000000" w:themeColor="text1"/>
        </w:rPr>
        <w:t xml:space="preserve"> (jak délky řízení, tak i míru odvolání a míru změny rozsudku)</w:t>
      </w:r>
      <w:r w:rsidRPr="00033A3F">
        <w:rPr>
          <w:color w:val="000000" w:themeColor="text1"/>
        </w:rPr>
        <w:t xml:space="preserve"> – </w:t>
      </w:r>
      <w:r w:rsidRPr="00033A3F">
        <w:rPr>
          <w:i/>
          <w:iCs/>
          <w:color w:val="000000" w:themeColor="text1"/>
        </w:rPr>
        <w:t>zrušení a jmenování likvidátora u jiných korporací (spolky, odborové organizace atd.)</w:t>
      </w:r>
      <w:r w:rsidRPr="00033A3F">
        <w:rPr>
          <w:color w:val="000000" w:themeColor="text1"/>
        </w:rPr>
        <w:t xml:space="preserve"> a </w:t>
      </w:r>
      <w:r w:rsidRPr="00033A3F">
        <w:rPr>
          <w:i/>
          <w:iCs/>
          <w:color w:val="000000" w:themeColor="text1"/>
        </w:rPr>
        <w:t>právní vztahy související se zrušením a likvidací obchodní korporace</w:t>
      </w:r>
      <w:r w:rsidRPr="00033A3F">
        <w:rPr>
          <w:color w:val="000000" w:themeColor="text1"/>
        </w:rPr>
        <w:t>. Je to proto, že se nejedná o typický obchodní spor a délka řízení je u těchto sporů výrazně kratší. V některých letech a</w:t>
      </w:r>
      <w:r w:rsidR="003D5F1A">
        <w:rPr>
          <w:color w:val="000000" w:themeColor="text1"/>
        </w:rPr>
        <w:t> </w:t>
      </w:r>
      <w:r w:rsidRPr="00033A3F">
        <w:rPr>
          <w:color w:val="000000" w:themeColor="text1"/>
        </w:rPr>
        <w:t>u</w:t>
      </w:r>
      <w:r w:rsidR="003D5F1A">
        <w:rPr>
          <w:color w:val="000000" w:themeColor="text1"/>
        </w:rPr>
        <w:t> </w:t>
      </w:r>
      <w:r w:rsidRPr="00033A3F">
        <w:rPr>
          <w:color w:val="000000" w:themeColor="text1"/>
        </w:rPr>
        <w:t>některých soudů je těchto sporů více, jindy a jinde méně. Celkově tedy tyto spory různě působí na délky řízení a míru odvolání a zkreslují tak časové řady. Prozkoumáme proto, jaký podíl na celkovém počtu obchodních věcí (rejstřík Cm) tyto spory vlastně tvoří. Nejdříve je zobrazena časová řada pro ČR.</w:t>
      </w:r>
    </w:p>
    <w:p w14:paraId="42DC7A7D" w14:textId="557489B3" w:rsidR="00267839" w:rsidRPr="00033A3F" w:rsidRDefault="00267839" w:rsidP="00267839">
      <w:pPr>
        <w:pStyle w:val="Podnadpis"/>
        <w:rPr>
          <w:color w:val="000000" w:themeColor="text1"/>
        </w:rPr>
      </w:pPr>
      <w:bookmarkStart w:id="1231" w:name="_Toc144104169"/>
      <w:bookmarkStart w:id="1232" w:name="_Toc169250981"/>
      <w:bookmarkStart w:id="1233" w:name="_Toc174080667"/>
      <w:bookmarkStart w:id="1234" w:name="_Toc193530818"/>
      <w:bookmarkStart w:id="1235" w:name="_Toc193634092"/>
      <w:bookmarkStart w:id="1236" w:name="_Toc20303289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63</w:t>
      </w:r>
      <w:r w:rsidRPr="00033A3F">
        <w:rPr>
          <w:color w:val="000000" w:themeColor="text1"/>
        </w:rPr>
        <w:fldChar w:fldCharType="end"/>
      </w:r>
      <w:r w:rsidRPr="00033A3F">
        <w:rPr>
          <w:color w:val="000000" w:themeColor="text1"/>
        </w:rPr>
        <w:t>: KS – podíl vybraných předmětů sporu v letech 2015–</w:t>
      </w:r>
      <w:bookmarkEnd w:id="1231"/>
      <w:bookmarkEnd w:id="1232"/>
      <w:bookmarkEnd w:id="1233"/>
      <w:r w:rsidR="00936B01" w:rsidRPr="00033A3F">
        <w:rPr>
          <w:color w:val="000000" w:themeColor="text1"/>
        </w:rPr>
        <w:t>2024</w:t>
      </w:r>
      <w:bookmarkEnd w:id="1234"/>
      <w:bookmarkEnd w:id="1235"/>
      <w:bookmarkEnd w:id="1236"/>
    </w:p>
    <w:p w14:paraId="7856FDB5" w14:textId="6CC8EEC2" w:rsidR="006B463A" w:rsidRPr="00033A3F" w:rsidRDefault="00267839" w:rsidP="00105C44">
      <w:pPr>
        <w:rPr>
          <w:color w:val="000000" w:themeColor="text1"/>
        </w:rPr>
      </w:pPr>
      <w:r w:rsidRPr="00033A3F">
        <w:rPr>
          <w:noProof/>
          <w:color w:val="000000" w:themeColor="text1"/>
          <w:lang w:eastAsia="cs-CZ"/>
        </w:rPr>
        <w:drawing>
          <wp:inline distT="0" distB="0" distL="0" distR="0" wp14:anchorId="6353903B" wp14:editId="5CB6D4D9">
            <wp:extent cx="5029200" cy="3657600"/>
            <wp:effectExtent l="0" t="0" r="0" b="0"/>
            <wp:docPr id="1906424028"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AED32C4" w14:textId="77777777" w:rsidR="00267839" w:rsidRPr="00033A3F" w:rsidRDefault="00267839" w:rsidP="00105C44">
      <w:pPr>
        <w:rPr>
          <w:color w:val="000000" w:themeColor="text1"/>
        </w:rPr>
      </w:pPr>
    </w:p>
    <w:p w14:paraId="7C39E08E" w14:textId="29F9D18F" w:rsidR="005F0F84" w:rsidRPr="00033A3F" w:rsidRDefault="005F0F84" w:rsidP="005F0F84">
      <w:pPr>
        <w:pStyle w:val="OdstavecASR"/>
        <w:rPr>
          <w:color w:val="000000" w:themeColor="text1"/>
        </w:rPr>
      </w:pPr>
      <w:r w:rsidRPr="00033A3F">
        <w:rPr>
          <w:color w:val="000000" w:themeColor="text1"/>
        </w:rPr>
        <w:t xml:space="preserve">Na grafu vidíme, že podíl vybraných sporů rostl velmi rychle v letech 2015 až 2017 s tím, že zdaleka největší růst zaznamenal v roce 2017 (růst asi o 28 procentních bodů), růst následně výrazně zpomalil, ale podíl stále rostl až do roku 2021, kdy dosáhl téměř 72 %. V letech 2022 až 2024 pomalu klesal. Je pravda, že očistit data asi o 7 věcí z 10 se může zdát kontraproduktivní. Jak ale bylo již zmíněno, cílem této zprávy je měřit délku řízení v obchodní agendě a </w:t>
      </w:r>
      <w:r w:rsidRPr="00033A3F">
        <w:rPr>
          <w:i/>
          <w:iCs/>
          <w:color w:val="000000" w:themeColor="text1"/>
        </w:rPr>
        <w:t>zrušení a jmenování likvidátora u jiných korporací (spolky, odborové organizace atd.)</w:t>
      </w:r>
      <w:r w:rsidRPr="00033A3F">
        <w:rPr>
          <w:color w:val="000000" w:themeColor="text1"/>
        </w:rPr>
        <w:t xml:space="preserve"> a </w:t>
      </w:r>
      <w:r w:rsidRPr="00033A3F">
        <w:rPr>
          <w:i/>
          <w:iCs/>
          <w:color w:val="000000" w:themeColor="text1"/>
        </w:rPr>
        <w:t>právní vztahy související se zrušením a likvidací obchodní korporace</w:t>
      </w:r>
      <w:r w:rsidRPr="00033A3F">
        <w:rPr>
          <w:color w:val="000000" w:themeColor="text1"/>
        </w:rPr>
        <w:t xml:space="preserve"> typickými obchodními spory nejsou; úprava je tedy namístě.</w:t>
      </w:r>
    </w:p>
    <w:p w14:paraId="5368A2D8" w14:textId="737C7545" w:rsidR="005F0F84" w:rsidRPr="00033A3F" w:rsidRDefault="005F0F84" w:rsidP="005F0F84">
      <w:pPr>
        <w:pStyle w:val="OdstavecASR"/>
        <w:rPr>
          <w:color w:val="000000" w:themeColor="text1"/>
        </w:rPr>
      </w:pPr>
      <w:r w:rsidRPr="00033A3F">
        <w:rPr>
          <w:color w:val="000000" w:themeColor="text1"/>
        </w:rPr>
        <w:t xml:space="preserve">Podíl se rovněž značně liší mezi jednotlivými soudy, jak plyne z dat za rok </w:t>
      </w:r>
      <w:r w:rsidR="00936B01" w:rsidRPr="00033A3F">
        <w:rPr>
          <w:color w:val="000000" w:themeColor="text1"/>
        </w:rPr>
        <w:t xml:space="preserve">2024 </w:t>
      </w:r>
      <w:r w:rsidRPr="00033A3F">
        <w:rPr>
          <w:color w:val="000000" w:themeColor="text1"/>
        </w:rPr>
        <w:t>shrnutých v tabulce níže:</w:t>
      </w:r>
    </w:p>
    <w:p w14:paraId="3A5B71D3" w14:textId="77777777" w:rsidR="00950728" w:rsidRPr="00033A3F" w:rsidRDefault="00950728">
      <w:pPr>
        <w:spacing w:after="160" w:line="259" w:lineRule="auto"/>
        <w:jc w:val="left"/>
        <w:rPr>
          <w:rFonts w:eastAsia="Times New Roman"/>
          <w:b/>
          <w:iCs/>
          <w:color w:val="000000" w:themeColor="text1"/>
          <w:spacing w:val="15"/>
          <w:szCs w:val="24"/>
        </w:rPr>
      </w:pPr>
      <w:bookmarkStart w:id="1237" w:name="_Toc194045614"/>
      <w:r w:rsidRPr="00033A3F">
        <w:rPr>
          <w:color w:val="000000" w:themeColor="text1"/>
        </w:rPr>
        <w:br w:type="page"/>
      </w:r>
    </w:p>
    <w:p w14:paraId="14CF1E09" w14:textId="611B8AB9" w:rsidR="004B793F" w:rsidRPr="00033A3F" w:rsidRDefault="004B793F" w:rsidP="004C0D35">
      <w:pPr>
        <w:pStyle w:val="Podnadpis"/>
        <w:rPr>
          <w:color w:val="000000" w:themeColor="text1"/>
        </w:rPr>
      </w:pPr>
      <w:bookmarkStart w:id="1238" w:name="_Toc199495024"/>
      <w:bookmarkStart w:id="1239" w:name="_Toc203033085"/>
      <w:bookmarkStart w:id="1240" w:name="_Toc203033163"/>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43</w:t>
      </w:r>
      <w:r w:rsidRPr="00033A3F">
        <w:rPr>
          <w:color w:val="000000" w:themeColor="text1"/>
        </w:rPr>
        <w:fldChar w:fldCharType="end"/>
      </w:r>
      <w:r w:rsidRPr="00033A3F">
        <w:rPr>
          <w:color w:val="000000" w:themeColor="text1"/>
        </w:rPr>
        <w:t>: KS –</w:t>
      </w:r>
      <w:r w:rsidR="008C60BF" w:rsidRPr="00033A3F">
        <w:rPr>
          <w:color w:val="000000" w:themeColor="text1"/>
        </w:rPr>
        <w:t xml:space="preserve"> podíl vybraných předmětů sporu v letech dle soudů, 2024</w:t>
      </w:r>
      <w:bookmarkEnd w:id="1237"/>
      <w:bookmarkEnd w:id="1238"/>
      <w:bookmarkEnd w:id="1239"/>
      <w:bookmarkEnd w:id="1240"/>
    </w:p>
    <w:tbl>
      <w:tblPr>
        <w:tblW w:w="6300" w:type="dxa"/>
        <w:tblCellMar>
          <w:left w:w="70" w:type="dxa"/>
          <w:right w:w="70" w:type="dxa"/>
        </w:tblCellMar>
        <w:tblLook w:val="04A0" w:firstRow="1" w:lastRow="0" w:firstColumn="1" w:lastColumn="0" w:noHBand="0" w:noVBand="1"/>
      </w:tblPr>
      <w:tblGrid>
        <w:gridCol w:w="2780"/>
        <w:gridCol w:w="1808"/>
        <w:gridCol w:w="1712"/>
      </w:tblGrid>
      <w:tr w:rsidR="00033A3F" w:rsidRPr="00033A3F" w14:paraId="6C806F16" w14:textId="77777777" w:rsidTr="005F0F84">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5522F854" w14:textId="77777777" w:rsidR="005F0F84" w:rsidRPr="00033A3F" w:rsidRDefault="005F0F84" w:rsidP="005F0F8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399D8EEA" w14:textId="77777777" w:rsidR="005F0F84" w:rsidRPr="00033A3F" w:rsidRDefault="005F0F84" w:rsidP="005F0F8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Podíl vybr. sporů </w:t>
            </w:r>
          </w:p>
        </w:tc>
      </w:tr>
      <w:tr w:rsidR="00033A3F" w:rsidRPr="00033A3F" w14:paraId="1413D64D" w14:textId="77777777" w:rsidTr="005F0F84">
        <w:trPr>
          <w:trHeight w:val="330"/>
        </w:trPr>
        <w:tc>
          <w:tcPr>
            <w:tcW w:w="2780" w:type="dxa"/>
            <w:tcBorders>
              <w:top w:val="nil"/>
              <w:left w:val="nil"/>
              <w:bottom w:val="single" w:sz="4" w:space="0" w:color="auto"/>
              <w:right w:val="nil"/>
            </w:tcBorders>
            <w:shd w:val="clear" w:color="auto" w:fill="auto"/>
            <w:noWrap/>
            <w:vAlign w:val="bottom"/>
            <w:hideMark/>
          </w:tcPr>
          <w:p w14:paraId="16329528"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808" w:type="dxa"/>
            <w:tcBorders>
              <w:top w:val="nil"/>
              <w:left w:val="nil"/>
              <w:bottom w:val="single" w:sz="4" w:space="0" w:color="auto"/>
              <w:right w:val="nil"/>
            </w:tcBorders>
            <w:shd w:val="clear" w:color="auto" w:fill="auto"/>
            <w:noWrap/>
            <w:vAlign w:val="bottom"/>
            <w:hideMark/>
          </w:tcPr>
          <w:p w14:paraId="2D90E43E" w14:textId="23A33265"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80,00 %</w:t>
            </w:r>
          </w:p>
        </w:tc>
        <w:tc>
          <w:tcPr>
            <w:tcW w:w="1712" w:type="dxa"/>
            <w:tcBorders>
              <w:top w:val="nil"/>
              <w:left w:val="nil"/>
              <w:bottom w:val="single" w:sz="4" w:space="0" w:color="auto"/>
              <w:right w:val="nil"/>
            </w:tcBorders>
            <w:shd w:val="clear" w:color="auto" w:fill="auto"/>
            <w:noWrap/>
            <w:vAlign w:val="center"/>
            <w:hideMark/>
          </w:tcPr>
          <w:p w14:paraId="2A90E7A8" w14:textId="1E25083F"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p.b.</w:t>
            </w:r>
          </w:p>
        </w:tc>
      </w:tr>
      <w:tr w:rsidR="00033A3F" w:rsidRPr="00033A3F" w14:paraId="1717E6F8"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5810F946"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808" w:type="dxa"/>
            <w:tcBorders>
              <w:top w:val="nil"/>
              <w:left w:val="nil"/>
              <w:bottom w:val="single" w:sz="4" w:space="0" w:color="auto"/>
              <w:right w:val="nil"/>
            </w:tcBorders>
            <w:shd w:val="clear" w:color="auto" w:fill="auto"/>
            <w:noWrap/>
            <w:vAlign w:val="bottom"/>
            <w:hideMark/>
          </w:tcPr>
          <w:p w14:paraId="1E37E034" w14:textId="5C4AD46B"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0,00 %</w:t>
            </w:r>
          </w:p>
        </w:tc>
        <w:tc>
          <w:tcPr>
            <w:tcW w:w="1712" w:type="dxa"/>
            <w:tcBorders>
              <w:top w:val="nil"/>
              <w:left w:val="nil"/>
              <w:bottom w:val="single" w:sz="4" w:space="0" w:color="auto"/>
              <w:right w:val="nil"/>
            </w:tcBorders>
            <w:shd w:val="clear" w:color="auto" w:fill="auto"/>
            <w:noWrap/>
            <w:vAlign w:val="center"/>
            <w:hideMark/>
          </w:tcPr>
          <w:p w14:paraId="60A0E256" w14:textId="34D544D4"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+0,0 p.b.</w:t>
            </w:r>
          </w:p>
        </w:tc>
      </w:tr>
      <w:tr w:rsidR="00033A3F" w:rsidRPr="00033A3F" w14:paraId="74A6B411"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0B0476E3"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808" w:type="dxa"/>
            <w:tcBorders>
              <w:top w:val="nil"/>
              <w:left w:val="nil"/>
              <w:bottom w:val="single" w:sz="4" w:space="0" w:color="auto"/>
              <w:right w:val="nil"/>
            </w:tcBorders>
            <w:shd w:val="clear" w:color="auto" w:fill="auto"/>
            <w:noWrap/>
            <w:vAlign w:val="bottom"/>
            <w:hideMark/>
          </w:tcPr>
          <w:p w14:paraId="45519E2F" w14:textId="231CDBC3"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51,21 %</w:t>
            </w:r>
          </w:p>
        </w:tc>
        <w:tc>
          <w:tcPr>
            <w:tcW w:w="1712" w:type="dxa"/>
            <w:tcBorders>
              <w:top w:val="nil"/>
              <w:left w:val="nil"/>
              <w:bottom w:val="single" w:sz="4" w:space="0" w:color="auto"/>
              <w:right w:val="nil"/>
            </w:tcBorders>
            <w:shd w:val="clear" w:color="auto" w:fill="auto"/>
            <w:noWrap/>
            <w:vAlign w:val="center"/>
            <w:hideMark/>
          </w:tcPr>
          <w:p w14:paraId="672E41FF" w14:textId="452145DC"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p.b.</w:t>
            </w:r>
          </w:p>
        </w:tc>
      </w:tr>
      <w:tr w:rsidR="00033A3F" w:rsidRPr="00033A3F" w14:paraId="6C4AE18D"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3A56E79D"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808" w:type="dxa"/>
            <w:tcBorders>
              <w:top w:val="nil"/>
              <w:left w:val="nil"/>
              <w:bottom w:val="single" w:sz="4" w:space="0" w:color="auto"/>
              <w:right w:val="nil"/>
            </w:tcBorders>
            <w:shd w:val="clear" w:color="auto" w:fill="auto"/>
            <w:noWrap/>
            <w:vAlign w:val="bottom"/>
            <w:hideMark/>
          </w:tcPr>
          <w:p w14:paraId="33003A31" w14:textId="7722BF0D"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37,65 %</w:t>
            </w:r>
          </w:p>
        </w:tc>
        <w:tc>
          <w:tcPr>
            <w:tcW w:w="1712" w:type="dxa"/>
            <w:tcBorders>
              <w:top w:val="nil"/>
              <w:left w:val="nil"/>
              <w:bottom w:val="single" w:sz="4" w:space="0" w:color="auto"/>
              <w:right w:val="nil"/>
            </w:tcBorders>
            <w:shd w:val="clear" w:color="auto" w:fill="auto"/>
            <w:noWrap/>
            <w:vAlign w:val="center"/>
            <w:hideMark/>
          </w:tcPr>
          <w:p w14:paraId="2AC54092" w14:textId="1921AD4F"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-13,9 p.b.</w:t>
            </w:r>
          </w:p>
        </w:tc>
      </w:tr>
      <w:tr w:rsidR="00033A3F" w:rsidRPr="00033A3F" w14:paraId="58BF4CAB"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0FBBC720"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808" w:type="dxa"/>
            <w:tcBorders>
              <w:top w:val="nil"/>
              <w:left w:val="nil"/>
              <w:bottom w:val="single" w:sz="4" w:space="0" w:color="auto"/>
              <w:right w:val="nil"/>
            </w:tcBorders>
            <w:shd w:val="clear" w:color="auto" w:fill="auto"/>
            <w:noWrap/>
            <w:vAlign w:val="bottom"/>
            <w:hideMark/>
          </w:tcPr>
          <w:p w14:paraId="31D2D57E" w14:textId="58AD2417"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25,84 %</w:t>
            </w:r>
          </w:p>
        </w:tc>
        <w:tc>
          <w:tcPr>
            <w:tcW w:w="1712" w:type="dxa"/>
            <w:tcBorders>
              <w:top w:val="nil"/>
              <w:left w:val="nil"/>
              <w:bottom w:val="single" w:sz="4" w:space="0" w:color="auto"/>
              <w:right w:val="nil"/>
            </w:tcBorders>
            <w:shd w:val="clear" w:color="auto" w:fill="auto"/>
            <w:noWrap/>
            <w:vAlign w:val="center"/>
            <w:hideMark/>
          </w:tcPr>
          <w:p w14:paraId="00550577" w14:textId="4452B39F"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-19,5 p.b.</w:t>
            </w:r>
          </w:p>
        </w:tc>
      </w:tr>
      <w:tr w:rsidR="00033A3F" w:rsidRPr="00033A3F" w14:paraId="4E416745"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3DED1CEE"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808" w:type="dxa"/>
            <w:tcBorders>
              <w:top w:val="nil"/>
              <w:left w:val="nil"/>
              <w:bottom w:val="single" w:sz="4" w:space="0" w:color="auto"/>
              <w:right w:val="nil"/>
            </w:tcBorders>
            <w:shd w:val="clear" w:color="auto" w:fill="auto"/>
            <w:noWrap/>
            <w:vAlign w:val="bottom"/>
            <w:hideMark/>
          </w:tcPr>
          <w:p w14:paraId="4C7BB266" w14:textId="2B1ACC59"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60,30 %</w:t>
            </w:r>
          </w:p>
        </w:tc>
        <w:tc>
          <w:tcPr>
            <w:tcW w:w="1712" w:type="dxa"/>
            <w:tcBorders>
              <w:top w:val="nil"/>
              <w:left w:val="nil"/>
              <w:bottom w:val="single" w:sz="4" w:space="0" w:color="auto"/>
              <w:right w:val="nil"/>
            </w:tcBorders>
            <w:shd w:val="clear" w:color="auto" w:fill="auto"/>
            <w:noWrap/>
            <w:vAlign w:val="center"/>
            <w:hideMark/>
          </w:tcPr>
          <w:p w14:paraId="4077C806" w14:textId="21A023CE"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p.b.</w:t>
            </w:r>
          </w:p>
        </w:tc>
      </w:tr>
      <w:tr w:rsidR="00033A3F" w:rsidRPr="00033A3F" w14:paraId="0D6BD43E"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3E239AC8"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808" w:type="dxa"/>
            <w:tcBorders>
              <w:top w:val="nil"/>
              <w:left w:val="nil"/>
              <w:bottom w:val="single" w:sz="4" w:space="0" w:color="auto"/>
              <w:right w:val="nil"/>
            </w:tcBorders>
            <w:shd w:val="clear" w:color="auto" w:fill="auto"/>
            <w:noWrap/>
            <w:vAlign w:val="bottom"/>
            <w:hideMark/>
          </w:tcPr>
          <w:p w14:paraId="76F5C6E4" w14:textId="261EA20E"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64,29 %</w:t>
            </w:r>
          </w:p>
        </w:tc>
        <w:tc>
          <w:tcPr>
            <w:tcW w:w="1712" w:type="dxa"/>
            <w:tcBorders>
              <w:top w:val="nil"/>
              <w:left w:val="nil"/>
              <w:bottom w:val="single" w:sz="4" w:space="0" w:color="auto"/>
              <w:right w:val="nil"/>
            </w:tcBorders>
            <w:shd w:val="clear" w:color="auto" w:fill="auto"/>
            <w:noWrap/>
            <w:vAlign w:val="center"/>
            <w:hideMark/>
          </w:tcPr>
          <w:p w14:paraId="4DDC09AB" w14:textId="288251E5"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-8,6 p.b.</w:t>
            </w:r>
          </w:p>
        </w:tc>
      </w:tr>
      <w:tr w:rsidR="00033A3F" w:rsidRPr="00033A3F" w14:paraId="3351FC33" w14:textId="77777777" w:rsidTr="005F0F84">
        <w:trPr>
          <w:trHeight w:val="330"/>
        </w:trPr>
        <w:tc>
          <w:tcPr>
            <w:tcW w:w="2780" w:type="dxa"/>
            <w:tcBorders>
              <w:top w:val="nil"/>
              <w:left w:val="nil"/>
              <w:bottom w:val="double" w:sz="6" w:space="0" w:color="auto"/>
              <w:right w:val="nil"/>
            </w:tcBorders>
            <w:shd w:val="clear" w:color="auto" w:fill="auto"/>
            <w:noWrap/>
            <w:vAlign w:val="bottom"/>
            <w:hideMark/>
          </w:tcPr>
          <w:p w14:paraId="7CBA104F"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808" w:type="dxa"/>
            <w:tcBorders>
              <w:top w:val="nil"/>
              <w:left w:val="nil"/>
              <w:bottom w:val="double" w:sz="6" w:space="0" w:color="auto"/>
              <w:right w:val="nil"/>
            </w:tcBorders>
            <w:shd w:val="clear" w:color="auto" w:fill="auto"/>
            <w:noWrap/>
            <w:vAlign w:val="bottom"/>
            <w:hideMark/>
          </w:tcPr>
          <w:p w14:paraId="091092F9" w14:textId="0C54C9C5"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41,48 %</w:t>
            </w:r>
          </w:p>
        </w:tc>
        <w:tc>
          <w:tcPr>
            <w:tcW w:w="1712" w:type="dxa"/>
            <w:tcBorders>
              <w:top w:val="nil"/>
              <w:left w:val="nil"/>
              <w:bottom w:val="nil"/>
              <w:right w:val="nil"/>
            </w:tcBorders>
            <w:shd w:val="clear" w:color="auto" w:fill="auto"/>
            <w:noWrap/>
            <w:vAlign w:val="center"/>
            <w:hideMark/>
          </w:tcPr>
          <w:p w14:paraId="5BE32010" w14:textId="6DE805A1"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-21,9 p.b.</w:t>
            </w:r>
          </w:p>
        </w:tc>
      </w:tr>
      <w:tr w:rsidR="00033A3F" w:rsidRPr="00033A3F" w14:paraId="44EE5E5E" w14:textId="77777777" w:rsidTr="005F0F84">
        <w:trPr>
          <w:trHeight w:val="345"/>
        </w:trPr>
        <w:tc>
          <w:tcPr>
            <w:tcW w:w="2780" w:type="dxa"/>
            <w:tcBorders>
              <w:top w:val="nil"/>
              <w:left w:val="nil"/>
              <w:bottom w:val="double" w:sz="6" w:space="0" w:color="auto"/>
              <w:right w:val="nil"/>
            </w:tcBorders>
            <w:shd w:val="clear" w:color="auto" w:fill="auto"/>
            <w:noWrap/>
            <w:vAlign w:val="bottom"/>
            <w:hideMark/>
          </w:tcPr>
          <w:p w14:paraId="6B450A10" w14:textId="77777777" w:rsidR="005F0F84" w:rsidRPr="00033A3F" w:rsidRDefault="005F0F84" w:rsidP="005F0F84">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808" w:type="dxa"/>
            <w:tcBorders>
              <w:top w:val="nil"/>
              <w:left w:val="nil"/>
              <w:bottom w:val="double" w:sz="6" w:space="0" w:color="auto"/>
              <w:right w:val="nil"/>
            </w:tcBorders>
            <w:shd w:val="clear" w:color="auto" w:fill="auto"/>
            <w:noWrap/>
            <w:vAlign w:val="bottom"/>
            <w:hideMark/>
          </w:tcPr>
          <w:p w14:paraId="52A00A56" w14:textId="7EB4CACE" w:rsidR="005F0F84" w:rsidRPr="00033A3F" w:rsidRDefault="005F0F84" w:rsidP="005F0F8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66,66 %</w:t>
            </w:r>
          </w:p>
        </w:tc>
        <w:tc>
          <w:tcPr>
            <w:tcW w:w="1712" w:type="dxa"/>
            <w:tcBorders>
              <w:top w:val="double" w:sz="6" w:space="0" w:color="auto"/>
              <w:left w:val="nil"/>
              <w:bottom w:val="double" w:sz="6" w:space="0" w:color="auto"/>
              <w:right w:val="nil"/>
            </w:tcBorders>
            <w:shd w:val="clear" w:color="auto" w:fill="auto"/>
            <w:noWrap/>
            <w:vAlign w:val="center"/>
            <w:hideMark/>
          </w:tcPr>
          <w:p w14:paraId="60B96F44" w14:textId="496C85A3" w:rsidR="005F0F84" w:rsidRPr="00033A3F" w:rsidRDefault="005F0F84" w:rsidP="005F0F84">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-3,1 p.b.</w:t>
            </w:r>
          </w:p>
        </w:tc>
      </w:tr>
      <w:tr w:rsidR="00033A3F" w:rsidRPr="00033A3F" w14:paraId="165ADB3D" w14:textId="77777777" w:rsidTr="005F0F84">
        <w:trPr>
          <w:trHeight w:val="330"/>
        </w:trPr>
        <w:tc>
          <w:tcPr>
            <w:tcW w:w="2780" w:type="dxa"/>
            <w:tcBorders>
              <w:top w:val="nil"/>
              <w:left w:val="nil"/>
              <w:bottom w:val="nil"/>
              <w:right w:val="nil"/>
            </w:tcBorders>
            <w:shd w:val="clear" w:color="auto" w:fill="auto"/>
            <w:noWrap/>
            <w:vAlign w:val="bottom"/>
            <w:hideMark/>
          </w:tcPr>
          <w:p w14:paraId="07A70DC0" w14:textId="77777777" w:rsidR="005F0F84" w:rsidRPr="00033A3F" w:rsidRDefault="005F0F84" w:rsidP="005F0F84">
            <w:pPr>
              <w:spacing w:line="240" w:lineRule="auto"/>
              <w:jc w:val="right"/>
              <w:rPr>
                <w:rFonts w:eastAsia="Times New Roman"/>
                <w:b/>
                <w:bCs/>
                <w:color w:val="000000" w:themeColor="text1"/>
                <w:sz w:val="20"/>
                <w:szCs w:val="20"/>
                <w:lang w:eastAsia="cs-CZ"/>
              </w:rPr>
            </w:pPr>
          </w:p>
        </w:tc>
        <w:tc>
          <w:tcPr>
            <w:tcW w:w="1808" w:type="dxa"/>
            <w:tcBorders>
              <w:top w:val="nil"/>
              <w:left w:val="nil"/>
              <w:bottom w:val="nil"/>
              <w:right w:val="nil"/>
            </w:tcBorders>
            <w:shd w:val="clear" w:color="auto" w:fill="auto"/>
            <w:noWrap/>
            <w:vAlign w:val="bottom"/>
            <w:hideMark/>
          </w:tcPr>
          <w:p w14:paraId="2EC72ACF" w14:textId="77777777" w:rsidR="005F0F84" w:rsidRPr="00033A3F" w:rsidRDefault="005F0F84" w:rsidP="005F0F84">
            <w:pPr>
              <w:spacing w:line="240" w:lineRule="auto"/>
              <w:jc w:val="left"/>
              <w:rPr>
                <w:rFonts w:ascii="Times New Roman" w:eastAsia="Times New Roman" w:hAnsi="Times New Roman"/>
                <w:color w:val="000000" w:themeColor="text1"/>
                <w:sz w:val="20"/>
                <w:szCs w:val="20"/>
                <w:lang w:eastAsia="cs-CZ"/>
              </w:rPr>
            </w:pPr>
          </w:p>
        </w:tc>
        <w:tc>
          <w:tcPr>
            <w:tcW w:w="1712" w:type="dxa"/>
            <w:tcBorders>
              <w:top w:val="nil"/>
              <w:left w:val="nil"/>
              <w:bottom w:val="nil"/>
              <w:right w:val="nil"/>
            </w:tcBorders>
            <w:shd w:val="clear" w:color="auto" w:fill="auto"/>
            <w:noWrap/>
            <w:vAlign w:val="bottom"/>
            <w:hideMark/>
          </w:tcPr>
          <w:p w14:paraId="29C2198C" w14:textId="77777777" w:rsidR="005F0F84" w:rsidRPr="00033A3F" w:rsidRDefault="005F0F84" w:rsidP="005F0F84">
            <w:pPr>
              <w:spacing w:line="240" w:lineRule="auto"/>
              <w:jc w:val="left"/>
              <w:rPr>
                <w:rFonts w:ascii="Times New Roman" w:eastAsia="Times New Roman" w:hAnsi="Times New Roman"/>
                <w:color w:val="000000" w:themeColor="text1"/>
                <w:sz w:val="20"/>
                <w:szCs w:val="20"/>
                <w:lang w:eastAsia="cs-CZ"/>
              </w:rPr>
            </w:pPr>
          </w:p>
        </w:tc>
      </w:tr>
    </w:tbl>
    <w:p w14:paraId="00ED92BA" w14:textId="605B5CE2" w:rsidR="005F0F84" w:rsidRPr="00033A3F" w:rsidRDefault="005F0F84" w:rsidP="004C0D35">
      <w:pPr>
        <w:pStyle w:val="OdstavecASR"/>
        <w:rPr>
          <w:rStyle w:val="OdstavecASRChar"/>
          <w:color w:val="000000" w:themeColor="text1"/>
        </w:rPr>
      </w:pPr>
      <w:r w:rsidRPr="00033A3F">
        <w:rPr>
          <w:color w:val="000000" w:themeColor="text1"/>
        </w:rPr>
        <w:t>KS Praha nevede veřejné rejstříky právnických a fyzických osob, a proto ani nevyřizuje věci s</w:t>
      </w:r>
      <w:r w:rsidR="00456B23" w:rsidRPr="00033A3F">
        <w:rPr>
          <w:color w:val="000000" w:themeColor="text1"/>
        </w:rPr>
        <w:t> </w:t>
      </w:r>
      <w:r w:rsidRPr="00033A3F">
        <w:rPr>
          <w:color w:val="000000" w:themeColor="text1"/>
        </w:rPr>
        <w:t xml:space="preserve">předmětem </w:t>
      </w:r>
      <w:r w:rsidRPr="00033A3F">
        <w:rPr>
          <w:i/>
          <w:color w:val="000000" w:themeColor="text1"/>
        </w:rPr>
        <w:t>zrušení a jmenování likvidátora u jiných korporací (spolky, odborové organizace atd.)</w:t>
      </w:r>
      <w:r w:rsidRPr="00033A3F">
        <w:rPr>
          <w:color w:val="000000" w:themeColor="text1"/>
        </w:rPr>
        <w:t xml:space="preserve"> a </w:t>
      </w:r>
      <w:r w:rsidRPr="00033A3F">
        <w:rPr>
          <w:i/>
          <w:color w:val="000000" w:themeColor="text1"/>
        </w:rPr>
        <w:t>právní vztahy související se zrušením a likvidací obchodní korporace</w:t>
      </w:r>
      <w:r w:rsidRPr="00033A3F">
        <w:rPr>
          <w:color w:val="000000" w:themeColor="text1"/>
        </w:rPr>
        <w:t xml:space="preserve">. Pro Středočeský kraj tuto agendu vyřizuje MS Praha a zřejmě i proto (spolu s faktem, že se jedná o sídlo mnoha firem) vykazuje nejvyšší podíl těchto sporů. Čtyři z pěti obchodních věcí u tohoto soudu totiž spadají do výše zmíněných kategorií. Nejnižší má tento podíl KS Ústí nad Labem – 25,84 %. Ve srovnání s loňskem u něj </w:t>
      </w:r>
      <w:r w:rsidR="00952C0A" w:rsidRPr="00033A3F">
        <w:rPr>
          <w:color w:val="000000" w:themeColor="text1"/>
        </w:rPr>
        <w:t>i u </w:t>
      </w:r>
      <w:r w:rsidRPr="00033A3F">
        <w:rPr>
          <w:color w:val="000000" w:themeColor="text1"/>
        </w:rPr>
        <w:t xml:space="preserve">jiných soudů došlo k výraznému </w:t>
      </w:r>
      <w:r w:rsidR="00532767" w:rsidRPr="00033A3F">
        <w:rPr>
          <w:color w:val="000000" w:themeColor="text1"/>
        </w:rPr>
        <w:t xml:space="preserve">poklesu </w:t>
      </w:r>
      <w:r w:rsidRPr="00033A3F">
        <w:rPr>
          <w:color w:val="000000" w:themeColor="text1"/>
        </w:rPr>
        <w:t xml:space="preserve">podílu. </w:t>
      </w:r>
      <w:r w:rsidR="00D11607" w:rsidRPr="00033A3F">
        <w:rPr>
          <w:color w:val="000000" w:themeColor="text1"/>
        </w:rPr>
        <w:t>To se však netýká</w:t>
      </w:r>
      <w:r w:rsidRPr="00033A3F">
        <w:rPr>
          <w:color w:val="000000" w:themeColor="text1"/>
        </w:rPr>
        <w:t xml:space="preserve"> soudu, který jich vyřizuje zdaleka nejvíce</w:t>
      </w:r>
      <w:r w:rsidR="00D11607" w:rsidRPr="00033A3F">
        <w:rPr>
          <w:color w:val="000000" w:themeColor="text1"/>
        </w:rPr>
        <w:t xml:space="preserve">, tedy </w:t>
      </w:r>
      <w:r w:rsidRPr="00033A3F">
        <w:rPr>
          <w:color w:val="000000" w:themeColor="text1"/>
        </w:rPr>
        <w:t>MS Praha</w:t>
      </w:r>
      <w:r w:rsidR="00D11607" w:rsidRPr="00033A3F">
        <w:rPr>
          <w:color w:val="000000" w:themeColor="text1"/>
        </w:rPr>
        <w:t>, kde podíl</w:t>
      </w:r>
      <w:r w:rsidRPr="00033A3F">
        <w:rPr>
          <w:color w:val="000000" w:themeColor="text1"/>
        </w:rPr>
        <w:t xml:space="preserve"> </w:t>
      </w:r>
      <w:r w:rsidR="00532767" w:rsidRPr="00033A3F">
        <w:rPr>
          <w:color w:val="000000" w:themeColor="text1"/>
        </w:rPr>
        <w:t>zůstává stabilní</w:t>
      </w:r>
      <w:r w:rsidRPr="00033A3F">
        <w:rPr>
          <w:color w:val="000000" w:themeColor="text1"/>
        </w:rPr>
        <w:t>.</w:t>
      </w:r>
    </w:p>
    <w:p w14:paraId="059C9DDF" w14:textId="77777777" w:rsidR="005F0F84" w:rsidRPr="00033A3F" w:rsidRDefault="005F0F84" w:rsidP="00105C44">
      <w:pPr>
        <w:rPr>
          <w:color w:val="000000" w:themeColor="text1"/>
        </w:rPr>
      </w:pPr>
    </w:p>
    <w:p w14:paraId="550AFBA1" w14:textId="6409171F" w:rsidR="008430BD" w:rsidRPr="00033A3F" w:rsidRDefault="008430BD" w:rsidP="00687F42">
      <w:pPr>
        <w:pStyle w:val="Nadpis2"/>
        <w:pageBreakBefore/>
        <w:numPr>
          <w:ilvl w:val="1"/>
          <w:numId w:val="1"/>
        </w:numPr>
        <w:spacing w:before="120"/>
        <w:ind w:left="578" w:hanging="578"/>
      </w:pPr>
      <w:bookmarkStart w:id="1241" w:name="_Toc515871253"/>
      <w:bookmarkStart w:id="1242" w:name="_Toc106092758"/>
      <w:bookmarkStart w:id="1243" w:name="_Toc169250834"/>
      <w:bookmarkStart w:id="1244" w:name="_Toc193530996"/>
      <w:bookmarkStart w:id="1245" w:name="_Toc193957052"/>
      <w:bookmarkStart w:id="1246" w:name="_Toc203032742"/>
      <w:r w:rsidRPr="00033A3F">
        <w:lastRenderedPageBreak/>
        <w:t>Civilní odvolací agenda</w:t>
      </w:r>
      <w:bookmarkEnd w:id="1241"/>
      <w:bookmarkEnd w:id="1242"/>
      <w:bookmarkEnd w:id="1243"/>
      <w:bookmarkEnd w:id="1244"/>
      <w:bookmarkEnd w:id="1245"/>
      <w:bookmarkEnd w:id="1246"/>
    </w:p>
    <w:p w14:paraId="21BE93D6" w14:textId="091693EA" w:rsidR="005F0F84" w:rsidRPr="00033A3F" w:rsidRDefault="005F0F84" w:rsidP="005F0F84">
      <w:pPr>
        <w:pStyle w:val="OdstavecASR"/>
        <w:rPr>
          <w:color w:val="000000" w:themeColor="text1"/>
        </w:rPr>
      </w:pPr>
      <w:r w:rsidRPr="00033A3F">
        <w:rPr>
          <w:color w:val="000000" w:themeColor="text1"/>
        </w:rPr>
        <w:t>Odvolací civilní agenda je ve výkazech vedena pod označením Co a zahrnuje širokou škálu věcí. Jedná se o všechny druhy civilního řízení, ve kterých bylo podáno odvolání proti rozhodnutí soudů prvního stupně, včetně odvolání proti rozhodnutí soudního exekutora. Do agendy Co tedy spadají i odvolání ve věcech, které nejsou v kapitolách </w:t>
      </w:r>
      <w:r w:rsidRPr="00033A3F">
        <w:rPr>
          <w:color w:val="000000" w:themeColor="text1"/>
        </w:rPr>
        <w:fldChar w:fldCharType="begin"/>
      </w:r>
      <w:r w:rsidRPr="00033A3F">
        <w:rPr>
          <w:color w:val="000000" w:themeColor="text1"/>
        </w:rPr>
        <w:instrText xml:space="preserve"> REF _Ref9425277 \r \h  \* MERGEFORMAT </w:instrText>
      </w:r>
      <w:r w:rsidRPr="00033A3F">
        <w:rPr>
          <w:color w:val="000000" w:themeColor="text1"/>
        </w:rPr>
      </w:r>
      <w:r w:rsidRPr="00033A3F">
        <w:rPr>
          <w:color w:val="000000" w:themeColor="text1"/>
        </w:rPr>
        <w:fldChar w:fldCharType="separate"/>
      </w:r>
      <w:r w:rsidR="00163B51">
        <w:rPr>
          <w:color w:val="000000" w:themeColor="text1"/>
        </w:rPr>
        <w:t>2.2</w:t>
      </w:r>
      <w:r w:rsidRPr="00033A3F">
        <w:rPr>
          <w:color w:val="000000" w:themeColor="text1"/>
        </w:rPr>
        <w:fldChar w:fldCharType="end"/>
      </w:r>
      <w:r w:rsidRPr="00033A3F">
        <w:rPr>
          <w:color w:val="000000" w:themeColor="text1"/>
        </w:rPr>
        <w:t xml:space="preserve"> a 2.4 zahrnuty. Podkapitoly, které se zabývají vyřizováním věcí a DT, zkoumají celý rejstřík Co. U délky řízení to není možné, protože do statistických listů jsou zaneseny pouze pravomocně skončené věci v hlavních agendách. Uvedené délky řízení se tedy týkají pouze věcí agendy C u okresních soudů, v nichž bylo podáno odvolání </w:t>
      </w:r>
      <w:r w:rsidR="00E13195" w:rsidRPr="00033A3F">
        <w:rPr>
          <w:color w:val="000000" w:themeColor="text1"/>
        </w:rPr>
        <w:t>a </w:t>
      </w:r>
      <w:r w:rsidRPr="00033A3F">
        <w:rPr>
          <w:color w:val="000000" w:themeColor="text1"/>
        </w:rPr>
        <w:t>(</w:t>
      </w:r>
      <w:r w:rsidR="00645470" w:rsidRPr="00033A3F">
        <w:rPr>
          <w:color w:val="000000" w:themeColor="text1"/>
        </w:rPr>
        <w:t>samostatně</w:t>
      </w:r>
      <w:r w:rsidRPr="00033A3F">
        <w:rPr>
          <w:color w:val="000000" w:themeColor="text1"/>
        </w:rPr>
        <w:t xml:space="preserve">) </w:t>
      </w:r>
      <w:r w:rsidR="004678DB" w:rsidRPr="00033A3F">
        <w:rPr>
          <w:color w:val="000000" w:themeColor="text1"/>
        </w:rPr>
        <w:t xml:space="preserve">věcí </w:t>
      </w:r>
      <w:r w:rsidRPr="00033A3F">
        <w:rPr>
          <w:color w:val="000000" w:themeColor="text1"/>
        </w:rPr>
        <w:t>vedených v rejstříku P a Nc, v nichž bylo podáno odvolání</w:t>
      </w:r>
      <w:r w:rsidR="004678DB" w:rsidRPr="00033A3F">
        <w:rPr>
          <w:color w:val="000000" w:themeColor="text1"/>
        </w:rPr>
        <w:t xml:space="preserve"> a rozhodnutí soudu prvního stupně v takové věci již nabylo právní moci.</w:t>
      </w:r>
      <w:r w:rsidRPr="00033A3F">
        <w:rPr>
          <w:color w:val="000000" w:themeColor="text1"/>
        </w:rPr>
        <w:t xml:space="preserve"> Data byla očištěna stejným způsobem jako u civilní agendy u okresních soudů. Data ze statistických listů se týkají pouze odvolání, která byla podána v meritu věci.</w:t>
      </w:r>
    </w:p>
    <w:p w14:paraId="07AA639E" w14:textId="77777777" w:rsidR="005F5C4B" w:rsidRPr="00033A3F" w:rsidRDefault="005F5C4B" w:rsidP="005F5C4B">
      <w:pPr>
        <w:pStyle w:val="Nadpis3"/>
        <w:numPr>
          <w:ilvl w:val="2"/>
          <w:numId w:val="1"/>
        </w:numPr>
        <w:rPr>
          <w:color w:val="000000" w:themeColor="text1"/>
        </w:rPr>
      </w:pPr>
      <w:bookmarkStart w:id="1247" w:name="_Toc109801370"/>
      <w:bookmarkStart w:id="1248" w:name="_Toc169250835"/>
      <w:bookmarkStart w:id="1249" w:name="_Toc193530997"/>
      <w:bookmarkStart w:id="1250" w:name="_Toc193957053"/>
      <w:bookmarkStart w:id="1251" w:name="_Toc203032743"/>
      <w:r w:rsidRPr="00033A3F">
        <w:rPr>
          <w:color w:val="000000" w:themeColor="text1"/>
        </w:rPr>
        <w:t>Délka řízení</w:t>
      </w:r>
      <w:bookmarkEnd w:id="1247"/>
      <w:bookmarkEnd w:id="1248"/>
      <w:bookmarkEnd w:id="1249"/>
      <w:bookmarkEnd w:id="1250"/>
      <w:bookmarkEnd w:id="1251"/>
    </w:p>
    <w:p w14:paraId="37886902" w14:textId="0EFD05D3" w:rsidR="005F0F84" w:rsidRPr="00033A3F" w:rsidRDefault="005F0F84" w:rsidP="005F0F84">
      <w:pPr>
        <w:pStyle w:val="OdstavecASR"/>
        <w:rPr>
          <w:color w:val="000000" w:themeColor="text1"/>
        </w:rPr>
      </w:pPr>
      <w:r w:rsidRPr="00033A3F">
        <w:rPr>
          <w:color w:val="000000" w:themeColor="text1"/>
        </w:rPr>
        <w:t>Jedná se o délku řízení v kalendářních dnech ode dne nápadu u odvolacího soudu do dne vyřízení věci odvolacím soudem. Délky řízení jsou výrazně nižší než délky řízení prvostupňové agendy u OS</w:t>
      </w:r>
      <w:r w:rsidR="00056804" w:rsidRPr="00033A3F">
        <w:rPr>
          <w:color w:val="000000" w:themeColor="text1"/>
        </w:rPr>
        <w:t>;</w:t>
      </w:r>
      <w:r w:rsidRPr="00033A3F">
        <w:rPr>
          <w:color w:val="000000" w:themeColor="text1"/>
        </w:rPr>
        <w:t xml:space="preserve"> díky razantnímu snižování délek řízení </w:t>
      </w:r>
      <w:r w:rsidR="004678DB" w:rsidRPr="00033A3F">
        <w:rPr>
          <w:color w:val="000000" w:themeColor="text1"/>
        </w:rPr>
        <w:t>agendy C</w:t>
      </w:r>
      <w:r w:rsidRPr="00033A3F">
        <w:rPr>
          <w:color w:val="000000" w:themeColor="text1"/>
        </w:rPr>
        <w:t xml:space="preserve"> u OS již </w:t>
      </w:r>
      <w:r w:rsidR="00056804" w:rsidRPr="00033A3F">
        <w:rPr>
          <w:color w:val="000000" w:themeColor="text1"/>
        </w:rPr>
        <w:t xml:space="preserve">nicméně </w:t>
      </w:r>
      <w:r w:rsidRPr="00033A3F">
        <w:rPr>
          <w:color w:val="000000" w:themeColor="text1"/>
        </w:rPr>
        <w:t xml:space="preserve">nejde v případě průměrné hodnoty o 3,6násobek jako v roce 2014, ale přibližně o dvojnásobek. </w:t>
      </w:r>
      <w:r w:rsidR="00056804" w:rsidRPr="00033A3F">
        <w:rPr>
          <w:color w:val="000000" w:themeColor="text1"/>
        </w:rPr>
        <w:t>R</w:t>
      </w:r>
      <w:r w:rsidRPr="00033A3F">
        <w:rPr>
          <w:color w:val="000000" w:themeColor="text1"/>
        </w:rPr>
        <w:t xml:space="preserve">ozdíl je dán tím, že soud, který rozhodoval v prvním stupni, se věcí zabývá obšírněji oproti soudu odvolacímu. Krajský soud </w:t>
      </w:r>
      <w:r w:rsidR="00056804" w:rsidRPr="00033A3F">
        <w:rPr>
          <w:color w:val="000000" w:themeColor="text1"/>
        </w:rPr>
        <w:t xml:space="preserve">totiž </w:t>
      </w:r>
      <w:r w:rsidRPr="00033A3F">
        <w:rPr>
          <w:color w:val="000000" w:themeColor="text1"/>
        </w:rPr>
        <w:t>přezkoumává rozhodnutí OS pouze v mezích podaného odvolání a až na výjimky nezjišťuje skutkový stav.</w:t>
      </w:r>
    </w:p>
    <w:p w14:paraId="1B31CC6D" w14:textId="39798378" w:rsidR="00F910C2" w:rsidRPr="00033A3F" w:rsidRDefault="00F910C2" w:rsidP="004C0D35">
      <w:pPr>
        <w:pStyle w:val="OdstavecASR"/>
        <w:keepNext/>
        <w:outlineLvl w:val="3"/>
        <w:rPr>
          <w:b/>
          <w:bCs/>
          <w:color w:val="000000" w:themeColor="text1"/>
        </w:rPr>
      </w:pPr>
      <w:r w:rsidRPr="00033A3F">
        <w:rPr>
          <w:b/>
          <w:bCs/>
          <w:color w:val="000000" w:themeColor="text1"/>
        </w:rPr>
        <w:t>Rejstřík C u OS</w:t>
      </w:r>
    </w:p>
    <w:p w14:paraId="0731414E" w14:textId="2C3BDB12" w:rsidR="005F0F84" w:rsidRPr="00033A3F" w:rsidRDefault="005F0F84" w:rsidP="005F0F84">
      <w:pPr>
        <w:pStyle w:val="Podnadpis"/>
        <w:numPr>
          <w:ilvl w:val="0"/>
          <w:numId w:val="0"/>
        </w:numPr>
        <w:rPr>
          <w:color w:val="000000" w:themeColor="text1"/>
        </w:rPr>
      </w:pPr>
      <w:bookmarkStart w:id="1252" w:name="_Toc43841435"/>
      <w:bookmarkStart w:id="1253" w:name="_Toc75952238"/>
      <w:bookmarkStart w:id="1254" w:name="_Toc106106695"/>
      <w:bookmarkStart w:id="1255" w:name="_Toc109802019"/>
      <w:bookmarkStart w:id="1256" w:name="_Toc144104170"/>
      <w:bookmarkStart w:id="1257" w:name="_Toc169250982"/>
      <w:bookmarkStart w:id="1258" w:name="_Toc174080668"/>
      <w:bookmarkStart w:id="1259" w:name="_Toc193530819"/>
      <w:bookmarkStart w:id="1260" w:name="_Toc193634093"/>
      <w:bookmarkStart w:id="1261" w:name="_Toc20303289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64</w:t>
      </w:r>
      <w:r w:rsidRPr="00033A3F">
        <w:rPr>
          <w:color w:val="000000" w:themeColor="text1"/>
        </w:rPr>
        <w:fldChar w:fldCharType="end"/>
      </w:r>
      <w:r w:rsidRPr="00033A3F">
        <w:rPr>
          <w:color w:val="000000" w:themeColor="text1"/>
        </w:rPr>
        <w:t>: KS – délka odvolacího civilního řízení v letech 2015–20</w:t>
      </w:r>
      <w:bookmarkEnd w:id="1252"/>
      <w:r w:rsidRPr="00033A3F">
        <w:rPr>
          <w:color w:val="000000" w:themeColor="text1"/>
        </w:rPr>
        <w:t>2</w:t>
      </w:r>
      <w:bookmarkEnd w:id="1253"/>
      <w:bookmarkEnd w:id="1254"/>
      <w:bookmarkEnd w:id="1255"/>
      <w:bookmarkEnd w:id="1256"/>
      <w:bookmarkEnd w:id="1257"/>
      <w:bookmarkEnd w:id="1258"/>
      <w:r w:rsidR="00F910C2" w:rsidRPr="00033A3F">
        <w:rPr>
          <w:color w:val="000000" w:themeColor="text1"/>
        </w:rPr>
        <w:t>4</w:t>
      </w:r>
      <w:r w:rsidRPr="00033A3F">
        <w:rPr>
          <w:color w:val="000000" w:themeColor="text1"/>
        </w:rPr>
        <w:t xml:space="preserve"> (rejstřík C)</w:t>
      </w:r>
      <w:bookmarkEnd w:id="1259"/>
      <w:bookmarkEnd w:id="1260"/>
      <w:bookmarkEnd w:id="1261"/>
    </w:p>
    <w:p w14:paraId="213C1F81" w14:textId="60B0BCF0" w:rsidR="00F910C2" w:rsidRPr="00033A3F" w:rsidRDefault="00F910C2" w:rsidP="005F0F84">
      <w:pPr>
        <w:rPr>
          <w:color w:val="000000" w:themeColor="text1"/>
        </w:rPr>
      </w:pPr>
      <w:r w:rsidRPr="00033A3F">
        <w:rPr>
          <w:noProof/>
          <w:color w:val="000000" w:themeColor="text1"/>
          <w:lang w:eastAsia="cs-CZ"/>
        </w:rPr>
        <w:drawing>
          <wp:inline distT="0" distB="0" distL="0" distR="0" wp14:anchorId="2D03CBCA" wp14:editId="378702C4">
            <wp:extent cx="5029200" cy="3657600"/>
            <wp:effectExtent l="0" t="0" r="0" b="0"/>
            <wp:docPr id="452851933"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9B7CB69" w14:textId="42E18C6C" w:rsidR="00F910C2" w:rsidRPr="00033A3F" w:rsidRDefault="00F910C2" w:rsidP="00F910C2">
      <w:pPr>
        <w:pStyle w:val="Podnadpis"/>
        <w:rPr>
          <w:color w:val="000000" w:themeColor="text1"/>
        </w:rPr>
      </w:pPr>
      <w:bookmarkStart w:id="1262" w:name="_Toc515871475"/>
      <w:bookmarkStart w:id="1263" w:name="_Toc11133243"/>
      <w:bookmarkStart w:id="1264" w:name="_Toc43931221"/>
      <w:bookmarkStart w:id="1265" w:name="_Toc75952354"/>
      <w:bookmarkStart w:id="1266" w:name="_Toc106106810"/>
      <w:bookmarkStart w:id="1267" w:name="_Toc109802133"/>
      <w:bookmarkStart w:id="1268" w:name="_Toc144104291"/>
      <w:bookmarkStart w:id="1269" w:name="_Toc169251105"/>
      <w:bookmarkStart w:id="1270" w:name="_Toc174080791"/>
      <w:bookmarkStart w:id="1271" w:name="_Toc193530918"/>
      <w:bookmarkStart w:id="1272" w:name="_Toc194045615"/>
      <w:bookmarkStart w:id="1273" w:name="_Toc199495025"/>
      <w:bookmarkStart w:id="1274" w:name="_Toc203033086"/>
      <w:bookmarkStart w:id="1275" w:name="_Toc203033164"/>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44</w:t>
      </w:r>
      <w:r w:rsidRPr="00033A3F">
        <w:rPr>
          <w:color w:val="000000" w:themeColor="text1"/>
        </w:rPr>
        <w:fldChar w:fldCharType="end"/>
      </w:r>
      <w:r w:rsidRPr="00033A3F">
        <w:rPr>
          <w:color w:val="000000" w:themeColor="text1"/>
        </w:rPr>
        <w:t>: KS – délky odvolacího civilního řízení dle soudů</w:t>
      </w:r>
      <w:bookmarkEnd w:id="1262"/>
      <w:bookmarkEnd w:id="1263"/>
      <w:bookmarkEnd w:id="1264"/>
      <w:bookmarkEnd w:id="1265"/>
      <w:bookmarkEnd w:id="1266"/>
      <w:bookmarkEnd w:id="1267"/>
      <w:bookmarkEnd w:id="1268"/>
      <w:r w:rsidRPr="00033A3F">
        <w:rPr>
          <w:color w:val="000000" w:themeColor="text1"/>
        </w:rPr>
        <w:t>, 202</w:t>
      </w:r>
      <w:bookmarkEnd w:id="1269"/>
      <w:bookmarkEnd w:id="1270"/>
      <w:r w:rsidRPr="00033A3F">
        <w:rPr>
          <w:color w:val="000000" w:themeColor="text1"/>
        </w:rPr>
        <w:t>4</w:t>
      </w:r>
      <w:r w:rsidR="00EC7EFF" w:rsidRPr="00033A3F">
        <w:rPr>
          <w:color w:val="000000" w:themeColor="text1"/>
        </w:rPr>
        <w:t xml:space="preserve"> (rejstřík C)</w:t>
      </w:r>
      <w:bookmarkEnd w:id="1271"/>
      <w:bookmarkEnd w:id="1272"/>
      <w:bookmarkEnd w:id="1273"/>
      <w:bookmarkEnd w:id="1274"/>
      <w:bookmarkEnd w:id="1275"/>
    </w:p>
    <w:tbl>
      <w:tblPr>
        <w:tblW w:w="7520" w:type="dxa"/>
        <w:tblCellMar>
          <w:left w:w="70" w:type="dxa"/>
          <w:right w:w="70" w:type="dxa"/>
        </w:tblCellMar>
        <w:tblLook w:val="04A0" w:firstRow="1" w:lastRow="0" w:firstColumn="1" w:lastColumn="0" w:noHBand="0" w:noVBand="1"/>
      </w:tblPr>
      <w:tblGrid>
        <w:gridCol w:w="2480"/>
        <w:gridCol w:w="922"/>
        <w:gridCol w:w="758"/>
        <w:gridCol w:w="943"/>
        <w:gridCol w:w="737"/>
        <w:gridCol w:w="964"/>
        <w:gridCol w:w="716"/>
      </w:tblGrid>
      <w:tr w:rsidR="00033A3F" w:rsidRPr="00033A3F" w14:paraId="67B9C638" w14:textId="77777777" w:rsidTr="00F910C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F4E03F3"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7EFA69CC"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040BFB10" w14:textId="77777777" w:rsidTr="00F910C2">
        <w:trPr>
          <w:trHeight w:val="330"/>
        </w:trPr>
        <w:tc>
          <w:tcPr>
            <w:tcW w:w="2480" w:type="dxa"/>
            <w:vMerge/>
            <w:tcBorders>
              <w:top w:val="double" w:sz="6" w:space="0" w:color="auto"/>
              <w:left w:val="nil"/>
              <w:bottom w:val="double" w:sz="6" w:space="0" w:color="000000"/>
              <w:right w:val="nil"/>
            </w:tcBorders>
            <w:vAlign w:val="center"/>
            <w:hideMark/>
          </w:tcPr>
          <w:p w14:paraId="5CF65026" w14:textId="77777777" w:rsidR="00F910C2" w:rsidRPr="00033A3F" w:rsidRDefault="00F910C2" w:rsidP="00F910C2">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706D9AAB"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7D37C4C"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475431EC"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721E63C9" w14:textId="77777777" w:rsidTr="003D5F1A">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AAB3D7F"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7663232D"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w:t>
            </w:r>
          </w:p>
        </w:tc>
        <w:tc>
          <w:tcPr>
            <w:tcW w:w="758" w:type="dxa"/>
            <w:tcBorders>
              <w:top w:val="single" w:sz="4" w:space="0" w:color="auto"/>
              <w:left w:val="nil"/>
              <w:bottom w:val="single" w:sz="4" w:space="0" w:color="auto"/>
              <w:right w:val="nil"/>
            </w:tcBorders>
            <w:shd w:val="clear" w:color="auto" w:fill="auto"/>
            <w:noWrap/>
            <w:vAlign w:val="center"/>
            <w:hideMark/>
          </w:tcPr>
          <w:p w14:paraId="544960B8" w14:textId="1C73D46E"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43" w:type="dxa"/>
            <w:tcBorders>
              <w:top w:val="nil"/>
              <w:left w:val="single" w:sz="4" w:space="0" w:color="auto"/>
              <w:bottom w:val="single" w:sz="4" w:space="0" w:color="auto"/>
              <w:right w:val="nil"/>
            </w:tcBorders>
            <w:shd w:val="clear" w:color="auto" w:fill="auto"/>
            <w:noWrap/>
            <w:vAlign w:val="bottom"/>
            <w:hideMark/>
          </w:tcPr>
          <w:p w14:paraId="1E1057ED"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p>
        </w:tc>
        <w:tc>
          <w:tcPr>
            <w:tcW w:w="737" w:type="dxa"/>
            <w:tcBorders>
              <w:top w:val="nil"/>
              <w:left w:val="nil"/>
              <w:bottom w:val="single" w:sz="4" w:space="0" w:color="auto"/>
              <w:right w:val="single" w:sz="4" w:space="0" w:color="auto"/>
            </w:tcBorders>
            <w:shd w:val="clear" w:color="auto" w:fill="auto"/>
            <w:noWrap/>
            <w:vAlign w:val="center"/>
            <w:hideMark/>
          </w:tcPr>
          <w:p w14:paraId="7409D3D8" w14:textId="22A94965"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64" w:type="dxa"/>
            <w:tcBorders>
              <w:top w:val="single" w:sz="4" w:space="0" w:color="auto"/>
              <w:left w:val="nil"/>
              <w:bottom w:val="single" w:sz="4" w:space="0" w:color="auto"/>
              <w:right w:val="nil"/>
            </w:tcBorders>
            <w:shd w:val="clear" w:color="auto" w:fill="auto"/>
            <w:noWrap/>
            <w:vAlign w:val="bottom"/>
            <w:hideMark/>
          </w:tcPr>
          <w:p w14:paraId="381100E0"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116</w:t>
            </w:r>
          </w:p>
        </w:tc>
        <w:tc>
          <w:tcPr>
            <w:tcW w:w="716" w:type="dxa"/>
            <w:tcBorders>
              <w:top w:val="single" w:sz="4" w:space="0" w:color="auto"/>
              <w:left w:val="nil"/>
              <w:bottom w:val="single" w:sz="4" w:space="0" w:color="auto"/>
              <w:right w:val="nil"/>
            </w:tcBorders>
            <w:shd w:val="clear" w:color="auto" w:fill="auto"/>
            <w:noWrap/>
            <w:vAlign w:val="center"/>
            <w:hideMark/>
          </w:tcPr>
          <w:p w14:paraId="7F5B7181" w14:textId="53715B77"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033A3F" w:rsidRPr="00033A3F" w14:paraId="3E5A8878"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12E71507"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461E5C86"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89</w:t>
            </w:r>
          </w:p>
        </w:tc>
        <w:tc>
          <w:tcPr>
            <w:tcW w:w="758" w:type="dxa"/>
            <w:tcBorders>
              <w:top w:val="nil"/>
              <w:left w:val="nil"/>
              <w:bottom w:val="single" w:sz="4" w:space="0" w:color="auto"/>
              <w:right w:val="nil"/>
            </w:tcBorders>
            <w:shd w:val="clear" w:color="auto" w:fill="auto"/>
            <w:noWrap/>
            <w:vAlign w:val="center"/>
            <w:hideMark/>
          </w:tcPr>
          <w:p w14:paraId="15D05640" w14:textId="3ECED1C7"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3" w:type="dxa"/>
            <w:tcBorders>
              <w:top w:val="nil"/>
              <w:left w:val="single" w:sz="4" w:space="0" w:color="auto"/>
              <w:bottom w:val="single" w:sz="4" w:space="0" w:color="auto"/>
              <w:right w:val="nil"/>
            </w:tcBorders>
            <w:shd w:val="clear" w:color="auto" w:fill="auto"/>
            <w:noWrap/>
            <w:vAlign w:val="bottom"/>
            <w:hideMark/>
          </w:tcPr>
          <w:p w14:paraId="7489995B"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w:t>
            </w:r>
          </w:p>
        </w:tc>
        <w:tc>
          <w:tcPr>
            <w:tcW w:w="737" w:type="dxa"/>
            <w:tcBorders>
              <w:top w:val="nil"/>
              <w:left w:val="nil"/>
              <w:bottom w:val="single" w:sz="4" w:space="0" w:color="auto"/>
              <w:right w:val="single" w:sz="4" w:space="0" w:color="auto"/>
            </w:tcBorders>
            <w:shd w:val="clear" w:color="auto" w:fill="auto"/>
            <w:noWrap/>
            <w:vAlign w:val="center"/>
            <w:hideMark/>
          </w:tcPr>
          <w:p w14:paraId="5DCD3C88" w14:textId="1F528833"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964" w:type="dxa"/>
            <w:tcBorders>
              <w:top w:val="nil"/>
              <w:left w:val="nil"/>
              <w:bottom w:val="single" w:sz="4" w:space="0" w:color="auto"/>
              <w:right w:val="nil"/>
            </w:tcBorders>
            <w:shd w:val="clear" w:color="auto" w:fill="auto"/>
            <w:noWrap/>
            <w:vAlign w:val="bottom"/>
            <w:hideMark/>
          </w:tcPr>
          <w:p w14:paraId="25980CA4"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152</w:t>
            </w:r>
          </w:p>
        </w:tc>
        <w:tc>
          <w:tcPr>
            <w:tcW w:w="716" w:type="dxa"/>
            <w:tcBorders>
              <w:top w:val="nil"/>
              <w:left w:val="nil"/>
              <w:bottom w:val="single" w:sz="4" w:space="0" w:color="auto"/>
              <w:right w:val="nil"/>
            </w:tcBorders>
            <w:shd w:val="clear" w:color="auto" w:fill="auto"/>
            <w:noWrap/>
            <w:vAlign w:val="center"/>
            <w:hideMark/>
          </w:tcPr>
          <w:p w14:paraId="5529C43F" w14:textId="3C3FDC40"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73B8191E"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3232266E"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48F924B3"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w:t>
            </w:r>
          </w:p>
        </w:tc>
        <w:tc>
          <w:tcPr>
            <w:tcW w:w="758" w:type="dxa"/>
            <w:tcBorders>
              <w:top w:val="nil"/>
              <w:left w:val="nil"/>
              <w:bottom w:val="single" w:sz="4" w:space="0" w:color="auto"/>
              <w:right w:val="nil"/>
            </w:tcBorders>
            <w:shd w:val="clear" w:color="auto" w:fill="auto"/>
            <w:noWrap/>
            <w:vAlign w:val="center"/>
            <w:hideMark/>
          </w:tcPr>
          <w:p w14:paraId="1901BF98" w14:textId="78F16747"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c>
          <w:tcPr>
            <w:tcW w:w="943" w:type="dxa"/>
            <w:tcBorders>
              <w:top w:val="nil"/>
              <w:left w:val="single" w:sz="4" w:space="0" w:color="auto"/>
              <w:bottom w:val="single" w:sz="4" w:space="0" w:color="auto"/>
              <w:right w:val="nil"/>
            </w:tcBorders>
            <w:shd w:val="clear" w:color="auto" w:fill="auto"/>
            <w:noWrap/>
            <w:vAlign w:val="bottom"/>
            <w:hideMark/>
          </w:tcPr>
          <w:p w14:paraId="731FF884"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57</w:t>
            </w:r>
          </w:p>
        </w:tc>
        <w:tc>
          <w:tcPr>
            <w:tcW w:w="737" w:type="dxa"/>
            <w:tcBorders>
              <w:top w:val="nil"/>
              <w:left w:val="nil"/>
              <w:bottom w:val="single" w:sz="4" w:space="0" w:color="auto"/>
              <w:right w:val="single" w:sz="4" w:space="0" w:color="auto"/>
            </w:tcBorders>
            <w:shd w:val="clear" w:color="auto" w:fill="auto"/>
            <w:noWrap/>
            <w:vAlign w:val="center"/>
            <w:hideMark/>
          </w:tcPr>
          <w:p w14:paraId="2C8DD90A" w14:textId="6013FB70"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c>
          <w:tcPr>
            <w:tcW w:w="964" w:type="dxa"/>
            <w:tcBorders>
              <w:top w:val="nil"/>
              <w:left w:val="nil"/>
              <w:bottom w:val="single" w:sz="4" w:space="0" w:color="auto"/>
              <w:right w:val="nil"/>
            </w:tcBorders>
            <w:shd w:val="clear" w:color="auto" w:fill="auto"/>
            <w:noWrap/>
            <w:vAlign w:val="bottom"/>
            <w:hideMark/>
          </w:tcPr>
          <w:p w14:paraId="58CC1C7D"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159</w:t>
            </w:r>
          </w:p>
        </w:tc>
        <w:tc>
          <w:tcPr>
            <w:tcW w:w="716" w:type="dxa"/>
            <w:tcBorders>
              <w:top w:val="nil"/>
              <w:left w:val="nil"/>
              <w:bottom w:val="single" w:sz="4" w:space="0" w:color="auto"/>
              <w:right w:val="nil"/>
            </w:tcBorders>
            <w:shd w:val="clear" w:color="auto" w:fill="auto"/>
            <w:noWrap/>
            <w:vAlign w:val="center"/>
            <w:hideMark/>
          </w:tcPr>
          <w:p w14:paraId="296DC8AB" w14:textId="79A1E036"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r>
      <w:tr w:rsidR="00033A3F" w:rsidRPr="00033A3F" w14:paraId="2FCD9883"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78A87B4C"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728F05EC"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w:t>
            </w:r>
          </w:p>
        </w:tc>
        <w:tc>
          <w:tcPr>
            <w:tcW w:w="758" w:type="dxa"/>
            <w:tcBorders>
              <w:top w:val="nil"/>
              <w:left w:val="nil"/>
              <w:bottom w:val="single" w:sz="4" w:space="0" w:color="auto"/>
              <w:right w:val="nil"/>
            </w:tcBorders>
            <w:shd w:val="clear" w:color="auto" w:fill="auto"/>
            <w:noWrap/>
            <w:vAlign w:val="center"/>
            <w:hideMark/>
          </w:tcPr>
          <w:p w14:paraId="73E31D8D" w14:textId="5223605E"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943" w:type="dxa"/>
            <w:tcBorders>
              <w:top w:val="nil"/>
              <w:left w:val="single" w:sz="4" w:space="0" w:color="auto"/>
              <w:bottom w:val="single" w:sz="4" w:space="0" w:color="auto"/>
              <w:right w:val="nil"/>
            </w:tcBorders>
            <w:shd w:val="clear" w:color="auto" w:fill="auto"/>
            <w:noWrap/>
            <w:vAlign w:val="bottom"/>
            <w:hideMark/>
          </w:tcPr>
          <w:p w14:paraId="6AF19CF0"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w:t>
            </w:r>
          </w:p>
        </w:tc>
        <w:tc>
          <w:tcPr>
            <w:tcW w:w="737" w:type="dxa"/>
            <w:tcBorders>
              <w:top w:val="nil"/>
              <w:left w:val="nil"/>
              <w:bottom w:val="single" w:sz="4" w:space="0" w:color="auto"/>
              <w:right w:val="single" w:sz="4" w:space="0" w:color="auto"/>
            </w:tcBorders>
            <w:shd w:val="clear" w:color="auto" w:fill="auto"/>
            <w:noWrap/>
            <w:vAlign w:val="center"/>
            <w:hideMark/>
          </w:tcPr>
          <w:p w14:paraId="521E809F" w14:textId="3234CD97"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64" w:type="dxa"/>
            <w:tcBorders>
              <w:top w:val="nil"/>
              <w:left w:val="nil"/>
              <w:bottom w:val="single" w:sz="4" w:space="0" w:color="auto"/>
              <w:right w:val="nil"/>
            </w:tcBorders>
            <w:shd w:val="clear" w:color="auto" w:fill="auto"/>
            <w:noWrap/>
            <w:vAlign w:val="bottom"/>
            <w:hideMark/>
          </w:tcPr>
          <w:p w14:paraId="77394114"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c>
          <w:tcPr>
            <w:tcW w:w="716" w:type="dxa"/>
            <w:tcBorders>
              <w:top w:val="nil"/>
              <w:left w:val="nil"/>
              <w:bottom w:val="single" w:sz="4" w:space="0" w:color="auto"/>
              <w:right w:val="nil"/>
            </w:tcBorders>
            <w:shd w:val="clear" w:color="auto" w:fill="auto"/>
            <w:noWrap/>
            <w:vAlign w:val="center"/>
            <w:hideMark/>
          </w:tcPr>
          <w:p w14:paraId="6A829CFD" w14:textId="2EBFF2B9"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02BA5858"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7D60A411"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7F830F24"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c>
          <w:tcPr>
            <w:tcW w:w="758" w:type="dxa"/>
            <w:tcBorders>
              <w:top w:val="nil"/>
              <w:left w:val="nil"/>
              <w:bottom w:val="single" w:sz="4" w:space="0" w:color="auto"/>
              <w:right w:val="nil"/>
            </w:tcBorders>
            <w:shd w:val="clear" w:color="auto" w:fill="auto"/>
            <w:noWrap/>
            <w:vAlign w:val="center"/>
            <w:hideMark/>
          </w:tcPr>
          <w:p w14:paraId="61E8D8BA" w14:textId="14CF6705"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3" w:type="dxa"/>
            <w:tcBorders>
              <w:top w:val="nil"/>
              <w:left w:val="single" w:sz="4" w:space="0" w:color="auto"/>
              <w:bottom w:val="single" w:sz="4" w:space="0" w:color="auto"/>
              <w:right w:val="nil"/>
            </w:tcBorders>
            <w:shd w:val="clear" w:color="auto" w:fill="auto"/>
            <w:noWrap/>
            <w:vAlign w:val="bottom"/>
            <w:hideMark/>
          </w:tcPr>
          <w:p w14:paraId="3CCF5321"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127</w:t>
            </w:r>
          </w:p>
        </w:tc>
        <w:tc>
          <w:tcPr>
            <w:tcW w:w="737" w:type="dxa"/>
            <w:tcBorders>
              <w:top w:val="nil"/>
              <w:left w:val="nil"/>
              <w:bottom w:val="single" w:sz="4" w:space="0" w:color="auto"/>
              <w:right w:val="single" w:sz="4" w:space="0" w:color="auto"/>
            </w:tcBorders>
            <w:shd w:val="clear" w:color="auto" w:fill="auto"/>
            <w:noWrap/>
            <w:vAlign w:val="center"/>
            <w:hideMark/>
          </w:tcPr>
          <w:p w14:paraId="78B4E09E" w14:textId="73AFED0D"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64" w:type="dxa"/>
            <w:tcBorders>
              <w:top w:val="nil"/>
              <w:left w:val="nil"/>
              <w:bottom w:val="single" w:sz="4" w:space="0" w:color="auto"/>
              <w:right w:val="nil"/>
            </w:tcBorders>
            <w:shd w:val="clear" w:color="auto" w:fill="auto"/>
            <w:noWrap/>
            <w:vAlign w:val="bottom"/>
            <w:hideMark/>
          </w:tcPr>
          <w:p w14:paraId="4E1A001D"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277</w:t>
            </w:r>
          </w:p>
        </w:tc>
        <w:tc>
          <w:tcPr>
            <w:tcW w:w="716" w:type="dxa"/>
            <w:tcBorders>
              <w:top w:val="nil"/>
              <w:left w:val="nil"/>
              <w:bottom w:val="single" w:sz="4" w:space="0" w:color="auto"/>
              <w:right w:val="nil"/>
            </w:tcBorders>
            <w:shd w:val="clear" w:color="auto" w:fill="auto"/>
            <w:noWrap/>
            <w:vAlign w:val="center"/>
            <w:hideMark/>
          </w:tcPr>
          <w:p w14:paraId="568335F8" w14:textId="3F25FB71"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3381F8F2"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41DBD500"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29874136"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w:t>
            </w:r>
          </w:p>
        </w:tc>
        <w:tc>
          <w:tcPr>
            <w:tcW w:w="758" w:type="dxa"/>
            <w:tcBorders>
              <w:top w:val="nil"/>
              <w:left w:val="nil"/>
              <w:bottom w:val="single" w:sz="4" w:space="0" w:color="auto"/>
              <w:right w:val="nil"/>
            </w:tcBorders>
            <w:shd w:val="clear" w:color="auto" w:fill="auto"/>
            <w:noWrap/>
            <w:vAlign w:val="center"/>
            <w:hideMark/>
          </w:tcPr>
          <w:p w14:paraId="44DD87CA" w14:textId="2F2BF14C"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43" w:type="dxa"/>
            <w:tcBorders>
              <w:top w:val="nil"/>
              <w:left w:val="single" w:sz="4" w:space="0" w:color="auto"/>
              <w:bottom w:val="single" w:sz="4" w:space="0" w:color="auto"/>
              <w:right w:val="nil"/>
            </w:tcBorders>
            <w:shd w:val="clear" w:color="auto" w:fill="auto"/>
            <w:noWrap/>
            <w:vAlign w:val="bottom"/>
            <w:hideMark/>
          </w:tcPr>
          <w:p w14:paraId="01AF1BB1"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737" w:type="dxa"/>
            <w:tcBorders>
              <w:top w:val="nil"/>
              <w:left w:val="nil"/>
              <w:bottom w:val="single" w:sz="4" w:space="0" w:color="auto"/>
              <w:right w:val="single" w:sz="4" w:space="0" w:color="auto"/>
            </w:tcBorders>
            <w:shd w:val="clear" w:color="auto" w:fill="auto"/>
            <w:noWrap/>
            <w:vAlign w:val="center"/>
            <w:hideMark/>
          </w:tcPr>
          <w:p w14:paraId="35C5F778" w14:textId="43D4C2E1"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64" w:type="dxa"/>
            <w:tcBorders>
              <w:top w:val="nil"/>
              <w:left w:val="nil"/>
              <w:bottom w:val="single" w:sz="4" w:space="0" w:color="auto"/>
              <w:right w:val="nil"/>
            </w:tcBorders>
            <w:shd w:val="clear" w:color="auto" w:fill="auto"/>
            <w:noWrap/>
            <w:vAlign w:val="bottom"/>
            <w:hideMark/>
          </w:tcPr>
          <w:p w14:paraId="06B389D8"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156</w:t>
            </w:r>
          </w:p>
        </w:tc>
        <w:tc>
          <w:tcPr>
            <w:tcW w:w="716" w:type="dxa"/>
            <w:tcBorders>
              <w:top w:val="nil"/>
              <w:left w:val="nil"/>
              <w:bottom w:val="single" w:sz="4" w:space="0" w:color="auto"/>
              <w:right w:val="nil"/>
            </w:tcBorders>
            <w:shd w:val="clear" w:color="auto" w:fill="auto"/>
            <w:noWrap/>
            <w:vAlign w:val="center"/>
            <w:hideMark/>
          </w:tcPr>
          <w:p w14:paraId="30BBE662" w14:textId="54451C83"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303A82DA"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1C38305C"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32A40819"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273</w:t>
            </w:r>
          </w:p>
        </w:tc>
        <w:tc>
          <w:tcPr>
            <w:tcW w:w="758" w:type="dxa"/>
            <w:tcBorders>
              <w:top w:val="nil"/>
              <w:left w:val="nil"/>
              <w:bottom w:val="single" w:sz="4" w:space="0" w:color="auto"/>
              <w:right w:val="nil"/>
            </w:tcBorders>
            <w:shd w:val="clear" w:color="auto" w:fill="auto"/>
            <w:noWrap/>
            <w:vAlign w:val="center"/>
            <w:hideMark/>
          </w:tcPr>
          <w:p w14:paraId="59D77648" w14:textId="7A63A135"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943" w:type="dxa"/>
            <w:tcBorders>
              <w:top w:val="nil"/>
              <w:left w:val="single" w:sz="4" w:space="0" w:color="auto"/>
              <w:bottom w:val="single" w:sz="4" w:space="0" w:color="auto"/>
              <w:right w:val="nil"/>
            </w:tcBorders>
            <w:shd w:val="clear" w:color="auto" w:fill="auto"/>
            <w:noWrap/>
            <w:vAlign w:val="bottom"/>
            <w:hideMark/>
          </w:tcPr>
          <w:p w14:paraId="39E181C5"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204</w:t>
            </w:r>
          </w:p>
        </w:tc>
        <w:tc>
          <w:tcPr>
            <w:tcW w:w="737" w:type="dxa"/>
            <w:tcBorders>
              <w:top w:val="nil"/>
              <w:left w:val="nil"/>
              <w:bottom w:val="single" w:sz="4" w:space="0" w:color="auto"/>
              <w:right w:val="single" w:sz="4" w:space="0" w:color="auto"/>
            </w:tcBorders>
            <w:shd w:val="clear" w:color="auto" w:fill="auto"/>
            <w:noWrap/>
            <w:vAlign w:val="center"/>
            <w:hideMark/>
          </w:tcPr>
          <w:p w14:paraId="1B3C45B3" w14:textId="5B2C635E"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64" w:type="dxa"/>
            <w:tcBorders>
              <w:top w:val="nil"/>
              <w:left w:val="nil"/>
              <w:bottom w:val="single" w:sz="4" w:space="0" w:color="auto"/>
              <w:right w:val="nil"/>
            </w:tcBorders>
            <w:shd w:val="clear" w:color="auto" w:fill="auto"/>
            <w:noWrap/>
            <w:vAlign w:val="bottom"/>
            <w:hideMark/>
          </w:tcPr>
          <w:p w14:paraId="724AA36A"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478</w:t>
            </w:r>
          </w:p>
        </w:tc>
        <w:tc>
          <w:tcPr>
            <w:tcW w:w="716" w:type="dxa"/>
            <w:tcBorders>
              <w:top w:val="nil"/>
              <w:left w:val="nil"/>
              <w:bottom w:val="single" w:sz="4" w:space="0" w:color="auto"/>
              <w:right w:val="nil"/>
            </w:tcBorders>
            <w:shd w:val="clear" w:color="auto" w:fill="auto"/>
            <w:noWrap/>
            <w:vAlign w:val="center"/>
            <w:hideMark/>
          </w:tcPr>
          <w:p w14:paraId="346C0CF9" w14:textId="50ECE364"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r>
      <w:tr w:rsidR="00033A3F" w:rsidRPr="00033A3F" w14:paraId="27E40F86" w14:textId="77777777" w:rsidTr="003D5F1A">
        <w:trPr>
          <w:trHeight w:val="330"/>
        </w:trPr>
        <w:tc>
          <w:tcPr>
            <w:tcW w:w="2480" w:type="dxa"/>
            <w:tcBorders>
              <w:top w:val="nil"/>
              <w:left w:val="nil"/>
              <w:bottom w:val="double" w:sz="6" w:space="0" w:color="auto"/>
              <w:right w:val="nil"/>
            </w:tcBorders>
            <w:shd w:val="clear" w:color="auto" w:fill="auto"/>
            <w:noWrap/>
            <w:vAlign w:val="bottom"/>
            <w:hideMark/>
          </w:tcPr>
          <w:p w14:paraId="4FBAA93B"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46FB1393"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w:t>
            </w:r>
          </w:p>
        </w:tc>
        <w:tc>
          <w:tcPr>
            <w:tcW w:w="758" w:type="dxa"/>
            <w:tcBorders>
              <w:top w:val="nil"/>
              <w:left w:val="nil"/>
              <w:bottom w:val="double" w:sz="6" w:space="0" w:color="auto"/>
              <w:right w:val="nil"/>
            </w:tcBorders>
            <w:shd w:val="clear" w:color="auto" w:fill="auto"/>
            <w:noWrap/>
            <w:vAlign w:val="center"/>
            <w:hideMark/>
          </w:tcPr>
          <w:p w14:paraId="292AD1C2" w14:textId="2ADC4FCB"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43" w:type="dxa"/>
            <w:tcBorders>
              <w:top w:val="nil"/>
              <w:left w:val="single" w:sz="4" w:space="0" w:color="auto"/>
              <w:bottom w:val="double" w:sz="6" w:space="0" w:color="auto"/>
              <w:right w:val="nil"/>
            </w:tcBorders>
            <w:shd w:val="clear" w:color="auto" w:fill="auto"/>
            <w:noWrap/>
            <w:vAlign w:val="bottom"/>
            <w:hideMark/>
          </w:tcPr>
          <w:p w14:paraId="6ABDD3C5"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737" w:type="dxa"/>
            <w:tcBorders>
              <w:top w:val="nil"/>
              <w:left w:val="nil"/>
              <w:bottom w:val="double" w:sz="6" w:space="0" w:color="auto"/>
              <w:right w:val="single" w:sz="4" w:space="0" w:color="auto"/>
            </w:tcBorders>
            <w:shd w:val="clear" w:color="auto" w:fill="auto"/>
            <w:noWrap/>
            <w:vAlign w:val="center"/>
            <w:hideMark/>
          </w:tcPr>
          <w:p w14:paraId="0F7213AC" w14:textId="60EDD7C4"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64" w:type="dxa"/>
            <w:tcBorders>
              <w:top w:val="nil"/>
              <w:left w:val="nil"/>
              <w:bottom w:val="double" w:sz="6" w:space="0" w:color="auto"/>
              <w:right w:val="nil"/>
            </w:tcBorders>
            <w:shd w:val="clear" w:color="auto" w:fill="auto"/>
            <w:noWrap/>
            <w:vAlign w:val="bottom"/>
            <w:hideMark/>
          </w:tcPr>
          <w:p w14:paraId="26695E90"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206</w:t>
            </w:r>
          </w:p>
        </w:tc>
        <w:tc>
          <w:tcPr>
            <w:tcW w:w="716" w:type="dxa"/>
            <w:tcBorders>
              <w:top w:val="nil"/>
              <w:left w:val="nil"/>
              <w:bottom w:val="double" w:sz="6" w:space="0" w:color="auto"/>
              <w:right w:val="nil"/>
            </w:tcBorders>
            <w:shd w:val="clear" w:color="auto" w:fill="auto"/>
            <w:noWrap/>
            <w:vAlign w:val="center"/>
            <w:hideMark/>
          </w:tcPr>
          <w:p w14:paraId="335D932E" w14:textId="1F7B5CD0"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033A3F" w:rsidRPr="00033A3F" w14:paraId="72F0B484" w14:textId="77777777" w:rsidTr="003D5F1A">
        <w:trPr>
          <w:trHeight w:val="345"/>
        </w:trPr>
        <w:tc>
          <w:tcPr>
            <w:tcW w:w="2480" w:type="dxa"/>
            <w:tcBorders>
              <w:top w:val="nil"/>
              <w:left w:val="nil"/>
              <w:bottom w:val="double" w:sz="6" w:space="0" w:color="auto"/>
              <w:right w:val="nil"/>
            </w:tcBorders>
            <w:shd w:val="clear" w:color="auto" w:fill="auto"/>
            <w:noWrap/>
            <w:vAlign w:val="bottom"/>
            <w:hideMark/>
          </w:tcPr>
          <w:p w14:paraId="733449EA" w14:textId="77777777" w:rsidR="00F910C2" w:rsidRPr="00033A3F" w:rsidRDefault="00F910C2" w:rsidP="00F910C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380485BA" w14:textId="77777777" w:rsidR="00F910C2" w:rsidRPr="00033A3F" w:rsidRDefault="00F910C2" w:rsidP="00C7559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114</w:t>
            </w:r>
          </w:p>
        </w:tc>
        <w:tc>
          <w:tcPr>
            <w:tcW w:w="758" w:type="dxa"/>
            <w:tcBorders>
              <w:top w:val="nil"/>
              <w:left w:val="nil"/>
              <w:bottom w:val="double" w:sz="6" w:space="0" w:color="auto"/>
              <w:right w:val="nil"/>
            </w:tcBorders>
            <w:shd w:val="clear" w:color="auto" w:fill="auto"/>
            <w:noWrap/>
            <w:vAlign w:val="center"/>
            <w:hideMark/>
          </w:tcPr>
          <w:p w14:paraId="208B03D1" w14:textId="5AA44C89" w:rsidR="00F910C2" w:rsidRPr="00033A3F" w:rsidRDefault="00F910C2" w:rsidP="00C7559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c>
          <w:tcPr>
            <w:tcW w:w="943" w:type="dxa"/>
            <w:tcBorders>
              <w:top w:val="nil"/>
              <w:left w:val="single" w:sz="4" w:space="0" w:color="auto"/>
              <w:bottom w:val="double" w:sz="6" w:space="0" w:color="auto"/>
              <w:right w:val="nil"/>
            </w:tcBorders>
            <w:shd w:val="clear" w:color="auto" w:fill="auto"/>
            <w:noWrap/>
            <w:vAlign w:val="bottom"/>
            <w:hideMark/>
          </w:tcPr>
          <w:p w14:paraId="101E3B33" w14:textId="77777777" w:rsidR="00F910C2" w:rsidRPr="00033A3F" w:rsidRDefault="00F910C2" w:rsidP="00C7559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64</w:t>
            </w:r>
          </w:p>
        </w:tc>
        <w:tc>
          <w:tcPr>
            <w:tcW w:w="737" w:type="dxa"/>
            <w:tcBorders>
              <w:top w:val="nil"/>
              <w:left w:val="nil"/>
              <w:bottom w:val="double" w:sz="6" w:space="0" w:color="auto"/>
              <w:right w:val="single" w:sz="4" w:space="0" w:color="auto"/>
            </w:tcBorders>
            <w:shd w:val="clear" w:color="auto" w:fill="auto"/>
            <w:noWrap/>
            <w:vAlign w:val="center"/>
            <w:hideMark/>
          </w:tcPr>
          <w:p w14:paraId="72D1D7EF" w14:textId="6C190DB7" w:rsidR="00F910C2" w:rsidRPr="00033A3F" w:rsidRDefault="00F910C2" w:rsidP="00C7559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c>
          <w:tcPr>
            <w:tcW w:w="964" w:type="dxa"/>
            <w:tcBorders>
              <w:top w:val="nil"/>
              <w:left w:val="nil"/>
              <w:bottom w:val="double" w:sz="6" w:space="0" w:color="auto"/>
              <w:right w:val="nil"/>
            </w:tcBorders>
            <w:shd w:val="clear" w:color="auto" w:fill="auto"/>
            <w:noWrap/>
            <w:vAlign w:val="bottom"/>
            <w:hideMark/>
          </w:tcPr>
          <w:p w14:paraId="7755E5CE" w14:textId="77777777" w:rsidR="00F910C2" w:rsidRPr="00033A3F" w:rsidRDefault="00F910C2" w:rsidP="00C7559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245</w:t>
            </w:r>
          </w:p>
        </w:tc>
        <w:tc>
          <w:tcPr>
            <w:tcW w:w="716" w:type="dxa"/>
            <w:tcBorders>
              <w:top w:val="nil"/>
              <w:left w:val="nil"/>
              <w:bottom w:val="double" w:sz="6" w:space="0" w:color="auto"/>
              <w:right w:val="nil"/>
            </w:tcBorders>
            <w:shd w:val="clear" w:color="auto" w:fill="auto"/>
            <w:noWrap/>
            <w:vAlign w:val="center"/>
            <w:hideMark/>
          </w:tcPr>
          <w:p w14:paraId="355E04F3" w14:textId="18301F8B" w:rsidR="00F910C2" w:rsidRPr="00033A3F" w:rsidRDefault="00F910C2" w:rsidP="00C7559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r>
      <w:tr w:rsidR="00033A3F" w:rsidRPr="00033A3F" w14:paraId="5BF4494E" w14:textId="77777777" w:rsidTr="003D5F1A">
        <w:trPr>
          <w:trHeight w:val="330"/>
        </w:trPr>
        <w:tc>
          <w:tcPr>
            <w:tcW w:w="2480" w:type="dxa"/>
            <w:tcBorders>
              <w:top w:val="nil"/>
              <w:left w:val="nil"/>
              <w:bottom w:val="nil"/>
              <w:right w:val="nil"/>
            </w:tcBorders>
            <w:shd w:val="clear" w:color="auto" w:fill="auto"/>
            <w:noWrap/>
            <w:vAlign w:val="bottom"/>
            <w:hideMark/>
          </w:tcPr>
          <w:p w14:paraId="174A2EC8" w14:textId="77777777" w:rsidR="00F910C2" w:rsidRPr="00033A3F" w:rsidRDefault="00F910C2" w:rsidP="00F910C2">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13F167D4"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758" w:type="dxa"/>
            <w:tcBorders>
              <w:top w:val="nil"/>
              <w:left w:val="nil"/>
              <w:bottom w:val="nil"/>
              <w:right w:val="nil"/>
            </w:tcBorders>
            <w:shd w:val="clear" w:color="auto" w:fill="auto"/>
            <w:noWrap/>
            <w:vAlign w:val="bottom"/>
            <w:hideMark/>
          </w:tcPr>
          <w:p w14:paraId="2F28FA32"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943" w:type="dxa"/>
            <w:tcBorders>
              <w:top w:val="nil"/>
              <w:left w:val="nil"/>
              <w:bottom w:val="nil"/>
              <w:right w:val="nil"/>
            </w:tcBorders>
            <w:shd w:val="clear" w:color="auto" w:fill="auto"/>
            <w:noWrap/>
            <w:vAlign w:val="bottom"/>
            <w:hideMark/>
          </w:tcPr>
          <w:p w14:paraId="52132342"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737" w:type="dxa"/>
            <w:tcBorders>
              <w:top w:val="nil"/>
              <w:left w:val="nil"/>
              <w:bottom w:val="nil"/>
              <w:right w:val="nil"/>
            </w:tcBorders>
            <w:shd w:val="clear" w:color="auto" w:fill="auto"/>
            <w:noWrap/>
            <w:vAlign w:val="bottom"/>
            <w:hideMark/>
          </w:tcPr>
          <w:p w14:paraId="433C85AD"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964" w:type="dxa"/>
            <w:tcBorders>
              <w:top w:val="nil"/>
              <w:left w:val="nil"/>
              <w:bottom w:val="nil"/>
              <w:right w:val="nil"/>
            </w:tcBorders>
            <w:shd w:val="clear" w:color="auto" w:fill="auto"/>
            <w:noWrap/>
            <w:vAlign w:val="bottom"/>
            <w:hideMark/>
          </w:tcPr>
          <w:p w14:paraId="03E10A81"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716" w:type="dxa"/>
            <w:tcBorders>
              <w:top w:val="nil"/>
              <w:left w:val="nil"/>
              <w:bottom w:val="nil"/>
              <w:right w:val="nil"/>
            </w:tcBorders>
            <w:shd w:val="clear" w:color="auto" w:fill="auto"/>
            <w:noWrap/>
            <w:vAlign w:val="bottom"/>
            <w:hideMark/>
          </w:tcPr>
          <w:p w14:paraId="6B5CA35E"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r>
    </w:tbl>
    <w:p w14:paraId="0314C8C8" w14:textId="19DAEA92" w:rsidR="00E87512" w:rsidRPr="00033A3F" w:rsidRDefault="00E87512" w:rsidP="00E87512">
      <w:pPr>
        <w:pStyle w:val="OdstavecASR"/>
        <w:rPr>
          <w:color w:val="000000" w:themeColor="text1"/>
        </w:rPr>
      </w:pPr>
      <w:r w:rsidRPr="00033A3F">
        <w:rPr>
          <w:color w:val="000000" w:themeColor="text1"/>
        </w:rPr>
        <w:t>V tabulce vidíme, že nejvyšší délky odvolacího civilního řízení vykazuje KS Brno (</w:t>
      </w:r>
      <w:r w:rsidR="00226642" w:rsidRPr="00033A3F">
        <w:rPr>
          <w:color w:val="000000" w:themeColor="text1"/>
        </w:rPr>
        <w:t>což je způsobeno rozdílem v administrativním postupu</w:t>
      </w:r>
      <w:r w:rsidRPr="00033A3F">
        <w:rPr>
          <w:color w:val="000000" w:themeColor="text1"/>
        </w:rPr>
        <w:t>) a KS Ústí nad Labem.</w:t>
      </w:r>
      <w:r w:rsidR="00226642" w:rsidRPr="00033A3F">
        <w:rPr>
          <w:color w:val="000000" w:themeColor="text1"/>
        </w:rPr>
        <w:t xml:space="preserve"> </w:t>
      </w:r>
    </w:p>
    <w:p w14:paraId="4B0D82C6" w14:textId="661BE7A9" w:rsidR="00E87512" w:rsidRPr="00033A3F" w:rsidRDefault="00E87512" w:rsidP="00E87512">
      <w:pPr>
        <w:pStyle w:val="Podnadpis"/>
        <w:numPr>
          <w:ilvl w:val="0"/>
          <w:numId w:val="0"/>
        </w:numPr>
        <w:rPr>
          <w:color w:val="000000" w:themeColor="text1"/>
        </w:rPr>
      </w:pPr>
      <w:bookmarkStart w:id="1276" w:name="_Toc43841436"/>
      <w:bookmarkStart w:id="1277" w:name="_Toc75952239"/>
      <w:bookmarkStart w:id="1278" w:name="_Toc106106696"/>
      <w:bookmarkStart w:id="1279" w:name="_Toc109802020"/>
      <w:bookmarkStart w:id="1280" w:name="_Toc144104171"/>
      <w:bookmarkStart w:id="1281" w:name="_Toc169250983"/>
      <w:bookmarkStart w:id="1282" w:name="_Toc174080669"/>
      <w:bookmarkStart w:id="1283" w:name="_Toc193530820"/>
      <w:bookmarkStart w:id="1284" w:name="_Toc193634094"/>
      <w:bookmarkStart w:id="1285" w:name="_Toc20303289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65</w:t>
      </w:r>
      <w:r w:rsidRPr="00033A3F">
        <w:rPr>
          <w:color w:val="000000" w:themeColor="text1"/>
        </w:rPr>
        <w:fldChar w:fldCharType="end"/>
      </w:r>
      <w:r w:rsidRPr="00033A3F">
        <w:rPr>
          <w:color w:val="000000" w:themeColor="text1"/>
        </w:rPr>
        <w:t>: KS – distribuce délek odvolacího civilního řízení</w:t>
      </w:r>
      <w:bookmarkEnd w:id="1276"/>
      <w:bookmarkEnd w:id="1277"/>
      <w:bookmarkEnd w:id="1278"/>
      <w:bookmarkEnd w:id="1279"/>
      <w:bookmarkEnd w:id="1280"/>
      <w:bookmarkEnd w:id="1281"/>
      <w:bookmarkEnd w:id="1282"/>
      <w:r w:rsidR="00EC7EFF" w:rsidRPr="00033A3F">
        <w:rPr>
          <w:color w:val="000000" w:themeColor="text1"/>
        </w:rPr>
        <w:t xml:space="preserve"> (rejstřík C)</w:t>
      </w:r>
      <w:bookmarkEnd w:id="1283"/>
      <w:bookmarkEnd w:id="1284"/>
      <w:bookmarkEnd w:id="1285"/>
    </w:p>
    <w:p w14:paraId="06D23C66" w14:textId="774D1CA6" w:rsidR="00F910C2" w:rsidRPr="00033A3F" w:rsidRDefault="00E87512" w:rsidP="005F0F84">
      <w:pPr>
        <w:rPr>
          <w:color w:val="000000" w:themeColor="text1"/>
        </w:rPr>
      </w:pPr>
      <w:r w:rsidRPr="00033A3F">
        <w:rPr>
          <w:noProof/>
          <w:color w:val="000000" w:themeColor="text1"/>
          <w:lang w:eastAsia="cs-CZ"/>
        </w:rPr>
        <w:drawing>
          <wp:inline distT="0" distB="0" distL="0" distR="0" wp14:anchorId="2793CD44" wp14:editId="72E349E2">
            <wp:extent cx="5029200" cy="3657600"/>
            <wp:effectExtent l="0" t="0" r="0" b="0"/>
            <wp:docPr id="1244120944"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51EE769" w14:textId="0769A262" w:rsidR="00E87512" w:rsidRPr="00033A3F" w:rsidRDefault="00056804" w:rsidP="00E87512">
      <w:pPr>
        <w:pStyle w:val="OdstavecASR"/>
        <w:rPr>
          <w:color w:val="000000" w:themeColor="text1"/>
        </w:rPr>
      </w:pPr>
      <w:r w:rsidRPr="00033A3F">
        <w:rPr>
          <w:color w:val="000000" w:themeColor="text1"/>
        </w:rPr>
        <w:t xml:space="preserve">Graf 65 zkoumá </w:t>
      </w:r>
      <w:r w:rsidR="00E87512" w:rsidRPr="00033A3F">
        <w:rPr>
          <w:color w:val="000000" w:themeColor="text1"/>
        </w:rPr>
        <w:t>rozložení délek odvolacích řízení pomocí histogramu. Připomínáme, že stejně jako u okresních soudů je šířka jednoho intervalu (sloupce) 25 dnů. Pro lepší přehlednost uvádíme všechny délky řízení delší než 800 dnů v jednom sloupci (na grafu nejvíce vpravo). Z histogramu pak můžeme opět vyčíst další informace o délkách řízení. Například:</w:t>
      </w:r>
    </w:p>
    <w:p w14:paraId="3DA09870" w14:textId="77777777" w:rsidR="00E87512" w:rsidRPr="00033A3F" w:rsidRDefault="00E87512" w:rsidP="00E87512">
      <w:pPr>
        <w:pStyle w:val="Odstavecseseznamem"/>
        <w:numPr>
          <w:ilvl w:val="0"/>
          <w:numId w:val="18"/>
        </w:numPr>
        <w:rPr>
          <w:color w:val="000000" w:themeColor="text1"/>
        </w:rPr>
      </w:pPr>
      <w:r w:rsidRPr="00033A3F">
        <w:rPr>
          <w:color w:val="000000" w:themeColor="text1"/>
        </w:rPr>
        <w:t>Necelých 37 % věcí je vyřízeno do 50 dnů.</w:t>
      </w:r>
    </w:p>
    <w:p w14:paraId="5504CCBD" w14:textId="77777777" w:rsidR="00E87512" w:rsidRPr="00033A3F" w:rsidRDefault="00E87512" w:rsidP="00E87512">
      <w:pPr>
        <w:pStyle w:val="Odstavecseseznamem"/>
        <w:numPr>
          <w:ilvl w:val="0"/>
          <w:numId w:val="18"/>
        </w:numPr>
        <w:rPr>
          <w:color w:val="000000" w:themeColor="text1"/>
        </w:rPr>
      </w:pPr>
      <w:r w:rsidRPr="00033A3F">
        <w:rPr>
          <w:color w:val="000000" w:themeColor="text1"/>
        </w:rPr>
        <w:t>Asi 4 % všech odvolání v civilním řízení u KS trvá déle než 800 kalendářních dnů.</w:t>
      </w:r>
    </w:p>
    <w:p w14:paraId="342F5683" w14:textId="77777777" w:rsidR="00E87512" w:rsidRPr="00033A3F" w:rsidRDefault="00E87512" w:rsidP="00E87512">
      <w:pPr>
        <w:pStyle w:val="Odstavecseseznamem"/>
        <w:numPr>
          <w:ilvl w:val="0"/>
          <w:numId w:val="18"/>
        </w:numPr>
        <w:rPr>
          <w:color w:val="000000" w:themeColor="text1"/>
        </w:rPr>
      </w:pPr>
      <w:r w:rsidRPr="00033A3F">
        <w:rPr>
          <w:color w:val="000000" w:themeColor="text1"/>
        </w:rPr>
        <w:t>Relativní četnost délek řízení téměř vždy klesá s přibývající délkou řízení.</w:t>
      </w:r>
    </w:p>
    <w:p w14:paraId="1716AFFE" w14:textId="77777777" w:rsidR="00E87512" w:rsidRPr="00033A3F" w:rsidRDefault="00E87512" w:rsidP="00E87512">
      <w:pPr>
        <w:pStyle w:val="Odstavecseseznamem"/>
        <w:numPr>
          <w:ilvl w:val="0"/>
          <w:numId w:val="18"/>
        </w:numPr>
        <w:rPr>
          <w:color w:val="000000" w:themeColor="text1"/>
        </w:rPr>
      </w:pPr>
      <w:r w:rsidRPr="00033A3F">
        <w:rPr>
          <w:color w:val="000000" w:themeColor="text1"/>
        </w:rPr>
        <w:lastRenderedPageBreak/>
        <w:t>Výše uvedené hodnoty jsou s drobnými výchylkami stabilní již po mnoho let.</w:t>
      </w:r>
    </w:p>
    <w:p w14:paraId="14765941" w14:textId="77777777" w:rsidR="00E87512" w:rsidRPr="00033A3F" w:rsidRDefault="00E87512" w:rsidP="00E87512">
      <w:pPr>
        <w:pStyle w:val="OdstavecASR"/>
        <w:rPr>
          <w:b/>
          <w:bCs/>
          <w:color w:val="000000" w:themeColor="text1"/>
        </w:rPr>
      </w:pPr>
    </w:p>
    <w:p w14:paraId="62E40866" w14:textId="06683A2E" w:rsidR="00E87512" w:rsidRPr="00033A3F" w:rsidRDefault="00E87512" w:rsidP="004C0D35">
      <w:pPr>
        <w:pStyle w:val="OdstavecASR"/>
        <w:keepNext/>
        <w:outlineLvl w:val="3"/>
        <w:rPr>
          <w:b/>
          <w:bCs/>
          <w:color w:val="000000" w:themeColor="text1"/>
        </w:rPr>
      </w:pPr>
      <w:r w:rsidRPr="00033A3F">
        <w:rPr>
          <w:b/>
          <w:bCs/>
          <w:color w:val="000000" w:themeColor="text1"/>
        </w:rPr>
        <w:t>Rejstřík P a Nc u OS</w:t>
      </w:r>
    </w:p>
    <w:p w14:paraId="6FDA873F" w14:textId="38DB882D" w:rsidR="00EC7EFF" w:rsidRPr="00033A3F" w:rsidRDefault="00EC7EFF" w:rsidP="00EC7EFF">
      <w:pPr>
        <w:pStyle w:val="OdstavecASR"/>
        <w:rPr>
          <w:color w:val="000000" w:themeColor="text1"/>
        </w:rPr>
      </w:pPr>
      <w:r w:rsidRPr="00033A3F">
        <w:rPr>
          <w:color w:val="000000" w:themeColor="text1"/>
        </w:rPr>
        <w:t xml:space="preserve">Opět se jedná se o délku </w:t>
      </w:r>
      <w:r w:rsidR="00CD7FEC" w:rsidRPr="00033A3F">
        <w:rPr>
          <w:color w:val="000000" w:themeColor="text1"/>
        </w:rPr>
        <w:t xml:space="preserve">odvolacího </w:t>
      </w:r>
      <w:r w:rsidRPr="00033A3F">
        <w:rPr>
          <w:color w:val="000000" w:themeColor="text1"/>
        </w:rPr>
        <w:t>řízení v kalendářních dnech ode dne nápadu u odvolacího soudu do dne vyřízení věci odvolacím soudem.</w:t>
      </w:r>
    </w:p>
    <w:p w14:paraId="72AC5B16" w14:textId="34538B1D" w:rsidR="00EC7EFF" w:rsidRPr="00033A3F" w:rsidRDefault="00EC7EFF" w:rsidP="00EC7EFF">
      <w:pPr>
        <w:pStyle w:val="Podnadpis"/>
        <w:numPr>
          <w:ilvl w:val="0"/>
          <w:numId w:val="0"/>
        </w:numPr>
        <w:rPr>
          <w:color w:val="000000" w:themeColor="text1"/>
        </w:rPr>
      </w:pPr>
      <w:bookmarkStart w:id="1286" w:name="_Toc193530821"/>
      <w:bookmarkStart w:id="1287" w:name="_Toc193634095"/>
      <w:bookmarkStart w:id="1288" w:name="_Toc20303289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66</w:t>
      </w:r>
      <w:r w:rsidRPr="00033A3F">
        <w:rPr>
          <w:color w:val="000000" w:themeColor="text1"/>
        </w:rPr>
        <w:fldChar w:fldCharType="end"/>
      </w:r>
      <w:r w:rsidRPr="00033A3F">
        <w:rPr>
          <w:color w:val="000000" w:themeColor="text1"/>
        </w:rPr>
        <w:t xml:space="preserve">: KS – délka </w:t>
      </w:r>
      <w:r w:rsidR="00E13195" w:rsidRPr="00033A3F">
        <w:rPr>
          <w:color w:val="000000" w:themeColor="text1"/>
        </w:rPr>
        <w:t xml:space="preserve">odvol. </w:t>
      </w:r>
      <w:r w:rsidRPr="00033A3F">
        <w:rPr>
          <w:color w:val="000000" w:themeColor="text1"/>
        </w:rPr>
        <w:t>civilního řízení v letech 2015–2024 (rejstřík P a Nc)</w:t>
      </w:r>
      <w:bookmarkEnd w:id="1286"/>
      <w:bookmarkEnd w:id="1287"/>
      <w:bookmarkEnd w:id="1288"/>
    </w:p>
    <w:p w14:paraId="635157BB" w14:textId="13A770FF" w:rsidR="005F0F84" w:rsidRPr="00033A3F" w:rsidRDefault="002A2866" w:rsidP="005F0F84">
      <w:pPr>
        <w:rPr>
          <w:color w:val="000000" w:themeColor="text1"/>
        </w:rPr>
      </w:pPr>
      <w:r w:rsidRPr="00033A3F">
        <w:rPr>
          <w:noProof/>
          <w:color w:val="000000" w:themeColor="text1"/>
          <w:lang w:eastAsia="cs-CZ"/>
        </w:rPr>
        <w:drawing>
          <wp:inline distT="0" distB="0" distL="0" distR="0" wp14:anchorId="66CB4FF6" wp14:editId="6C0E0A6F">
            <wp:extent cx="5029200" cy="3657600"/>
            <wp:effectExtent l="0" t="0" r="0" b="0"/>
            <wp:docPr id="602266805"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957FE2C" w14:textId="40C96CA7" w:rsidR="002A2866" w:rsidRPr="00033A3F" w:rsidRDefault="002A2866" w:rsidP="002A2866">
      <w:pPr>
        <w:pStyle w:val="OdstavecASR"/>
        <w:rPr>
          <w:color w:val="000000" w:themeColor="text1"/>
        </w:rPr>
      </w:pPr>
      <w:r w:rsidRPr="00033A3F">
        <w:rPr>
          <w:color w:val="000000" w:themeColor="text1"/>
        </w:rPr>
        <w:t xml:space="preserve">V grafu vidíme, že stejně jako </w:t>
      </w:r>
      <w:r w:rsidR="00493D52" w:rsidRPr="00033A3F">
        <w:rPr>
          <w:color w:val="000000" w:themeColor="text1"/>
        </w:rPr>
        <w:t>v předchozím případě</w:t>
      </w:r>
      <w:r w:rsidRPr="00033A3F">
        <w:rPr>
          <w:color w:val="000000" w:themeColor="text1"/>
        </w:rPr>
        <w:t xml:space="preserve"> (odvolání u věcí z rejstříku C u OS) jsou délky řízení poměrně stabilní a nízké. Průměr a medián 90 jsou nižší než u odvolání u věcí z rejstříku C u OS. Existuje zde tedy méně extrémně dlouhých řízení.</w:t>
      </w:r>
    </w:p>
    <w:p w14:paraId="3A5A62E6" w14:textId="77777777" w:rsidR="002A2866" w:rsidRPr="00033A3F" w:rsidRDefault="002A2866" w:rsidP="002A2866">
      <w:pPr>
        <w:pStyle w:val="OdstavecASR"/>
        <w:rPr>
          <w:rFonts w:eastAsia="Times New Roman"/>
          <w:b/>
          <w:iCs/>
          <w:color w:val="000000" w:themeColor="text1"/>
          <w:spacing w:val="15"/>
          <w:szCs w:val="24"/>
        </w:rPr>
      </w:pPr>
      <w:r w:rsidRPr="00033A3F">
        <w:rPr>
          <w:color w:val="000000" w:themeColor="text1"/>
        </w:rPr>
        <w:br w:type="page"/>
      </w:r>
    </w:p>
    <w:p w14:paraId="6C00E306" w14:textId="3BE4B5CB" w:rsidR="002A2866" w:rsidRPr="00033A3F" w:rsidRDefault="002A2866" w:rsidP="002A2866">
      <w:pPr>
        <w:pStyle w:val="Podnadpis"/>
        <w:rPr>
          <w:color w:val="000000" w:themeColor="text1"/>
        </w:rPr>
      </w:pPr>
      <w:bookmarkStart w:id="1289" w:name="_Toc193530919"/>
      <w:bookmarkStart w:id="1290" w:name="_Toc194045616"/>
      <w:bookmarkStart w:id="1291" w:name="_Toc199495026"/>
      <w:bookmarkStart w:id="1292" w:name="_Toc203033087"/>
      <w:bookmarkStart w:id="1293" w:name="_Toc203033165"/>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45</w:t>
      </w:r>
      <w:r w:rsidRPr="00033A3F">
        <w:rPr>
          <w:color w:val="000000" w:themeColor="text1"/>
        </w:rPr>
        <w:fldChar w:fldCharType="end"/>
      </w:r>
      <w:r w:rsidRPr="00033A3F">
        <w:rPr>
          <w:color w:val="000000" w:themeColor="text1"/>
        </w:rPr>
        <w:t xml:space="preserve">: KS – délky </w:t>
      </w:r>
      <w:r w:rsidR="00952C0A" w:rsidRPr="00033A3F">
        <w:rPr>
          <w:color w:val="000000" w:themeColor="text1"/>
        </w:rPr>
        <w:t xml:space="preserve">odvol. civil. </w:t>
      </w:r>
      <w:r w:rsidRPr="00033A3F">
        <w:rPr>
          <w:color w:val="000000" w:themeColor="text1"/>
        </w:rPr>
        <w:t xml:space="preserve">řízení dle soudů, 2024 (rejstřík </w:t>
      </w:r>
      <w:r w:rsidR="00E211EB" w:rsidRPr="00033A3F">
        <w:rPr>
          <w:color w:val="000000" w:themeColor="text1"/>
        </w:rPr>
        <w:t>P a Nc</w:t>
      </w:r>
      <w:r w:rsidRPr="00033A3F">
        <w:rPr>
          <w:color w:val="000000" w:themeColor="text1"/>
        </w:rPr>
        <w:t>)</w:t>
      </w:r>
      <w:bookmarkEnd w:id="1289"/>
      <w:bookmarkEnd w:id="1290"/>
      <w:bookmarkEnd w:id="1291"/>
      <w:bookmarkEnd w:id="1292"/>
      <w:bookmarkEnd w:id="1293"/>
    </w:p>
    <w:tbl>
      <w:tblPr>
        <w:tblW w:w="7520" w:type="dxa"/>
        <w:tblCellMar>
          <w:left w:w="70" w:type="dxa"/>
          <w:right w:w="70" w:type="dxa"/>
        </w:tblCellMar>
        <w:tblLook w:val="04A0" w:firstRow="1" w:lastRow="0" w:firstColumn="1" w:lastColumn="0" w:noHBand="0" w:noVBand="1"/>
      </w:tblPr>
      <w:tblGrid>
        <w:gridCol w:w="2480"/>
        <w:gridCol w:w="922"/>
        <w:gridCol w:w="758"/>
        <w:gridCol w:w="802"/>
        <w:gridCol w:w="878"/>
        <w:gridCol w:w="823"/>
        <w:gridCol w:w="857"/>
      </w:tblGrid>
      <w:tr w:rsidR="00033A3F" w:rsidRPr="00033A3F" w14:paraId="5C84CAA7" w14:textId="77777777" w:rsidTr="002A2866">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EDA034C"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0CBD7D83"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71C798DC" w14:textId="77777777" w:rsidTr="002A2866">
        <w:trPr>
          <w:trHeight w:val="330"/>
        </w:trPr>
        <w:tc>
          <w:tcPr>
            <w:tcW w:w="2480" w:type="dxa"/>
            <w:vMerge/>
            <w:tcBorders>
              <w:top w:val="double" w:sz="6" w:space="0" w:color="auto"/>
              <w:left w:val="nil"/>
              <w:bottom w:val="double" w:sz="6" w:space="0" w:color="000000"/>
              <w:right w:val="nil"/>
            </w:tcBorders>
            <w:vAlign w:val="center"/>
            <w:hideMark/>
          </w:tcPr>
          <w:p w14:paraId="6D5F4E1E" w14:textId="77777777" w:rsidR="002A2866" w:rsidRPr="00033A3F" w:rsidRDefault="002A2866" w:rsidP="002A2866">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7C44D2D9"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759DC12"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4D5C8783"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4D75F1DF" w14:textId="77777777" w:rsidTr="004C0D35">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1401BD2"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63781058"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w:t>
            </w:r>
          </w:p>
        </w:tc>
        <w:tc>
          <w:tcPr>
            <w:tcW w:w="758" w:type="dxa"/>
            <w:tcBorders>
              <w:top w:val="single" w:sz="4" w:space="0" w:color="auto"/>
              <w:left w:val="nil"/>
              <w:bottom w:val="single" w:sz="4" w:space="0" w:color="auto"/>
              <w:right w:val="nil"/>
            </w:tcBorders>
            <w:shd w:val="clear" w:color="auto" w:fill="auto"/>
            <w:noWrap/>
            <w:vAlign w:val="center"/>
            <w:hideMark/>
          </w:tcPr>
          <w:p w14:paraId="1017DDA2" w14:textId="729AF77E"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802" w:type="dxa"/>
            <w:tcBorders>
              <w:top w:val="nil"/>
              <w:left w:val="single" w:sz="4" w:space="0" w:color="auto"/>
              <w:bottom w:val="single" w:sz="4" w:space="0" w:color="auto"/>
              <w:right w:val="nil"/>
            </w:tcBorders>
            <w:shd w:val="clear" w:color="auto" w:fill="auto"/>
            <w:noWrap/>
            <w:vAlign w:val="bottom"/>
            <w:hideMark/>
          </w:tcPr>
          <w:p w14:paraId="7E9E4546"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w:t>
            </w:r>
          </w:p>
        </w:tc>
        <w:tc>
          <w:tcPr>
            <w:tcW w:w="878" w:type="dxa"/>
            <w:tcBorders>
              <w:top w:val="nil"/>
              <w:left w:val="nil"/>
              <w:bottom w:val="single" w:sz="4" w:space="0" w:color="auto"/>
              <w:right w:val="single" w:sz="4" w:space="0" w:color="auto"/>
            </w:tcBorders>
            <w:shd w:val="clear" w:color="auto" w:fill="auto"/>
            <w:noWrap/>
            <w:vAlign w:val="center"/>
            <w:hideMark/>
          </w:tcPr>
          <w:p w14:paraId="18D47BD4" w14:textId="3E15867F"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823" w:type="dxa"/>
            <w:tcBorders>
              <w:top w:val="single" w:sz="4" w:space="0" w:color="auto"/>
              <w:left w:val="nil"/>
              <w:bottom w:val="single" w:sz="4" w:space="0" w:color="auto"/>
              <w:right w:val="nil"/>
            </w:tcBorders>
            <w:shd w:val="clear" w:color="auto" w:fill="auto"/>
            <w:noWrap/>
            <w:vAlign w:val="bottom"/>
            <w:hideMark/>
          </w:tcPr>
          <w:p w14:paraId="2A9F2EFC"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113</w:t>
            </w:r>
          </w:p>
        </w:tc>
        <w:tc>
          <w:tcPr>
            <w:tcW w:w="857" w:type="dxa"/>
            <w:tcBorders>
              <w:top w:val="single" w:sz="4" w:space="0" w:color="auto"/>
              <w:left w:val="nil"/>
              <w:bottom w:val="single" w:sz="4" w:space="0" w:color="auto"/>
              <w:right w:val="nil"/>
            </w:tcBorders>
            <w:shd w:val="clear" w:color="auto" w:fill="auto"/>
            <w:noWrap/>
            <w:vAlign w:val="center"/>
            <w:hideMark/>
          </w:tcPr>
          <w:p w14:paraId="37DA5183" w14:textId="5AD59B5D"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3F45DC21"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40CCC557"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0ABB5F78"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758" w:type="dxa"/>
            <w:tcBorders>
              <w:top w:val="nil"/>
              <w:left w:val="nil"/>
              <w:bottom w:val="single" w:sz="4" w:space="0" w:color="auto"/>
              <w:right w:val="nil"/>
            </w:tcBorders>
            <w:shd w:val="clear" w:color="auto" w:fill="auto"/>
            <w:noWrap/>
            <w:vAlign w:val="center"/>
            <w:hideMark/>
          </w:tcPr>
          <w:p w14:paraId="514A2F4C" w14:textId="4FB627D6"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802" w:type="dxa"/>
            <w:tcBorders>
              <w:top w:val="nil"/>
              <w:left w:val="single" w:sz="4" w:space="0" w:color="auto"/>
              <w:bottom w:val="single" w:sz="4" w:space="0" w:color="auto"/>
              <w:right w:val="nil"/>
            </w:tcBorders>
            <w:shd w:val="clear" w:color="auto" w:fill="auto"/>
            <w:noWrap/>
            <w:vAlign w:val="bottom"/>
            <w:hideMark/>
          </w:tcPr>
          <w:p w14:paraId="260552FF"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w:t>
            </w:r>
          </w:p>
        </w:tc>
        <w:tc>
          <w:tcPr>
            <w:tcW w:w="878" w:type="dxa"/>
            <w:tcBorders>
              <w:top w:val="nil"/>
              <w:left w:val="nil"/>
              <w:bottom w:val="single" w:sz="4" w:space="0" w:color="auto"/>
              <w:right w:val="single" w:sz="4" w:space="0" w:color="auto"/>
            </w:tcBorders>
            <w:shd w:val="clear" w:color="auto" w:fill="auto"/>
            <w:noWrap/>
            <w:vAlign w:val="center"/>
            <w:hideMark/>
          </w:tcPr>
          <w:p w14:paraId="354DD90E" w14:textId="1A23098C"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823" w:type="dxa"/>
            <w:tcBorders>
              <w:top w:val="nil"/>
              <w:left w:val="nil"/>
              <w:bottom w:val="single" w:sz="4" w:space="0" w:color="auto"/>
              <w:right w:val="nil"/>
            </w:tcBorders>
            <w:shd w:val="clear" w:color="auto" w:fill="auto"/>
            <w:noWrap/>
            <w:vAlign w:val="bottom"/>
            <w:hideMark/>
          </w:tcPr>
          <w:p w14:paraId="068CAE74"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120</w:t>
            </w:r>
          </w:p>
        </w:tc>
        <w:tc>
          <w:tcPr>
            <w:tcW w:w="857" w:type="dxa"/>
            <w:tcBorders>
              <w:top w:val="nil"/>
              <w:left w:val="nil"/>
              <w:bottom w:val="single" w:sz="4" w:space="0" w:color="auto"/>
              <w:right w:val="nil"/>
            </w:tcBorders>
            <w:shd w:val="clear" w:color="auto" w:fill="auto"/>
            <w:noWrap/>
            <w:vAlign w:val="center"/>
            <w:hideMark/>
          </w:tcPr>
          <w:p w14:paraId="5E0D4CBD" w14:textId="4D31FA4E"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6943D9E1"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761AC649"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7C35D8B9"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w:t>
            </w:r>
          </w:p>
        </w:tc>
        <w:tc>
          <w:tcPr>
            <w:tcW w:w="758" w:type="dxa"/>
            <w:tcBorders>
              <w:top w:val="nil"/>
              <w:left w:val="nil"/>
              <w:bottom w:val="single" w:sz="4" w:space="0" w:color="auto"/>
              <w:right w:val="nil"/>
            </w:tcBorders>
            <w:shd w:val="clear" w:color="auto" w:fill="auto"/>
            <w:noWrap/>
            <w:vAlign w:val="center"/>
            <w:hideMark/>
          </w:tcPr>
          <w:p w14:paraId="38C83B4D" w14:textId="115C4FE4"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802" w:type="dxa"/>
            <w:tcBorders>
              <w:top w:val="nil"/>
              <w:left w:val="single" w:sz="4" w:space="0" w:color="auto"/>
              <w:bottom w:val="single" w:sz="4" w:space="0" w:color="auto"/>
              <w:right w:val="nil"/>
            </w:tcBorders>
            <w:shd w:val="clear" w:color="auto" w:fill="auto"/>
            <w:noWrap/>
            <w:vAlign w:val="bottom"/>
            <w:hideMark/>
          </w:tcPr>
          <w:p w14:paraId="7497C9D1"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w:t>
            </w:r>
          </w:p>
        </w:tc>
        <w:tc>
          <w:tcPr>
            <w:tcW w:w="878" w:type="dxa"/>
            <w:tcBorders>
              <w:top w:val="nil"/>
              <w:left w:val="nil"/>
              <w:bottom w:val="single" w:sz="4" w:space="0" w:color="auto"/>
              <w:right w:val="single" w:sz="4" w:space="0" w:color="auto"/>
            </w:tcBorders>
            <w:shd w:val="clear" w:color="auto" w:fill="auto"/>
            <w:noWrap/>
            <w:vAlign w:val="center"/>
            <w:hideMark/>
          </w:tcPr>
          <w:p w14:paraId="7E2656C0" w14:textId="1D71913B"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823" w:type="dxa"/>
            <w:tcBorders>
              <w:top w:val="nil"/>
              <w:left w:val="nil"/>
              <w:bottom w:val="single" w:sz="4" w:space="0" w:color="auto"/>
              <w:right w:val="nil"/>
            </w:tcBorders>
            <w:shd w:val="clear" w:color="auto" w:fill="auto"/>
            <w:noWrap/>
            <w:vAlign w:val="bottom"/>
            <w:hideMark/>
          </w:tcPr>
          <w:p w14:paraId="1FDAFF75"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113</w:t>
            </w:r>
          </w:p>
        </w:tc>
        <w:tc>
          <w:tcPr>
            <w:tcW w:w="857" w:type="dxa"/>
            <w:tcBorders>
              <w:top w:val="nil"/>
              <w:left w:val="nil"/>
              <w:bottom w:val="single" w:sz="4" w:space="0" w:color="auto"/>
              <w:right w:val="nil"/>
            </w:tcBorders>
            <w:shd w:val="clear" w:color="auto" w:fill="auto"/>
            <w:noWrap/>
            <w:vAlign w:val="center"/>
            <w:hideMark/>
          </w:tcPr>
          <w:p w14:paraId="2F870126" w14:textId="28DD4F24"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0AEB7606"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6B0A8D17"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0ED38AF8"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65</w:t>
            </w:r>
          </w:p>
        </w:tc>
        <w:tc>
          <w:tcPr>
            <w:tcW w:w="758" w:type="dxa"/>
            <w:tcBorders>
              <w:top w:val="nil"/>
              <w:left w:val="nil"/>
              <w:bottom w:val="single" w:sz="4" w:space="0" w:color="auto"/>
              <w:right w:val="nil"/>
            </w:tcBorders>
            <w:shd w:val="clear" w:color="auto" w:fill="auto"/>
            <w:noWrap/>
            <w:vAlign w:val="center"/>
            <w:hideMark/>
          </w:tcPr>
          <w:p w14:paraId="6486F6E0" w14:textId="4D31CF3A"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c>
          <w:tcPr>
            <w:tcW w:w="802" w:type="dxa"/>
            <w:tcBorders>
              <w:top w:val="nil"/>
              <w:left w:val="single" w:sz="4" w:space="0" w:color="auto"/>
              <w:bottom w:val="single" w:sz="4" w:space="0" w:color="auto"/>
              <w:right w:val="nil"/>
            </w:tcBorders>
            <w:shd w:val="clear" w:color="auto" w:fill="auto"/>
            <w:noWrap/>
            <w:vAlign w:val="bottom"/>
            <w:hideMark/>
          </w:tcPr>
          <w:p w14:paraId="28B9E4B7"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878" w:type="dxa"/>
            <w:tcBorders>
              <w:top w:val="nil"/>
              <w:left w:val="nil"/>
              <w:bottom w:val="single" w:sz="4" w:space="0" w:color="auto"/>
              <w:right w:val="single" w:sz="4" w:space="0" w:color="auto"/>
            </w:tcBorders>
            <w:shd w:val="clear" w:color="auto" w:fill="auto"/>
            <w:noWrap/>
            <w:vAlign w:val="center"/>
            <w:hideMark/>
          </w:tcPr>
          <w:p w14:paraId="7E880530" w14:textId="0AE7B1ED"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+33 %</w:t>
            </w:r>
          </w:p>
        </w:tc>
        <w:tc>
          <w:tcPr>
            <w:tcW w:w="823" w:type="dxa"/>
            <w:tcBorders>
              <w:top w:val="nil"/>
              <w:left w:val="nil"/>
              <w:bottom w:val="single" w:sz="4" w:space="0" w:color="auto"/>
              <w:right w:val="nil"/>
            </w:tcBorders>
            <w:shd w:val="clear" w:color="auto" w:fill="auto"/>
            <w:noWrap/>
            <w:vAlign w:val="bottom"/>
            <w:hideMark/>
          </w:tcPr>
          <w:p w14:paraId="433BF1EE"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117</w:t>
            </w:r>
          </w:p>
        </w:tc>
        <w:tc>
          <w:tcPr>
            <w:tcW w:w="857" w:type="dxa"/>
            <w:tcBorders>
              <w:top w:val="nil"/>
              <w:left w:val="nil"/>
              <w:bottom w:val="single" w:sz="4" w:space="0" w:color="auto"/>
              <w:right w:val="nil"/>
            </w:tcBorders>
            <w:shd w:val="clear" w:color="auto" w:fill="auto"/>
            <w:noWrap/>
            <w:vAlign w:val="center"/>
            <w:hideMark/>
          </w:tcPr>
          <w:p w14:paraId="6DBD1C16" w14:textId="75A17A01"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033A3F" w:rsidRPr="00033A3F" w14:paraId="2486DDA8"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061B8BBD"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69CC970B"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w:t>
            </w:r>
          </w:p>
        </w:tc>
        <w:tc>
          <w:tcPr>
            <w:tcW w:w="758" w:type="dxa"/>
            <w:tcBorders>
              <w:top w:val="nil"/>
              <w:left w:val="nil"/>
              <w:bottom w:val="single" w:sz="4" w:space="0" w:color="auto"/>
              <w:right w:val="nil"/>
            </w:tcBorders>
            <w:shd w:val="clear" w:color="auto" w:fill="auto"/>
            <w:noWrap/>
            <w:vAlign w:val="center"/>
            <w:hideMark/>
          </w:tcPr>
          <w:p w14:paraId="68CB627A" w14:textId="4ED27F4F"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802" w:type="dxa"/>
            <w:tcBorders>
              <w:top w:val="nil"/>
              <w:left w:val="single" w:sz="4" w:space="0" w:color="auto"/>
              <w:bottom w:val="single" w:sz="4" w:space="0" w:color="auto"/>
              <w:right w:val="nil"/>
            </w:tcBorders>
            <w:shd w:val="clear" w:color="auto" w:fill="auto"/>
            <w:noWrap/>
            <w:vAlign w:val="bottom"/>
            <w:hideMark/>
          </w:tcPr>
          <w:p w14:paraId="5D8DC839"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72</w:t>
            </w:r>
          </w:p>
        </w:tc>
        <w:tc>
          <w:tcPr>
            <w:tcW w:w="878" w:type="dxa"/>
            <w:tcBorders>
              <w:top w:val="nil"/>
              <w:left w:val="nil"/>
              <w:bottom w:val="single" w:sz="4" w:space="0" w:color="auto"/>
              <w:right w:val="single" w:sz="4" w:space="0" w:color="auto"/>
            </w:tcBorders>
            <w:shd w:val="clear" w:color="auto" w:fill="auto"/>
            <w:noWrap/>
            <w:vAlign w:val="center"/>
            <w:hideMark/>
          </w:tcPr>
          <w:p w14:paraId="23470DBF" w14:textId="7C6AD8C8"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823" w:type="dxa"/>
            <w:tcBorders>
              <w:top w:val="nil"/>
              <w:left w:val="nil"/>
              <w:bottom w:val="single" w:sz="4" w:space="0" w:color="auto"/>
              <w:right w:val="nil"/>
            </w:tcBorders>
            <w:shd w:val="clear" w:color="auto" w:fill="auto"/>
            <w:noWrap/>
            <w:vAlign w:val="bottom"/>
            <w:hideMark/>
          </w:tcPr>
          <w:p w14:paraId="77E72675"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176</w:t>
            </w:r>
          </w:p>
        </w:tc>
        <w:tc>
          <w:tcPr>
            <w:tcW w:w="857" w:type="dxa"/>
            <w:tcBorders>
              <w:top w:val="nil"/>
              <w:left w:val="nil"/>
              <w:bottom w:val="single" w:sz="4" w:space="0" w:color="auto"/>
              <w:right w:val="nil"/>
            </w:tcBorders>
            <w:shd w:val="clear" w:color="auto" w:fill="auto"/>
            <w:noWrap/>
            <w:vAlign w:val="center"/>
            <w:hideMark/>
          </w:tcPr>
          <w:p w14:paraId="79BB610B" w14:textId="2A0B5DC1"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033A3F" w:rsidRPr="00033A3F" w14:paraId="2082EF62"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64F236D8"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3B2EDAE1"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73</w:t>
            </w:r>
          </w:p>
        </w:tc>
        <w:tc>
          <w:tcPr>
            <w:tcW w:w="758" w:type="dxa"/>
            <w:tcBorders>
              <w:top w:val="nil"/>
              <w:left w:val="nil"/>
              <w:bottom w:val="single" w:sz="4" w:space="0" w:color="auto"/>
              <w:right w:val="nil"/>
            </w:tcBorders>
            <w:shd w:val="clear" w:color="auto" w:fill="auto"/>
            <w:noWrap/>
            <w:vAlign w:val="center"/>
            <w:hideMark/>
          </w:tcPr>
          <w:p w14:paraId="0F8FBE7C" w14:textId="11187A93"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802" w:type="dxa"/>
            <w:tcBorders>
              <w:top w:val="nil"/>
              <w:left w:val="single" w:sz="4" w:space="0" w:color="auto"/>
              <w:bottom w:val="single" w:sz="4" w:space="0" w:color="auto"/>
              <w:right w:val="nil"/>
            </w:tcBorders>
            <w:shd w:val="clear" w:color="auto" w:fill="auto"/>
            <w:noWrap/>
            <w:vAlign w:val="bottom"/>
            <w:hideMark/>
          </w:tcPr>
          <w:p w14:paraId="188B5F3C"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w:t>
            </w:r>
          </w:p>
        </w:tc>
        <w:tc>
          <w:tcPr>
            <w:tcW w:w="878" w:type="dxa"/>
            <w:tcBorders>
              <w:top w:val="nil"/>
              <w:left w:val="nil"/>
              <w:bottom w:val="single" w:sz="4" w:space="0" w:color="auto"/>
              <w:right w:val="single" w:sz="4" w:space="0" w:color="auto"/>
            </w:tcBorders>
            <w:shd w:val="clear" w:color="auto" w:fill="auto"/>
            <w:noWrap/>
            <w:vAlign w:val="center"/>
            <w:hideMark/>
          </w:tcPr>
          <w:p w14:paraId="35D13F83" w14:textId="73231B7C"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823" w:type="dxa"/>
            <w:tcBorders>
              <w:top w:val="nil"/>
              <w:left w:val="nil"/>
              <w:bottom w:val="single" w:sz="4" w:space="0" w:color="auto"/>
              <w:right w:val="nil"/>
            </w:tcBorders>
            <w:shd w:val="clear" w:color="auto" w:fill="auto"/>
            <w:noWrap/>
            <w:vAlign w:val="bottom"/>
            <w:hideMark/>
          </w:tcPr>
          <w:p w14:paraId="377E5FB4"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130</w:t>
            </w:r>
          </w:p>
        </w:tc>
        <w:tc>
          <w:tcPr>
            <w:tcW w:w="857" w:type="dxa"/>
            <w:tcBorders>
              <w:top w:val="nil"/>
              <w:left w:val="nil"/>
              <w:bottom w:val="single" w:sz="4" w:space="0" w:color="auto"/>
              <w:right w:val="nil"/>
            </w:tcBorders>
            <w:shd w:val="clear" w:color="auto" w:fill="auto"/>
            <w:noWrap/>
            <w:vAlign w:val="center"/>
            <w:hideMark/>
          </w:tcPr>
          <w:p w14:paraId="062A5170" w14:textId="24E26C32"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676BF976"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5A265732"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0BEBF5C7"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w:t>
            </w:r>
          </w:p>
        </w:tc>
        <w:tc>
          <w:tcPr>
            <w:tcW w:w="758" w:type="dxa"/>
            <w:tcBorders>
              <w:top w:val="nil"/>
              <w:left w:val="nil"/>
              <w:bottom w:val="single" w:sz="4" w:space="0" w:color="auto"/>
              <w:right w:val="nil"/>
            </w:tcBorders>
            <w:shd w:val="clear" w:color="auto" w:fill="auto"/>
            <w:noWrap/>
            <w:vAlign w:val="center"/>
            <w:hideMark/>
          </w:tcPr>
          <w:p w14:paraId="76409A3F" w14:textId="1D5D6F4A"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802" w:type="dxa"/>
            <w:tcBorders>
              <w:top w:val="nil"/>
              <w:left w:val="single" w:sz="4" w:space="0" w:color="auto"/>
              <w:bottom w:val="single" w:sz="4" w:space="0" w:color="auto"/>
              <w:right w:val="nil"/>
            </w:tcBorders>
            <w:shd w:val="clear" w:color="auto" w:fill="auto"/>
            <w:noWrap/>
            <w:vAlign w:val="bottom"/>
            <w:hideMark/>
          </w:tcPr>
          <w:p w14:paraId="276A639E"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w:t>
            </w:r>
          </w:p>
        </w:tc>
        <w:tc>
          <w:tcPr>
            <w:tcW w:w="878" w:type="dxa"/>
            <w:tcBorders>
              <w:top w:val="nil"/>
              <w:left w:val="nil"/>
              <w:bottom w:val="single" w:sz="4" w:space="0" w:color="auto"/>
              <w:right w:val="single" w:sz="4" w:space="0" w:color="auto"/>
            </w:tcBorders>
            <w:shd w:val="clear" w:color="auto" w:fill="auto"/>
            <w:noWrap/>
            <w:vAlign w:val="center"/>
            <w:hideMark/>
          </w:tcPr>
          <w:p w14:paraId="377C5A46" w14:textId="24833B68"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823" w:type="dxa"/>
            <w:tcBorders>
              <w:top w:val="nil"/>
              <w:left w:val="nil"/>
              <w:bottom w:val="single" w:sz="4" w:space="0" w:color="auto"/>
              <w:right w:val="nil"/>
            </w:tcBorders>
            <w:shd w:val="clear" w:color="auto" w:fill="auto"/>
            <w:noWrap/>
            <w:vAlign w:val="bottom"/>
            <w:hideMark/>
          </w:tcPr>
          <w:p w14:paraId="389FF9E9"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207</w:t>
            </w:r>
          </w:p>
        </w:tc>
        <w:tc>
          <w:tcPr>
            <w:tcW w:w="857" w:type="dxa"/>
            <w:tcBorders>
              <w:top w:val="nil"/>
              <w:left w:val="nil"/>
              <w:bottom w:val="single" w:sz="4" w:space="0" w:color="auto"/>
              <w:right w:val="nil"/>
            </w:tcBorders>
            <w:shd w:val="clear" w:color="auto" w:fill="auto"/>
            <w:noWrap/>
            <w:vAlign w:val="center"/>
            <w:hideMark/>
          </w:tcPr>
          <w:p w14:paraId="6C43283F" w14:textId="598AD03C"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5D369AA3" w14:textId="77777777" w:rsidTr="004C0D35">
        <w:trPr>
          <w:trHeight w:val="330"/>
        </w:trPr>
        <w:tc>
          <w:tcPr>
            <w:tcW w:w="2480" w:type="dxa"/>
            <w:tcBorders>
              <w:top w:val="nil"/>
              <w:left w:val="nil"/>
              <w:bottom w:val="double" w:sz="6" w:space="0" w:color="auto"/>
              <w:right w:val="nil"/>
            </w:tcBorders>
            <w:shd w:val="clear" w:color="auto" w:fill="auto"/>
            <w:noWrap/>
            <w:vAlign w:val="bottom"/>
            <w:hideMark/>
          </w:tcPr>
          <w:p w14:paraId="344E1862"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330A2C63"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p>
        </w:tc>
        <w:tc>
          <w:tcPr>
            <w:tcW w:w="758" w:type="dxa"/>
            <w:tcBorders>
              <w:top w:val="nil"/>
              <w:left w:val="nil"/>
              <w:bottom w:val="double" w:sz="6" w:space="0" w:color="auto"/>
              <w:right w:val="nil"/>
            </w:tcBorders>
            <w:shd w:val="clear" w:color="auto" w:fill="auto"/>
            <w:noWrap/>
            <w:vAlign w:val="center"/>
            <w:hideMark/>
          </w:tcPr>
          <w:p w14:paraId="2855A211" w14:textId="3D636444"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802" w:type="dxa"/>
            <w:tcBorders>
              <w:top w:val="nil"/>
              <w:left w:val="single" w:sz="4" w:space="0" w:color="auto"/>
              <w:bottom w:val="double" w:sz="6" w:space="0" w:color="auto"/>
              <w:right w:val="nil"/>
            </w:tcBorders>
            <w:shd w:val="clear" w:color="auto" w:fill="auto"/>
            <w:noWrap/>
            <w:vAlign w:val="bottom"/>
            <w:hideMark/>
          </w:tcPr>
          <w:p w14:paraId="78372051"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106</w:t>
            </w:r>
          </w:p>
        </w:tc>
        <w:tc>
          <w:tcPr>
            <w:tcW w:w="878" w:type="dxa"/>
            <w:tcBorders>
              <w:top w:val="nil"/>
              <w:left w:val="nil"/>
              <w:bottom w:val="double" w:sz="6" w:space="0" w:color="auto"/>
              <w:right w:val="single" w:sz="4" w:space="0" w:color="auto"/>
            </w:tcBorders>
            <w:shd w:val="clear" w:color="auto" w:fill="auto"/>
            <w:noWrap/>
            <w:vAlign w:val="center"/>
            <w:hideMark/>
          </w:tcPr>
          <w:p w14:paraId="75DFC1D4" w14:textId="290A4FB5"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823" w:type="dxa"/>
            <w:tcBorders>
              <w:top w:val="nil"/>
              <w:left w:val="nil"/>
              <w:bottom w:val="double" w:sz="6" w:space="0" w:color="auto"/>
              <w:right w:val="nil"/>
            </w:tcBorders>
            <w:shd w:val="clear" w:color="auto" w:fill="auto"/>
            <w:noWrap/>
            <w:vAlign w:val="bottom"/>
            <w:hideMark/>
          </w:tcPr>
          <w:p w14:paraId="241BCC57"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171</w:t>
            </w:r>
          </w:p>
        </w:tc>
        <w:tc>
          <w:tcPr>
            <w:tcW w:w="857" w:type="dxa"/>
            <w:tcBorders>
              <w:top w:val="nil"/>
              <w:left w:val="nil"/>
              <w:bottom w:val="double" w:sz="6" w:space="0" w:color="auto"/>
              <w:right w:val="nil"/>
            </w:tcBorders>
            <w:shd w:val="clear" w:color="auto" w:fill="auto"/>
            <w:noWrap/>
            <w:vAlign w:val="center"/>
            <w:hideMark/>
          </w:tcPr>
          <w:p w14:paraId="597AF5DA" w14:textId="0BA0A5C7"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6A58827C" w14:textId="77777777" w:rsidTr="004C0D35">
        <w:trPr>
          <w:trHeight w:val="345"/>
        </w:trPr>
        <w:tc>
          <w:tcPr>
            <w:tcW w:w="2480" w:type="dxa"/>
            <w:tcBorders>
              <w:top w:val="nil"/>
              <w:left w:val="nil"/>
              <w:bottom w:val="double" w:sz="6" w:space="0" w:color="auto"/>
              <w:right w:val="nil"/>
            </w:tcBorders>
            <w:shd w:val="clear" w:color="auto" w:fill="auto"/>
            <w:noWrap/>
            <w:vAlign w:val="bottom"/>
            <w:hideMark/>
          </w:tcPr>
          <w:p w14:paraId="12D75561" w14:textId="77777777" w:rsidR="002A2866" w:rsidRPr="00033A3F" w:rsidRDefault="002A2866" w:rsidP="002A286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69F32EDF"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84</w:t>
            </w:r>
          </w:p>
        </w:tc>
        <w:tc>
          <w:tcPr>
            <w:tcW w:w="758" w:type="dxa"/>
            <w:tcBorders>
              <w:top w:val="nil"/>
              <w:left w:val="nil"/>
              <w:bottom w:val="double" w:sz="6" w:space="0" w:color="auto"/>
              <w:right w:val="nil"/>
            </w:tcBorders>
            <w:shd w:val="clear" w:color="auto" w:fill="auto"/>
            <w:noWrap/>
            <w:vAlign w:val="center"/>
            <w:hideMark/>
          </w:tcPr>
          <w:p w14:paraId="315A098A" w14:textId="2D0480A9" w:rsidR="002A2866" w:rsidRPr="00033A3F" w:rsidRDefault="002A2866" w:rsidP="002A2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802" w:type="dxa"/>
            <w:tcBorders>
              <w:top w:val="nil"/>
              <w:left w:val="single" w:sz="4" w:space="0" w:color="auto"/>
              <w:bottom w:val="double" w:sz="6" w:space="0" w:color="auto"/>
              <w:right w:val="nil"/>
            </w:tcBorders>
            <w:shd w:val="clear" w:color="auto" w:fill="auto"/>
            <w:noWrap/>
            <w:vAlign w:val="bottom"/>
            <w:hideMark/>
          </w:tcPr>
          <w:p w14:paraId="662CB584"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67</w:t>
            </w:r>
          </w:p>
        </w:tc>
        <w:tc>
          <w:tcPr>
            <w:tcW w:w="878" w:type="dxa"/>
            <w:tcBorders>
              <w:top w:val="nil"/>
              <w:left w:val="nil"/>
              <w:bottom w:val="double" w:sz="6" w:space="0" w:color="auto"/>
              <w:right w:val="single" w:sz="4" w:space="0" w:color="auto"/>
            </w:tcBorders>
            <w:shd w:val="clear" w:color="auto" w:fill="auto"/>
            <w:noWrap/>
            <w:vAlign w:val="center"/>
            <w:hideMark/>
          </w:tcPr>
          <w:p w14:paraId="5C3C869B" w14:textId="20C8A42B" w:rsidR="002A2866" w:rsidRPr="00033A3F" w:rsidRDefault="002A2866" w:rsidP="002A2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823" w:type="dxa"/>
            <w:tcBorders>
              <w:top w:val="nil"/>
              <w:left w:val="nil"/>
              <w:bottom w:val="double" w:sz="6" w:space="0" w:color="auto"/>
              <w:right w:val="nil"/>
            </w:tcBorders>
            <w:shd w:val="clear" w:color="auto" w:fill="auto"/>
            <w:noWrap/>
            <w:vAlign w:val="bottom"/>
            <w:hideMark/>
          </w:tcPr>
          <w:p w14:paraId="1904D99A"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159</w:t>
            </w:r>
          </w:p>
        </w:tc>
        <w:tc>
          <w:tcPr>
            <w:tcW w:w="857" w:type="dxa"/>
            <w:tcBorders>
              <w:top w:val="nil"/>
              <w:left w:val="nil"/>
              <w:bottom w:val="double" w:sz="6" w:space="0" w:color="auto"/>
              <w:right w:val="nil"/>
            </w:tcBorders>
            <w:shd w:val="clear" w:color="auto" w:fill="auto"/>
            <w:noWrap/>
            <w:vAlign w:val="center"/>
            <w:hideMark/>
          </w:tcPr>
          <w:p w14:paraId="6A1CB4FF" w14:textId="4C4ED81E" w:rsidR="002A2866" w:rsidRPr="00033A3F" w:rsidRDefault="002A2866" w:rsidP="002A2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r>
      <w:tr w:rsidR="00033A3F" w:rsidRPr="00033A3F" w14:paraId="08D9A8B8" w14:textId="77777777" w:rsidTr="004C0D35">
        <w:trPr>
          <w:trHeight w:val="330"/>
        </w:trPr>
        <w:tc>
          <w:tcPr>
            <w:tcW w:w="2480" w:type="dxa"/>
            <w:tcBorders>
              <w:top w:val="nil"/>
              <w:left w:val="nil"/>
              <w:bottom w:val="nil"/>
              <w:right w:val="nil"/>
            </w:tcBorders>
            <w:shd w:val="clear" w:color="auto" w:fill="auto"/>
            <w:noWrap/>
            <w:vAlign w:val="bottom"/>
            <w:hideMark/>
          </w:tcPr>
          <w:p w14:paraId="6092C5CE" w14:textId="77777777" w:rsidR="002A2866" w:rsidRPr="00033A3F" w:rsidRDefault="002A2866" w:rsidP="002A2866">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79BB6C37"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758" w:type="dxa"/>
            <w:tcBorders>
              <w:top w:val="nil"/>
              <w:left w:val="nil"/>
              <w:bottom w:val="nil"/>
              <w:right w:val="nil"/>
            </w:tcBorders>
            <w:shd w:val="clear" w:color="auto" w:fill="auto"/>
            <w:noWrap/>
            <w:vAlign w:val="bottom"/>
            <w:hideMark/>
          </w:tcPr>
          <w:p w14:paraId="263367E7"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802" w:type="dxa"/>
            <w:tcBorders>
              <w:top w:val="nil"/>
              <w:left w:val="nil"/>
              <w:bottom w:val="nil"/>
              <w:right w:val="nil"/>
            </w:tcBorders>
            <w:shd w:val="clear" w:color="auto" w:fill="auto"/>
            <w:noWrap/>
            <w:vAlign w:val="bottom"/>
            <w:hideMark/>
          </w:tcPr>
          <w:p w14:paraId="1D25CE61"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878" w:type="dxa"/>
            <w:tcBorders>
              <w:top w:val="nil"/>
              <w:left w:val="nil"/>
              <w:bottom w:val="nil"/>
              <w:right w:val="nil"/>
            </w:tcBorders>
            <w:shd w:val="clear" w:color="auto" w:fill="auto"/>
            <w:noWrap/>
            <w:vAlign w:val="bottom"/>
            <w:hideMark/>
          </w:tcPr>
          <w:p w14:paraId="4E6B2153"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823" w:type="dxa"/>
            <w:tcBorders>
              <w:top w:val="nil"/>
              <w:left w:val="nil"/>
              <w:bottom w:val="nil"/>
              <w:right w:val="nil"/>
            </w:tcBorders>
            <w:shd w:val="clear" w:color="auto" w:fill="auto"/>
            <w:noWrap/>
            <w:vAlign w:val="bottom"/>
            <w:hideMark/>
          </w:tcPr>
          <w:p w14:paraId="7EEA4EEE"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857" w:type="dxa"/>
            <w:tcBorders>
              <w:top w:val="nil"/>
              <w:left w:val="nil"/>
              <w:bottom w:val="nil"/>
              <w:right w:val="nil"/>
            </w:tcBorders>
            <w:shd w:val="clear" w:color="auto" w:fill="auto"/>
            <w:noWrap/>
            <w:vAlign w:val="bottom"/>
            <w:hideMark/>
          </w:tcPr>
          <w:p w14:paraId="7DE3023C"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r>
    </w:tbl>
    <w:p w14:paraId="6940A570" w14:textId="72C3CFBC" w:rsidR="002A2866" w:rsidRPr="00033A3F" w:rsidRDefault="002A2866" w:rsidP="004C0D35">
      <w:pPr>
        <w:pStyle w:val="OdstavecASR"/>
        <w:rPr>
          <w:color w:val="000000" w:themeColor="text1"/>
        </w:rPr>
      </w:pPr>
      <w:r w:rsidRPr="00033A3F">
        <w:rPr>
          <w:color w:val="000000" w:themeColor="text1"/>
        </w:rPr>
        <w:t>V této agendě vykazují nejdelší délky řízení KS Brno a KS Ostrava. Je zajímavé a neobvyklé, že medián je u KS v Ostravě vyšší než průměr</w:t>
      </w:r>
      <w:r w:rsidR="005A6EEC" w:rsidRPr="00033A3F">
        <w:rPr>
          <w:color w:val="000000" w:themeColor="text1"/>
        </w:rPr>
        <w:t>.</w:t>
      </w:r>
    </w:p>
    <w:p w14:paraId="27A30151" w14:textId="649F509F" w:rsidR="002A2866" w:rsidRPr="00033A3F" w:rsidRDefault="002A2866" w:rsidP="002A2866">
      <w:pPr>
        <w:pStyle w:val="Podnadpis"/>
        <w:numPr>
          <w:ilvl w:val="0"/>
          <w:numId w:val="0"/>
        </w:numPr>
        <w:rPr>
          <w:color w:val="000000" w:themeColor="text1"/>
        </w:rPr>
      </w:pPr>
      <w:bookmarkStart w:id="1294" w:name="_Toc193530822"/>
      <w:bookmarkStart w:id="1295" w:name="_Toc193634096"/>
      <w:bookmarkStart w:id="1296" w:name="_Toc20303289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67</w:t>
      </w:r>
      <w:r w:rsidRPr="00033A3F">
        <w:rPr>
          <w:color w:val="000000" w:themeColor="text1"/>
        </w:rPr>
        <w:fldChar w:fldCharType="end"/>
      </w:r>
      <w:r w:rsidRPr="00033A3F">
        <w:rPr>
          <w:color w:val="000000" w:themeColor="text1"/>
        </w:rPr>
        <w:t>: KS – distribuce délek odvolacího civilního řízení (rejstřík P a Nc)</w:t>
      </w:r>
      <w:bookmarkEnd w:id="1294"/>
      <w:bookmarkEnd w:id="1295"/>
      <w:bookmarkEnd w:id="1296"/>
    </w:p>
    <w:p w14:paraId="33764D27" w14:textId="7D6D3A13" w:rsidR="002A2866" w:rsidRPr="00033A3F" w:rsidRDefault="002A2866" w:rsidP="002A2866">
      <w:pPr>
        <w:rPr>
          <w:color w:val="000000" w:themeColor="text1"/>
        </w:rPr>
      </w:pPr>
      <w:r w:rsidRPr="00033A3F">
        <w:rPr>
          <w:noProof/>
          <w:color w:val="000000" w:themeColor="text1"/>
          <w:lang w:eastAsia="cs-CZ"/>
        </w:rPr>
        <w:drawing>
          <wp:inline distT="0" distB="0" distL="0" distR="0" wp14:anchorId="38368C54" wp14:editId="5379C49A">
            <wp:extent cx="5029200" cy="3657600"/>
            <wp:effectExtent l="0" t="0" r="0" b="0"/>
            <wp:docPr id="1130185420"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C7AAB01" w14:textId="1929E444" w:rsidR="002A2866" w:rsidRPr="00033A3F" w:rsidRDefault="002A2866" w:rsidP="002A2866">
      <w:pPr>
        <w:pStyle w:val="OdstavecASR"/>
        <w:rPr>
          <w:color w:val="000000" w:themeColor="text1"/>
        </w:rPr>
      </w:pPr>
      <w:r w:rsidRPr="00033A3F">
        <w:rPr>
          <w:color w:val="000000" w:themeColor="text1"/>
        </w:rPr>
        <w:t xml:space="preserve">Nakonec se také podíváme </w:t>
      </w:r>
      <w:r w:rsidR="001054BD" w:rsidRPr="00033A3F">
        <w:rPr>
          <w:color w:val="000000" w:themeColor="text1"/>
        </w:rPr>
        <w:t>na</w:t>
      </w:r>
      <w:r w:rsidRPr="00033A3F">
        <w:rPr>
          <w:color w:val="000000" w:themeColor="text1"/>
        </w:rPr>
        <w:t xml:space="preserve"> rozložení délek odvolacích řízení pomocí histogramu. Pro lepší srovnání s odvoláním u věcí z rejstříku C u OS je šířka jednoho intervalu (sloupce) </w:t>
      </w:r>
      <w:r w:rsidR="00CD7FEC" w:rsidRPr="00033A3F">
        <w:rPr>
          <w:color w:val="000000" w:themeColor="text1"/>
        </w:rPr>
        <w:t xml:space="preserve">také </w:t>
      </w:r>
      <w:r w:rsidRPr="00033A3F">
        <w:rPr>
          <w:color w:val="000000" w:themeColor="text1"/>
        </w:rPr>
        <w:t>25 dnů. Pro lepší přehlednost uvádíme všechny délky řízení delší než 800 dnů v jednom sloupci (na grafu nejvíce vpravo). Z histogramu pak můžeme opět vyčíst další informace o délkách řízení. Například:</w:t>
      </w:r>
    </w:p>
    <w:p w14:paraId="68FF3D65" w14:textId="263A8E71" w:rsidR="002A2866" w:rsidRPr="00033A3F" w:rsidRDefault="002A2866" w:rsidP="002A2866">
      <w:pPr>
        <w:pStyle w:val="Odstavecseseznamem"/>
        <w:numPr>
          <w:ilvl w:val="0"/>
          <w:numId w:val="18"/>
        </w:numPr>
        <w:rPr>
          <w:color w:val="000000" w:themeColor="text1"/>
        </w:rPr>
      </w:pPr>
      <w:r w:rsidRPr="00033A3F">
        <w:rPr>
          <w:color w:val="000000" w:themeColor="text1"/>
        </w:rPr>
        <w:t>Necelých 34 % věcí je vyřízeno do 50 dnů.</w:t>
      </w:r>
    </w:p>
    <w:p w14:paraId="22E34B72" w14:textId="3C799618" w:rsidR="002A2866" w:rsidRPr="00033A3F" w:rsidRDefault="002A2866" w:rsidP="002A2866">
      <w:pPr>
        <w:pStyle w:val="Odstavecseseznamem"/>
        <w:numPr>
          <w:ilvl w:val="0"/>
          <w:numId w:val="18"/>
        </w:numPr>
        <w:rPr>
          <w:color w:val="000000" w:themeColor="text1"/>
        </w:rPr>
      </w:pPr>
      <w:r w:rsidRPr="00033A3F">
        <w:rPr>
          <w:color w:val="000000" w:themeColor="text1"/>
        </w:rPr>
        <w:t>Asi jen 1 % všech odvolání v civilním řízení u KS trvá déle než 800 kalendářních dnů.</w:t>
      </w:r>
    </w:p>
    <w:p w14:paraId="04D222A5" w14:textId="7897A9CE" w:rsidR="002A2866" w:rsidRPr="00033A3F" w:rsidRDefault="002A2866" w:rsidP="002A2866">
      <w:pPr>
        <w:pStyle w:val="Odstavecseseznamem"/>
        <w:numPr>
          <w:ilvl w:val="0"/>
          <w:numId w:val="18"/>
        </w:numPr>
        <w:rPr>
          <w:color w:val="000000" w:themeColor="text1"/>
        </w:rPr>
      </w:pPr>
      <w:r w:rsidRPr="00033A3F">
        <w:rPr>
          <w:color w:val="000000" w:themeColor="text1"/>
        </w:rPr>
        <w:t xml:space="preserve">Odvolacích řízení s délkou větší </w:t>
      </w:r>
      <w:r w:rsidR="00A255E6" w:rsidRPr="00033A3F">
        <w:rPr>
          <w:color w:val="000000" w:themeColor="text1"/>
        </w:rPr>
        <w:t>než</w:t>
      </w:r>
      <w:r w:rsidRPr="00033A3F">
        <w:rPr>
          <w:color w:val="000000" w:themeColor="text1"/>
        </w:rPr>
        <w:t xml:space="preserve"> 200 dnů je velmi málo</w:t>
      </w:r>
      <w:r w:rsidR="00A255E6" w:rsidRPr="00033A3F">
        <w:rPr>
          <w:color w:val="000000" w:themeColor="text1"/>
        </w:rPr>
        <w:t>.</w:t>
      </w:r>
    </w:p>
    <w:p w14:paraId="5646C764" w14:textId="0AC56A8F" w:rsidR="008430BD" w:rsidRPr="00033A3F" w:rsidRDefault="008430BD" w:rsidP="008430BD">
      <w:pPr>
        <w:pStyle w:val="Nadpis3"/>
        <w:numPr>
          <w:ilvl w:val="2"/>
          <w:numId w:val="1"/>
        </w:numPr>
        <w:rPr>
          <w:color w:val="000000" w:themeColor="text1"/>
        </w:rPr>
      </w:pPr>
      <w:bookmarkStart w:id="1297" w:name="_Toc106092760"/>
      <w:bookmarkStart w:id="1298" w:name="_Toc169250836"/>
      <w:bookmarkStart w:id="1299" w:name="_Toc193530998"/>
      <w:bookmarkStart w:id="1300" w:name="_Toc193957054"/>
      <w:bookmarkStart w:id="1301" w:name="_Toc203032744"/>
      <w:r w:rsidRPr="00033A3F">
        <w:rPr>
          <w:color w:val="000000" w:themeColor="text1"/>
        </w:rPr>
        <w:lastRenderedPageBreak/>
        <w:t>Vyřizování věcí</w:t>
      </w:r>
      <w:bookmarkEnd w:id="1297"/>
      <w:bookmarkEnd w:id="1298"/>
      <w:bookmarkEnd w:id="1299"/>
      <w:bookmarkEnd w:id="1300"/>
      <w:bookmarkEnd w:id="1301"/>
    </w:p>
    <w:p w14:paraId="2072E819" w14:textId="0885FBFF" w:rsidR="002A2866" w:rsidRPr="00033A3F" w:rsidRDefault="002A2866" w:rsidP="002A2866">
      <w:pPr>
        <w:pStyle w:val="OdstavecASR"/>
        <w:rPr>
          <w:color w:val="000000" w:themeColor="text1"/>
        </w:rPr>
      </w:pPr>
      <w:r w:rsidRPr="00033A3F">
        <w:rPr>
          <w:color w:val="000000" w:themeColor="text1"/>
        </w:rPr>
        <w:t>Jak jsme uvedli již dříve, data o vyřizování věcí zahrnují více agend než údaje o délce řízení (</w:t>
      </w:r>
      <w:r w:rsidR="0052053F" w:rsidRPr="00033A3F">
        <w:rPr>
          <w:color w:val="000000" w:themeColor="text1"/>
        </w:rPr>
        <w:t xml:space="preserve">tedy </w:t>
      </w:r>
      <w:r w:rsidRPr="00033A3F">
        <w:rPr>
          <w:color w:val="000000" w:themeColor="text1"/>
        </w:rPr>
        <w:t xml:space="preserve">nejen </w:t>
      </w:r>
      <w:r w:rsidR="0052053F" w:rsidRPr="00033A3F">
        <w:rPr>
          <w:color w:val="000000" w:themeColor="text1"/>
        </w:rPr>
        <w:t xml:space="preserve">data o odvoláních z </w:t>
      </w:r>
      <w:r w:rsidRPr="00033A3F">
        <w:rPr>
          <w:color w:val="000000" w:themeColor="text1"/>
        </w:rPr>
        <w:t>rejstřík</w:t>
      </w:r>
      <w:r w:rsidR="0052053F" w:rsidRPr="00033A3F">
        <w:rPr>
          <w:color w:val="000000" w:themeColor="text1"/>
        </w:rPr>
        <w:t>ů</w:t>
      </w:r>
      <w:r w:rsidRPr="00033A3F">
        <w:rPr>
          <w:color w:val="000000" w:themeColor="text1"/>
        </w:rPr>
        <w:t xml:space="preserve"> C a P a N</w:t>
      </w:r>
      <w:r w:rsidR="0052053F" w:rsidRPr="00033A3F">
        <w:rPr>
          <w:color w:val="000000" w:themeColor="text1"/>
        </w:rPr>
        <w:t>c</w:t>
      </w:r>
      <w:r w:rsidRPr="00033A3F">
        <w:rPr>
          <w:color w:val="000000" w:themeColor="text1"/>
        </w:rPr>
        <w:t xml:space="preserve"> od okresních soudů).</w:t>
      </w:r>
    </w:p>
    <w:p w14:paraId="733EB7C8" w14:textId="016A3E07" w:rsidR="002A2866" w:rsidRPr="00033A3F" w:rsidRDefault="002A2866" w:rsidP="002A2866">
      <w:pPr>
        <w:pStyle w:val="Podnadpis"/>
        <w:numPr>
          <w:ilvl w:val="0"/>
          <w:numId w:val="0"/>
        </w:numPr>
        <w:rPr>
          <w:color w:val="000000" w:themeColor="text1"/>
        </w:rPr>
      </w:pPr>
      <w:bookmarkStart w:id="1302" w:name="_Toc515871387"/>
      <w:bookmarkStart w:id="1303" w:name="_Toc11135118"/>
      <w:bookmarkStart w:id="1304" w:name="_Toc43841437"/>
      <w:bookmarkStart w:id="1305" w:name="_Toc75952240"/>
      <w:bookmarkStart w:id="1306" w:name="_Toc106106697"/>
      <w:bookmarkStart w:id="1307" w:name="_Toc109802021"/>
      <w:bookmarkStart w:id="1308" w:name="_Toc144104172"/>
      <w:bookmarkStart w:id="1309" w:name="_Toc169250984"/>
      <w:bookmarkStart w:id="1310" w:name="_Toc174080670"/>
      <w:bookmarkStart w:id="1311" w:name="_Toc193530823"/>
      <w:bookmarkStart w:id="1312" w:name="_Toc193634097"/>
      <w:bookmarkStart w:id="1313" w:name="_Toc20303289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68</w:t>
      </w:r>
      <w:r w:rsidRPr="00033A3F">
        <w:rPr>
          <w:color w:val="000000" w:themeColor="text1"/>
        </w:rPr>
        <w:fldChar w:fldCharType="end"/>
      </w:r>
      <w:r w:rsidRPr="00033A3F">
        <w:rPr>
          <w:color w:val="000000" w:themeColor="text1"/>
        </w:rPr>
        <w:t>: KS – vyřizování odvolacích civilních věcí v letech 2015–20</w:t>
      </w:r>
      <w:bookmarkEnd w:id="1302"/>
      <w:bookmarkEnd w:id="1303"/>
      <w:bookmarkEnd w:id="1304"/>
      <w:r w:rsidRPr="00033A3F">
        <w:rPr>
          <w:color w:val="000000" w:themeColor="text1"/>
        </w:rPr>
        <w:t>2</w:t>
      </w:r>
      <w:bookmarkEnd w:id="1305"/>
      <w:bookmarkEnd w:id="1306"/>
      <w:bookmarkEnd w:id="1307"/>
      <w:bookmarkEnd w:id="1308"/>
      <w:bookmarkEnd w:id="1309"/>
      <w:bookmarkEnd w:id="1310"/>
      <w:r w:rsidRPr="00033A3F">
        <w:rPr>
          <w:color w:val="000000" w:themeColor="text1"/>
        </w:rPr>
        <w:t>4</w:t>
      </w:r>
      <w:bookmarkEnd w:id="1311"/>
      <w:bookmarkEnd w:id="1312"/>
      <w:bookmarkEnd w:id="1313"/>
    </w:p>
    <w:p w14:paraId="7CB455DD" w14:textId="6259F299" w:rsidR="002A2866" w:rsidRPr="00033A3F" w:rsidRDefault="008B6490" w:rsidP="002A2866">
      <w:pPr>
        <w:rPr>
          <w:color w:val="000000" w:themeColor="text1"/>
        </w:rPr>
      </w:pPr>
      <w:r w:rsidRPr="00033A3F">
        <w:rPr>
          <w:noProof/>
          <w:color w:val="000000" w:themeColor="text1"/>
          <w:lang w:eastAsia="cs-CZ"/>
        </w:rPr>
        <w:drawing>
          <wp:inline distT="0" distB="0" distL="0" distR="0" wp14:anchorId="3EC0F9CB" wp14:editId="54FA0139">
            <wp:extent cx="5029200" cy="3657600"/>
            <wp:effectExtent l="0" t="0" r="0" b="0"/>
            <wp:docPr id="745930360"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0374960" w14:textId="77777777" w:rsidR="00BA6B53" w:rsidRPr="00033A3F" w:rsidRDefault="00BA6B53" w:rsidP="002A2866">
      <w:pPr>
        <w:rPr>
          <w:color w:val="000000" w:themeColor="text1"/>
        </w:rPr>
      </w:pPr>
    </w:p>
    <w:p w14:paraId="30F9FD99" w14:textId="46F3C88B" w:rsidR="00BA6B53" w:rsidRPr="00033A3F" w:rsidRDefault="00BA6B53" w:rsidP="00BA6B53">
      <w:pPr>
        <w:pStyle w:val="OdstavecASR"/>
        <w:rPr>
          <w:color w:val="000000" w:themeColor="text1"/>
        </w:rPr>
      </w:pPr>
      <w:r w:rsidRPr="00033A3F">
        <w:rPr>
          <w:color w:val="000000" w:themeColor="text1"/>
        </w:rPr>
        <w:t xml:space="preserve">Ve sledovaném období vidíme výrazný postupný pokles v počtu příchozích věcí. Klesající trend ovšem </w:t>
      </w:r>
      <w:r w:rsidR="00CD7FEC" w:rsidRPr="00033A3F">
        <w:rPr>
          <w:color w:val="000000" w:themeColor="text1"/>
        </w:rPr>
        <w:t xml:space="preserve">postupně </w:t>
      </w:r>
      <w:r w:rsidRPr="00033A3F">
        <w:rPr>
          <w:color w:val="000000" w:themeColor="text1"/>
        </w:rPr>
        <w:t>zpomaloval. Logicky se nabízí hypotéza, že vývoj nápadu v agendě Co by měl za předpokladu konstantní míry odvolání do značné míry kopírovat vývoj prvostupňových vyřízených civilních věcí u okresních soudů. Tento předpoklad ale pro data v této zprávě často neplatí. Lze to vysvětlit již dříve popsanou skutečností, že do rejstříku Co nespadají jen odvolání v rejstří</w:t>
      </w:r>
      <w:r w:rsidR="002178AA" w:rsidRPr="00033A3F">
        <w:rPr>
          <w:color w:val="000000" w:themeColor="text1"/>
        </w:rPr>
        <w:t>cích</w:t>
      </w:r>
      <w:r w:rsidRPr="00033A3F">
        <w:rPr>
          <w:color w:val="000000" w:themeColor="text1"/>
        </w:rPr>
        <w:t> C a</w:t>
      </w:r>
      <w:r w:rsidR="007B20E0" w:rsidRPr="00033A3F">
        <w:rPr>
          <w:color w:val="000000" w:themeColor="text1"/>
        </w:rPr>
        <w:t> </w:t>
      </w:r>
      <w:r w:rsidRPr="00033A3F">
        <w:rPr>
          <w:color w:val="000000" w:themeColor="text1"/>
        </w:rPr>
        <w:t>P</w:t>
      </w:r>
      <w:r w:rsidR="007B20E0" w:rsidRPr="00033A3F">
        <w:rPr>
          <w:color w:val="000000" w:themeColor="text1"/>
        </w:rPr>
        <w:t> </w:t>
      </w:r>
      <w:r w:rsidRPr="00033A3F">
        <w:rPr>
          <w:color w:val="000000" w:themeColor="text1"/>
        </w:rPr>
        <w:t>a</w:t>
      </w:r>
      <w:r w:rsidR="007B20E0" w:rsidRPr="00033A3F">
        <w:rPr>
          <w:color w:val="000000" w:themeColor="text1"/>
        </w:rPr>
        <w:t> </w:t>
      </w:r>
      <w:r w:rsidRPr="00033A3F">
        <w:rPr>
          <w:color w:val="000000" w:themeColor="text1"/>
        </w:rPr>
        <w:t>Nc (který zkoumáme v kapitole </w:t>
      </w:r>
      <w:r w:rsidRPr="00033A3F">
        <w:rPr>
          <w:color w:val="000000" w:themeColor="text1"/>
        </w:rPr>
        <w:fldChar w:fldCharType="begin"/>
      </w:r>
      <w:r w:rsidRPr="00033A3F">
        <w:rPr>
          <w:color w:val="000000" w:themeColor="text1"/>
        </w:rPr>
        <w:instrText xml:space="preserve"> REF _Ref9425277 \r \h  \* MERGEFORMAT </w:instrText>
      </w:r>
      <w:r w:rsidRPr="00033A3F">
        <w:rPr>
          <w:color w:val="000000" w:themeColor="text1"/>
        </w:rPr>
      </w:r>
      <w:r w:rsidRPr="00033A3F">
        <w:rPr>
          <w:color w:val="000000" w:themeColor="text1"/>
        </w:rPr>
        <w:fldChar w:fldCharType="separate"/>
      </w:r>
      <w:r w:rsidR="00163B51">
        <w:rPr>
          <w:color w:val="000000" w:themeColor="text1"/>
        </w:rPr>
        <w:t>2.2</w:t>
      </w:r>
      <w:r w:rsidRPr="00033A3F">
        <w:rPr>
          <w:color w:val="000000" w:themeColor="text1"/>
        </w:rPr>
        <w:fldChar w:fldCharType="end"/>
      </w:r>
      <w:r w:rsidRPr="00033A3F">
        <w:rPr>
          <w:color w:val="000000" w:themeColor="text1"/>
        </w:rPr>
        <w:t xml:space="preserve"> a 2.5), ale i odvolání ve všech ostatních věcech, které jsou vyřizovány na civilním úseku okresních soudů. V roce 2024 došlo k prudkému nárůstu v počtu příchozích věcí, a to o 33</w:t>
      </w:r>
      <w:r w:rsidR="007B20E0" w:rsidRPr="00033A3F">
        <w:rPr>
          <w:color w:val="000000" w:themeColor="text1"/>
        </w:rPr>
        <w:t> </w:t>
      </w:r>
      <w:r w:rsidRPr="00033A3F">
        <w:rPr>
          <w:color w:val="000000" w:themeColor="text1"/>
        </w:rPr>
        <w:t xml:space="preserve">%. Počet vyřízených věcí také značně vzrostl, ale </w:t>
      </w:r>
      <w:r w:rsidR="00A560BA" w:rsidRPr="00033A3F">
        <w:rPr>
          <w:color w:val="000000" w:themeColor="text1"/>
        </w:rPr>
        <w:t>zvýšení</w:t>
      </w:r>
      <w:r w:rsidR="00CF6299" w:rsidRPr="00033A3F">
        <w:rPr>
          <w:color w:val="000000" w:themeColor="text1"/>
        </w:rPr>
        <w:t xml:space="preserve"> na pokrytí příchozích věcí nestačil</w:t>
      </w:r>
      <w:r w:rsidR="00A560BA" w:rsidRPr="00033A3F">
        <w:rPr>
          <w:color w:val="000000" w:themeColor="text1"/>
        </w:rPr>
        <w:t>o</w:t>
      </w:r>
      <w:r w:rsidR="00CF6299" w:rsidRPr="00033A3F">
        <w:rPr>
          <w:color w:val="000000" w:themeColor="text1"/>
        </w:rPr>
        <w:t>.</w:t>
      </w:r>
      <w:r w:rsidRPr="00033A3F">
        <w:rPr>
          <w:color w:val="000000" w:themeColor="text1"/>
        </w:rPr>
        <w:t xml:space="preserve"> Došlo tak k nárůstu v počtu věcí nevyřízených.</w:t>
      </w:r>
      <w:r w:rsidR="00CC17BE" w:rsidRPr="00033A3F">
        <w:rPr>
          <w:color w:val="000000" w:themeColor="text1"/>
        </w:rPr>
        <w:t xml:space="preserve"> </w:t>
      </w:r>
      <w:r w:rsidR="00CF6299" w:rsidRPr="00033A3F">
        <w:rPr>
          <w:color w:val="000000" w:themeColor="text1"/>
        </w:rPr>
        <w:t>Tento stav</w:t>
      </w:r>
      <w:r w:rsidR="00CC17BE" w:rsidRPr="00033A3F">
        <w:rPr>
          <w:color w:val="000000" w:themeColor="text1"/>
        </w:rPr>
        <w:t xml:space="preserve"> je způsoben obrovským růstem vykázaných odvolání proti rozhodnutí soudního exekutora, kde se počet věcí téměř </w:t>
      </w:r>
      <w:r w:rsidR="00DF7FAC" w:rsidRPr="00033A3F">
        <w:rPr>
          <w:color w:val="000000" w:themeColor="text1"/>
        </w:rPr>
        <w:t>z</w:t>
      </w:r>
      <w:r w:rsidR="00CC17BE" w:rsidRPr="00033A3F">
        <w:rPr>
          <w:color w:val="000000" w:themeColor="text1"/>
        </w:rPr>
        <w:t>čtyřnásobil.</w:t>
      </w:r>
      <w:r w:rsidR="000D0192" w:rsidRPr="00033A3F">
        <w:rPr>
          <w:color w:val="000000" w:themeColor="text1"/>
        </w:rPr>
        <w:t xml:space="preserve">  </w:t>
      </w:r>
      <w:r w:rsidR="00C25018" w:rsidRPr="00033A3F">
        <w:rPr>
          <w:color w:val="000000" w:themeColor="text1"/>
        </w:rPr>
        <w:t xml:space="preserve">To mohly způsobit </w:t>
      </w:r>
      <w:r w:rsidR="00B244BE" w:rsidRPr="00033A3F">
        <w:rPr>
          <w:color w:val="000000" w:themeColor="text1"/>
        </w:rPr>
        <w:t>dvě novely exekučního řádu – zákon č. 286/2021 Sb., kter</w:t>
      </w:r>
      <w:r w:rsidR="00C25018" w:rsidRPr="00033A3F">
        <w:rPr>
          <w:color w:val="000000" w:themeColor="text1"/>
        </w:rPr>
        <w:t>ý</w:t>
      </w:r>
      <w:r w:rsidR="00B244BE" w:rsidRPr="00033A3F">
        <w:rPr>
          <w:color w:val="000000" w:themeColor="text1"/>
        </w:rPr>
        <w:t xml:space="preserve"> nabyl účinnosti dnem 1. 1. 2023 a zavedl zastavování tzv. </w:t>
      </w:r>
      <w:r w:rsidR="00B244BE" w:rsidRPr="00033A3F">
        <w:rPr>
          <w:i/>
          <w:color w:val="000000" w:themeColor="text1"/>
        </w:rPr>
        <w:t>bezvýsledných</w:t>
      </w:r>
      <w:r w:rsidR="00B244BE" w:rsidRPr="00033A3F">
        <w:rPr>
          <w:color w:val="000000" w:themeColor="text1"/>
        </w:rPr>
        <w:t xml:space="preserve"> (marných) exekucí, a zákon č. 255/2023</w:t>
      </w:r>
      <w:r w:rsidR="00720C7B" w:rsidRPr="00033A3F">
        <w:rPr>
          <w:color w:val="000000" w:themeColor="text1"/>
        </w:rPr>
        <w:t> </w:t>
      </w:r>
      <w:r w:rsidR="00B244BE" w:rsidRPr="00033A3F">
        <w:rPr>
          <w:color w:val="000000" w:themeColor="text1"/>
        </w:rPr>
        <w:t>Sb., kter</w:t>
      </w:r>
      <w:r w:rsidR="00C25018" w:rsidRPr="00033A3F">
        <w:rPr>
          <w:color w:val="000000" w:themeColor="text1"/>
        </w:rPr>
        <w:t>ý</w:t>
      </w:r>
      <w:r w:rsidR="00B244BE" w:rsidRPr="00033A3F">
        <w:rPr>
          <w:color w:val="000000" w:themeColor="text1"/>
        </w:rPr>
        <w:t xml:space="preserve"> nabyl účinnosti dnem 26. 8. 2023 a </w:t>
      </w:r>
      <w:r w:rsidR="00720C7B" w:rsidRPr="00033A3F">
        <w:rPr>
          <w:color w:val="000000" w:themeColor="text1"/>
        </w:rPr>
        <w:t>obsahoval</w:t>
      </w:r>
      <w:r w:rsidR="00B244BE" w:rsidRPr="00033A3F">
        <w:rPr>
          <w:color w:val="000000" w:themeColor="text1"/>
        </w:rPr>
        <w:t xml:space="preserve"> </w:t>
      </w:r>
      <w:r w:rsidR="00720C7B" w:rsidRPr="00033A3F">
        <w:rPr>
          <w:color w:val="000000" w:themeColor="text1"/>
        </w:rPr>
        <w:t xml:space="preserve">zejména </w:t>
      </w:r>
      <w:r w:rsidR="00B244BE" w:rsidRPr="00033A3F">
        <w:rPr>
          <w:color w:val="000000" w:themeColor="text1"/>
        </w:rPr>
        <w:t>úprav</w:t>
      </w:r>
      <w:r w:rsidR="00720C7B" w:rsidRPr="00033A3F">
        <w:rPr>
          <w:color w:val="000000" w:themeColor="text1"/>
        </w:rPr>
        <w:t>u</w:t>
      </w:r>
      <w:r w:rsidR="00B244BE" w:rsidRPr="00033A3F">
        <w:rPr>
          <w:color w:val="000000" w:themeColor="text1"/>
        </w:rPr>
        <w:t xml:space="preserve"> paušální náhrady za úkony spojené se zastavením těchto </w:t>
      </w:r>
      <w:r w:rsidR="00B244BE" w:rsidRPr="00033A3F">
        <w:rPr>
          <w:i/>
          <w:color w:val="000000" w:themeColor="text1"/>
        </w:rPr>
        <w:t>bezvýsledných</w:t>
      </w:r>
      <w:r w:rsidR="00B244BE" w:rsidRPr="00033A3F">
        <w:rPr>
          <w:color w:val="000000" w:themeColor="text1"/>
        </w:rPr>
        <w:t xml:space="preserve"> exekucí pro exekutory.</w:t>
      </w:r>
      <w:r w:rsidR="00720C7B" w:rsidRPr="00033A3F">
        <w:rPr>
          <w:color w:val="000000" w:themeColor="text1"/>
        </w:rPr>
        <w:t xml:space="preserve">  </w:t>
      </w:r>
      <w:r w:rsidR="00C25018" w:rsidRPr="00033A3F">
        <w:rPr>
          <w:color w:val="000000" w:themeColor="text1"/>
        </w:rPr>
        <w:t>O</w:t>
      </w:r>
      <w:r w:rsidR="00720C7B" w:rsidRPr="00033A3F">
        <w:rPr>
          <w:color w:val="000000" w:themeColor="text1"/>
        </w:rPr>
        <w:t xml:space="preserve">právněný </w:t>
      </w:r>
      <w:r w:rsidR="00C25018" w:rsidRPr="00033A3F">
        <w:rPr>
          <w:color w:val="000000" w:themeColor="text1"/>
        </w:rPr>
        <w:t xml:space="preserve">nemusel </w:t>
      </w:r>
      <w:r w:rsidR="00720C7B" w:rsidRPr="00033A3F">
        <w:rPr>
          <w:color w:val="000000" w:themeColor="text1"/>
        </w:rPr>
        <w:t>s</w:t>
      </w:r>
      <w:r w:rsidR="00C25018" w:rsidRPr="00033A3F">
        <w:rPr>
          <w:color w:val="000000" w:themeColor="text1"/>
        </w:rPr>
        <w:t>ouhlasit s</w:t>
      </w:r>
      <w:r w:rsidR="00720C7B" w:rsidRPr="00033A3F">
        <w:rPr>
          <w:color w:val="000000" w:themeColor="text1"/>
        </w:rPr>
        <w:t xml:space="preserve"> postupem </w:t>
      </w:r>
      <w:r w:rsidR="00C1138D" w:rsidRPr="00033A3F">
        <w:rPr>
          <w:color w:val="000000" w:themeColor="text1"/>
        </w:rPr>
        <w:t>a</w:t>
      </w:r>
      <w:r w:rsidR="00720C7B" w:rsidRPr="00033A3F">
        <w:rPr>
          <w:color w:val="000000" w:themeColor="text1"/>
        </w:rPr>
        <w:t xml:space="preserve"> rozhodnutím soudního exekutora</w:t>
      </w:r>
      <w:r w:rsidR="00C1138D" w:rsidRPr="00033A3F">
        <w:rPr>
          <w:color w:val="000000" w:themeColor="text1"/>
        </w:rPr>
        <w:t xml:space="preserve"> ohledně zastavení exekuce </w:t>
      </w:r>
      <w:r w:rsidR="00C25018" w:rsidRPr="00033A3F">
        <w:rPr>
          <w:color w:val="000000" w:themeColor="text1"/>
        </w:rPr>
        <w:t>a</w:t>
      </w:r>
      <w:r w:rsidR="003D5F1A">
        <w:rPr>
          <w:color w:val="000000" w:themeColor="text1"/>
        </w:rPr>
        <w:t> </w:t>
      </w:r>
      <w:r w:rsidR="00C1138D" w:rsidRPr="00033A3F">
        <w:rPr>
          <w:color w:val="000000" w:themeColor="text1"/>
        </w:rPr>
        <w:t>může</w:t>
      </w:r>
      <w:r w:rsidR="00C25018" w:rsidRPr="00033A3F">
        <w:rPr>
          <w:color w:val="000000" w:themeColor="text1"/>
        </w:rPr>
        <w:t xml:space="preserve"> se</w:t>
      </w:r>
      <w:r w:rsidR="00C1138D" w:rsidRPr="00033A3F">
        <w:rPr>
          <w:color w:val="000000" w:themeColor="text1"/>
        </w:rPr>
        <w:t xml:space="preserve"> bránit jen </w:t>
      </w:r>
      <w:r w:rsidR="00720C7B" w:rsidRPr="00033A3F">
        <w:rPr>
          <w:color w:val="000000" w:themeColor="text1"/>
        </w:rPr>
        <w:t>odvolání</w:t>
      </w:r>
      <w:r w:rsidR="00C1138D" w:rsidRPr="00033A3F">
        <w:rPr>
          <w:color w:val="000000" w:themeColor="text1"/>
        </w:rPr>
        <w:t>m</w:t>
      </w:r>
      <w:r w:rsidR="00720C7B" w:rsidRPr="00033A3F">
        <w:rPr>
          <w:color w:val="000000" w:themeColor="text1"/>
        </w:rPr>
        <w:t xml:space="preserve"> </w:t>
      </w:r>
      <w:r w:rsidR="00C25018" w:rsidRPr="00033A3F">
        <w:rPr>
          <w:color w:val="000000" w:themeColor="text1"/>
        </w:rPr>
        <w:t>proti</w:t>
      </w:r>
      <w:r w:rsidR="00C1138D" w:rsidRPr="00033A3F">
        <w:rPr>
          <w:color w:val="000000" w:themeColor="text1"/>
        </w:rPr>
        <w:t xml:space="preserve"> </w:t>
      </w:r>
      <w:r w:rsidR="00720C7B" w:rsidRPr="00033A3F">
        <w:rPr>
          <w:color w:val="000000" w:themeColor="text1"/>
        </w:rPr>
        <w:t>usnesení o</w:t>
      </w:r>
      <w:r w:rsidR="00C1138D" w:rsidRPr="00033A3F">
        <w:rPr>
          <w:color w:val="000000" w:themeColor="text1"/>
        </w:rPr>
        <w:t xml:space="preserve"> </w:t>
      </w:r>
      <w:r w:rsidR="00720C7B" w:rsidRPr="00033A3F">
        <w:rPr>
          <w:color w:val="000000" w:themeColor="text1"/>
        </w:rPr>
        <w:t>zastavení exekuce.</w:t>
      </w:r>
      <w:r w:rsidR="00C1138D" w:rsidRPr="00033A3F">
        <w:rPr>
          <w:color w:val="000000" w:themeColor="text1"/>
        </w:rPr>
        <w:t xml:space="preserve"> </w:t>
      </w:r>
    </w:p>
    <w:p w14:paraId="441A4474" w14:textId="00DB8C33" w:rsidR="00BA6B53" w:rsidRPr="00033A3F" w:rsidRDefault="00BA6B53" w:rsidP="00BA6B53">
      <w:pPr>
        <w:pStyle w:val="OdstavecASR"/>
        <w:rPr>
          <w:color w:val="000000" w:themeColor="text1"/>
        </w:rPr>
      </w:pPr>
      <w:r w:rsidRPr="00033A3F">
        <w:rPr>
          <w:color w:val="000000" w:themeColor="text1"/>
        </w:rPr>
        <w:t>V tabulce vidíme, že vývoj v počtu příchozích</w:t>
      </w:r>
      <w:r w:rsidR="002178AA" w:rsidRPr="00033A3F">
        <w:rPr>
          <w:color w:val="000000" w:themeColor="text1"/>
        </w:rPr>
        <w:t xml:space="preserve">, </w:t>
      </w:r>
      <w:r w:rsidRPr="00033A3F">
        <w:rPr>
          <w:color w:val="000000" w:themeColor="text1"/>
        </w:rPr>
        <w:t>vyřízených</w:t>
      </w:r>
      <w:r w:rsidR="002178AA" w:rsidRPr="00033A3F">
        <w:rPr>
          <w:color w:val="000000" w:themeColor="text1"/>
        </w:rPr>
        <w:t xml:space="preserve"> a </w:t>
      </w:r>
      <w:r w:rsidRPr="00033A3F">
        <w:rPr>
          <w:color w:val="000000" w:themeColor="text1"/>
        </w:rPr>
        <w:t xml:space="preserve">nevyřízených </w:t>
      </w:r>
      <w:r w:rsidR="002178AA" w:rsidRPr="00033A3F">
        <w:rPr>
          <w:color w:val="000000" w:themeColor="text1"/>
        </w:rPr>
        <w:t xml:space="preserve">věcí </w:t>
      </w:r>
      <w:r w:rsidRPr="00033A3F">
        <w:rPr>
          <w:color w:val="000000" w:themeColor="text1"/>
        </w:rPr>
        <w:t xml:space="preserve">byl u všech krajů podobný – </w:t>
      </w:r>
      <w:r w:rsidR="002178AA" w:rsidRPr="00033A3F">
        <w:rPr>
          <w:color w:val="000000" w:themeColor="text1"/>
        </w:rPr>
        <w:t xml:space="preserve">došlo k </w:t>
      </w:r>
      <w:r w:rsidRPr="00033A3F">
        <w:rPr>
          <w:color w:val="000000" w:themeColor="text1"/>
        </w:rPr>
        <w:t>nárůst</w:t>
      </w:r>
      <w:r w:rsidR="002178AA" w:rsidRPr="00033A3F">
        <w:rPr>
          <w:color w:val="000000" w:themeColor="text1"/>
        </w:rPr>
        <w:t>u</w:t>
      </w:r>
      <w:r w:rsidRPr="00033A3F">
        <w:rPr>
          <w:color w:val="000000" w:themeColor="text1"/>
        </w:rPr>
        <w:t xml:space="preserve"> ve všech třech ukazatelích</w:t>
      </w:r>
      <w:r w:rsidR="002178AA" w:rsidRPr="00033A3F">
        <w:rPr>
          <w:color w:val="000000" w:themeColor="text1"/>
        </w:rPr>
        <w:t>, liší se jenom jeho intenzita</w:t>
      </w:r>
      <w:r w:rsidRPr="00033A3F">
        <w:rPr>
          <w:color w:val="000000" w:themeColor="text1"/>
        </w:rPr>
        <w:t>.</w:t>
      </w:r>
    </w:p>
    <w:p w14:paraId="3EC0FDC4" w14:textId="22E61735" w:rsidR="00BA6B53" w:rsidRPr="00033A3F" w:rsidRDefault="00BA6B53" w:rsidP="00BA6B53">
      <w:pPr>
        <w:pStyle w:val="Podnadpis"/>
        <w:rPr>
          <w:color w:val="000000" w:themeColor="text1"/>
        </w:rPr>
      </w:pPr>
      <w:bookmarkStart w:id="1314" w:name="_Toc515871476"/>
      <w:bookmarkStart w:id="1315" w:name="_Toc11133244"/>
      <w:bookmarkStart w:id="1316" w:name="_Toc43931222"/>
      <w:bookmarkStart w:id="1317" w:name="_Toc75952355"/>
      <w:bookmarkStart w:id="1318" w:name="_Toc106106811"/>
      <w:bookmarkStart w:id="1319" w:name="_Toc109802134"/>
      <w:bookmarkStart w:id="1320" w:name="_Toc144104292"/>
      <w:bookmarkStart w:id="1321" w:name="_Toc169251106"/>
      <w:bookmarkStart w:id="1322" w:name="_Toc174080792"/>
      <w:bookmarkStart w:id="1323" w:name="_Toc193530920"/>
      <w:bookmarkStart w:id="1324" w:name="_Toc194045617"/>
      <w:bookmarkStart w:id="1325" w:name="_Toc199495027"/>
      <w:bookmarkStart w:id="1326" w:name="_Toc203033088"/>
      <w:bookmarkStart w:id="1327" w:name="_Toc203033166"/>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46</w:t>
      </w:r>
      <w:r w:rsidRPr="00033A3F">
        <w:rPr>
          <w:color w:val="000000" w:themeColor="text1"/>
        </w:rPr>
        <w:fldChar w:fldCharType="end"/>
      </w:r>
      <w:r w:rsidRPr="00033A3F">
        <w:rPr>
          <w:color w:val="000000" w:themeColor="text1"/>
        </w:rPr>
        <w:t>: KS – vyřizování odvolacích civilních věcí dle soudů</w:t>
      </w:r>
      <w:bookmarkEnd w:id="1314"/>
      <w:bookmarkEnd w:id="1315"/>
      <w:bookmarkEnd w:id="1316"/>
      <w:bookmarkEnd w:id="1317"/>
      <w:bookmarkEnd w:id="1318"/>
      <w:bookmarkEnd w:id="1319"/>
      <w:bookmarkEnd w:id="1320"/>
      <w:r w:rsidRPr="00033A3F">
        <w:rPr>
          <w:color w:val="000000" w:themeColor="text1"/>
        </w:rPr>
        <w:t>, 202</w:t>
      </w:r>
      <w:bookmarkEnd w:id="1321"/>
      <w:bookmarkEnd w:id="1322"/>
      <w:r w:rsidRPr="00033A3F">
        <w:rPr>
          <w:color w:val="000000" w:themeColor="text1"/>
        </w:rPr>
        <w:t>4</w:t>
      </w:r>
      <w:bookmarkEnd w:id="1323"/>
      <w:bookmarkEnd w:id="1324"/>
      <w:bookmarkEnd w:id="1325"/>
      <w:bookmarkEnd w:id="1326"/>
      <w:bookmarkEnd w:id="1327"/>
    </w:p>
    <w:tbl>
      <w:tblPr>
        <w:tblW w:w="9129" w:type="dxa"/>
        <w:tblLayout w:type="fixed"/>
        <w:tblCellMar>
          <w:left w:w="70" w:type="dxa"/>
          <w:right w:w="70" w:type="dxa"/>
        </w:tblCellMar>
        <w:tblLook w:val="04A0" w:firstRow="1" w:lastRow="0" w:firstColumn="1" w:lastColumn="0" w:noHBand="0" w:noVBand="1"/>
      </w:tblPr>
      <w:tblGrid>
        <w:gridCol w:w="2020"/>
        <w:gridCol w:w="1099"/>
        <w:gridCol w:w="826"/>
        <w:gridCol w:w="1017"/>
        <w:gridCol w:w="909"/>
        <w:gridCol w:w="1075"/>
        <w:gridCol w:w="851"/>
        <w:gridCol w:w="1332"/>
      </w:tblGrid>
      <w:tr w:rsidR="00BF0CC3" w:rsidRPr="00033A3F" w14:paraId="3BA21087" w14:textId="77777777" w:rsidTr="00E2334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B17EF81"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777" w:type="dxa"/>
            <w:gridSpan w:val="6"/>
            <w:tcBorders>
              <w:top w:val="double" w:sz="6" w:space="0" w:color="auto"/>
              <w:left w:val="nil"/>
              <w:bottom w:val="nil"/>
              <w:right w:val="single" w:sz="4" w:space="0" w:color="000000"/>
            </w:tcBorders>
            <w:shd w:val="clear" w:color="auto" w:fill="auto"/>
            <w:noWrap/>
            <w:vAlign w:val="center"/>
            <w:hideMark/>
          </w:tcPr>
          <w:p w14:paraId="204BFCAF"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332" w:type="dxa"/>
            <w:vMerge w:val="restart"/>
            <w:tcBorders>
              <w:top w:val="double" w:sz="6" w:space="0" w:color="auto"/>
              <w:left w:val="nil"/>
              <w:bottom w:val="double" w:sz="6" w:space="0" w:color="000000"/>
              <w:right w:val="nil"/>
            </w:tcBorders>
            <w:shd w:val="clear" w:color="auto" w:fill="auto"/>
            <w:vAlign w:val="center"/>
            <w:hideMark/>
          </w:tcPr>
          <w:p w14:paraId="1E2990BB"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BF0CC3" w:rsidRPr="00033A3F" w14:paraId="629151EA" w14:textId="77777777" w:rsidTr="00E23341">
        <w:trPr>
          <w:trHeight w:val="330"/>
        </w:trPr>
        <w:tc>
          <w:tcPr>
            <w:tcW w:w="2020" w:type="dxa"/>
            <w:vMerge/>
            <w:tcBorders>
              <w:top w:val="double" w:sz="6" w:space="0" w:color="auto"/>
              <w:left w:val="nil"/>
              <w:bottom w:val="double" w:sz="6" w:space="0" w:color="000000"/>
              <w:right w:val="nil"/>
            </w:tcBorders>
            <w:vAlign w:val="center"/>
            <w:hideMark/>
          </w:tcPr>
          <w:p w14:paraId="5360E688" w14:textId="77777777" w:rsidR="00BA6B53" w:rsidRPr="00033A3F" w:rsidRDefault="00BA6B53" w:rsidP="00BA6B53">
            <w:pPr>
              <w:spacing w:line="240" w:lineRule="auto"/>
              <w:jc w:val="left"/>
              <w:rPr>
                <w:rFonts w:eastAsia="Times New Roman"/>
                <w:b/>
                <w:bCs/>
                <w:color w:val="000000" w:themeColor="text1"/>
                <w:szCs w:val="24"/>
                <w:lang w:eastAsia="cs-CZ"/>
              </w:rPr>
            </w:pPr>
          </w:p>
        </w:tc>
        <w:tc>
          <w:tcPr>
            <w:tcW w:w="1925" w:type="dxa"/>
            <w:gridSpan w:val="2"/>
            <w:tcBorders>
              <w:top w:val="nil"/>
              <w:left w:val="nil"/>
              <w:bottom w:val="double" w:sz="6" w:space="0" w:color="auto"/>
              <w:right w:val="nil"/>
            </w:tcBorders>
            <w:shd w:val="clear" w:color="auto" w:fill="auto"/>
            <w:noWrap/>
            <w:vAlign w:val="center"/>
            <w:hideMark/>
          </w:tcPr>
          <w:p w14:paraId="4778C0EE"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2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E8E35E9"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26" w:type="dxa"/>
            <w:gridSpan w:val="2"/>
            <w:tcBorders>
              <w:top w:val="nil"/>
              <w:left w:val="nil"/>
              <w:bottom w:val="double" w:sz="6" w:space="0" w:color="auto"/>
              <w:right w:val="single" w:sz="4" w:space="0" w:color="000000"/>
            </w:tcBorders>
            <w:shd w:val="clear" w:color="auto" w:fill="auto"/>
            <w:noWrap/>
            <w:vAlign w:val="center"/>
            <w:hideMark/>
          </w:tcPr>
          <w:p w14:paraId="30B7287A"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332" w:type="dxa"/>
            <w:vMerge/>
            <w:tcBorders>
              <w:top w:val="double" w:sz="6" w:space="0" w:color="auto"/>
              <w:left w:val="nil"/>
              <w:bottom w:val="double" w:sz="6" w:space="0" w:color="000000"/>
              <w:right w:val="nil"/>
            </w:tcBorders>
            <w:vAlign w:val="center"/>
            <w:hideMark/>
          </w:tcPr>
          <w:p w14:paraId="7D989B78" w14:textId="77777777" w:rsidR="00BA6B53" w:rsidRPr="00033A3F" w:rsidRDefault="00BA6B53" w:rsidP="00BA6B53">
            <w:pPr>
              <w:spacing w:line="240" w:lineRule="auto"/>
              <w:jc w:val="left"/>
              <w:rPr>
                <w:rFonts w:eastAsia="Times New Roman"/>
                <w:b/>
                <w:bCs/>
                <w:color w:val="000000" w:themeColor="text1"/>
                <w:szCs w:val="24"/>
                <w:lang w:eastAsia="cs-CZ"/>
              </w:rPr>
            </w:pPr>
          </w:p>
        </w:tc>
      </w:tr>
      <w:tr w:rsidR="00BF0CC3" w:rsidRPr="00033A3F" w14:paraId="44B1275B" w14:textId="77777777" w:rsidTr="00E23341">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7C0059A4"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99" w:type="dxa"/>
            <w:tcBorders>
              <w:top w:val="single" w:sz="4" w:space="0" w:color="auto"/>
              <w:left w:val="nil"/>
              <w:bottom w:val="single" w:sz="4" w:space="0" w:color="auto"/>
              <w:right w:val="nil"/>
            </w:tcBorders>
            <w:shd w:val="clear" w:color="auto" w:fill="auto"/>
            <w:noWrap/>
            <w:vAlign w:val="bottom"/>
            <w:hideMark/>
          </w:tcPr>
          <w:p w14:paraId="347BEE67"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15 765</w:t>
            </w:r>
          </w:p>
        </w:tc>
        <w:tc>
          <w:tcPr>
            <w:tcW w:w="826" w:type="dxa"/>
            <w:tcBorders>
              <w:top w:val="single" w:sz="4" w:space="0" w:color="auto"/>
              <w:left w:val="nil"/>
              <w:bottom w:val="single" w:sz="4" w:space="0" w:color="auto"/>
              <w:right w:val="nil"/>
            </w:tcBorders>
            <w:shd w:val="clear" w:color="auto" w:fill="auto"/>
            <w:noWrap/>
            <w:vAlign w:val="center"/>
            <w:hideMark/>
          </w:tcPr>
          <w:p w14:paraId="1175A8C8" w14:textId="496FAA20"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1017" w:type="dxa"/>
            <w:tcBorders>
              <w:top w:val="single" w:sz="4" w:space="0" w:color="auto"/>
              <w:left w:val="single" w:sz="4" w:space="0" w:color="auto"/>
              <w:bottom w:val="single" w:sz="4" w:space="0" w:color="auto"/>
              <w:right w:val="nil"/>
            </w:tcBorders>
            <w:shd w:val="clear" w:color="auto" w:fill="auto"/>
            <w:noWrap/>
            <w:vAlign w:val="bottom"/>
            <w:hideMark/>
          </w:tcPr>
          <w:p w14:paraId="69D8BF72"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14 884</w:t>
            </w:r>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14:paraId="3B355A7F" w14:textId="5BDE6849"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1075" w:type="dxa"/>
            <w:tcBorders>
              <w:top w:val="single" w:sz="4" w:space="0" w:color="auto"/>
              <w:left w:val="nil"/>
              <w:bottom w:val="single" w:sz="4" w:space="0" w:color="auto"/>
              <w:right w:val="nil"/>
            </w:tcBorders>
            <w:shd w:val="clear" w:color="auto" w:fill="auto"/>
            <w:noWrap/>
            <w:vAlign w:val="bottom"/>
            <w:hideMark/>
          </w:tcPr>
          <w:p w14:paraId="08DD8B10"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2 172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62C9EE2" w14:textId="7E53B07A"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+68 %</w:t>
            </w:r>
          </w:p>
        </w:tc>
        <w:tc>
          <w:tcPr>
            <w:tcW w:w="1332" w:type="dxa"/>
            <w:tcBorders>
              <w:top w:val="nil"/>
              <w:left w:val="nil"/>
              <w:bottom w:val="single" w:sz="4" w:space="0" w:color="auto"/>
              <w:right w:val="nil"/>
            </w:tcBorders>
            <w:shd w:val="clear" w:color="auto" w:fill="auto"/>
            <w:noWrap/>
            <w:vAlign w:val="center"/>
            <w:hideMark/>
          </w:tcPr>
          <w:p w14:paraId="68D8152C" w14:textId="188E345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2BF47F56"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B3F96E3"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99" w:type="dxa"/>
            <w:tcBorders>
              <w:top w:val="nil"/>
              <w:left w:val="nil"/>
              <w:bottom w:val="single" w:sz="4" w:space="0" w:color="auto"/>
              <w:right w:val="nil"/>
            </w:tcBorders>
            <w:shd w:val="clear" w:color="auto" w:fill="auto"/>
            <w:noWrap/>
            <w:vAlign w:val="bottom"/>
            <w:hideMark/>
          </w:tcPr>
          <w:p w14:paraId="318C7196" w14:textId="7F7779D6"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524</w:t>
            </w:r>
          </w:p>
        </w:tc>
        <w:tc>
          <w:tcPr>
            <w:tcW w:w="826" w:type="dxa"/>
            <w:tcBorders>
              <w:top w:val="nil"/>
              <w:left w:val="nil"/>
              <w:bottom w:val="single" w:sz="4" w:space="0" w:color="auto"/>
              <w:right w:val="nil"/>
            </w:tcBorders>
            <w:shd w:val="clear" w:color="auto" w:fill="auto"/>
            <w:noWrap/>
            <w:vAlign w:val="center"/>
            <w:hideMark/>
          </w:tcPr>
          <w:p w14:paraId="73EE4947" w14:textId="6BA6311A"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1017" w:type="dxa"/>
            <w:tcBorders>
              <w:top w:val="nil"/>
              <w:left w:val="single" w:sz="4" w:space="0" w:color="auto"/>
              <w:bottom w:val="single" w:sz="4" w:space="0" w:color="auto"/>
              <w:right w:val="nil"/>
            </w:tcBorders>
            <w:shd w:val="clear" w:color="auto" w:fill="auto"/>
            <w:noWrap/>
            <w:vAlign w:val="bottom"/>
            <w:hideMark/>
          </w:tcPr>
          <w:p w14:paraId="177E1511" w14:textId="577E53E8"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455</w:t>
            </w:r>
          </w:p>
        </w:tc>
        <w:tc>
          <w:tcPr>
            <w:tcW w:w="909" w:type="dxa"/>
            <w:tcBorders>
              <w:top w:val="nil"/>
              <w:left w:val="nil"/>
              <w:bottom w:val="single" w:sz="4" w:space="0" w:color="auto"/>
              <w:right w:val="single" w:sz="4" w:space="0" w:color="auto"/>
            </w:tcBorders>
            <w:shd w:val="clear" w:color="auto" w:fill="auto"/>
            <w:noWrap/>
            <w:vAlign w:val="center"/>
            <w:hideMark/>
          </w:tcPr>
          <w:p w14:paraId="5AFAF2C8" w14:textId="61B6AB27"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075" w:type="dxa"/>
            <w:tcBorders>
              <w:top w:val="nil"/>
              <w:left w:val="nil"/>
              <w:bottom w:val="single" w:sz="4" w:space="0" w:color="auto"/>
              <w:right w:val="nil"/>
            </w:tcBorders>
            <w:shd w:val="clear" w:color="auto" w:fill="auto"/>
            <w:noWrap/>
            <w:vAlign w:val="bottom"/>
            <w:hideMark/>
          </w:tcPr>
          <w:p w14:paraId="6840D90A"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532</w:t>
            </w:r>
          </w:p>
        </w:tc>
        <w:tc>
          <w:tcPr>
            <w:tcW w:w="851" w:type="dxa"/>
            <w:tcBorders>
              <w:top w:val="nil"/>
              <w:left w:val="nil"/>
              <w:bottom w:val="single" w:sz="4" w:space="0" w:color="auto"/>
              <w:right w:val="single" w:sz="4" w:space="0" w:color="auto"/>
            </w:tcBorders>
            <w:shd w:val="clear" w:color="auto" w:fill="auto"/>
            <w:noWrap/>
            <w:vAlign w:val="center"/>
            <w:hideMark/>
          </w:tcPr>
          <w:p w14:paraId="1AD3548A" w14:textId="37D0E8FC"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332" w:type="dxa"/>
            <w:tcBorders>
              <w:top w:val="nil"/>
              <w:left w:val="nil"/>
              <w:bottom w:val="single" w:sz="4" w:space="0" w:color="auto"/>
              <w:right w:val="nil"/>
            </w:tcBorders>
            <w:shd w:val="clear" w:color="auto" w:fill="auto"/>
            <w:noWrap/>
            <w:vAlign w:val="center"/>
            <w:hideMark/>
          </w:tcPr>
          <w:p w14:paraId="385EE7EF" w14:textId="4CE5B77E"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BF0CC3" w:rsidRPr="00033A3F" w14:paraId="275A5303"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DC5D2F8"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99" w:type="dxa"/>
            <w:tcBorders>
              <w:top w:val="nil"/>
              <w:left w:val="nil"/>
              <w:bottom w:val="single" w:sz="4" w:space="0" w:color="auto"/>
              <w:right w:val="nil"/>
            </w:tcBorders>
            <w:shd w:val="clear" w:color="auto" w:fill="auto"/>
            <w:noWrap/>
            <w:vAlign w:val="bottom"/>
            <w:hideMark/>
          </w:tcPr>
          <w:p w14:paraId="093B4DF0" w14:textId="2589FD5B"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707</w:t>
            </w:r>
          </w:p>
        </w:tc>
        <w:tc>
          <w:tcPr>
            <w:tcW w:w="826" w:type="dxa"/>
            <w:tcBorders>
              <w:top w:val="nil"/>
              <w:left w:val="nil"/>
              <w:bottom w:val="single" w:sz="4" w:space="0" w:color="auto"/>
              <w:right w:val="nil"/>
            </w:tcBorders>
            <w:shd w:val="clear" w:color="auto" w:fill="auto"/>
            <w:noWrap/>
            <w:vAlign w:val="center"/>
            <w:hideMark/>
          </w:tcPr>
          <w:p w14:paraId="43299B7F" w14:textId="6486E203"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+50 %</w:t>
            </w:r>
          </w:p>
        </w:tc>
        <w:tc>
          <w:tcPr>
            <w:tcW w:w="1017" w:type="dxa"/>
            <w:tcBorders>
              <w:top w:val="nil"/>
              <w:left w:val="single" w:sz="4" w:space="0" w:color="auto"/>
              <w:bottom w:val="single" w:sz="4" w:space="0" w:color="auto"/>
              <w:right w:val="nil"/>
            </w:tcBorders>
            <w:shd w:val="clear" w:color="auto" w:fill="auto"/>
            <w:noWrap/>
            <w:vAlign w:val="bottom"/>
            <w:hideMark/>
          </w:tcPr>
          <w:p w14:paraId="2E3F3087" w14:textId="354FF532"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584</w:t>
            </w:r>
          </w:p>
        </w:tc>
        <w:tc>
          <w:tcPr>
            <w:tcW w:w="909" w:type="dxa"/>
            <w:tcBorders>
              <w:top w:val="nil"/>
              <w:left w:val="nil"/>
              <w:bottom w:val="single" w:sz="4" w:space="0" w:color="auto"/>
              <w:right w:val="single" w:sz="4" w:space="0" w:color="auto"/>
            </w:tcBorders>
            <w:shd w:val="clear" w:color="auto" w:fill="auto"/>
            <w:noWrap/>
            <w:vAlign w:val="center"/>
            <w:hideMark/>
          </w:tcPr>
          <w:p w14:paraId="49357945" w14:textId="25997E75"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+46 %</w:t>
            </w:r>
          </w:p>
        </w:tc>
        <w:tc>
          <w:tcPr>
            <w:tcW w:w="1075" w:type="dxa"/>
            <w:tcBorders>
              <w:top w:val="nil"/>
              <w:left w:val="nil"/>
              <w:bottom w:val="single" w:sz="4" w:space="0" w:color="auto"/>
              <w:right w:val="nil"/>
            </w:tcBorders>
            <w:shd w:val="clear" w:color="auto" w:fill="auto"/>
            <w:noWrap/>
            <w:vAlign w:val="bottom"/>
            <w:hideMark/>
          </w:tcPr>
          <w:p w14:paraId="237A17D2"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334</w:t>
            </w:r>
          </w:p>
        </w:tc>
        <w:tc>
          <w:tcPr>
            <w:tcW w:w="851" w:type="dxa"/>
            <w:tcBorders>
              <w:top w:val="nil"/>
              <w:left w:val="nil"/>
              <w:bottom w:val="single" w:sz="4" w:space="0" w:color="auto"/>
              <w:right w:val="single" w:sz="4" w:space="0" w:color="auto"/>
            </w:tcBorders>
            <w:shd w:val="clear" w:color="auto" w:fill="auto"/>
            <w:noWrap/>
            <w:vAlign w:val="center"/>
            <w:hideMark/>
          </w:tcPr>
          <w:p w14:paraId="1DF09F45" w14:textId="0C952187"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+58 %</w:t>
            </w:r>
          </w:p>
        </w:tc>
        <w:tc>
          <w:tcPr>
            <w:tcW w:w="1332" w:type="dxa"/>
            <w:tcBorders>
              <w:top w:val="nil"/>
              <w:left w:val="nil"/>
              <w:bottom w:val="single" w:sz="4" w:space="0" w:color="auto"/>
              <w:right w:val="nil"/>
            </w:tcBorders>
            <w:shd w:val="clear" w:color="auto" w:fill="auto"/>
            <w:noWrap/>
            <w:vAlign w:val="center"/>
            <w:hideMark/>
          </w:tcPr>
          <w:p w14:paraId="331AD496" w14:textId="2F157D7D"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5 %</w:t>
            </w:r>
          </w:p>
        </w:tc>
      </w:tr>
      <w:tr w:rsidR="00BF0CC3" w:rsidRPr="00033A3F" w14:paraId="136B88B5"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4F2F6FBB"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99" w:type="dxa"/>
            <w:tcBorders>
              <w:top w:val="nil"/>
              <w:left w:val="nil"/>
              <w:bottom w:val="single" w:sz="4" w:space="0" w:color="auto"/>
              <w:right w:val="nil"/>
            </w:tcBorders>
            <w:shd w:val="clear" w:color="auto" w:fill="auto"/>
            <w:noWrap/>
            <w:vAlign w:val="bottom"/>
            <w:hideMark/>
          </w:tcPr>
          <w:p w14:paraId="69DE4A5F" w14:textId="39C9543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269</w:t>
            </w:r>
          </w:p>
        </w:tc>
        <w:tc>
          <w:tcPr>
            <w:tcW w:w="826" w:type="dxa"/>
            <w:tcBorders>
              <w:top w:val="nil"/>
              <w:left w:val="nil"/>
              <w:bottom w:val="single" w:sz="4" w:space="0" w:color="auto"/>
              <w:right w:val="nil"/>
            </w:tcBorders>
            <w:shd w:val="clear" w:color="auto" w:fill="auto"/>
            <w:noWrap/>
            <w:vAlign w:val="center"/>
            <w:hideMark/>
          </w:tcPr>
          <w:p w14:paraId="0FD81EDE" w14:textId="5033F569"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+35 %</w:t>
            </w:r>
          </w:p>
        </w:tc>
        <w:tc>
          <w:tcPr>
            <w:tcW w:w="1017" w:type="dxa"/>
            <w:tcBorders>
              <w:top w:val="nil"/>
              <w:left w:val="single" w:sz="4" w:space="0" w:color="auto"/>
              <w:bottom w:val="single" w:sz="4" w:space="0" w:color="auto"/>
              <w:right w:val="nil"/>
            </w:tcBorders>
            <w:shd w:val="clear" w:color="auto" w:fill="auto"/>
            <w:noWrap/>
            <w:vAlign w:val="bottom"/>
            <w:hideMark/>
          </w:tcPr>
          <w:p w14:paraId="7124E3E4" w14:textId="7835717E"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116</w:t>
            </w:r>
          </w:p>
        </w:tc>
        <w:tc>
          <w:tcPr>
            <w:tcW w:w="909" w:type="dxa"/>
            <w:tcBorders>
              <w:top w:val="nil"/>
              <w:left w:val="nil"/>
              <w:bottom w:val="single" w:sz="4" w:space="0" w:color="auto"/>
              <w:right w:val="single" w:sz="4" w:space="0" w:color="auto"/>
            </w:tcBorders>
            <w:shd w:val="clear" w:color="auto" w:fill="auto"/>
            <w:noWrap/>
            <w:vAlign w:val="center"/>
            <w:hideMark/>
          </w:tcPr>
          <w:p w14:paraId="2F479957" w14:textId="745A8DEA"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1075" w:type="dxa"/>
            <w:tcBorders>
              <w:top w:val="nil"/>
              <w:left w:val="nil"/>
              <w:bottom w:val="single" w:sz="4" w:space="0" w:color="auto"/>
              <w:right w:val="nil"/>
            </w:tcBorders>
            <w:shd w:val="clear" w:color="auto" w:fill="auto"/>
            <w:noWrap/>
            <w:vAlign w:val="bottom"/>
            <w:hideMark/>
          </w:tcPr>
          <w:p w14:paraId="68D26DA7"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497</w:t>
            </w:r>
          </w:p>
        </w:tc>
        <w:tc>
          <w:tcPr>
            <w:tcW w:w="851" w:type="dxa"/>
            <w:tcBorders>
              <w:top w:val="nil"/>
              <w:left w:val="nil"/>
              <w:bottom w:val="single" w:sz="4" w:space="0" w:color="auto"/>
              <w:right w:val="single" w:sz="4" w:space="0" w:color="auto"/>
            </w:tcBorders>
            <w:shd w:val="clear" w:color="auto" w:fill="auto"/>
            <w:noWrap/>
            <w:vAlign w:val="center"/>
            <w:hideMark/>
          </w:tcPr>
          <w:p w14:paraId="6BC591B5" w14:textId="510342DE"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+44 %</w:t>
            </w:r>
          </w:p>
        </w:tc>
        <w:tc>
          <w:tcPr>
            <w:tcW w:w="1332" w:type="dxa"/>
            <w:tcBorders>
              <w:top w:val="nil"/>
              <w:left w:val="nil"/>
              <w:bottom w:val="single" w:sz="4" w:space="0" w:color="auto"/>
              <w:right w:val="nil"/>
            </w:tcBorders>
            <w:shd w:val="clear" w:color="auto" w:fill="auto"/>
            <w:noWrap/>
            <w:vAlign w:val="center"/>
            <w:hideMark/>
          </w:tcPr>
          <w:p w14:paraId="1573B821" w14:textId="3E120C3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0C0C94E9"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1F683C81"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99" w:type="dxa"/>
            <w:tcBorders>
              <w:top w:val="nil"/>
              <w:left w:val="nil"/>
              <w:bottom w:val="single" w:sz="4" w:space="0" w:color="auto"/>
              <w:right w:val="nil"/>
            </w:tcBorders>
            <w:shd w:val="clear" w:color="auto" w:fill="auto"/>
            <w:noWrap/>
            <w:vAlign w:val="bottom"/>
            <w:hideMark/>
          </w:tcPr>
          <w:p w14:paraId="7CE5F5E7" w14:textId="7BB098BE"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972</w:t>
            </w:r>
          </w:p>
        </w:tc>
        <w:tc>
          <w:tcPr>
            <w:tcW w:w="826" w:type="dxa"/>
            <w:tcBorders>
              <w:top w:val="nil"/>
              <w:left w:val="nil"/>
              <w:bottom w:val="single" w:sz="4" w:space="0" w:color="auto"/>
              <w:right w:val="nil"/>
            </w:tcBorders>
            <w:shd w:val="clear" w:color="auto" w:fill="auto"/>
            <w:noWrap/>
            <w:vAlign w:val="center"/>
            <w:hideMark/>
          </w:tcPr>
          <w:p w14:paraId="1D17A557" w14:textId="0529180B"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+76 %</w:t>
            </w:r>
          </w:p>
        </w:tc>
        <w:tc>
          <w:tcPr>
            <w:tcW w:w="1017" w:type="dxa"/>
            <w:tcBorders>
              <w:top w:val="nil"/>
              <w:left w:val="single" w:sz="4" w:space="0" w:color="auto"/>
              <w:bottom w:val="single" w:sz="4" w:space="0" w:color="auto"/>
              <w:right w:val="nil"/>
            </w:tcBorders>
            <w:shd w:val="clear" w:color="auto" w:fill="auto"/>
            <w:noWrap/>
            <w:vAlign w:val="bottom"/>
            <w:hideMark/>
          </w:tcPr>
          <w:p w14:paraId="2F2ECF5A" w14:textId="54E1DF04"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288</w:t>
            </w:r>
          </w:p>
        </w:tc>
        <w:tc>
          <w:tcPr>
            <w:tcW w:w="909" w:type="dxa"/>
            <w:tcBorders>
              <w:top w:val="nil"/>
              <w:left w:val="nil"/>
              <w:bottom w:val="single" w:sz="4" w:space="0" w:color="auto"/>
              <w:right w:val="single" w:sz="4" w:space="0" w:color="auto"/>
            </w:tcBorders>
            <w:shd w:val="clear" w:color="auto" w:fill="auto"/>
            <w:noWrap/>
            <w:vAlign w:val="center"/>
            <w:hideMark/>
          </w:tcPr>
          <w:p w14:paraId="31D573E2" w14:textId="148C05DC"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+59 %</w:t>
            </w:r>
          </w:p>
        </w:tc>
        <w:tc>
          <w:tcPr>
            <w:tcW w:w="1075" w:type="dxa"/>
            <w:tcBorders>
              <w:top w:val="nil"/>
              <w:left w:val="nil"/>
              <w:bottom w:val="single" w:sz="4" w:space="0" w:color="auto"/>
              <w:right w:val="nil"/>
            </w:tcBorders>
            <w:shd w:val="clear" w:color="auto" w:fill="auto"/>
            <w:noWrap/>
            <w:vAlign w:val="bottom"/>
            <w:hideMark/>
          </w:tcPr>
          <w:p w14:paraId="64CB63D1" w14:textId="2465D5D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595</w:t>
            </w:r>
          </w:p>
        </w:tc>
        <w:tc>
          <w:tcPr>
            <w:tcW w:w="851" w:type="dxa"/>
            <w:tcBorders>
              <w:top w:val="nil"/>
              <w:left w:val="nil"/>
              <w:bottom w:val="single" w:sz="4" w:space="0" w:color="auto"/>
              <w:right w:val="single" w:sz="4" w:space="0" w:color="auto"/>
            </w:tcBorders>
            <w:shd w:val="clear" w:color="auto" w:fill="auto"/>
            <w:noWrap/>
            <w:vAlign w:val="center"/>
            <w:hideMark/>
          </w:tcPr>
          <w:p w14:paraId="69C12409" w14:textId="5AC994AC"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+75 %</w:t>
            </w:r>
          </w:p>
        </w:tc>
        <w:tc>
          <w:tcPr>
            <w:tcW w:w="1332" w:type="dxa"/>
            <w:tcBorders>
              <w:top w:val="nil"/>
              <w:left w:val="nil"/>
              <w:bottom w:val="single" w:sz="4" w:space="0" w:color="auto"/>
              <w:right w:val="nil"/>
            </w:tcBorders>
            <w:shd w:val="clear" w:color="auto" w:fill="auto"/>
            <w:noWrap/>
            <w:vAlign w:val="center"/>
            <w:hideMark/>
          </w:tcPr>
          <w:p w14:paraId="319068AD" w14:textId="093DC71D"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2 %</w:t>
            </w:r>
          </w:p>
        </w:tc>
      </w:tr>
      <w:tr w:rsidR="00BF0CC3" w:rsidRPr="00033A3F" w14:paraId="7ACBCC12"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9B95CE0"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99" w:type="dxa"/>
            <w:tcBorders>
              <w:top w:val="nil"/>
              <w:left w:val="nil"/>
              <w:bottom w:val="single" w:sz="4" w:space="0" w:color="auto"/>
              <w:right w:val="nil"/>
            </w:tcBorders>
            <w:shd w:val="clear" w:color="auto" w:fill="auto"/>
            <w:noWrap/>
            <w:vAlign w:val="bottom"/>
            <w:hideMark/>
          </w:tcPr>
          <w:p w14:paraId="372CD9FD" w14:textId="40E0BE43"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698</w:t>
            </w:r>
          </w:p>
        </w:tc>
        <w:tc>
          <w:tcPr>
            <w:tcW w:w="826" w:type="dxa"/>
            <w:tcBorders>
              <w:top w:val="nil"/>
              <w:left w:val="nil"/>
              <w:bottom w:val="single" w:sz="4" w:space="0" w:color="auto"/>
              <w:right w:val="nil"/>
            </w:tcBorders>
            <w:shd w:val="clear" w:color="auto" w:fill="auto"/>
            <w:noWrap/>
            <w:vAlign w:val="center"/>
            <w:hideMark/>
          </w:tcPr>
          <w:p w14:paraId="4EB385DE" w14:textId="02597CD4"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17" w:type="dxa"/>
            <w:tcBorders>
              <w:top w:val="nil"/>
              <w:left w:val="single" w:sz="4" w:space="0" w:color="auto"/>
              <w:bottom w:val="single" w:sz="4" w:space="0" w:color="auto"/>
              <w:right w:val="nil"/>
            </w:tcBorders>
            <w:shd w:val="clear" w:color="auto" w:fill="auto"/>
            <w:noWrap/>
            <w:vAlign w:val="bottom"/>
            <w:hideMark/>
          </w:tcPr>
          <w:p w14:paraId="58237003" w14:textId="6D183623"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639</w:t>
            </w:r>
          </w:p>
        </w:tc>
        <w:tc>
          <w:tcPr>
            <w:tcW w:w="909" w:type="dxa"/>
            <w:tcBorders>
              <w:top w:val="nil"/>
              <w:left w:val="nil"/>
              <w:bottom w:val="single" w:sz="4" w:space="0" w:color="auto"/>
              <w:right w:val="single" w:sz="4" w:space="0" w:color="auto"/>
            </w:tcBorders>
            <w:shd w:val="clear" w:color="auto" w:fill="auto"/>
            <w:noWrap/>
            <w:vAlign w:val="center"/>
            <w:hideMark/>
          </w:tcPr>
          <w:p w14:paraId="628CFF2D" w14:textId="3E168B89"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75" w:type="dxa"/>
            <w:tcBorders>
              <w:top w:val="nil"/>
              <w:left w:val="nil"/>
              <w:bottom w:val="single" w:sz="4" w:space="0" w:color="auto"/>
              <w:right w:val="nil"/>
            </w:tcBorders>
            <w:shd w:val="clear" w:color="auto" w:fill="auto"/>
            <w:noWrap/>
            <w:vAlign w:val="bottom"/>
            <w:hideMark/>
          </w:tcPr>
          <w:p w14:paraId="56264441"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484</w:t>
            </w:r>
          </w:p>
        </w:tc>
        <w:tc>
          <w:tcPr>
            <w:tcW w:w="851" w:type="dxa"/>
            <w:tcBorders>
              <w:top w:val="nil"/>
              <w:left w:val="nil"/>
              <w:bottom w:val="single" w:sz="4" w:space="0" w:color="auto"/>
              <w:right w:val="single" w:sz="4" w:space="0" w:color="auto"/>
            </w:tcBorders>
            <w:shd w:val="clear" w:color="auto" w:fill="auto"/>
            <w:noWrap/>
            <w:vAlign w:val="center"/>
            <w:hideMark/>
          </w:tcPr>
          <w:p w14:paraId="15154277" w14:textId="01F3DB4C"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332" w:type="dxa"/>
            <w:tcBorders>
              <w:top w:val="nil"/>
              <w:left w:val="nil"/>
              <w:bottom w:val="single" w:sz="4" w:space="0" w:color="auto"/>
              <w:right w:val="nil"/>
            </w:tcBorders>
            <w:shd w:val="clear" w:color="auto" w:fill="auto"/>
            <w:noWrap/>
            <w:vAlign w:val="center"/>
            <w:hideMark/>
          </w:tcPr>
          <w:p w14:paraId="6BA38254" w14:textId="4CC0D34A"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540A9C1F"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7760BC9B"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99" w:type="dxa"/>
            <w:tcBorders>
              <w:top w:val="nil"/>
              <w:left w:val="nil"/>
              <w:bottom w:val="single" w:sz="4" w:space="0" w:color="auto"/>
              <w:right w:val="nil"/>
            </w:tcBorders>
            <w:shd w:val="clear" w:color="auto" w:fill="auto"/>
            <w:noWrap/>
            <w:vAlign w:val="bottom"/>
            <w:hideMark/>
          </w:tcPr>
          <w:p w14:paraId="55308011" w14:textId="08EFF951"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503</w:t>
            </w:r>
          </w:p>
        </w:tc>
        <w:tc>
          <w:tcPr>
            <w:tcW w:w="826" w:type="dxa"/>
            <w:tcBorders>
              <w:top w:val="nil"/>
              <w:left w:val="nil"/>
              <w:bottom w:val="single" w:sz="4" w:space="0" w:color="auto"/>
              <w:right w:val="nil"/>
            </w:tcBorders>
            <w:shd w:val="clear" w:color="auto" w:fill="auto"/>
            <w:noWrap/>
            <w:vAlign w:val="center"/>
            <w:hideMark/>
          </w:tcPr>
          <w:p w14:paraId="40ADEC75" w14:textId="03309288"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+43 %</w:t>
            </w:r>
          </w:p>
        </w:tc>
        <w:tc>
          <w:tcPr>
            <w:tcW w:w="1017" w:type="dxa"/>
            <w:tcBorders>
              <w:top w:val="nil"/>
              <w:left w:val="single" w:sz="4" w:space="0" w:color="auto"/>
              <w:bottom w:val="single" w:sz="4" w:space="0" w:color="auto"/>
              <w:right w:val="nil"/>
            </w:tcBorders>
            <w:shd w:val="clear" w:color="auto" w:fill="auto"/>
            <w:noWrap/>
            <w:vAlign w:val="bottom"/>
            <w:hideMark/>
          </w:tcPr>
          <w:p w14:paraId="6B552E00" w14:textId="3BACBE9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959</w:t>
            </w:r>
          </w:p>
        </w:tc>
        <w:tc>
          <w:tcPr>
            <w:tcW w:w="909" w:type="dxa"/>
            <w:tcBorders>
              <w:top w:val="nil"/>
              <w:left w:val="nil"/>
              <w:bottom w:val="single" w:sz="4" w:space="0" w:color="auto"/>
              <w:right w:val="single" w:sz="4" w:space="0" w:color="auto"/>
            </w:tcBorders>
            <w:shd w:val="clear" w:color="auto" w:fill="auto"/>
            <w:noWrap/>
            <w:vAlign w:val="center"/>
            <w:hideMark/>
          </w:tcPr>
          <w:p w14:paraId="3DD2AC9D" w14:textId="79722D6B"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75" w:type="dxa"/>
            <w:tcBorders>
              <w:top w:val="nil"/>
              <w:left w:val="nil"/>
              <w:bottom w:val="single" w:sz="4" w:space="0" w:color="auto"/>
              <w:right w:val="nil"/>
            </w:tcBorders>
            <w:shd w:val="clear" w:color="auto" w:fill="auto"/>
            <w:noWrap/>
            <w:vAlign w:val="bottom"/>
            <w:hideMark/>
          </w:tcPr>
          <w:p w14:paraId="5634CB31" w14:textId="71C90B1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244</w:t>
            </w:r>
          </w:p>
        </w:tc>
        <w:tc>
          <w:tcPr>
            <w:tcW w:w="851" w:type="dxa"/>
            <w:tcBorders>
              <w:top w:val="nil"/>
              <w:left w:val="nil"/>
              <w:bottom w:val="single" w:sz="4" w:space="0" w:color="auto"/>
              <w:right w:val="single" w:sz="4" w:space="0" w:color="auto"/>
            </w:tcBorders>
            <w:shd w:val="clear" w:color="auto" w:fill="auto"/>
            <w:noWrap/>
            <w:vAlign w:val="center"/>
            <w:hideMark/>
          </w:tcPr>
          <w:p w14:paraId="4263ED91" w14:textId="2C4553AF"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+90 %</w:t>
            </w:r>
          </w:p>
        </w:tc>
        <w:tc>
          <w:tcPr>
            <w:tcW w:w="1332" w:type="dxa"/>
            <w:tcBorders>
              <w:top w:val="nil"/>
              <w:left w:val="nil"/>
              <w:bottom w:val="single" w:sz="4" w:space="0" w:color="auto"/>
              <w:right w:val="nil"/>
            </w:tcBorders>
            <w:shd w:val="clear" w:color="auto" w:fill="auto"/>
            <w:noWrap/>
            <w:vAlign w:val="center"/>
            <w:hideMark/>
          </w:tcPr>
          <w:p w14:paraId="0E9DBA8E" w14:textId="0DDAF80B"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81</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BF0CC3" w:rsidRPr="00033A3F" w14:paraId="0E4A410D" w14:textId="77777777" w:rsidTr="00E23341">
        <w:trPr>
          <w:trHeight w:val="330"/>
        </w:trPr>
        <w:tc>
          <w:tcPr>
            <w:tcW w:w="2020" w:type="dxa"/>
            <w:tcBorders>
              <w:top w:val="nil"/>
              <w:left w:val="nil"/>
              <w:bottom w:val="double" w:sz="6" w:space="0" w:color="auto"/>
              <w:right w:val="nil"/>
            </w:tcBorders>
            <w:shd w:val="clear" w:color="auto" w:fill="auto"/>
            <w:noWrap/>
            <w:vAlign w:val="bottom"/>
            <w:hideMark/>
          </w:tcPr>
          <w:p w14:paraId="3614367E"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99" w:type="dxa"/>
            <w:tcBorders>
              <w:top w:val="nil"/>
              <w:left w:val="nil"/>
              <w:bottom w:val="double" w:sz="6" w:space="0" w:color="auto"/>
              <w:right w:val="nil"/>
            </w:tcBorders>
            <w:shd w:val="clear" w:color="auto" w:fill="auto"/>
            <w:noWrap/>
            <w:vAlign w:val="bottom"/>
            <w:hideMark/>
          </w:tcPr>
          <w:p w14:paraId="407B4276" w14:textId="793C5E41"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995</w:t>
            </w:r>
          </w:p>
        </w:tc>
        <w:tc>
          <w:tcPr>
            <w:tcW w:w="826" w:type="dxa"/>
            <w:tcBorders>
              <w:top w:val="nil"/>
              <w:left w:val="nil"/>
              <w:bottom w:val="double" w:sz="6" w:space="0" w:color="auto"/>
              <w:right w:val="nil"/>
            </w:tcBorders>
            <w:shd w:val="clear" w:color="auto" w:fill="auto"/>
            <w:noWrap/>
            <w:vAlign w:val="center"/>
            <w:hideMark/>
          </w:tcPr>
          <w:p w14:paraId="53B175AB" w14:textId="7AA82F78"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c>
          <w:tcPr>
            <w:tcW w:w="1017" w:type="dxa"/>
            <w:tcBorders>
              <w:top w:val="nil"/>
              <w:left w:val="single" w:sz="4" w:space="0" w:color="auto"/>
              <w:bottom w:val="double" w:sz="6" w:space="0" w:color="auto"/>
              <w:right w:val="nil"/>
            </w:tcBorders>
            <w:shd w:val="clear" w:color="auto" w:fill="auto"/>
            <w:noWrap/>
            <w:vAlign w:val="bottom"/>
            <w:hideMark/>
          </w:tcPr>
          <w:p w14:paraId="59FC01ED" w14:textId="5B17D0A9"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427</w:t>
            </w:r>
          </w:p>
        </w:tc>
        <w:tc>
          <w:tcPr>
            <w:tcW w:w="909" w:type="dxa"/>
            <w:tcBorders>
              <w:top w:val="nil"/>
              <w:left w:val="nil"/>
              <w:bottom w:val="double" w:sz="6" w:space="0" w:color="auto"/>
              <w:right w:val="single" w:sz="4" w:space="0" w:color="auto"/>
            </w:tcBorders>
            <w:shd w:val="clear" w:color="auto" w:fill="auto"/>
            <w:noWrap/>
            <w:vAlign w:val="center"/>
            <w:hideMark/>
          </w:tcPr>
          <w:p w14:paraId="33E2D503" w14:textId="21321910"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75" w:type="dxa"/>
            <w:tcBorders>
              <w:top w:val="nil"/>
              <w:left w:val="nil"/>
              <w:bottom w:val="double" w:sz="6" w:space="0" w:color="auto"/>
              <w:right w:val="nil"/>
            </w:tcBorders>
            <w:shd w:val="clear" w:color="auto" w:fill="auto"/>
            <w:noWrap/>
            <w:vAlign w:val="bottom"/>
            <w:hideMark/>
          </w:tcPr>
          <w:p w14:paraId="2012ADDB" w14:textId="48BB72D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223</w:t>
            </w:r>
          </w:p>
        </w:tc>
        <w:tc>
          <w:tcPr>
            <w:tcW w:w="851" w:type="dxa"/>
            <w:tcBorders>
              <w:top w:val="nil"/>
              <w:left w:val="nil"/>
              <w:bottom w:val="double" w:sz="6" w:space="0" w:color="auto"/>
              <w:right w:val="single" w:sz="4" w:space="0" w:color="auto"/>
            </w:tcBorders>
            <w:shd w:val="clear" w:color="auto" w:fill="auto"/>
            <w:noWrap/>
            <w:vAlign w:val="center"/>
            <w:hideMark/>
          </w:tcPr>
          <w:p w14:paraId="07A47544" w14:textId="19F84811"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1332" w:type="dxa"/>
            <w:tcBorders>
              <w:top w:val="nil"/>
              <w:left w:val="nil"/>
              <w:bottom w:val="nil"/>
              <w:right w:val="nil"/>
            </w:tcBorders>
            <w:shd w:val="clear" w:color="auto" w:fill="auto"/>
            <w:noWrap/>
            <w:vAlign w:val="center"/>
            <w:hideMark/>
          </w:tcPr>
          <w:p w14:paraId="4B3368DA" w14:textId="25673FE9"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9 %</w:t>
            </w:r>
          </w:p>
        </w:tc>
      </w:tr>
      <w:tr w:rsidR="00BF0CC3" w:rsidRPr="00033A3F" w14:paraId="73E67E14" w14:textId="77777777" w:rsidTr="00E23341">
        <w:trPr>
          <w:trHeight w:val="345"/>
        </w:trPr>
        <w:tc>
          <w:tcPr>
            <w:tcW w:w="2020" w:type="dxa"/>
            <w:tcBorders>
              <w:top w:val="nil"/>
              <w:left w:val="nil"/>
              <w:bottom w:val="double" w:sz="6" w:space="0" w:color="auto"/>
              <w:right w:val="nil"/>
            </w:tcBorders>
            <w:shd w:val="clear" w:color="auto" w:fill="auto"/>
            <w:noWrap/>
            <w:vAlign w:val="bottom"/>
            <w:hideMark/>
          </w:tcPr>
          <w:p w14:paraId="51AE38A2" w14:textId="77777777" w:rsidR="00BA6B53" w:rsidRPr="00033A3F" w:rsidRDefault="00BA6B53" w:rsidP="00BA6B53">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99" w:type="dxa"/>
            <w:tcBorders>
              <w:top w:val="nil"/>
              <w:left w:val="nil"/>
              <w:bottom w:val="double" w:sz="6" w:space="0" w:color="auto"/>
              <w:right w:val="nil"/>
            </w:tcBorders>
            <w:shd w:val="clear" w:color="auto" w:fill="auto"/>
            <w:noWrap/>
            <w:vAlign w:val="bottom"/>
            <w:hideMark/>
          </w:tcPr>
          <w:p w14:paraId="23BF7F70" w14:textId="1BF8EEE8"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54</w:t>
            </w:r>
            <w:r w:rsidR="00165B9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433</w:t>
            </w:r>
          </w:p>
        </w:tc>
        <w:tc>
          <w:tcPr>
            <w:tcW w:w="826" w:type="dxa"/>
            <w:tcBorders>
              <w:top w:val="nil"/>
              <w:left w:val="nil"/>
              <w:bottom w:val="double" w:sz="6" w:space="0" w:color="auto"/>
              <w:right w:val="nil"/>
            </w:tcBorders>
            <w:shd w:val="clear" w:color="auto" w:fill="auto"/>
            <w:noWrap/>
            <w:vAlign w:val="center"/>
            <w:hideMark/>
          </w:tcPr>
          <w:p w14:paraId="0488A456" w14:textId="64F17211" w:rsidR="00BA6B53" w:rsidRPr="00033A3F" w:rsidRDefault="00BA6B53" w:rsidP="00E23341">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+33 %</w:t>
            </w:r>
          </w:p>
        </w:tc>
        <w:tc>
          <w:tcPr>
            <w:tcW w:w="1017" w:type="dxa"/>
            <w:tcBorders>
              <w:top w:val="nil"/>
              <w:left w:val="single" w:sz="4" w:space="0" w:color="auto"/>
              <w:bottom w:val="double" w:sz="6" w:space="0" w:color="auto"/>
              <w:right w:val="nil"/>
            </w:tcBorders>
            <w:shd w:val="clear" w:color="auto" w:fill="auto"/>
            <w:noWrap/>
            <w:vAlign w:val="bottom"/>
            <w:hideMark/>
          </w:tcPr>
          <w:p w14:paraId="09153703" w14:textId="37F20788"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50</w:t>
            </w:r>
            <w:r w:rsidR="00165B9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352</w:t>
            </w:r>
          </w:p>
        </w:tc>
        <w:tc>
          <w:tcPr>
            <w:tcW w:w="909" w:type="dxa"/>
            <w:tcBorders>
              <w:top w:val="nil"/>
              <w:left w:val="nil"/>
              <w:bottom w:val="double" w:sz="6" w:space="0" w:color="auto"/>
              <w:right w:val="single" w:sz="4" w:space="0" w:color="auto"/>
            </w:tcBorders>
            <w:shd w:val="clear" w:color="auto" w:fill="auto"/>
            <w:noWrap/>
            <w:vAlign w:val="center"/>
            <w:hideMark/>
          </w:tcPr>
          <w:p w14:paraId="0DEC114F" w14:textId="1DB1D15E" w:rsidR="00BA6B53" w:rsidRPr="00033A3F" w:rsidRDefault="00BA6B53" w:rsidP="00E23341">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+20 %</w:t>
            </w:r>
          </w:p>
        </w:tc>
        <w:tc>
          <w:tcPr>
            <w:tcW w:w="1075" w:type="dxa"/>
            <w:tcBorders>
              <w:top w:val="nil"/>
              <w:left w:val="nil"/>
              <w:bottom w:val="double" w:sz="6" w:space="0" w:color="auto"/>
              <w:right w:val="nil"/>
            </w:tcBorders>
            <w:shd w:val="clear" w:color="auto" w:fill="auto"/>
            <w:noWrap/>
            <w:vAlign w:val="bottom"/>
            <w:hideMark/>
          </w:tcPr>
          <w:p w14:paraId="3460C56A" w14:textId="5A312A6C"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w:t>
            </w:r>
            <w:r w:rsidR="00165B9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081</w:t>
            </w:r>
          </w:p>
        </w:tc>
        <w:tc>
          <w:tcPr>
            <w:tcW w:w="851" w:type="dxa"/>
            <w:tcBorders>
              <w:top w:val="nil"/>
              <w:left w:val="nil"/>
              <w:bottom w:val="double" w:sz="6" w:space="0" w:color="auto"/>
              <w:right w:val="single" w:sz="4" w:space="0" w:color="auto"/>
            </w:tcBorders>
            <w:shd w:val="clear" w:color="auto" w:fill="auto"/>
            <w:noWrap/>
            <w:vAlign w:val="center"/>
            <w:hideMark/>
          </w:tcPr>
          <w:p w14:paraId="7F823272" w14:textId="49B9B8CC" w:rsidR="00BA6B53" w:rsidRPr="00033A3F" w:rsidRDefault="00BA6B53" w:rsidP="00E23341">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+58 %</w:t>
            </w:r>
          </w:p>
        </w:tc>
        <w:tc>
          <w:tcPr>
            <w:tcW w:w="1332" w:type="dxa"/>
            <w:tcBorders>
              <w:top w:val="double" w:sz="6" w:space="0" w:color="auto"/>
              <w:left w:val="nil"/>
              <w:bottom w:val="double" w:sz="6" w:space="0" w:color="auto"/>
              <w:right w:val="nil"/>
            </w:tcBorders>
            <w:shd w:val="clear" w:color="auto" w:fill="auto"/>
            <w:noWrap/>
            <w:vAlign w:val="center"/>
            <w:hideMark/>
          </w:tcPr>
          <w:p w14:paraId="40D62F6F" w14:textId="2A0E3E44"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92</w:t>
            </w:r>
            <w:r w:rsidR="00165B9E"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5 %</w:t>
            </w:r>
          </w:p>
        </w:tc>
      </w:tr>
    </w:tbl>
    <w:p w14:paraId="59009F85" w14:textId="491E075E" w:rsidR="00E67BF7" w:rsidRPr="00033A3F" w:rsidRDefault="00E67BF7" w:rsidP="00165B9E">
      <w:pPr>
        <w:pStyle w:val="OdstavecASR"/>
        <w:rPr>
          <w:color w:val="000000" w:themeColor="text1"/>
        </w:rPr>
      </w:pPr>
      <w:bookmarkStart w:id="1328" w:name="_Toc106092761"/>
      <w:bookmarkStart w:id="1329" w:name="_Toc169250837"/>
      <w:r w:rsidRPr="00033A3F">
        <w:rPr>
          <w:color w:val="000000" w:themeColor="text1"/>
        </w:rPr>
        <w:t xml:space="preserve">Vzhledem k výše diskutovanému nárůstu v počtu odvolání proti rozhodnutí exekutora je </w:t>
      </w:r>
      <w:r w:rsidR="002178AA" w:rsidRPr="00033A3F">
        <w:rPr>
          <w:color w:val="000000" w:themeColor="text1"/>
        </w:rPr>
        <w:t xml:space="preserve">vhodné </w:t>
      </w:r>
      <w:r w:rsidRPr="00033A3F">
        <w:rPr>
          <w:color w:val="000000" w:themeColor="text1"/>
        </w:rPr>
        <w:t xml:space="preserve">se podívat </w:t>
      </w:r>
      <w:r w:rsidR="002178AA" w:rsidRPr="00033A3F">
        <w:rPr>
          <w:color w:val="000000" w:themeColor="text1"/>
        </w:rPr>
        <w:t xml:space="preserve">zvlášť </w:t>
      </w:r>
      <w:r w:rsidRPr="00033A3F">
        <w:rPr>
          <w:color w:val="000000" w:themeColor="text1"/>
        </w:rPr>
        <w:t>na odvolání proti rozhodnutí soudu.</w:t>
      </w:r>
    </w:p>
    <w:p w14:paraId="0F0D5D9F" w14:textId="3A83CD05" w:rsidR="00E67BF7" w:rsidRPr="00033A3F" w:rsidRDefault="00E67BF7" w:rsidP="00E67BF7">
      <w:pPr>
        <w:pStyle w:val="Podnadpis"/>
        <w:numPr>
          <w:ilvl w:val="0"/>
          <w:numId w:val="0"/>
        </w:numPr>
        <w:rPr>
          <w:color w:val="000000" w:themeColor="text1"/>
        </w:rPr>
      </w:pPr>
      <w:bookmarkStart w:id="1330" w:name="_Toc193530824"/>
      <w:bookmarkStart w:id="1331" w:name="_Toc193634098"/>
      <w:bookmarkStart w:id="1332" w:name="_Toc20303289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69</w:t>
      </w:r>
      <w:r w:rsidRPr="00033A3F">
        <w:rPr>
          <w:color w:val="000000" w:themeColor="text1"/>
        </w:rPr>
        <w:fldChar w:fldCharType="end"/>
      </w:r>
      <w:r w:rsidRPr="00033A3F">
        <w:rPr>
          <w:color w:val="000000" w:themeColor="text1"/>
        </w:rPr>
        <w:t>: KS – vyřizování odvolacích civilních věcí v letech 2015–2024, jen proti rozhodnutí soudu</w:t>
      </w:r>
      <w:bookmarkEnd w:id="1330"/>
      <w:bookmarkEnd w:id="1331"/>
      <w:bookmarkEnd w:id="1332"/>
    </w:p>
    <w:p w14:paraId="13B64E65" w14:textId="74F3460B" w:rsidR="00E67BF7" w:rsidRPr="00033A3F" w:rsidRDefault="00E01D34" w:rsidP="00E67BF7">
      <w:pPr>
        <w:rPr>
          <w:color w:val="000000" w:themeColor="text1"/>
        </w:rPr>
      </w:pPr>
      <w:r w:rsidRPr="00033A3F">
        <w:rPr>
          <w:noProof/>
          <w:color w:val="000000" w:themeColor="text1"/>
          <w:lang w:eastAsia="cs-CZ"/>
        </w:rPr>
        <w:drawing>
          <wp:inline distT="0" distB="0" distL="0" distR="0" wp14:anchorId="47B68DB3" wp14:editId="19183681">
            <wp:extent cx="5029200" cy="3657600"/>
            <wp:effectExtent l="0" t="0" r="0" b="0"/>
            <wp:docPr id="1902141148"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E6A9A00" w14:textId="33D30F54" w:rsidR="00E01D34" w:rsidRPr="00033A3F" w:rsidRDefault="00E01D34" w:rsidP="00E67BF7">
      <w:pPr>
        <w:rPr>
          <w:color w:val="000000" w:themeColor="text1"/>
        </w:rPr>
      </w:pPr>
      <w:r w:rsidRPr="00033A3F">
        <w:rPr>
          <w:color w:val="000000" w:themeColor="text1"/>
        </w:rPr>
        <w:t xml:space="preserve">Na grafu vidíme, že po </w:t>
      </w:r>
      <w:r w:rsidR="00DF7FAC" w:rsidRPr="00033A3F">
        <w:rPr>
          <w:color w:val="000000" w:themeColor="text1"/>
        </w:rPr>
        <w:t xml:space="preserve">odfiltrování </w:t>
      </w:r>
      <w:r w:rsidRPr="00033A3F">
        <w:rPr>
          <w:color w:val="000000" w:themeColor="text1"/>
        </w:rPr>
        <w:t>odvolání proti rozhodnutí exekutora si časová řada příchozích věcí stále drží svůj mírně klesající trend a žádný velký šok není přítomen.</w:t>
      </w:r>
    </w:p>
    <w:p w14:paraId="79745746" w14:textId="77777777" w:rsidR="00BA6F21" w:rsidRPr="00033A3F" w:rsidRDefault="00BA6F21">
      <w:pPr>
        <w:spacing w:after="160" w:line="259" w:lineRule="auto"/>
        <w:jc w:val="left"/>
        <w:rPr>
          <w:rFonts w:eastAsia="Times New Roman"/>
          <w:b/>
          <w:bCs/>
          <w:color w:val="000000" w:themeColor="text1"/>
        </w:rPr>
      </w:pPr>
      <w:r w:rsidRPr="00033A3F">
        <w:rPr>
          <w:color w:val="000000" w:themeColor="text1"/>
        </w:rPr>
        <w:br w:type="page"/>
      </w:r>
    </w:p>
    <w:p w14:paraId="6B36B8B8" w14:textId="2FE7E41D" w:rsidR="00165B9E" w:rsidRPr="00033A3F" w:rsidRDefault="00165B9E" w:rsidP="00165B9E">
      <w:pPr>
        <w:pStyle w:val="Nadpis3"/>
        <w:numPr>
          <w:ilvl w:val="2"/>
          <w:numId w:val="1"/>
        </w:numPr>
        <w:rPr>
          <w:color w:val="000000" w:themeColor="text1"/>
        </w:rPr>
      </w:pPr>
      <w:bookmarkStart w:id="1333" w:name="_Toc193530999"/>
      <w:bookmarkStart w:id="1334" w:name="_Toc193957055"/>
      <w:bookmarkStart w:id="1335" w:name="_Toc203032745"/>
      <w:r w:rsidRPr="00033A3F">
        <w:rPr>
          <w:color w:val="000000" w:themeColor="text1"/>
        </w:rPr>
        <w:lastRenderedPageBreak/>
        <w:t>Vyřizování věcí v přepočtu na soudce</w:t>
      </w:r>
      <w:bookmarkEnd w:id="1333"/>
      <w:bookmarkEnd w:id="1334"/>
      <w:bookmarkEnd w:id="1335"/>
    </w:p>
    <w:bookmarkEnd w:id="1328"/>
    <w:bookmarkEnd w:id="1329"/>
    <w:p w14:paraId="584E6E54" w14:textId="77777777" w:rsidR="00E8003B" w:rsidRPr="00033A3F" w:rsidRDefault="00E8003B" w:rsidP="004C0D35">
      <w:pPr>
        <w:pStyle w:val="OdstavecASR"/>
        <w:rPr>
          <w:color w:val="000000" w:themeColor="text1"/>
        </w:rPr>
      </w:pPr>
      <w:r w:rsidRPr="00033A3F">
        <w:rPr>
          <w:color w:val="000000" w:themeColor="text1"/>
        </w:rPr>
        <w:t>I zde lze pomocí dat o úvazcích provést přepočet na soudce. Výsledek je uveden v tabulce níže.</w:t>
      </w:r>
    </w:p>
    <w:p w14:paraId="53EB71F8" w14:textId="57B61784" w:rsidR="00E8003B" w:rsidRPr="00033A3F" w:rsidRDefault="00E8003B" w:rsidP="00E8003B">
      <w:pPr>
        <w:pStyle w:val="Podnadpis"/>
        <w:numPr>
          <w:ilvl w:val="0"/>
          <w:numId w:val="0"/>
        </w:numPr>
        <w:rPr>
          <w:color w:val="000000" w:themeColor="text1"/>
        </w:rPr>
      </w:pPr>
      <w:bookmarkStart w:id="1336" w:name="_Toc144104293"/>
      <w:bookmarkStart w:id="1337" w:name="_Toc169251107"/>
      <w:bookmarkStart w:id="1338" w:name="_Toc174080793"/>
      <w:bookmarkStart w:id="1339" w:name="_Toc193530921"/>
      <w:bookmarkStart w:id="1340" w:name="_Toc194045618"/>
      <w:bookmarkStart w:id="1341" w:name="_Toc199495028"/>
      <w:bookmarkStart w:id="1342" w:name="_Toc203033089"/>
      <w:bookmarkStart w:id="1343" w:name="_Toc203033167"/>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47</w:t>
      </w:r>
      <w:r w:rsidRPr="00033A3F">
        <w:rPr>
          <w:color w:val="000000" w:themeColor="text1"/>
        </w:rPr>
        <w:fldChar w:fldCharType="end"/>
      </w:r>
      <w:r w:rsidRPr="00033A3F">
        <w:rPr>
          <w:color w:val="000000" w:themeColor="text1"/>
        </w:rPr>
        <w:t>: KS – vyřiz. odvolacích civil. věcí na skutečn</w:t>
      </w:r>
      <w:r w:rsidR="00F02F09" w:rsidRPr="00033A3F">
        <w:rPr>
          <w:color w:val="000000" w:themeColor="text1"/>
        </w:rPr>
        <w:t>ého</w:t>
      </w:r>
      <w:r w:rsidR="0075413D">
        <w:rPr>
          <w:color w:val="000000" w:themeColor="text1"/>
        </w:rPr>
        <w:t xml:space="preserve"> </w:t>
      </w:r>
      <w:r w:rsidR="00F02F09" w:rsidRPr="00033A3F">
        <w:rPr>
          <w:color w:val="000000" w:themeColor="text1"/>
        </w:rPr>
        <w:t>soudce</w:t>
      </w:r>
      <w:bookmarkEnd w:id="1336"/>
      <w:bookmarkEnd w:id="1337"/>
      <w:bookmarkEnd w:id="1338"/>
      <w:bookmarkEnd w:id="1339"/>
      <w:bookmarkEnd w:id="1340"/>
      <w:bookmarkEnd w:id="1341"/>
      <w:r w:rsidR="0075413D">
        <w:rPr>
          <w:color w:val="000000" w:themeColor="text1"/>
        </w:rPr>
        <w:t xml:space="preserve"> dle soudů</w:t>
      </w:r>
      <w:bookmarkEnd w:id="1342"/>
      <w:bookmarkEnd w:id="1343"/>
    </w:p>
    <w:tbl>
      <w:tblPr>
        <w:tblW w:w="9214" w:type="dxa"/>
        <w:tblCellMar>
          <w:left w:w="70" w:type="dxa"/>
          <w:right w:w="70" w:type="dxa"/>
        </w:tblCellMar>
        <w:tblLook w:val="04A0" w:firstRow="1" w:lastRow="0" w:firstColumn="1" w:lastColumn="0" w:noHBand="0" w:noVBand="1"/>
      </w:tblPr>
      <w:tblGrid>
        <w:gridCol w:w="1843"/>
        <w:gridCol w:w="1134"/>
        <w:gridCol w:w="1134"/>
        <w:gridCol w:w="992"/>
        <w:gridCol w:w="1134"/>
        <w:gridCol w:w="851"/>
        <w:gridCol w:w="1134"/>
        <w:gridCol w:w="992"/>
      </w:tblGrid>
      <w:tr w:rsidR="00A218BE" w:rsidRPr="00A218BE" w14:paraId="561618B2" w14:textId="77777777" w:rsidTr="003D5F1A">
        <w:trPr>
          <w:trHeight w:val="330"/>
        </w:trPr>
        <w:tc>
          <w:tcPr>
            <w:tcW w:w="1843" w:type="dxa"/>
            <w:vMerge w:val="restart"/>
            <w:tcBorders>
              <w:top w:val="double" w:sz="6" w:space="0" w:color="auto"/>
              <w:left w:val="nil"/>
              <w:bottom w:val="double" w:sz="6" w:space="0" w:color="000000"/>
              <w:right w:val="nil"/>
            </w:tcBorders>
            <w:shd w:val="clear" w:color="auto" w:fill="auto"/>
            <w:noWrap/>
            <w:vAlign w:val="center"/>
            <w:hideMark/>
          </w:tcPr>
          <w:p w14:paraId="14855FA9"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Soud</w:t>
            </w:r>
          </w:p>
        </w:tc>
        <w:tc>
          <w:tcPr>
            <w:tcW w:w="1134" w:type="dxa"/>
            <w:vMerge w:val="restart"/>
            <w:tcBorders>
              <w:top w:val="double" w:sz="6" w:space="0" w:color="auto"/>
              <w:left w:val="nil"/>
              <w:bottom w:val="double" w:sz="6" w:space="0" w:color="000000"/>
              <w:right w:val="nil"/>
            </w:tcBorders>
            <w:shd w:val="clear" w:color="auto" w:fill="auto"/>
            <w:vAlign w:val="center"/>
            <w:hideMark/>
          </w:tcPr>
          <w:p w14:paraId="5BB387FF"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Počet úvazků</w:t>
            </w:r>
          </w:p>
        </w:tc>
        <w:tc>
          <w:tcPr>
            <w:tcW w:w="6237" w:type="dxa"/>
            <w:gridSpan w:val="6"/>
            <w:tcBorders>
              <w:top w:val="double" w:sz="6" w:space="0" w:color="auto"/>
              <w:left w:val="nil"/>
              <w:bottom w:val="nil"/>
              <w:right w:val="nil"/>
            </w:tcBorders>
            <w:shd w:val="clear" w:color="auto" w:fill="auto"/>
            <w:noWrap/>
            <w:vAlign w:val="center"/>
            <w:hideMark/>
          </w:tcPr>
          <w:p w14:paraId="117524EB"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Délka řízení</w:t>
            </w:r>
          </w:p>
        </w:tc>
      </w:tr>
      <w:tr w:rsidR="00A218BE" w:rsidRPr="00A218BE" w14:paraId="24BD30BA" w14:textId="77777777" w:rsidTr="003D5F1A">
        <w:trPr>
          <w:trHeight w:val="330"/>
        </w:trPr>
        <w:tc>
          <w:tcPr>
            <w:tcW w:w="1843" w:type="dxa"/>
            <w:vMerge/>
            <w:tcBorders>
              <w:top w:val="double" w:sz="6" w:space="0" w:color="auto"/>
              <w:left w:val="nil"/>
              <w:bottom w:val="double" w:sz="6" w:space="0" w:color="000000"/>
              <w:right w:val="nil"/>
            </w:tcBorders>
            <w:vAlign w:val="center"/>
            <w:hideMark/>
          </w:tcPr>
          <w:p w14:paraId="28BE4FE3" w14:textId="77777777" w:rsidR="00A218BE" w:rsidRPr="00A218BE" w:rsidRDefault="00A218BE" w:rsidP="00A218BE">
            <w:pPr>
              <w:spacing w:line="240" w:lineRule="auto"/>
              <w:jc w:val="left"/>
              <w:rPr>
                <w:rFonts w:eastAsia="Times New Roman"/>
                <w:b/>
                <w:bCs/>
                <w:color w:val="000000"/>
                <w:szCs w:val="24"/>
                <w:lang w:eastAsia="cs-CZ"/>
              </w:rPr>
            </w:pPr>
          </w:p>
        </w:tc>
        <w:tc>
          <w:tcPr>
            <w:tcW w:w="1134" w:type="dxa"/>
            <w:vMerge/>
            <w:tcBorders>
              <w:top w:val="double" w:sz="6" w:space="0" w:color="auto"/>
              <w:left w:val="nil"/>
              <w:bottom w:val="double" w:sz="6" w:space="0" w:color="000000"/>
              <w:right w:val="nil"/>
            </w:tcBorders>
            <w:vAlign w:val="center"/>
            <w:hideMark/>
          </w:tcPr>
          <w:p w14:paraId="280B8E89" w14:textId="77777777" w:rsidR="00A218BE" w:rsidRPr="00A218BE" w:rsidRDefault="00A218BE" w:rsidP="00A218BE">
            <w:pPr>
              <w:spacing w:line="240" w:lineRule="auto"/>
              <w:jc w:val="left"/>
              <w:rPr>
                <w:rFonts w:eastAsia="Times New Roman"/>
                <w:b/>
                <w:bCs/>
                <w:color w:val="000000"/>
                <w:szCs w:val="24"/>
                <w:lang w:eastAsia="cs-CZ"/>
              </w:rPr>
            </w:pPr>
          </w:p>
        </w:tc>
        <w:tc>
          <w:tcPr>
            <w:tcW w:w="2126" w:type="dxa"/>
            <w:gridSpan w:val="2"/>
            <w:tcBorders>
              <w:top w:val="nil"/>
              <w:left w:val="nil"/>
              <w:bottom w:val="double" w:sz="6" w:space="0" w:color="auto"/>
              <w:right w:val="nil"/>
            </w:tcBorders>
            <w:shd w:val="clear" w:color="auto" w:fill="auto"/>
            <w:noWrap/>
            <w:vAlign w:val="center"/>
            <w:hideMark/>
          </w:tcPr>
          <w:p w14:paraId="5E67D3CB"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Nápad + obživlé věci</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034EB29"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Vyřízeno</w:t>
            </w:r>
          </w:p>
        </w:tc>
        <w:tc>
          <w:tcPr>
            <w:tcW w:w="2126" w:type="dxa"/>
            <w:gridSpan w:val="2"/>
            <w:tcBorders>
              <w:top w:val="nil"/>
              <w:left w:val="nil"/>
              <w:bottom w:val="double" w:sz="6" w:space="0" w:color="auto"/>
              <w:right w:val="nil"/>
            </w:tcBorders>
            <w:shd w:val="clear" w:color="auto" w:fill="auto"/>
            <w:noWrap/>
            <w:vAlign w:val="center"/>
            <w:hideMark/>
          </w:tcPr>
          <w:p w14:paraId="192E6AA0"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Nevyřízeno</w:t>
            </w:r>
          </w:p>
        </w:tc>
      </w:tr>
      <w:tr w:rsidR="00A218BE" w:rsidRPr="00A218BE" w14:paraId="11CF6553" w14:textId="77777777" w:rsidTr="003D5F1A">
        <w:trPr>
          <w:trHeight w:val="330"/>
        </w:trPr>
        <w:tc>
          <w:tcPr>
            <w:tcW w:w="1843" w:type="dxa"/>
            <w:tcBorders>
              <w:top w:val="single" w:sz="4" w:space="0" w:color="auto"/>
              <w:left w:val="nil"/>
              <w:bottom w:val="single" w:sz="4" w:space="0" w:color="auto"/>
              <w:right w:val="nil"/>
            </w:tcBorders>
            <w:shd w:val="clear" w:color="auto" w:fill="auto"/>
            <w:noWrap/>
            <w:vAlign w:val="bottom"/>
            <w:hideMark/>
          </w:tcPr>
          <w:p w14:paraId="090316AE"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MS Praha</w:t>
            </w:r>
          </w:p>
        </w:tc>
        <w:tc>
          <w:tcPr>
            <w:tcW w:w="1134" w:type="dxa"/>
            <w:tcBorders>
              <w:top w:val="single" w:sz="4" w:space="0" w:color="auto"/>
              <w:left w:val="nil"/>
              <w:bottom w:val="single" w:sz="4" w:space="0" w:color="auto"/>
              <w:right w:val="nil"/>
            </w:tcBorders>
            <w:shd w:val="clear" w:color="auto" w:fill="auto"/>
            <w:noWrap/>
            <w:vAlign w:val="bottom"/>
            <w:hideMark/>
          </w:tcPr>
          <w:p w14:paraId="5689D326" w14:textId="493826DA"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88</w:t>
            </w:r>
            <w:r>
              <w:rPr>
                <w:rFonts w:eastAsia="Times New Roman"/>
                <w:color w:val="000000"/>
                <w:szCs w:val="24"/>
                <w:lang w:eastAsia="cs-CZ"/>
              </w:rPr>
              <w:t>,</w:t>
            </w:r>
            <w:r w:rsidRPr="00A218BE">
              <w:rPr>
                <w:rFonts w:eastAsia="Times New Roman"/>
                <w:color w:val="000000"/>
                <w:szCs w:val="24"/>
                <w:lang w:eastAsia="cs-CZ"/>
              </w:rPr>
              <w:t>75</w:t>
            </w:r>
          </w:p>
        </w:tc>
        <w:tc>
          <w:tcPr>
            <w:tcW w:w="1134" w:type="dxa"/>
            <w:tcBorders>
              <w:top w:val="single" w:sz="4" w:space="0" w:color="auto"/>
              <w:left w:val="nil"/>
              <w:bottom w:val="single" w:sz="4" w:space="0" w:color="auto"/>
              <w:right w:val="nil"/>
            </w:tcBorders>
            <w:shd w:val="clear" w:color="auto" w:fill="auto"/>
            <w:noWrap/>
            <w:vAlign w:val="bottom"/>
            <w:hideMark/>
          </w:tcPr>
          <w:p w14:paraId="00762CA7" w14:textId="094DDCDD"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177</w:t>
            </w:r>
            <w:r>
              <w:rPr>
                <w:rFonts w:eastAsia="Times New Roman"/>
                <w:color w:val="000000"/>
                <w:szCs w:val="24"/>
                <w:lang w:eastAsia="cs-CZ"/>
              </w:rPr>
              <w:t>,</w:t>
            </w:r>
            <w:r w:rsidRPr="00A218BE">
              <w:rPr>
                <w:rFonts w:eastAsia="Times New Roman"/>
                <w:color w:val="000000"/>
                <w:szCs w:val="24"/>
                <w:lang w:eastAsia="cs-CZ"/>
              </w:rPr>
              <w:t>63</w:t>
            </w:r>
          </w:p>
        </w:tc>
        <w:tc>
          <w:tcPr>
            <w:tcW w:w="992" w:type="dxa"/>
            <w:tcBorders>
              <w:top w:val="single" w:sz="4" w:space="0" w:color="auto"/>
              <w:left w:val="nil"/>
              <w:bottom w:val="single" w:sz="4" w:space="0" w:color="auto"/>
              <w:right w:val="nil"/>
            </w:tcBorders>
            <w:shd w:val="clear" w:color="auto" w:fill="auto"/>
            <w:noWrap/>
            <w:vAlign w:val="center"/>
            <w:hideMark/>
          </w:tcPr>
          <w:p w14:paraId="509BBFF5"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+40 %  </w:t>
            </w:r>
          </w:p>
        </w:tc>
        <w:tc>
          <w:tcPr>
            <w:tcW w:w="1134" w:type="dxa"/>
            <w:tcBorders>
              <w:top w:val="nil"/>
              <w:left w:val="single" w:sz="4" w:space="0" w:color="auto"/>
              <w:bottom w:val="single" w:sz="4" w:space="0" w:color="auto"/>
              <w:right w:val="nil"/>
            </w:tcBorders>
            <w:shd w:val="clear" w:color="auto" w:fill="auto"/>
            <w:noWrap/>
            <w:vAlign w:val="bottom"/>
            <w:hideMark/>
          </w:tcPr>
          <w:p w14:paraId="02200A2D" w14:textId="3822F3D4"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167</w:t>
            </w:r>
            <w:r>
              <w:rPr>
                <w:rFonts w:eastAsia="Times New Roman"/>
                <w:color w:val="000000"/>
                <w:szCs w:val="24"/>
                <w:lang w:eastAsia="cs-CZ"/>
              </w:rPr>
              <w:t>,</w:t>
            </w:r>
            <w:r w:rsidRPr="00A218BE">
              <w:rPr>
                <w:rFonts w:eastAsia="Times New Roman"/>
                <w:color w:val="000000"/>
                <w:szCs w:val="24"/>
                <w:lang w:eastAsia="cs-CZ"/>
              </w:rPr>
              <w:t>71</w:t>
            </w:r>
          </w:p>
        </w:tc>
        <w:tc>
          <w:tcPr>
            <w:tcW w:w="851" w:type="dxa"/>
            <w:tcBorders>
              <w:top w:val="nil"/>
              <w:left w:val="nil"/>
              <w:bottom w:val="single" w:sz="4" w:space="0" w:color="auto"/>
              <w:right w:val="single" w:sz="4" w:space="0" w:color="auto"/>
            </w:tcBorders>
            <w:shd w:val="clear" w:color="auto" w:fill="auto"/>
            <w:noWrap/>
            <w:vAlign w:val="center"/>
            <w:hideMark/>
          </w:tcPr>
          <w:p w14:paraId="22331C11"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+29 %  </w:t>
            </w:r>
          </w:p>
        </w:tc>
        <w:tc>
          <w:tcPr>
            <w:tcW w:w="1134" w:type="dxa"/>
            <w:tcBorders>
              <w:top w:val="single" w:sz="4" w:space="0" w:color="auto"/>
              <w:left w:val="nil"/>
              <w:bottom w:val="single" w:sz="4" w:space="0" w:color="auto"/>
              <w:right w:val="nil"/>
            </w:tcBorders>
            <w:shd w:val="clear" w:color="auto" w:fill="auto"/>
            <w:noWrap/>
            <w:vAlign w:val="bottom"/>
            <w:hideMark/>
          </w:tcPr>
          <w:p w14:paraId="1DC8891A" w14:textId="45C90A16"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24</w:t>
            </w:r>
            <w:r>
              <w:rPr>
                <w:rFonts w:eastAsia="Times New Roman"/>
                <w:color w:val="000000"/>
                <w:szCs w:val="24"/>
                <w:lang w:eastAsia="cs-CZ"/>
              </w:rPr>
              <w:t>,</w:t>
            </w:r>
            <w:r w:rsidRPr="00A218BE">
              <w:rPr>
                <w:rFonts w:eastAsia="Times New Roman"/>
                <w:color w:val="000000"/>
                <w:szCs w:val="24"/>
                <w:lang w:eastAsia="cs-CZ"/>
              </w:rPr>
              <w:t>47</w:t>
            </w:r>
          </w:p>
        </w:tc>
        <w:tc>
          <w:tcPr>
            <w:tcW w:w="992" w:type="dxa"/>
            <w:tcBorders>
              <w:top w:val="single" w:sz="4" w:space="0" w:color="auto"/>
              <w:left w:val="nil"/>
              <w:bottom w:val="single" w:sz="4" w:space="0" w:color="auto"/>
              <w:right w:val="nil"/>
            </w:tcBorders>
            <w:shd w:val="clear" w:color="auto" w:fill="auto"/>
            <w:noWrap/>
            <w:vAlign w:val="center"/>
            <w:hideMark/>
          </w:tcPr>
          <w:p w14:paraId="31407B85"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+80 %  </w:t>
            </w:r>
          </w:p>
        </w:tc>
      </w:tr>
      <w:tr w:rsidR="00A218BE" w:rsidRPr="00A218BE" w14:paraId="1D8B2A10"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5C6EE9FB"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Praha</w:t>
            </w:r>
          </w:p>
        </w:tc>
        <w:tc>
          <w:tcPr>
            <w:tcW w:w="1134" w:type="dxa"/>
            <w:tcBorders>
              <w:top w:val="nil"/>
              <w:left w:val="nil"/>
              <w:bottom w:val="single" w:sz="4" w:space="0" w:color="auto"/>
              <w:right w:val="nil"/>
            </w:tcBorders>
            <w:shd w:val="clear" w:color="auto" w:fill="auto"/>
            <w:noWrap/>
            <w:vAlign w:val="bottom"/>
            <w:hideMark/>
          </w:tcPr>
          <w:p w14:paraId="2613314E" w14:textId="0394DE9D"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43</w:t>
            </w:r>
            <w:r>
              <w:rPr>
                <w:rFonts w:eastAsia="Times New Roman"/>
                <w:color w:val="000000"/>
                <w:szCs w:val="24"/>
                <w:lang w:eastAsia="cs-CZ"/>
              </w:rPr>
              <w:t>,</w:t>
            </w:r>
            <w:r w:rsidRPr="00A218BE">
              <w:rPr>
                <w:rFonts w:eastAsia="Times New Roman"/>
                <w:color w:val="000000"/>
                <w:szCs w:val="24"/>
                <w:lang w:eastAsia="cs-CZ"/>
              </w:rPr>
              <w:t>75</w:t>
            </w:r>
          </w:p>
        </w:tc>
        <w:tc>
          <w:tcPr>
            <w:tcW w:w="1134" w:type="dxa"/>
            <w:tcBorders>
              <w:top w:val="nil"/>
              <w:left w:val="nil"/>
              <w:bottom w:val="single" w:sz="4" w:space="0" w:color="auto"/>
              <w:right w:val="nil"/>
            </w:tcBorders>
            <w:shd w:val="clear" w:color="auto" w:fill="auto"/>
            <w:noWrap/>
            <w:vAlign w:val="bottom"/>
            <w:hideMark/>
          </w:tcPr>
          <w:p w14:paraId="49573F1F" w14:textId="3285699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126</w:t>
            </w:r>
            <w:r>
              <w:rPr>
                <w:rFonts w:eastAsia="Times New Roman"/>
                <w:color w:val="000000"/>
                <w:szCs w:val="24"/>
                <w:lang w:eastAsia="cs-CZ"/>
              </w:rPr>
              <w:t>,</w:t>
            </w:r>
            <w:r w:rsidRPr="00A218BE">
              <w:rPr>
                <w:rFonts w:eastAsia="Times New Roman"/>
                <w:color w:val="000000"/>
                <w:szCs w:val="24"/>
                <w:lang w:eastAsia="cs-CZ"/>
              </w:rPr>
              <w:t>26</w:t>
            </w:r>
          </w:p>
        </w:tc>
        <w:tc>
          <w:tcPr>
            <w:tcW w:w="992" w:type="dxa"/>
            <w:tcBorders>
              <w:top w:val="nil"/>
              <w:left w:val="nil"/>
              <w:bottom w:val="single" w:sz="4" w:space="0" w:color="auto"/>
              <w:right w:val="nil"/>
            </w:tcBorders>
            <w:shd w:val="clear" w:color="auto" w:fill="auto"/>
            <w:noWrap/>
            <w:vAlign w:val="center"/>
            <w:hideMark/>
          </w:tcPr>
          <w:p w14:paraId="331D7489"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+29 %  </w:t>
            </w:r>
          </w:p>
        </w:tc>
        <w:tc>
          <w:tcPr>
            <w:tcW w:w="1134" w:type="dxa"/>
            <w:tcBorders>
              <w:top w:val="nil"/>
              <w:left w:val="single" w:sz="4" w:space="0" w:color="auto"/>
              <w:bottom w:val="single" w:sz="4" w:space="0" w:color="auto"/>
              <w:right w:val="nil"/>
            </w:tcBorders>
            <w:shd w:val="clear" w:color="auto" w:fill="auto"/>
            <w:noWrap/>
            <w:vAlign w:val="bottom"/>
            <w:hideMark/>
          </w:tcPr>
          <w:p w14:paraId="0C0C714E" w14:textId="12C880DF"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124</w:t>
            </w:r>
            <w:r>
              <w:rPr>
                <w:rFonts w:eastAsia="Times New Roman"/>
                <w:color w:val="000000"/>
                <w:szCs w:val="24"/>
                <w:lang w:eastAsia="cs-CZ"/>
              </w:rPr>
              <w:t>,</w:t>
            </w:r>
            <w:r w:rsidRPr="00A218BE">
              <w:rPr>
                <w:rFonts w:eastAsia="Times New Roman"/>
                <w:color w:val="000000"/>
                <w:szCs w:val="24"/>
                <w:lang w:eastAsia="cs-CZ"/>
              </w:rPr>
              <w:t>69</w:t>
            </w:r>
          </w:p>
        </w:tc>
        <w:tc>
          <w:tcPr>
            <w:tcW w:w="851" w:type="dxa"/>
            <w:tcBorders>
              <w:top w:val="nil"/>
              <w:left w:val="nil"/>
              <w:bottom w:val="single" w:sz="4" w:space="0" w:color="auto"/>
              <w:right w:val="single" w:sz="4" w:space="0" w:color="auto"/>
            </w:tcBorders>
            <w:shd w:val="clear" w:color="auto" w:fill="auto"/>
            <w:noWrap/>
            <w:vAlign w:val="center"/>
            <w:hideMark/>
          </w:tcPr>
          <w:p w14:paraId="54638664"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+25 %  </w:t>
            </w:r>
          </w:p>
        </w:tc>
        <w:tc>
          <w:tcPr>
            <w:tcW w:w="1134" w:type="dxa"/>
            <w:tcBorders>
              <w:top w:val="nil"/>
              <w:left w:val="nil"/>
              <w:bottom w:val="single" w:sz="4" w:space="0" w:color="auto"/>
              <w:right w:val="nil"/>
            </w:tcBorders>
            <w:shd w:val="clear" w:color="auto" w:fill="auto"/>
            <w:noWrap/>
            <w:vAlign w:val="bottom"/>
            <w:hideMark/>
          </w:tcPr>
          <w:p w14:paraId="092787FE" w14:textId="1A018A6B"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w:t>
            </w:r>
            <w:r>
              <w:rPr>
                <w:rFonts w:eastAsia="Times New Roman"/>
                <w:color w:val="000000"/>
                <w:szCs w:val="24"/>
                <w:lang w:eastAsia="cs-CZ"/>
              </w:rPr>
              <w:t>,</w:t>
            </w:r>
            <w:r w:rsidRPr="00A218BE">
              <w:rPr>
                <w:rFonts w:eastAsia="Times New Roman"/>
                <w:color w:val="000000"/>
                <w:szCs w:val="24"/>
                <w:lang w:eastAsia="cs-CZ"/>
              </w:rPr>
              <w:t>16</w:t>
            </w:r>
          </w:p>
        </w:tc>
        <w:tc>
          <w:tcPr>
            <w:tcW w:w="992" w:type="dxa"/>
            <w:tcBorders>
              <w:top w:val="nil"/>
              <w:left w:val="nil"/>
              <w:bottom w:val="single" w:sz="4" w:space="0" w:color="auto"/>
              <w:right w:val="nil"/>
            </w:tcBorders>
            <w:shd w:val="clear" w:color="auto" w:fill="auto"/>
            <w:noWrap/>
            <w:vAlign w:val="center"/>
            <w:hideMark/>
          </w:tcPr>
          <w:p w14:paraId="4C98D0B2"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+27 %  </w:t>
            </w:r>
          </w:p>
        </w:tc>
      </w:tr>
      <w:tr w:rsidR="00A218BE" w:rsidRPr="00A218BE" w14:paraId="0F5724F7"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7ED962C7"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Č. Budějovice</w:t>
            </w:r>
          </w:p>
        </w:tc>
        <w:tc>
          <w:tcPr>
            <w:tcW w:w="1134" w:type="dxa"/>
            <w:tcBorders>
              <w:top w:val="nil"/>
              <w:left w:val="nil"/>
              <w:bottom w:val="single" w:sz="4" w:space="0" w:color="auto"/>
              <w:right w:val="nil"/>
            </w:tcBorders>
            <w:shd w:val="clear" w:color="auto" w:fill="auto"/>
            <w:noWrap/>
            <w:vAlign w:val="bottom"/>
            <w:hideMark/>
          </w:tcPr>
          <w:p w14:paraId="74AF6A9F" w14:textId="4115F9A1"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18</w:t>
            </w:r>
            <w:r>
              <w:rPr>
                <w:rFonts w:eastAsia="Times New Roman"/>
                <w:color w:val="000000"/>
                <w:szCs w:val="24"/>
                <w:lang w:eastAsia="cs-CZ"/>
              </w:rPr>
              <w:t>,</w:t>
            </w:r>
            <w:r w:rsidRPr="00A218BE">
              <w:rPr>
                <w:rFonts w:eastAsia="Times New Roman"/>
                <w:color w:val="000000"/>
                <w:szCs w:val="24"/>
                <w:lang w:eastAsia="cs-CZ"/>
              </w:rPr>
              <w:t>75</w:t>
            </w:r>
          </w:p>
        </w:tc>
        <w:tc>
          <w:tcPr>
            <w:tcW w:w="1134" w:type="dxa"/>
            <w:tcBorders>
              <w:top w:val="nil"/>
              <w:left w:val="nil"/>
              <w:bottom w:val="single" w:sz="4" w:space="0" w:color="auto"/>
              <w:right w:val="nil"/>
            </w:tcBorders>
            <w:shd w:val="clear" w:color="auto" w:fill="auto"/>
            <w:noWrap/>
            <w:vAlign w:val="bottom"/>
            <w:hideMark/>
          </w:tcPr>
          <w:p w14:paraId="089A3932" w14:textId="0BBFFD76"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144</w:t>
            </w:r>
            <w:r>
              <w:rPr>
                <w:rFonts w:eastAsia="Times New Roman"/>
                <w:color w:val="000000"/>
                <w:szCs w:val="24"/>
                <w:lang w:eastAsia="cs-CZ"/>
              </w:rPr>
              <w:t>,</w:t>
            </w:r>
            <w:r w:rsidRPr="00A218BE">
              <w:rPr>
                <w:rFonts w:eastAsia="Times New Roman"/>
                <w:color w:val="000000"/>
                <w:szCs w:val="24"/>
                <w:lang w:eastAsia="cs-CZ"/>
              </w:rPr>
              <w:t>37</w:t>
            </w:r>
          </w:p>
        </w:tc>
        <w:tc>
          <w:tcPr>
            <w:tcW w:w="992" w:type="dxa"/>
            <w:tcBorders>
              <w:top w:val="nil"/>
              <w:left w:val="nil"/>
              <w:bottom w:val="single" w:sz="4" w:space="0" w:color="auto"/>
              <w:right w:val="nil"/>
            </w:tcBorders>
            <w:shd w:val="clear" w:color="auto" w:fill="auto"/>
            <w:noWrap/>
            <w:vAlign w:val="center"/>
            <w:hideMark/>
          </w:tcPr>
          <w:p w14:paraId="1F90E824"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+58 %  </w:t>
            </w:r>
          </w:p>
        </w:tc>
        <w:tc>
          <w:tcPr>
            <w:tcW w:w="1134" w:type="dxa"/>
            <w:tcBorders>
              <w:top w:val="nil"/>
              <w:left w:val="single" w:sz="4" w:space="0" w:color="auto"/>
              <w:bottom w:val="single" w:sz="4" w:space="0" w:color="auto"/>
              <w:right w:val="nil"/>
            </w:tcBorders>
            <w:shd w:val="clear" w:color="auto" w:fill="auto"/>
            <w:noWrap/>
            <w:vAlign w:val="bottom"/>
            <w:hideMark/>
          </w:tcPr>
          <w:p w14:paraId="152670AB" w14:textId="34D41981"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137</w:t>
            </w:r>
            <w:r>
              <w:rPr>
                <w:rFonts w:eastAsia="Times New Roman"/>
                <w:color w:val="000000"/>
                <w:szCs w:val="24"/>
                <w:lang w:eastAsia="cs-CZ"/>
              </w:rPr>
              <w:t>,</w:t>
            </w:r>
            <w:r w:rsidRPr="00A218BE">
              <w:rPr>
                <w:rFonts w:eastAsia="Times New Roman"/>
                <w:color w:val="000000"/>
                <w:szCs w:val="24"/>
                <w:lang w:eastAsia="cs-CZ"/>
              </w:rPr>
              <w:t>81</w:t>
            </w:r>
          </w:p>
        </w:tc>
        <w:tc>
          <w:tcPr>
            <w:tcW w:w="851" w:type="dxa"/>
            <w:tcBorders>
              <w:top w:val="nil"/>
              <w:left w:val="nil"/>
              <w:bottom w:val="single" w:sz="4" w:space="0" w:color="auto"/>
              <w:right w:val="single" w:sz="4" w:space="0" w:color="auto"/>
            </w:tcBorders>
            <w:shd w:val="clear" w:color="auto" w:fill="auto"/>
            <w:noWrap/>
            <w:vAlign w:val="center"/>
            <w:hideMark/>
          </w:tcPr>
          <w:p w14:paraId="7EBCFD73"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+54 %  </w:t>
            </w:r>
          </w:p>
        </w:tc>
        <w:tc>
          <w:tcPr>
            <w:tcW w:w="1134" w:type="dxa"/>
            <w:tcBorders>
              <w:top w:val="nil"/>
              <w:left w:val="nil"/>
              <w:bottom w:val="single" w:sz="4" w:space="0" w:color="auto"/>
              <w:right w:val="nil"/>
            </w:tcBorders>
            <w:shd w:val="clear" w:color="auto" w:fill="auto"/>
            <w:noWrap/>
            <w:vAlign w:val="bottom"/>
            <w:hideMark/>
          </w:tcPr>
          <w:p w14:paraId="335420DC" w14:textId="70C68ECE"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17</w:t>
            </w:r>
            <w:r>
              <w:rPr>
                <w:rFonts w:eastAsia="Times New Roman"/>
                <w:color w:val="000000"/>
                <w:szCs w:val="24"/>
                <w:lang w:eastAsia="cs-CZ"/>
              </w:rPr>
              <w:t>,</w:t>
            </w:r>
            <w:r w:rsidRPr="00A218BE">
              <w:rPr>
                <w:rFonts w:eastAsia="Times New Roman"/>
                <w:color w:val="000000"/>
                <w:szCs w:val="24"/>
                <w:lang w:eastAsia="cs-CZ"/>
              </w:rPr>
              <w:t>81</w:t>
            </w:r>
          </w:p>
        </w:tc>
        <w:tc>
          <w:tcPr>
            <w:tcW w:w="992" w:type="dxa"/>
            <w:tcBorders>
              <w:top w:val="nil"/>
              <w:left w:val="nil"/>
              <w:bottom w:val="single" w:sz="4" w:space="0" w:color="auto"/>
              <w:right w:val="nil"/>
            </w:tcBorders>
            <w:shd w:val="clear" w:color="auto" w:fill="auto"/>
            <w:noWrap/>
            <w:vAlign w:val="center"/>
            <w:hideMark/>
          </w:tcPr>
          <w:p w14:paraId="3D7D69F8"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+66 %  </w:t>
            </w:r>
          </w:p>
        </w:tc>
      </w:tr>
      <w:tr w:rsidR="00A218BE" w:rsidRPr="00A218BE" w14:paraId="394092EB"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1D31D15A"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Plzeň</w:t>
            </w:r>
          </w:p>
        </w:tc>
        <w:tc>
          <w:tcPr>
            <w:tcW w:w="1134" w:type="dxa"/>
            <w:tcBorders>
              <w:top w:val="nil"/>
              <w:left w:val="nil"/>
              <w:bottom w:val="single" w:sz="4" w:space="0" w:color="auto"/>
              <w:right w:val="nil"/>
            </w:tcBorders>
            <w:shd w:val="clear" w:color="auto" w:fill="auto"/>
            <w:noWrap/>
            <w:vAlign w:val="bottom"/>
            <w:hideMark/>
          </w:tcPr>
          <w:p w14:paraId="1B393753" w14:textId="12B9C809"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24</w:t>
            </w:r>
            <w:r>
              <w:rPr>
                <w:rFonts w:eastAsia="Times New Roman"/>
                <w:color w:val="000000"/>
                <w:szCs w:val="24"/>
                <w:lang w:eastAsia="cs-CZ"/>
              </w:rPr>
              <w:t>,</w:t>
            </w:r>
            <w:r w:rsidRPr="00A218BE">
              <w:rPr>
                <w:rFonts w:eastAsia="Times New Roman"/>
                <w:color w:val="000000"/>
                <w:szCs w:val="24"/>
                <w:lang w:eastAsia="cs-CZ"/>
              </w:rPr>
              <w:t>60</w:t>
            </w:r>
          </w:p>
        </w:tc>
        <w:tc>
          <w:tcPr>
            <w:tcW w:w="1134" w:type="dxa"/>
            <w:tcBorders>
              <w:top w:val="nil"/>
              <w:left w:val="nil"/>
              <w:bottom w:val="single" w:sz="4" w:space="0" w:color="auto"/>
              <w:right w:val="nil"/>
            </w:tcBorders>
            <w:shd w:val="clear" w:color="auto" w:fill="auto"/>
            <w:noWrap/>
            <w:vAlign w:val="bottom"/>
            <w:hideMark/>
          </w:tcPr>
          <w:p w14:paraId="7D0C2585" w14:textId="1CE1CEE9"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173</w:t>
            </w:r>
            <w:r>
              <w:rPr>
                <w:rFonts w:eastAsia="Times New Roman"/>
                <w:color w:val="000000"/>
                <w:szCs w:val="24"/>
                <w:lang w:eastAsia="cs-CZ"/>
              </w:rPr>
              <w:t>,</w:t>
            </w:r>
            <w:r w:rsidRPr="00A218BE">
              <w:rPr>
                <w:rFonts w:eastAsia="Times New Roman"/>
                <w:color w:val="000000"/>
                <w:szCs w:val="24"/>
                <w:lang w:eastAsia="cs-CZ"/>
              </w:rPr>
              <w:t>54</w:t>
            </w:r>
          </w:p>
        </w:tc>
        <w:tc>
          <w:tcPr>
            <w:tcW w:w="992" w:type="dxa"/>
            <w:tcBorders>
              <w:top w:val="nil"/>
              <w:left w:val="nil"/>
              <w:bottom w:val="single" w:sz="4" w:space="0" w:color="auto"/>
              <w:right w:val="nil"/>
            </w:tcBorders>
            <w:shd w:val="clear" w:color="auto" w:fill="auto"/>
            <w:noWrap/>
            <w:vAlign w:val="center"/>
            <w:hideMark/>
          </w:tcPr>
          <w:p w14:paraId="56084C43"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+40 %  </w:t>
            </w:r>
          </w:p>
        </w:tc>
        <w:tc>
          <w:tcPr>
            <w:tcW w:w="1134" w:type="dxa"/>
            <w:tcBorders>
              <w:top w:val="nil"/>
              <w:left w:val="single" w:sz="4" w:space="0" w:color="auto"/>
              <w:bottom w:val="single" w:sz="4" w:space="0" w:color="auto"/>
              <w:right w:val="nil"/>
            </w:tcBorders>
            <w:shd w:val="clear" w:color="auto" w:fill="auto"/>
            <w:noWrap/>
            <w:vAlign w:val="bottom"/>
            <w:hideMark/>
          </w:tcPr>
          <w:p w14:paraId="17628461" w14:textId="22ED4705"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167</w:t>
            </w:r>
            <w:r>
              <w:rPr>
                <w:rFonts w:eastAsia="Times New Roman"/>
                <w:color w:val="000000"/>
                <w:szCs w:val="24"/>
                <w:lang w:eastAsia="cs-CZ"/>
              </w:rPr>
              <w:t>,</w:t>
            </w:r>
            <w:r w:rsidRPr="00A218BE">
              <w:rPr>
                <w:rFonts w:eastAsia="Times New Roman"/>
                <w:color w:val="000000"/>
                <w:szCs w:val="24"/>
                <w:lang w:eastAsia="cs-CZ"/>
              </w:rPr>
              <w:t>32</w:t>
            </w:r>
          </w:p>
        </w:tc>
        <w:tc>
          <w:tcPr>
            <w:tcW w:w="851" w:type="dxa"/>
            <w:tcBorders>
              <w:top w:val="nil"/>
              <w:left w:val="nil"/>
              <w:bottom w:val="single" w:sz="4" w:space="0" w:color="auto"/>
              <w:right w:val="single" w:sz="4" w:space="0" w:color="auto"/>
            </w:tcBorders>
            <w:shd w:val="clear" w:color="auto" w:fill="auto"/>
            <w:noWrap/>
            <w:vAlign w:val="center"/>
            <w:hideMark/>
          </w:tcPr>
          <w:p w14:paraId="397D2F24"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+34 %  </w:t>
            </w:r>
          </w:p>
        </w:tc>
        <w:tc>
          <w:tcPr>
            <w:tcW w:w="1134" w:type="dxa"/>
            <w:tcBorders>
              <w:top w:val="nil"/>
              <w:left w:val="nil"/>
              <w:bottom w:val="single" w:sz="4" w:space="0" w:color="auto"/>
              <w:right w:val="nil"/>
            </w:tcBorders>
            <w:shd w:val="clear" w:color="auto" w:fill="auto"/>
            <w:noWrap/>
            <w:vAlign w:val="bottom"/>
            <w:hideMark/>
          </w:tcPr>
          <w:p w14:paraId="128650DF" w14:textId="0353F77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20</w:t>
            </w:r>
            <w:r>
              <w:rPr>
                <w:rFonts w:eastAsia="Times New Roman"/>
                <w:color w:val="000000"/>
                <w:szCs w:val="24"/>
                <w:lang w:eastAsia="cs-CZ"/>
              </w:rPr>
              <w:t>,</w:t>
            </w:r>
            <w:r w:rsidRPr="00A218BE">
              <w:rPr>
                <w:rFonts w:eastAsia="Times New Roman"/>
                <w:color w:val="000000"/>
                <w:szCs w:val="24"/>
                <w:lang w:eastAsia="cs-CZ"/>
              </w:rPr>
              <w:t>20</w:t>
            </w:r>
          </w:p>
        </w:tc>
        <w:tc>
          <w:tcPr>
            <w:tcW w:w="992" w:type="dxa"/>
            <w:tcBorders>
              <w:top w:val="nil"/>
              <w:left w:val="nil"/>
              <w:bottom w:val="single" w:sz="4" w:space="0" w:color="auto"/>
              <w:right w:val="nil"/>
            </w:tcBorders>
            <w:shd w:val="clear" w:color="auto" w:fill="auto"/>
            <w:noWrap/>
            <w:vAlign w:val="center"/>
            <w:hideMark/>
          </w:tcPr>
          <w:p w14:paraId="45D937DA"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+50 %  </w:t>
            </w:r>
          </w:p>
        </w:tc>
      </w:tr>
      <w:tr w:rsidR="00A218BE" w:rsidRPr="00A218BE" w14:paraId="3E373907"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7D510A59"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Ústí n. Labem</w:t>
            </w:r>
          </w:p>
        </w:tc>
        <w:tc>
          <w:tcPr>
            <w:tcW w:w="1134" w:type="dxa"/>
            <w:tcBorders>
              <w:top w:val="nil"/>
              <w:left w:val="nil"/>
              <w:bottom w:val="single" w:sz="4" w:space="0" w:color="auto"/>
              <w:right w:val="nil"/>
            </w:tcBorders>
            <w:shd w:val="clear" w:color="auto" w:fill="auto"/>
            <w:noWrap/>
            <w:vAlign w:val="bottom"/>
            <w:hideMark/>
          </w:tcPr>
          <w:p w14:paraId="2906F564" w14:textId="3593794D"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42</w:t>
            </w:r>
            <w:r>
              <w:rPr>
                <w:rFonts w:eastAsia="Times New Roman"/>
                <w:color w:val="000000"/>
                <w:szCs w:val="24"/>
                <w:lang w:eastAsia="cs-CZ"/>
              </w:rPr>
              <w:t>,</w:t>
            </w:r>
            <w:r w:rsidRPr="00A218BE">
              <w:rPr>
                <w:rFonts w:eastAsia="Times New Roman"/>
                <w:color w:val="000000"/>
                <w:szCs w:val="24"/>
                <w:lang w:eastAsia="cs-CZ"/>
              </w:rPr>
              <w:t>54</w:t>
            </w:r>
          </w:p>
        </w:tc>
        <w:tc>
          <w:tcPr>
            <w:tcW w:w="1134" w:type="dxa"/>
            <w:tcBorders>
              <w:top w:val="nil"/>
              <w:left w:val="nil"/>
              <w:bottom w:val="single" w:sz="4" w:space="0" w:color="auto"/>
              <w:right w:val="nil"/>
            </w:tcBorders>
            <w:shd w:val="clear" w:color="auto" w:fill="auto"/>
            <w:noWrap/>
            <w:vAlign w:val="bottom"/>
            <w:hideMark/>
          </w:tcPr>
          <w:p w14:paraId="0B00B6F4" w14:textId="45D6C367"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163</w:t>
            </w:r>
            <w:r>
              <w:rPr>
                <w:rFonts w:eastAsia="Times New Roman"/>
                <w:color w:val="000000"/>
                <w:szCs w:val="24"/>
                <w:lang w:eastAsia="cs-CZ"/>
              </w:rPr>
              <w:t>,</w:t>
            </w:r>
            <w:r w:rsidRPr="00A218BE">
              <w:rPr>
                <w:rFonts w:eastAsia="Times New Roman"/>
                <w:color w:val="000000"/>
                <w:szCs w:val="24"/>
                <w:lang w:eastAsia="cs-CZ"/>
              </w:rPr>
              <w:t>89</w:t>
            </w:r>
          </w:p>
        </w:tc>
        <w:tc>
          <w:tcPr>
            <w:tcW w:w="992" w:type="dxa"/>
            <w:tcBorders>
              <w:top w:val="nil"/>
              <w:left w:val="nil"/>
              <w:bottom w:val="single" w:sz="4" w:space="0" w:color="auto"/>
              <w:right w:val="nil"/>
            </w:tcBorders>
            <w:shd w:val="clear" w:color="auto" w:fill="auto"/>
            <w:noWrap/>
            <w:vAlign w:val="center"/>
            <w:hideMark/>
          </w:tcPr>
          <w:p w14:paraId="357755E7"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+87 %  </w:t>
            </w:r>
          </w:p>
        </w:tc>
        <w:tc>
          <w:tcPr>
            <w:tcW w:w="1134" w:type="dxa"/>
            <w:tcBorders>
              <w:top w:val="nil"/>
              <w:left w:val="single" w:sz="4" w:space="0" w:color="auto"/>
              <w:bottom w:val="single" w:sz="4" w:space="0" w:color="auto"/>
              <w:right w:val="nil"/>
            </w:tcBorders>
            <w:shd w:val="clear" w:color="auto" w:fill="auto"/>
            <w:noWrap/>
            <w:vAlign w:val="bottom"/>
            <w:hideMark/>
          </w:tcPr>
          <w:p w14:paraId="3E275FA7" w14:textId="09BD7F26"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147</w:t>
            </w:r>
            <w:r>
              <w:rPr>
                <w:rFonts w:eastAsia="Times New Roman"/>
                <w:color w:val="000000"/>
                <w:szCs w:val="24"/>
                <w:lang w:eastAsia="cs-CZ"/>
              </w:rPr>
              <w:t>,</w:t>
            </w:r>
            <w:r w:rsidRPr="00A218BE">
              <w:rPr>
                <w:rFonts w:eastAsia="Times New Roman"/>
                <w:color w:val="000000"/>
                <w:szCs w:val="24"/>
                <w:lang w:eastAsia="cs-CZ"/>
              </w:rPr>
              <w:t>81</w:t>
            </w:r>
          </w:p>
        </w:tc>
        <w:tc>
          <w:tcPr>
            <w:tcW w:w="851" w:type="dxa"/>
            <w:tcBorders>
              <w:top w:val="nil"/>
              <w:left w:val="nil"/>
              <w:bottom w:val="single" w:sz="4" w:space="0" w:color="auto"/>
              <w:right w:val="single" w:sz="4" w:space="0" w:color="auto"/>
            </w:tcBorders>
            <w:shd w:val="clear" w:color="auto" w:fill="auto"/>
            <w:noWrap/>
            <w:vAlign w:val="center"/>
            <w:hideMark/>
          </w:tcPr>
          <w:p w14:paraId="078D5041"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+69 %  </w:t>
            </w:r>
          </w:p>
        </w:tc>
        <w:tc>
          <w:tcPr>
            <w:tcW w:w="1134" w:type="dxa"/>
            <w:tcBorders>
              <w:top w:val="nil"/>
              <w:left w:val="nil"/>
              <w:bottom w:val="single" w:sz="4" w:space="0" w:color="auto"/>
              <w:right w:val="nil"/>
            </w:tcBorders>
            <w:shd w:val="clear" w:color="auto" w:fill="auto"/>
            <w:noWrap/>
            <w:vAlign w:val="bottom"/>
            <w:hideMark/>
          </w:tcPr>
          <w:p w14:paraId="534C8522" w14:textId="7B04F02B"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37</w:t>
            </w:r>
            <w:r>
              <w:rPr>
                <w:rFonts w:eastAsia="Times New Roman"/>
                <w:color w:val="000000"/>
                <w:szCs w:val="24"/>
                <w:lang w:eastAsia="cs-CZ"/>
              </w:rPr>
              <w:t>,</w:t>
            </w:r>
            <w:r w:rsidRPr="00A218BE">
              <w:rPr>
                <w:rFonts w:eastAsia="Times New Roman"/>
                <w:color w:val="000000"/>
                <w:szCs w:val="24"/>
                <w:lang w:eastAsia="cs-CZ"/>
              </w:rPr>
              <w:t>49</w:t>
            </w:r>
          </w:p>
        </w:tc>
        <w:tc>
          <w:tcPr>
            <w:tcW w:w="992" w:type="dxa"/>
            <w:tcBorders>
              <w:top w:val="nil"/>
              <w:left w:val="nil"/>
              <w:bottom w:val="single" w:sz="4" w:space="0" w:color="auto"/>
              <w:right w:val="nil"/>
            </w:tcBorders>
            <w:shd w:val="clear" w:color="auto" w:fill="auto"/>
            <w:noWrap/>
            <w:vAlign w:val="center"/>
            <w:hideMark/>
          </w:tcPr>
          <w:p w14:paraId="399C5A0B"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+87 %  </w:t>
            </w:r>
          </w:p>
        </w:tc>
      </w:tr>
      <w:tr w:rsidR="00A218BE" w:rsidRPr="00A218BE" w14:paraId="71C767CE"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6793A3FF"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Hr. Králové</w:t>
            </w:r>
          </w:p>
        </w:tc>
        <w:tc>
          <w:tcPr>
            <w:tcW w:w="1134" w:type="dxa"/>
            <w:tcBorders>
              <w:top w:val="nil"/>
              <w:left w:val="nil"/>
              <w:bottom w:val="single" w:sz="4" w:space="0" w:color="auto"/>
              <w:right w:val="nil"/>
            </w:tcBorders>
            <w:shd w:val="clear" w:color="auto" w:fill="auto"/>
            <w:noWrap/>
            <w:vAlign w:val="bottom"/>
            <w:hideMark/>
          </w:tcPr>
          <w:p w14:paraId="26076167" w14:textId="1E1EC3E7"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28</w:t>
            </w:r>
            <w:r>
              <w:rPr>
                <w:rFonts w:eastAsia="Times New Roman"/>
                <w:color w:val="000000"/>
                <w:szCs w:val="24"/>
                <w:lang w:eastAsia="cs-CZ"/>
              </w:rPr>
              <w:t>,</w:t>
            </w:r>
            <w:r w:rsidRPr="00A218BE">
              <w:rPr>
                <w:rFonts w:eastAsia="Times New Roman"/>
                <w:color w:val="000000"/>
                <w:szCs w:val="24"/>
                <w:lang w:eastAsia="cs-CZ"/>
              </w:rPr>
              <w:t>90</w:t>
            </w:r>
          </w:p>
        </w:tc>
        <w:tc>
          <w:tcPr>
            <w:tcW w:w="1134" w:type="dxa"/>
            <w:tcBorders>
              <w:top w:val="nil"/>
              <w:left w:val="nil"/>
              <w:bottom w:val="single" w:sz="4" w:space="0" w:color="auto"/>
              <w:right w:val="nil"/>
            </w:tcBorders>
            <w:shd w:val="clear" w:color="auto" w:fill="auto"/>
            <w:noWrap/>
            <w:vAlign w:val="bottom"/>
            <w:hideMark/>
          </w:tcPr>
          <w:p w14:paraId="04307840" w14:textId="5F642354"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127</w:t>
            </w:r>
            <w:r>
              <w:rPr>
                <w:rFonts w:eastAsia="Times New Roman"/>
                <w:color w:val="000000"/>
                <w:szCs w:val="24"/>
                <w:lang w:eastAsia="cs-CZ"/>
              </w:rPr>
              <w:t>,</w:t>
            </w:r>
            <w:r w:rsidRPr="00A218BE">
              <w:rPr>
                <w:rFonts w:eastAsia="Times New Roman"/>
                <w:color w:val="000000"/>
                <w:szCs w:val="24"/>
                <w:lang w:eastAsia="cs-CZ"/>
              </w:rPr>
              <w:t>96</w:t>
            </w:r>
          </w:p>
        </w:tc>
        <w:tc>
          <w:tcPr>
            <w:tcW w:w="992" w:type="dxa"/>
            <w:tcBorders>
              <w:top w:val="nil"/>
              <w:left w:val="nil"/>
              <w:bottom w:val="single" w:sz="4" w:space="0" w:color="auto"/>
              <w:right w:val="nil"/>
            </w:tcBorders>
            <w:shd w:val="clear" w:color="auto" w:fill="auto"/>
            <w:noWrap/>
            <w:vAlign w:val="center"/>
            <w:hideMark/>
          </w:tcPr>
          <w:p w14:paraId="5281DBD5"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+14 %  </w:t>
            </w:r>
          </w:p>
        </w:tc>
        <w:tc>
          <w:tcPr>
            <w:tcW w:w="1134" w:type="dxa"/>
            <w:tcBorders>
              <w:top w:val="nil"/>
              <w:left w:val="single" w:sz="4" w:space="0" w:color="auto"/>
              <w:bottom w:val="single" w:sz="4" w:space="0" w:color="auto"/>
              <w:right w:val="nil"/>
            </w:tcBorders>
            <w:shd w:val="clear" w:color="auto" w:fill="auto"/>
            <w:noWrap/>
            <w:vAlign w:val="bottom"/>
            <w:hideMark/>
          </w:tcPr>
          <w:p w14:paraId="5ADB5724" w14:textId="2DF816FF"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125</w:t>
            </w:r>
            <w:r>
              <w:rPr>
                <w:rFonts w:eastAsia="Times New Roman"/>
                <w:color w:val="000000"/>
                <w:szCs w:val="24"/>
                <w:lang w:eastAsia="cs-CZ"/>
              </w:rPr>
              <w:t>,</w:t>
            </w:r>
            <w:r w:rsidRPr="00A218BE">
              <w:rPr>
                <w:rFonts w:eastAsia="Times New Roman"/>
                <w:color w:val="000000"/>
                <w:szCs w:val="24"/>
                <w:lang w:eastAsia="cs-CZ"/>
              </w:rPr>
              <w:t>92</w:t>
            </w:r>
          </w:p>
        </w:tc>
        <w:tc>
          <w:tcPr>
            <w:tcW w:w="851" w:type="dxa"/>
            <w:tcBorders>
              <w:top w:val="nil"/>
              <w:left w:val="nil"/>
              <w:bottom w:val="single" w:sz="4" w:space="0" w:color="auto"/>
              <w:right w:val="single" w:sz="4" w:space="0" w:color="auto"/>
            </w:tcBorders>
            <w:shd w:val="clear" w:color="auto" w:fill="auto"/>
            <w:noWrap/>
            <w:vAlign w:val="center"/>
            <w:hideMark/>
          </w:tcPr>
          <w:p w14:paraId="2BAAD4F9"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+14 %  </w:t>
            </w:r>
          </w:p>
        </w:tc>
        <w:tc>
          <w:tcPr>
            <w:tcW w:w="1134" w:type="dxa"/>
            <w:tcBorders>
              <w:top w:val="nil"/>
              <w:left w:val="nil"/>
              <w:bottom w:val="single" w:sz="4" w:space="0" w:color="auto"/>
              <w:right w:val="nil"/>
            </w:tcBorders>
            <w:shd w:val="clear" w:color="auto" w:fill="auto"/>
            <w:noWrap/>
            <w:vAlign w:val="bottom"/>
            <w:hideMark/>
          </w:tcPr>
          <w:p w14:paraId="53B92694" w14:textId="3630C84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16</w:t>
            </w:r>
            <w:r>
              <w:rPr>
                <w:rFonts w:eastAsia="Times New Roman"/>
                <w:color w:val="000000"/>
                <w:szCs w:val="24"/>
                <w:lang w:eastAsia="cs-CZ"/>
              </w:rPr>
              <w:t>,</w:t>
            </w:r>
            <w:r w:rsidRPr="00A218BE">
              <w:rPr>
                <w:rFonts w:eastAsia="Times New Roman"/>
                <w:color w:val="000000"/>
                <w:szCs w:val="24"/>
                <w:lang w:eastAsia="cs-CZ"/>
              </w:rPr>
              <w:t>75</w:t>
            </w:r>
          </w:p>
        </w:tc>
        <w:tc>
          <w:tcPr>
            <w:tcW w:w="992" w:type="dxa"/>
            <w:tcBorders>
              <w:top w:val="nil"/>
              <w:left w:val="nil"/>
              <w:bottom w:val="single" w:sz="4" w:space="0" w:color="auto"/>
              <w:right w:val="nil"/>
            </w:tcBorders>
            <w:shd w:val="clear" w:color="auto" w:fill="auto"/>
            <w:noWrap/>
            <w:vAlign w:val="center"/>
            <w:hideMark/>
          </w:tcPr>
          <w:p w14:paraId="0109D89B"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+18 %  </w:t>
            </w:r>
          </w:p>
        </w:tc>
      </w:tr>
      <w:tr w:rsidR="00A218BE" w:rsidRPr="00A218BE" w14:paraId="240AA5C5"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09E63E34"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Brno</w:t>
            </w:r>
          </w:p>
        </w:tc>
        <w:tc>
          <w:tcPr>
            <w:tcW w:w="1134" w:type="dxa"/>
            <w:tcBorders>
              <w:top w:val="nil"/>
              <w:left w:val="nil"/>
              <w:bottom w:val="single" w:sz="4" w:space="0" w:color="auto"/>
              <w:right w:val="nil"/>
            </w:tcBorders>
            <w:shd w:val="clear" w:color="auto" w:fill="auto"/>
            <w:noWrap/>
            <w:vAlign w:val="bottom"/>
            <w:hideMark/>
          </w:tcPr>
          <w:p w14:paraId="60ED135A" w14:textId="0D518BC8"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70</w:t>
            </w:r>
            <w:r>
              <w:rPr>
                <w:rFonts w:eastAsia="Times New Roman"/>
                <w:color w:val="000000"/>
                <w:szCs w:val="24"/>
                <w:lang w:eastAsia="cs-CZ"/>
              </w:rPr>
              <w:t>,</w:t>
            </w:r>
            <w:r w:rsidRPr="00A218BE">
              <w:rPr>
                <w:rFonts w:eastAsia="Times New Roman"/>
                <w:color w:val="000000"/>
                <w:szCs w:val="24"/>
                <w:lang w:eastAsia="cs-CZ"/>
              </w:rPr>
              <w:t>00</w:t>
            </w:r>
          </w:p>
        </w:tc>
        <w:tc>
          <w:tcPr>
            <w:tcW w:w="1134" w:type="dxa"/>
            <w:tcBorders>
              <w:top w:val="nil"/>
              <w:left w:val="nil"/>
              <w:bottom w:val="single" w:sz="4" w:space="0" w:color="auto"/>
              <w:right w:val="nil"/>
            </w:tcBorders>
            <w:shd w:val="clear" w:color="auto" w:fill="auto"/>
            <w:noWrap/>
            <w:vAlign w:val="bottom"/>
            <w:hideMark/>
          </w:tcPr>
          <w:p w14:paraId="020C41F6" w14:textId="2FFE43A6"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121</w:t>
            </w:r>
            <w:r>
              <w:rPr>
                <w:rFonts w:eastAsia="Times New Roman"/>
                <w:color w:val="000000"/>
                <w:szCs w:val="24"/>
                <w:lang w:eastAsia="cs-CZ"/>
              </w:rPr>
              <w:t>,</w:t>
            </w:r>
            <w:r w:rsidRPr="00A218BE">
              <w:rPr>
                <w:rFonts w:eastAsia="Times New Roman"/>
                <w:color w:val="000000"/>
                <w:szCs w:val="24"/>
                <w:lang w:eastAsia="cs-CZ"/>
              </w:rPr>
              <w:t>47</w:t>
            </w:r>
          </w:p>
        </w:tc>
        <w:tc>
          <w:tcPr>
            <w:tcW w:w="992" w:type="dxa"/>
            <w:tcBorders>
              <w:top w:val="nil"/>
              <w:left w:val="nil"/>
              <w:bottom w:val="single" w:sz="4" w:space="0" w:color="auto"/>
              <w:right w:val="nil"/>
            </w:tcBorders>
            <w:shd w:val="clear" w:color="auto" w:fill="auto"/>
            <w:noWrap/>
            <w:vAlign w:val="center"/>
            <w:hideMark/>
          </w:tcPr>
          <w:p w14:paraId="2B4B1AD0"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+47 %  </w:t>
            </w:r>
          </w:p>
        </w:tc>
        <w:tc>
          <w:tcPr>
            <w:tcW w:w="1134" w:type="dxa"/>
            <w:tcBorders>
              <w:top w:val="nil"/>
              <w:left w:val="single" w:sz="4" w:space="0" w:color="auto"/>
              <w:bottom w:val="single" w:sz="4" w:space="0" w:color="auto"/>
              <w:right w:val="nil"/>
            </w:tcBorders>
            <w:shd w:val="clear" w:color="auto" w:fill="auto"/>
            <w:noWrap/>
            <w:vAlign w:val="bottom"/>
            <w:hideMark/>
          </w:tcPr>
          <w:p w14:paraId="7B5069FD" w14:textId="74292DDC"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99</w:t>
            </w:r>
            <w:r>
              <w:rPr>
                <w:rFonts w:eastAsia="Times New Roman"/>
                <w:color w:val="000000"/>
                <w:szCs w:val="24"/>
                <w:lang w:eastAsia="cs-CZ"/>
              </w:rPr>
              <w:t>,</w:t>
            </w:r>
            <w:r w:rsidRPr="00A218BE">
              <w:rPr>
                <w:rFonts w:eastAsia="Times New Roman"/>
                <w:color w:val="000000"/>
                <w:szCs w:val="24"/>
                <w:lang w:eastAsia="cs-CZ"/>
              </w:rPr>
              <w:t>41</w:t>
            </w:r>
          </w:p>
        </w:tc>
        <w:tc>
          <w:tcPr>
            <w:tcW w:w="851" w:type="dxa"/>
            <w:tcBorders>
              <w:top w:val="nil"/>
              <w:left w:val="nil"/>
              <w:bottom w:val="single" w:sz="4" w:space="0" w:color="auto"/>
              <w:right w:val="single" w:sz="4" w:space="0" w:color="auto"/>
            </w:tcBorders>
            <w:shd w:val="clear" w:color="auto" w:fill="auto"/>
            <w:noWrap/>
            <w:vAlign w:val="center"/>
            <w:hideMark/>
          </w:tcPr>
          <w:p w14:paraId="56FF0A3E"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+11 %  </w:t>
            </w:r>
          </w:p>
        </w:tc>
        <w:tc>
          <w:tcPr>
            <w:tcW w:w="1134" w:type="dxa"/>
            <w:tcBorders>
              <w:top w:val="nil"/>
              <w:left w:val="nil"/>
              <w:bottom w:val="single" w:sz="4" w:space="0" w:color="auto"/>
              <w:right w:val="nil"/>
            </w:tcBorders>
            <w:shd w:val="clear" w:color="auto" w:fill="auto"/>
            <w:noWrap/>
            <w:vAlign w:val="bottom"/>
            <w:hideMark/>
          </w:tcPr>
          <w:p w14:paraId="1138C5C4" w14:textId="7BBA637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46</w:t>
            </w:r>
            <w:r>
              <w:rPr>
                <w:rFonts w:eastAsia="Times New Roman"/>
                <w:color w:val="000000"/>
                <w:szCs w:val="24"/>
                <w:lang w:eastAsia="cs-CZ"/>
              </w:rPr>
              <w:t>,</w:t>
            </w:r>
            <w:r w:rsidRPr="00A218BE">
              <w:rPr>
                <w:rFonts w:eastAsia="Times New Roman"/>
                <w:color w:val="000000"/>
                <w:szCs w:val="24"/>
                <w:lang w:eastAsia="cs-CZ"/>
              </w:rPr>
              <w:t>34</w:t>
            </w:r>
          </w:p>
        </w:tc>
        <w:tc>
          <w:tcPr>
            <w:tcW w:w="992" w:type="dxa"/>
            <w:tcBorders>
              <w:top w:val="nil"/>
              <w:left w:val="nil"/>
              <w:bottom w:val="single" w:sz="4" w:space="0" w:color="auto"/>
              <w:right w:val="nil"/>
            </w:tcBorders>
            <w:shd w:val="clear" w:color="auto" w:fill="auto"/>
            <w:noWrap/>
            <w:vAlign w:val="center"/>
            <w:hideMark/>
          </w:tcPr>
          <w:p w14:paraId="4A07B07E"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+96 %  </w:t>
            </w:r>
          </w:p>
        </w:tc>
      </w:tr>
      <w:tr w:rsidR="00A218BE" w:rsidRPr="00A218BE" w14:paraId="3AC00B41" w14:textId="77777777" w:rsidTr="003D5F1A">
        <w:trPr>
          <w:trHeight w:val="330"/>
        </w:trPr>
        <w:tc>
          <w:tcPr>
            <w:tcW w:w="1843" w:type="dxa"/>
            <w:tcBorders>
              <w:top w:val="nil"/>
              <w:left w:val="nil"/>
              <w:bottom w:val="double" w:sz="6" w:space="0" w:color="auto"/>
              <w:right w:val="nil"/>
            </w:tcBorders>
            <w:shd w:val="clear" w:color="auto" w:fill="auto"/>
            <w:noWrap/>
            <w:vAlign w:val="bottom"/>
            <w:hideMark/>
          </w:tcPr>
          <w:p w14:paraId="478641CB"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Ostrava</w:t>
            </w:r>
          </w:p>
        </w:tc>
        <w:tc>
          <w:tcPr>
            <w:tcW w:w="1134" w:type="dxa"/>
            <w:tcBorders>
              <w:top w:val="nil"/>
              <w:left w:val="nil"/>
              <w:bottom w:val="double" w:sz="6" w:space="0" w:color="auto"/>
              <w:right w:val="nil"/>
            </w:tcBorders>
            <w:shd w:val="clear" w:color="auto" w:fill="auto"/>
            <w:noWrap/>
            <w:vAlign w:val="bottom"/>
            <w:hideMark/>
          </w:tcPr>
          <w:p w14:paraId="0496F0AD" w14:textId="7FD44BEA"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45</w:t>
            </w:r>
            <w:r>
              <w:rPr>
                <w:rFonts w:eastAsia="Times New Roman"/>
                <w:color w:val="000000"/>
                <w:szCs w:val="24"/>
                <w:lang w:eastAsia="cs-CZ"/>
              </w:rPr>
              <w:t>,</w:t>
            </w:r>
            <w:r w:rsidRPr="00A218BE">
              <w:rPr>
                <w:rFonts w:eastAsia="Times New Roman"/>
                <w:color w:val="000000"/>
                <w:szCs w:val="24"/>
                <w:lang w:eastAsia="cs-CZ"/>
              </w:rPr>
              <w:t>80</w:t>
            </w:r>
          </w:p>
        </w:tc>
        <w:tc>
          <w:tcPr>
            <w:tcW w:w="1134" w:type="dxa"/>
            <w:tcBorders>
              <w:top w:val="nil"/>
              <w:left w:val="nil"/>
              <w:bottom w:val="double" w:sz="6" w:space="0" w:color="auto"/>
              <w:right w:val="nil"/>
            </w:tcBorders>
            <w:shd w:val="clear" w:color="auto" w:fill="auto"/>
            <w:noWrap/>
            <w:vAlign w:val="bottom"/>
            <w:hideMark/>
          </w:tcPr>
          <w:p w14:paraId="2D9BCDDA" w14:textId="2B3623EA"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152</w:t>
            </w:r>
            <w:r>
              <w:rPr>
                <w:rFonts w:eastAsia="Times New Roman"/>
                <w:color w:val="000000"/>
                <w:szCs w:val="24"/>
                <w:lang w:eastAsia="cs-CZ"/>
              </w:rPr>
              <w:t>,</w:t>
            </w:r>
            <w:r w:rsidRPr="00A218BE">
              <w:rPr>
                <w:rFonts w:eastAsia="Times New Roman"/>
                <w:color w:val="000000"/>
                <w:szCs w:val="24"/>
                <w:lang w:eastAsia="cs-CZ"/>
              </w:rPr>
              <w:t>73</w:t>
            </w:r>
          </w:p>
        </w:tc>
        <w:tc>
          <w:tcPr>
            <w:tcW w:w="992" w:type="dxa"/>
            <w:tcBorders>
              <w:top w:val="nil"/>
              <w:left w:val="nil"/>
              <w:bottom w:val="double" w:sz="6" w:space="0" w:color="auto"/>
              <w:right w:val="nil"/>
            </w:tcBorders>
            <w:shd w:val="clear" w:color="auto" w:fill="auto"/>
            <w:noWrap/>
            <w:vAlign w:val="center"/>
            <w:hideMark/>
          </w:tcPr>
          <w:p w14:paraId="4D34F617"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+19 %  </w:t>
            </w:r>
          </w:p>
        </w:tc>
        <w:tc>
          <w:tcPr>
            <w:tcW w:w="1134" w:type="dxa"/>
            <w:tcBorders>
              <w:top w:val="nil"/>
              <w:left w:val="single" w:sz="4" w:space="0" w:color="auto"/>
              <w:bottom w:val="double" w:sz="6" w:space="0" w:color="auto"/>
              <w:right w:val="nil"/>
            </w:tcBorders>
            <w:shd w:val="clear" w:color="auto" w:fill="auto"/>
            <w:noWrap/>
            <w:vAlign w:val="bottom"/>
            <w:hideMark/>
          </w:tcPr>
          <w:p w14:paraId="03D1BEA7" w14:textId="1AF77004"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140</w:t>
            </w:r>
            <w:r>
              <w:rPr>
                <w:rFonts w:eastAsia="Times New Roman"/>
                <w:color w:val="000000"/>
                <w:szCs w:val="24"/>
                <w:lang w:eastAsia="cs-CZ"/>
              </w:rPr>
              <w:t>,</w:t>
            </w:r>
            <w:r w:rsidRPr="00A218BE">
              <w:rPr>
                <w:rFonts w:eastAsia="Times New Roman"/>
                <w:color w:val="000000"/>
                <w:szCs w:val="24"/>
                <w:lang w:eastAsia="cs-CZ"/>
              </w:rPr>
              <w:t>33</w:t>
            </w:r>
          </w:p>
        </w:tc>
        <w:tc>
          <w:tcPr>
            <w:tcW w:w="851" w:type="dxa"/>
            <w:tcBorders>
              <w:top w:val="nil"/>
              <w:left w:val="nil"/>
              <w:bottom w:val="double" w:sz="6" w:space="0" w:color="auto"/>
              <w:right w:val="single" w:sz="4" w:space="0" w:color="auto"/>
            </w:tcBorders>
            <w:shd w:val="clear" w:color="auto" w:fill="auto"/>
            <w:noWrap/>
            <w:vAlign w:val="center"/>
            <w:hideMark/>
          </w:tcPr>
          <w:p w14:paraId="208BCE88"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+6 %  </w:t>
            </w:r>
          </w:p>
        </w:tc>
        <w:tc>
          <w:tcPr>
            <w:tcW w:w="1134" w:type="dxa"/>
            <w:tcBorders>
              <w:top w:val="nil"/>
              <w:left w:val="nil"/>
              <w:bottom w:val="double" w:sz="6" w:space="0" w:color="auto"/>
              <w:right w:val="nil"/>
            </w:tcBorders>
            <w:shd w:val="clear" w:color="auto" w:fill="auto"/>
            <w:noWrap/>
            <w:vAlign w:val="bottom"/>
            <w:hideMark/>
          </w:tcPr>
          <w:p w14:paraId="2E7F0449" w14:textId="52C5625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48</w:t>
            </w:r>
            <w:r>
              <w:rPr>
                <w:rFonts w:eastAsia="Times New Roman"/>
                <w:color w:val="000000"/>
                <w:szCs w:val="24"/>
                <w:lang w:eastAsia="cs-CZ"/>
              </w:rPr>
              <w:t>,</w:t>
            </w:r>
            <w:r w:rsidRPr="00A218BE">
              <w:rPr>
                <w:rFonts w:eastAsia="Times New Roman"/>
                <w:color w:val="000000"/>
                <w:szCs w:val="24"/>
                <w:lang w:eastAsia="cs-CZ"/>
              </w:rPr>
              <w:t>54</w:t>
            </w:r>
          </w:p>
        </w:tc>
        <w:tc>
          <w:tcPr>
            <w:tcW w:w="992" w:type="dxa"/>
            <w:tcBorders>
              <w:top w:val="nil"/>
              <w:left w:val="nil"/>
              <w:bottom w:val="double" w:sz="6" w:space="0" w:color="auto"/>
              <w:right w:val="nil"/>
            </w:tcBorders>
            <w:shd w:val="clear" w:color="auto" w:fill="auto"/>
            <w:noWrap/>
            <w:vAlign w:val="center"/>
            <w:hideMark/>
          </w:tcPr>
          <w:p w14:paraId="59D425EE"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+34 %  </w:t>
            </w:r>
          </w:p>
        </w:tc>
      </w:tr>
      <w:tr w:rsidR="00A218BE" w:rsidRPr="00A218BE" w14:paraId="0494AB16" w14:textId="77777777" w:rsidTr="003D5F1A">
        <w:trPr>
          <w:trHeight w:val="345"/>
        </w:trPr>
        <w:tc>
          <w:tcPr>
            <w:tcW w:w="1843" w:type="dxa"/>
            <w:tcBorders>
              <w:top w:val="nil"/>
              <w:left w:val="nil"/>
              <w:bottom w:val="double" w:sz="6" w:space="0" w:color="auto"/>
              <w:right w:val="nil"/>
            </w:tcBorders>
            <w:shd w:val="clear" w:color="auto" w:fill="auto"/>
            <w:noWrap/>
            <w:vAlign w:val="bottom"/>
            <w:hideMark/>
          </w:tcPr>
          <w:p w14:paraId="747C96C0" w14:textId="77777777" w:rsidR="00A218BE" w:rsidRPr="00A218BE" w:rsidRDefault="00A218BE" w:rsidP="00A218BE">
            <w:pPr>
              <w:spacing w:line="240" w:lineRule="auto"/>
              <w:jc w:val="left"/>
              <w:rPr>
                <w:rFonts w:eastAsia="Times New Roman"/>
                <w:b/>
                <w:bCs/>
                <w:color w:val="000000"/>
                <w:szCs w:val="24"/>
                <w:lang w:eastAsia="cs-CZ"/>
              </w:rPr>
            </w:pPr>
            <w:r w:rsidRPr="00A218BE">
              <w:rPr>
                <w:rFonts w:eastAsia="Times New Roman"/>
                <w:b/>
                <w:bCs/>
                <w:color w:val="000000"/>
                <w:szCs w:val="24"/>
                <w:lang w:eastAsia="cs-CZ"/>
              </w:rPr>
              <w:t>Celkem ČR</w:t>
            </w:r>
          </w:p>
        </w:tc>
        <w:tc>
          <w:tcPr>
            <w:tcW w:w="1134" w:type="dxa"/>
            <w:tcBorders>
              <w:top w:val="nil"/>
              <w:left w:val="nil"/>
              <w:bottom w:val="double" w:sz="6" w:space="0" w:color="auto"/>
              <w:right w:val="nil"/>
            </w:tcBorders>
            <w:shd w:val="clear" w:color="auto" w:fill="auto"/>
            <w:noWrap/>
            <w:vAlign w:val="bottom"/>
            <w:hideMark/>
          </w:tcPr>
          <w:p w14:paraId="6AB0314B" w14:textId="7830355F"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363</w:t>
            </w:r>
            <w:r>
              <w:rPr>
                <w:rFonts w:eastAsia="Times New Roman"/>
                <w:b/>
                <w:bCs/>
                <w:color w:val="000000"/>
                <w:szCs w:val="24"/>
                <w:lang w:eastAsia="cs-CZ"/>
              </w:rPr>
              <w:t>,</w:t>
            </w:r>
            <w:r w:rsidRPr="00A218BE">
              <w:rPr>
                <w:rFonts w:eastAsia="Times New Roman"/>
                <w:b/>
                <w:bCs/>
                <w:color w:val="000000"/>
                <w:szCs w:val="24"/>
                <w:lang w:eastAsia="cs-CZ"/>
              </w:rPr>
              <w:t>09</w:t>
            </w:r>
          </w:p>
        </w:tc>
        <w:tc>
          <w:tcPr>
            <w:tcW w:w="1134" w:type="dxa"/>
            <w:tcBorders>
              <w:top w:val="nil"/>
              <w:left w:val="nil"/>
              <w:bottom w:val="double" w:sz="6" w:space="0" w:color="auto"/>
              <w:right w:val="nil"/>
            </w:tcBorders>
            <w:shd w:val="clear" w:color="auto" w:fill="auto"/>
            <w:noWrap/>
            <w:vAlign w:val="bottom"/>
            <w:hideMark/>
          </w:tcPr>
          <w:p w14:paraId="045FF9AB" w14:textId="7C158813"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149</w:t>
            </w:r>
            <w:r>
              <w:rPr>
                <w:rFonts w:eastAsia="Times New Roman"/>
                <w:b/>
                <w:bCs/>
                <w:color w:val="000000"/>
                <w:szCs w:val="24"/>
                <w:lang w:eastAsia="cs-CZ"/>
              </w:rPr>
              <w:t>,</w:t>
            </w:r>
            <w:r w:rsidRPr="00A218BE">
              <w:rPr>
                <w:rFonts w:eastAsia="Times New Roman"/>
                <w:b/>
                <w:bCs/>
                <w:color w:val="000000"/>
                <w:szCs w:val="24"/>
                <w:lang w:eastAsia="cs-CZ"/>
              </w:rPr>
              <w:t>92</w:t>
            </w:r>
          </w:p>
        </w:tc>
        <w:tc>
          <w:tcPr>
            <w:tcW w:w="992" w:type="dxa"/>
            <w:tcBorders>
              <w:top w:val="nil"/>
              <w:left w:val="nil"/>
              <w:bottom w:val="double" w:sz="6" w:space="0" w:color="auto"/>
              <w:right w:val="nil"/>
            </w:tcBorders>
            <w:shd w:val="clear" w:color="auto" w:fill="auto"/>
            <w:noWrap/>
            <w:vAlign w:val="center"/>
            <w:hideMark/>
          </w:tcPr>
          <w:p w14:paraId="70F9CC6A" w14:textId="77777777" w:rsidR="00A218BE" w:rsidRPr="00A218BE" w:rsidRDefault="00A218BE" w:rsidP="00A218BE">
            <w:pPr>
              <w:spacing w:line="240" w:lineRule="auto"/>
              <w:jc w:val="center"/>
              <w:rPr>
                <w:rFonts w:eastAsia="Times New Roman"/>
                <w:b/>
                <w:bCs/>
                <w:color w:val="000000"/>
                <w:sz w:val="20"/>
                <w:szCs w:val="20"/>
                <w:lang w:eastAsia="cs-CZ"/>
              </w:rPr>
            </w:pPr>
            <w:r w:rsidRPr="00A218BE">
              <w:rPr>
                <w:rFonts w:eastAsia="Times New Roman"/>
                <w:b/>
                <w:bCs/>
                <w:color w:val="000000"/>
                <w:sz w:val="20"/>
                <w:szCs w:val="20"/>
                <w:lang w:eastAsia="cs-CZ"/>
              </w:rPr>
              <w:t xml:space="preserve">+40 %  </w:t>
            </w:r>
          </w:p>
        </w:tc>
        <w:tc>
          <w:tcPr>
            <w:tcW w:w="1134" w:type="dxa"/>
            <w:tcBorders>
              <w:top w:val="nil"/>
              <w:left w:val="single" w:sz="4" w:space="0" w:color="auto"/>
              <w:bottom w:val="double" w:sz="6" w:space="0" w:color="auto"/>
              <w:right w:val="nil"/>
            </w:tcBorders>
            <w:shd w:val="clear" w:color="auto" w:fill="auto"/>
            <w:noWrap/>
            <w:vAlign w:val="bottom"/>
            <w:hideMark/>
          </w:tcPr>
          <w:p w14:paraId="3A2400A9" w14:textId="11395E83"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138</w:t>
            </w:r>
            <w:r>
              <w:rPr>
                <w:rFonts w:eastAsia="Times New Roman"/>
                <w:b/>
                <w:bCs/>
                <w:color w:val="000000"/>
                <w:szCs w:val="24"/>
                <w:lang w:eastAsia="cs-CZ"/>
              </w:rPr>
              <w:t>,</w:t>
            </w:r>
            <w:r w:rsidRPr="00A218BE">
              <w:rPr>
                <w:rFonts w:eastAsia="Times New Roman"/>
                <w:b/>
                <w:bCs/>
                <w:color w:val="000000"/>
                <w:szCs w:val="24"/>
                <w:lang w:eastAsia="cs-CZ"/>
              </w:rPr>
              <w:t>68</w:t>
            </w:r>
          </w:p>
        </w:tc>
        <w:tc>
          <w:tcPr>
            <w:tcW w:w="851" w:type="dxa"/>
            <w:tcBorders>
              <w:top w:val="nil"/>
              <w:left w:val="nil"/>
              <w:bottom w:val="double" w:sz="6" w:space="0" w:color="auto"/>
              <w:right w:val="single" w:sz="4" w:space="0" w:color="auto"/>
            </w:tcBorders>
            <w:shd w:val="clear" w:color="auto" w:fill="auto"/>
            <w:noWrap/>
            <w:vAlign w:val="center"/>
            <w:hideMark/>
          </w:tcPr>
          <w:p w14:paraId="123A1A81" w14:textId="77777777" w:rsidR="00A218BE" w:rsidRPr="00A218BE" w:rsidRDefault="00A218BE" w:rsidP="00A218BE">
            <w:pPr>
              <w:spacing w:line="240" w:lineRule="auto"/>
              <w:jc w:val="center"/>
              <w:rPr>
                <w:rFonts w:eastAsia="Times New Roman"/>
                <w:b/>
                <w:bCs/>
                <w:color w:val="000000"/>
                <w:sz w:val="20"/>
                <w:szCs w:val="20"/>
                <w:lang w:eastAsia="cs-CZ"/>
              </w:rPr>
            </w:pPr>
            <w:r w:rsidRPr="00A218BE">
              <w:rPr>
                <w:rFonts w:eastAsia="Times New Roman"/>
                <w:b/>
                <w:bCs/>
                <w:color w:val="000000"/>
                <w:sz w:val="20"/>
                <w:szCs w:val="20"/>
                <w:lang w:eastAsia="cs-CZ"/>
              </w:rPr>
              <w:t xml:space="preserve">+26 %  </w:t>
            </w:r>
          </w:p>
        </w:tc>
        <w:tc>
          <w:tcPr>
            <w:tcW w:w="1134" w:type="dxa"/>
            <w:tcBorders>
              <w:top w:val="nil"/>
              <w:left w:val="nil"/>
              <w:bottom w:val="double" w:sz="6" w:space="0" w:color="auto"/>
              <w:right w:val="nil"/>
            </w:tcBorders>
            <w:shd w:val="clear" w:color="auto" w:fill="auto"/>
            <w:noWrap/>
            <w:vAlign w:val="bottom"/>
            <w:hideMark/>
          </w:tcPr>
          <w:p w14:paraId="5A1788CD" w14:textId="450DEAA6"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30</w:t>
            </w:r>
            <w:r>
              <w:rPr>
                <w:rFonts w:eastAsia="Times New Roman"/>
                <w:b/>
                <w:bCs/>
                <w:color w:val="000000"/>
                <w:szCs w:val="24"/>
                <w:lang w:eastAsia="cs-CZ"/>
              </w:rPr>
              <w:t>,</w:t>
            </w:r>
            <w:r w:rsidRPr="00A218BE">
              <w:rPr>
                <w:rFonts w:eastAsia="Times New Roman"/>
                <w:b/>
                <w:bCs/>
                <w:color w:val="000000"/>
                <w:szCs w:val="24"/>
                <w:lang w:eastAsia="cs-CZ"/>
              </w:rPr>
              <w:t>52</w:t>
            </w:r>
          </w:p>
        </w:tc>
        <w:tc>
          <w:tcPr>
            <w:tcW w:w="992" w:type="dxa"/>
            <w:tcBorders>
              <w:top w:val="nil"/>
              <w:left w:val="nil"/>
              <w:bottom w:val="double" w:sz="6" w:space="0" w:color="auto"/>
              <w:right w:val="nil"/>
            </w:tcBorders>
            <w:shd w:val="clear" w:color="auto" w:fill="auto"/>
            <w:noWrap/>
            <w:vAlign w:val="center"/>
            <w:hideMark/>
          </w:tcPr>
          <w:p w14:paraId="53E7F451" w14:textId="77777777" w:rsidR="00A218BE" w:rsidRPr="00A218BE" w:rsidRDefault="00A218BE" w:rsidP="00A218BE">
            <w:pPr>
              <w:spacing w:line="240" w:lineRule="auto"/>
              <w:jc w:val="center"/>
              <w:rPr>
                <w:rFonts w:eastAsia="Times New Roman"/>
                <w:b/>
                <w:bCs/>
                <w:color w:val="000000"/>
                <w:sz w:val="20"/>
                <w:szCs w:val="20"/>
                <w:lang w:eastAsia="cs-CZ"/>
              </w:rPr>
            </w:pPr>
            <w:r w:rsidRPr="00A218BE">
              <w:rPr>
                <w:rFonts w:eastAsia="Times New Roman"/>
                <w:b/>
                <w:bCs/>
                <w:color w:val="000000"/>
                <w:sz w:val="20"/>
                <w:szCs w:val="20"/>
                <w:lang w:eastAsia="cs-CZ"/>
              </w:rPr>
              <w:t xml:space="preserve">+66 %  </w:t>
            </w:r>
          </w:p>
        </w:tc>
      </w:tr>
      <w:tr w:rsidR="00A218BE" w:rsidRPr="00A218BE" w14:paraId="08D71529" w14:textId="77777777" w:rsidTr="003D5F1A">
        <w:trPr>
          <w:trHeight w:val="330"/>
        </w:trPr>
        <w:tc>
          <w:tcPr>
            <w:tcW w:w="1843" w:type="dxa"/>
            <w:tcBorders>
              <w:top w:val="nil"/>
              <w:left w:val="nil"/>
              <w:bottom w:val="nil"/>
              <w:right w:val="nil"/>
            </w:tcBorders>
            <w:shd w:val="clear" w:color="auto" w:fill="auto"/>
            <w:noWrap/>
            <w:vAlign w:val="bottom"/>
            <w:hideMark/>
          </w:tcPr>
          <w:p w14:paraId="56740E6F" w14:textId="77777777" w:rsidR="00A218BE" w:rsidRPr="00A218BE" w:rsidRDefault="00A218BE" w:rsidP="00A218BE">
            <w:pPr>
              <w:spacing w:line="240" w:lineRule="auto"/>
              <w:jc w:val="center"/>
              <w:rPr>
                <w:rFonts w:eastAsia="Times New Roman"/>
                <w:b/>
                <w:bCs/>
                <w:color w:val="000000"/>
                <w:sz w:val="20"/>
                <w:szCs w:val="20"/>
                <w:lang w:eastAsia="cs-CZ"/>
              </w:rPr>
            </w:pPr>
          </w:p>
        </w:tc>
        <w:tc>
          <w:tcPr>
            <w:tcW w:w="1134" w:type="dxa"/>
            <w:tcBorders>
              <w:top w:val="nil"/>
              <w:left w:val="nil"/>
              <w:bottom w:val="nil"/>
              <w:right w:val="nil"/>
            </w:tcBorders>
            <w:shd w:val="clear" w:color="auto" w:fill="auto"/>
            <w:noWrap/>
            <w:vAlign w:val="bottom"/>
            <w:hideMark/>
          </w:tcPr>
          <w:p w14:paraId="3D5A8EF1"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562A8C7D"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395C888D"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2DEF6DB4"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55505C1E"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06EAE0EA"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7BC327B4"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r>
    </w:tbl>
    <w:p w14:paraId="2581B6FF" w14:textId="2FB5758C" w:rsidR="00E8003B" w:rsidRPr="00033A3F" w:rsidRDefault="00E8003B" w:rsidP="004C0D35">
      <w:pPr>
        <w:pStyle w:val="OdstavecASR"/>
        <w:rPr>
          <w:color w:val="000000" w:themeColor="text1"/>
        </w:rPr>
      </w:pPr>
      <w:r w:rsidRPr="00033A3F">
        <w:rPr>
          <w:color w:val="000000" w:themeColor="text1"/>
        </w:rPr>
        <w:t>Opět si v souvislosti s tabulkou dovolíme upozornit na několik faktů.</w:t>
      </w:r>
    </w:p>
    <w:p w14:paraId="7C560EB4" w14:textId="7F3865EE" w:rsidR="00E8003B" w:rsidRPr="00033A3F" w:rsidRDefault="00E8003B" w:rsidP="00E8003B">
      <w:pPr>
        <w:pStyle w:val="Odstavecseseznamem"/>
        <w:numPr>
          <w:ilvl w:val="0"/>
          <w:numId w:val="14"/>
        </w:numPr>
        <w:rPr>
          <w:color w:val="000000" w:themeColor="text1"/>
        </w:rPr>
      </w:pPr>
      <w:r w:rsidRPr="00033A3F">
        <w:rPr>
          <w:color w:val="000000" w:themeColor="text1"/>
        </w:rPr>
        <w:t>Počty příchozích a vyřízených věcí jsou většinou mezi kraji mnohem vyrovnanější než u prvostupňových věcí.</w:t>
      </w:r>
    </w:p>
    <w:p w14:paraId="0C7F06D4" w14:textId="320E7A07" w:rsidR="00E8003B" w:rsidRPr="00033A3F" w:rsidRDefault="00E8003B" w:rsidP="00E8003B">
      <w:pPr>
        <w:pStyle w:val="Odstavecseseznamem"/>
        <w:numPr>
          <w:ilvl w:val="0"/>
          <w:numId w:val="14"/>
        </w:numPr>
        <w:rPr>
          <w:color w:val="000000" w:themeColor="text1"/>
        </w:rPr>
      </w:pPr>
      <w:r w:rsidRPr="00033A3F">
        <w:rPr>
          <w:color w:val="000000" w:themeColor="text1"/>
        </w:rPr>
        <w:t xml:space="preserve">Výrazně nejvyšší počet nevyřízených věcí na soudce v roce </w:t>
      </w:r>
      <w:r w:rsidR="00931954" w:rsidRPr="00033A3F">
        <w:rPr>
          <w:color w:val="000000" w:themeColor="text1"/>
        </w:rPr>
        <w:t xml:space="preserve">2024 </w:t>
      </w:r>
      <w:r w:rsidRPr="00033A3F">
        <w:rPr>
          <w:color w:val="000000" w:themeColor="text1"/>
        </w:rPr>
        <w:t>vykazuje KS Ostrava, což je ale dlouhodobý jev, i když se hodnoty postupně v cyklických vlnách snižují. Naopak nejméně nevyřízených věcí na soudce vykazuje KS Praha</w:t>
      </w:r>
    </w:p>
    <w:p w14:paraId="3C7E90F4" w14:textId="1BB24F01" w:rsidR="008229B5" w:rsidRPr="00033A3F" w:rsidRDefault="00D327F4" w:rsidP="00E8003B">
      <w:pPr>
        <w:pStyle w:val="Odstavecseseznamem"/>
        <w:numPr>
          <w:ilvl w:val="0"/>
          <w:numId w:val="14"/>
        </w:numPr>
        <w:rPr>
          <w:color w:val="000000" w:themeColor="text1"/>
        </w:rPr>
      </w:pPr>
      <w:r w:rsidRPr="00033A3F">
        <w:rPr>
          <w:color w:val="000000" w:themeColor="text1"/>
        </w:rPr>
        <w:t>P</w:t>
      </w:r>
      <w:r w:rsidR="007244E8" w:rsidRPr="00033A3F">
        <w:rPr>
          <w:color w:val="000000" w:themeColor="text1"/>
        </w:rPr>
        <w:t>rudk</w:t>
      </w:r>
      <w:r w:rsidRPr="00033A3F">
        <w:rPr>
          <w:color w:val="000000" w:themeColor="text1"/>
        </w:rPr>
        <w:t>é</w:t>
      </w:r>
      <w:r w:rsidR="007244E8" w:rsidRPr="00033A3F">
        <w:rPr>
          <w:color w:val="000000" w:themeColor="text1"/>
        </w:rPr>
        <w:t xml:space="preserve"> zvýšení nápadu (viz předchozí kapitola) vedlo k 40% nárůstu nápadu na jed</w:t>
      </w:r>
      <w:r w:rsidRPr="00033A3F">
        <w:rPr>
          <w:color w:val="000000" w:themeColor="text1"/>
        </w:rPr>
        <w:t>noho</w:t>
      </w:r>
      <w:r w:rsidR="007244E8" w:rsidRPr="00033A3F">
        <w:rPr>
          <w:color w:val="000000" w:themeColor="text1"/>
        </w:rPr>
        <w:t xml:space="preserve"> </w:t>
      </w:r>
      <w:r w:rsidRPr="00033A3F">
        <w:rPr>
          <w:color w:val="000000" w:themeColor="text1"/>
        </w:rPr>
        <w:t>soudce</w:t>
      </w:r>
      <w:r w:rsidR="00E8003B" w:rsidRPr="00033A3F">
        <w:rPr>
          <w:color w:val="000000" w:themeColor="text1"/>
        </w:rPr>
        <w:t>.</w:t>
      </w:r>
      <w:r w:rsidR="007244E8" w:rsidRPr="00033A3F">
        <w:rPr>
          <w:color w:val="000000" w:themeColor="text1"/>
        </w:rPr>
        <w:t xml:space="preserve"> I přes zvýšené vyřizování </w:t>
      </w:r>
      <w:r w:rsidR="008229B5" w:rsidRPr="00033A3F">
        <w:rPr>
          <w:color w:val="000000" w:themeColor="text1"/>
        </w:rPr>
        <w:t xml:space="preserve">tak nevyřízené věci na </w:t>
      </w:r>
      <w:r w:rsidR="00F02F09" w:rsidRPr="00033A3F">
        <w:rPr>
          <w:color w:val="000000" w:themeColor="text1"/>
        </w:rPr>
        <w:t>jednoho soudce</w:t>
      </w:r>
      <w:r w:rsidR="008229B5" w:rsidRPr="00033A3F">
        <w:rPr>
          <w:color w:val="000000" w:themeColor="text1"/>
        </w:rPr>
        <w:t xml:space="preserve"> prudce stoupaly</w:t>
      </w:r>
      <w:r w:rsidR="00E80B5C" w:rsidRPr="00033A3F">
        <w:rPr>
          <w:color w:val="000000" w:themeColor="text1"/>
        </w:rPr>
        <w:t>, u některých soudů až téměř na dvojnásobek</w:t>
      </w:r>
      <w:r w:rsidR="008229B5" w:rsidRPr="00033A3F">
        <w:rPr>
          <w:color w:val="000000" w:themeColor="text1"/>
        </w:rPr>
        <w:t>.</w:t>
      </w:r>
      <w:r w:rsidR="00E8003B" w:rsidRPr="00033A3F">
        <w:rPr>
          <w:color w:val="000000" w:themeColor="text1"/>
        </w:rPr>
        <w:t xml:space="preserve"> </w:t>
      </w:r>
    </w:p>
    <w:p w14:paraId="0035BB2D" w14:textId="59AB4027" w:rsidR="00E8003B" w:rsidRPr="00033A3F" w:rsidRDefault="00E8003B" w:rsidP="00E8003B">
      <w:pPr>
        <w:pStyle w:val="Odstavecseseznamem"/>
        <w:numPr>
          <w:ilvl w:val="0"/>
          <w:numId w:val="14"/>
        </w:numPr>
        <w:rPr>
          <w:color w:val="000000" w:themeColor="text1"/>
        </w:rPr>
      </w:pPr>
      <w:r w:rsidRPr="00033A3F">
        <w:rPr>
          <w:color w:val="000000" w:themeColor="text1"/>
        </w:rPr>
        <w:t xml:space="preserve">Na republikové úrovni je počet </w:t>
      </w:r>
      <w:r w:rsidR="008229B5" w:rsidRPr="00033A3F">
        <w:rPr>
          <w:color w:val="000000" w:themeColor="text1"/>
        </w:rPr>
        <w:t xml:space="preserve">soudců </w:t>
      </w:r>
      <w:r w:rsidRPr="00033A3F">
        <w:rPr>
          <w:color w:val="000000" w:themeColor="text1"/>
        </w:rPr>
        <w:t>velmi podobný předchozímu roku (nižší přibližně o šest úvazků). Změny ve vyřizování na soudce tak na republikové úrovni přesně kopírují změny ve vyřizování věcí</w:t>
      </w:r>
      <w:r w:rsidR="00512A87" w:rsidRPr="00033A3F">
        <w:rPr>
          <w:color w:val="000000" w:themeColor="text1"/>
        </w:rPr>
        <w:t>, zejména pak nárůst počtu odvolání proti rozhodnutí soudního exekutora</w:t>
      </w:r>
      <w:r w:rsidRPr="00033A3F">
        <w:rPr>
          <w:color w:val="000000" w:themeColor="text1"/>
        </w:rPr>
        <w:t>.</w:t>
      </w:r>
    </w:p>
    <w:p w14:paraId="05030410" w14:textId="77777777" w:rsidR="00EC2FB1" w:rsidRPr="00033A3F" w:rsidRDefault="00EC2FB1" w:rsidP="00EC2FB1">
      <w:pPr>
        <w:pStyle w:val="Nadpis3"/>
        <w:numPr>
          <w:ilvl w:val="2"/>
          <w:numId w:val="1"/>
        </w:numPr>
        <w:rPr>
          <w:color w:val="000000" w:themeColor="text1"/>
        </w:rPr>
      </w:pPr>
      <w:bookmarkStart w:id="1344" w:name="_Toc515871256"/>
      <w:bookmarkStart w:id="1345" w:name="_Toc106092762"/>
      <w:bookmarkStart w:id="1346" w:name="_Toc169250838"/>
      <w:bookmarkStart w:id="1347" w:name="_Toc174080874"/>
      <w:bookmarkStart w:id="1348" w:name="_Toc193531000"/>
      <w:bookmarkStart w:id="1349" w:name="_Toc193957056"/>
      <w:bookmarkStart w:id="1350" w:name="_Toc203032746"/>
      <w:r w:rsidRPr="00033A3F">
        <w:rPr>
          <w:color w:val="000000" w:themeColor="text1"/>
        </w:rPr>
        <w:t>Disposition time</w:t>
      </w:r>
      <w:bookmarkEnd w:id="1344"/>
      <w:r w:rsidRPr="00033A3F">
        <w:rPr>
          <w:color w:val="000000" w:themeColor="text1"/>
        </w:rPr>
        <w:t xml:space="preserve"> (dispoziční čas)</w:t>
      </w:r>
      <w:bookmarkEnd w:id="1345"/>
      <w:bookmarkEnd w:id="1346"/>
      <w:bookmarkEnd w:id="1347"/>
      <w:bookmarkEnd w:id="1348"/>
      <w:bookmarkEnd w:id="1349"/>
      <w:bookmarkEnd w:id="1350"/>
    </w:p>
    <w:p w14:paraId="14981CE4" w14:textId="06162717" w:rsidR="00EC2FB1" w:rsidRPr="00033A3F" w:rsidRDefault="00EC2FB1" w:rsidP="00EC2FB1">
      <w:pPr>
        <w:pStyle w:val="OdstavecASR"/>
        <w:rPr>
          <w:color w:val="000000" w:themeColor="text1"/>
        </w:rPr>
      </w:pPr>
      <w:r w:rsidRPr="00033A3F">
        <w:rPr>
          <w:color w:val="000000" w:themeColor="text1"/>
        </w:rPr>
        <w:t>Obecně lze říci, že rozdíly v DT jsou velmi malé a od roku 2011 se pohybuje mezi hodnotami 60 až 70 kalendářních dní. V letech 2017–2018 se mírně prodlužoval, což bylo způsobeno tím, že rychlé vyřizování věcí se neodráží ve stejně rychlém ubývání nevyřízených věcí v daném roce. V roce 2019 se DT díky signifikantnímu poklesu v počtu nevyřízených věcí snížil na úroveň roku 2016. V roce 2020 pak DT narostl, což plyne především z poklesu nápadu, a tedy poklesu v počtu vyřízených věcí. V roce 2021 DT opět poklesl z důvodu poklesu v počtu nevyřízených věcí a v roce 2022 opět došlo k nárůstu. V roce 2023 byl DT nejnižší ve sledovaném období.</w:t>
      </w:r>
      <w:r w:rsidR="0065212C" w:rsidRPr="00033A3F">
        <w:rPr>
          <w:color w:val="000000" w:themeColor="text1"/>
        </w:rPr>
        <w:t xml:space="preserve"> Vzhledem k výše diskutovaným změnám </w:t>
      </w:r>
      <w:r w:rsidR="00512A87" w:rsidRPr="00033A3F">
        <w:rPr>
          <w:color w:val="000000" w:themeColor="text1"/>
        </w:rPr>
        <w:t>ve vyřizování věcí</w:t>
      </w:r>
      <w:r w:rsidR="0065212C" w:rsidRPr="00033A3F">
        <w:rPr>
          <w:color w:val="000000" w:themeColor="text1"/>
        </w:rPr>
        <w:t xml:space="preserve"> došlo </w:t>
      </w:r>
      <w:r w:rsidR="00512A87" w:rsidRPr="00033A3F">
        <w:rPr>
          <w:color w:val="000000" w:themeColor="text1"/>
        </w:rPr>
        <w:t xml:space="preserve">v roce 2024 </w:t>
      </w:r>
      <w:r w:rsidR="0065212C" w:rsidRPr="00033A3F">
        <w:rPr>
          <w:color w:val="000000" w:themeColor="text1"/>
        </w:rPr>
        <w:t xml:space="preserve">i ke </w:t>
      </w:r>
      <w:r w:rsidR="00512A87" w:rsidRPr="00033A3F">
        <w:rPr>
          <w:color w:val="000000" w:themeColor="text1"/>
        </w:rPr>
        <w:t>skokovému</w:t>
      </w:r>
      <w:r w:rsidR="0065212C" w:rsidRPr="00033A3F">
        <w:rPr>
          <w:color w:val="000000" w:themeColor="text1"/>
        </w:rPr>
        <w:t xml:space="preserve"> zvýšení DT, protože se výrazně zvýšil počet nevyřízených věcí</w:t>
      </w:r>
      <w:r w:rsidR="00512A87" w:rsidRPr="00033A3F">
        <w:rPr>
          <w:color w:val="000000" w:themeColor="text1"/>
        </w:rPr>
        <w:t>; to jde ovšem opět prakticky výhradně na vrub nárůstu počtu odvolání proti rozhodnutí soudního exekutora</w:t>
      </w:r>
      <w:r w:rsidR="0065212C" w:rsidRPr="00033A3F">
        <w:rPr>
          <w:color w:val="000000" w:themeColor="text1"/>
        </w:rPr>
        <w:t>.</w:t>
      </w:r>
    </w:p>
    <w:p w14:paraId="467214B3" w14:textId="0B9E8EC7" w:rsidR="00AE3398" w:rsidRPr="00033A3F" w:rsidRDefault="00AE3398" w:rsidP="00AE3398">
      <w:pPr>
        <w:pStyle w:val="Podnadpis"/>
        <w:rPr>
          <w:color w:val="000000" w:themeColor="text1"/>
        </w:rPr>
      </w:pPr>
      <w:bookmarkStart w:id="1351" w:name="_Toc515871388"/>
      <w:bookmarkStart w:id="1352" w:name="_Toc11135119"/>
      <w:bookmarkStart w:id="1353" w:name="_Toc43841438"/>
      <w:bookmarkStart w:id="1354" w:name="_Toc75952241"/>
      <w:bookmarkStart w:id="1355" w:name="_Toc106106698"/>
      <w:bookmarkStart w:id="1356" w:name="_Toc109802022"/>
      <w:bookmarkStart w:id="1357" w:name="_Toc144104173"/>
      <w:bookmarkStart w:id="1358" w:name="_Toc169250985"/>
      <w:bookmarkStart w:id="1359" w:name="_Toc174080671"/>
      <w:bookmarkStart w:id="1360" w:name="_Toc193530825"/>
      <w:bookmarkStart w:id="1361" w:name="_Toc193634099"/>
      <w:bookmarkStart w:id="1362" w:name="_Toc203032897"/>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70</w:t>
      </w:r>
      <w:r w:rsidRPr="00033A3F">
        <w:rPr>
          <w:color w:val="000000" w:themeColor="text1"/>
        </w:rPr>
        <w:fldChar w:fldCharType="end"/>
      </w:r>
      <w:r w:rsidRPr="00033A3F">
        <w:rPr>
          <w:color w:val="000000" w:themeColor="text1"/>
        </w:rPr>
        <w:t>: KS – DT odvolacího civilního řízení v letech 2015–20</w:t>
      </w:r>
      <w:bookmarkEnd w:id="1351"/>
      <w:bookmarkEnd w:id="1352"/>
      <w:bookmarkEnd w:id="1353"/>
      <w:r w:rsidRPr="00033A3F">
        <w:rPr>
          <w:color w:val="000000" w:themeColor="text1"/>
        </w:rPr>
        <w:t>2</w:t>
      </w:r>
      <w:bookmarkEnd w:id="1354"/>
      <w:bookmarkEnd w:id="1355"/>
      <w:bookmarkEnd w:id="1356"/>
      <w:bookmarkEnd w:id="1357"/>
      <w:bookmarkEnd w:id="1358"/>
      <w:bookmarkEnd w:id="1359"/>
      <w:r w:rsidRPr="00033A3F">
        <w:rPr>
          <w:color w:val="000000" w:themeColor="text1"/>
        </w:rPr>
        <w:t>4</w:t>
      </w:r>
      <w:bookmarkEnd w:id="1360"/>
      <w:bookmarkEnd w:id="1361"/>
      <w:bookmarkEnd w:id="1362"/>
    </w:p>
    <w:p w14:paraId="604C1380" w14:textId="147E2ACD" w:rsidR="00AE3398" w:rsidRPr="00033A3F" w:rsidRDefault="00AE3398" w:rsidP="00AE3398">
      <w:pPr>
        <w:rPr>
          <w:color w:val="000000" w:themeColor="text1"/>
        </w:rPr>
      </w:pPr>
      <w:r w:rsidRPr="00033A3F">
        <w:rPr>
          <w:noProof/>
          <w:color w:val="000000" w:themeColor="text1"/>
          <w:lang w:eastAsia="cs-CZ"/>
        </w:rPr>
        <w:drawing>
          <wp:inline distT="0" distB="0" distL="0" distR="0" wp14:anchorId="65DEC935" wp14:editId="62ABC41D">
            <wp:extent cx="5029200" cy="3657600"/>
            <wp:effectExtent l="0" t="0" r="0" b="0"/>
            <wp:docPr id="1379561948"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426C34B" w14:textId="740E24AD" w:rsidR="00E8003B" w:rsidRPr="00033A3F" w:rsidRDefault="0065212C" w:rsidP="0065212C">
      <w:pPr>
        <w:pStyle w:val="Podnadpis"/>
        <w:rPr>
          <w:color w:val="000000" w:themeColor="text1"/>
        </w:rPr>
      </w:pPr>
      <w:bookmarkStart w:id="1363" w:name="_Toc43931224"/>
      <w:bookmarkStart w:id="1364" w:name="_Toc75952357"/>
      <w:bookmarkStart w:id="1365" w:name="_Toc106106813"/>
      <w:bookmarkStart w:id="1366" w:name="_Toc109802136"/>
      <w:bookmarkStart w:id="1367" w:name="_Toc144104294"/>
      <w:bookmarkStart w:id="1368" w:name="_Toc169251108"/>
      <w:bookmarkStart w:id="1369" w:name="_Toc174080794"/>
      <w:bookmarkStart w:id="1370" w:name="_Toc193530922"/>
      <w:bookmarkStart w:id="1371" w:name="_Toc194045619"/>
      <w:bookmarkStart w:id="1372" w:name="_Toc199495029"/>
      <w:bookmarkStart w:id="1373" w:name="_Toc203033090"/>
      <w:bookmarkStart w:id="1374" w:name="_Toc203033168"/>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48</w:t>
      </w:r>
      <w:r w:rsidRPr="00033A3F">
        <w:rPr>
          <w:noProof/>
          <w:color w:val="000000" w:themeColor="text1"/>
        </w:rPr>
        <w:fldChar w:fldCharType="end"/>
      </w:r>
      <w:r w:rsidRPr="00033A3F">
        <w:rPr>
          <w:color w:val="000000" w:themeColor="text1"/>
        </w:rPr>
        <w:t>: KS – DT v civilním odvolacím řízení dle soudů</w:t>
      </w:r>
      <w:bookmarkEnd w:id="1363"/>
      <w:bookmarkEnd w:id="1364"/>
      <w:bookmarkEnd w:id="1365"/>
      <w:bookmarkEnd w:id="1366"/>
      <w:bookmarkEnd w:id="1367"/>
      <w:r w:rsidRPr="00033A3F">
        <w:rPr>
          <w:color w:val="000000" w:themeColor="text1"/>
        </w:rPr>
        <w:t>, 202</w:t>
      </w:r>
      <w:bookmarkEnd w:id="1368"/>
      <w:bookmarkEnd w:id="1369"/>
      <w:r w:rsidRPr="00033A3F">
        <w:rPr>
          <w:color w:val="000000" w:themeColor="text1"/>
        </w:rPr>
        <w:t>4</w:t>
      </w:r>
      <w:bookmarkEnd w:id="1370"/>
      <w:bookmarkEnd w:id="1371"/>
      <w:bookmarkEnd w:id="1372"/>
      <w:bookmarkEnd w:id="1373"/>
      <w:bookmarkEnd w:id="1374"/>
    </w:p>
    <w:tbl>
      <w:tblPr>
        <w:tblW w:w="5960" w:type="dxa"/>
        <w:tblCellMar>
          <w:left w:w="70" w:type="dxa"/>
          <w:right w:w="70" w:type="dxa"/>
        </w:tblCellMar>
        <w:tblLook w:val="04A0" w:firstRow="1" w:lastRow="0" w:firstColumn="1" w:lastColumn="0" w:noHBand="0" w:noVBand="1"/>
      </w:tblPr>
      <w:tblGrid>
        <w:gridCol w:w="2780"/>
        <w:gridCol w:w="1250"/>
        <w:gridCol w:w="1930"/>
      </w:tblGrid>
      <w:tr w:rsidR="00033A3F" w:rsidRPr="00033A3F" w14:paraId="70385C4E" w14:textId="77777777" w:rsidTr="0065212C">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59FD4B4" w14:textId="77777777" w:rsidR="0065212C" w:rsidRPr="00033A3F" w:rsidRDefault="0065212C" w:rsidP="0065212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5FAFA420" w14:textId="77777777" w:rsidR="0065212C" w:rsidRPr="00033A3F" w:rsidRDefault="0065212C" w:rsidP="0065212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Disposition time</w:t>
            </w:r>
          </w:p>
        </w:tc>
      </w:tr>
      <w:tr w:rsidR="00033A3F" w:rsidRPr="00033A3F" w14:paraId="6827B679" w14:textId="77777777" w:rsidTr="0065212C">
        <w:trPr>
          <w:trHeight w:val="330"/>
        </w:trPr>
        <w:tc>
          <w:tcPr>
            <w:tcW w:w="2780" w:type="dxa"/>
            <w:tcBorders>
              <w:top w:val="nil"/>
              <w:left w:val="nil"/>
              <w:bottom w:val="single" w:sz="4" w:space="0" w:color="auto"/>
              <w:right w:val="nil"/>
            </w:tcBorders>
            <w:shd w:val="clear" w:color="auto" w:fill="auto"/>
            <w:noWrap/>
            <w:vAlign w:val="bottom"/>
            <w:hideMark/>
          </w:tcPr>
          <w:p w14:paraId="3D39FFC4"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50" w:type="dxa"/>
            <w:tcBorders>
              <w:top w:val="nil"/>
              <w:left w:val="nil"/>
              <w:bottom w:val="single" w:sz="4" w:space="0" w:color="auto"/>
              <w:right w:val="nil"/>
            </w:tcBorders>
            <w:shd w:val="clear" w:color="auto" w:fill="auto"/>
            <w:noWrap/>
            <w:vAlign w:val="bottom"/>
            <w:hideMark/>
          </w:tcPr>
          <w:p w14:paraId="7515DD8A"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w:t>
            </w:r>
          </w:p>
        </w:tc>
        <w:tc>
          <w:tcPr>
            <w:tcW w:w="1930" w:type="dxa"/>
            <w:tcBorders>
              <w:top w:val="nil"/>
              <w:left w:val="nil"/>
              <w:bottom w:val="single" w:sz="4" w:space="0" w:color="auto"/>
              <w:right w:val="nil"/>
            </w:tcBorders>
            <w:shd w:val="clear" w:color="auto" w:fill="auto"/>
            <w:noWrap/>
            <w:vAlign w:val="center"/>
            <w:hideMark/>
          </w:tcPr>
          <w:p w14:paraId="62E0E114" w14:textId="473CC8FF"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+39 %</w:t>
            </w:r>
          </w:p>
        </w:tc>
      </w:tr>
      <w:tr w:rsidR="00033A3F" w:rsidRPr="00033A3F" w14:paraId="1E562726"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5690239C"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50" w:type="dxa"/>
            <w:tcBorders>
              <w:top w:val="nil"/>
              <w:left w:val="nil"/>
              <w:bottom w:val="single" w:sz="4" w:space="0" w:color="auto"/>
              <w:right w:val="nil"/>
            </w:tcBorders>
            <w:shd w:val="clear" w:color="auto" w:fill="auto"/>
            <w:noWrap/>
            <w:vAlign w:val="bottom"/>
            <w:hideMark/>
          </w:tcPr>
          <w:p w14:paraId="72B307D6"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p>
        </w:tc>
        <w:tc>
          <w:tcPr>
            <w:tcW w:w="1930" w:type="dxa"/>
            <w:tcBorders>
              <w:top w:val="nil"/>
              <w:left w:val="nil"/>
              <w:bottom w:val="single" w:sz="4" w:space="0" w:color="auto"/>
              <w:right w:val="nil"/>
            </w:tcBorders>
            <w:shd w:val="clear" w:color="auto" w:fill="auto"/>
            <w:noWrap/>
            <w:vAlign w:val="center"/>
            <w:hideMark/>
          </w:tcPr>
          <w:p w14:paraId="594099B9" w14:textId="01F7C644"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66BDBC11"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6A28A795"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50" w:type="dxa"/>
            <w:tcBorders>
              <w:top w:val="nil"/>
              <w:left w:val="nil"/>
              <w:bottom w:val="single" w:sz="4" w:space="0" w:color="auto"/>
              <w:right w:val="nil"/>
            </w:tcBorders>
            <w:shd w:val="clear" w:color="auto" w:fill="auto"/>
            <w:noWrap/>
            <w:vAlign w:val="bottom"/>
            <w:hideMark/>
          </w:tcPr>
          <w:p w14:paraId="34B1E39C"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w:t>
            </w:r>
          </w:p>
        </w:tc>
        <w:tc>
          <w:tcPr>
            <w:tcW w:w="1930" w:type="dxa"/>
            <w:tcBorders>
              <w:top w:val="nil"/>
              <w:left w:val="nil"/>
              <w:bottom w:val="single" w:sz="4" w:space="0" w:color="auto"/>
              <w:right w:val="nil"/>
            </w:tcBorders>
            <w:shd w:val="clear" w:color="auto" w:fill="auto"/>
            <w:noWrap/>
            <w:vAlign w:val="center"/>
            <w:hideMark/>
          </w:tcPr>
          <w:p w14:paraId="2775A167" w14:textId="197DDA33"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6FD54E65"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17E4B53D"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50" w:type="dxa"/>
            <w:tcBorders>
              <w:top w:val="nil"/>
              <w:left w:val="nil"/>
              <w:bottom w:val="single" w:sz="4" w:space="0" w:color="auto"/>
              <w:right w:val="nil"/>
            </w:tcBorders>
            <w:shd w:val="clear" w:color="auto" w:fill="auto"/>
            <w:noWrap/>
            <w:vAlign w:val="bottom"/>
            <w:hideMark/>
          </w:tcPr>
          <w:p w14:paraId="3C09AF91"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w:t>
            </w:r>
          </w:p>
        </w:tc>
        <w:tc>
          <w:tcPr>
            <w:tcW w:w="1930" w:type="dxa"/>
            <w:tcBorders>
              <w:top w:val="nil"/>
              <w:left w:val="nil"/>
              <w:bottom w:val="single" w:sz="4" w:space="0" w:color="auto"/>
              <w:right w:val="nil"/>
            </w:tcBorders>
            <w:shd w:val="clear" w:color="auto" w:fill="auto"/>
            <w:noWrap/>
            <w:vAlign w:val="center"/>
            <w:hideMark/>
          </w:tcPr>
          <w:p w14:paraId="5AA10F50" w14:textId="0C28928D"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033A3F" w:rsidRPr="00033A3F" w14:paraId="00D0E337"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652D6CD4"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50" w:type="dxa"/>
            <w:tcBorders>
              <w:top w:val="nil"/>
              <w:left w:val="nil"/>
              <w:bottom w:val="single" w:sz="4" w:space="0" w:color="auto"/>
              <w:right w:val="nil"/>
            </w:tcBorders>
            <w:shd w:val="clear" w:color="auto" w:fill="auto"/>
            <w:noWrap/>
            <w:vAlign w:val="bottom"/>
            <w:hideMark/>
          </w:tcPr>
          <w:p w14:paraId="1AB4EFD6"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w:t>
            </w:r>
          </w:p>
        </w:tc>
        <w:tc>
          <w:tcPr>
            <w:tcW w:w="1930" w:type="dxa"/>
            <w:tcBorders>
              <w:top w:val="nil"/>
              <w:left w:val="nil"/>
              <w:bottom w:val="single" w:sz="4" w:space="0" w:color="auto"/>
              <w:right w:val="nil"/>
            </w:tcBorders>
            <w:shd w:val="clear" w:color="auto" w:fill="auto"/>
            <w:noWrap/>
            <w:vAlign w:val="center"/>
            <w:hideMark/>
          </w:tcPr>
          <w:p w14:paraId="2A61B105" w14:textId="0B8AE24C"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033A3F" w:rsidRPr="00033A3F" w14:paraId="117F4F19"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68A952A6"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50" w:type="dxa"/>
            <w:tcBorders>
              <w:top w:val="nil"/>
              <w:left w:val="nil"/>
              <w:bottom w:val="single" w:sz="4" w:space="0" w:color="auto"/>
              <w:right w:val="nil"/>
            </w:tcBorders>
            <w:shd w:val="clear" w:color="auto" w:fill="auto"/>
            <w:noWrap/>
            <w:vAlign w:val="bottom"/>
            <w:hideMark/>
          </w:tcPr>
          <w:p w14:paraId="42D4A7D0"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1930" w:type="dxa"/>
            <w:tcBorders>
              <w:top w:val="nil"/>
              <w:left w:val="nil"/>
              <w:bottom w:val="single" w:sz="4" w:space="0" w:color="auto"/>
              <w:right w:val="nil"/>
            </w:tcBorders>
            <w:shd w:val="clear" w:color="auto" w:fill="auto"/>
            <w:noWrap/>
            <w:vAlign w:val="center"/>
            <w:hideMark/>
          </w:tcPr>
          <w:p w14:paraId="73369F04" w14:textId="6A18447D"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2776E679"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5C0A2242"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50" w:type="dxa"/>
            <w:tcBorders>
              <w:top w:val="nil"/>
              <w:left w:val="nil"/>
              <w:bottom w:val="single" w:sz="4" w:space="0" w:color="auto"/>
              <w:right w:val="nil"/>
            </w:tcBorders>
            <w:shd w:val="clear" w:color="auto" w:fill="auto"/>
            <w:noWrap/>
            <w:vAlign w:val="bottom"/>
            <w:hideMark/>
          </w:tcPr>
          <w:p w14:paraId="0BD13651"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170</w:t>
            </w:r>
          </w:p>
        </w:tc>
        <w:tc>
          <w:tcPr>
            <w:tcW w:w="1930" w:type="dxa"/>
            <w:tcBorders>
              <w:top w:val="nil"/>
              <w:left w:val="nil"/>
              <w:bottom w:val="single" w:sz="4" w:space="0" w:color="auto"/>
              <w:right w:val="nil"/>
            </w:tcBorders>
            <w:shd w:val="clear" w:color="auto" w:fill="auto"/>
            <w:noWrap/>
            <w:vAlign w:val="center"/>
            <w:hideMark/>
          </w:tcPr>
          <w:p w14:paraId="741D69F6" w14:textId="4008692B"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+77 %</w:t>
            </w:r>
          </w:p>
        </w:tc>
      </w:tr>
      <w:tr w:rsidR="00033A3F" w:rsidRPr="00033A3F" w14:paraId="502AAA98" w14:textId="77777777" w:rsidTr="0065212C">
        <w:trPr>
          <w:trHeight w:val="330"/>
        </w:trPr>
        <w:tc>
          <w:tcPr>
            <w:tcW w:w="2780" w:type="dxa"/>
            <w:tcBorders>
              <w:top w:val="nil"/>
              <w:left w:val="nil"/>
              <w:bottom w:val="double" w:sz="6" w:space="0" w:color="auto"/>
              <w:right w:val="nil"/>
            </w:tcBorders>
            <w:shd w:val="clear" w:color="auto" w:fill="auto"/>
            <w:noWrap/>
            <w:vAlign w:val="bottom"/>
            <w:hideMark/>
          </w:tcPr>
          <w:p w14:paraId="17747D36"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50" w:type="dxa"/>
            <w:tcBorders>
              <w:top w:val="nil"/>
              <w:left w:val="nil"/>
              <w:bottom w:val="double" w:sz="6" w:space="0" w:color="auto"/>
              <w:right w:val="nil"/>
            </w:tcBorders>
            <w:shd w:val="clear" w:color="auto" w:fill="auto"/>
            <w:noWrap/>
            <w:vAlign w:val="bottom"/>
            <w:hideMark/>
          </w:tcPr>
          <w:p w14:paraId="6AF43E81"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w:t>
            </w:r>
          </w:p>
        </w:tc>
        <w:tc>
          <w:tcPr>
            <w:tcW w:w="1930" w:type="dxa"/>
            <w:tcBorders>
              <w:top w:val="nil"/>
              <w:left w:val="nil"/>
              <w:bottom w:val="double" w:sz="6" w:space="0" w:color="auto"/>
              <w:right w:val="nil"/>
            </w:tcBorders>
            <w:shd w:val="clear" w:color="auto" w:fill="auto"/>
            <w:noWrap/>
            <w:vAlign w:val="center"/>
            <w:hideMark/>
          </w:tcPr>
          <w:p w14:paraId="370EDC6A" w14:textId="1DB776D5"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r>
      <w:tr w:rsidR="00033A3F" w:rsidRPr="00033A3F" w14:paraId="135CCB6E" w14:textId="77777777" w:rsidTr="0065212C">
        <w:trPr>
          <w:trHeight w:val="345"/>
        </w:trPr>
        <w:tc>
          <w:tcPr>
            <w:tcW w:w="2780" w:type="dxa"/>
            <w:tcBorders>
              <w:top w:val="nil"/>
              <w:left w:val="nil"/>
              <w:bottom w:val="double" w:sz="6" w:space="0" w:color="auto"/>
              <w:right w:val="nil"/>
            </w:tcBorders>
            <w:shd w:val="clear" w:color="auto" w:fill="auto"/>
            <w:noWrap/>
            <w:vAlign w:val="bottom"/>
            <w:hideMark/>
          </w:tcPr>
          <w:p w14:paraId="0FDF6C21" w14:textId="77777777" w:rsidR="0065212C" w:rsidRPr="00033A3F" w:rsidRDefault="0065212C" w:rsidP="0065212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50" w:type="dxa"/>
            <w:tcBorders>
              <w:top w:val="nil"/>
              <w:left w:val="nil"/>
              <w:bottom w:val="double" w:sz="6" w:space="0" w:color="auto"/>
              <w:right w:val="nil"/>
            </w:tcBorders>
            <w:shd w:val="clear" w:color="auto" w:fill="auto"/>
            <w:noWrap/>
            <w:vAlign w:val="bottom"/>
            <w:hideMark/>
          </w:tcPr>
          <w:p w14:paraId="0943D87A" w14:textId="77777777" w:rsidR="0065212C" w:rsidRPr="00033A3F" w:rsidRDefault="0065212C" w:rsidP="0065212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80</w:t>
            </w:r>
          </w:p>
        </w:tc>
        <w:tc>
          <w:tcPr>
            <w:tcW w:w="1930" w:type="dxa"/>
            <w:tcBorders>
              <w:top w:val="nil"/>
              <w:left w:val="nil"/>
              <w:bottom w:val="double" w:sz="6" w:space="0" w:color="auto"/>
              <w:right w:val="nil"/>
            </w:tcBorders>
            <w:shd w:val="clear" w:color="auto" w:fill="auto"/>
            <w:noWrap/>
            <w:vAlign w:val="center"/>
            <w:hideMark/>
          </w:tcPr>
          <w:p w14:paraId="0AD4736D" w14:textId="2256858C" w:rsidR="0065212C" w:rsidRPr="00033A3F" w:rsidRDefault="0065212C"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+32 %</w:t>
            </w:r>
          </w:p>
        </w:tc>
      </w:tr>
      <w:tr w:rsidR="00033A3F" w:rsidRPr="00033A3F" w14:paraId="7FBDAA7A" w14:textId="77777777" w:rsidTr="0065212C">
        <w:trPr>
          <w:trHeight w:val="330"/>
        </w:trPr>
        <w:tc>
          <w:tcPr>
            <w:tcW w:w="2780" w:type="dxa"/>
            <w:tcBorders>
              <w:top w:val="nil"/>
              <w:left w:val="nil"/>
              <w:bottom w:val="nil"/>
              <w:right w:val="nil"/>
            </w:tcBorders>
            <w:shd w:val="clear" w:color="auto" w:fill="auto"/>
            <w:noWrap/>
            <w:vAlign w:val="bottom"/>
            <w:hideMark/>
          </w:tcPr>
          <w:p w14:paraId="69F50297" w14:textId="77777777" w:rsidR="0065212C" w:rsidRPr="00033A3F" w:rsidRDefault="0065212C" w:rsidP="0065212C">
            <w:pPr>
              <w:spacing w:line="240" w:lineRule="auto"/>
              <w:jc w:val="center"/>
              <w:rPr>
                <w:rFonts w:eastAsia="Times New Roman"/>
                <w:b/>
                <w:bCs/>
                <w:color w:val="000000" w:themeColor="text1"/>
                <w:sz w:val="20"/>
                <w:szCs w:val="20"/>
                <w:lang w:eastAsia="cs-CZ"/>
              </w:rPr>
            </w:pPr>
          </w:p>
        </w:tc>
        <w:tc>
          <w:tcPr>
            <w:tcW w:w="1250" w:type="dxa"/>
            <w:tcBorders>
              <w:top w:val="nil"/>
              <w:left w:val="nil"/>
              <w:bottom w:val="nil"/>
              <w:right w:val="nil"/>
            </w:tcBorders>
            <w:shd w:val="clear" w:color="auto" w:fill="auto"/>
            <w:noWrap/>
            <w:vAlign w:val="bottom"/>
            <w:hideMark/>
          </w:tcPr>
          <w:p w14:paraId="77714D91" w14:textId="77777777" w:rsidR="0065212C" w:rsidRPr="00033A3F" w:rsidRDefault="0065212C" w:rsidP="0065212C">
            <w:pPr>
              <w:spacing w:line="240" w:lineRule="auto"/>
              <w:jc w:val="left"/>
              <w:rPr>
                <w:rFonts w:ascii="Times New Roman" w:eastAsia="Times New Roman" w:hAnsi="Times New Roman"/>
                <w:color w:val="000000" w:themeColor="text1"/>
                <w:sz w:val="20"/>
                <w:szCs w:val="20"/>
                <w:lang w:eastAsia="cs-CZ"/>
              </w:rPr>
            </w:pPr>
          </w:p>
        </w:tc>
        <w:tc>
          <w:tcPr>
            <w:tcW w:w="1930" w:type="dxa"/>
            <w:tcBorders>
              <w:top w:val="nil"/>
              <w:left w:val="nil"/>
              <w:bottom w:val="nil"/>
              <w:right w:val="nil"/>
            </w:tcBorders>
            <w:shd w:val="clear" w:color="auto" w:fill="auto"/>
            <w:noWrap/>
            <w:vAlign w:val="bottom"/>
            <w:hideMark/>
          </w:tcPr>
          <w:p w14:paraId="50B9B766" w14:textId="77777777" w:rsidR="0065212C" w:rsidRPr="00033A3F" w:rsidRDefault="0065212C" w:rsidP="0065212C">
            <w:pPr>
              <w:spacing w:line="240" w:lineRule="auto"/>
              <w:jc w:val="left"/>
              <w:rPr>
                <w:rFonts w:ascii="Times New Roman" w:eastAsia="Times New Roman" w:hAnsi="Times New Roman"/>
                <w:color w:val="000000" w:themeColor="text1"/>
                <w:sz w:val="20"/>
                <w:szCs w:val="20"/>
                <w:lang w:eastAsia="cs-CZ"/>
              </w:rPr>
            </w:pPr>
          </w:p>
        </w:tc>
      </w:tr>
    </w:tbl>
    <w:p w14:paraId="0E5F0815" w14:textId="0B2AE413" w:rsidR="0065212C" w:rsidRPr="00033A3F" w:rsidRDefault="0065212C" w:rsidP="0065212C">
      <w:pPr>
        <w:pStyle w:val="OdstavecASR"/>
        <w:rPr>
          <w:color w:val="000000" w:themeColor="text1"/>
        </w:rPr>
      </w:pPr>
      <w:r w:rsidRPr="00033A3F">
        <w:rPr>
          <w:color w:val="000000" w:themeColor="text1"/>
        </w:rPr>
        <w:t>Závěrem lze konstatovat, že délky řízení i DT u odvolací civilní agendy u krajských soudů jsou v průměru nízké a agenda je z tohoto hlediska poměrně bezproblémová. Určité problémy má dlouhodobě především KS Brno (v roce 2023 ale došlo k nemalému zlepšení</w:t>
      </w:r>
      <w:r w:rsidR="00D327F4" w:rsidRPr="00033A3F">
        <w:rPr>
          <w:color w:val="000000" w:themeColor="text1"/>
        </w:rPr>
        <w:t>, v roce 2024 opticky ke zhoršení, což je dáno diskutovaným nárůstem odvolání proti rozhodnutí exekutora</w:t>
      </w:r>
      <w:r w:rsidRPr="00033A3F">
        <w:rPr>
          <w:color w:val="000000" w:themeColor="text1"/>
        </w:rPr>
        <w:t>)</w:t>
      </w:r>
      <w:r w:rsidR="00D327F4" w:rsidRPr="00033A3F">
        <w:rPr>
          <w:color w:val="000000" w:themeColor="text1"/>
        </w:rPr>
        <w:t xml:space="preserve">. </w:t>
      </w:r>
      <w:r w:rsidRPr="00033A3F">
        <w:rPr>
          <w:color w:val="000000" w:themeColor="text1"/>
        </w:rPr>
        <w:t xml:space="preserve">Situace se nicméně z dlouhodobého hlediska zlepšuje a tuto agendu nelze označit jako problematickou. Výrazný nárůst v počtech odvolání proti rozhodnutí exekutora v roce 2024 by </w:t>
      </w:r>
      <w:r w:rsidR="004E10F6" w:rsidRPr="00033A3F">
        <w:rPr>
          <w:color w:val="000000" w:themeColor="text1"/>
        </w:rPr>
        <w:t>z</w:t>
      </w:r>
      <w:r w:rsidRPr="00033A3F">
        <w:rPr>
          <w:color w:val="000000" w:themeColor="text1"/>
        </w:rPr>
        <w:t> dlouhodobé</w:t>
      </w:r>
      <w:r w:rsidR="004E10F6" w:rsidRPr="00033A3F">
        <w:rPr>
          <w:color w:val="000000" w:themeColor="text1"/>
        </w:rPr>
        <w:t>ho</w:t>
      </w:r>
      <w:r w:rsidRPr="00033A3F">
        <w:rPr>
          <w:color w:val="000000" w:themeColor="text1"/>
        </w:rPr>
        <w:t xml:space="preserve"> hledisk</w:t>
      </w:r>
      <w:r w:rsidR="004E10F6" w:rsidRPr="00033A3F">
        <w:rPr>
          <w:color w:val="000000" w:themeColor="text1"/>
        </w:rPr>
        <w:t>a</w:t>
      </w:r>
      <w:r w:rsidRPr="00033A3F">
        <w:rPr>
          <w:color w:val="000000" w:themeColor="text1"/>
        </w:rPr>
        <w:t xml:space="preserve"> neměl </w:t>
      </w:r>
      <w:r w:rsidR="004E10F6" w:rsidRPr="00033A3F">
        <w:rPr>
          <w:color w:val="000000" w:themeColor="text1"/>
        </w:rPr>
        <w:t xml:space="preserve">situaci výrazněji </w:t>
      </w:r>
      <w:r w:rsidRPr="00033A3F">
        <w:rPr>
          <w:color w:val="000000" w:themeColor="text1"/>
        </w:rPr>
        <w:t>změnit.</w:t>
      </w:r>
    </w:p>
    <w:p w14:paraId="466D31C8" w14:textId="1B6C97FC" w:rsidR="00ED5CE9" w:rsidRPr="00033A3F" w:rsidRDefault="00144C49" w:rsidP="00144C49">
      <w:pPr>
        <w:spacing w:after="160" w:line="259" w:lineRule="auto"/>
        <w:jc w:val="left"/>
        <w:rPr>
          <w:rFonts w:eastAsia="Times New Roman"/>
          <w:b/>
          <w:bCs/>
          <w:color w:val="000000" w:themeColor="text1"/>
        </w:rPr>
      </w:pPr>
      <w:r w:rsidRPr="00033A3F">
        <w:rPr>
          <w:color w:val="000000" w:themeColor="text1"/>
        </w:rPr>
        <w:br w:type="page"/>
      </w:r>
    </w:p>
    <w:p w14:paraId="7DA6ED9E" w14:textId="0081D09D" w:rsidR="008430BD" w:rsidRPr="00033A3F" w:rsidRDefault="008430BD" w:rsidP="008430BD">
      <w:pPr>
        <w:pStyle w:val="Nadpis2"/>
        <w:numPr>
          <w:ilvl w:val="1"/>
          <w:numId w:val="1"/>
        </w:numPr>
        <w:spacing w:before="120"/>
      </w:pPr>
      <w:bookmarkStart w:id="1375" w:name="_Toc41058973"/>
      <w:bookmarkStart w:id="1376" w:name="_Toc515871257"/>
      <w:bookmarkStart w:id="1377" w:name="_Toc106092763"/>
      <w:bookmarkStart w:id="1378" w:name="_Toc169250839"/>
      <w:bookmarkStart w:id="1379" w:name="_Toc193531001"/>
      <w:bookmarkStart w:id="1380" w:name="_Toc193957057"/>
      <w:bookmarkStart w:id="1381" w:name="_Toc203032747"/>
      <w:bookmarkEnd w:id="1375"/>
      <w:r w:rsidRPr="00033A3F">
        <w:lastRenderedPageBreak/>
        <w:t>Trestní prvostupňová agenda</w:t>
      </w:r>
      <w:bookmarkEnd w:id="1376"/>
      <w:bookmarkEnd w:id="1377"/>
      <w:bookmarkEnd w:id="1378"/>
      <w:bookmarkEnd w:id="1379"/>
      <w:bookmarkEnd w:id="1380"/>
      <w:bookmarkEnd w:id="1381"/>
    </w:p>
    <w:p w14:paraId="4D71EE68" w14:textId="567C585C" w:rsidR="007D20AD" w:rsidRPr="00033A3F" w:rsidRDefault="007D20AD" w:rsidP="007D20AD">
      <w:pPr>
        <w:pStyle w:val="OdstavecASR"/>
        <w:rPr>
          <w:color w:val="000000" w:themeColor="text1"/>
        </w:rPr>
      </w:pPr>
      <w:r w:rsidRPr="00033A3F">
        <w:rPr>
          <w:color w:val="000000" w:themeColor="text1"/>
        </w:rPr>
        <w:t xml:space="preserve">Situace v prvostupňové trestní agendě je z hlediska statistického sledování jednoduchá. Zkoumáme hlavní trestní agendu – rejstříky T a Tm. K žádným významným změnám ve vedení statistik v trestní agendě nedošlo a nemusíme se tedy obávat zkreslení v časových řadách. Na rozdíl od OS také není nutné </w:t>
      </w:r>
      <w:r w:rsidR="006F41D4" w:rsidRPr="00033A3F">
        <w:rPr>
          <w:color w:val="000000" w:themeColor="text1"/>
        </w:rPr>
        <w:t xml:space="preserve">odstranit </w:t>
      </w:r>
      <w:r w:rsidRPr="00033A3F">
        <w:rPr>
          <w:color w:val="000000" w:themeColor="text1"/>
        </w:rPr>
        <w:t>data o </w:t>
      </w:r>
      <w:r w:rsidR="006F41D4" w:rsidRPr="00033A3F">
        <w:rPr>
          <w:color w:val="000000" w:themeColor="text1"/>
        </w:rPr>
        <w:t>věcech vyřízených</w:t>
      </w:r>
      <w:r w:rsidRPr="00033A3F">
        <w:rPr>
          <w:color w:val="000000" w:themeColor="text1"/>
        </w:rPr>
        <w:t xml:space="preserve"> trestním příkazem. KS totiž vyřizují výrazně složitější agendu a věci trestním příkazem proto téměř nerozhodují. Podle trestního řádu koná krajský soud v prvním stupni řízení o trestných činech, pokud za ně zákon stanoví trest odnětí svobody, jehož dolní hranice činí nejméně pět let, nebo pokud za ně lze uložit výjimečný trest, a dále o explicitně vyjmenovaných trestných činech.</w:t>
      </w:r>
    </w:p>
    <w:p w14:paraId="0D7E0DAB" w14:textId="2578F77E" w:rsidR="00162461" w:rsidRPr="00033A3F" w:rsidRDefault="00162461" w:rsidP="00162461">
      <w:pPr>
        <w:pStyle w:val="Nadpis3"/>
        <w:numPr>
          <w:ilvl w:val="2"/>
          <w:numId w:val="1"/>
        </w:numPr>
        <w:rPr>
          <w:color w:val="000000" w:themeColor="text1"/>
        </w:rPr>
      </w:pPr>
      <w:bookmarkStart w:id="1382" w:name="_Toc75952098"/>
      <w:bookmarkStart w:id="1383" w:name="_Toc106092764"/>
      <w:bookmarkStart w:id="1384" w:name="_Toc169250840"/>
      <w:bookmarkStart w:id="1385" w:name="_Toc193531002"/>
      <w:bookmarkStart w:id="1386" w:name="_Toc193957058"/>
      <w:bookmarkStart w:id="1387" w:name="_Toc203032748"/>
      <w:r w:rsidRPr="00033A3F">
        <w:rPr>
          <w:color w:val="000000" w:themeColor="text1"/>
        </w:rPr>
        <w:t>Délka řízení</w:t>
      </w:r>
      <w:bookmarkEnd w:id="1382"/>
      <w:bookmarkEnd w:id="1383"/>
      <w:bookmarkEnd w:id="1384"/>
      <w:bookmarkEnd w:id="1385"/>
      <w:bookmarkEnd w:id="1386"/>
      <w:bookmarkEnd w:id="1387"/>
    </w:p>
    <w:p w14:paraId="4DEFE04D" w14:textId="1F65834D" w:rsidR="007D20AD" w:rsidRPr="00033A3F" w:rsidRDefault="007D20AD" w:rsidP="007D20AD">
      <w:pPr>
        <w:pStyle w:val="Podnadpis"/>
        <w:numPr>
          <w:ilvl w:val="0"/>
          <w:numId w:val="0"/>
        </w:numPr>
        <w:rPr>
          <w:color w:val="000000" w:themeColor="text1"/>
        </w:rPr>
      </w:pPr>
      <w:bookmarkStart w:id="1388" w:name="_Toc144104174"/>
      <w:bookmarkStart w:id="1389" w:name="_Toc169250986"/>
      <w:bookmarkStart w:id="1390" w:name="_Toc174080672"/>
      <w:bookmarkStart w:id="1391" w:name="_Toc193530826"/>
      <w:bookmarkStart w:id="1392" w:name="_Toc193634100"/>
      <w:bookmarkStart w:id="1393" w:name="_Toc20303289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71</w:t>
      </w:r>
      <w:r w:rsidRPr="00033A3F">
        <w:rPr>
          <w:color w:val="000000" w:themeColor="text1"/>
        </w:rPr>
        <w:fldChar w:fldCharType="end"/>
      </w:r>
      <w:r w:rsidRPr="00033A3F">
        <w:rPr>
          <w:color w:val="000000" w:themeColor="text1"/>
        </w:rPr>
        <w:t>: KS – délka prvostupňového trestního řízení v letech 2015–</w:t>
      </w:r>
      <w:bookmarkEnd w:id="1388"/>
      <w:bookmarkEnd w:id="1389"/>
      <w:bookmarkEnd w:id="1390"/>
      <w:r w:rsidR="00936B01" w:rsidRPr="00033A3F">
        <w:rPr>
          <w:color w:val="000000" w:themeColor="text1"/>
        </w:rPr>
        <w:t>2024</w:t>
      </w:r>
      <w:bookmarkEnd w:id="1391"/>
      <w:bookmarkEnd w:id="1392"/>
      <w:bookmarkEnd w:id="1393"/>
    </w:p>
    <w:p w14:paraId="14803DA5" w14:textId="4BD49AC8" w:rsidR="007D20AD" w:rsidRPr="00033A3F" w:rsidRDefault="00873FD8" w:rsidP="007D20AD">
      <w:pPr>
        <w:rPr>
          <w:color w:val="000000" w:themeColor="text1"/>
        </w:rPr>
      </w:pPr>
      <w:r w:rsidRPr="00033A3F">
        <w:rPr>
          <w:noProof/>
          <w:color w:val="000000" w:themeColor="text1"/>
          <w:lang w:eastAsia="cs-CZ"/>
        </w:rPr>
        <w:drawing>
          <wp:inline distT="0" distB="0" distL="0" distR="0" wp14:anchorId="12E87AF5" wp14:editId="5D6B1204">
            <wp:extent cx="5029200" cy="3657600"/>
            <wp:effectExtent l="0" t="0" r="0" b="0"/>
            <wp:docPr id="97512827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551AFC" w14:textId="77777777" w:rsidR="00873FD8" w:rsidRPr="00033A3F" w:rsidRDefault="00873FD8" w:rsidP="007D20AD">
      <w:pPr>
        <w:rPr>
          <w:color w:val="000000" w:themeColor="text1"/>
        </w:rPr>
      </w:pPr>
    </w:p>
    <w:p w14:paraId="5610E6B5" w14:textId="77777777" w:rsidR="006F41D4" w:rsidRPr="00033A3F" w:rsidRDefault="006F41D4" w:rsidP="006F41D4">
      <w:pPr>
        <w:pStyle w:val="OdstavecASR"/>
        <w:rPr>
          <w:color w:val="000000" w:themeColor="text1"/>
        </w:rPr>
      </w:pPr>
      <w:r w:rsidRPr="00033A3F">
        <w:rPr>
          <w:color w:val="000000" w:themeColor="text1"/>
        </w:rPr>
        <w:t>Délky řízení jsou u krajských soudů výrazně vyšší než u soudů okresních. Vzhledem ke složitosti vyřizované agendy je to zcela logický výsledek.</w:t>
      </w:r>
    </w:p>
    <w:p w14:paraId="1AA07FDC" w14:textId="0A319D9F" w:rsidR="00873FD8" w:rsidRPr="00033A3F" w:rsidRDefault="00873FD8" w:rsidP="00873FD8">
      <w:pPr>
        <w:pStyle w:val="OdstavecASR"/>
        <w:rPr>
          <w:color w:val="000000" w:themeColor="text1"/>
        </w:rPr>
      </w:pPr>
      <w:r w:rsidRPr="00033A3F">
        <w:rPr>
          <w:color w:val="000000" w:themeColor="text1"/>
        </w:rPr>
        <w:t>V letech 2017 až 2019 poměrně výrazně vzrostl průměr a velmi dramaticky také devadesátý percentil, který po několika letech přestal klesat. V roce 2019 narostl rovněž medián. V roce 2020 mírně narostl medián, ale průměr a percentil 90 výrazně klesly. V roce 2021 klesl medián, ale průměr a percentil 90 narostly, v zásadě na úroveň roku 2019. V roce 2022 zůstal medián téměř stejný a klesl průměr a percentil 90. V roce 2023 vidíme pokles v mediánu, průměru i percentilu 90. V roce 2024 zůstaly medián a průměr na podobné úrovni</w:t>
      </w:r>
      <w:r w:rsidR="006F41D4" w:rsidRPr="00033A3F">
        <w:rPr>
          <w:color w:val="000000" w:themeColor="text1"/>
        </w:rPr>
        <w:t xml:space="preserve"> jako před rokem</w:t>
      </w:r>
      <w:r w:rsidRPr="00033A3F">
        <w:rPr>
          <w:color w:val="000000" w:themeColor="text1"/>
        </w:rPr>
        <w:t xml:space="preserve">. Medián je po prudkém poklesu </w:t>
      </w:r>
      <w:r w:rsidR="00DA49BB" w:rsidRPr="00033A3F">
        <w:rPr>
          <w:color w:val="000000" w:themeColor="text1"/>
        </w:rPr>
        <w:t xml:space="preserve">v roce 2023 </w:t>
      </w:r>
      <w:r w:rsidRPr="00033A3F">
        <w:rPr>
          <w:color w:val="000000" w:themeColor="text1"/>
        </w:rPr>
        <w:t>dokonce nejmenší za sledované období.</w:t>
      </w:r>
      <w:r w:rsidR="00DA49BB" w:rsidRPr="00033A3F">
        <w:rPr>
          <w:color w:val="000000" w:themeColor="text1"/>
        </w:rPr>
        <w:t xml:space="preserve"> Percentil 90 klesl.</w:t>
      </w:r>
    </w:p>
    <w:p w14:paraId="787D7E60" w14:textId="3BC67ECF" w:rsidR="00DA49BB" w:rsidRPr="00033A3F" w:rsidRDefault="00873FD8" w:rsidP="00952C0A">
      <w:pPr>
        <w:pStyle w:val="OdstavecASR"/>
        <w:rPr>
          <w:color w:val="000000" w:themeColor="text1"/>
        </w:rPr>
      </w:pPr>
      <w:r w:rsidRPr="00033A3F">
        <w:rPr>
          <w:color w:val="000000" w:themeColor="text1"/>
        </w:rPr>
        <w:t>Prudké změny délek řízení u jednotlivých soudů (a vlastně i rozdíly mezi soudy) jsou dány velmi malým počtem pozorování. Vliv má také to, že všechny kauzy jsou náročné na vyřízení (ve srovnání s OS), ale v náročnosti jednotlivých případů existují významné rozdíly. Změny se vzájemně obvykle</w:t>
      </w:r>
      <w:r w:rsidR="00952C0A" w:rsidRPr="00033A3F">
        <w:rPr>
          <w:color w:val="000000" w:themeColor="text1"/>
        </w:rPr>
        <w:t xml:space="preserve"> </w:t>
      </w:r>
      <w:r w:rsidR="00DA49BB" w:rsidRPr="00033A3F">
        <w:rPr>
          <w:color w:val="000000" w:themeColor="text1"/>
        </w:rPr>
        <w:lastRenderedPageBreak/>
        <w:t xml:space="preserve">vykompenzují, takže změny v celorepublikové délce řízení nejsou tak významné. I na úrovni ČR nicméně vidíme, že se délky řízení </w:t>
      </w:r>
      <w:r w:rsidR="006F41D4" w:rsidRPr="00033A3F">
        <w:rPr>
          <w:color w:val="000000" w:themeColor="text1"/>
        </w:rPr>
        <w:t xml:space="preserve">prvostupňové trestní agendy u krajských soudů </w:t>
      </w:r>
      <w:r w:rsidR="00DA49BB" w:rsidRPr="00033A3F">
        <w:rPr>
          <w:color w:val="000000" w:themeColor="text1"/>
        </w:rPr>
        <w:t>mění rychleji než u jiných agend.</w:t>
      </w:r>
    </w:p>
    <w:p w14:paraId="0166105B" w14:textId="00CDF6A0" w:rsidR="00DA49BB" w:rsidRPr="00033A3F" w:rsidRDefault="00DA49BB" w:rsidP="00DA49BB">
      <w:pPr>
        <w:pStyle w:val="Podnadpis"/>
        <w:rPr>
          <w:color w:val="000000" w:themeColor="text1"/>
        </w:rPr>
      </w:pPr>
      <w:bookmarkStart w:id="1394" w:name="_Toc515871478"/>
      <w:bookmarkStart w:id="1395" w:name="_Toc11133246"/>
      <w:bookmarkStart w:id="1396" w:name="_Toc43931225"/>
      <w:bookmarkStart w:id="1397" w:name="_Toc75952358"/>
      <w:bookmarkStart w:id="1398" w:name="_Toc106106814"/>
      <w:bookmarkStart w:id="1399" w:name="_Toc109802137"/>
      <w:bookmarkStart w:id="1400" w:name="_Toc144104295"/>
      <w:bookmarkStart w:id="1401" w:name="_Toc169251109"/>
      <w:bookmarkStart w:id="1402" w:name="_Toc174080795"/>
      <w:bookmarkStart w:id="1403" w:name="_Toc193530923"/>
      <w:bookmarkStart w:id="1404" w:name="_Toc194045620"/>
      <w:bookmarkStart w:id="1405" w:name="_Toc199495030"/>
      <w:bookmarkStart w:id="1406" w:name="_Toc203033091"/>
      <w:bookmarkStart w:id="1407" w:name="_Toc203033169"/>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49</w:t>
      </w:r>
      <w:r w:rsidRPr="00033A3F">
        <w:rPr>
          <w:noProof/>
          <w:color w:val="000000" w:themeColor="text1"/>
        </w:rPr>
        <w:fldChar w:fldCharType="end"/>
      </w:r>
      <w:r w:rsidRPr="00033A3F">
        <w:rPr>
          <w:color w:val="000000" w:themeColor="text1"/>
        </w:rPr>
        <w:t>: KS – délky prvostupňového trestního řízení dle soudů</w:t>
      </w:r>
      <w:bookmarkEnd w:id="1394"/>
      <w:bookmarkEnd w:id="1395"/>
      <w:bookmarkEnd w:id="1396"/>
      <w:bookmarkEnd w:id="1397"/>
      <w:bookmarkEnd w:id="1398"/>
      <w:bookmarkEnd w:id="1399"/>
      <w:bookmarkEnd w:id="1400"/>
      <w:r w:rsidRPr="00033A3F">
        <w:rPr>
          <w:color w:val="000000" w:themeColor="text1"/>
        </w:rPr>
        <w:t>, 202</w:t>
      </w:r>
      <w:bookmarkEnd w:id="1401"/>
      <w:bookmarkEnd w:id="1402"/>
      <w:r w:rsidRPr="00033A3F">
        <w:rPr>
          <w:color w:val="000000" w:themeColor="text1"/>
        </w:rPr>
        <w:t>4</w:t>
      </w:r>
      <w:bookmarkEnd w:id="1403"/>
      <w:bookmarkEnd w:id="1404"/>
      <w:bookmarkEnd w:id="1405"/>
      <w:bookmarkEnd w:id="1406"/>
      <w:bookmarkEnd w:id="1407"/>
    </w:p>
    <w:tbl>
      <w:tblPr>
        <w:tblW w:w="8364" w:type="dxa"/>
        <w:tblLayout w:type="fixed"/>
        <w:tblCellMar>
          <w:left w:w="70" w:type="dxa"/>
          <w:right w:w="70" w:type="dxa"/>
        </w:tblCellMar>
        <w:tblLook w:val="04A0" w:firstRow="1" w:lastRow="0" w:firstColumn="1" w:lastColumn="0" w:noHBand="0" w:noVBand="1"/>
      </w:tblPr>
      <w:tblGrid>
        <w:gridCol w:w="2480"/>
        <w:gridCol w:w="1064"/>
        <w:gridCol w:w="897"/>
        <w:gridCol w:w="1088"/>
        <w:gridCol w:w="873"/>
        <w:gridCol w:w="1111"/>
        <w:gridCol w:w="851"/>
      </w:tblGrid>
      <w:tr w:rsidR="00874E8D" w:rsidRPr="00033A3F" w14:paraId="278A3B5D"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BC28EB7" w14:textId="48FB92E8" w:rsidR="00874E8D" w:rsidRPr="00033A3F" w:rsidRDefault="0076608D" w:rsidP="007660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874E8D" w:rsidRPr="00033A3F">
              <w:rPr>
                <w:rFonts w:eastAsia="Times New Roman"/>
                <w:b/>
                <w:bCs/>
                <w:color w:val="000000" w:themeColor="text1"/>
                <w:szCs w:val="24"/>
                <w:lang w:eastAsia="cs-CZ"/>
              </w:rPr>
              <w:t>oud</w:t>
            </w:r>
          </w:p>
        </w:tc>
        <w:tc>
          <w:tcPr>
            <w:tcW w:w="5884" w:type="dxa"/>
            <w:gridSpan w:val="6"/>
            <w:tcBorders>
              <w:top w:val="double" w:sz="6" w:space="0" w:color="auto"/>
              <w:left w:val="nil"/>
              <w:bottom w:val="nil"/>
              <w:right w:val="nil"/>
            </w:tcBorders>
            <w:shd w:val="clear" w:color="auto" w:fill="auto"/>
            <w:noWrap/>
            <w:vAlign w:val="center"/>
            <w:hideMark/>
          </w:tcPr>
          <w:p w14:paraId="21E9F5DF"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BF0CC3" w:rsidRPr="00033A3F" w14:paraId="2E308AD1" w14:textId="77777777" w:rsidTr="0076608D">
        <w:trPr>
          <w:trHeight w:val="330"/>
        </w:trPr>
        <w:tc>
          <w:tcPr>
            <w:tcW w:w="2480" w:type="dxa"/>
            <w:vMerge/>
            <w:tcBorders>
              <w:top w:val="double" w:sz="6" w:space="0" w:color="auto"/>
              <w:left w:val="nil"/>
              <w:bottom w:val="double" w:sz="6" w:space="0" w:color="000000"/>
              <w:right w:val="nil"/>
            </w:tcBorders>
            <w:vAlign w:val="center"/>
            <w:hideMark/>
          </w:tcPr>
          <w:p w14:paraId="7D141FF8" w14:textId="77777777" w:rsidR="00874E8D" w:rsidRPr="00033A3F" w:rsidRDefault="00874E8D" w:rsidP="00874E8D">
            <w:pPr>
              <w:spacing w:line="240" w:lineRule="auto"/>
              <w:jc w:val="left"/>
              <w:rPr>
                <w:rFonts w:eastAsia="Times New Roman"/>
                <w:b/>
                <w:bCs/>
                <w:color w:val="000000" w:themeColor="text1"/>
                <w:szCs w:val="24"/>
                <w:lang w:eastAsia="cs-CZ"/>
              </w:rPr>
            </w:pPr>
          </w:p>
        </w:tc>
        <w:tc>
          <w:tcPr>
            <w:tcW w:w="1961" w:type="dxa"/>
            <w:gridSpan w:val="2"/>
            <w:tcBorders>
              <w:top w:val="nil"/>
              <w:left w:val="nil"/>
              <w:bottom w:val="double" w:sz="6" w:space="0" w:color="auto"/>
              <w:right w:val="nil"/>
            </w:tcBorders>
            <w:shd w:val="clear" w:color="auto" w:fill="auto"/>
            <w:noWrap/>
            <w:vAlign w:val="center"/>
            <w:hideMark/>
          </w:tcPr>
          <w:p w14:paraId="081B6E59"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96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F650C8C"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962" w:type="dxa"/>
            <w:gridSpan w:val="2"/>
            <w:tcBorders>
              <w:top w:val="nil"/>
              <w:left w:val="nil"/>
              <w:bottom w:val="double" w:sz="6" w:space="0" w:color="auto"/>
              <w:right w:val="nil"/>
            </w:tcBorders>
            <w:shd w:val="clear" w:color="auto" w:fill="auto"/>
            <w:noWrap/>
            <w:vAlign w:val="center"/>
            <w:hideMark/>
          </w:tcPr>
          <w:p w14:paraId="029F23E4"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BF0CC3" w:rsidRPr="00033A3F" w14:paraId="19C53E34" w14:textId="77777777" w:rsidTr="0076608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74A351E"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bottom"/>
            <w:hideMark/>
          </w:tcPr>
          <w:p w14:paraId="14E48B6E"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600</w:t>
            </w:r>
          </w:p>
        </w:tc>
        <w:tc>
          <w:tcPr>
            <w:tcW w:w="897" w:type="dxa"/>
            <w:tcBorders>
              <w:top w:val="single" w:sz="4" w:space="0" w:color="auto"/>
              <w:left w:val="nil"/>
              <w:bottom w:val="single" w:sz="4" w:space="0" w:color="auto"/>
              <w:right w:val="nil"/>
            </w:tcBorders>
            <w:shd w:val="clear" w:color="auto" w:fill="auto"/>
            <w:noWrap/>
            <w:vAlign w:val="center"/>
            <w:hideMark/>
          </w:tcPr>
          <w:p w14:paraId="1EC5B209" w14:textId="763FA199"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88" w:type="dxa"/>
            <w:tcBorders>
              <w:top w:val="nil"/>
              <w:left w:val="single" w:sz="4" w:space="0" w:color="auto"/>
              <w:bottom w:val="single" w:sz="4" w:space="0" w:color="auto"/>
              <w:right w:val="nil"/>
            </w:tcBorders>
            <w:shd w:val="clear" w:color="auto" w:fill="auto"/>
            <w:noWrap/>
            <w:vAlign w:val="bottom"/>
            <w:hideMark/>
          </w:tcPr>
          <w:p w14:paraId="214BCA27"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235</w:t>
            </w:r>
          </w:p>
        </w:tc>
        <w:tc>
          <w:tcPr>
            <w:tcW w:w="873" w:type="dxa"/>
            <w:tcBorders>
              <w:top w:val="nil"/>
              <w:left w:val="nil"/>
              <w:bottom w:val="single" w:sz="4" w:space="0" w:color="auto"/>
              <w:right w:val="single" w:sz="4" w:space="0" w:color="auto"/>
            </w:tcBorders>
            <w:shd w:val="clear" w:color="auto" w:fill="auto"/>
            <w:noWrap/>
            <w:vAlign w:val="center"/>
            <w:hideMark/>
          </w:tcPr>
          <w:p w14:paraId="73970D8F" w14:textId="02276A30"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11" w:type="dxa"/>
            <w:tcBorders>
              <w:top w:val="single" w:sz="4" w:space="0" w:color="auto"/>
              <w:left w:val="nil"/>
              <w:bottom w:val="single" w:sz="4" w:space="0" w:color="auto"/>
              <w:right w:val="nil"/>
            </w:tcBorders>
            <w:shd w:val="clear" w:color="auto" w:fill="auto"/>
            <w:noWrap/>
            <w:vAlign w:val="bottom"/>
            <w:hideMark/>
          </w:tcPr>
          <w:p w14:paraId="04F02D86" w14:textId="3D2173CD"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430</w:t>
            </w:r>
          </w:p>
        </w:tc>
        <w:tc>
          <w:tcPr>
            <w:tcW w:w="851" w:type="dxa"/>
            <w:tcBorders>
              <w:top w:val="single" w:sz="4" w:space="0" w:color="auto"/>
              <w:left w:val="nil"/>
              <w:bottom w:val="single" w:sz="4" w:space="0" w:color="auto"/>
              <w:right w:val="nil"/>
            </w:tcBorders>
            <w:shd w:val="clear" w:color="auto" w:fill="auto"/>
            <w:noWrap/>
            <w:vAlign w:val="center"/>
            <w:hideMark/>
          </w:tcPr>
          <w:p w14:paraId="0D0F29DA" w14:textId="47645A70"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BF0CC3" w:rsidRPr="00033A3F" w14:paraId="7C81EC5A"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3EF01899"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64" w:type="dxa"/>
            <w:tcBorders>
              <w:top w:val="nil"/>
              <w:left w:val="nil"/>
              <w:bottom w:val="single" w:sz="4" w:space="0" w:color="auto"/>
              <w:right w:val="nil"/>
            </w:tcBorders>
            <w:shd w:val="clear" w:color="auto" w:fill="auto"/>
            <w:noWrap/>
            <w:vAlign w:val="bottom"/>
            <w:hideMark/>
          </w:tcPr>
          <w:p w14:paraId="1BEC78E8"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341</w:t>
            </w:r>
          </w:p>
        </w:tc>
        <w:tc>
          <w:tcPr>
            <w:tcW w:w="897" w:type="dxa"/>
            <w:tcBorders>
              <w:top w:val="nil"/>
              <w:left w:val="nil"/>
              <w:bottom w:val="single" w:sz="4" w:space="0" w:color="auto"/>
              <w:right w:val="nil"/>
            </w:tcBorders>
            <w:shd w:val="clear" w:color="auto" w:fill="auto"/>
            <w:noWrap/>
            <w:vAlign w:val="center"/>
            <w:hideMark/>
          </w:tcPr>
          <w:p w14:paraId="59E70F28" w14:textId="6FEE58CB"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1088" w:type="dxa"/>
            <w:tcBorders>
              <w:top w:val="nil"/>
              <w:left w:val="single" w:sz="4" w:space="0" w:color="auto"/>
              <w:bottom w:val="single" w:sz="4" w:space="0" w:color="auto"/>
              <w:right w:val="nil"/>
            </w:tcBorders>
            <w:shd w:val="clear" w:color="auto" w:fill="auto"/>
            <w:noWrap/>
            <w:vAlign w:val="bottom"/>
            <w:hideMark/>
          </w:tcPr>
          <w:p w14:paraId="103D5830"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w:t>
            </w:r>
          </w:p>
        </w:tc>
        <w:tc>
          <w:tcPr>
            <w:tcW w:w="873" w:type="dxa"/>
            <w:tcBorders>
              <w:top w:val="nil"/>
              <w:left w:val="nil"/>
              <w:bottom w:val="single" w:sz="4" w:space="0" w:color="auto"/>
              <w:right w:val="single" w:sz="4" w:space="0" w:color="auto"/>
            </w:tcBorders>
            <w:shd w:val="clear" w:color="auto" w:fill="auto"/>
            <w:noWrap/>
            <w:vAlign w:val="center"/>
            <w:hideMark/>
          </w:tcPr>
          <w:p w14:paraId="1C6CD712" w14:textId="25D16958"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1111" w:type="dxa"/>
            <w:tcBorders>
              <w:top w:val="nil"/>
              <w:left w:val="nil"/>
              <w:bottom w:val="single" w:sz="4" w:space="0" w:color="auto"/>
              <w:right w:val="nil"/>
            </w:tcBorders>
            <w:shd w:val="clear" w:color="auto" w:fill="auto"/>
            <w:noWrap/>
            <w:vAlign w:val="bottom"/>
            <w:hideMark/>
          </w:tcPr>
          <w:p w14:paraId="168398C5" w14:textId="6DC329B6"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194</w:t>
            </w:r>
          </w:p>
        </w:tc>
        <w:tc>
          <w:tcPr>
            <w:tcW w:w="851" w:type="dxa"/>
            <w:tcBorders>
              <w:top w:val="nil"/>
              <w:left w:val="nil"/>
              <w:bottom w:val="single" w:sz="4" w:space="0" w:color="auto"/>
              <w:right w:val="nil"/>
            </w:tcBorders>
            <w:shd w:val="clear" w:color="auto" w:fill="auto"/>
            <w:noWrap/>
            <w:vAlign w:val="center"/>
            <w:hideMark/>
          </w:tcPr>
          <w:p w14:paraId="51887F21" w14:textId="732415AA"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+72 %</w:t>
            </w:r>
          </w:p>
        </w:tc>
      </w:tr>
      <w:tr w:rsidR="00BF0CC3" w:rsidRPr="00033A3F" w14:paraId="6813F894"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1F5530F5"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64" w:type="dxa"/>
            <w:tcBorders>
              <w:top w:val="nil"/>
              <w:left w:val="nil"/>
              <w:bottom w:val="single" w:sz="4" w:space="0" w:color="auto"/>
              <w:right w:val="nil"/>
            </w:tcBorders>
            <w:shd w:val="clear" w:color="auto" w:fill="auto"/>
            <w:noWrap/>
            <w:vAlign w:val="bottom"/>
            <w:hideMark/>
          </w:tcPr>
          <w:p w14:paraId="2243EF03"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336</w:t>
            </w:r>
          </w:p>
        </w:tc>
        <w:tc>
          <w:tcPr>
            <w:tcW w:w="897" w:type="dxa"/>
            <w:tcBorders>
              <w:top w:val="nil"/>
              <w:left w:val="nil"/>
              <w:bottom w:val="single" w:sz="4" w:space="0" w:color="auto"/>
              <w:right w:val="nil"/>
            </w:tcBorders>
            <w:shd w:val="clear" w:color="auto" w:fill="auto"/>
            <w:noWrap/>
            <w:vAlign w:val="center"/>
            <w:hideMark/>
          </w:tcPr>
          <w:p w14:paraId="23350EEC" w14:textId="4A5FFFF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-48 %</w:t>
            </w:r>
          </w:p>
        </w:tc>
        <w:tc>
          <w:tcPr>
            <w:tcW w:w="1088" w:type="dxa"/>
            <w:tcBorders>
              <w:top w:val="nil"/>
              <w:left w:val="single" w:sz="4" w:space="0" w:color="auto"/>
              <w:bottom w:val="single" w:sz="4" w:space="0" w:color="auto"/>
              <w:right w:val="nil"/>
            </w:tcBorders>
            <w:shd w:val="clear" w:color="auto" w:fill="auto"/>
            <w:noWrap/>
            <w:vAlign w:val="bottom"/>
            <w:hideMark/>
          </w:tcPr>
          <w:p w14:paraId="458A3C7D"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232</w:t>
            </w:r>
          </w:p>
        </w:tc>
        <w:tc>
          <w:tcPr>
            <w:tcW w:w="873" w:type="dxa"/>
            <w:tcBorders>
              <w:top w:val="nil"/>
              <w:left w:val="nil"/>
              <w:bottom w:val="single" w:sz="4" w:space="0" w:color="auto"/>
              <w:right w:val="single" w:sz="4" w:space="0" w:color="auto"/>
            </w:tcBorders>
            <w:shd w:val="clear" w:color="auto" w:fill="auto"/>
            <w:noWrap/>
            <w:vAlign w:val="center"/>
            <w:hideMark/>
          </w:tcPr>
          <w:p w14:paraId="633F6F8F" w14:textId="5FEC4FAB"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111" w:type="dxa"/>
            <w:tcBorders>
              <w:top w:val="nil"/>
              <w:left w:val="nil"/>
              <w:bottom w:val="single" w:sz="4" w:space="0" w:color="auto"/>
              <w:right w:val="nil"/>
            </w:tcBorders>
            <w:shd w:val="clear" w:color="auto" w:fill="auto"/>
            <w:noWrap/>
            <w:vAlign w:val="bottom"/>
            <w:hideMark/>
          </w:tcPr>
          <w:p w14:paraId="13A7AD39"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685</w:t>
            </w:r>
          </w:p>
        </w:tc>
        <w:tc>
          <w:tcPr>
            <w:tcW w:w="851" w:type="dxa"/>
            <w:tcBorders>
              <w:top w:val="nil"/>
              <w:left w:val="nil"/>
              <w:bottom w:val="single" w:sz="4" w:space="0" w:color="auto"/>
              <w:right w:val="nil"/>
            </w:tcBorders>
            <w:shd w:val="clear" w:color="auto" w:fill="auto"/>
            <w:noWrap/>
            <w:vAlign w:val="center"/>
            <w:hideMark/>
          </w:tcPr>
          <w:p w14:paraId="22AD293E" w14:textId="07B94D42"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-56 %</w:t>
            </w:r>
          </w:p>
        </w:tc>
      </w:tr>
      <w:tr w:rsidR="00BF0CC3" w:rsidRPr="00033A3F" w14:paraId="5A23E0FB"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6134236D"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64" w:type="dxa"/>
            <w:tcBorders>
              <w:top w:val="nil"/>
              <w:left w:val="nil"/>
              <w:bottom w:val="single" w:sz="4" w:space="0" w:color="auto"/>
              <w:right w:val="nil"/>
            </w:tcBorders>
            <w:shd w:val="clear" w:color="auto" w:fill="auto"/>
            <w:noWrap/>
            <w:vAlign w:val="bottom"/>
            <w:hideMark/>
          </w:tcPr>
          <w:p w14:paraId="283FE863"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337</w:t>
            </w:r>
          </w:p>
        </w:tc>
        <w:tc>
          <w:tcPr>
            <w:tcW w:w="897" w:type="dxa"/>
            <w:tcBorders>
              <w:top w:val="nil"/>
              <w:left w:val="nil"/>
              <w:bottom w:val="single" w:sz="4" w:space="0" w:color="auto"/>
              <w:right w:val="nil"/>
            </w:tcBorders>
            <w:shd w:val="clear" w:color="auto" w:fill="auto"/>
            <w:noWrap/>
            <w:vAlign w:val="center"/>
            <w:hideMark/>
          </w:tcPr>
          <w:p w14:paraId="36C2E4FF" w14:textId="6AD5934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088" w:type="dxa"/>
            <w:tcBorders>
              <w:top w:val="nil"/>
              <w:left w:val="single" w:sz="4" w:space="0" w:color="auto"/>
              <w:bottom w:val="single" w:sz="4" w:space="0" w:color="auto"/>
              <w:right w:val="nil"/>
            </w:tcBorders>
            <w:shd w:val="clear" w:color="auto" w:fill="auto"/>
            <w:noWrap/>
            <w:vAlign w:val="bottom"/>
            <w:hideMark/>
          </w:tcPr>
          <w:p w14:paraId="6DD7EBF7"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213</w:t>
            </w:r>
          </w:p>
        </w:tc>
        <w:tc>
          <w:tcPr>
            <w:tcW w:w="873" w:type="dxa"/>
            <w:tcBorders>
              <w:top w:val="nil"/>
              <w:left w:val="nil"/>
              <w:bottom w:val="single" w:sz="4" w:space="0" w:color="auto"/>
              <w:right w:val="single" w:sz="4" w:space="0" w:color="auto"/>
            </w:tcBorders>
            <w:shd w:val="clear" w:color="auto" w:fill="auto"/>
            <w:noWrap/>
            <w:vAlign w:val="center"/>
            <w:hideMark/>
          </w:tcPr>
          <w:p w14:paraId="0F846110" w14:textId="1E80BEE7"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+53 %</w:t>
            </w:r>
          </w:p>
        </w:tc>
        <w:tc>
          <w:tcPr>
            <w:tcW w:w="1111" w:type="dxa"/>
            <w:tcBorders>
              <w:top w:val="nil"/>
              <w:left w:val="nil"/>
              <w:bottom w:val="single" w:sz="4" w:space="0" w:color="auto"/>
              <w:right w:val="nil"/>
            </w:tcBorders>
            <w:shd w:val="clear" w:color="auto" w:fill="auto"/>
            <w:noWrap/>
            <w:vAlign w:val="bottom"/>
            <w:hideMark/>
          </w:tcPr>
          <w:p w14:paraId="648C5FE1"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483</w:t>
            </w:r>
          </w:p>
        </w:tc>
        <w:tc>
          <w:tcPr>
            <w:tcW w:w="851" w:type="dxa"/>
            <w:tcBorders>
              <w:top w:val="nil"/>
              <w:left w:val="nil"/>
              <w:bottom w:val="single" w:sz="4" w:space="0" w:color="auto"/>
              <w:right w:val="nil"/>
            </w:tcBorders>
            <w:shd w:val="clear" w:color="auto" w:fill="auto"/>
            <w:noWrap/>
            <w:vAlign w:val="center"/>
            <w:hideMark/>
          </w:tcPr>
          <w:p w14:paraId="784715FF" w14:textId="4C2853C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-61 %</w:t>
            </w:r>
          </w:p>
        </w:tc>
      </w:tr>
      <w:tr w:rsidR="00BF0CC3" w:rsidRPr="00033A3F" w14:paraId="56C71AF9"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2D7AD513"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64" w:type="dxa"/>
            <w:tcBorders>
              <w:top w:val="nil"/>
              <w:left w:val="nil"/>
              <w:bottom w:val="single" w:sz="4" w:space="0" w:color="auto"/>
              <w:right w:val="nil"/>
            </w:tcBorders>
            <w:shd w:val="clear" w:color="auto" w:fill="auto"/>
            <w:noWrap/>
            <w:vAlign w:val="bottom"/>
            <w:hideMark/>
          </w:tcPr>
          <w:p w14:paraId="5C4D1636"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482</w:t>
            </w:r>
          </w:p>
        </w:tc>
        <w:tc>
          <w:tcPr>
            <w:tcW w:w="897" w:type="dxa"/>
            <w:tcBorders>
              <w:top w:val="nil"/>
              <w:left w:val="nil"/>
              <w:bottom w:val="single" w:sz="4" w:space="0" w:color="auto"/>
              <w:right w:val="nil"/>
            </w:tcBorders>
            <w:shd w:val="clear" w:color="auto" w:fill="auto"/>
            <w:noWrap/>
            <w:vAlign w:val="center"/>
            <w:hideMark/>
          </w:tcPr>
          <w:p w14:paraId="145A0D6E" w14:textId="42239592"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88" w:type="dxa"/>
            <w:tcBorders>
              <w:top w:val="nil"/>
              <w:left w:val="single" w:sz="4" w:space="0" w:color="auto"/>
              <w:bottom w:val="single" w:sz="4" w:space="0" w:color="auto"/>
              <w:right w:val="nil"/>
            </w:tcBorders>
            <w:shd w:val="clear" w:color="auto" w:fill="auto"/>
            <w:noWrap/>
            <w:vAlign w:val="bottom"/>
            <w:hideMark/>
          </w:tcPr>
          <w:p w14:paraId="5DC1F972"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266</w:t>
            </w:r>
          </w:p>
        </w:tc>
        <w:tc>
          <w:tcPr>
            <w:tcW w:w="873" w:type="dxa"/>
            <w:tcBorders>
              <w:top w:val="nil"/>
              <w:left w:val="nil"/>
              <w:bottom w:val="single" w:sz="4" w:space="0" w:color="auto"/>
              <w:right w:val="single" w:sz="4" w:space="0" w:color="auto"/>
            </w:tcBorders>
            <w:shd w:val="clear" w:color="auto" w:fill="auto"/>
            <w:noWrap/>
            <w:vAlign w:val="center"/>
            <w:hideMark/>
          </w:tcPr>
          <w:p w14:paraId="758B6500" w14:textId="6A2DE16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+93 %</w:t>
            </w:r>
          </w:p>
        </w:tc>
        <w:tc>
          <w:tcPr>
            <w:tcW w:w="1111" w:type="dxa"/>
            <w:tcBorders>
              <w:top w:val="nil"/>
              <w:left w:val="nil"/>
              <w:bottom w:val="single" w:sz="4" w:space="0" w:color="auto"/>
              <w:right w:val="nil"/>
            </w:tcBorders>
            <w:shd w:val="clear" w:color="auto" w:fill="auto"/>
            <w:noWrap/>
            <w:vAlign w:val="bottom"/>
            <w:hideMark/>
          </w:tcPr>
          <w:p w14:paraId="7FAEA1FD" w14:textId="7D2DCED6"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152</w:t>
            </w:r>
          </w:p>
        </w:tc>
        <w:tc>
          <w:tcPr>
            <w:tcW w:w="851" w:type="dxa"/>
            <w:tcBorders>
              <w:top w:val="nil"/>
              <w:left w:val="nil"/>
              <w:bottom w:val="single" w:sz="4" w:space="0" w:color="auto"/>
              <w:right w:val="nil"/>
            </w:tcBorders>
            <w:shd w:val="clear" w:color="auto" w:fill="auto"/>
            <w:noWrap/>
            <w:vAlign w:val="center"/>
            <w:hideMark/>
          </w:tcPr>
          <w:p w14:paraId="698963D0" w14:textId="6164E971"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BF0CC3" w:rsidRPr="00033A3F" w14:paraId="74C132AB"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2F629854"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64" w:type="dxa"/>
            <w:tcBorders>
              <w:top w:val="nil"/>
              <w:left w:val="nil"/>
              <w:bottom w:val="single" w:sz="4" w:space="0" w:color="auto"/>
              <w:right w:val="nil"/>
            </w:tcBorders>
            <w:shd w:val="clear" w:color="auto" w:fill="auto"/>
            <w:noWrap/>
            <w:vAlign w:val="bottom"/>
            <w:hideMark/>
          </w:tcPr>
          <w:p w14:paraId="747A8822"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187</w:t>
            </w:r>
          </w:p>
        </w:tc>
        <w:tc>
          <w:tcPr>
            <w:tcW w:w="897" w:type="dxa"/>
            <w:tcBorders>
              <w:top w:val="nil"/>
              <w:left w:val="nil"/>
              <w:bottom w:val="single" w:sz="4" w:space="0" w:color="auto"/>
              <w:right w:val="nil"/>
            </w:tcBorders>
            <w:shd w:val="clear" w:color="auto" w:fill="auto"/>
            <w:noWrap/>
            <w:vAlign w:val="center"/>
            <w:hideMark/>
          </w:tcPr>
          <w:p w14:paraId="1BC57458" w14:textId="775C7E12"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-60 %</w:t>
            </w:r>
          </w:p>
        </w:tc>
        <w:tc>
          <w:tcPr>
            <w:tcW w:w="1088" w:type="dxa"/>
            <w:tcBorders>
              <w:top w:val="nil"/>
              <w:left w:val="single" w:sz="4" w:space="0" w:color="auto"/>
              <w:bottom w:val="single" w:sz="4" w:space="0" w:color="auto"/>
              <w:right w:val="nil"/>
            </w:tcBorders>
            <w:shd w:val="clear" w:color="auto" w:fill="auto"/>
            <w:noWrap/>
            <w:vAlign w:val="bottom"/>
            <w:hideMark/>
          </w:tcPr>
          <w:p w14:paraId="010D0E58"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873" w:type="dxa"/>
            <w:tcBorders>
              <w:top w:val="nil"/>
              <w:left w:val="nil"/>
              <w:bottom w:val="single" w:sz="4" w:space="0" w:color="auto"/>
              <w:right w:val="single" w:sz="4" w:space="0" w:color="auto"/>
            </w:tcBorders>
            <w:shd w:val="clear" w:color="auto" w:fill="auto"/>
            <w:noWrap/>
            <w:vAlign w:val="center"/>
            <w:hideMark/>
          </w:tcPr>
          <w:p w14:paraId="6CEBE62F" w14:textId="325D7991"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11" w:type="dxa"/>
            <w:tcBorders>
              <w:top w:val="nil"/>
              <w:left w:val="nil"/>
              <w:bottom w:val="single" w:sz="4" w:space="0" w:color="auto"/>
              <w:right w:val="nil"/>
            </w:tcBorders>
            <w:shd w:val="clear" w:color="auto" w:fill="auto"/>
            <w:noWrap/>
            <w:vAlign w:val="bottom"/>
            <w:hideMark/>
          </w:tcPr>
          <w:p w14:paraId="30EA9D53"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427</w:t>
            </w:r>
          </w:p>
        </w:tc>
        <w:tc>
          <w:tcPr>
            <w:tcW w:w="851" w:type="dxa"/>
            <w:tcBorders>
              <w:top w:val="nil"/>
              <w:left w:val="nil"/>
              <w:bottom w:val="single" w:sz="4" w:space="0" w:color="auto"/>
              <w:right w:val="nil"/>
            </w:tcBorders>
            <w:shd w:val="clear" w:color="auto" w:fill="auto"/>
            <w:noWrap/>
            <w:vAlign w:val="center"/>
            <w:hideMark/>
          </w:tcPr>
          <w:p w14:paraId="33A24F19" w14:textId="470D816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-71 %</w:t>
            </w:r>
          </w:p>
        </w:tc>
      </w:tr>
      <w:tr w:rsidR="00BF0CC3" w:rsidRPr="00033A3F" w14:paraId="47139C3A"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32C1B9FD"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64" w:type="dxa"/>
            <w:tcBorders>
              <w:top w:val="nil"/>
              <w:left w:val="nil"/>
              <w:bottom w:val="single" w:sz="4" w:space="0" w:color="auto"/>
              <w:right w:val="nil"/>
            </w:tcBorders>
            <w:shd w:val="clear" w:color="auto" w:fill="auto"/>
            <w:noWrap/>
            <w:vAlign w:val="bottom"/>
            <w:hideMark/>
          </w:tcPr>
          <w:p w14:paraId="4D090017"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484</w:t>
            </w:r>
          </w:p>
        </w:tc>
        <w:tc>
          <w:tcPr>
            <w:tcW w:w="897" w:type="dxa"/>
            <w:tcBorders>
              <w:top w:val="nil"/>
              <w:left w:val="nil"/>
              <w:bottom w:val="single" w:sz="4" w:space="0" w:color="auto"/>
              <w:right w:val="nil"/>
            </w:tcBorders>
            <w:shd w:val="clear" w:color="auto" w:fill="auto"/>
            <w:noWrap/>
            <w:vAlign w:val="center"/>
            <w:hideMark/>
          </w:tcPr>
          <w:p w14:paraId="6D5562BF" w14:textId="6C2AEC97"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088" w:type="dxa"/>
            <w:tcBorders>
              <w:top w:val="nil"/>
              <w:left w:val="single" w:sz="4" w:space="0" w:color="auto"/>
              <w:bottom w:val="single" w:sz="4" w:space="0" w:color="auto"/>
              <w:right w:val="nil"/>
            </w:tcBorders>
            <w:shd w:val="clear" w:color="auto" w:fill="auto"/>
            <w:noWrap/>
            <w:vAlign w:val="bottom"/>
            <w:hideMark/>
          </w:tcPr>
          <w:p w14:paraId="7FBA24E8"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163</w:t>
            </w:r>
          </w:p>
        </w:tc>
        <w:tc>
          <w:tcPr>
            <w:tcW w:w="873" w:type="dxa"/>
            <w:tcBorders>
              <w:top w:val="nil"/>
              <w:left w:val="nil"/>
              <w:bottom w:val="single" w:sz="4" w:space="0" w:color="auto"/>
              <w:right w:val="single" w:sz="4" w:space="0" w:color="auto"/>
            </w:tcBorders>
            <w:shd w:val="clear" w:color="auto" w:fill="auto"/>
            <w:noWrap/>
            <w:vAlign w:val="center"/>
            <w:hideMark/>
          </w:tcPr>
          <w:p w14:paraId="2326CB4C" w14:textId="45C34D53"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111" w:type="dxa"/>
            <w:tcBorders>
              <w:top w:val="nil"/>
              <w:left w:val="nil"/>
              <w:bottom w:val="single" w:sz="4" w:space="0" w:color="auto"/>
              <w:right w:val="nil"/>
            </w:tcBorders>
            <w:shd w:val="clear" w:color="auto" w:fill="auto"/>
            <w:noWrap/>
            <w:vAlign w:val="bottom"/>
            <w:hideMark/>
          </w:tcPr>
          <w:p w14:paraId="2251F58F" w14:textId="707A355A"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667</w:t>
            </w:r>
          </w:p>
        </w:tc>
        <w:tc>
          <w:tcPr>
            <w:tcW w:w="851" w:type="dxa"/>
            <w:tcBorders>
              <w:top w:val="nil"/>
              <w:left w:val="nil"/>
              <w:bottom w:val="single" w:sz="4" w:space="0" w:color="auto"/>
              <w:right w:val="nil"/>
            </w:tcBorders>
            <w:shd w:val="clear" w:color="auto" w:fill="auto"/>
            <w:noWrap/>
            <w:vAlign w:val="center"/>
            <w:hideMark/>
          </w:tcPr>
          <w:p w14:paraId="3D462559" w14:textId="1B5DB37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+32 %</w:t>
            </w:r>
          </w:p>
        </w:tc>
      </w:tr>
      <w:tr w:rsidR="00BF0CC3" w:rsidRPr="00033A3F" w14:paraId="45B90270" w14:textId="77777777" w:rsidTr="0076608D">
        <w:trPr>
          <w:trHeight w:val="330"/>
        </w:trPr>
        <w:tc>
          <w:tcPr>
            <w:tcW w:w="2480" w:type="dxa"/>
            <w:tcBorders>
              <w:top w:val="nil"/>
              <w:left w:val="nil"/>
              <w:bottom w:val="double" w:sz="6" w:space="0" w:color="auto"/>
              <w:right w:val="nil"/>
            </w:tcBorders>
            <w:shd w:val="clear" w:color="auto" w:fill="auto"/>
            <w:noWrap/>
            <w:vAlign w:val="bottom"/>
            <w:hideMark/>
          </w:tcPr>
          <w:p w14:paraId="565D2F31"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64" w:type="dxa"/>
            <w:tcBorders>
              <w:top w:val="nil"/>
              <w:left w:val="nil"/>
              <w:bottom w:val="double" w:sz="6" w:space="0" w:color="auto"/>
              <w:right w:val="nil"/>
            </w:tcBorders>
            <w:shd w:val="clear" w:color="auto" w:fill="auto"/>
            <w:noWrap/>
            <w:vAlign w:val="bottom"/>
            <w:hideMark/>
          </w:tcPr>
          <w:p w14:paraId="4FE847A3"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544</w:t>
            </w:r>
          </w:p>
        </w:tc>
        <w:tc>
          <w:tcPr>
            <w:tcW w:w="897" w:type="dxa"/>
            <w:tcBorders>
              <w:top w:val="nil"/>
              <w:left w:val="nil"/>
              <w:bottom w:val="double" w:sz="6" w:space="0" w:color="auto"/>
              <w:right w:val="nil"/>
            </w:tcBorders>
            <w:shd w:val="clear" w:color="auto" w:fill="auto"/>
            <w:noWrap/>
            <w:vAlign w:val="center"/>
            <w:hideMark/>
          </w:tcPr>
          <w:p w14:paraId="1D111414" w14:textId="74BB6433"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c>
          <w:tcPr>
            <w:tcW w:w="1088" w:type="dxa"/>
            <w:tcBorders>
              <w:top w:val="nil"/>
              <w:left w:val="single" w:sz="4" w:space="0" w:color="auto"/>
              <w:bottom w:val="double" w:sz="6" w:space="0" w:color="auto"/>
              <w:right w:val="nil"/>
            </w:tcBorders>
            <w:shd w:val="clear" w:color="auto" w:fill="auto"/>
            <w:noWrap/>
            <w:vAlign w:val="bottom"/>
            <w:hideMark/>
          </w:tcPr>
          <w:p w14:paraId="333C1144"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124</w:t>
            </w:r>
          </w:p>
        </w:tc>
        <w:tc>
          <w:tcPr>
            <w:tcW w:w="873" w:type="dxa"/>
            <w:tcBorders>
              <w:top w:val="nil"/>
              <w:left w:val="nil"/>
              <w:bottom w:val="double" w:sz="6" w:space="0" w:color="auto"/>
              <w:right w:val="single" w:sz="4" w:space="0" w:color="auto"/>
            </w:tcBorders>
            <w:shd w:val="clear" w:color="auto" w:fill="auto"/>
            <w:noWrap/>
            <w:vAlign w:val="center"/>
            <w:hideMark/>
          </w:tcPr>
          <w:p w14:paraId="226F3AEB" w14:textId="53FFF5A8"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111" w:type="dxa"/>
            <w:tcBorders>
              <w:top w:val="nil"/>
              <w:left w:val="nil"/>
              <w:bottom w:val="double" w:sz="6" w:space="0" w:color="auto"/>
              <w:right w:val="nil"/>
            </w:tcBorders>
            <w:shd w:val="clear" w:color="auto" w:fill="auto"/>
            <w:noWrap/>
            <w:vAlign w:val="bottom"/>
            <w:hideMark/>
          </w:tcPr>
          <w:p w14:paraId="2033FB5A" w14:textId="1D80150F"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796</w:t>
            </w:r>
          </w:p>
        </w:tc>
        <w:tc>
          <w:tcPr>
            <w:tcW w:w="851" w:type="dxa"/>
            <w:tcBorders>
              <w:top w:val="nil"/>
              <w:left w:val="nil"/>
              <w:bottom w:val="double" w:sz="6" w:space="0" w:color="auto"/>
              <w:right w:val="nil"/>
            </w:tcBorders>
            <w:shd w:val="clear" w:color="auto" w:fill="auto"/>
            <w:noWrap/>
            <w:vAlign w:val="center"/>
            <w:hideMark/>
          </w:tcPr>
          <w:p w14:paraId="053E6518" w14:textId="55B4B0E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r>
      <w:tr w:rsidR="00BF0CC3" w:rsidRPr="00033A3F" w14:paraId="1ACD06B8" w14:textId="77777777" w:rsidTr="0076608D">
        <w:trPr>
          <w:trHeight w:val="345"/>
        </w:trPr>
        <w:tc>
          <w:tcPr>
            <w:tcW w:w="2480" w:type="dxa"/>
            <w:tcBorders>
              <w:top w:val="nil"/>
              <w:left w:val="nil"/>
              <w:bottom w:val="double" w:sz="6" w:space="0" w:color="auto"/>
              <w:right w:val="nil"/>
            </w:tcBorders>
            <w:shd w:val="clear" w:color="auto" w:fill="auto"/>
            <w:noWrap/>
            <w:vAlign w:val="bottom"/>
            <w:hideMark/>
          </w:tcPr>
          <w:p w14:paraId="659F6FC8" w14:textId="77777777" w:rsidR="00874E8D" w:rsidRPr="00033A3F" w:rsidRDefault="00874E8D" w:rsidP="00874E8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64" w:type="dxa"/>
            <w:tcBorders>
              <w:top w:val="nil"/>
              <w:left w:val="nil"/>
              <w:bottom w:val="double" w:sz="6" w:space="0" w:color="auto"/>
              <w:right w:val="nil"/>
            </w:tcBorders>
            <w:shd w:val="clear" w:color="auto" w:fill="auto"/>
            <w:noWrap/>
            <w:vAlign w:val="bottom"/>
            <w:hideMark/>
          </w:tcPr>
          <w:p w14:paraId="3090377B"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474</w:t>
            </w:r>
          </w:p>
        </w:tc>
        <w:tc>
          <w:tcPr>
            <w:tcW w:w="897" w:type="dxa"/>
            <w:tcBorders>
              <w:top w:val="nil"/>
              <w:left w:val="nil"/>
              <w:bottom w:val="double" w:sz="6" w:space="0" w:color="auto"/>
              <w:right w:val="nil"/>
            </w:tcBorders>
            <w:shd w:val="clear" w:color="auto" w:fill="auto"/>
            <w:noWrap/>
            <w:vAlign w:val="center"/>
            <w:hideMark/>
          </w:tcPr>
          <w:p w14:paraId="27AD2BC6" w14:textId="0FF42AB9" w:rsidR="00874E8D" w:rsidRPr="00033A3F" w:rsidRDefault="00874E8D" w:rsidP="0076608D">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1088" w:type="dxa"/>
            <w:tcBorders>
              <w:top w:val="nil"/>
              <w:left w:val="single" w:sz="4" w:space="0" w:color="auto"/>
              <w:bottom w:val="double" w:sz="6" w:space="0" w:color="auto"/>
              <w:right w:val="nil"/>
            </w:tcBorders>
            <w:shd w:val="clear" w:color="auto" w:fill="auto"/>
            <w:noWrap/>
            <w:vAlign w:val="bottom"/>
            <w:hideMark/>
          </w:tcPr>
          <w:p w14:paraId="39750659"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183</w:t>
            </w:r>
          </w:p>
        </w:tc>
        <w:tc>
          <w:tcPr>
            <w:tcW w:w="873" w:type="dxa"/>
            <w:tcBorders>
              <w:top w:val="nil"/>
              <w:left w:val="nil"/>
              <w:bottom w:val="double" w:sz="6" w:space="0" w:color="auto"/>
              <w:right w:val="single" w:sz="4" w:space="0" w:color="auto"/>
            </w:tcBorders>
            <w:shd w:val="clear" w:color="auto" w:fill="auto"/>
            <w:noWrap/>
            <w:vAlign w:val="center"/>
            <w:hideMark/>
          </w:tcPr>
          <w:p w14:paraId="59815FBE" w14:textId="2517BEA5" w:rsidR="00874E8D" w:rsidRPr="00033A3F" w:rsidRDefault="00874E8D" w:rsidP="0076608D">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c>
          <w:tcPr>
            <w:tcW w:w="1111" w:type="dxa"/>
            <w:tcBorders>
              <w:top w:val="nil"/>
              <w:left w:val="nil"/>
              <w:bottom w:val="double" w:sz="6" w:space="0" w:color="auto"/>
              <w:right w:val="nil"/>
            </w:tcBorders>
            <w:shd w:val="clear" w:color="auto" w:fill="auto"/>
            <w:noWrap/>
            <w:vAlign w:val="bottom"/>
            <w:hideMark/>
          </w:tcPr>
          <w:p w14:paraId="5342ECF1" w14:textId="1AF985B4"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76608D"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194</w:t>
            </w:r>
          </w:p>
        </w:tc>
        <w:tc>
          <w:tcPr>
            <w:tcW w:w="851" w:type="dxa"/>
            <w:tcBorders>
              <w:top w:val="nil"/>
              <w:left w:val="nil"/>
              <w:bottom w:val="double" w:sz="6" w:space="0" w:color="auto"/>
              <w:right w:val="nil"/>
            </w:tcBorders>
            <w:shd w:val="clear" w:color="auto" w:fill="auto"/>
            <w:noWrap/>
            <w:vAlign w:val="center"/>
            <w:hideMark/>
          </w:tcPr>
          <w:p w14:paraId="4988A920" w14:textId="718B01FC" w:rsidR="00874E8D" w:rsidRPr="00033A3F" w:rsidRDefault="00874E8D" w:rsidP="0076608D">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r>
      <w:tr w:rsidR="00BF0CC3" w:rsidRPr="00033A3F" w14:paraId="140FBF3F" w14:textId="77777777" w:rsidTr="0076608D">
        <w:trPr>
          <w:trHeight w:val="330"/>
        </w:trPr>
        <w:tc>
          <w:tcPr>
            <w:tcW w:w="2480" w:type="dxa"/>
            <w:tcBorders>
              <w:top w:val="nil"/>
              <w:left w:val="nil"/>
              <w:bottom w:val="nil"/>
              <w:right w:val="nil"/>
            </w:tcBorders>
            <w:shd w:val="clear" w:color="auto" w:fill="auto"/>
            <w:noWrap/>
            <w:vAlign w:val="bottom"/>
            <w:hideMark/>
          </w:tcPr>
          <w:p w14:paraId="46878F5E" w14:textId="77777777" w:rsidR="00874E8D" w:rsidRPr="00033A3F" w:rsidRDefault="00874E8D" w:rsidP="00874E8D">
            <w:pPr>
              <w:spacing w:line="240" w:lineRule="auto"/>
              <w:jc w:val="right"/>
              <w:rPr>
                <w:rFonts w:eastAsia="Times New Roman"/>
                <w:b/>
                <w:bCs/>
                <w:color w:val="000000" w:themeColor="text1"/>
                <w:sz w:val="20"/>
                <w:szCs w:val="20"/>
                <w:lang w:eastAsia="cs-CZ"/>
              </w:rPr>
            </w:pPr>
          </w:p>
        </w:tc>
        <w:tc>
          <w:tcPr>
            <w:tcW w:w="1064" w:type="dxa"/>
            <w:tcBorders>
              <w:top w:val="nil"/>
              <w:left w:val="nil"/>
              <w:bottom w:val="nil"/>
              <w:right w:val="nil"/>
            </w:tcBorders>
            <w:shd w:val="clear" w:color="auto" w:fill="auto"/>
            <w:noWrap/>
            <w:vAlign w:val="bottom"/>
            <w:hideMark/>
          </w:tcPr>
          <w:p w14:paraId="5993F0C6"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897" w:type="dxa"/>
            <w:tcBorders>
              <w:top w:val="nil"/>
              <w:left w:val="nil"/>
              <w:bottom w:val="nil"/>
              <w:right w:val="nil"/>
            </w:tcBorders>
            <w:shd w:val="clear" w:color="auto" w:fill="auto"/>
            <w:noWrap/>
            <w:vAlign w:val="bottom"/>
            <w:hideMark/>
          </w:tcPr>
          <w:p w14:paraId="1B88BDCA"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1088" w:type="dxa"/>
            <w:tcBorders>
              <w:top w:val="nil"/>
              <w:left w:val="nil"/>
              <w:bottom w:val="nil"/>
              <w:right w:val="nil"/>
            </w:tcBorders>
            <w:shd w:val="clear" w:color="auto" w:fill="auto"/>
            <w:noWrap/>
            <w:vAlign w:val="bottom"/>
            <w:hideMark/>
          </w:tcPr>
          <w:p w14:paraId="67E5AA66"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873" w:type="dxa"/>
            <w:tcBorders>
              <w:top w:val="nil"/>
              <w:left w:val="nil"/>
              <w:bottom w:val="nil"/>
              <w:right w:val="nil"/>
            </w:tcBorders>
            <w:shd w:val="clear" w:color="auto" w:fill="auto"/>
            <w:noWrap/>
            <w:vAlign w:val="bottom"/>
            <w:hideMark/>
          </w:tcPr>
          <w:p w14:paraId="70C6F7D9"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1111" w:type="dxa"/>
            <w:tcBorders>
              <w:top w:val="nil"/>
              <w:left w:val="nil"/>
              <w:bottom w:val="nil"/>
              <w:right w:val="nil"/>
            </w:tcBorders>
            <w:shd w:val="clear" w:color="auto" w:fill="auto"/>
            <w:noWrap/>
            <w:vAlign w:val="bottom"/>
            <w:hideMark/>
          </w:tcPr>
          <w:p w14:paraId="1C1F3625"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746CFC16"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r>
    </w:tbl>
    <w:p w14:paraId="142BE5BC" w14:textId="4C2138A7" w:rsidR="00481677" w:rsidRPr="00033A3F" w:rsidRDefault="00874E8D" w:rsidP="00481677">
      <w:pPr>
        <w:pStyle w:val="OdstavecASR"/>
        <w:rPr>
          <w:color w:val="000000" w:themeColor="text1"/>
        </w:rPr>
      </w:pPr>
      <w:r w:rsidRPr="00033A3F">
        <w:rPr>
          <w:color w:val="000000" w:themeColor="text1"/>
        </w:rPr>
        <w:t>V</w:t>
      </w:r>
      <w:r w:rsidR="00481677" w:rsidRPr="00033A3F">
        <w:rPr>
          <w:color w:val="000000" w:themeColor="text1"/>
        </w:rPr>
        <w:t> této souvislosti je namístě zdůraznit, že krajské soudy vyřizují velmi složitou prvostupňovou trestní agendu. Z podstaty složitosti a rozsahu trestních věcí projednávaných v prvním stupni u krajských soudů vyplývá, že jsou mnohdy časově náročnější, ať už na samotné studium spisu soudcem, či na následný vyšší počet hlavních líčení. Výjimkou nejsou ani sofistikované obstrukční procesní postupy obhájců. Identifikování důvodů dlouhých řízení by ovšem vyžadovalo samostatnou analýzu. Délku řízení také silně ovlivňuje odvolací řízení v případech, kdy je vrchní soudy vrací soudům krajským.</w:t>
      </w:r>
    </w:p>
    <w:p w14:paraId="73190827" w14:textId="1D5C31F4" w:rsidR="00481677" w:rsidRPr="00033A3F" w:rsidRDefault="00481677" w:rsidP="00481677">
      <w:pPr>
        <w:pStyle w:val="Podnadpis"/>
        <w:rPr>
          <w:color w:val="000000" w:themeColor="text1"/>
        </w:rPr>
      </w:pPr>
      <w:bookmarkStart w:id="1408" w:name="_Toc144104175"/>
      <w:bookmarkStart w:id="1409" w:name="_Toc169250987"/>
      <w:bookmarkStart w:id="1410" w:name="_Toc174080673"/>
      <w:bookmarkStart w:id="1411" w:name="_Toc193530827"/>
      <w:bookmarkStart w:id="1412" w:name="_Toc193634101"/>
      <w:bookmarkStart w:id="1413" w:name="_Toc20303289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72</w:t>
      </w:r>
      <w:r w:rsidRPr="00033A3F">
        <w:rPr>
          <w:color w:val="000000" w:themeColor="text1"/>
        </w:rPr>
        <w:fldChar w:fldCharType="end"/>
      </w:r>
      <w:r w:rsidRPr="00033A3F">
        <w:rPr>
          <w:color w:val="000000" w:themeColor="text1"/>
        </w:rPr>
        <w:t>: KS – distribuce délek prvostupňového trestního řízení</w:t>
      </w:r>
      <w:bookmarkEnd w:id="1408"/>
      <w:r w:rsidRPr="00033A3F">
        <w:rPr>
          <w:color w:val="000000" w:themeColor="text1"/>
        </w:rPr>
        <w:t>, 202</w:t>
      </w:r>
      <w:bookmarkEnd w:id="1409"/>
      <w:bookmarkEnd w:id="1410"/>
      <w:r w:rsidRPr="00033A3F">
        <w:rPr>
          <w:color w:val="000000" w:themeColor="text1"/>
        </w:rPr>
        <w:t>4</w:t>
      </w:r>
      <w:bookmarkEnd w:id="1411"/>
      <w:bookmarkEnd w:id="1412"/>
      <w:bookmarkEnd w:id="1413"/>
    </w:p>
    <w:p w14:paraId="28702389" w14:textId="7CD81834" w:rsidR="00873FD8" w:rsidRPr="00033A3F" w:rsidRDefault="00874E8D" w:rsidP="007D20AD">
      <w:pPr>
        <w:rPr>
          <w:color w:val="000000" w:themeColor="text1"/>
        </w:rPr>
      </w:pPr>
      <w:r w:rsidRPr="00033A3F">
        <w:rPr>
          <w:noProof/>
          <w:color w:val="000000" w:themeColor="text1"/>
          <w:lang w:eastAsia="cs-CZ"/>
        </w:rPr>
        <w:drawing>
          <wp:inline distT="0" distB="0" distL="0" distR="0" wp14:anchorId="681152B4" wp14:editId="38D9BB06">
            <wp:extent cx="5029200" cy="3657600"/>
            <wp:effectExtent l="0" t="0" r="0" b="0"/>
            <wp:docPr id="1104960583"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8A13889" w14:textId="77777777" w:rsidR="00873FD8" w:rsidRPr="00033A3F" w:rsidRDefault="00873FD8" w:rsidP="007D20AD">
      <w:pPr>
        <w:rPr>
          <w:color w:val="000000" w:themeColor="text1"/>
        </w:rPr>
      </w:pPr>
    </w:p>
    <w:p w14:paraId="27EBB702" w14:textId="45138232" w:rsidR="00874E8D" w:rsidRPr="00033A3F" w:rsidRDefault="00E7087C" w:rsidP="00874E8D">
      <w:pPr>
        <w:pStyle w:val="OdstavecASR"/>
        <w:rPr>
          <w:color w:val="000000" w:themeColor="text1"/>
        </w:rPr>
      </w:pPr>
      <w:r w:rsidRPr="00033A3F">
        <w:rPr>
          <w:color w:val="000000" w:themeColor="text1"/>
        </w:rPr>
        <w:t xml:space="preserve">V rámci této </w:t>
      </w:r>
      <w:r w:rsidR="00A702B0" w:rsidRPr="00033A3F">
        <w:rPr>
          <w:color w:val="000000" w:themeColor="text1"/>
        </w:rPr>
        <w:t>pod</w:t>
      </w:r>
      <w:r w:rsidRPr="00033A3F">
        <w:rPr>
          <w:color w:val="000000" w:themeColor="text1"/>
        </w:rPr>
        <w:t xml:space="preserve">kapitoly </w:t>
      </w:r>
      <w:r w:rsidR="00874E8D" w:rsidRPr="00033A3F">
        <w:rPr>
          <w:color w:val="000000" w:themeColor="text1"/>
        </w:rPr>
        <w:t xml:space="preserve">jsou délky řízení stejně jako u jiných agend zobrazeny </w:t>
      </w:r>
      <w:r w:rsidR="00A702B0" w:rsidRPr="00033A3F">
        <w:rPr>
          <w:color w:val="000000" w:themeColor="text1"/>
        </w:rPr>
        <w:t xml:space="preserve">i </w:t>
      </w:r>
      <w:r w:rsidR="00874E8D" w:rsidRPr="00033A3F">
        <w:rPr>
          <w:color w:val="000000" w:themeColor="text1"/>
        </w:rPr>
        <w:t>v histogramu. Šířka intervalu je 50 dnů. Na rozdíl od jiných histogramů jsou zde vidět „zuby“</w:t>
      </w:r>
      <w:r w:rsidRPr="00033A3F">
        <w:rPr>
          <w:color w:val="000000" w:themeColor="text1"/>
        </w:rPr>
        <w:t xml:space="preserve">, tedy </w:t>
      </w:r>
      <w:r w:rsidR="00874E8D" w:rsidRPr="00033A3F">
        <w:rPr>
          <w:color w:val="000000" w:themeColor="text1"/>
        </w:rPr>
        <w:t>velké rozdíly mezi četností u intervalů, které leží vedle sebe. Ty plynou z malého množství pozorování a zvolené šířky intervalu.</w:t>
      </w:r>
    </w:p>
    <w:p w14:paraId="18D888EB" w14:textId="68A86896" w:rsidR="00874E8D" w:rsidRPr="00033A3F" w:rsidRDefault="00874E8D" w:rsidP="00874E8D">
      <w:pPr>
        <w:pStyle w:val="OdstavecASR"/>
        <w:rPr>
          <w:color w:val="000000" w:themeColor="text1"/>
        </w:rPr>
      </w:pPr>
      <w:r w:rsidRPr="00033A3F">
        <w:rPr>
          <w:color w:val="000000" w:themeColor="text1"/>
        </w:rPr>
        <w:t xml:space="preserve">Graf také velmi dobře dokládá rozdílnost agendy: mnoho věcí </w:t>
      </w:r>
      <w:r w:rsidR="00BD0265" w:rsidRPr="00033A3F">
        <w:rPr>
          <w:color w:val="000000" w:themeColor="text1"/>
        </w:rPr>
        <w:t>v roce 2024</w:t>
      </w:r>
      <w:r w:rsidRPr="00033A3F">
        <w:rPr>
          <w:color w:val="000000" w:themeColor="text1"/>
        </w:rPr>
        <w:t xml:space="preserve"> (asi 36 %</w:t>
      </w:r>
      <w:r w:rsidR="000D644B" w:rsidRPr="00033A3F">
        <w:rPr>
          <w:color w:val="000000" w:themeColor="text1"/>
        </w:rPr>
        <w:t xml:space="preserve"> vs. 29</w:t>
      </w:r>
      <w:r w:rsidR="00F465ED" w:rsidRPr="00033A3F">
        <w:rPr>
          <w:color w:val="000000" w:themeColor="text1"/>
        </w:rPr>
        <w:t xml:space="preserve"> </w:t>
      </w:r>
      <w:r w:rsidR="000D644B" w:rsidRPr="00033A3F">
        <w:rPr>
          <w:color w:val="000000" w:themeColor="text1"/>
        </w:rPr>
        <w:t>% v roce 2023</w:t>
      </w:r>
      <w:r w:rsidRPr="00033A3F">
        <w:rPr>
          <w:color w:val="000000" w:themeColor="text1"/>
        </w:rPr>
        <w:t>) je vyřízeno velmi rychle, do 100 dnů. Na druhou stranu cca 32 % věcí je vyřízeno za více než 500 dnů a cca 5 % má délku řízení delší než 2 000 dnů (cca 5,5 roku</w:t>
      </w:r>
      <w:r w:rsidR="00F465ED" w:rsidRPr="00033A3F">
        <w:rPr>
          <w:color w:val="000000" w:themeColor="text1"/>
        </w:rPr>
        <w:t>).</w:t>
      </w:r>
    </w:p>
    <w:p w14:paraId="742BE127" w14:textId="77777777" w:rsidR="00C32030" w:rsidRPr="00033A3F" w:rsidRDefault="00C32030" w:rsidP="00C32030">
      <w:pPr>
        <w:pStyle w:val="Nadpis3"/>
        <w:numPr>
          <w:ilvl w:val="2"/>
          <w:numId w:val="1"/>
        </w:numPr>
        <w:rPr>
          <w:color w:val="000000" w:themeColor="text1"/>
        </w:rPr>
      </w:pPr>
      <w:bookmarkStart w:id="1414" w:name="_Toc109801376"/>
      <w:bookmarkStart w:id="1415" w:name="_Toc169250841"/>
      <w:bookmarkStart w:id="1416" w:name="_Toc193531003"/>
      <w:bookmarkStart w:id="1417" w:name="_Toc193957059"/>
      <w:bookmarkStart w:id="1418" w:name="_Toc203032749"/>
      <w:r w:rsidRPr="00033A3F">
        <w:rPr>
          <w:color w:val="000000" w:themeColor="text1"/>
        </w:rPr>
        <w:t>Vyřizování věcí</w:t>
      </w:r>
      <w:bookmarkEnd w:id="1414"/>
      <w:bookmarkEnd w:id="1415"/>
      <w:bookmarkEnd w:id="1416"/>
      <w:bookmarkEnd w:id="1417"/>
      <w:bookmarkEnd w:id="1418"/>
    </w:p>
    <w:p w14:paraId="6C0EFD02" w14:textId="6DD02688" w:rsidR="00874E8D" w:rsidRPr="00033A3F" w:rsidRDefault="00874E8D" w:rsidP="00874E8D">
      <w:pPr>
        <w:pStyle w:val="Podnadpis"/>
        <w:numPr>
          <w:ilvl w:val="0"/>
          <w:numId w:val="0"/>
        </w:numPr>
        <w:rPr>
          <w:color w:val="000000" w:themeColor="text1"/>
        </w:rPr>
      </w:pPr>
      <w:bookmarkStart w:id="1419" w:name="_Toc75952243"/>
      <w:bookmarkStart w:id="1420" w:name="_Toc106106700"/>
      <w:bookmarkStart w:id="1421" w:name="_Toc109802024"/>
      <w:bookmarkStart w:id="1422" w:name="_Toc144104176"/>
      <w:bookmarkStart w:id="1423" w:name="_Toc169250988"/>
      <w:bookmarkStart w:id="1424" w:name="_Toc174080674"/>
      <w:bookmarkStart w:id="1425" w:name="_Toc193530828"/>
      <w:bookmarkStart w:id="1426" w:name="_Toc193634102"/>
      <w:bookmarkStart w:id="1427" w:name="_Toc20303290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73</w:t>
      </w:r>
      <w:r w:rsidRPr="00033A3F">
        <w:rPr>
          <w:color w:val="000000" w:themeColor="text1"/>
        </w:rPr>
        <w:fldChar w:fldCharType="end"/>
      </w:r>
      <w:r w:rsidRPr="00033A3F">
        <w:rPr>
          <w:color w:val="000000" w:themeColor="text1"/>
        </w:rPr>
        <w:t xml:space="preserve">: KS – vyřizování prvostupňových trestních věcí v letech </w:t>
      </w:r>
      <w:bookmarkEnd w:id="1419"/>
      <w:bookmarkEnd w:id="1420"/>
      <w:bookmarkEnd w:id="1421"/>
      <w:bookmarkEnd w:id="1422"/>
      <w:r w:rsidRPr="00033A3F">
        <w:rPr>
          <w:color w:val="000000" w:themeColor="text1"/>
        </w:rPr>
        <w:t>2015–202</w:t>
      </w:r>
      <w:bookmarkEnd w:id="1423"/>
      <w:bookmarkEnd w:id="1424"/>
      <w:r w:rsidRPr="00033A3F">
        <w:rPr>
          <w:color w:val="000000" w:themeColor="text1"/>
        </w:rPr>
        <w:t>4</w:t>
      </w:r>
      <w:bookmarkEnd w:id="1425"/>
      <w:bookmarkEnd w:id="1426"/>
      <w:bookmarkEnd w:id="1427"/>
    </w:p>
    <w:p w14:paraId="2058B6F7" w14:textId="0925863E" w:rsidR="00874E8D" w:rsidRPr="00033A3F" w:rsidRDefault="00874E8D" w:rsidP="00874E8D">
      <w:pPr>
        <w:rPr>
          <w:color w:val="000000" w:themeColor="text1"/>
        </w:rPr>
      </w:pPr>
      <w:r w:rsidRPr="00033A3F">
        <w:rPr>
          <w:noProof/>
          <w:color w:val="000000" w:themeColor="text1"/>
          <w:lang w:eastAsia="cs-CZ"/>
        </w:rPr>
        <w:drawing>
          <wp:inline distT="0" distB="0" distL="0" distR="0" wp14:anchorId="2462C416" wp14:editId="26A26B4E">
            <wp:extent cx="5029200" cy="3657600"/>
            <wp:effectExtent l="0" t="0" r="0" b="0"/>
            <wp:docPr id="538508130"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3F0ED61" w14:textId="77777777" w:rsidR="00874E8D" w:rsidRPr="00033A3F" w:rsidRDefault="00874E8D" w:rsidP="00874E8D">
      <w:pPr>
        <w:rPr>
          <w:color w:val="000000" w:themeColor="text1"/>
        </w:rPr>
      </w:pPr>
    </w:p>
    <w:p w14:paraId="2221920F" w14:textId="2D4111A5" w:rsidR="00874E8D" w:rsidRPr="00033A3F" w:rsidRDefault="00874E8D" w:rsidP="00874E8D">
      <w:pPr>
        <w:pStyle w:val="OdstavecASR"/>
        <w:rPr>
          <w:color w:val="000000" w:themeColor="text1"/>
        </w:rPr>
      </w:pPr>
      <w:r w:rsidRPr="00033A3F">
        <w:rPr>
          <w:color w:val="000000" w:themeColor="text1"/>
        </w:rPr>
        <w:t xml:space="preserve">Na grafu výše vidíme vývoj v počtu napadlých </w:t>
      </w:r>
      <w:r w:rsidR="00E7087C" w:rsidRPr="00033A3F">
        <w:rPr>
          <w:color w:val="000000" w:themeColor="text1"/>
        </w:rPr>
        <w:t>a</w:t>
      </w:r>
      <w:r w:rsidRPr="00033A3F">
        <w:rPr>
          <w:color w:val="000000" w:themeColor="text1"/>
        </w:rPr>
        <w:t xml:space="preserve"> obživlých, vyřízených a nevyřízených věcí.</w:t>
      </w:r>
    </w:p>
    <w:p w14:paraId="6E784FE6" w14:textId="484178A0" w:rsidR="00475518" w:rsidRPr="00033A3F" w:rsidRDefault="00874E8D" w:rsidP="00874E8D">
      <w:pPr>
        <w:pStyle w:val="OdstavecASR"/>
        <w:rPr>
          <w:color w:val="000000" w:themeColor="text1"/>
        </w:rPr>
      </w:pPr>
      <w:r w:rsidRPr="00033A3F">
        <w:rPr>
          <w:color w:val="000000" w:themeColor="text1"/>
        </w:rPr>
        <w:t>Zatímco u okresních soudů je zřejmý jednoznačný dlouhodobý klesající trend</w:t>
      </w:r>
      <w:r w:rsidR="00E7087C" w:rsidRPr="00033A3F">
        <w:rPr>
          <w:color w:val="000000" w:themeColor="text1"/>
        </w:rPr>
        <w:t>,</w:t>
      </w:r>
      <w:r w:rsidRPr="00033A3F">
        <w:rPr>
          <w:color w:val="000000" w:themeColor="text1"/>
        </w:rPr>
        <w:t xml:space="preserve"> který se ovšem v posledních letech zastavil, u závažnějších trestných činů vyřizovaných krajskými soudy tomu tak není. Počet napadlých a vyřízených věcí se dlouhodobě pohybuje mezi 1 200 a 1 300 věcmi. V roce 2019 došlo k citelnému poklesu. </w:t>
      </w:r>
    </w:p>
    <w:p w14:paraId="5E8FEA3B" w14:textId="77777777" w:rsidR="00475518" w:rsidRPr="00033A3F" w:rsidRDefault="00874E8D" w:rsidP="00874E8D">
      <w:pPr>
        <w:pStyle w:val="OdstavecASR"/>
        <w:rPr>
          <w:color w:val="000000" w:themeColor="text1"/>
        </w:rPr>
      </w:pPr>
      <w:r w:rsidRPr="00033A3F">
        <w:rPr>
          <w:color w:val="000000" w:themeColor="text1"/>
        </w:rPr>
        <w:t>V roce 2020 se počet příchozích věcí meziročně víceméně nezměnil. Mohlo by se tedy zdát, že na závažnou kriminalitu neměla pandemie COVID</w:t>
      </w:r>
      <w:r w:rsidRPr="00033A3F">
        <w:rPr>
          <w:color w:val="000000" w:themeColor="text1"/>
        </w:rPr>
        <w:noBreakHyphen/>
        <w:t xml:space="preserve">19 vliv (na rozdíl od agendy okresních soudů, která zahrnuje méně závažnou kriminalitu). Nicméně v roce 2021 ke značnému poklesu v počtu příchozích věcí došlo. U mnohých ze závažných trestných činů totiž platí, že od spáchání trestného činu do podání obžaloby uplyne (na rozdíl od méně významné trestné činnosti řešené typicky ve zkráceném přípravném řízení) delší doba, a to i několik let. Je tedy možné, že v důsledku pandemie reálně došlo i k propadu závažné kriminality, který se ale u soudů projevil až o rok později. Této </w:t>
      </w:r>
      <w:r w:rsidRPr="00033A3F">
        <w:rPr>
          <w:color w:val="000000" w:themeColor="text1"/>
        </w:rPr>
        <w:lastRenderedPageBreak/>
        <w:t xml:space="preserve">teorii nasvědčuje i fakt, že počet nových případů u krajských státních zastupitelství se snížil asi o 10 % právě v roce 2020. </w:t>
      </w:r>
    </w:p>
    <w:p w14:paraId="3C17F095" w14:textId="1BFDE3D5" w:rsidR="00475518" w:rsidRPr="00033A3F" w:rsidRDefault="00874E8D" w:rsidP="00874E8D">
      <w:pPr>
        <w:pStyle w:val="OdstavecASR"/>
        <w:rPr>
          <w:color w:val="000000" w:themeColor="text1"/>
        </w:rPr>
      </w:pPr>
      <w:r w:rsidRPr="00033A3F">
        <w:rPr>
          <w:color w:val="000000" w:themeColor="text1"/>
        </w:rPr>
        <w:t xml:space="preserve">V roce 2022 opět došlo k nárůstu příchozích věcí a z minima v roce 2021 se počet věcí opět přehoupl přes 1100. K růstu došlo i v roce 2023 a počet příchozích věcí tak </w:t>
      </w:r>
      <w:r w:rsidR="00E7087C" w:rsidRPr="00033A3F">
        <w:rPr>
          <w:color w:val="000000" w:themeColor="text1"/>
        </w:rPr>
        <w:t>překonal</w:t>
      </w:r>
      <w:r w:rsidRPr="00033A3F">
        <w:rPr>
          <w:color w:val="000000" w:themeColor="text1"/>
        </w:rPr>
        <w:t xml:space="preserve"> 1200. Soudy nicméně dokázaly s rostoucím počtem příchozích věcí v letech 2022 a 2023 více než dobře držet krok. Počet vyřízených věcí byl stále o něco větší než počet věcí příchozích. Z toho pak plyne mírný pokles v počtu nevyřízených věcí – v roce 2023 klesl pod 600 a byl tak nejmenší ve sledovaném období od roku 201</w:t>
      </w:r>
      <w:r w:rsidR="00A665ED" w:rsidRPr="00033A3F">
        <w:rPr>
          <w:color w:val="000000" w:themeColor="text1"/>
        </w:rPr>
        <w:t>5</w:t>
      </w:r>
      <w:r w:rsidRPr="00033A3F">
        <w:rPr>
          <w:color w:val="000000" w:themeColor="text1"/>
        </w:rPr>
        <w:t>.</w:t>
      </w:r>
      <w:r w:rsidR="00A665ED" w:rsidRPr="00033A3F">
        <w:rPr>
          <w:color w:val="000000" w:themeColor="text1"/>
        </w:rPr>
        <w:t xml:space="preserve"> V roce 2024 došlo jen k minimálním změnám v </w:t>
      </w:r>
      <w:r w:rsidR="00475518" w:rsidRPr="00033A3F">
        <w:rPr>
          <w:color w:val="000000" w:themeColor="text1"/>
        </w:rPr>
        <w:t xml:space="preserve">řádu </w:t>
      </w:r>
      <w:r w:rsidR="00A665ED" w:rsidRPr="00033A3F">
        <w:rPr>
          <w:color w:val="000000" w:themeColor="text1"/>
        </w:rPr>
        <w:t>jednotek až desítek věcí.</w:t>
      </w:r>
      <w:r w:rsidR="00242075" w:rsidRPr="00033A3F">
        <w:rPr>
          <w:color w:val="000000" w:themeColor="text1"/>
        </w:rPr>
        <w:t xml:space="preserve"> </w:t>
      </w:r>
    </w:p>
    <w:p w14:paraId="34A3E002" w14:textId="72181204" w:rsidR="00A665ED" w:rsidRPr="00033A3F" w:rsidRDefault="00A665ED" w:rsidP="00A665ED">
      <w:pPr>
        <w:pStyle w:val="Podnadpis"/>
        <w:rPr>
          <w:color w:val="000000" w:themeColor="text1"/>
        </w:rPr>
      </w:pPr>
      <w:bookmarkStart w:id="1428" w:name="_Toc75952359"/>
      <w:bookmarkStart w:id="1429" w:name="_Toc106106815"/>
      <w:bookmarkStart w:id="1430" w:name="_Toc109802138"/>
      <w:bookmarkStart w:id="1431" w:name="_Toc144104296"/>
      <w:bookmarkStart w:id="1432" w:name="_Toc169251110"/>
      <w:bookmarkStart w:id="1433" w:name="_Toc174080796"/>
      <w:bookmarkStart w:id="1434" w:name="_Toc193530924"/>
      <w:bookmarkStart w:id="1435" w:name="_Toc194045621"/>
      <w:bookmarkStart w:id="1436" w:name="_Toc199495031"/>
      <w:bookmarkStart w:id="1437" w:name="_Toc203033092"/>
      <w:bookmarkStart w:id="1438" w:name="_Toc20303317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50</w:t>
      </w:r>
      <w:r w:rsidRPr="00033A3F">
        <w:rPr>
          <w:noProof/>
          <w:color w:val="000000" w:themeColor="text1"/>
        </w:rPr>
        <w:fldChar w:fldCharType="end"/>
      </w:r>
      <w:r w:rsidRPr="00033A3F">
        <w:rPr>
          <w:color w:val="000000" w:themeColor="text1"/>
        </w:rPr>
        <w:t>: KS – vyřizování prvostupňových trestních věcí dle soudů</w:t>
      </w:r>
      <w:bookmarkEnd w:id="1428"/>
      <w:bookmarkEnd w:id="1429"/>
      <w:bookmarkEnd w:id="1430"/>
      <w:bookmarkEnd w:id="1431"/>
      <w:r w:rsidRPr="00033A3F">
        <w:rPr>
          <w:color w:val="000000" w:themeColor="text1"/>
        </w:rPr>
        <w:t>, 202</w:t>
      </w:r>
      <w:bookmarkEnd w:id="1432"/>
      <w:bookmarkEnd w:id="1433"/>
      <w:r w:rsidRPr="00033A3F">
        <w:rPr>
          <w:color w:val="000000" w:themeColor="text1"/>
        </w:rPr>
        <w:t>4</w:t>
      </w:r>
      <w:bookmarkEnd w:id="1434"/>
      <w:bookmarkEnd w:id="1435"/>
      <w:bookmarkEnd w:id="1436"/>
      <w:bookmarkEnd w:id="1437"/>
      <w:bookmarkEnd w:id="1438"/>
    </w:p>
    <w:tbl>
      <w:tblPr>
        <w:tblW w:w="9140" w:type="dxa"/>
        <w:tblLayout w:type="fixed"/>
        <w:tblCellMar>
          <w:left w:w="70" w:type="dxa"/>
          <w:right w:w="70" w:type="dxa"/>
        </w:tblCellMar>
        <w:tblLook w:val="04A0" w:firstRow="1" w:lastRow="0" w:firstColumn="1" w:lastColumn="0" w:noHBand="0" w:noVBand="1"/>
      </w:tblPr>
      <w:tblGrid>
        <w:gridCol w:w="2020"/>
        <w:gridCol w:w="1099"/>
        <w:gridCol w:w="849"/>
        <w:gridCol w:w="994"/>
        <w:gridCol w:w="954"/>
        <w:gridCol w:w="1030"/>
        <w:gridCol w:w="918"/>
        <w:gridCol w:w="1276"/>
      </w:tblGrid>
      <w:tr w:rsidR="00A665ED" w:rsidRPr="00033A3F" w14:paraId="5CBBB8BA" w14:textId="77777777" w:rsidTr="004C0D35">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332A5F0" w14:textId="7F9BBC08" w:rsidR="00A665ED" w:rsidRPr="00033A3F" w:rsidRDefault="0076608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A665ED" w:rsidRPr="00033A3F">
              <w:rPr>
                <w:rFonts w:eastAsia="Times New Roman"/>
                <w:b/>
                <w:bCs/>
                <w:color w:val="000000" w:themeColor="text1"/>
                <w:szCs w:val="24"/>
                <w:lang w:eastAsia="cs-CZ"/>
              </w:rPr>
              <w:t>oud</w:t>
            </w:r>
          </w:p>
        </w:tc>
        <w:tc>
          <w:tcPr>
            <w:tcW w:w="5844" w:type="dxa"/>
            <w:gridSpan w:val="6"/>
            <w:tcBorders>
              <w:top w:val="double" w:sz="6" w:space="0" w:color="auto"/>
              <w:left w:val="nil"/>
              <w:bottom w:val="nil"/>
              <w:right w:val="single" w:sz="4" w:space="0" w:color="000000"/>
            </w:tcBorders>
            <w:shd w:val="clear" w:color="auto" w:fill="auto"/>
            <w:noWrap/>
            <w:vAlign w:val="center"/>
            <w:hideMark/>
          </w:tcPr>
          <w:p w14:paraId="3914BF11"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76" w:type="dxa"/>
            <w:vMerge w:val="restart"/>
            <w:tcBorders>
              <w:top w:val="double" w:sz="6" w:space="0" w:color="auto"/>
              <w:left w:val="nil"/>
              <w:bottom w:val="double" w:sz="6" w:space="0" w:color="000000"/>
              <w:right w:val="nil"/>
            </w:tcBorders>
            <w:shd w:val="clear" w:color="auto" w:fill="auto"/>
            <w:vAlign w:val="center"/>
            <w:hideMark/>
          </w:tcPr>
          <w:p w14:paraId="6BF2CD52"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BF0CC3" w:rsidRPr="00033A3F" w14:paraId="313F23B4" w14:textId="77777777" w:rsidTr="0076608D">
        <w:trPr>
          <w:trHeight w:val="330"/>
        </w:trPr>
        <w:tc>
          <w:tcPr>
            <w:tcW w:w="2020" w:type="dxa"/>
            <w:vMerge/>
            <w:tcBorders>
              <w:top w:val="double" w:sz="6" w:space="0" w:color="auto"/>
              <w:left w:val="nil"/>
              <w:bottom w:val="double" w:sz="6" w:space="0" w:color="000000"/>
              <w:right w:val="nil"/>
            </w:tcBorders>
            <w:vAlign w:val="center"/>
            <w:hideMark/>
          </w:tcPr>
          <w:p w14:paraId="28AA8DD1" w14:textId="77777777" w:rsidR="00A665ED" w:rsidRPr="00033A3F" w:rsidRDefault="00A665ED" w:rsidP="00A665ED">
            <w:pPr>
              <w:spacing w:line="240" w:lineRule="auto"/>
              <w:jc w:val="left"/>
              <w:rPr>
                <w:rFonts w:eastAsia="Times New Roman"/>
                <w:b/>
                <w:bCs/>
                <w:color w:val="000000" w:themeColor="text1"/>
                <w:szCs w:val="24"/>
                <w:lang w:eastAsia="cs-CZ"/>
              </w:rPr>
            </w:pPr>
          </w:p>
        </w:tc>
        <w:tc>
          <w:tcPr>
            <w:tcW w:w="1948" w:type="dxa"/>
            <w:gridSpan w:val="2"/>
            <w:tcBorders>
              <w:top w:val="nil"/>
              <w:left w:val="nil"/>
              <w:bottom w:val="double" w:sz="6" w:space="0" w:color="auto"/>
              <w:right w:val="nil"/>
            </w:tcBorders>
            <w:shd w:val="clear" w:color="auto" w:fill="auto"/>
            <w:noWrap/>
            <w:vAlign w:val="center"/>
            <w:hideMark/>
          </w:tcPr>
          <w:p w14:paraId="320F4106"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4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E3E6291"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48" w:type="dxa"/>
            <w:gridSpan w:val="2"/>
            <w:tcBorders>
              <w:top w:val="nil"/>
              <w:left w:val="nil"/>
              <w:bottom w:val="double" w:sz="6" w:space="0" w:color="auto"/>
              <w:right w:val="single" w:sz="4" w:space="0" w:color="000000"/>
            </w:tcBorders>
            <w:shd w:val="clear" w:color="auto" w:fill="auto"/>
            <w:noWrap/>
            <w:vAlign w:val="center"/>
            <w:hideMark/>
          </w:tcPr>
          <w:p w14:paraId="0A5810EC"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76" w:type="dxa"/>
            <w:vMerge/>
            <w:tcBorders>
              <w:top w:val="double" w:sz="6" w:space="0" w:color="auto"/>
              <w:left w:val="nil"/>
              <w:bottom w:val="double" w:sz="6" w:space="0" w:color="000000"/>
              <w:right w:val="nil"/>
            </w:tcBorders>
            <w:vAlign w:val="center"/>
            <w:hideMark/>
          </w:tcPr>
          <w:p w14:paraId="6F8DE2B5" w14:textId="77777777" w:rsidR="00A665ED" w:rsidRPr="00033A3F" w:rsidRDefault="00A665ED" w:rsidP="00A665ED">
            <w:pPr>
              <w:spacing w:line="240" w:lineRule="auto"/>
              <w:jc w:val="left"/>
              <w:rPr>
                <w:rFonts w:eastAsia="Times New Roman"/>
                <w:b/>
                <w:bCs/>
                <w:color w:val="000000" w:themeColor="text1"/>
                <w:szCs w:val="24"/>
                <w:lang w:eastAsia="cs-CZ"/>
              </w:rPr>
            </w:pPr>
          </w:p>
        </w:tc>
      </w:tr>
      <w:tr w:rsidR="00BF0CC3" w:rsidRPr="00033A3F" w14:paraId="5D6A8BA6" w14:textId="77777777" w:rsidTr="0076608D">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5E49843C"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99" w:type="dxa"/>
            <w:tcBorders>
              <w:top w:val="single" w:sz="4" w:space="0" w:color="auto"/>
              <w:left w:val="nil"/>
              <w:bottom w:val="single" w:sz="4" w:space="0" w:color="auto"/>
              <w:right w:val="nil"/>
            </w:tcBorders>
            <w:shd w:val="clear" w:color="auto" w:fill="auto"/>
            <w:noWrap/>
            <w:vAlign w:val="bottom"/>
            <w:hideMark/>
          </w:tcPr>
          <w:p w14:paraId="4562D574"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307</w:t>
            </w:r>
          </w:p>
        </w:tc>
        <w:tc>
          <w:tcPr>
            <w:tcW w:w="849" w:type="dxa"/>
            <w:tcBorders>
              <w:top w:val="single" w:sz="4" w:space="0" w:color="auto"/>
              <w:left w:val="nil"/>
              <w:bottom w:val="single" w:sz="4" w:space="0" w:color="auto"/>
              <w:right w:val="nil"/>
            </w:tcBorders>
            <w:shd w:val="clear" w:color="auto" w:fill="auto"/>
            <w:noWrap/>
            <w:vAlign w:val="center"/>
            <w:hideMark/>
          </w:tcPr>
          <w:p w14:paraId="7BA38CF1" w14:textId="14897200"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4" w:type="dxa"/>
            <w:tcBorders>
              <w:top w:val="single" w:sz="4" w:space="0" w:color="auto"/>
              <w:left w:val="single" w:sz="4" w:space="0" w:color="auto"/>
              <w:bottom w:val="single" w:sz="4" w:space="0" w:color="auto"/>
              <w:right w:val="nil"/>
            </w:tcBorders>
            <w:shd w:val="clear" w:color="auto" w:fill="auto"/>
            <w:noWrap/>
            <w:vAlign w:val="bottom"/>
            <w:hideMark/>
          </w:tcPr>
          <w:p w14:paraId="4C62F688"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268</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0B98985A" w14:textId="77E71D79"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30" w:type="dxa"/>
            <w:tcBorders>
              <w:top w:val="single" w:sz="4" w:space="0" w:color="auto"/>
              <w:left w:val="nil"/>
              <w:bottom w:val="single" w:sz="4" w:space="0" w:color="auto"/>
              <w:right w:val="nil"/>
            </w:tcBorders>
            <w:shd w:val="clear" w:color="auto" w:fill="auto"/>
            <w:noWrap/>
            <w:vAlign w:val="bottom"/>
            <w:hideMark/>
          </w:tcPr>
          <w:p w14:paraId="7819591B"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191</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7F7C6BA6" w14:textId="7862A2FD"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c>
          <w:tcPr>
            <w:tcW w:w="1276" w:type="dxa"/>
            <w:tcBorders>
              <w:top w:val="nil"/>
              <w:left w:val="nil"/>
              <w:bottom w:val="single" w:sz="4" w:space="0" w:color="auto"/>
              <w:right w:val="nil"/>
            </w:tcBorders>
            <w:shd w:val="clear" w:color="auto" w:fill="auto"/>
            <w:noWrap/>
            <w:vAlign w:val="center"/>
            <w:hideMark/>
          </w:tcPr>
          <w:p w14:paraId="633AAF78" w14:textId="3E63F133"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3 %</w:t>
            </w:r>
          </w:p>
        </w:tc>
      </w:tr>
      <w:tr w:rsidR="00BF0CC3" w:rsidRPr="00033A3F" w14:paraId="55A9620F"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5B7C3F36"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99" w:type="dxa"/>
            <w:tcBorders>
              <w:top w:val="nil"/>
              <w:left w:val="nil"/>
              <w:bottom w:val="single" w:sz="4" w:space="0" w:color="auto"/>
              <w:right w:val="nil"/>
            </w:tcBorders>
            <w:shd w:val="clear" w:color="auto" w:fill="auto"/>
            <w:noWrap/>
            <w:vAlign w:val="bottom"/>
            <w:hideMark/>
          </w:tcPr>
          <w:p w14:paraId="4891E7A3"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123</w:t>
            </w:r>
          </w:p>
        </w:tc>
        <w:tc>
          <w:tcPr>
            <w:tcW w:w="849" w:type="dxa"/>
            <w:tcBorders>
              <w:top w:val="nil"/>
              <w:left w:val="nil"/>
              <w:bottom w:val="single" w:sz="4" w:space="0" w:color="auto"/>
              <w:right w:val="nil"/>
            </w:tcBorders>
            <w:shd w:val="clear" w:color="auto" w:fill="auto"/>
            <w:noWrap/>
            <w:vAlign w:val="center"/>
            <w:hideMark/>
          </w:tcPr>
          <w:p w14:paraId="20703D12" w14:textId="7B13C3CF"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994" w:type="dxa"/>
            <w:tcBorders>
              <w:top w:val="nil"/>
              <w:left w:val="single" w:sz="4" w:space="0" w:color="auto"/>
              <w:bottom w:val="single" w:sz="4" w:space="0" w:color="auto"/>
              <w:right w:val="nil"/>
            </w:tcBorders>
            <w:shd w:val="clear" w:color="auto" w:fill="auto"/>
            <w:noWrap/>
            <w:vAlign w:val="bottom"/>
            <w:hideMark/>
          </w:tcPr>
          <w:p w14:paraId="0CE3A1C0"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115</w:t>
            </w:r>
          </w:p>
        </w:tc>
        <w:tc>
          <w:tcPr>
            <w:tcW w:w="954" w:type="dxa"/>
            <w:tcBorders>
              <w:top w:val="nil"/>
              <w:left w:val="nil"/>
              <w:bottom w:val="single" w:sz="4" w:space="0" w:color="auto"/>
              <w:right w:val="single" w:sz="4" w:space="0" w:color="auto"/>
            </w:tcBorders>
            <w:shd w:val="clear" w:color="auto" w:fill="auto"/>
            <w:noWrap/>
            <w:vAlign w:val="center"/>
            <w:hideMark/>
          </w:tcPr>
          <w:p w14:paraId="13C0FDCC" w14:textId="404BDECD"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30" w:type="dxa"/>
            <w:tcBorders>
              <w:top w:val="nil"/>
              <w:left w:val="nil"/>
              <w:bottom w:val="single" w:sz="4" w:space="0" w:color="auto"/>
              <w:right w:val="nil"/>
            </w:tcBorders>
            <w:shd w:val="clear" w:color="auto" w:fill="auto"/>
            <w:noWrap/>
            <w:vAlign w:val="bottom"/>
            <w:hideMark/>
          </w:tcPr>
          <w:p w14:paraId="6DD533AE"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p>
        </w:tc>
        <w:tc>
          <w:tcPr>
            <w:tcW w:w="918" w:type="dxa"/>
            <w:tcBorders>
              <w:top w:val="nil"/>
              <w:left w:val="nil"/>
              <w:bottom w:val="single" w:sz="4" w:space="0" w:color="auto"/>
              <w:right w:val="single" w:sz="4" w:space="0" w:color="auto"/>
            </w:tcBorders>
            <w:shd w:val="clear" w:color="auto" w:fill="auto"/>
            <w:noWrap/>
            <w:vAlign w:val="center"/>
            <w:hideMark/>
          </w:tcPr>
          <w:p w14:paraId="272C795F" w14:textId="39AF2907"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c>
          <w:tcPr>
            <w:tcW w:w="1276" w:type="dxa"/>
            <w:tcBorders>
              <w:top w:val="nil"/>
              <w:left w:val="nil"/>
              <w:bottom w:val="single" w:sz="4" w:space="0" w:color="auto"/>
              <w:right w:val="nil"/>
            </w:tcBorders>
            <w:shd w:val="clear" w:color="auto" w:fill="auto"/>
            <w:noWrap/>
            <w:vAlign w:val="center"/>
            <w:hideMark/>
          </w:tcPr>
          <w:p w14:paraId="7038FF5C" w14:textId="0E24E3AA"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5 %</w:t>
            </w:r>
          </w:p>
        </w:tc>
      </w:tr>
      <w:tr w:rsidR="00BF0CC3" w:rsidRPr="00033A3F" w14:paraId="512DDB91"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5E23BA2E"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99" w:type="dxa"/>
            <w:tcBorders>
              <w:top w:val="nil"/>
              <w:left w:val="nil"/>
              <w:bottom w:val="single" w:sz="4" w:space="0" w:color="auto"/>
              <w:right w:val="nil"/>
            </w:tcBorders>
            <w:shd w:val="clear" w:color="auto" w:fill="auto"/>
            <w:noWrap/>
            <w:vAlign w:val="bottom"/>
            <w:hideMark/>
          </w:tcPr>
          <w:p w14:paraId="1BAA63A9"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p>
        </w:tc>
        <w:tc>
          <w:tcPr>
            <w:tcW w:w="849" w:type="dxa"/>
            <w:tcBorders>
              <w:top w:val="nil"/>
              <w:left w:val="nil"/>
              <w:bottom w:val="single" w:sz="4" w:space="0" w:color="auto"/>
              <w:right w:val="nil"/>
            </w:tcBorders>
            <w:shd w:val="clear" w:color="auto" w:fill="auto"/>
            <w:noWrap/>
            <w:vAlign w:val="center"/>
            <w:hideMark/>
          </w:tcPr>
          <w:p w14:paraId="72BE01EA" w14:textId="0FC5C11F"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+35 %</w:t>
            </w:r>
          </w:p>
        </w:tc>
        <w:tc>
          <w:tcPr>
            <w:tcW w:w="994" w:type="dxa"/>
            <w:tcBorders>
              <w:top w:val="nil"/>
              <w:left w:val="single" w:sz="4" w:space="0" w:color="auto"/>
              <w:bottom w:val="single" w:sz="4" w:space="0" w:color="auto"/>
              <w:right w:val="nil"/>
            </w:tcBorders>
            <w:shd w:val="clear" w:color="auto" w:fill="auto"/>
            <w:noWrap/>
            <w:vAlign w:val="bottom"/>
            <w:hideMark/>
          </w:tcPr>
          <w:p w14:paraId="7E5C5EB2"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w:t>
            </w:r>
          </w:p>
        </w:tc>
        <w:tc>
          <w:tcPr>
            <w:tcW w:w="954" w:type="dxa"/>
            <w:tcBorders>
              <w:top w:val="nil"/>
              <w:left w:val="nil"/>
              <w:bottom w:val="single" w:sz="4" w:space="0" w:color="auto"/>
              <w:right w:val="single" w:sz="4" w:space="0" w:color="auto"/>
            </w:tcBorders>
            <w:shd w:val="clear" w:color="auto" w:fill="auto"/>
            <w:noWrap/>
            <w:vAlign w:val="center"/>
            <w:hideMark/>
          </w:tcPr>
          <w:p w14:paraId="38A9DA0F" w14:textId="308E71FE"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30" w:type="dxa"/>
            <w:tcBorders>
              <w:top w:val="nil"/>
              <w:left w:val="nil"/>
              <w:bottom w:val="single" w:sz="4" w:space="0" w:color="auto"/>
              <w:right w:val="nil"/>
            </w:tcBorders>
            <w:shd w:val="clear" w:color="auto" w:fill="auto"/>
            <w:noWrap/>
            <w:vAlign w:val="bottom"/>
            <w:hideMark/>
          </w:tcPr>
          <w:p w14:paraId="671F53FA"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918" w:type="dxa"/>
            <w:tcBorders>
              <w:top w:val="nil"/>
              <w:left w:val="nil"/>
              <w:bottom w:val="single" w:sz="4" w:space="0" w:color="auto"/>
              <w:right w:val="single" w:sz="4" w:space="0" w:color="auto"/>
            </w:tcBorders>
            <w:shd w:val="clear" w:color="auto" w:fill="auto"/>
            <w:noWrap/>
            <w:vAlign w:val="center"/>
            <w:hideMark/>
          </w:tcPr>
          <w:p w14:paraId="37E5988E" w14:textId="63B7EBCC" w:rsidR="00A665ED" w:rsidRPr="00033A3F" w:rsidRDefault="00A665ED" w:rsidP="00A665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76" w:type="dxa"/>
            <w:tcBorders>
              <w:top w:val="nil"/>
              <w:left w:val="nil"/>
              <w:bottom w:val="single" w:sz="4" w:space="0" w:color="auto"/>
              <w:right w:val="nil"/>
            </w:tcBorders>
            <w:shd w:val="clear" w:color="auto" w:fill="auto"/>
            <w:noWrap/>
            <w:vAlign w:val="center"/>
            <w:hideMark/>
          </w:tcPr>
          <w:p w14:paraId="7E1A474A" w14:textId="55DC0738"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102</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2 %</w:t>
            </w:r>
          </w:p>
        </w:tc>
      </w:tr>
      <w:tr w:rsidR="00BF0CC3" w:rsidRPr="00033A3F" w14:paraId="10CE9C43"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674D22EA"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99" w:type="dxa"/>
            <w:tcBorders>
              <w:top w:val="nil"/>
              <w:left w:val="nil"/>
              <w:bottom w:val="single" w:sz="4" w:space="0" w:color="auto"/>
              <w:right w:val="nil"/>
            </w:tcBorders>
            <w:shd w:val="clear" w:color="auto" w:fill="auto"/>
            <w:noWrap/>
            <w:vAlign w:val="bottom"/>
            <w:hideMark/>
          </w:tcPr>
          <w:p w14:paraId="154151AA"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p>
        </w:tc>
        <w:tc>
          <w:tcPr>
            <w:tcW w:w="849" w:type="dxa"/>
            <w:tcBorders>
              <w:top w:val="nil"/>
              <w:left w:val="nil"/>
              <w:bottom w:val="single" w:sz="4" w:space="0" w:color="auto"/>
              <w:right w:val="nil"/>
            </w:tcBorders>
            <w:shd w:val="clear" w:color="auto" w:fill="auto"/>
            <w:noWrap/>
            <w:vAlign w:val="center"/>
            <w:hideMark/>
          </w:tcPr>
          <w:p w14:paraId="05E69465" w14:textId="21DDD8BD" w:rsidR="00A665ED" w:rsidRPr="00033A3F" w:rsidRDefault="00A665ED" w:rsidP="00A665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994" w:type="dxa"/>
            <w:tcBorders>
              <w:top w:val="nil"/>
              <w:left w:val="single" w:sz="4" w:space="0" w:color="auto"/>
              <w:bottom w:val="single" w:sz="4" w:space="0" w:color="auto"/>
              <w:right w:val="nil"/>
            </w:tcBorders>
            <w:shd w:val="clear" w:color="auto" w:fill="auto"/>
            <w:noWrap/>
            <w:vAlign w:val="bottom"/>
            <w:hideMark/>
          </w:tcPr>
          <w:p w14:paraId="79D78B8E"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p>
        </w:tc>
        <w:tc>
          <w:tcPr>
            <w:tcW w:w="954" w:type="dxa"/>
            <w:tcBorders>
              <w:top w:val="nil"/>
              <w:left w:val="nil"/>
              <w:bottom w:val="single" w:sz="4" w:space="0" w:color="auto"/>
              <w:right w:val="single" w:sz="4" w:space="0" w:color="auto"/>
            </w:tcBorders>
            <w:shd w:val="clear" w:color="auto" w:fill="auto"/>
            <w:noWrap/>
            <w:vAlign w:val="center"/>
            <w:hideMark/>
          </w:tcPr>
          <w:p w14:paraId="5D11AE83" w14:textId="56D08627"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30" w:type="dxa"/>
            <w:tcBorders>
              <w:top w:val="nil"/>
              <w:left w:val="nil"/>
              <w:bottom w:val="single" w:sz="4" w:space="0" w:color="auto"/>
              <w:right w:val="nil"/>
            </w:tcBorders>
            <w:shd w:val="clear" w:color="auto" w:fill="auto"/>
            <w:noWrap/>
            <w:vAlign w:val="bottom"/>
            <w:hideMark/>
          </w:tcPr>
          <w:p w14:paraId="0A60AF09"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w:t>
            </w:r>
          </w:p>
        </w:tc>
        <w:tc>
          <w:tcPr>
            <w:tcW w:w="918" w:type="dxa"/>
            <w:tcBorders>
              <w:top w:val="nil"/>
              <w:left w:val="nil"/>
              <w:bottom w:val="single" w:sz="4" w:space="0" w:color="auto"/>
              <w:right w:val="single" w:sz="4" w:space="0" w:color="auto"/>
            </w:tcBorders>
            <w:shd w:val="clear" w:color="auto" w:fill="auto"/>
            <w:noWrap/>
            <w:vAlign w:val="center"/>
            <w:hideMark/>
          </w:tcPr>
          <w:p w14:paraId="3A279EC6" w14:textId="18B7688D"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276" w:type="dxa"/>
            <w:tcBorders>
              <w:top w:val="nil"/>
              <w:left w:val="nil"/>
              <w:bottom w:val="single" w:sz="4" w:space="0" w:color="auto"/>
              <w:right w:val="nil"/>
            </w:tcBorders>
            <w:shd w:val="clear" w:color="auto" w:fill="auto"/>
            <w:noWrap/>
            <w:vAlign w:val="center"/>
            <w:hideMark/>
          </w:tcPr>
          <w:p w14:paraId="1D02D5BE" w14:textId="2D843AE5"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1 %</w:t>
            </w:r>
          </w:p>
        </w:tc>
      </w:tr>
      <w:tr w:rsidR="00BF0CC3" w:rsidRPr="00033A3F" w14:paraId="1E2FEFFC"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614D7FB1"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99" w:type="dxa"/>
            <w:tcBorders>
              <w:top w:val="nil"/>
              <w:left w:val="nil"/>
              <w:bottom w:val="single" w:sz="4" w:space="0" w:color="auto"/>
              <w:right w:val="nil"/>
            </w:tcBorders>
            <w:shd w:val="clear" w:color="auto" w:fill="auto"/>
            <w:noWrap/>
            <w:vAlign w:val="bottom"/>
            <w:hideMark/>
          </w:tcPr>
          <w:p w14:paraId="7528A2D5"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w:t>
            </w:r>
          </w:p>
        </w:tc>
        <w:tc>
          <w:tcPr>
            <w:tcW w:w="849" w:type="dxa"/>
            <w:tcBorders>
              <w:top w:val="nil"/>
              <w:left w:val="nil"/>
              <w:bottom w:val="single" w:sz="4" w:space="0" w:color="auto"/>
              <w:right w:val="nil"/>
            </w:tcBorders>
            <w:shd w:val="clear" w:color="auto" w:fill="auto"/>
            <w:noWrap/>
            <w:vAlign w:val="center"/>
            <w:hideMark/>
          </w:tcPr>
          <w:p w14:paraId="32FBB70C" w14:textId="4F32AFA8"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94" w:type="dxa"/>
            <w:tcBorders>
              <w:top w:val="nil"/>
              <w:left w:val="single" w:sz="4" w:space="0" w:color="auto"/>
              <w:bottom w:val="single" w:sz="4" w:space="0" w:color="auto"/>
              <w:right w:val="nil"/>
            </w:tcBorders>
            <w:shd w:val="clear" w:color="auto" w:fill="auto"/>
            <w:noWrap/>
            <w:vAlign w:val="bottom"/>
            <w:hideMark/>
          </w:tcPr>
          <w:p w14:paraId="7DAA0FF6"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182</w:t>
            </w:r>
          </w:p>
        </w:tc>
        <w:tc>
          <w:tcPr>
            <w:tcW w:w="954" w:type="dxa"/>
            <w:tcBorders>
              <w:top w:val="nil"/>
              <w:left w:val="nil"/>
              <w:bottom w:val="single" w:sz="4" w:space="0" w:color="auto"/>
              <w:right w:val="single" w:sz="4" w:space="0" w:color="auto"/>
            </w:tcBorders>
            <w:shd w:val="clear" w:color="auto" w:fill="auto"/>
            <w:noWrap/>
            <w:vAlign w:val="center"/>
            <w:hideMark/>
          </w:tcPr>
          <w:p w14:paraId="003350F3" w14:textId="66898FFA"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30" w:type="dxa"/>
            <w:tcBorders>
              <w:top w:val="nil"/>
              <w:left w:val="nil"/>
              <w:bottom w:val="single" w:sz="4" w:space="0" w:color="auto"/>
              <w:right w:val="nil"/>
            </w:tcBorders>
            <w:shd w:val="clear" w:color="auto" w:fill="auto"/>
            <w:noWrap/>
            <w:vAlign w:val="bottom"/>
            <w:hideMark/>
          </w:tcPr>
          <w:p w14:paraId="4BB52210"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116</w:t>
            </w:r>
          </w:p>
        </w:tc>
        <w:tc>
          <w:tcPr>
            <w:tcW w:w="918" w:type="dxa"/>
            <w:tcBorders>
              <w:top w:val="nil"/>
              <w:left w:val="nil"/>
              <w:bottom w:val="single" w:sz="4" w:space="0" w:color="auto"/>
              <w:right w:val="single" w:sz="4" w:space="0" w:color="auto"/>
            </w:tcBorders>
            <w:shd w:val="clear" w:color="auto" w:fill="auto"/>
            <w:noWrap/>
            <w:vAlign w:val="center"/>
            <w:hideMark/>
          </w:tcPr>
          <w:p w14:paraId="7EE8AAF5" w14:textId="466562C1"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276" w:type="dxa"/>
            <w:tcBorders>
              <w:top w:val="nil"/>
              <w:left w:val="nil"/>
              <w:bottom w:val="single" w:sz="4" w:space="0" w:color="auto"/>
              <w:right w:val="nil"/>
            </w:tcBorders>
            <w:shd w:val="clear" w:color="auto" w:fill="auto"/>
            <w:noWrap/>
            <w:vAlign w:val="center"/>
            <w:hideMark/>
          </w:tcPr>
          <w:p w14:paraId="3EF37DDA" w14:textId="192B5C23"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BF0CC3" w:rsidRPr="00033A3F" w14:paraId="35971553"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30165D95"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99" w:type="dxa"/>
            <w:tcBorders>
              <w:top w:val="nil"/>
              <w:left w:val="nil"/>
              <w:bottom w:val="single" w:sz="4" w:space="0" w:color="auto"/>
              <w:right w:val="nil"/>
            </w:tcBorders>
            <w:shd w:val="clear" w:color="auto" w:fill="auto"/>
            <w:noWrap/>
            <w:vAlign w:val="bottom"/>
            <w:hideMark/>
          </w:tcPr>
          <w:p w14:paraId="6510D818"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849" w:type="dxa"/>
            <w:tcBorders>
              <w:top w:val="nil"/>
              <w:left w:val="nil"/>
              <w:bottom w:val="single" w:sz="4" w:space="0" w:color="auto"/>
              <w:right w:val="nil"/>
            </w:tcBorders>
            <w:shd w:val="clear" w:color="auto" w:fill="auto"/>
            <w:noWrap/>
            <w:vAlign w:val="center"/>
            <w:hideMark/>
          </w:tcPr>
          <w:p w14:paraId="523F0F0C" w14:textId="3A8A6666"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94" w:type="dxa"/>
            <w:tcBorders>
              <w:top w:val="nil"/>
              <w:left w:val="single" w:sz="4" w:space="0" w:color="auto"/>
              <w:bottom w:val="single" w:sz="4" w:space="0" w:color="auto"/>
              <w:right w:val="nil"/>
            </w:tcBorders>
            <w:shd w:val="clear" w:color="auto" w:fill="auto"/>
            <w:noWrap/>
            <w:vAlign w:val="bottom"/>
            <w:hideMark/>
          </w:tcPr>
          <w:p w14:paraId="583122A3"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73</w:t>
            </w:r>
          </w:p>
        </w:tc>
        <w:tc>
          <w:tcPr>
            <w:tcW w:w="954" w:type="dxa"/>
            <w:tcBorders>
              <w:top w:val="nil"/>
              <w:left w:val="nil"/>
              <w:bottom w:val="single" w:sz="4" w:space="0" w:color="auto"/>
              <w:right w:val="single" w:sz="4" w:space="0" w:color="auto"/>
            </w:tcBorders>
            <w:shd w:val="clear" w:color="auto" w:fill="auto"/>
            <w:noWrap/>
            <w:vAlign w:val="center"/>
            <w:hideMark/>
          </w:tcPr>
          <w:p w14:paraId="700ABAE7" w14:textId="6A871A30"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30" w:type="dxa"/>
            <w:tcBorders>
              <w:top w:val="nil"/>
              <w:left w:val="nil"/>
              <w:bottom w:val="single" w:sz="4" w:space="0" w:color="auto"/>
              <w:right w:val="nil"/>
            </w:tcBorders>
            <w:shd w:val="clear" w:color="auto" w:fill="auto"/>
            <w:noWrap/>
            <w:vAlign w:val="bottom"/>
            <w:hideMark/>
          </w:tcPr>
          <w:p w14:paraId="66B11B23"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918" w:type="dxa"/>
            <w:tcBorders>
              <w:top w:val="nil"/>
              <w:left w:val="nil"/>
              <w:bottom w:val="single" w:sz="4" w:space="0" w:color="auto"/>
              <w:right w:val="single" w:sz="4" w:space="0" w:color="auto"/>
            </w:tcBorders>
            <w:shd w:val="clear" w:color="auto" w:fill="auto"/>
            <w:noWrap/>
            <w:vAlign w:val="center"/>
            <w:hideMark/>
          </w:tcPr>
          <w:p w14:paraId="336B0B39" w14:textId="5C049A0C"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276" w:type="dxa"/>
            <w:tcBorders>
              <w:top w:val="nil"/>
              <w:left w:val="nil"/>
              <w:bottom w:val="single" w:sz="4" w:space="0" w:color="auto"/>
              <w:right w:val="nil"/>
            </w:tcBorders>
            <w:shd w:val="clear" w:color="auto" w:fill="auto"/>
            <w:noWrap/>
            <w:vAlign w:val="center"/>
            <w:hideMark/>
          </w:tcPr>
          <w:p w14:paraId="2C9A46B3" w14:textId="0847E3C4"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1 %</w:t>
            </w:r>
          </w:p>
        </w:tc>
      </w:tr>
      <w:tr w:rsidR="00BF0CC3" w:rsidRPr="00033A3F" w14:paraId="78DB3EAD"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0019D1E5"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99" w:type="dxa"/>
            <w:tcBorders>
              <w:top w:val="nil"/>
              <w:left w:val="nil"/>
              <w:bottom w:val="single" w:sz="4" w:space="0" w:color="auto"/>
              <w:right w:val="nil"/>
            </w:tcBorders>
            <w:shd w:val="clear" w:color="auto" w:fill="auto"/>
            <w:noWrap/>
            <w:vAlign w:val="bottom"/>
            <w:hideMark/>
          </w:tcPr>
          <w:p w14:paraId="7995EF44"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185</w:t>
            </w:r>
          </w:p>
        </w:tc>
        <w:tc>
          <w:tcPr>
            <w:tcW w:w="849" w:type="dxa"/>
            <w:tcBorders>
              <w:top w:val="nil"/>
              <w:left w:val="nil"/>
              <w:bottom w:val="single" w:sz="4" w:space="0" w:color="auto"/>
              <w:right w:val="nil"/>
            </w:tcBorders>
            <w:shd w:val="clear" w:color="auto" w:fill="auto"/>
            <w:noWrap/>
            <w:vAlign w:val="center"/>
            <w:hideMark/>
          </w:tcPr>
          <w:p w14:paraId="080902F0" w14:textId="3796ACCE"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4" w:type="dxa"/>
            <w:tcBorders>
              <w:top w:val="nil"/>
              <w:left w:val="single" w:sz="4" w:space="0" w:color="auto"/>
              <w:bottom w:val="single" w:sz="4" w:space="0" w:color="auto"/>
              <w:right w:val="nil"/>
            </w:tcBorders>
            <w:shd w:val="clear" w:color="auto" w:fill="auto"/>
            <w:noWrap/>
            <w:vAlign w:val="bottom"/>
            <w:hideMark/>
          </w:tcPr>
          <w:p w14:paraId="5CC25C6B"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195</w:t>
            </w:r>
          </w:p>
        </w:tc>
        <w:tc>
          <w:tcPr>
            <w:tcW w:w="954" w:type="dxa"/>
            <w:tcBorders>
              <w:top w:val="nil"/>
              <w:left w:val="nil"/>
              <w:bottom w:val="single" w:sz="4" w:space="0" w:color="auto"/>
              <w:right w:val="single" w:sz="4" w:space="0" w:color="auto"/>
            </w:tcBorders>
            <w:shd w:val="clear" w:color="auto" w:fill="auto"/>
            <w:noWrap/>
            <w:vAlign w:val="center"/>
            <w:hideMark/>
          </w:tcPr>
          <w:p w14:paraId="27606DA8" w14:textId="2A702AA3" w:rsidR="00A665ED" w:rsidRPr="00033A3F" w:rsidRDefault="00A665ED" w:rsidP="00A665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30" w:type="dxa"/>
            <w:tcBorders>
              <w:top w:val="nil"/>
              <w:left w:val="nil"/>
              <w:bottom w:val="single" w:sz="4" w:space="0" w:color="auto"/>
              <w:right w:val="nil"/>
            </w:tcBorders>
            <w:shd w:val="clear" w:color="auto" w:fill="auto"/>
            <w:noWrap/>
            <w:vAlign w:val="bottom"/>
            <w:hideMark/>
          </w:tcPr>
          <w:p w14:paraId="395B9861"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p>
        </w:tc>
        <w:tc>
          <w:tcPr>
            <w:tcW w:w="918" w:type="dxa"/>
            <w:tcBorders>
              <w:top w:val="nil"/>
              <w:left w:val="nil"/>
              <w:bottom w:val="single" w:sz="4" w:space="0" w:color="auto"/>
              <w:right w:val="single" w:sz="4" w:space="0" w:color="auto"/>
            </w:tcBorders>
            <w:shd w:val="clear" w:color="auto" w:fill="auto"/>
            <w:noWrap/>
            <w:vAlign w:val="center"/>
            <w:hideMark/>
          </w:tcPr>
          <w:p w14:paraId="09F18C9F" w14:textId="2C2073DA"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276" w:type="dxa"/>
            <w:tcBorders>
              <w:top w:val="nil"/>
              <w:left w:val="nil"/>
              <w:bottom w:val="single" w:sz="4" w:space="0" w:color="auto"/>
              <w:right w:val="nil"/>
            </w:tcBorders>
            <w:shd w:val="clear" w:color="auto" w:fill="auto"/>
            <w:noWrap/>
            <w:vAlign w:val="center"/>
            <w:hideMark/>
          </w:tcPr>
          <w:p w14:paraId="12AC58E7" w14:textId="264C3F18"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582497EE" w14:textId="77777777" w:rsidTr="0076608D">
        <w:trPr>
          <w:trHeight w:val="330"/>
        </w:trPr>
        <w:tc>
          <w:tcPr>
            <w:tcW w:w="2020" w:type="dxa"/>
            <w:tcBorders>
              <w:top w:val="nil"/>
              <w:left w:val="nil"/>
              <w:bottom w:val="double" w:sz="6" w:space="0" w:color="auto"/>
              <w:right w:val="nil"/>
            </w:tcBorders>
            <w:shd w:val="clear" w:color="auto" w:fill="auto"/>
            <w:noWrap/>
            <w:vAlign w:val="bottom"/>
            <w:hideMark/>
          </w:tcPr>
          <w:p w14:paraId="0E006BDC"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99" w:type="dxa"/>
            <w:tcBorders>
              <w:top w:val="nil"/>
              <w:left w:val="nil"/>
              <w:bottom w:val="double" w:sz="6" w:space="0" w:color="auto"/>
              <w:right w:val="nil"/>
            </w:tcBorders>
            <w:shd w:val="clear" w:color="auto" w:fill="auto"/>
            <w:noWrap/>
            <w:vAlign w:val="bottom"/>
            <w:hideMark/>
          </w:tcPr>
          <w:p w14:paraId="413697E3"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177</w:t>
            </w:r>
          </w:p>
        </w:tc>
        <w:tc>
          <w:tcPr>
            <w:tcW w:w="849" w:type="dxa"/>
            <w:tcBorders>
              <w:top w:val="nil"/>
              <w:left w:val="nil"/>
              <w:bottom w:val="double" w:sz="6" w:space="0" w:color="auto"/>
              <w:right w:val="nil"/>
            </w:tcBorders>
            <w:shd w:val="clear" w:color="auto" w:fill="auto"/>
            <w:noWrap/>
            <w:vAlign w:val="center"/>
            <w:hideMark/>
          </w:tcPr>
          <w:p w14:paraId="666DA572" w14:textId="7409345B"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994" w:type="dxa"/>
            <w:tcBorders>
              <w:top w:val="nil"/>
              <w:left w:val="single" w:sz="4" w:space="0" w:color="auto"/>
              <w:bottom w:val="double" w:sz="6" w:space="0" w:color="auto"/>
              <w:right w:val="nil"/>
            </w:tcBorders>
            <w:shd w:val="clear" w:color="auto" w:fill="auto"/>
            <w:noWrap/>
            <w:vAlign w:val="bottom"/>
            <w:hideMark/>
          </w:tcPr>
          <w:p w14:paraId="1770F948"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206</w:t>
            </w:r>
          </w:p>
        </w:tc>
        <w:tc>
          <w:tcPr>
            <w:tcW w:w="954" w:type="dxa"/>
            <w:tcBorders>
              <w:top w:val="nil"/>
              <w:left w:val="nil"/>
              <w:bottom w:val="double" w:sz="6" w:space="0" w:color="auto"/>
              <w:right w:val="single" w:sz="4" w:space="0" w:color="auto"/>
            </w:tcBorders>
            <w:shd w:val="clear" w:color="auto" w:fill="auto"/>
            <w:noWrap/>
            <w:vAlign w:val="center"/>
            <w:hideMark/>
          </w:tcPr>
          <w:p w14:paraId="64180417" w14:textId="202A6FD0"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030" w:type="dxa"/>
            <w:tcBorders>
              <w:top w:val="nil"/>
              <w:left w:val="nil"/>
              <w:bottom w:val="double" w:sz="6" w:space="0" w:color="auto"/>
              <w:right w:val="nil"/>
            </w:tcBorders>
            <w:shd w:val="clear" w:color="auto" w:fill="auto"/>
            <w:noWrap/>
            <w:vAlign w:val="bottom"/>
            <w:hideMark/>
          </w:tcPr>
          <w:p w14:paraId="0861C465"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w:t>
            </w:r>
          </w:p>
        </w:tc>
        <w:tc>
          <w:tcPr>
            <w:tcW w:w="918" w:type="dxa"/>
            <w:tcBorders>
              <w:top w:val="nil"/>
              <w:left w:val="nil"/>
              <w:bottom w:val="double" w:sz="6" w:space="0" w:color="auto"/>
              <w:right w:val="single" w:sz="4" w:space="0" w:color="auto"/>
            </w:tcBorders>
            <w:shd w:val="clear" w:color="auto" w:fill="auto"/>
            <w:noWrap/>
            <w:vAlign w:val="center"/>
            <w:hideMark/>
          </w:tcPr>
          <w:p w14:paraId="29B80898" w14:textId="17102FA5"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276" w:type="dxa"/>
            <w:tcBorders>
              <w:top w:val="nil"/>
              <w:left w:val="nil"/>
              <w:bottom w:val="nil"/>
              <w:right w:val="nil"/>
            </w:tcBorders>
            <w:shd w:val="clear" w:color="auto" w:fill="auto"/>
            <w:noWrap/>
            <w:vAlign w:val="center"/>
            <w:hideMark/>
          </w:tcPr>
          <w:p w14:paraId="142E8803" w14:textId="3C237ABF"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116</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44EBE0E7" w14:textId="77777777" w:rsidTr="0076608D">
        <w:trPr>
          <w:trHeight w:val="345"/>
        </w:trPr>
        <w:tc>
          <w:tcPr>
            <w:tcW w:w="2020" w:type="dxa"/>
            <w:tcBorders>
              <w:top w:val="nil"/>
              <w:left w:val="nil"/>
              <w:bottom w:val="double" w:sz="6" w:space="0" w:color="auto"/>
              <w:right w:val="nil"/>
            </w:tcBorders>
            <w:shd w:val="clear" w:color="auto" w:fill="auto"/>
            <w:noWrap/>
            <w:vAlign w:val="bottom"/>
            <w:hideMark/>
          </w:tcPr>
          <w:p w14:paraId="0EE5722F" w14:textId="77777777" w:rsidR="00A665ED" w:rsidRPr="00033A3F" w:rsidRDefault="00A665ED" w:rsidP="00A665E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99" w:type="dxa"/>
            <w:tcBorders>
              <w:top w:val="nil"/>
              <w:left w:val="nil"/>
              <w:bottom w:val="double" w:sz="6" w:space="0" w:color="auto"/>
              <w:right w:val="nil"/>
            </w:tcBorders>
            <w:shd w:val="clear" w:color="auto" w:fill="auto"/>
            <w:noWrap/>
            <w:vAlign w:val="bottom"/>
            <w:hideMark/>
          </w:tcPr>
          <w:p w14:paraId="135A3E0F" w14:textId="6229C0E8"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22573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209</w:t>
            </w:r>
          </w:p>
        </w:tc>
        <w:tc>
          <w:tcPr>
            <w:tcW w:w="849" w:type="dxa"/>
            <w:tcBorders>
              <w:top w:val="nil"/>
              <w:left w:val="nil"/>
              <w:bottom w:val="double" w:sz="6" w:space="0" w:color="auto"/>
              <w:right w:val="nil"/>
            </w:tcBorders>
            <w:shd w:val="clear" w:color="auto" w:fill="auto"/>
            <w:noWrap/>
            <w:vAlign w:val="center"/>
            <w:hideMark/>
          </w:tcPr>
          <w:p w14:paraId="080B75C8" w14:textId="63007F71" w:rsidR="00A665ED" w:rsidRPr="00033A3F" w:rsidRDefault="00A665ED"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994" w:type="dxa"/>
            <w:tcBorders>
              <w:top w:val="nil"/>
              <w:left w:val="single" w:sz="4" w:space="0" w:color="auto"/>
              <w:bottom w:val="double" w:sz="6" w:space="0" w:color="auto"/>
              <w:right w:val="nil"/>
            </w:tcBorders>
            <w:shd w:val="clear" w:color="auto" w:fill="auto"/>
            <w:noWrap/>
            <w:vAlign w:val="bottom"/>
            <w:hideMark/>
          </w:tcPr>
          <w:p w14:paraId="3AB23334" w14:textId="76DA634A"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22573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180</w:t>
            </w:r>
          </w:p>
        </w:tc>
        <w:tc>
          <w:tcPr>
            <w:tcW w:w="954" w:type="dxa"/>
            <w:tcBorders>
              <w:top w:val="nil"/>
              <w:left w:val="nil"/>
              <w:bottom w:val="double" w:sz="6" w:space="0" w:color="auto"/>
              <w:right w:val="single" w:sz="4" w:space="0" w:color="auto"/>
            </w:tcBorders>
            <w:shd w:val="clear" w:color="auto" w:fill="auto"/>
            <w:noWrap/>
            <w:vAlign w:val="center"/>
            <w:hideMark/>
          </w:tcPr>
          <w:p w14:paraId="6163188C" w14:textId="2525FC3A" w:rsidR="00A665ED" w:rsidRPr="00033A3F" w:rsidRDefault="00A665ED"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030" w:type="dxa"/>
            <w:tcBorders>
              <w:top w:val="nil"/>
              <w:left w:val="nil"/>
              <w:bottom w:val="double" w:sz="6" w:space="0" w:color="auto"/>
              <w:right w:val="nil"/>
            </w:tcBorders>
            <w:shd w:val="clear" w:color="auto" w:fill="auto"/>
            <w:noWrap/>
            <w:vAlign w:val="bottom"/>
            <w:hideMark/>
          </w:tcPr>
          <w:p w14:paraId="31B197B7"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626</w:t>
            </w:r>
          </w:p>
        </w:tc>
        <w:tc>
          <w:tcPr>
            <w:tcW w:w="918" w:type="dxa"/>
            <w:tcBorders>
              <w:top w:val="nil"/>
              <w:left w:val="nil"/>
              <w:bottom w:val="double" w:sz="6" w:space="0" w:color="auto"/>
              <w:right w:val="single" w:sz="4" w:space="0" w:color="auto"/>
            </w:tcBorders>
            <w:shd w:val="clear" w:color="auto" w:fill="auto"/>
            <w:noWrap/>
            <w:vAlign w:val="center"/>
            <w:hideMark/>
          </w:tcPr>
          <w:p w14:paraId="05160DB1" w14:textId="3D49FF4F" w:rsidR="00A665ED" w:rsidRPr="00033A3F" w:rsidRDefault="00A665ED"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+5 %</w:t>
            </w:r>
          </w:p>
        </w:tc>
        <w:tc>
          <w:tcPr>
            <w:tcW w:w="1276" w:type="dxa"/>
            <w:tcBorders>
              <w:top w:val="double" w:sz="6" w:space="0" w:color="auto"/>
              <w:left w:val="nil"/>
              <w:bottom w:val="double" w:sz="6" w:space="0" w:color="auto"/>
              <w:right w:val="nil"/>
            </w:tcBorders>
            <w:shd w:val="clear" w:color="auto" w:fill="auto"/>
            <w:noWrap/>
            <w:vAlign w:val="center"/>
            <w:hideMark/>
          </w:tcPr>
          <w:p w14:paraId="3A17FA58" w14:textId="0E3D5670"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97</w:t>
            </w:r>
            <w:r w:rsidR="0022573E"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6 %</w:t>
            </w:r>
          </w:p>
        </w:tc>
      </w:tr>
      <w:tr w:rsidR="00BF0CC3" w:rsidRPr="00033A3F" w14:paraId="4A52E114" w14:textId="77777777" w:rsidTr="0076608D">
        <w:trPr>
          <w:trHeight w:val="330"/>
        </w:trPr>
        <w:tc>
          <w:tcPr>
            <w:tcW w:w="2020" w:type="dxa"/>
            <w:tcBorders>
              <w:top w:val="nil"/>
              <w:left w:val="nil"/>
              <w:bottom w:val="nil"/>
              <w:right w:val="nil"/>
            </w:tcBorders>
            <w:shd w:val="clear" w:color="auto" w:fill="auto"/>
            <w:noWrap/>
            <w:vAlign w:val="bottom"/>
            <w:hideMark/>
          </w:tcPr>
          <w:p w14:paraId="281FDD14" w14:textId="77777777" w:rsidR="00A665ED" w:rsidRPr="00033A3F" w:rsidRDefault="00A665ED" w:rsidP="00A665ED">
            <w:pPr>
              <w:spacing w:line="240" w:lineRule="auto"/>
              <w:jc w:val="center"/>
              <w:rPr>
                <w:rFonts w:eastAsia="Times New Roman"/>
                <w:b/>
                <w:bCs/>
                <w:color w:val="000000" w:themeColor="text1"/>
                <w:szCs w:val="24"/>
                <w:lang w:eastAsia="cs-CZ"/>
              </w:rPr>
            </w:pPr>
          </w:p>
        </w:tc>
        <w:tc>
          <w:tcPr>
            <w:tcW w:w="1099" w:type="dxa"/>
            <w:tcBorders>
              <w:top w:val="nil"/>
              <w:left w:val="nil"/>
              <w:bottom w:val="nil"/>
              <w:right w:val="nil"/>
            </w:tcBorders>
            <w:shd w:val="clear" w:color="auto" w:fill="auto"/>
            <w:noWrap/>
            <w:vAlign w:val="bottom"/>
            <w:hideMark/>
          </w:tcPr>
          <w:p w14:paraId="697115F7"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849" w:type="dxa"/>
            <w:tcBorders>
              <w:top w:val="nil"/>
              <w:left w:val="nil"/>
              <w:bottom w:val="nil"/>
              <w:right w:val="nil"/>
            </w:tcBorders>
            <w:shd w:val="clear" w:color="auto" w:fill="auto"/>
            <w:noWrap/>
            <w:vAlign w:val="bottom"/>
            <w:hideMark/>
          </w:tcPr>
          <w:p w14:paraId="32648C6F"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994" w:type="dxa"/>
            <w:tcBorders>
              <w:top w:val="nil"/>
              <w:left w:val="nil"/>
              <w:bottom w:val="nil"/>
              <w:right w:val="nil"/>
            </w:tcBorders>
            <w:shd w:val="clear" w:color="auto" w:fill="auto"/>
            <w:noWrap/>
            <w:vAlign w:val="bottom"/>
            <w:hideMark/>
          </w:tcPr>
          <w:p w14:paraId="566C40C9"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954" w:type="dxa"/>
            <w:tcBorders>
              <w:top w:val="nil"/>
              <w:left w:val="nil"/>
              <w:bottom w:val="nil"/>
              <w:right w:val="nil"/>
            </w:tcBorders>
            <w:shd w:val="clear" w:color="auto" w:fill="auto"/>
            <w:noWrap/>
            <w:vAlign w:val="bottom"/>
            <w:hideMark/>
          </w:tcPr>
          <w:p w14:paraId="11FE3D48"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1030" w:type="dxa"/>
            <w:tcBorders>
              <w:top w:val="nil"/>
              <w:left w:val="nil"/>
              <w:bottom w:val="nil"/>
              <w:right w:val="nil"/>
            </w:tcBorders>
            <w:shd w:val="clear" w:color="auto" w:fill="auto"/>
            <w:noWrap/>
            <w:vAlign w:val="bottom"/>
            <w:hideMark/>
          </w:tcPr>
          <w:p w14:paraId="6181B9F6"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918" w:type="dxa"/>
            <w:tcBorders>
              <w:top w:val="nil"/>
              <w:left w:val="nil"/>
              <w:bottom w:val="nil"/>
              <w:right w:val="nil"/>
            </w:tcBorders>
            <w:shd w:val="clear" w:color="auto" w:fill="auto"/>
            <w:noWrap/>
            <w:vAlign w:val="bottom"/>
            <w:hideMark/>
          </w:tcPr>
          <w:p w14:paraId="48C80528"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1276" w:type="dxa"/>
            <w:tcBorders>
              <w:top w:val="nil"/>
              <w:left w:val="nil"/>
              <w:bottom w:val="nil"/>
              <w:right w:val="nil"/>
            </w:tcBorders>
            <w:shd w:val="clear" w:color="auto" w:fill="auto"/>
            <w:noWrap/>
            <w:vAlign w:val="bottom"/>
            <w:hideMark/>
          </w:tcPr>
          <w:p w14:paraId="3C7AB3DC"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r>
    </w:tbl>
    <w:p w14:paraId="228DD3FE" w14:textId="0077BEE8" w:rsidR="0022573E" w:rsidRPr="00033A3F" w:rsidRDefault="0022573E" w:rsidP="0022573E">
      <w:pPr>
        <w:pStyle w:val="OdstavecASR"/>
        <w:rPr>
          <w:color w:val="000000" w:themeColor="text1"/>
        </w:rPr>
      </w:pPr>
      <w:r w:rsidRPr="00033A3F">
        <w:rPr>
          <w:color w:val="000000" w:themeColor="text1"/>
        </w:rPr>
        <w:t xml:space="preserve">Z tabulky vyčteme, že 3 z 8 soudů měly méně příchozích věcí (nápad </w:t>
      </w:r>
      <w:r w:rsidR="00E7087C" w:rsidRPr="00033A3F">
        <w:rPr>
          <w:color w:val="000000" w:themeColor="text1"/>
        </w:rPr>
        <w:t>a</w:t>
      </w:r>
      <w:r w:rsidRPr="00033A3F">
        <w:rPr>
          <w:color w:val="000000" w:themeColor="text1"/>
        </w:rPr>
        <w:t xml:space="preserve"> obživlé věci) než věcí vyřízených. Nejnižší míru vyřizování měl MS Praha (87,3 %) a nejvyšší KS Ostrava (116,4 %). Rozdíly v absolutních číslech jsou však relativně malé – pokud by například KS České Budějovice vyřídil jen o 1 věc méně, vykázal by míru vyřizování 100 %. Důvodem je to, že počet věcí v této agendě je velmi malý.</w:t>
      </w:r>
    </w:p>
    <w:p w14:paraId="360A8F51" w14:textId="77777777" w:rsidR="0022573E" w:rsidRPr="00033A3F" w:rsidRDefault="0022573E" w:rsidP="0022573E">
      <w:pPr>
        <w:pStyle w:val="OdstavecASR"/>
        <w:rPr>
          <w:color w:val="000000" w:themeColor="text1"/>
        </w:rPr>
      </w:pPr>
      <w:r w:rsidRPr="00033A3F">
        <w:rPr>
          <w:color w:val="000000" w:themeColor="text1"/>
        </w:rPr>
        <w:t>Počet příchozích, vyřízených a nevyřízených věcí samozřejmě úzce souvisí s velikostí soudu. Pro lepší porovnání soudů je tedy v příštích podkapitolách</w:t>
      </w:r>
      <w:r w:rsidRPr="00033A3F" w:rsidDel="00EA1996">
        <w:rPr>
          <w:color w:val="000000" w:themeColor="text1"/>
        </w:rPr>
        <w:t xml:space="preserve"> </w:t>
      </w:r>
      <w:r w:rsidRPr="00033A3F">
        <w:rPr>
          <w:color w:val="000000" w:themeColor="text1"/>
        </w:rPr>
        <w:t>opět využit přepočet na soudce a disposition time. I u těchto ukazatelů však hraje roli malý počet pozorování.</w:t>
      </w:r>
    </w:p>
    <w:p w14:paraId="6387D384" w14:textId="124AEB2B" w:rsidR="00577F29" w:rsidRPr="00033A3F" w:rsidRDefault="00577F29" w:rsidP="00DD0A0A">
      <w:pPr>
        <w:pStyle w:val="Nadpis3"/>
        <w:numPr>
          <w:ilvl w:val="2"/>
          <w:numId w:val="1"/>
        </w:numPr>
        <w:rPr>
          <w:color w:val="000000" w:themeColor="text1"/>
        </w:rPr>
      </w:pPr>
      <w:bookmarkStart w:id="1439" w:name="_Toc106092766"/>
      <w:bookmarkStart w:id="1440" w:name="_Toc169250842"/>
      <w:bookmarkStart w:id="1441" w:name="_Toc193531004"/>
      <w:bookmarkStart w:id="1442" w:name="_Toc193957060"/>
      <w:bookmarkStart w:id="1443" w:name="_Toc203032750"/>
      <w:r w:rsidRPr="00033A3F">
        <w:rPr>
          <w:color w:val="000000" w:themeColor="text1"/>
        </w:rPr>
        <w:t>Vyřizování věcí v přepočtu na soudce</w:t>
      </w:r>
      <w:bookmarkEnd w:id="1439"/>
      <w:bookmarkEnd w:id="1440"/>
      <w:bookmarkEnd w:id="1441"/>
      <w:bookmarkEnd w:id="1442"/>
      <w:bookmarkEnd w:id="1443"/>
    </w:p>
    <w:p w14:paraId="15C21ECE" w14:textId="77777777" w:rsidR="0022573E" w:rsidRPr="00033A3F" w:rsidRDefault="0022573E" w:rsidP="0022573E">
      <w:pPr>
        <w:pStyle w:val="OdstavecASR"/>
        <w:rPr>
          <w:color w:val="000000" w:themeColor="text1"/>
        </w:rPr>
      </w:pPr>
      <w:r w:rsidRPr="00033A3F">
        <w:rPr>
          <w:color w:val="000000" w:themeColor="text1"/>
        </w:rPr>
        <w:t>V tabulce níže je uveden přepočet na skutečný počet soudců, resp. skutečný počet úvazků.</w:t>
      </w:r>
    </w:p>
    <w:p w14:paraId="018F629D" w14:textId="77777777" w:rsidR="00F465ED" w:rsidRPr="00033A3F" w:rsidRDefault="00F465ED">
      <w:pPr>
        <w:spacing w:after="160" w:line="259" w:lineRule="auto"/>
        <w:jc w:val="left"/>
        <w:rPr>
          <w:rFonts w:eastAsia="Times New Roman"/>
          <w:b/>
          <w:iCs/>
          <w:color w:val="000000" w:themeColor="text1"/>
          <w:spacing w:val="15"/>
          <w:szCs w:val="24"/>
        </w:rPr>
      </w:pPr>
      <w:bookmarkStart w:id="1444" w:name="_Toc144104297"/>
      <w:bookmarkStart w:id="1445" w:name="_Toc169251111"/>
      <w:bookmarkStart w:id="1446" w:name="_Toc174080797"/>
      <w:bookmarkStart w:id="1447" w:name="_Toc193530925"/>
      <w:bookmarkStart w:id="1448" w:name="_Toc194045622"/>
      <w:r w:rsidRPr="00033A3F">
        <w:rPr>
          <w:color w:val="000000" w:themeColor="text1"/>
        </w:rPr>
        <w:br w:type="page"/>
      </w:r>
    </w:p>
    <w:p w14:paraId="42635AC4" w14:textId="1DFCCF0B" w:rsidR="0022573E" w:rsidRPr="00033A3F" w:rsidRDefault="0022573E" w:rsidP="0022573E">
      <w:pPr>
        <w:pStyle w:val="Podnadpis"/>
        <w:numPr>
          <w:ilvl w:val="0"/>
          <w:numId w:val="0"/>
        </w:numPr>
        <w:rPr>
          <w:color w:val="000000" w:themeColor="text1"/>
        </w:rPr>
      </w:pPr>
      <w:bookmarkStart w:id="1449" w:name="_Toc199495032"/>
      <w:bookmarkStart w:id="1450" w:name="_Toc203033093"/>
      <w:bookmarkStart w:id="1451" w:name="_Toc203033171"/>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51</w:t>
      </w:r>
      <w:r w:rsidRPr="00033A3F">
        <w:rPr>
          <w:noProof/>
          <w:color w:val="000000" w:themeColor="text1"/>
        </w:rPr>
        <w:fldChar w:fldCharType="end"/>
      </w:r>
      <w:r w:rsidRPr="00033A3F">
        <w:rPr>
          <w:color w:val="000000" w:themeColor="text1"/>
        </w:rPr>
        <w:t xml:space="preserve">: KS – vyřiz. prvostupň. trest. věcí na </w:t>
      </w:r>
      <w:r w:rsidR="00F465ED" w:rsidRPr="00033A3F">
        <w:rPr>
          <w:color w:val="000000" w:themeColor="text1"/>
        </w:rPr>
        <w:t>skutečného soudce</w:t>
      </w:r>
      <w:r w:rsidRPr="00033A3F">
        <w:rPr>
          <w:color w:val="000000" w:themeColor="text1"/>
        </w:rPr>
        <w:t xml:space="preserve"> dle soudů</w:t>
      </w:r>
      <w:bookmarkEnd w:id="1444"/>
      <w:bookmarkEnd w:id="1445"/>
      <w:bookmarkEnd w:id="1446"/>
      <w:bookmarkEnd w:id="1447"/>
      <w:bookmarkEnd w:id="1448"/>
      <w:bookmarkEnd w:id="1449"/>
      <w:bookmarkEnd w:id="1450"/>
      <w:bookmarkEnd w:id="1451"/>
    </w:p>
    <w:tbl>
      <w:tblPr>
        <w:tblW w:w="9000" w:type="dxa"/>
        <w:tblCellMar>
          <w:left w:w="70" w:type="dxa"/>
          <w:right w:w="70" w:type="dxa"/>
        </w:tblCellMar>
        <w:tblLook w:val="04A0" w:firstRow="1" w:lastRow="0" w:firstColumn="1" w:lastColumn="0" w:noHBand="0" w:noVBand="1"/>
      </w:tblPr>
      <w:tblGrid>
        <w:gridCol w:w="1820"/>
        <w:gridCol w:w="1019"/>
        <w:gridCol w:w="980"/>
        <w:gridCol w:w="1213"/>
        <w:gridCol w:w="962"/>
        <w:gridCol w:w="1022"/>
        <w:gridCol w:w="962"/>
        <w:gridCol w:w="1022"/>
      </w:tblGrid>
      <w:tr w:rsidR="00374395" w:rsidRPr="00374395" w14:paraId="0A056E5F" w14:textId="77777777" w:rsidTr="00374395">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0404670A"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Soud</w:t>
            </w:r>
          </w:p>
        </w:tc>
        <w:tc>
          <w:tcPr>
            <w:tcW w:w="1019" w:type="dxa"/>
            <w:vMerge w:val="restart"/>
            <w:tcBorders>
              <w:top w:val="double" w:sz="6" w:space="0" w:color="auto"/>
              <w:left w:val="nil"/>
              <w:bottom w:val="double" w:sz="6" w:space="0" w:color="000000"/>
              <w:right w:val="nil"/>
            </w:tcBorders>
            <w:shd w:val="clear" w:color="auto" w:fill="auto"/>
            <w:vAlign w:val="center"/>
            <w:hideMark/>
          </w:tcPr>
          <w:p w14:paraId="37F18E00"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Počet úvazků</w:t>
            </w:r>
          </w:p>
        </w:tc>
        <w:tc>
          <w:tcPr>
            <w:tcW w:w="6161" w:type="dxa"/>
            <w:gridSpan w:val="6"/>
            <w:tcBorders>
              <w:top w:val="double" w:sz="6" w:space="0" w:color="auto"/>
              <w:left w:val="nil"/>
              <w:bottom w:val="nil"/>
              <w:right w:val="nil"/>
            </w:tcBorders>
            <w:shd w:val="clear" w:color="auto" w:fill="auto"/>
            <w:noWrap/>
            <w:vAlign w:val="center"/>
            <w:hideMark/>
          </w:tcPr>
          <w:p w14:paraId="48E165A6"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Délka řízení</w:t>
            </w:r>
          </w:p>
        </w:tc>
      </w:tr>
      <w:tr w:rsidR="00374395" w:rsidRPr="00374395" w14:paraId="601DD580" w14:textId="77777777" w:rsidTr="00374395">
        <w:trPr>
          <w:trHeight w:val="330"/>
        </w:trPr>
        <w:tc>
          <w:tcPr>
            <w:tcW w:w="1820" w:type="dxa"/>
            <w:vMerge/>
            <w:tcBorders>
              <w:top w:val="double" w:sz="6" w:space="0" w:color="auto"/>
              <w:left w:val="nil"/>
              <w:bottom w:val="double" w:sz="6" w:space="0" w:color="000000"/>
              <w:right w:val="nil"/>
            </w:tcBorders>
            <w:vAlign w:val="center"/>
            <w:hideMark/>
          </w:tcPr>
          <w:p w14:paraId="0D67D68E" w14:textId="77777777" w:rsidR="00374395" w:rsidRPr="00374395" w:rsidRDefault="00374395" w:rsidP="00374395">
            <w:pPr>
              <w:spacing w:line="240" w:lineRule="auto"/>
              <w:jc w:val="left"/>
              <w:rPr>
                <w:rFonts w:eastAsia="Times New Roman"/>
                <w:b/>
                <w:bCs/>
                <w:color w:val="000000"/>
                <w:szCs w:val="24"/>
                <w:lang w:eastAsia="cs-CZ"/>
              </w:rPr>
            </w:pPr>
          </w:p>
        </w:tc>
        <w:tc>
          <w:tcPr>
            <w:tcW w:w="1019" w:type="dxa"/>
            <w:vMerge/>
            <w:tcBorders>
              <w:top w:val="double" w:sz="6" w:space="0" w:color="auto"/>
              <w:left w:val="nil"/>
              <w:bottom w:val="double" w:sz="6" w:space="0" w:color="000000"/>
              <w:right w:val="nil"/>
            </w:tcBorders>
            <w:vAlign w:val="center"/>
            <w:hideMark/>
          </w:tcPr>
          <w:p w14:paraId="639EC739" w14:textId="77777777" w:rsidR="00374395" w:rsidRPr="00374395" w:rsidRDefault="00374395" w:rsidP="00374395">
            <w:pPr>
              <w:spacing w:line="240" w:lineRule="auto"/>
              <w:jc w:val="left"/>
              <w:rPr>
                <w:rFonts w:eastAsia="Times New Roman"/>
                <w:b/>
                <w:bCs/>
                <w:color w:val="000000"/>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5D4DB40A"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Nápad + obživlé věci</w:t>
            </w:r>
          </w:p>
        </w:tc>
        <w:tc>
          <w:tcPr>
            <w:tcW w:w="198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900D7C6"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Vyřízeno</w:t>
            </w:r>
          </w:p>
        </w:tc>
        <w:tc>
          <w:tcPr>
            <w:tcW w:w="1984" w:type="dxa"/>
            <w:gridSpan w:val="2"/>
            <w:tcBorders>
              <w:top w:val="nil"/>
              <w:left w:val="nil"/>
              <w:bottom w:val="double" w:sz="6" w:space="0" w:color="auto"/>
              <w:right w:val="nil"/>
            </w:tcBorders>
            <w:shd w:val="clear" w:color="auto" w:fill="auto"/>
            <w:noWrap/>
            <w:vAlign w:val="center"/>
            <w:hideMark/>
          </w:tcPr>
          <w:p w14:paraId="00628F3D"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Nevyřízeno</w:t>
            </w:r>
          </w:p>
        </w:tc>
      </w:tr>
      <w:tr w:rsidR="00374395" w:rsidRPr="00374395" w14:paraId="5BF260F2" w14:textId="77777777" w:rsidTr="00374395">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73946E22"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MS Praha</w:t>
            </w:r>
          </w:p>
        </w:tc>
        <w:tc>
          <w:tcPr>
            <w:tcW w:w="1019" w:type="dxa"/>
            <w:tcBorders>
              <w:top w:val="single" w:sz="4" w:space="0" w:color="auto"/>
              <w:left w:val="nil"/>
              <w:bottom w:val="single" w:sz="4" w:space="0" w:color="auto"/>
              <w:right w:val="nil"/>
            </w:tcBorders>
            <w:shd w:val="clear" w:color="auto" w:fill="auto"/>
            <w:noWrap/>
            <w:vAlign w:val="bottom"/>
            <w:hideMark/>
          </w:tcPr>
          <w:p w14:paraId="20520664" w14:textId="7C66E2AE"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20</w:t>
            </w:r>
            <w:r>
              <w:rPr>
                <w:rFonts w:eastAsia="Times New Roman"/>
                <w:color w:val="000000"/>
                <w:szCs w:val="24"/>
                <w:lang w:eastAsia="cs-CZ"/>
              </w:rPr>
              <w:t>,</w:t>
            </w:r>
            <w:r w:rsidRPr="00374395">
              <w:rPr>
                <w:rFonts w:eastAsia="Times New Roman"/>
                <w:color w:val="000000"/>
                <w:szCs w:val="24"/>
                <w:lang w:eastAsia="cs-CZ"/>
              </w:rPr>
              <w:t>3</w:t>
            </w:r>
          </w:p>
        </w:tc>
        <w:tc>
          <w:tcPr>
            <w:tcW w:w="980" w:type="dxa"/>
            <w:tcBorders>
              <w:top w:val="single" w:sz="4" w:space="0" w:color="auto"/>
              <w:left w:val="nil"/>
              <w:bottom w:val="single" w:sz="4" w:space="0" w:color="auto"/>
              <w:right w:val="nil"/>
            </w:tcBorders>
            <w:shd w:val="clear" w:color="auto" w:fill="auto"/>
            <w:noWrap/>
            <w:vAlign w:val="bottom"/>
            <w:hideMark/>
          </w:tcPr>
          <w:p w14:paraId="05CBDD82" w14:textId="044C32A3"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12</w:t>
            </w:r>
          </w:p>
        </w:tc>
        <w:tc>
          <w:tcPr>
            <w:tcW w:w="1213" w:type="dxa"/>
            <w:tcBorders>
              <w:top w:val="single" w:sz="4" w:space="0" w:color="auto"/>
              <w:left w:val="nil"/>
              <w:bottom w:val="single" w:sz="4" w:space="0" w:color="auto"/>
              <w:right w:val="nil"/>
            </w:tcBorders>
            <w:shd w:val="clear" w:color="auto" w:fill="auto"/>
            <w:noWrap/>
            <w:vAlign w:val="center"/>
            <w:hideMark/>
          </w:tcPr>
          <w:p w14:paraId="78FD7A06"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-0 %  </w:t>
            </w:r>
          </w:p>
        </w:tc>
        <w:tc>
          <w:tcPr>
            <w:tcW w:w="962" w:type="dxa"/>
            <w:tcBorders>
              <w:top w:val="nil"/>
              <w:left w:val="single" w:sz="4" w:space="0" w:color="auto"/>
              <w:bottom w:val="single" w:sz="4" w:space="0" w:color="auto"/>
              <w:right w:val="nil"/>
            </w:tcBorders>
            <w:shd w:val="clear" w:color="auto" w:fill="auto"/>
            <w:noWrap/>
            <w:vAlign w:val="bottom"/>
            <w:hideMark/>
          </w:tcPr>
          <w:p w14:paraId="2F3F220E" w14:textId="67B9EA23"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13</w:t>
            </w:r>
            <w:r>
              <w:rPr>
                <w:rFonts w:eastAsia="Times New Roman"/>
                <w:color w:val="000000"/>
                <w:szCs w:val="24"/>
                <w:lang w:eastAsia="cs-CZ"/>
              </w:rPr>
              <w:t>,</w:t>
            </w:r>
            <w:r w:rsidRPr="00374395">
              <w:rPr>
                <w:rFonts w:eastAsia="Times New Roman"/>
                <w:color w:val="000000"/>
                <w:szCs w:val="24"/>
                <w:lang w:eastAsia="cs-CZ"/>
              </w:rPr>
              <w:t>20</w:t>
            </w:r>
          </w:p>
        </w:tc>
        <w:tc>
          <w:tcPr>
            <w:tcW w:w="1022" w:type="dxa"/>
            <w:tcBorders>
              <w:top w:val="nil"/>
              <w:left w:val="nil"/>
              <w:bottom w:val="single" w:sz="4" w:space="0" w:color="auto"/>
              <w:right w:val="single" w:sz="4" w:space="0" w:color="auto"/>
            </w:tcBorders>
            <w:shd w:val="clear" w:color="auto" w:fill="auto"/>
            <w:noWrap/>
            <w:vAlign w:val="center"/>
            <w:hideMark/>
          </w:tcPr>
          <w:p w14:paraId="240A3FE4"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-22 %  </w:t>
            </w:r>
          </w:p>
        </w:tc>
        <w:tc>
          <w:tcPr>
            <w:tcW w:w="962" w:type="dxa"/>
            <w:tcBorders>
              <w:top w:val="single" w:sz="4" w:space="0" w:color="auto"/>
              <w:left w:val="nil"/>
              <w:bottom w:val="single" w:sz="4" w:space="0" w:color="auto"/>
              <w:right w:val="nil"/>
            </w:tcBorders>
            <w:shd w:val="clear" w:color="auto" w:fill="auto"/>
            <w:noWrap/>
            <w:vAlign w:val="bottom"/>
            <w:hideMark/>
          </w:tcPr>
          <w:p w14:paraId="3841C846" w14:textId="6B66AF94"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9</w:t>
            </w:r>
            <w:r>
              <w:rPr>
                <w:rFonts w:eastAsia="Times New Roman"/>
                <w:color w:val="000000"/>
                <w:szCs w:val="24"/>
                <w:lang w:eastAsia="cs-CZ"/>
              </w:rPr>
              <w:t>,</w:t>
            </w:r>
            <w:r w:rsidRPr="00374395">
              <w:rPr>
                <w:rFonts w:eastAsia="Times New Roman"/>
                <w:color w:val="000000"/>
                <w:szCs w:val="24"/>
                <w:lang w:eastAsia="cs-CZ"/>
              </w:rPr>
              <w:t>41</w:t>
            </w:r>
          </w:p>
        </w:tc>
        <w:tc>
          <w:tcPr>
            <w:tcW w:w="1022" w:type="dxa"/>
            <w:tcBorders>
              <w:top w:val="single" w:sz="4" w:space="0" w:color="auto"/>
              <w:left w:val="nil"/>
              <w:bottom w:val="single" w:sz="4" w:space="0" w:color="auto"/>
              <w:right w:val="nil"/>
            </w:tcBorders>
            <w:shd w:val="clear" w:color="auto" w:fill="auto"/>
            <w:noWrap/>
            <w:vAlign w:val="center"/>
            <w:hideMark/>
          </w:tcPr>
          <w:p w14:paraId="4EACF2FB"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+19 %  </w:t>
            </w:r>
          </w:p>
        </w:tc>
      </w:tr>
      <w:tr w:rsidR="00374395" w:rsidRPr="00374395" w14:paraId="1EF97822"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7C7E14FA"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Praha</w:t>
            </w:r>
          </w:p>
        </w:tc>
        <w:tc>
          <w:tcPr>
            <w:tcW w:w="1019" w:type="dxa"/>
            <w:tcBorders>
              <w:top w:val="nil"/>
              <w:left w:val="nil"/>
              <w:bottom w:val="single" w:sz="4" w:space="0" w:color="auto"/>
              <w:right w:val="nil"/>
            </w:tcBorders>
            <w:shd w:val="clear" w:color="auto" w:fill="auto"/>
            <w:noWrap/>
            <w:vAlign w:val="bottom"/>
            <w:hideMark/>
          </w:tcPr>
          <w:p w14:paraId="0BF7BEB3" w14:textId="6379BBD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5</w:t>
            </w:r>
            <w:r>
              <w:rPr>
                <w:rFonts w:eastAsia="Times New Roman"/>
                <w:color w:val="000000"/>
                <w:szCs w:val="24"/>
                <w:lang w:eastAsia="cs-CZ"/>
              </w:rPr>
              <w:t>,</w:t>
            </w:r>
            <w:r w:rsidRPr="00374395">
              <w:rPr>
                <w:rFonts w:eastAsia="Times New Roman"/>
                <w:color w:val="000000"/>
                <w:szCs w:val="24"/>
                <w:lang w:eastAsia="cs-CZ"/>
              </w:rPr>
              <w:t>75</w:t>
            </w:r>
          </w:p>
        </w:tc>
        <w:tc>
          <w:tcPr>
            <w:tcW w:w="980" w:type="dxa"/>
            <w:tcBorders>
              <w:top w:val="nil"/>
              <w:left w:val="nil"/>
              <w:bottom w:val="single" w:sz="4" w:space="0" w:color="auto"/>
              <w:right w:val="nil"/>
            </w:tcBorders>
            <w:shd w:val="clear" w:color="auto" w:fill="auto"/>
            <w:noWrap/>
            <w:vAlign w:val="bottom"/>
            <w:hideMark/>
          </w:tcPr>
          <w:p w14:paraId="3A5B8084" w14:textId="2AB32A56"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21</w:t>
            </w:r>
            <w:r>
              <w:rPr>
                <w:rFonts w:eastAsia="Times New Roman"/>
                <w:color w:val="000000"/>
                <w:szCs w:val="24"/>
                <w:lang w:eastAsia="cs-CZ"/>
              </w:rPr>
              <w:t>,</w:t>
            </w:r>
            <w:r w:rsidRPr="00374395">
              <w:rPr>
                <w:rFonts w:eastAsia="Times New Roman"/>
                <w:color w:val="000000"/>
                <w:szCs w:val="24"/>
                <w:lang w:eastAsia="cs-CZ"/>
              </w:rPr>
              <w:t>39</w:t>
            </w:r>
          </w:p>
        </w:tc>
        <w:tc>
          <w:tcPr>
            <w:tcW w:w="1213" w:type="dxa"/>
            <w:tcBorders>
              <w:top w:val="nil"/>
              <w:left w:val="nil"/>
              <w:bottom w:val="single" w:sz="4" w:space="0" w:color="auto"/>
              <w:right w:val="nil"/>
            </w:tcBorders>
            <w:shd w:val="clear" w:color="auto" w:fill="auto"/>
            <w:noWrap/>
            <w:vAlign w:val="center"/>
            <w:hideMark/>
          </w:tcPr>
          <w:p w14:paraId="635E173A"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+18 %  </w:t>
            </w:r>
          </w:p>
        </w:tc>
        <w:tc>
          <w:tcPr>
            <w:tcW w:w="962" w:type="dxa"/>
            <w:tcBorders>
              <w:top w:val="nil"/>
              <w:left w:val="single" w:sz="4" w:space="0" w:color="auto"/>
              <w:bottom w:val="single" w:sz="4" w:space="0" w:color="auto"/>
              <w:right w:val="nil"/>
            </w:tcBorders>
            <w:shd w:val="clear" w:color="auto" w:fill="auto"/>
            <w:noWrap/>
            <w:vAlign w:val="bottom"/>
            <w:hideMark/>
          </w:tcPr>
          <w:p w14:paraId="2BADECA8" w14:textId="661791F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20</w:t>
            </w:r>
            <w:r>
              <w:rPr>
                <w:rFonts w:eastAsia="Times New Roman"/>
                <w:color w:val="000000"/>
                <w:szCs w:val="24"/>
                <w:lang w:eastAsia="cs-CZ"/>
              </w:rPr>
              <w:t>,</w:t>
            </w:r>
            <w:r w:rsidRPr="00374395">
              <w:rPr>
                <w:rFonts w:eastAsia="Times New Roman"/>
                <w:color w:val="000000"/>
                <w:szCs w:val="24"/>
                <w:lang w:eastAsia="cs-CZ"/>
              </w:rPr>
              <w:t>00</w:t>
            </w:r>
          </w:p>
        </w:tc>
        <w:tc>
          <w:tcPr>
            <w:tcW w:w="1022" w:type="dxa"/>
            <w:tcBorders>
              <w:top w:val="nil"/>
              <w:left w:val="nil"/>
              <w:bottom w:val="single" w:sz="4" w:space="0" w:color="auto"/>
              <w:right w:val="single" w:sz="4" w:space="0" w:color="auto"/>
            </w:tcBorders>
            <w:shd w:val="clear" w:color="auto" w:fill="auto"/>
            <w:noWrap/>
            <w:vAlign w:val="center"/>
            <w:hideMark/>
          </w:tcPr>
          <w:p w14:paraId="4A5CA1AD"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+8 %  </w:t>
            </w:r>
          </w:p>
        </w:tc>
        <w:tc>
          <w:tcPr>
            <w:tcW w:w="962" w:type="dxa"/>
            <w:tcBorders>
              <w:top w:val="nil"/>
              <w:left w:val="nil"/>
              <w:bottom w:val="single" w:sz="4" w:space="0" w:color="auto"/>
              <w:right w:val="nil"/>
            </w:tcBorders>
            <w:shd w:val="clear" w:color="auto" w:fill="auto"/>
            <w:noWrap/>
            <w:vAlign w:val="bottom"/>
            <w:hideMark/>
          </w:tcPr>
          <w:p w14:paraId="5EB34FF9" w14:textId="245349E8"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6</w:t>
            </w:r>
            <w:r>
              <w:rPr>
                <w:rFonts w:eastAsia="Times New Roman"/>
                <w:color w:val="000000"/>
                <w:szCs w:val="24"/>
                <w:lang w:eastAsia="cs-CZ"/>
              </w:rPr>
              <w:t>,</w:t>
            </w:r>
            <w:r w:rsidRPr="00374395">
              <w:rPr>
                <w:rFonts w:eastAsia="Times New Roman"/>
                <w:color w:val="000000"/>
                <w:szCs w:val="24"/>
                <w:lang w:eastAsia="cs-CZ"/>
              </w:rPr>
              <w:t>26</w:t>
            </w:r>
          </w:p>
        </w:tc>
        <w:tc>
          <w:tcPr>
            <w:tcW w:w="1022" w:type="dxa"/>
            <w:tcBorders>
              <w:top w:val="nil"/>
              <w:left w:val="nil"/>
              <w:bottom w:val="single" w:sz="4" w:space="0" w:color="auto"/>
              <w:right w:val="nil"/>
            </w:tcBorders>
            <w:shd w:val="clear" w:color="auto" w:fill="auto"/>
            <w:noWrap/>
            <w:vAlign w:val="center"/>
            <w:hideMark/>
          </w:tcPr>
          <w:p w14:paraId="200FF367"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+32 %  </w:t>
            </w:r>
          </w:p>
        </w:tc>
      </w:tr>
      <w:tr w:rsidR="00374395" w:rsidRPr="00374395" w14:paraId="777FC3D1"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63826F4A"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Č. Budějovice</w:t>
            </w:r>
          </w:p>
        </w:tc>
        <w:tc>
          <w:tcPr>
            <w:tcW w:w="1019" w:type="dxa"/>
            <w:tcBorders>
              <w:top w:val="nil"/>
              <w:left w:val="nil"/>
              <w:bottom w:val="single" w:sz="4" w:space="0" w:color="auto"/>
              <w:right w:val="nil"/>
            </w:tcBorders>
            <w:shd w:val="clear" w:color="auto" w:fill="auto"/>
            <w:noWrap/>
            <w:vAlign w:val="bottom"/>
            <w:hideMark/>
          </w:tcPr>
          <w:p w14:paraId="1DF459E7"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3</w:t>
            </w:r>
          </w:p>
        </w:tc>
        <w:tc>
          <w:tcPr>
            <w:tcW w:w="980" w:type="dxa"/>
            <w:tcBorders>
              <w:top w:val="nil"/>
              <w:left w:val="nil"/>
              <w:bottom w:val="single" w:sz="4" w:space="0" w:color="auto"/>
              <w:right w:val="nil"/>
            </w:tcBorders>
            <w:shd w:val="clear" w:color="auto" w:fill="auto"/>
            <w:noWrap/>
            <w:vAlign w:val="bottom"/>
            <w:hideMark/>
          </w:tcPr>
          <w:p w14:paraId="4229BB99" w14:textId="02D6B392"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33</w:t>
            </w:r>
          </w:p>
        </w:tc>
        <w:tc>
          <w:tcPr>
            <w:tcW w:w="1213" w:type="dxa"/>
            <w:tcBorders>
              <w:top w:val="nil"/>
              <w:left w:val="nil"/>
              <w:bottom w:val="single" w:sz="4" w:space="0" w:color="auto"/>
              <w:right w:val="nil"/>
            </w:tcBorders>
            <w:shd w:val="clear" w:color="auto" w:fill="auto"/>
            <w:noWrap/>
            <w:vAlign w:val="center"/>
            <w:hideMark/>
          </w:tcPr>
          <w:p w14:paraId="560EBDC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+135 %  </w:t>
            </w:r>
          </w:p>
        </w:tc>
        <w:tc>
          <w:tcPr>
            <w:tcW w:w="962" w:type="dxa"/>
            <w:tcBorders>
              <w:top w:val="nil"/>
              <w:left w:val="single" w:sz="4" w:space="0" w:color="auto"/>
              <w:bottom w:val="single" w:sz="4" w:space="0" w:color="auto"/>
              <w:right w:val="nil"/>
            </w:tcBorders>
            <w:shd w:val="clear" w:color="auto" w:fill="auto"/>
            <w:noWrap/>
            <w:vAlign w:val="bottom"/>
            <w:hideMark/>
          </w:tcPr>
          <w:p w14:paraId="0E92D23C" w14:textId="63CEF833"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67</w:t>
            </w:r>
          </w:p>
        </w:tc>
        <w:tc>
          <w:tcPr>
            <w:tcW w:w="1022" w:type="dxa"/>
            <w:tcBorders>
              <w:top w:val="nil"/>
              <w:left w:val="nil"/>
              <w:bottom w:val="single" w:sz="4" w:space="0" w:color="auto"/>
              <w:right w:val="single" w:sz="4" w:space="0" w:color="auto"/>
            </w:tcBorders>
            <w:shd w:val="clear" w:color="auto" w:fill="auto"/>
            <w:noWrap/>
            <w:vAlign w:val="center"/>
            <w:hideMark/>
          </w:tcPr>
          <w:p w14:paraId="31980CF5"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+60 %  </w:t>
            </w:r>
          </w:p>
        </w:tc>
        <w:tc>
          <w:tcPr>
            <w:tcW w:w="962" w:type="dxa"/>
            <w:tcBorders>
              <w:top w:val="nil"/>
              <w:left w:val="nil"/>
              <w:bottom w:val="single" w:sz="4" w:space="0" w:color="auto"/>
              <w:right w:val="nil"/>
            </w:tcBorders>
            <w:shd w:val="clear" w:color="auto" w:fill="auto"/>
            <w:noWrap/>
            <w:vAlign w:val="bottom"/>
            <w:hideMark/>
          </w:tcPr>
          <w:p w14:paraId="3135DF95" w14:textId="34487939"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6</w:t>
            </w:r>
            <w:r>
              <w:rPr>
                <w:rFonts w:eastAsia="Times New Roman"/>
                <w:color w:val="000000"/>
                <w:szCs w:val="24"/>
                <w:lang w:eastAsia="cs-CZ"/>
              </w:rPr>
              <w:t>,</w:t>
            </w:r>
            <w:r w:rsidRPr="00374395">
              <w:rPr>
                <w:rFonts w:eastAsia="Times New Roman"/>
                <w:color w:val="000000"/>
                <w:szCs w:val="24"/>
                <w:lang w:eastAsia="cs-CZ"/>
              </w:rPr>
              <w:t>67</w:t>
            </w:r>
          </w:p>
        </w:tc>
        <w:tc>
          <w:tcPr>
            <w:tcW w:w="1022" w:type="dxa"/>
            <w:tcBorders>
              <w:top w:val="nil"/>
              <w:left w:val="nil"/>
              <w:bottom w:val="single" w:sz="4" w:space="0" w:color="auto"/>
              <w:right w:val="nil"/>
            </w:tcBorders>
            <w:shd w:val="clear" w:color="auto" w:fill="auto"/>
            <w:noWrap/>
            <w:vAlign w:val="center"/>
            <w:hideMark/>
          </w:tcPr>
          <w:p w14:paraId="7ACF2307"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+65 %  </w:t>
            </w:r>
          </w:p>
        </w:tc>
      </w:tr>
      <w:tr w:rsidR="00374395" w:rsidRPr="00374395" w14:paraId="0D2F8A7E"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7B8827ED"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Plzeň</w:t>
            </w:r>
          </w:p>
        </w:tc>
        <w:tc>
          <w:tcPr>
            <w:tcW w:w="1019" w:type="dxa"/>
            <w:tcBorders>
              <w:top w:val="nil"/>
              <w:left w:val="nil"/>
              <w:bottom w:val="single" w:sz="4" w:space="0" w:color="auto"/>
              <w:right w:val="nil"/>
            </w:tcBorders>
            <w:shd w:val="clear" w:color="auto" w:fill="auto"/>
            <w:noWrap/>
            <w:vAlign w:val="bottom"/>
            <w:hideMark/>
          </w:tcPr>
          <w:p w14:paraId="3170AACE"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6</w:t>
            </w:r>
          </w:p>
        </w:tc>
        <w:tc>
          <w:tcPr>
            <w:tcW w:w="980" w:type="dxa"/>
            <w:tcBorders>
              <w:top w:val="nil"/>
              <w:left w:val="nil"/>
              <w:bottom w:val="single" w:sz="4" w:space="0" w:color="auto"/>
              <w:right w:val="nil"/>
            </w:tcBorders>
            <w:shd w:val="clear" w:color="auto" w:fill="auto"/>
            <w:noWrap/>
            <w:vAlign w:val="bottom"/>
            <w:hideMark/>
          </w:tcPr>
          <w:p w14:paraId="4A55767B" w14:textId="70ED44B5"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16</w:t>
            </w:r>
            <w:r>
              <w:rPr>
                <w:rFonts w:eastAsia="Times New Roman"/>
                <w:color w:val="000000"/>
                <w:szCs w:val="24"/>
                <w:lang w:eastAsia="cs-CZ"/>
              </w:rPr>
              <w:t>,</w:t>
            </w:r>
            <w:r w:rsidRPr="00374395">
              <w:rPr>
                <w:rFonts w:eastAsia="Times New Roman"/>
                <w:color w:val="000000"/>
                <w:szCs w:val="24"/>
                <w:lang w:eastAsia="cs-CZ"/>
              </w:rPr>
              <w:t>83</w:t>
            </w:r>
          </w:p>
        </w:tc>
        <w:tc>
          <w:tcPr>
            <w:tcW w:w="1213" w:type="dxa"/>
            <w:tcBorders>
              <w:top w:val="nil"/>
              <w:left w:val="nil"/>
              <w:bottom w:val="single" w:sz="4" w:space="0" w:color="auto"/>
              <w:right w:val="nil"/>
            </w:tcBorders>
            <w:shd w:val="clear" w:color="auto" w:fill="auto"/>
            <w:noWrap/>
            <w:vAlign w:val="center"/>
            <w:hideMark/>
          </w:tcPr>
          <w:p w14:paraId="4BAF17C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-7 %  </w:t>
            </w:r>
          </w:p>
        </w:tc>
        <w:tc>
          <w:tcPr>
            <w:tcW w:w="962" w:type="dxa"/>
            <w:tcBorders>
              <w:top w:val="nil"/>
              <w:left w:val="single" w:sz="4" w:space="0" w:color="auto"/>
              <w:bottom w:val="single" w:sz="4" w:space="0" w:color="auto"/>
              <w:right w:val="nil"/>
            </w:tcBorders>
            <w:shd w:val="clear" w:color="auto" w:fill="auto"/>
            <w:noWrap/>
            <w:vAlign w:val="bottom"/>
            <w:hideMark/>
          </w:tcPr>
          <w:p w14:paraId="172F6DD5" w14:textId="7A4E2441"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67</w:t>
            </w:r>
          </w:p>
        </w:tc>
        <w:tc>
          <w:tcPr>
            <w:tcW w:w="1022" w:type="dxa"/>
            <w:tcBorders>
              <w:top w:val="nil"/>
              <w:left w:val="nil"/>
              <w:bottom w:val="single" w:sz="4" w:space="0" w:color="auto"/>
              <w:right w:val="single" w:sz="4" w:space="0" w:color="auto"/>
            </w:tcBorders>
            <w:shd w:val="clear" w:color="auto" w:fill="auto"/>
            <w:noWrap/>
            <w:vAlign w:val="center"/>
            <w:hideMark/>
          </w:tcPr>
          <w:p w14:paraId="11953DA1"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-15 %  </w:t>
            </w:r>
          </w:p>
        </w:tc>
        <w:tc>
          <w:tcPr>
            <w:tcW w:w="962" w:type="dxa"/>
            <w:tcBorders>
              <w:top w:val="nil"/>
              <w:left w:val="nil"/>
              <w:bottom w:val="single" w:sz="4" w:space="0" w:color="auto"/>
              <w:right w:val="nil"/>
            </w:tcBorders>
            <w:shd w:val="clear" w:color="auto" w:fill="auto"/>
            <w:noWrap/>
            <w:vAlign w:val="bottom"/>
            <w:hideMark/>
          </w:tcPr>
          <w:p w14:paraId="2569F446" w14:textId="652BFEF3"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10</w:t>
            </w:r>
            <w:r>
              <w:rPr>
                <w:rFonts w:eastAsia="Times New Roman"/>
                <w:color w:val="000000"/>
                <w:szCs w:val="24"/>
                <w:lang w:eastAsia="cs-CZ"/>
              </w:rPr>
              <w:t>,</w:t>
            </w:r>
            <w:r w:rsidRPr="00374395">
              <w:rPr>
                <w:rFonts w:eastAsia="Times New Roman"/>
                <w:color w:val="000000"/>
                <w:szCs w:val="24"/>
                <w:lang w:eastAsia="cs-CZ"/>
              </w:rPr>
              <w:t>17</w:t>
            </w:r>
          </w:p>
        </w:tc>
        <w:tc>
          <w:tcPr>
            <w:tcW w:w="1022" w:type="dxa"/>
            <w:tcBorders>
              <w:top w:val="nil"/>
              <w:left w:val="nil"/>
              <w:bottom w:val="single" w:sz="4" w:space="0" w:color="auto"/>
              <w:right w:val="nil"/>
            </w:tcBorders>
            <w:shd w:val="clear" w:color="auto" w:fill="auto"/>
            <w:noWrap/>
            <w:vAlign w:val="center"/>
            <w:hideMark/>
          </w:tcPr>
          <w:p w14:paraId="6CCCF067"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+11 %  </w:t>
            </w:r>
          </w:p>
        </w:tc>
      </w:tr>
      <w:tr w:rsidR="00374395" w:rsidRPr="00374395" w14:paraId="7AC4A53E"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73E0CCFA"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Ústí n. Labem</w:t>
            </w:r>
          </w:p>
        </w:tc>
        <w:tc>
          <w:tcPr>
            <w:tcW w:w="1019" w:type="dxa"/>
            <w:tcBorders>
              <w:top w:val="nil"/>
              <w:left w:val="nil"/>
              <w:bottom w:val="single" w:sz="4" w:space="0" w:color="auto"/>
              <w:right w:val="nil"/>
            </w:tcBorders>
            <w:shd w:val="clear" w:color="auto" w:fill="auto"/>
            <w:noWrap/>
            <w:vAlign w:val="bottom"/>
            <w:hideMark/>
          </w:tcPr>
          <w:p w14:paraId="12247E6C" w14:textId="3D5DD62D"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11</w:t>
            </w:r>
            <w:r>
              <w:rPr>
                <w:rFonts w:eastAsia="Times New Roman"/>
                <w:color w:val="000000"/>
                <w:szCs w:val="24"/>
                <w:lang w:eastAsia="cs-CZ"/>
              </w:rPr>
              <w:t>,</w:t>
            </w:r>
            <w:r w:rsidRPr="00374395">
              <w:rPr>
                <w:rFonts w:eastAsia="Times New Roman"/>
                <w:color w:val="000000"/>
                <w:szCs w:val="24"/>
                <w:lang w:eastAsia="cs-CZ"/>
              </w:rPr>
              <w:t>33</w:t>
            </w:r>
          </w:p>
        </w:tc>
        <w:tc>
          <w:tcPr>
            <w:tcW w:w="980" w:type="dxa"/>
            <w:tcBorders>
              <w:top w:val="nil"/>
              <w:left w:val="nil"/>
              <w:bottom w:val="single" w:sz="4" w:space="0" w:color="auto"/>
              <w:right w:val="nil"/>
            </w:tcBorders>
            <w:shd w:val="clear" w:color="auto" w:fill="auto"/>
            <w:noWrap/>
            <w:vAlign w:val="bottom"/>
            <w:hideMark/>
          </w:tcPr>
          <w:p w14:paraId="1D12A26B" w14:textId="7867ACE0"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17</w:t>
            </w:r>
            <w:r>
              <w:rPr>
                <w:rFonts w:eastAsia="Times New Roman"/>
                <w:color w:val="000000"/>
                <w:szCs w:val="24"/>
                <w:lang w:eastAsia="cs-CZ"/>
              </w:rPr>
              <w:t>,</w:t>
            </w:r>
            <w:r w:rsidRPr="00374395">
              <w:rPr>
                <w:rFonts w:eastAsia="Times New Roman"/>
                <w:color w:val="000000"/>
                <w:szCs w:val="24"/>
                <w:lang w:eastAsia="cs-CZ"/>
              </w:rPr>
              <w:t>12</w:t>
            </w:r>
          </w:p>
        </w:tc>
        <w:tc>
          <w:tcPr>
            <w:tcW w:w="1213" w:type="dxa"/>
            <w:tcBorders>
              <w:top w:val="nil"/>
              <w:left w:val="nil"/>
              <w:bottom w:val="single" w:sz="4" w:space="0" w:color="auto"/>
              <w:right w:val="nil"/>
            </w:tcBorders>
            <w:shd w:val="clear" w:color="auto" w:fill="auto"/>
            <w:noWrap/>
            <w:vAlign w:val="center"/>
            <w:hideMark/>
          </w:tcPr>
          <w:p w14:paraId="6EEDAAA6"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+39 %  </w:t>
            </w:r>
          </w:p>
        </w:tc>
        <w:tc>
          <w:tcPr>
            <w:tcW w:w="962" w:type="dxa"/>
            <w:tcBorders>
              <w:top w:val="nil"/>
              <w:left w:val="single" w:sz="4" w:space="0" w:color="auto"/>
              <w:bottom w:val="single" w:sz="4" w:space="0" w:color="auto"/>
              <w:right w:val="nil"/>
            </w:tcBorders>
            <w:shd w:val="clear" w:color="auto" w:fill="auto"/>
            <w:noWrap/>
            <w:vAlign w:val="bottom"/>
            <w:hideMark/>
          </w:tcPr>
          <w:p w14:paraId="2EB8A2F5" w14:textId="4A99E83C"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16</w:t>
            </w:r>
            <w:r>
              <w:rPr>
                <w:rFonts w:eastAsia="Times New Roman"/>
                <w:color w:val="000000"/>
                <w:szCs w:val="24"/>
                <w:lang w:eastAsia="cs-CZ"/>
              </w:rPr>
              <w:t>,</w:t>
            </w:r>
            <w:r w:rsidRPr="00374395">
              <w:rPr>
                <w:rFonts w:eastAsia="Times New Roman"/>
                <w:color w:val="000000"/>
                <w:szCs w:val="24"/>
                <w:lang w:eastAsia="cs-CZ"/>
              </w:rPr>
              <w:t>06</w:t>
            </w:r>
          </w:p>
        </w:tc>
        <w:tc>
          <w:tcPr>
            <w:tcW w:w="1022" w:type="dxa"/>
            <w:tcBorders>
              <w:top w:val="nil"/>
              <w:left w:val="nil"/>
              <w:bottom w:val="single" w:sz="4" w:space="0" w:color="auto"/>
              <w:right w:val="single" w:sz="4" w:space="0" w:color="auto"/>
            </w:tcBorders>
            <w:shd w:val="clear" w:color="auto" w:fill="auto"/>
            <w:noWrap/>
            <w:vAlign w:val="center"/>
            <w:hideMark/>
          </w:tcPr>
          <w:p w14:paraId="7C506632"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+32 %  </w:t>
            </w:r>
          </w:p>
        </w:tc>
        <w:tc>
          <w:tcPr>
            <w:tcW w:w="962" w:type="dxa"/>
            <w:tcBorders>
              <w:top w:val="nil"/>
              <w:left w:val="nil"/>
              <w:bottom w:val="single" w:sz="4" w:space="0" w:color="auto"/>
              <w:right w:val="nil"/>
            </w:tcBorders>
            <w:shd w:val="clear" w:color="auto" w:fill="auto"/>
            <w:noWrap/>
            <w:vAlign w:val="bottom"/>
            <w:hideMark/>
          </w:tcPr>
          <w:p w14:paraId="336D7A29" w14:textId="7D200ABC"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10</w:t>
            </w:r>
            <w:r>
              <w:rPr>
                <w:rFonts w:eastAsia="Times New Roman"/>
                <w:color w:val="000000"/>
                <w:szCs w:val="24"/>
                <w:lang w:eastAsia="cs-CZ"/>
              </w:rPr>
              <w:t>,</w:t>
            </w:r>
            <w:r w:rsidRPr="00374395">
              <w:rPr>
                <w:rFonts w:eastAsia="Times New Roman"/>
                <w:color w:val="000000"/>
                <w:szCs w:val="24"/>
                <w:lang w:eastAsia="cs-CZ"/>
              </w:rPr>
              <w:t>24</w:t>
            </w:r>
          </w:p>
        </w:tc>
        <w:tc>
          <w:tcPr>
            <w:tcW w:w="1022" w:type="dxa"/>
            <w:tcBorders>
              <w:top w:val="nil"/>
              <w:left w:val="nil"/>
              <w:bottom w:val="single" w:sz="4" w:space="0" w:color="auto"/>
              <w:right w:val="nil"/>
            </w:tcBorders>
            <w:shd w:val="clear" w:color="auto" w:fill="auto"/>
            <w:noWrap/>
            <w:vAlign w:val="center"/>
            <w:hideMark/>
          </w:tcPr>
          <w:p w14:paraId="09F44340"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+37 %  </w:t>
            </w:r>
          </w:p>
        </w:tc>
      </w:tr>
      <w:tr w:rsidR="00374395" w:rsidRPr="00374395" w14:paraId="6FB0CB21"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65044829"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Hr. Králové</w:t>
            </w:r>
          </w:p>
        </w:tc>
        <w:tc>
          <w:tcPr>
            <w:tcW w:w="1019" w:type="dxa"/>
            <w:tcBorders>
              <w:top w:val="nil"/>
              <w:left w:val="nil"/>
              <w:bottom w:val="single" w:sz="4" w:space="0" w:color="auto"/>
              <w:right w:val="nil"/>
            </w:tcBorders>
            <w:shd w:val="clear" w:color="auto" w:fill="auto"/>
            <w:noWrap/>
            <w:vAlign w:val="bottom"/>
            <w:hideMark/>
          </w:tcPr>
          <w:p w14:paraId="70514AD9"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8</w:t>
            </w:r>
          </w:p>
        </w:tc>
        <w:tc>
          <w:tcPr>
            <w:tcW w:w="980" w:type="dxa"/>
            <w:tcBorders>
              <w:top w:val="nil"/>
              <w:left w:val="nil"/>
              <w:bottom w:val="single" w:sz="4" w:space="0" w:color="auto"/>
              <w:right w:val="nil"/>
            </w:tcBorders>
            <w:shd w:val="clear" w:color="auto" w:fill="auto"/>
            <w:noWrap/>
            <w:vAlign w:val="bottom"/>
            <w:hideMark/>
          </w:tcPr>
          <w:p w14:paraId="79B14DA1" w14:textId="6FC54614"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9</w:t>
            </w:r>
            <w:r>
              <w:rPr>
                <w:rFonts w:eastAsia="Times New Roman"/>
                <w:color w:val="000000"/>
                <w:szCs w:val="24"/>
                <w:lang w:eastAsia="cs-CZ"/>
              </w:rPr>
              <w:t>,</w:t>
            </w:r>
            <w:r w:rsidRPr="00374395">
              <w:rPr>
                <w:rFonts w:eastAsia="Times New Roman"/>
                <w:color w:val="000000"/>
                <w:szCs w:val="24"/>
                <w:lang w:eastAsia="cs-CZ"/>
              </w:rPr>
              <w:t>50</w:t>
            </w:r>
          </w:p>
        </w:tc>
        <w:tc>
          <w:tcPr>
            <w:tcW w:w="1213" w:type="dxa"/>
            <w:tcBorders>
              <w:top w:val="nil"/>
              <w:left w:val="nil"/>
              <w:bottom w:val="single" w:sz="4" w:space="0" w:color="auto"/>
              <w:right w:val="nil"/>
            </w:tcBorders>
            <w:shd w:val="clear" w:color="auto" w:fill="auto"/>
            <w:noWrap/>
            <w:vAlign w:val="center"/>
            <w:hideMark/>
          </w:tcPr>
          <w:p w14:paraId="21FC21C9"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-16 %  </w:t>
            </w:r>
          </w:p>
        </w:tc>
        <w:tc>
          <w:tcPr>
            <w:tcW w:w="962" w:type="dxa"/>
            <w:tcBorders>
              <w:top w:val="nil"/>
              <w:left w:val="single" w:sz="4" w:space="0" w:color="auto"/>
              <w:bottom w:val="single" w:sz="4" w:space="0" w:color="auto"/>
              <w:right w:val="nil"/>
            </w:tcBorders>
            <w:shd w:val="clear" w:color="auto" w:fill="auto"/>
            <w:noWrap/>
            <w:vAlign w:val="bottom"/>
            <w:hideMark/>
          </w:tcPr>
          <w:p w14:paraId="60A8DF14" w14:textId="6BC2BB4F"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9</w:t>
            </w:r>
            <w:r>
              <w:rPr>
                <w:rFonts w:eastAsia="Times New Roman"/>
                <w:color w:val="000000"/>
                <w:szCs w:val="24"/>
                <w:lang w:eastAsia="cs-CZ"/>
              </w:rPr>
              <w:t>,</w:t>
            </w:r>
            <w:r w:rsidRPr="00374395">
              <w:rPr>
                <w:rFonts w:eastAsia="Times New Roman"/>
                <w:color w:val="000000"/>
                <w:szCs w:val="24"/>
                <w:lang w:eastAsia="cs-CZ"/>
              </w:rPr>
              <w:t>13</w:t>
            </w:r>
          </w:p>
        </w:tc>
        <w:tc>
          <w:tcPr>
            <w:tcW w:w="1022" w:type="dxa"/>
            <w:tcBorders>
              <w:top w:val="nil"/>
              <w:left w:val="nil"/>
              <w:bottom w:val="single" w:sz="4" w:space="0" w:color="auto"/>
              <w:right w:val="single" w:sz="4" w:space="0" w:color="auto"/>
            </w:tcBorders>
            <w:shd w:val="clear" w:color="auto" w:fill="auto"/>
            <w:noWrap/>
            <w:vAlign w:val="center"/>
            <w:hideMark/>
          </w:tcPr>
          <w:p w14:paraId="4982F1E9"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-21 %  </w:t>
            </w:r>
          </w:p>
        </w:tc>
        <w:tc>
          <w:tcPr>
            <w:tcW w:w="962" w:type="dxa"/>
            <w:tcBorders>
              <w:top w:val="nil"/>
              <w:left w:val="nil"/>
              <w:bottom w:val="single" w:sz="4" w:space="0" w:color="auto"/>
              <w:right w:val="nil"/>
            </w:tcBorders>
            <w:shd w:val="clear" w:color="auto" w:fill="auto"/>
            <w:noWrap/>
            <w:vAlign w:val="bottom"/>
            <w:hideMark/>
          </w:tcPr>
          <w:p w14:paraId="3F8743D9" w14:textId="03D6AFBE"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3</w:t>
            </w:r>
            <w:r>
              <w:rPr>
                <w:rFonts w:eastAsia="Times New Roman"/>
                <w:color w:val="000000"/>
                <w:szCs w:val="24"/>
                <w:lang w:eastAsia="cs-CZ"/>
              </w:rPr>
              <w:t>,</w:t>
            </w:r>
            <w:r w:rsidRPr="00374395">
              <w:rPr>
                <w:rFonts w:eastAsia="Times New Roman"/>
                <w:color w:val="000000"/>
                <w:szCs w:val="24"/>
                <w:lang w:eastAsia="cs-CZ"/>
              </w:rPr>
              <w:t>13</w:t>
            </w:r>
          </w:p>
        </w:tc>
        <w:tc>
          <w:tcPr>
            <w:tcW w:w="1022" w:type="dxa"/>
            <w:tcBorders>
              <w:top w:val="nil"/>
              <w:left w:val="nil"/>
              <w:bottom w:val="single" w:sz="4" w:space="0" w:color="auto"/>
              <w:right w:val="nil"/>
            </w:tcBorders>
            <w:shd w:val="clear" w:color="auto" w:fill="auto"/>
            <w:noWrap/>
            <w:vAlign w:val="center"/>
            <w:hideMark/>
          </w:tcPr>
          <w:p w14:paraId="4342AB42"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+5 %  </w:t>
            </w:r>
          </w:p>
        </w:tc>
      </w:tr>
      <w:tr w:rsidR="00374395" w:rsidRPr="00374395" w14:paraId="6D268744"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6C6DAE1E"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Brno</w:t>
            </w:r>
          </w:p>
        </w:tc>
        <w:tc>
          <w:tcPr>
            <w:tcW w:w="1019" w:type="dxa"/>
            <w:tcBorders>
              <w:top w:val="nil"/>
              <w:left w:val="nil"/>
              <w:bottom w:val="single" w:sz="4" w:space="0" w:color="auto"/>
              <w:right w:val="nil"/>
            </w:tcBorders>
            <w:shd w:val="clear" w:color="auto" w:fill="auto"/>
            <w:noWrap/>
            <w:vAlign w:val="bottom"/>
            <w:hideMark/>
          </w:tcPr>
          <w:p w14:paraId="46BD9BED"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13</w:t>
            </w:r>
          </w:p>
        </w:tc>
        <w:tc>
          <w:tcPr>
            <w:tcW w:w="980" w:type="dxa"/>
            <w:tcBorders>
              <w:top w:val="nil"/>
              <w:left w:val="nil"/>
              <w:bottom w:val="single" w:sz="4" w:space="0" w:color="auto"/>
              <w:right w:val="nil"/>
            </w:tcBorders>
            <w:shd w:val="clear" w:color="auto" w:fill="auto"/>
            <w:noWrap/>
            <w:vAlign w:val="bottom"/>
            <w:hideMark/>
          </w:tcPr>
          <w:p w14:paraId="7313A3A5" w14:textId="2AEEF132"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14</w:t>
            </w:r>
            <w:r>
              <w:rPr>
                <w:rFonts w:eastAsia="Times New Roman"/>
                <w:color w:val="000000"/>
                <w:szCs w:val="24"/>
                <w:lang w:eastAsia="cs-CZ"/>
              </w:rPr>
              <w:t>,</w:t>
            </w:r>
            <w:r w:rsidRPr="00374395">
              <w:rPr>
                <w:rFonts w:eastAsia="Times New Roman"/>
                <w:color w:val="000000"/>
                <w:szCs w:val="24"/>
                <w:lang w:eastAsia="cs-CZ"/>
              </w:rPr>
              <w:t>23</w:t>
            </w:r>
          </w:p>
        </w:tc>
        <w:tc>
          <w:tcPr>
            <w:tcW w:w="1213" w:type="dxa"/>
            <w:tcBorders>
              <w:top w:val="nil"/>
              <w:left w:val="nil"/>
              <w:bottom w:val="single" w:sz="4" w:space="0" w:color="auto"/>
              <w:right w:val="nil"/>
            </w:tcBorders>
            <w:shd w:val="clear" w:color="auto" w:fill="auto"/>
            <w:noWrap/>
            <w:vAlign w:val="center"/>
            <w:hideMark/>
          </w:tcPr>
          <w:p w14:paraId="5379D4E5"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-8 %  </w:t>
            </w:r>
          </w:p>
        </w:tc>
        <w:tc>
          <w:tcPr>
            <w:tcW w:w="962" w:type="dxa"/>
            <w:tcBorders>
              <w:top w:val="nil"/>
              <w:left w:val="single" w:sz="4" w:space="0" w:color="auto"/>
              <w:bottom w:val="single" w:sz="4" w:space="0" w:color="auto"/>
              <w:right w:val="nil"/>
            </w:tcBorders>
            <w:shd w:val="clear" w:color="auto" w:fill="auto"/>
            <w:noWrap/>
            <w:vAlign w:val="bottom"/>
            <w:hideMark/>
          </w:tcPr>
          <w:p w14:paraId="03E93B06" w14:textId="635C8548"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00</w:t>
            </w:r>
          </w:p>
        </w:tc>
        <w:tc>
          <w:tcPr>
            <w:tcW w:w="1022" w:type="dxa"/>
            <w:tcBorders>
              <w:top w:val="nil"/>
              <w:left w:val="nil"/>
              <w:bottom w:val="single" w:sz="4" w:space="0" w:color="auto"/>
              <w:right w:val="single" w:sz="4" w:space="0" w:color="auto"/>
            </w:tcBorders>
            <w:shd w:val="clear" w:color="auto" w:fill="auto"/>
            <w:noWrap/>
            <w:vAlign w:val="center"/>
            <w:hideMark/>
          </w:tcPr>
          <w:p w14:paraId="258A02E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-4 %  </w:t>
            </w:r>
          </w:p>
        </w:tc>
        <w:tc>
          <w:tcPr>
            <w:tcW w:w="962" w:type="dxa"/>
            <w:tcBorders>
              <w:top w:val="nil"/>
              <w:left w:val="nil"/>
              <w:bottom w:val="single" w:sz="4" w:space="0" w:color="auto"/>
              <w:right w:val="nil"/>
            </w:tcBorders>
            <w:shd w:val="clear" w:color="auto" w:fill="auto"/>
            <w:noWrap/>
            <w:vAlign w:val="bottom"/>
            <w:hideMark/>
          </w:tcPr>
          <w:p w14:paraId="3A9D90A9" w14:textId="06D59281"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7</w:t>
            </w:r>
            <w:r>
              <w:rPr>
                <w:rFonts w:eastAsia="Times New Roman"/>
                <w:color w:val="000000"/>
                <w:szCs w:val="24"/>
                <w:lang w:eastAsia="cs-CZ"/>
              </w:rPr>
              <w:t>,</w:t>
            </w:r>
            <w:r w:rsidRPr="00374395">
              <w:rPr>
                <w:rFonts w:eastAsia="Times New Roman"/>
                <w:color w:val="000000"/>
                <w:szCs w:val="24"/>
                <w:lang w:eastAsia="cs-CZ"/>
              </w:rPr>
              <w:t>23</w:t>
            </w:r>
          </w:p>
        </w:tc>
        <w:tc>
          <w:tcPr>
            <w:tcW w:w="1022" w:type="dxa"/>
            <w:tcBorders>
              <w:top w:val="nil"/>
              <w:left w:val="nil"/>
              <w:bottom w:val="single" w:sz="4" w:space="0" w:color="auto"/>
              <w:right w:val="nil"/>
            </w:tcBorders>
            <w:shd w:val="clear" w:color="auto" w:fill="auto"/>
            <w:noWrap/>
            <w:vAlign w:val="center"/>
            <w:hideMark/>
          </w:tcPr>
          <w:p w14:paraId="49C3873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-10 %  </w:t>
            </w:r>
          </w:p>
        </w:tc>
      </w:tr>
      <w:tr w:rsidR="00374395" w:rsidRPr="00374395" w14:paraId="5C32F443" w14:textId="77777777" w:rsidTr="00374395">
        <w:trPr>
          <w:trHeight w:val="330"/>
        </w:trPr>
        <w:tc>
          <w:tcPr>
            <w:tcW w:w="1820" w:type="dxa"/>
            <w:tcBorders>
              <w:top w:val="nil"/>
              <w:left w:val="nil"/>
              <w:bottom w:val="double" w:sz="6" w:space="0" w:color="auto"/>
              <w:right w:val="nil"/>
            </w:tcBorders>
            <w:shd w:val="clear" w:color="auto" w:fill="auto"/>
            <w:noWrap/>
            <w:vAlign w:val="bottom"/>
            <w:hideMark/>
          </w:tcPr>
          <w:p w14:paraId="7A203070"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Ostrava</w:t>
            </w:r>
          </w:p>
        </w:tc>
        <w:tc>
          <w:tcPr>
            <w:tcW w:w="1019" w:type="dxa"/>
            <w:tcBorders>
              <w:top w:val="nil"/>
              <w:left w:val="nil"/>
              <w:bottom w:val="double" w:sz="6" w:space="0" w:color="auto"/>
              <w:right w:val="nil"/>
            </w:tcBorders>
            <w:shd w:val="clear" w:color="auto" w:fill="auto"/>
            <w:noWrap/>
            <w:vAlign w:val="bottom"/>
            <w:hideMark/>
          </w:tcPr>
          <w:p w14:paraId="3FEF38E4"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p>
        </w:tc>
        <w:tc>
          <w:tcPr>
            <w:tcW w:w="980" w:type="dxa"/>
            <w:tcBorders>
              <w:top w:val="nil"/>
              <w:left w:val="nil"/>
              <w:bottom w:val="double" w:sz="6" w:space="0" w:color="auto"/>
              <w:right w:val="nil"/>
            </w:tcBorders>
            <w:shd w:val="clear" w:color="auto" w:fill="auto"/>
            <w:noWrap/>
            <w:vAlign w:val="bottom"/>
            <w:hideMark/>
          </w:tcPr>
          <w:p w14:paraId="57665493" w14:textId="2F3E271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11</w:t>
            </w:r>
            <w:r>
              <w:rPr>
                <w:rFonts w:eastAsia="Times New Roman"/>
                <w:color w:val="000000"/>
                <w:szCs w:val="24"/>
                <w:lang w:eastAsia="cs-CZ"/>
              </w:rPr>
              <w:t>,</w:t>
            </w:r>
            <w:r w:rsidRPr="00374395">
              <w:rPr>
                <w:rFonts w:eastAsia="Times New Roman"/>
                <w:color w:val="000000"/>
                <w:szCs w:val="24"/>
                <w:lang w:eastAsia="cs-CZ"/>
              </w:rPr>
              <w:t>80</w:t>
            </w:r>
          </w:p>
        </w:tc>
        <w:tc>
          <w:tcPr>
            <w:tcW w:w="1213" w:type="dxa"/>
            <w:tcBorders>
              <w:top w:val="nil"/>
              <w:left w:val="nil"/>
              <w:bottom w:val="double" w:sz="6" w:space="0" w:color="auto"/>
              <w:right w:val="nil"/>
            </w:tcBorders>
            <w:shd w:val="clear" w:color="auto" w:fill="auto"/>
            <w:noWrap/>
            <w:vAlign w:val="center"/>
            <w:hideMark/>
          </w:tcPr>
          <w:p w14:paraId="0BC76BC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-4 %  </w:t>
            </w:r>
          </w:p>
        </w:tc>
        <w:tc>
          <w:tcPr>
            <w:tcW w:w="962" w:type="dxa"/>
            <w:tcBorders>
              <w:top w:val="nil"/>
              <w:left w:val="single" w:sz="4" w:space="0" w:color="auto"/>
              <w:bottom w:val="double" w:sz="6" w:space="0" w:color="auto"/>
              <w:right w:val="nil"/>
            </w:tcBorders>
            <w:shd w:val="clear" w:color="auto" w:fill="auto"/>
            <w:noWrap/>
            <w:vAlign w:val="bottom"/>
            <w:hideMark/>
          </w:tcPr>
          <w:p w14:paraId="7C7DE1F1" w14:textId="6BF42C75"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13</w:t>
            </w:r>
            <w:r>
              <w:rPr>
                <w:rFonts w:eastAsia="Times New Roman"/>
                <w:color w:val="000000"/>
                <w:szCs w:val="24"/>
                <w:lang w:eastAsia="cs-CZ"/>
              </w:rPr>
              <w:t>,</w:t>
            </w:r>
            <w:r w:rsidRPr="00374395">
              <w:rPr>
                <w:rFonts w:eastAsia="Times New Roman"/>
                <w:color w:val="000000"/>
                <w:szCs w:val="24"/>
                <w:lang w:eastAsia="cs-CZ"/>
              </w:rPr>
              <w:t>73</w:t>
            </w:r>
          </w:p>
        </w:tc>
        <w:tc>
          <w:tcPr>
            <w:tcW w:w="1022" w:type="dxa"/>
            <w:tcBorders>
              <w:top w:val="nil"/>
              <w:left w:val="nil"/>
              <w:bottom w:val="double" w:sz="6" w:space="0" w:color="auto"/>
              <w:right w:val="single" w:sz="4" w:space="0" w:color="auto"/>
            </w:tcBorders>
            <w:shd w:val="clear" w:color="auto" w:fill="auto"/>
            <w:noWrap/>
            <w:vAlign w:val="center"/>
            <w:hideMark/>
          </w:tcPr>
          <w:p w14:paraId="0451CD0C"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+30 %  </w:t>
            </w:r>
          </w:p>
        </w:tc>
        <w:tc>
          <w:tcPr>
            <w:tcW w:w="962" w:type="dxa"/>
            <w:tcBorders>
              <w:top w:val="nil"/>
              <w:left w:val="nil"/>
              <w:bottom w:val="double" w:sz="6" w:space="0" w:color="auto"/>
              <w:right w:val="nil"/>
            </w:tcBorders>
            <w:shd w:val="clear" w:color="auto" w:fill="auto"/>
            <w:noWrap/>
            <w:vAlign w:val="bottom"/>
            <w:hideMark/>
          </w:tcPr>
          <w:p w14:paraId="5133E773" w14:textId="582EEAAC"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5</w:t>
            </w:r>
            <w:r>
              <w:rPr>
                <w:rFonts w:eastAsia="Times New Roman"/>
                <w:color w:val="000000"/>
                <w:szCs w:val="24"/>
                <w:lang w:eastAsia="cs-CZ"/>
              </w:rPr>
              <w:t>,</w:t>
            </w:r>
            <w:r w:rsidRPr="00374395">
              <w:rPr>
                <w:rFonts w:eastAsia="Times New Roman"/>
                <w:color w:val="000000"/>
                <w:szCs w:val="24"/>
                <w:lang w:eastAsia="cs-CZ"/>
              </w:rPr>
              <w:t>53</w:t>
            </w:r>
          </w:p>
        </w:tc>
        <w:tc>
          <w:tcPr>
            <w:tcW w:w="1022" w:type="dxa"/>
            <w:tcBorders>
              <w:top w:val="nil"/>
              <w:left w:val="nil"/>
              <w:bottom w:val="double" w:sz="6" w:space="0" w:color="auto"/>
              <w:right w:val="nil"/>
            </w:tcBorders>
            <w:shd w:val="clear" w:color="auto" w:fill="auto"/>
            <w:noWrap/>
            <w:vAlign w:val="center"/>
            <w:hideMark/>
          </w:tcPr>
          <w:p w14:paraId="4F43196B"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-16 %  </w:t>
            </w:r>
          </w:p>
        </w:tc>
      </w:tr>
      <w:tr w:rsidR="00374395" w:rsidRPr="00374395" w14:paraId="77E89AAC" w14:textId="77777777" w:rsidTr="00374395">
        <w:trPr>
          <w:trHeight w:val="345"/>
        </w:trPr>
        <w:tc>
          <w:tcPr>
            <w:tcW w:w="1820" w:type="dxa"/>
            <w:tcBorders>
              <w:top w:val="nil"/>
              <w:left w:val="nil"/>
              <w:bottom w:val="double" w:sz="6" w:space="0" w:color="auto"/>
              <w:right w:val="nil"/>
            </w:tcBorders>
            <w:shd w:val="clear" w:color="auto" w:fill="auto"/>
            <w:noWrap/>
            <w:vAlign w:val="bottom"/>
            <w:hideMark/>
          </w:tcPr>
          <w:p w14:paraId="29D198BD" w14:textId="77777777" w:rsidR="00374395" w:rsidRPr="00374395" w:rsidRDefault="00374395" w:rsidP="00374395">
            <w:pPr>
              <w:spacing w:line="240" w:lineRule="auto"/>
              <w:jc w:val="left"/>
              <w:rPr>
                <w:rFonts w:eastAsia="Times New Roman"/>
                <w:b/>
                <w:bCs/>
                <w:color w:val="000000"/>
                <w:szCs w:val="24"/>
                <w:lang w:eastAsia="cs-CZ"/>
              </w:rPr>
            </w:pPr>
            <w:r w:rsidRPr="00374395">
              <w:rPr>
                <w:rFonts w:eastAsia="Times New Roman"/>
                <w:b/>
                <w:bCs/>
                <w:color w:val="000000"/>
                <w:szCs w:val="24"/>
                <w:lang w:eastAsia="cs-CZ"/>
              </w:rPr>
              <w:t>Celkem ČR</w:t>
            </w:r>
          </w:p>
        </w:tc>
        <w:tc>
          <w:tcPr>
            <w:tcW w:w="1019" w:type="dxa"/>
            <w:tcBorders>
              <w:top w:val="nil"/>
              <w:left w:val="nil"/>
              <w:bottom w:val="double" w:sz="6" w:space="0" w:color="auto"/>
              <w:right w:val="nil"/>
            </w:tcBorders>
            <w:shd w:val="clear" w:color="auto" w:fill="auto"/>
            <w:noWrap/>
            <w:vAlign w:val="bottom"/>
            <w:hideMark/>
          </w:tcPr>
          <w:p w14:paraId="68DD61CD" w14:textId="2C281CEB"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82</w:t>
            </w:r>
            <w:r>
              <w:rPr>
                <w:rFonts w:eastAsia="Times New Roman"/>
                <w:b/>
                <w:bCs/>
                <w:color w:val="000000"/>
                <w:szCs w:val="24"/>
                <w:lang w:eastAsia="cs-CZ"/>
              </w:rPr>
              <w:t>,</w:t>
            </w:r>
            <w:r w:rsidRPr="00374395">
              <w:rPr>
                <w:rFonts w:eastAsia="Times New Roman"/>
                <w:b/>
                <w:bCs/>
                <w:color w:val="000000"/>
                <w:szCs w:val="24"/>
                <w:lang w:eastAsia="cs-CZ"/>
              </w:rPr>
              <w:t>38</w:t>
            </w:r>
          </w:p>
        </w:tc>
        <w:tc>
          <w:tcPr>
            <w:tcW w:w="980" w:type="dxa"/>
            <w:tcBorders>
              <w:top w:val="nil"/>
              <w:left w:val="nil"/>
              <w:bottom w:val="double" w:sz="6" w:space="0" w:color="auto"/>
              <w:right w:val="nil"/>
            </w:tcBorders>
            <w:shd w:val="clear" w:color="auto" w:fill="auto"/>
            <w:noWrap/>
            <w:vAlign w:val="bottom"/>
            <w:hideMark/>
          </w:tcPr>
          <w:p w14:paraId="0FFDD8D5" w14:textId="464A1FAF"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14</w:t>
            </w:r>
            <w:r>
              <w:rPr>
                <w:rFonts w:eastAsia="Times New Roman"/>
                <w:b/>
                <w:bCs/>
                <w:color w:val="000000"/>
                <w:szCs w:val="24"/>
                <w:lang w:eastAsia="cs-CZ"/>
              </w:rPr>
              <w:t>,</w:t>
            </w:r>
            <w:r w:rsidRPr="00374395">
              <w:rPr>
                <w:rFonts w:eastAsia="Times New Roman"/>
                <w:b/>
                <w:bCs/>
                <w:color w:val="000000"/>
                <w:szCs w:val="24"/>
                <w:lang w:eastAsia="cs-CZ"/>
              </w:rPr>
              <w:t>68</w:t>
            </w:r>
          </w:p>
        </w:tc>
        <w:tc>
          <w:tcPr>
            <w:tcW w:w="1213" w:type="dxa"/>
            <w:tcBorders>
              <w:top w:val="nil"/>
              <w:left w:val="nil"/>
              <w:bottom w:val="double" w:sz="6" w:space="0" w:color="auto"/>
              <w:right w:val="nil"/>
            </w:tcBorders>
            <w:shd w:val="clear" w:color="auto" w:fill="auto"/>
            <w:noWrap/>
            <w:vAlign w:val="center"/>
            <w:hideMark/>
          </w:tcPr>
          <w:p w14:paraId="18741150" w14:textId="77777777" w:rsidR="00374395" w:rsidRPr="00374395" w:rsidRDefault="00374395" w:rsidP="00374395">
            <w:pPr>
              <w:spacing w:line="240" w:lineRule="auto"/>
              <w:jc w:val="center"/>
              <w:rPr>
                <w:rFonts w:eastAsia="Times New Roman"/>
                <w:b/>
                <w:bCs/>
                <w:color w:val="000000"/>
                <w:sz w:val="20"/>
                <w:szCs w:val="20"/>
                <w:lang w:eastAsia="cs-CZ"/>
              </w:rPr>
            </w:pPr>
            <w:r w:rsidRPr="00374395">
              <w:rPr>
                <w:rFonts w:eastAsia="Times New Roman"/>
                <w:b/>
                <w:bCs/>
                <w:color w:val="000000"/>
                <w:sz w:val="20"/>
                <w:szCs w:val="20"/>
                <w:lang w:eastAsia="cs-CZ"/>
              </w:rPr>
              <w:t xml:space="preserve">+7 %  </w:t>
            </w:r>
          </w:p>
        </w:tc>
        <w:tc>
          <w:tcPr>
            <w:tcW w:w="962" w:type="dxa"/>
            <w:tcBorders>
              <w:top w:val="nil"/>
              <w:left w:val="single" w:sz="4" w:space="0" w:color="auto"/>
              <w:bottom w:val="double" w:sz="6" w:space="0" w:color="auto"/>
              <w:right w:val="nil"/>
            </w:tcBorders>
            <w:shd w:val="clear" w:color="auto" w:fill="auto"/>
            <w:noWrap/>
            <w:vAlign w:val="bottom"/>
            <w:hideMark/>
          </w:tcPr>
          <w:p w14:paraId="37C8EACD" w14:textId="4D72A67C"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14</w:t>
            </w:r>
            <w:r>
              <w:rPr>
                <w:rFonts w:eastAsia="Times New Roman"/>
                <w:b/>
                <w:bCs/>
                <w:color w:val="000000"/>
                <w:szCs w:val="24"/>
                <w:lang w:eastAsia="cs-CZ"/>
              </w:rPr>
              <w:t>,</w:t>
            </w:r>
            <w:r w:rsidRPr="00374395">
              <w:rPr>
                <w:rFonts w:eastAsia="Times New Roman"/>
                <w:b/>
                <w:bCs/>
                <w:color w:val="000000"/>
                <w:szCs w:val="24"/>
                <w:lang w:eastAsia="cs-CZ"/>
              </w:rPr>
              <w:t>32</w:t>
            </w:r>
          </w:p>
        </w:tc>
        <w:tc>
          <w:tcPr>
            <w:tcW w:w="1022" w:type="dxa"/>
            <w:tcBorders>
              <w:top w:val="nil"/>
              <w:left w:val="nil"/>
              <w:bottom w:val="double" w:sz="6" w:space="0" w:color="auto"/>
              <w:right w:val="single" w:sz="4" w:space="0" w:color="auto"/>
            </w:tcBorders>
            <w:shd w:val="clear" w:color="auto" w:fill="auto"/>
            <w:noWrap/>
            <w:vAlign w:val="center"/>
            <w:hideMark/>
          </w:tcPr>
          <w:p w14:paraId="31E491EA" w14:textId="77777777" w:rsidR="00374395" w:rsidRPr="00374395" w:rsidRDefault="00374395" w:rsidP="00374395">
            <w:pPr>
              <w:spacing w:line="240" w:lineRule="auto"/>
              <w:jc w:val="center"/>
              <w:rPr>
                <w:rFonts w:eastAsia="Times New Roman"/>
                <w:b/>
                <w:bCs/>
                <w:color w:val="000000"/>
                <w:sz w:val="20"/>
                <w:szCs w:val="20"/>
                <w:lang w:eastAsia="cs-CZ"/>
              </w:rPr>
            </w:pPr>
            <w:r w:rsidRPr="00374395">
              <w:rPr>
                <w:rFonts w:eastAsia="Times New Roman"/>
                <w:b/>
                <w:bCs/>
                <w:color w:val="000000"/>
                <w:sz w:val="20"/>
                <w:szCs w:val="20"/>
                <w:lang w:eastAsia="cs-CZ"/>
              </w:rPr>
              <w:t xml:space="preserve">+2 %  </w:t>
            </w:r>
          </w:p>
        </w:tc>
        <w:tc>
          <w:tcPr>
            <w:tcW w:w="962" w:type="dxa"/>
            <w:tcBorders>
              <w:top w:val="nil"/>
              <w:left w:val="nil"/>
              <w:bottom w:val="double" w:sz="6" w:space="0" w:color="auto"/>
              <w:right w:val="nil"/>
            </w:tcBorders>
            <w:shd w:val="clear" w:color="auto" w:fill="auto"/>
            <w:noWrap/>
            <w:vAlign w:val="bottom"/>
            <w:hideMark/>
          </w:tcPr>
          <w:p w14:paraId="28BE96E0" w14:textId="6CA88BD5"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7</w:t>
            </w:r>
            <w:r>
              <w:rPr>
                <w:rFonts w:eastAsia="Times New Roman"/>
                <w:b/>
                <w:bCs/>
                <w:color w:val="000000"/>
                <w:szCs w:val="24"/>
                <w:lang w:eastAsia="cs-CZ"/>
              </w:rPr>
              <w:t>,</w:t>
            </w:r>
            <w:r w:rsidRPr="00374395">
              <w:rPr>
                <w:rFonts w:eastAsia="Times New Roman"/>
                <w:b/>
                <w:bCs/>
                <w:color w:val="000000"/>
                <w:szCs w:val="24"/>
                <w:lang w:eastAsia="cs-CZ"/>
              </w:rPr>
              <w:t>60</w:t>
            </w:r>
          </w:p>
        </w:tc>
        <w:tc>
          <w:tcPr>
            <w:tcW w:w="1022" w:type="dxa"/>
            <w:tcBorders>
              <w:top w:val="nil"/>
              <w:left w:val="nil"/>
              <w:bottom w:val="double" w:sz="6" w:space="0" w:color="auto"/>
              <w:right w:val="nil"/>
            </w:tcBorders>
            <w:shd w:val="clear" w:color="auto" w:fill="auto"/>
            <w:noWrap/>
            <w:vAlign w:val="center"/>
            <w:hideMark/>
          </w:tcPr>
          <w:p w14:paraId="32AED330" w14:textId="77777777" w:rsidR="00374395" w:rsidRPr="00374395" w:rsidRDefault="00374395" w:rsidP="00374395">
            <w:pPr>
              <w:spacing w:line="240" w:lineRule="auto"/>
              <w:jc w:val="center"/>
              <w:rPr>
                <w:rFonts w:eastAsia="Times New Roman"/>
                <w:b/>
                <w:bCs/>
                <w:color w:val="000000"/>
                <w:sz w:val="20"/>
                <w:szCs w:val="20"/>
                <w:lang w:eastAsia="cs-CZ"/>
              </w:rPr>
            </w:pPr>
            <w:r w:rsidRPr="00374395">
              <w:rPr>
                <w:rFonts w:eastAsia="Times New Roman"/>
                <w:b/>
                <w:bCs/>
                <w:color w:val="000000"/>
                <w:sz w:val="20"/>
                <w:szCs w:val="20"/>
                <w:lang w:eastAsia="cs-CZ"/>
              </w:rPr>
              <w:t xml:space="preserve">+11 %  </w:t>
            </w:r>
          </w:p>
        </w:tc>
      </w:tr>
      <w:tr w:rsidR="00374395" w:rsidRPr="00374395" w14:paraId="54E4C2CE" w14:textId="77777777" w:rsidTr="00374395">
        <w:trPr>
          <w:trHeight w:val="330"/>
        </w:trPr>
        <w:tc>
          <w:tcPr>
            <w:tcW w:w="1820" w:type="dxa"/>
            <w:tcBorders>
              <w:top w:val="nil"/>
              <w:left w:val="nil"/>
              <w:bottom w:val="nil"/>
              <w:right w:val="nil"/>
            </w:tcBorders>
            <w:shd w:val="clear" w:color="auto" w:fill="auto"/>
            <w:noWrap/>
            <w:vAlign w:val="bottom"/>
            <w:hideMark/>
          </w:tcPr>
          <w:p w14:paraId="3182A834" w14:textId="77777777" w:rsidR="00374395" w:rsidRPr="00374395" w:rsidRDefault="00374395" w:rsidP="00374395">
            <w:pPr>
              <w:spacing w:line="240" w:lineRule="auto"/>
              <w:jc w:val="center"/>
              <w:rPr>
                <w:rFonts w:eastAsia="Times New Roman"/>
                <w:b/>
                <w:bCs/>
                <w:color w:val="000000"/>
                <w:sz w:val="20"/>
                <w:szCs w:val="20"/>
                <w:lang w:eastAsia="cs-CZ"/>
              </w:rPr>
            </w:pPr>
          </w:p>
        </w:tc>
        <w:tc>
          <w:tcPr>
            <w:tcW w:w="1019" w:type="dxa"/>
            <w:tcBorders>
              <w:top w:val="nil"/>
              <w:left w:val="nil"/>
              <w:bottom w:val="nil"/>
              <w:right w:val="nil"/>
            </w:tcBorders>
            <w:shd w:val="clear" w:color="auto" w:fill="auto"/>
            <w:noWrap/>
            <w:vAlign w:val="bottom"/>
            <w:hideMark/>
          </w:tcPr>
          <w:p w14:paraId="7C7BA622"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980" w:type="dxa"/>
            <w:tcBorders>
              <w:top w:val="nil"/>
              <w:left w:val="nil"/>
              <w:bottom w:val="nil"/>
              <w:right w:val="nil"/>
            </w:tcBorders>
            <w:shd w:val="clear" w:color="auto" w:fill="auto"/>
            <w:noWrap/>
            <w:vAlign w:val="bottom"/>
            <w:hideMark/>
          </w:tcPr>
          <w:p w14:paraId="2EA15EFD"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1213" w:type="dxa"/>
            <w:tcBorders>
              <w:top w:val="nil"/>
              <w:left w:val="nil"/>
              <w:bottom w:val="nil"/>
              <w:right w:val="nil"/>
            </w:tcBorders>
            <w:shd w:val="clear" w:color="auto" w:fill="auto"/>
            <w:noWrap/>
            <w:vAlign w:val="bottom"/>
            <w:hideMark/>
          </w:tcPr>
          <w:p w14:paraId="7FC5D477"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962" w:type="dxa"/>
            <w:tcBorders>
              <w:top w:val="nil"/>
              <w:left w:val="nil"/>
              <w:bottom w:val="nil"/>
              <w:right w:val="nil"/>
            </w:tcBorders>
            <w:shd w:val="clear" w:color="auto" w:fill="auto"/>
            <w:noWrap/>
            <w:vAlign w:val="bottom"/>
            <w:hideMark/>
          </w:tcPr>
          <w:p w14:paraId="6374E126"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1022" w:type="dxa"/>
            <w:tcBorders>
              <w:top w:val="nil"/>
              <w:left w:val="nil"/>
              <w:bottom w:val="nil"/>
              <w:right w:val="nil"/>
            </w:tcBorders>
            <w:shd w:val="clear" w:color="auto" w:fill="auto"/>
            <w:noWrap/>
            <w:vAlign w:val="bottom"/>
            <w:hideMark/>
          </w:tcPr>
          <w:p w14:paraId="15EE5BD4"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962" w:type="dxa"/>
            <w:tcBorders>
              <w:top w:val="nil"/>
              <w:left w:val="nil"/>
              <w:bottom w:val="nil"/>
              <w:right w:val="nil"/>
            </w:tcBorders>
            <w:shd w:val="clear" w:color="auto" w:fill="auto"/>
            <w:noWrap/>
            <w:vAlign w:val="bottom"/>
            <w:hideMark/>
          </w:tcPr>
          <w:p w14:paraId="74459281"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1022" w:type="dxa"/>
            <w:tcBorders>
              <w:top w:val="nil"/>
              <w:left w:val="nil"/>
              <w:bottom w:val="nil"/>
              <w:right w:val="nil"/>
            </w:tcBorders>
            <w:shd w:val="clear" w:color="auto" w:fill="auto"/>
            <w:noWrap/>
            <w:vAlign w:val="bottom"/>
            <w:hideMark/>
          </w:tcPr>
          <w:p w14:paraId="2C124B70"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r>
    </w:tbl>
    <w:p w14:paraId="67F0B1D5" w14:textId="198CC4FB" w:rsidR="0022573E" w:rsidRPr="00033A3F" w:rsidRDefault="0022573E" w:rsidP="0022573E">
      <w:pPr>
        <w:pStyle w:val="OdstavecASR"/>
        <w:rPr>
          <w:color w:val="000000" w:themeColor="text1"/>
        </w:rPr>
      </w:pPr>
      <w:r w:rsidRPr="00033A3F">
        <w:rPr>
          <w:color w:val="000000" w:themeColor="text1"/>
        </w:rPr>
        <w:t>Oproti předchozímu roku klesl skutečný počet soudců na trestním úseku z 87,2 na 8</w:t>
      </w:r>
      <w:r w:rsidR="00374395">
        <w:rPr>
          <w:color w:val="000000" w:themeColor="text1"/>
        </w:rPr>
        <w:t>2</w:t>
      </w:r>
      <w:r w:rsidRPr="00033A3F">
        <w:rPr>
          <w:color w:val="000000" w:themeColor="text1"/>
        </w:rPr>
        <w:t>,4 (v roce 2020 zde pracovalo 94 soudců). Nejvíce je pokles vidět u KS v Českých Budějovicích (z 5,2 na 3). To se u daného soudu výrazně projevilo v přepočtu na soudce.</w:t>
      </w:r>
    </w:p>
    <w:p w14:paraId="17E31EA9" w14:textId="77777777" w:rsidR="0022573E" w:rsidRPr="00033A3F" w:rsidRDefault="0022573E" w:rsidP="0022573E">
      <w:pPr>
        <w:pStyle w:val="OdstavecASR"/>
        <w:rPr>
          <w:color w:val="000000" w:themeColor="text1"/>
        </w:rPr>
      </w:pPr>
      <w:r w:rsidRPr="00033A3F">
        <w:rPr>
          <w:color w:val="000000" w:themeColor="text1"/>
        </w:rPr>
        <w:t xml:space="preserve">V případě prvostupňové trestní agendy </w:t>
      </w:r>
      <w:r w:rsidR="007C58FD" w:rsidRPr="00033A3F">
        <w:rPr>
          <w:color w:val="000000" w:themeColor="text1"/>
        </w:rPr>
        <w:t>u krajských soudů</w:t>
      </w:r>
      <w:r w:rsidRPr="00033A3F">
        <w:rPr>
          <w:color w:val="000000" w:themeColor="text1"/>
        </w:rPr>
        <w:t xml:space="preserve"> zároveň počty nevyřízených věcí na soudce příliš nekorespondují s výsledky z části o délkách řízení. Tuto výjimečnou situaci lze přisuzovat malému počtu věcí, malému počtu soudců, a tedy tendenci k velkým výkyvům v datech. Mezi soudy jsou nemalé rozdíly v počtu příchozích a vyřízených věcí na soudce, což opět plyne hlavně z velikosti agendy a případných personálních oslabení soudů.</w:t>
      </w:r>
    </w:p>
    <w:p w14:paraId="0CF9D734" w14:textId="2EB152E5" w:rsidR="008430BD" w:rsidRPr="00033A3F" w:rsidRDefault="008430BD" w:rsidP="008430BD">
      <w:pPr>
        <w:pStyle w:val="Nadpis3"/>
        <w:numPr>
          <w:ilvl w:val="2"/>
          <w:numId w:val="1"/>
        </w:numPr>
        <w:rPr>
          <w:color w:val="000000" w:themeColor="text1"/>
        </w:rPr>
      </w:pPr>
      <w:bookmarkStart w:id="1452" w:name="_Toc43903068"/>
      <w:bookmarkStart w:id="1453" w:name="_Toc106092767"/>
      <w:bookmarkStart w:id="1454" w:name="_Toc169250843"/>
      <w:bookmarkStart w:id="1455" w:name="_Toc193531005"/>
      <w:bookmarkStart w:id="1456" w:name="_Toc193957061"/>
      <w:bookmarkStart w:id="1457" w:name="_Toc203032751"/>
      <w:r w:rsidRPr="00033A3F">
        <w:rPr>
          <w:color w:val="000000" w:themeColor="text1"/>
        </w:rPr>
        <w:t>Disposition time</w:t>
      </w:r>
      <w:bookmarkEnd w:id="1452"/>
      <w:r w:rsidRPr="00033A3F">
        <w:rPr>
          <w:color w:val="000000" w:themeColor="text1"/>
        </w:rPr>
        <w:t xml:space="preserve"> (dispoziční čas)</w:t>
      </w:r>
      <w:bookmarkEnd w:id="1453"/>
      <w:bookmarkEnd w:id="1454"/>
      <w:bookmarkEnd w:id="1455"/>
      <w:bookmarkEnd w:id="1456"/>
      <w:bookmarkEnd w:id="1457"/>
    </w:p>
    <w:p w14:paraId="3E72B03A" w14:textId="7BE101E1" w:rsidR="00C421A8" w:rsidRPr="00033A3F" w:rsidRDefault="00185A06" w:rsidP="004C0D35">
      <w:pPr>
        <w:pStyle w:val="OdstavecASR"/>
        <w:rPr>
          <w:color w:val="000000" w:themeColor="text1"/>
        </w:rPr>
      </w:pPr>
      <w:r w:rsidRPr="00386F21">
        <w:rPr>
          <w:color w:val="000000" w:themeColor="text1"/>
        </w:rPr>
        <w:t>Dostupná data od roku 2008 (není zobrazeno na grafu níže) ukazují růstový trend DT od roku 201</w:t>
      </w:r>
      <w:r w:rsidR="009263D9" w:rsidRPr="00386F21">
        <w:rPr>
          <w:color w:val="000000" w:themeColor="text1"/>
        </w:rPr>
        <w:t>2</w:t>
      </w:r>
      <w:r w:rsidRPr="00386F21">
        <w:rPr>
          <w:color w:val="000000" w:themeColor="text1"/>
        </w:rPr>
        <w:t xml:space="preserve"> do roku 2020</w:t>
      </w:r>
      <w:r w:rsidR="00C421A8" w:rsidRPr="00386F21">
        <w:rPr>
          <w:color w:val="000000" w:themeColor="text1"/>
        </w:rPr>
        <w:t xml:space="preserve">, </w:t>
      </w:r>
      <w:r w:rsidR="00C421A8" w:rsidRPr="00033A3F">
        <w:rPr>
          <w:color w:val="000000" w:themeColor="text1"/>
        </w:rPr>
        <w:t>což plynulo z postupného růstu počtu nevyřízených věcí spojeného s poklesem v počtu věcí příchozích, a tedy i vyřízených. V roce 2020 tak DT dosáhl nejvyšší hodnoty ve sledovaném období, třebaže ne výrazně. V roce 2021 došlo k významnému poklesu (o 16 %), což plyne z výše diskutovaného poklesu v počtu nevyřízených věcí, který je zřejmě spojen s poklesem v počtu věcí příchozích. DT tak klesl na úroveň roku 2013. V roce 2022 se DT prakticky nezměnil, protože se téměř nezměnil ani počet vyřízených a nevyřízených věcí. V roce 2023 klesl DT na zdaleka nejmenší hodnotu ve sledovaném období. V roce 2024 DT narostl, protože mírně poklesl počet vyřízených věcí a</w:t>
      </w:r>
      <w:r w:rsidR="007C58FD" w:rsidRPr="00033A3F">
        <w:rPr>
          <w:color w:val="000000" w:themeColor="text1"/>
        </w:rPr>
        <w:t> </w:t>
      </w:r>
      <w:r w:rsidR="00C421A8" w:rsidRPr="00033A3F">
        <w:rPr>
          <w:color w:val="000000" w:themeColor="text1"/>
        </w:rPr>
        <w:t>zároveň mírně narostl počet věcí nevyřízených.</w:t>
      </w:r>
    </w:p>
    <w:p w14:paraId="71A8EF10" w14:textId="17A6E8F4" w:rsidR="00C421A8" w:rsidRPr="00033A3F" w:rsidRDefault="00C421A8" w:rsidP="00C421A8">
      <w:pPr>
        <w:pStyle w:val="Podnadpis"/>
        <w:numPr>
          <w:ilvl w:val="0"/>
          <w:numId w:val="0"/>
        </w:numPr>
        <w:rPr>
          <w:color w:val="000000" w:themeColor="text1"/>
        </w:rPr>
      </w:pPr>
      <w:bookmarkStart w:id="1458" w:name="_Toc515871392"/>
      <w:bookmarkStart w:id="1459" w:name="_Toc11135123"/>
      <w:bookmarkStart w:id="1460" w:name="_Toc43841441"/>
      <w:bookmarkStart w:id="1461" w:name="_Toc75952244"/>
      <w:bookmarkStart w:id="1462" w:name="_Toc106106701"/>
      <w:bookmarkStart w:id="1463" w:name="_Toc109802025"/>
      <w:bookmarkStart w:id="1464" w:name="_Toc144104177"/>
      <w:bookmarkStart w:id="1465" w:name="_Toc169250989"/>
      <w:bookmarkStart w:id="1466" w:name="_Toc174080675"/>
      <w:bookmarkStart w:id="1467" w:name="_Toc193530829"/>
      <w:bookmarkStart w:id="1468" w:name="_Toc193634103"/>
      <w:bookmarkStart w:id="1469" w:name="_Toc20303290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74</w:t>
      </w:r>
      <w:r w:rsidRPr="00033A3F">
        <w:rPr>
          <w:color w:val="000000" w:themeColor="text1"/>
        </w:rPr>
        <w:fldChar w:fldCharType="end"/>
      </w:r>
      <w:r w:rsidRPr="00033A3F">
        <w:rPr>
          <w:color w:val="000000" w:themeColor="text1"/>
        </w:rPr>
        <w:t>: KS – DT prvostupňového trestního řízení v letech 2015–20</w:t>
      </w:r>
      <w:bookmarkEnd w:id="1458"/>
      <w:bookmarkEnd w:id="1459"/>
      <w:bookmarkEnd w:id="1460"/>
      <w:r w:rsidRPr="00033A3F">
        <w:rPr>
          <w:color w:val="000000" w:themeColor="text1"/>
        </w:rPr>
        <w:t>2</w:t>
      </w:r>
      <w:bookmarkEnd w:id="1461"/>
      <w:bookmarkEnd w:id="1462"/>
      <w:bookmarkEnd w:id="1463"/>
      <w:bookmarkEnd w:id="1464"/>
      <w:bookmarkEnd w:id="1465"/>
      <w:bookmarkEnd w:id="1466"/>
      <w:r w:rsidRPr="00033A3F">
        <w:rPr>
          <w:color w:val="000000" w:themeColor="text1"/>
        </w:rPr>
        <w:t>4</w:t>
      </w:r>
      <w:bookmarkEnd w:id="1467"/>
      <w:bookmarkEnd w:id="1468"/>
      <w:bookmarkEnd w:id="1469"/>
    </w:p>
    <w:p w14:paraId="36292A77" w14:textId="1081C6D1" w:rsidR="00C421A8" w:rsidRPr="00033A3F" w:rsidRDefault="00C421A8" w:rsidP="00C421A8">
      <w:pPr>
        <w:rPr>
          <w:color w:val="000000" w:themeColor="text1"/>
        </w:rPr>
      </w:pPr>
      <w:r w:rsidRPr="00033A3F">
        <w:rPr>
          <w:noProof/>
          <w:color w:val="000000" w:themeColor="text1"/>
          <w:lang w:eastAsia="cs-CZ"/>
        </w:rPr>
        <w:drawing>
          <wp:inline distT="0" distB="0" distL="0" distR="0" wp14:anchorId="1FB65AAC" wp14:editId="636A8780">
            <wp:extent cx="5029200" cy="3657600"/>
            <wp:effectExtent l="0" t="0" r="0" b="0"/>
            <wp:docPr id="598777387"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5B0531A" w14:textId="667501F4" w:rsidR="00C421A8" w:rsidRPr="00033A3F" w:rsidRDefault="00C421A8">
      <w:pPr>
        <w:spacing w:after="160" w:line="259" w:lineRule="auto"/>
        <w:jc w:val="left"/>
        <w:rPr>
          <w:color w:val="000000" w:themeColor="text1"/>
        </w:rPr>
      </w:pPr>
    </w:p>
    <w:p w14:paraId="2870D26E" w14:textId="0827B238" w:rsidR="00C421A8" w:rsidRPr="00033A3F" w:rsidRDefault="00C421A8" w:rsidP="00C421A8">
      <w:pPr>
        <w:pStyle w:val="Podnadpis"/>
        <w:rPr>
          <w:color w:val="000000" w:themeColor="text1"/>
        </w:rPr>
      </w:pPr>
      <w:bookmarkStart w:id="1470" w:name="_Toc515871481"/>
      <w:bookmarkStart w:id="1471" w:name="_Toc11133249"/>
      <w:bookmarkStart w:id="1472" w:name="_Toc43931228"/>
      <w:bookmarkStart w:id="1473" w:name="_Toc75952361"/>
      <w:bookmarkStart w:id="1474" w:name="_Toc106106817"/>
      <w:bookmarkStart w:id="1475" w:name="_Toc109802140"/>
      <w:bookmarkStart w:id="1476" w:name="_Toc144104298"/>
      <w:bookmarkStart w:id="1477" w:name="_Toc169251112"/>
      <w:bookmarkStart w:id="1478" w:name="_Toc174080798"/>
      <w:bookmarkStart w:id="1479" w:name="_Toc193530926"/>
      <w:bookmarkStart w:id="1480" w:name="_Toc194045623"/>
      <w:bookmarkStart w:id="1481" w:name="_Toc199495033"/>
      <w:bookmarkStart w:id="1482" w:name="_Toc203033094"/>
      <w:bookmarkStart w:id="1483" w:name="_Toc203033172"/>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52</w:t>
      </w:r>
      <w:r w:rsidRPr="00033A3F">
        <w:rPr>
          <w:noProof/>
          <w:color w:val="000000" w:themeColor="text1"/>
        </w:rPr>
        <w:fldChar w:fldCharType="end"/>
      </w:r>
      <w:r w:rsidRPr="00033A3F">
        <w:rPr>
          <w:color w:val="000000" w:themeColor="text1"/>
        </w:rPr>
        <w:t>: KS – DT v prvostupňovém trestním řízení dle soudů</w:t>
      </w:r>
      <w:bookmarkEnd w:id="1470"/>
      <w:bookmarkEnd w:id="1471"/>
      <w:bookmarkEnd w:id="1472"/>
      <w:bookmarkEnd w:id="1473"/>
      <w:bookmarkEnd w:id="1474"/>
      <w:bookmarkEnd w:id="1475"/>
      <w:bookmarkEnd w:id="1476"/>
      <w:r w:rsidRPr="00033A3F">
        <w:rPr>
          <w:color w:val="000000" w:themeColor="text1"/>
        </w:rPr>
        <w:t xml:space="preserve">, </w:t>
      </w:r>
      <w:bookmarkEnd w:id="1477"/>
      <w:bookmarkEnd w:id="1478"/>
      <w:r w:rsidR="00936B01" w:rsidRPr="00033A3F">
        <w:rPr>
          <w:color w:val="000000" w:themeColor="text1"/>
        </w:rPr>
        <w:t>2024</w:t>
      </w:r>
      <w:bookmarkEnd w:id="1479"/>
      <w:bookmarkEnd w:id="1480"/>
      <w:bookmarkEnd w:id="1481"/>
      <w:bookmarkEnd w:id="1482"/>
      <w:bookmarkEnd w:id="1483"/>
    </w:p>
    <w:tbl>
      <w:tblPr>
        <w:tblW w:w="5960" w:type="dxa"/>
        <w:tblCellMar>
          <w:left w:w="70" w:type="dxa"/>
          <w:right w:w="70" w:type="dxa"/>
        </w:tblCellMar>
        <w:tblLook w:val="04A0" w:firstRow="1" w:lastRow="0" w:firstColumn="1" w:lastColumn="0" w:noHBand="0" w:noVBand="1"/>
      </w:tblPr>
      <w:tblGrid>
        <w:gridCol w:w="2780"/>
        <w:gridCol w:w="1253"/>
        <w:gridCol w:w="1927"/>
      </w:tblGrid>
      <w:tr w:rsidR="00033A3F" w:rsidRPr="00033A3F" w14:paraId="598FCFAC" w14:textId="77777777" w:rsidTr="00C421A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6EA4E82" w14:textId="77777777" w:rsidR="00C421A8" w:rsidRPr="00033A3F" w:rsidRDefault="00C421A8" w:rsidP="00C421A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65D28D9E" w14:textId="77777777" w:rsidR="00C421A8" w:rsidRPr="00033A3F" w:rsidRDefault="00C421A8" w:rsidP="00C421A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Disposition time</w:t>
            </w:r>
          </w:p>
        </w:tc>
      </w:tr>
      <w:tr w:rsidR="00033A3F" w:rsidRPr="00033A3F" w14:paraId="4898F962" w14:textId="77777777" w:rsidTr="00C421A8">
        <w:trPr>
          <w:trHeight w:val="330"/>
        </w:trPr>
        <w:tc>
          <w:tcPr>
            <w:tcW w:w="2780" w:type="dxa"/>
            <w:tcBorders>
              <w:top w:val="nil"/>
              <w:left w:val="nil"/>
              <w:bottom w:val="single" w:sz="4" w:space="0" w:color="auto"/>
              <w:right w:val="nil"/>
            </w:tcBorders>
            <w:shd w:val="clear" w:color="auto" w:fill="auto"/>
            <w:noWrap/>
            <w:vAlign w:val="bottom"/>
            <w:hideMark/>
          </w:tcPr>
          <w:p w14:paraId="7D1EDB30"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23CBBB3F"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260</w:t>
            </w:r>
          </w:p>
        </w:tc>
        <w:tc>
          <w:tcPr>
            <w:tcW w:w="1927" w:type="dxa"/>
            <w:tcBorders>
              <w:top w:val="nil"/>
              <w:left w:val="nil"/>
              <w:bottom w:val="single" w:sz="4" w:space="0" w:color="auto"/>
              <w:right w:val="nil"/>
            </w:tcBorders>
            <w:shd w:val="clear" w:color="auto" w:fill="auto"/>
            <w:noWrap/>
            <w:vAlign w:val="center"/>
            <w:hideMark/>
          </w:tcPr>
          <w:p w14:paraId="59DB2EA3" w14:textId="5DB50263"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+53 %</w:t>
            </w:r>
          </w:p>
        </w:tc>
      </w:tr>
      <w:tr w:rsidR="00033A3F" w:rsidRPr="00033A3F" w14:paraId="2702500C"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2FA3FA19"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40BE4E39"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w:t>
            </w:r>
          </w:p>
        </w:tc>
        <w:tc>
          <w:tcPr>
            <w:tcW w:w="1927" w:type="dxa"/>
            <w:tcBorders>
              <w:top w:val="nil"/>
              <w:left w:val="nil"/>
              <w:bottom w:val="single" w:sz="4" w:space="0" w:color="auto"/>
              <w:right w:val="nil"/>
            </w:tcBorders>
            <w:shd w:val="clear" w:color="auto" w:fill="auto"/>
            <w:noWrap/>
            <w:vAlign w:val="center"/>
            <w:hideMark/>
          </w:tcPr>
          <w:p w14:paraId="5FCBC2F0" w14:textId="04296E3B"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r>
      <w:tr w:rsidR="00033A3F" w:rsidRPr="00033A3F" w14:paraId="2DDBBE23"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1EC5B48D"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21AC570C"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155</w:t>
            </w:r>
          </w:p>
        </w:tc>
        <w:tc>
          <w:tcPr>
            <w:tcW w:w="1927" w:type="dxa"/>
            <w:tcBorders>
              <w:top w:val="nil"/>
              <w:left w:val="nil"/>
              <w:bottom w:val="single" w:sz="4" w:space="0" w:color="auto"/>
              <w:right w:val="nil"/>
            </w:tcBorders>
            <w:shd w:val="clear" w:color="auto" w:fill="auto"/>
            <w:noWrap/>
            <w:vAlign w:val="center"/>
            <w:hideMark/>
          </w:tcPr>
          <w:p w14:paraId="6B942852" w14:textId="44766DE1"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033A3F" w:rsidRPr="00033A3F" w14:paraId="3B21A0B0"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621A115D"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1D191606"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237</w:t>
            </w:r>
          </w:p>
        </w:tc>
        <w:tc>
          <w:tcPr>
            <w:tcW w:w="1927" w:type="dxa"/>
            <w:tcBorders>
              <w:top w:val="nil"/>
              <w:left w:val="nil"/>
              <w:bottom w:val="single" w:sz="4" w:space="0" w:color="auto"/>
              <w:right w:val="nil"/>
            </w:tcBorders>
            <w:shd w:val="clear" w:color="auto" w:fill="auto"/>
            <w:noWrap/>
            <w:vAlign w:val="center"/>
            <w:hideMark/>
          </w:tcPr>
          <w:p w14:paraId="666E939B" w14:textId="0E621D2B"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r>
      <w:tr w:rsidR="00033A3F" w:rsidRPr="00033A3F" w14:paraId="5FBB9E96"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141E51B0"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6A3086EE"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233</w:t>
            </w:r>
          </w:p>
        </w:tc>
        <w:tc>
          <w:tcPr>
            <w:tcW w:w="1927" w:type="dxa"/>
            <w:tcBorders>
              <w:top w:val="nil"/>
              <w:left w:val="nil"/>
              <w:bottom w:val="single" w:sz="4" w:space="0" w:color="auto"/>
              <w:right w:val="nil"/>
            </w:tcBorders>
            <w:shd w:val="clear" w:color="auto" w:fill="auto"/>
            <w:noWrap/>
            <w:vAlign w:val="center"/>
            <w:hideMark/>
          </w:tcPr>
          <w:p w14:paraId="62B548ED" w14:textId="6505B896"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76050008"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3BBFCF50"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4880FC57"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125</w:t>
            </w:r>
          </w:p>
        </w:tc>
        <w:tc>
          <w:tcPr>
            <w:tcW w:w="1927" w:type="dxa"/>
            <w:tcBorders>
              <w:top w:val="nil"/>
              <w:left w:val="nil"/>
              <w:bottom w:val="single" w:sz="4" w:space="0" w:color="auto"/>
              <w:right w:val="nil"/>
            </w:tcBorders>
            <w:shd w:val="clear" w:color="auto" w:fill="auto"/>
            <w:noWrap/>
            <w:vAlign w:val="center"/>
            <w:hideMark/>
          </w:tcPr>
          <w:p w14:paraId="175D6C00" w14:textId="278734A6"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r>
      <w:tr w:rsidR="00033A3F" w:rsidRPr="00033A3F" w14:paraId="3A163DBD"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38DF3069"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65510F93"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176</w:t>
            </w:r>
          </w:p>
        </w:tc>
        <w:tc>
          <w:tcPr>
            <w:tcW w:w="1927" w:type="dxa"/>
            <w:tcBorders>
              <w:top w:val="nil"/>
              <w:left w:val="nil"/>
              <w:bottom w:val="single" w:sz="4" w:space="0" w:color="auto"/>
              <w:right w:val="nil"/>
            </w:tcBorders>
            <w:shd w:val="clear" w:color="auto" w:fill="auto"/>
            <w:noWrap/>
            <w:vAlign w:val="center"/>
            <w:hideMark/>
          </w:tcPr>
          <w:p w14:paraId="71CF55AA" w14:textId="08FB9C33" w:rsidR="00C421A8" w:rsidRPr="00033A3F" w:rsidRDefault="00C421A8" w:rsidP="00C421A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5F31D8D4" w14:textId="77777777" w:rsidTr="00C421A8">
        <w:trPr>
          <w:trHeight w:val="330"/>
        </w:trPr>
        <w:tc>
          <w:tcPr>
            <w:tcW w:w="2780" w:type="dxa"/>
            <w:tcBorders>
              <w:top w:val="nil"/>
              <w:left w:val="nil"/>
              <w:bottom w:val="double" w:sz="6" w:space="0" w:color="auto"/>
              <w:right w:val="nil"/>
            </w:tcBorders>
            <w:shd w:val="clear" w:color="auto" w:fill="auto"/>
            <w:noWrap/>
            <w:vAlign w:val="bottom"/>
            <w:hideMark/>
          </w:tcPr>
          <w:p w14:paraId="024B538E"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1ED12489"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w:t>
            </w:r>
          </w:p>
        </w:tc>
        <w:tc>
          <w:tcPr>
            <w:tcW w:w="1927" w:type="dxa"/>
            <w:tcBorders>
              <w:top w:val="nil"/>
              <w:left w:val="nil"/>
              <w:bottom w:val="double" w:sz="6" w:space="0" w:color="auto"/>
              <w:right w:val="nil"/>
            </w:tcBorders>
            <w:shd w:val="clear" w:color="auto" w:fill="auto"/>
            <w:noWrap/>
            <w:vAlign w:val="center"/>
            <w:hideMark/>
          </w:tcPr>
          <w:p w14:paraId="58736D38" w14:textId="37A4067A"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-35 %</w:t>
            </w:r>
          </w:p>
        </w:tc>
      </w:tr>
      <w:tr w:rsidR="00033A3F" w:rsidRPr="00033A3F" w14:paraId="5CCB672F" w14:textId="77777777" w:rsidTr="00C421A8">
        <w:trPr>
          <w:trHeight w:val="345"/>
        </w:trPr>
        <w:tc>
          <w:tcPr>
            <w:tcW w:w="2780" w:type="dxa"/>
            <w:tcBorders>
              <w:top w:val="nil"/>
              <w:left w:val="nil"/>
              <w:bottom w:val="double" w:sz="6" w:space="0" w:color="auto"/>
              <w:right w:val="nil"/>
            </w:tcBorders>
            <w:shd w:val="clear" w:color="auto" w:fill="auto"/>
            <w:noWrap/>
            <w:vAlign w:val="bottom"/>
            <w:hideMark/>
          </w:tcPr>
          <w:p w14:paraId="165834E7" w14:textId="77777777" w:rsidR="00C421A8" w:rsidRPr="00033A3F" w:rsidRDefault="00C421A8" w:rsidP="00C421A8">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50F24D5F" w14:textId="77777777" w:rsidR="00C421A8" w:rsidRPr="00033A3F" w:rsidRDefault="00C421A8" w:rsidP="00C421A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194</w:t>
            </w:r>
          </w:p>
        </w:tc>
        <w:tc>
          <w:tcPr>
            <w:tcW w:w="1927" w:type="dxa"/>
            <w:tcBorders>
              <w:top w:val="nil"/>
              <w:left w:val="nil"/>
              <w:bottom w:val="double" w:sz="6" w:space="0" w:color="auto"/>
              <w:right w:val="nil"/>
            </w:tcBorders>
            <w:shd w:val="clear" w:color="auto" w:fill="auto"/>
            <w:noWrap/>
            <w:vAlign w:val="center"/>
            <w:hideMark/>
          </w:tcPr>
          <w:p w14:paraId="7A8F0BFA" w14:textId="2A9947C5" w:rsidR="00C421A8" w:rsidRPr="00033A3F" w:rsidRDefault="00C421A8" w:rsidP="006E1F5B">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r>
      <w:tr w:rsidR="00033A3F" w:rsidRPr="00033A3F" w14:paraId="7591E7BD" w14:textId="77777777" w:rsidTr="00C421A8">
        <w:trPr>
          <w:trHeight w:val="330"/>
        </w:trPr>
        <w:tc>
          <w:tcPr>
            <w:tcW w:w="2780" w:type="dxa"/>
            <w:tcBorders>
              <w:top w:val="nil"/>
              <w:left w:val="nil"/>
              <w:bottom w:val="nil"/>
              <w:right w:val="nil"/>
            </w:tcBorders>
            <w:shd w:val="clear" w:color="auto" w:fill="auto"/>
            <w:noWrap/>
            <w:vAlign w:val="bottom"/>
            <w:hideMark/>
          </w:tcPr>
          <w:p w14:paraId="02426F89" w14:textId="77777777" w:rsidR="00C421A8" w:rsidRPr="00033A3F" w:rsidRDefault="00C421A8" w:rsidP="00C421A8">
            <w:pPr>
              <w:spacing w:line="240" w:lineRule="auto"/>
              <w:jc w:val="center"/>
              <w:rPr>
                <w:rFonts w:eastAsia="Times New Roman"/>
                <w:b/>
                <w:bCs/>
                <w:color w:val="000000" w:themeColor="text1"/>
                <w:sz w:val="20"/>
                <w:szCs w:val="20"/>
                <w:lang w:eastAsia="cs-CZ"/>
              </w:rPr>
            </w:pPr>
          </w:p>
        </w:tc>
        <w:tc>
          <w:tcPr>
            <w:tcW w:w="1253" w:type="dxa"/>
            <w:tcBorders>
              <w:top w:val="nil"/>
              <w:left w:val="nil"/>
              <w:bottom w:val="nil"/>
              <w:right w:val="nil"/>
            </w:tcBorders>
            <w:shd w:val="clear" w:color="auto" w:fill="auto"/>
            <w:noWrap/>
            <w:vAlign w:val="bottom"/>
            <w:hideMark/>
          </w:tcPr>
          <w:p w14:paraId="49BD9F1B" w14:textId="77777777" w:rsidR="00C421A8" w:rsidRPr="00033A3F" w:rsidRDefault="00C421A8" w:rsidP="00C421A8">
            <w:pPr>
              <w:spacing w:line="240" w:lineRule="auto"/>
              <w:jc w:val="left"/>
              <w:rPr>
                <w:rFonts w:ascii="Times New Roman" w:eastAsia="Times New Roman" w:hAnsi="Times New Roman"/>
                <w:color w:val="000000" w:themeColor="text1"/>
                <w:sz w:val="20"/>
                <w:szCs w:val="20"/>
                <w:lang w:eastAsia="cs-CZ"/>
              </w:rPr>
            </w:pPr>
          </w:p>
        </w:tc>
        <w:tc>
          <w:tcPr>
            <w:tcW w:w="1927" w:type="dxa"/>
            <w:tcBorders>
              <w:top w:val="nil"/>
              <w:left w:val="nil"/>
              <w:bottom w:val="nil"/>
              <w:right w:val="nil"/>
            </w:tcBorders>
            <w:shd w:val="clear" w:color="auto" w:fill="auto"/>
            <w:noWrap/>
            <w:vAlign w:val="bottom"/>
            <w:hideMark/>
          </w:tcPr>
          <w:p w14:paraId="0A8D9B77" w14:textId="77777777" w:rsidR="00C421A8" w:rsidRPr="00033A3F" w:rsidRDefault="00C421A8" w:rsidP="00C421A8">
            <w:pPr>
              <w:spacing w:line="240" w:lineRule="auto"/>
              <w:jc w:val="left"/>
              <w:rPr>
                <w:rFonts w:ascii="Times New Roman" w:eastAsia="Times New Roman" w:hAnsi="Times New Roman"/>
                <w:color w:val="000000" w:themeColor="text1"/>
                <w:sz w:val="20"/>
                <w:szCs w:val="20"/>
                <w:lang w:eastAsia="cs-CZ"/>
              </w:rPr>
            </w:pPr>
          </w:p>
        </w:tc>
      </w:tr>
    </w:tbl>
    <w:p w14:paraId="101CAB4F" w14:textId="1C4A0185" w:rsidR="00C421A8" w:rsidRPr="00033A3F" w:rsidRDefault="00C421A8" w:rsidP="00C421A8">
      <w:pPr>
        <w:pStyle w:val="OdstavecASR"/>
        <w:rPr>
          <w:color w:val="000000" w:themeColor="text1"/>
        </w:rPr>
      </w:pPr>
      <w:r w:rsidRPr="00033A3F">
        <w:rPr>
          <w:color w:val="000000" w:themeColor="text1"/>
        </w:rPr>
        <w:t xml:space="preserve">Pohyby DT se výrazně liší mezi soudy (od – 35% </w:t>
      </w:r>
      <w:r w:rsidR="002E485C" w:rsidRPr="00033A3F">
        <w:rPr>
          <w:color w:val="000000" w:themeColor="text1"/>
        </w:rPr>
        <w:t xml:space="preserve">u </w:t>
      </w:r>
      <w:r w:rsidRPr="00033A3F">
        <w:rPr>
          <w:color w:val="000000" w:themeColor="text1"/>
        </w:rPr>
        <w:t>KS Ostrava po +53 % u MS Praha).</w:t>
      </w:r>
    </w:p>
    <w:p w14:paraId="36E4C0C7" w14:textId="5C304978" w:rsidR="00C421A8" w:rsidRPr="00033A3F" w:rsidRDefault="00C421A8" w:rsidP="00C421A8">
      <w:pPr>
        <w:pStyle w:val="OdstavecASR"/>
        <w:rPr>
          <w:color w:val="000000" w:themeColor="text1"/>
        </w:rPr>
      </w:pPr>
      <w:r w:rsidRPr="00033A3F">
        <w:rPr>
          <w:color w:val="000000" w:themeColor="text1"/>
        </w:rPr>
        <w:t>Závěry ze srovnání krajských soudů na základě délek řízení, přepočtu na soudce a DT se v tomto případě</w:t>
      </w:r>
      <w:r w:rsidR="00073A0D" w:rsidRPr="00033A3F">
        <w:rPr>
          <w:color w:val="000000" w:themeColor="text1"/>
        </w:rPr>
        <w:t xml:space="preserve"> od sebe navzájem</w:t>
      </w:r>
      <w:r w:rsidRPr="00033A3F">
        <w:rPr>
          <w:color w:val="000000" w:themeColor="text1"/>
        </w:rPr>
        <w:t xml:space="preserve"> liší, což vyplývá (jak už bylo zmíněno) z jiné metodiky, jiného zdroje dat a malého počtu pozorování.</w:t>
      </w:r>
    </w:p>
    <w:p w14:paraId="00C46C49" w14:textId="5E28FAD2" w:rsidR="00C421A8" w:rsidRPr="00033A3F" w:rsidRDefault="00C421A8" w:rsidP="00C421A8">
      <w:pPr>
        <w:pStyle w:val="OdstavecASR"/>
        <w:rPr>
          <w:color w:val="000000" w:themeColor="text1"/>
        </w:rPr>
      </w:pPr>
      <w:r w:rsidRPr="00033A3F">
        <w:rPr>
          <w:color w:val="000000" w:themeColor="text1"/>
        </w:rPr>
        <w:t>Ukazuje se tak, že u KS je v této agendě těžké činit kategorické závěry – situace není stabilní především kvůli malému počtu vyřizovaných věcí a vysoké náročnosti agendy.</w:t>
      </w:r>
    </w:p>
    <w:p w14:paraId="1D2BE867" w14:textId="10FB15B1" w:rsidR="008430BD" w:rsidRPr="00033A3F" w:rsidRDefault="008430BD" w:rsidP="008430BD">
      <w:pPr>
        <w:pStyle w:val="Nadpis3"/>
        <w:numPr>
          <w:ilvl w:val="2"/>
          <w:numId w:val="1"/>
        </w:numPr>
        <w:rPr>
          <w:color w:val="000000" w:themeColor="text1"/>
        </w:rPr>
      </w:pPr>
      <w:bookmarkStart w:id="1484" w:name="_Toc515871261"/>
      <w:bookmarkStart w:id="1485" w:name="_Toc106092768"/>
      <w:bookmarkStart w:id="1486" w:name="_Toc169250844"/>
      <w:bookmarkStart w:id="1487" w:name="_Toc193531006"/>
      <w:bookmarkStart w:id="1488" w:name="_Toc193957062"/>
      <w:bookmarkStart w:id="1489" w:name="_Toc203032752"/>
      <w:r w:rsidRPr="00033A3F">
        <w:rPr>
          <w:color w:val="000000" w:themeColor="text1"/>
        </w:rPr>
        <w:lastRenderedPageBreak/>
        <w:t>Další statistiky</w:t>
      </w:r>
      <w:bookmarkEnd w:id="1484"/>
      <w:bookmarkEnd w:id="1485"/>
      <w:bookmarkEnd w:id="1486"/>
      <w:bookmarkEnd w:id="1487"/>
      <w:bookmarkEnd w:id="1488"/>
      <w:bookmarkEnd w:id="1489"/>
    </w:p>
    <w:p w14:paraId="41440FA5" w14:textId="36757BA1" w:rsidR="00C421A8" w:rsidRPr="00033A3F" w:rsidRDefault="00C421A8" w:rsidP="00C421A8">
      <w:pPr>
        <w:pStyle w:val="OdstavecASR"/>
        <w:rPr>
          <w:color w:val="000000" w:themeColor="text1"/>
        </w:rPr>
      </w:pPr>
      <w:r w:rsidRPr="00033A3F">
        <w:rPr>
          <w:color w:val="000000" w:themeColor="text1"/>
        </w:rPr>
        <w:t>Jako další statistiky v této podkapitole uvádíme míru odvolání, míru změny rozsudku a nakonec se díváme na to,</w:t>
      </w:r>
      <w:r w:rsidR="00306A99" w:rsidRPr="00033A3F">
        <w:rPr>
          <w:color w:val="000000" w:themeColor="text1"/>
        </w:rPr>
        <w:t xml:space="preserve"> v jaké výši jsou ukládány nepodmíněné tresty odnětí</w:t>
      </w:r>
      <w:r w:rsidR="009263D9">
        <w:rPr>
          <w:color w:val="000000" w:themeColor="text1"/>
        </w:rPr>
        <w:t xml:space="preserve"> svobody</w:t>
      </w:r>
      <w:r w:rsidRPr="00033A3F">
        <w:rPr>
          <w:color w:val="000000" w:themeColor="text1"/>
        </w:rPr>
        <w:t>. Jde tedy o podobné statistiky jako u okresních soudů. Opět je třeba zdůraznit, že u KS je malý počet pozorování.</w:t>
      </w:r>
    </w:p>
    <w:p w14:paraId="15A93740" w14:textId="77777777" w:rsidR="00306A99" w:rsidRDefault="00306A99" w:rsidP="00306A99">
      <w:pPr>
        <w:pStyle w:val="OdstavecASR"/>
        <w:keepNext/>
        <w:outlineLvl w:val="3"/>
        <w:rPr>
          <w:b/>
          <w:color w:val="000000" w:themeColor="text1"/>
        </w:rPr>
      </w:pPr>
      <w:r w:rsidRPr="00033A3F">
        <w:rPr>
          <w:b/>
          <w:color w:val="000000" w:themeColor="text1"/>
        </w:rPr>
        <w:t>Míra odvolání</w:t>
      </w:r>
    </w:p>
    <w:p w14:paraId="0C12F25E" w14:textId="77777777" w:rsidR="002F4034" w:rsidRDefault="002F4034" w:rsidP="002F4034">
      <w:pPr>
        <w:pStyle w:val="OdstavecASR"/>
        <w:rPr>
          <w:color w:val="000000" w:themeColor="text1"/>
        </w:rPr>
      </w:pPr>
      <w:r>
        <w:rPr>
          <w:color w:val="000000" w:themeColor="text1"/>
        </w:rPr>
        <w:t>Míra odvolání i míra rozsudku jsou vypočteny ze statistických listů. K uvedeným statistkám uvádíme následující:</w:t>
      </w:r>
    </w:p>
    <w:p w14:paraId="4DE8C4EF" w14:textId="77777777" w:rsidR="002F4034" w:rsidRDefault="002F4034" w:rsidP="002F4034">
      <w:pPr>
        <w:pStyle w:val="OdstavecASR"/>
        <w:numPr>
          <w:ilvl w:val="0"/>
          <w:numId w:val="38"/>
        </w:numPr>
        <w:rPr>
          <w:color w:val="000000" w:themeColor="text1"/>
        </w:rPr>
      </w:pPr>
      <w:r>
        <w:rPr>
          <w:color w:val="000000" w:themeColor="text1"/>
        </w:rPr>
        <w:t xml:space="preserve">týkají se pouze pravomocně skončených věcí v rejstřících T a Tm, </w:t>
      </w:r>
    </w:p>
    <w:p w14:paraId="75D7D4EB" w14:textId="77777777" w:rsidR="002F4034" w:rsidRDefault="002F4034" w:rsidP="002F4034">
      <w:pPr>
        <w:pStyle w:val="OdstavecASR"/>
        <w:numPr>
          <w:ilvl w:val="0"/>
          <w:numId w:val="38"/>
        </w:numPr>
        <w:rPr>
          <w:color w:val="000000" w:themeColor="text1"/>
        </w:rPr>
      </w:pPr>
      <w:r>
        <w:rPr>
          <w:color w:val="000000" w:themeColor="text1"/>
        </w:rPr>
        <w:t>jde pouze o odvolání v meritu věci,</w:t>
      </w:r>
    </w:p>
    <w:p w14:paraId="7410423D" w14:textId="77777777" w:rsidR="002F4034" w:rsidRDefault="002F4034" w:rsidP="002F4034">
      <w:pPr>
        <w:pStyle w:val="OdstavecASR"/>
        <w:numPr>
          <w:ilvl w:val="0"/>
          <w:numId w:val="38"/>
        </w:numPr>
        <w:rPr>
          <w:color w:val="000000" w:themeColor="text1"/>
        </w:rPr>
      </w:pPr>
      <w:r>
        <w:rPr>
          <w:color w:val="000000" w:themeColor="text1"/>
        </w:rPr>
        <w:t>započteny jsou i věci, kde</w:t>
      </w:r>
      <w:r w:rsidRPr="00B20D86">
        <w:rPr>
          <w:color w:val="000000" w:themeColor="text1"/>
        </w:rPr>
        <w:t xml:space="preserve"> </w:t>
      </w:r>
      <w:r>
        <w:rPr>
          <w:color w:val="000000" w:themeColor="text1"/>
        </w:rPr>
        <w:t xml:space="preserve">nadřízený </w:t>
      </w:r>
      <w:r w:rsidRPr="00033A3F">
        <w:rPr>
          <w:color w:val="000000" w:themeColor="text1"/>
        </w:rPr>
        <w:t>soud zrušil rozhodnutí soudu I. stupně a věc mu vrátil a následně již odvolání podáno nebylo</w:t>
      </w:r>
    </w:p>
    <w:p w14:paraId="2ECA1C91" w14:textId="432FB3DB" w:rsidR="002F4034" w:rsidRDefault="002F4034" w:rsidP="002F4034">
      <w:pPr>
        <w:pStyle w:val="OdstavecASR"/>
        <w:numPr>
          <w:ilvl w:val="0"/>
          <w:numId w:val="38"/>
        </w:numPr>
        <w:rPr>
          <w:color w:val="000000" w:themeColor="text1"/>
        </w:rPr>
      </w:pPr>
      <w:r>
        <w:rPr>
          <w:color w:val="000000" w:themeColor="text1"/>
        </w:rPr>
        <w:t>data jsou očištěna o věc</w:t>
      </w:r>
      <w:r w:rsidR="001555BC">
        <w:rPr>
          <w:color w:val="000000" w:themeColor="text1"/>
        </w:rPr>
        <w:t>i</w:t>
      </w:r>
      <w:r>
        <w:rPr>
          <w:color w:val="000000" w:themeColor="text1"/>
        </w:rPr>
        <w:t>, kde byla uzavřena dohoda o vině a trestu.</w:t>
      </w:r>
    </w:p>
    <w:p w14:paraId="41C46D9A" w14:textId="77777777" w:rsidR="00542EE2" w:rsidRDefault="00542EE2" w:rsidP="00542EE2">
      <w:pPr>
        <w:pStyle w:val="OdstavecASR"/>
        <w:rPr>
          <w:color w:val="000000" w:themeColor="text1"/>
        </w:rPr>
      </w:pPr>
    </w:p>
    <w:p w14:paraId="17B93DC9" w14:textId="1D0453DB" w:rsidR="00306A99" w:rsidRPr="00033A3F" w:rsidRDefault="00306A99" w:rsidP="00306A99">
      <w:pPr>
        <w:pStyle w:val="Podnadpis"/>
        <w:rPr>
          <w:color w:val="000000" w:themeColor="text1"/>
        </w:rPr>
      </w:pPr>
      <w:bookmarkStart w:id="1490" w:name="_Toc515871482"/>
      <w:bookmarkStart w:id="1491" w:name="_Toc11133250"/>
      <w:bookmarkStart w:id="1492" w:name="_Toc43931229"/>
      <w:bookmarkStart w:id="1493" w:name="_Toc75952362"/>
      <w:bookmarkStart w:id="1494" w:name="_Toc106106818"/>
      <w:bookmarkStart w:id="1495" w:name="_Toc109802141"/>
      <w:bookmarkStart w:id="1496" w:name="_Toc144104299"/>
      <w:bookmarkStart w:id="1497" w:name="_Toc169251113"/>
      <w:bookmarkStart w:id="1498" w:name="_Toc174080799"/>
      <w:bookmarkStart w:id="1499" w:name="_Toc193530927"/>
      <w:bookmarkStart w:id="1500" w:name="_Toc194045624"/>
      <w:bookmarkStart w:id="1501" w:name="_Toc199495034"/>
      <w:bookmarkStart w:id="1502" w:name="_Toc203033095"/>
      <w:bookmarkStart w:id="1503" w:name="_Toc203033173"/>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53</w:t>
      </w:r>
      <w:r w:rsidRPr="00033A3F">
        <w:rPr>
          <w:noProof/>
          <w:color w:val="000000" w:themeColor="text1"/>
        </w:rPr>
        <w:fldChar w:fldCharType="end"/>
      </w:r>
      <w:r w:rsidRPr="00033A3F">
        <w:rPr>
          <w:color w:val="000000" w:themeColor="text1"/>
        </w:rPr>
        <w:t>: KS – míra odvolání dle soudů v trestním řízení</w:t>
      </w:r>
      <w:bookmarkEnd w:id="1490"/>
      <w:bookmarkEnd w:id="1491"/>
      <w:bookmarkEnd w:id="1492"/>
      <w:bookmarkEnd w:id="1493"/>
      <w:bookmarkEnd w:id="1494"/>
      <w:bookmarkEnd w:id="1495"/>
      <w:bookmarkEnd w:id="1496"/>
      <w:r w:rsidRPr="00033A3F">
        <w:rPr>
          <w:color w:val="000000" w:themeColor="text1"/>
        </w:rPr>
        <w:t>, 202</w:t>
      </w:r>
      <w:bookmarkEnd w:id="1497"/>
      <w:bookmarkEnd w:id="1498"/>
      <w:r w:rsidRPr="00033A3F">
        <w:rPr>
          <w:color w:val="000000" w:themeColor="text1"/>
        </w:rPr>
        <w:t>4</w:t>
      </w:r>
      <w:bookmarkEnd w:id="1499"/>
      <w:bookmarkEnd w:id="1500"/>
      <w:bookmarkEnd w:id="1501"/>
      <w:bookmarkEnd w:id="1502"/>
      <w:bookmarkEnd w:id="1503"/>
    </w:p>
    <w:tbl>
      <w:tblPr>
        <w:tblW w:w="6300" w:type="dxa"/>
        <w:tblCellMar>
          <w:left w:w="70" w:type="dxa"/>
          <w:right w:w="70" w:type="dxa"/>
        </w:tblCellMar>
        <w:tblLook w:val="04A0" w:firstRow="1" w:lastRow="0" w:firstColumn="1" w:lastColumn="0" w:noHBand="0" w:noVBand="1"/>
      </w:tblPr>
      <w:tblGrid>
        <w:gridCol w:w="2780"/>
        <w:gridCol w:w="1731"/>
        <w:gridCol w:w="1789"/>
      </w:tblGrid>
      <w:tr w:rsidR="00033A3F" w:rsidRPr="00033A3F" w14:paraId="0C6AAB8A" w14:textId="77777777" w:rsidTr="00C3043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B5368F3" w14:textId="77777777" w:rsidR="00C30438" w:rsidRPr="00033A3F" w:rsidRDefault="00C30438" w:rsidP="00C3043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09EE0CB8" w14:textId="652B2A45" w:rsidR="00C30438" w:rsidRPr="00033A3F" w:rsidRDefault="00C30438" w:rsidP="00C3043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odvolání</w:t>
            </w:r>
          </w:p>
        </w:tc>
      </w:tr>
      <w:tr w:rsidR="00033A3F" w:rsidRPr="00033A3F" w14:paraId="7D394C07" w14:textId="77777777" w:rsidTr="00C30438">
        <w:trPr>
          <w:trHeight w:val="330"/>
        </w:trPr>
        <w:tc>
          <w:tcPr>
            <w:tcW w:w="2780" w:type="dxa"/>
            <w:tcBorders>
              <w:top w:val="nil"/>
              <w:left w:val="nil"/>
              <w:bottom w:val="single" w:sz="4" w:space="0" w:color="auto"/>
              <w:right w:val="nil"/>
            </w:tcBorders>
            <w:shd w:val="clear" w:color="auto" w:fill="auto"/>
            <w:noWrap/>
            <w:vAlign w:val="bottom"/>
            <w:hideMark/>
          </w:tcPr>
          <w:p w14:paraId="7343858D"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31" w:type="dxa"/>
            <w:tcBorders>
              <w:top w:val="nil"/>
              <w:left w:val="nil"/>
              <w:bottom w:val="single" w:sz="4" w:space="0" w:color="auto"/>
              <w:right w:val="nil"/>
            </w:tcBorders>
            <w:shd w:val="clear" w:color="auto" w:fill="auto"/>
            <w:noWrap/>
            <w:vAlign w:val="bottom"/>
            <w:hideMark/>
          </w:tcPr>
          <w:p w14:paraId="006769D0" w14:textId="67F605DB"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77,01 %</w:t>
            </w:r>
          </w:p>
        </w:tc>
        <w:tc>
          <w:tcPr>
            <w:tcW w:w="1789" w:type="dxa"/>
            <w:tcBorders>
              <w:top w:val="nil"/>
              <w:left w:val="nil"/>
              <w:bottom w:val="single" w:sz="4" w:space="0" w:color="auto"/>
              <w:right w:val="nil"/>
            </w:tcBorders>
            <w:shd w:val="clear" w:color="auto" w:fill="auto"/>
            <w:noWrap/>
            <w:vAlign w:val="center"/>
            <w:hideMark/>
          </w:tcPr>
          <w:p w14:paraId="1A530025" w14:textId="3D930BEB"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+9,8 p.b.</w:t>
            </w:r>
          </w:p>
        </w:tc>
      </w:tr>
      <w:tr w:rsidR="00033A3F" w:rsidRPr="00033A3F" w14:paraId="3B2F207B"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1A26A6C8"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31" w:type="dxa"/>
            <w:tcBorders>
              <w:top w:val="nil"/>
              <w:left w:val="nil"/>
              <w:bottom w:val="single" w:sz="4" w:space="0" w:color="auto"/>
              <w:right w:val="nil"/>
            </w:tcBorders>
            <w:shd w:val="clear" w:color="auto" w:fill="auto"/>
            <w:noWrap/>
            <w:vAlign w:val="bottom"/>
            <w:hideMark/>
          </w:tcPr>
          <w:p w14:paraId="57D90479" w14:textId="404ED6F3"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82,73 %</w:t>
            </w:r>
          </w:p>
        </w:tc>
        <w:tc>
          <w:tcPr>
            <w:tcW w:w="1789" w:type="dxa"/>
            <w:tcBorders>
              <w:top w:val="nil"/>
              <w:left w:val="nil"/>
              <w:bottom w:val="single" w:sz="4" w:space="0" w:color="auto"/>
              <w:right w:val="nil"/>
            </w:tcBorders>
            <w:shd w:val="clear" w:color="auto" w:fill="auto"/>
            <w:noWrap/>
            <w:vAlign w:val="center"/>
            <w:hideMark/>
          </w:tcPr>
          <w:p w14:paraId="3B8D6A2D" w14:textId="3831157C"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+13,5 p.b.</w:t>
            </w:r>
          </w:p>
        </w:tc>
      </w:tr>
      <w:tr w:rsidR="00033A3F" w:rsidRPr="00033A3F" w14:paraId="7018AAE1"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19FDEA40"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31" w:type="dxa"/>
            <w:tcBorders>
              <w:top w:val="nil"/>
              <w:left w:val="nil"/>
              <w:bottom w:val="single" w:sz="4" w:space="0" w:color="auto"/>
              <w:right w:val="nil"/>
            </w:tcBorders>
            <w:shd w:val="clear" w:color="auto" w:fill="auto"/>
            <w:noWrap/>
            <w:vAlign w:val="bottom"/>
            <w:hideMark/>
          </w:tcPr>
          <w:p w14:paraId="3D104B61" w14:textId="27469255"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70,49 %</w:t>
            </w:r>
          </w:p>
        </w:tc>
        <w:tc>
          <w:tcPr>
            <w:tcW w:w="1789" w:type="dxa"/>
            <w:tcBorders>
              <w:top w:val="nil"/>
              <w:left w:val="nil"/>
              <w:bottom w:val="single" w:sz="4" w:space="0" w:color="auto"/>
              <w:right w:val="nil"/>
            </w:tcBorders>
            <w:shd w:val="clear" w:color="auto" w:fill="auto"/>
            <w:noWrap/>
            <w:vAlign w:val="center"/>
            <w:hideMark/>
          </w:tcPr>
          <w:p w14:paraId="35288F92" w14:textId="228E7074"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p.b.</w:t>
            </w:r>
          </w:p>
        </w:tc>
      </w:tr>
      <w:tr w:rsidR="00033A3F" w:rsidRPr="00033A3F" w14:paraId="2A7DD75C"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7D606794"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31" w:type="dxa"/>
            <w:tcBorders>
              <w:top w:val="nil"/>
              <w:left w:val="nil"/>
              <w:bottom w:val="single" w:sz="4" w:space="0" w:color="auto"/>
              <w:right w:val="nil"/>
            </w:tcBorders>
            <w:shd w:val="clear" w:color="auto" w:fill="auto"/>
            <w:noWrap/>
            <w:vAlign w:val="bottom"/>
            <w:hideMark/>
          </w:tcPr>
          <w:p w14:paraId="7672A40E" w14:textId="1AA8EA06"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81,17 %</w:t>
            </w:r>
          </w:p>
        </w:tc>
        <w:tc>
          <w:tcPr>
            <w:tcW w:w="1789" w:type="dxa"/>
            <w:tcBorders>
              <w:top w:val="nil"/>
              <w:left w:val="nil"/>
              <w:bottom w:val="single" w:sz="4" w:space="0" w:color="auto"/>
              <w:right w:val="nil"/>
            </w:tcBorders>
            <w:shd w:val="clear" w:color="auto" w:fill="auto"/>
            <w:noWrap/>
            <w:vAlign w:val="center"/>
            <w:hideMark/>
          </w:tcPr>
          <w:p w14:paraId="270CA0B4" w14:textId="4A6AA564"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+9,7 p.b.</w:t>
            </w:r>
          </w:p>
        </w:tc>
      </w:tr>
      <w:tr w:rsidR="00033A3F" w:rsidRPr="00033A3F" w14:paraId="692BA999"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38BBA037"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31" w:type="dxa"/>
            <w:tcBorders>
              <w:top w:val="nil"/>
              <w:left w:val="nil"/>
              <w:bottom w:val="single" w:sz="4" w:space="0" w:color="auto"/>
              <w:right w:val="nil"/>
            </w:tcBorders>
            <w:shd w:val="clear" w:color="auto" w:fill="auto"/>
            <w:noWrap/>
            <w:vAlign w:val="bottom"/>
            <w:hideMark/>
          </w:tcPr>
          <w:p w14:paraId="10FE35E0" w14:textId="2DFD4465"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62,58 %</w:t>
            </w:r>
          </w:p>
        </w:tc>
        <w:tc>
          <w:tcPr>
            <w:tcW w:w="1789" w:type="dxa"/>
            <w:tcBorders>
              <w:top w:val="nil"/>
              <w:left w:val="nil"/>
              <w:bottom w:val="single" w:sz="4" w:space="0" w:color="auto"/>
              <w:right w:val="nil"/>
            </w:tcBorders>
            <w:shd w:val="clear" w:color="auto" w:fill="auto"/>
            <w:noWrap/>
            <w:vAlign w:val="center"/>
            <w:hideMark/>
          </w:tcPr>
          <w:p w14:paraId="03658854" w14:textId="5D99EA99"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p.b.</w:t>
            </w:r>
          </w:p>
        </w:tc>
      </w:tr>
      <w:tr w:rsidR="00033A3F" w:rsidRPr="00033A3F" w14:paraId="39FF97BD"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4B163D6E"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31" w:type="dxa"/>
            <w:tcBorders>
              <w:top w:val="nil"/>
              <w:left w:val="nil"/>
              <w:bottom w:val="single" w:sz="4" w:space="0" w:color="auto"/>
              <w:right w:val="nil"/>
            </w:tcBorders>
            <w:shd w:val="clear" w:color="auto" w:fill="auto"/>
            <w:noWrap/>
            <w:vAlign w:val="bottom"/>
            <w:hideMark/>
          </w:tcPr>
          <w:p w14:paraId="2F3F7F8D" w14:textId="6A78147A"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62,64 %</w:t>
            </w:r>
          </w:p>
        </w:tc>
        <w:tc>
          <w:tcPr>
            <w:tcW w:w="1789" w:type="dxa"/>
            <w:tcBorders>
              <w:top w:val="nil"/>
              <w:left w:val="nil"/>
              <w:bottom w:val="single" w:sz="4" w:space="0" w:color="auto"/>
              <w:right w:val="nil"/>
            </w:tcBorders>
            <w:shd w:val="clear" w:color="auto" w:fill="auto"/>
            <w:noWrap/>
            <w:vAlign w:val="center"/>
            <w:hideMark/>
          </w:tcPr>
          <w:p w14:paraId="320D0EDA" w14:textId="7E3AEF24"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-5,4 p.b.</w:t>
            </w:r>
          </w:p>
        </w:tc>
      </w:tr>
      <w:tr w:rsidR="00033A3F" w:rsidRPr="00033A3F" w14:paraId="6B5D7BCF"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1D6CFFA2"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31" w:type="dxa"/>
            <w:tcBorders>
              <w:top w:val="nil"/>
              <w:left w:val="nil"/>
              <w:bottom w:val="single" w:sz="4" w:space="0" w:color="auto"/>
              <w:right w:val="nil"/>
            </w:tcBorders>
            <w:shd w:val="clear" w:color="auto" w:fill="auto"/>
            <w:noWrap/>
            <w:vAlign w:val="bottom"/>
            <w:hideMark/>
          </w:tcPr>
          <w:p w14:paraId="7997B8BF" w14:textId="455C40CD"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55,25 %</w:t>
            </w:r>
          </w:p>
        </w:tc>
        <w:tc>
          <w:tcPr>
            <w:tcW w:w="1789" w:type="dxa"/>
            <w:tcBorders>
              <w:top w:val="nil"/>
              <w:left w:val="nil"/>
              <w:bottom w:val="single" w:sz="4" w:space="0" w:color="auto"/>
              <w:right w:val="nil"/>
            </w:tcBorders>
            <w:shd w:val="clear" w:color="auto" w:fill="auto"/>
            <w:noWrap/>
            <w:vAlign w:val="center"/>
            <w:hideMark/>
          </w:tcPr>
          <w:p w14:paraId="4C9781DB" w14:textId="1BFB6E37"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-5,9 p.b.</w:t>
            </w:r>
          </w:p>
        </w:tc>
      </w:tr>
      <w:tr w:rsidR="00033A3F" w:rsidRPr="00033A3F" w14:paraId="3C5411A2" w14:textId="77777777" w:rsidTr="00C30438">
        <w:trPr>
          <w:trHeight w:val="330"/>
        </w:trPr>
        <w:tc>
          <w:tcPr>
            <w:tcW w:w="2780" w:type="dxa"/>
            <w:tcBorders>
              <w:top w:val="nil"/>
              <w:left w:val="nil"/>
              <w:bottom w:val="double" w:sz="6" w:space="0" w:color="auto"/>
              <w:right w:val="nil"/>
            </w:tcBorders>
            <w:shd w:val="clear" w:color="auto" w:fill="auto"/>
            <w:noWrap/>
            <w:vAlign w:val="bottom"/>
            <w:hideMark/>
          </w:tcPr>
          <w:p w14:paraId="7C639873"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31" w:type="dxa"/>
            <w:tcBorders>
              <w:top w:val="nil"/>
              <w:left w:val="nil"/>
              <w:bottom w:val="double" w:sz="6" w:space="0" w:color="auto"/>
              <w:right w:val="nil"/>
            </w:tcBorders>
            <w:shd w:val="clear" w:color="auto" w:fill="auto"/>
            <w:noWrap/>
            <w:vAlign w:val="bottom"/>
            <w:hideMark/>
          </w:tcPr>
          <w:p w14:paraId="13DC757B" w14:textId="408C6CA7"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46,67 %</w:t>
            </w:r>
          </w:p>
        </w:tc>
        <w:tc>
          <w:tcPr>
            <w:tcW w:w="1789" w:type="dxa"/>
            <w:tcBorders>
              <w:top w:val="nil"/>
              <w:left w:val="nil"/>
              <w:bottom w:val="nil"/>
              <w:right w:val="nil"/>
            </w:tcBorders>
            <w:shd w:val="clear" w:color="auto" w:fill="auto"/>
            <w:noWrap/>
            <w:vAlign w:val="center"/>
            <w:hideMark/>
          </w:tcPr>
          <w:p w14:paraId="0B93B359" w14:textId="3AABC7D2"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-16,9 p.b.</w:t>
            </w:r>
          </w:p>
        </w:tc>
      </w:tr>
      <w:tr w:rsidR="00033A3F" w:rsidRPr="00033A3F" w14:paraId="6602A01E" w14:textId="77777777" w:rsidTr="00C30438">
        <w:trPr>
          <w:trHeight w:val="345"/>
        </w:trPr>
        <w:tc>
          <w:tcPr>
            <w:tcW w:w="2780" w:type="dxa"/>
            <w:tcBorders>
              <w:top w:val="nil"/>
              <w:left w:val="nil"/>
              <w:bottom w:val="double" w:sz="6" w:space="0" w:color="auto"/>
              <w:right w:val="nil"/>
            </w:tcBorders>
            <w:shd w:val="clear" w:color="auto" w:fill="auto"/>
            <w:noWrap/>
            <w:vAlign w:val="bottom"/>
            <w:hideMark/>
          </w:tcPr>
          <w:p w14:paraId="00354574" w14:textId="77777777" w:rsidR="00C30438" w:rsidRPr="00033A3F" w:rsidRDefault="00C30438" w:rsidP="00C30438">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31" w:type="dxa"/>
            <w:tcBorders>
              <w:top w:val="nil"/>
              <w:left w:val="nil"/>
              <w:bottom w:val="double" w:sz="6" w:space="0" w:color="auto"/>
              <w:right w:val="nil"/>
            </w:tcBorders>
            <w:shd w:val="clear" w:color="auto" w:fill="auto"/>
            <w:noWrap/>
            <w:vAlign w:val="bottom"/>
            <w:hideMark/>
          </w:tcPr>
          <w:p w14:paraId="16B61F34" w14:textId="026D97F1" w:rsidR="00C30438" w:rsidRPr="00033A3F" w:rsidRDefault="00C30438" w:rsidP="00C3043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67,06 %</w:t>
            </w:r>
          </w:p>
        </w:tc>
        <w:tc>
          <w:tcPr>
            <w:tcW w:w="1789" w:type="dxa"/>
            <w:tcBorders>
              <w:top w:val="double" w:sz="6" w:space="0" w:color="auto"/>
              <w:left w:val="nil"/>
              <w:bottom w:val="double" w:sz="6" w:space="0" w:color="auto"/>
              <w:right w:val="nil"/>
            </w:tcBorders>
            <w:shd w:val="clear" w:color="auto" w:fill="auto"/>
            <w:noWrap/>
            <w:vAlign w:val="center"/>
            <w:hideMark/>
          </w:tcPr>
          <w:p w14:paraId="63D7B9E0" w14:textId="67DA46E9" w:rsidR="00C30438" w:rsidRPr="00033A3F" w:rsidRDefault="00C30438" w:rsidP="00C30438">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+1,0 p.b.</w:t>
            </w:r>
          </w:p>
        </w:tc>
      </w:tr>
      <w:tr w:rsidR="00033A3F" w:rsidRPr="00033A3F" w14:paraId="19D94371" w14:textId="77777777" w:rsidTr="00C30438">
        <w:trPr>
          <w:trHeight w:val="330"/>
        </w:trPr>
        <w:tc>
          <w:tcPr>
            <w:tcW w:w="2780" w:type="dxa"/>
            <w:tcBorders>
              <w:top w:val="nil"/>
              <w:left w:val="nil"/>
              <w:bottom w:val="nil"/>
              <w:right w:val="nil"/>
            </w:tcBorders>
            <w:shd w:val="clear" w:color="auto" w:fill="auto"/>
            <w:noWrap/>
            <w:vAlign w:val="bottom"/>
            <w:hideMark/>
          </w:tcPr>
          <w:p w14:paraId="0DC597D6" w14:textId="77777777" w:rsidR="00C30438" w:rsidRPr="00033A3F" w:rsidRDefault="00C30438" w:rsidP="00C30438">
            <w:pPr>
              <w:spacing w:line="240" w:lineRule="auto"/>
              <w:jc w:val="right"/>
              <w:rPr>
                <w:rFonts w:eastAsia="Times New Roman"/>
                <w:b/>
                <w:bCs/>
                <w:color w:val="000000" w:themeColor="text1"/>
                <w:sz w:val="20"/>
                <w:szCs w:val="20"/>
                <w:lang w:eastAsia="cs-CZ"/>
              </w:rPr>
            </w:pPr>
          </w:p>
        </w:tc>
        <w:tc>
          <w:tcPr>
            <w:tcW w:w="1731" w:type="dxa"/>
            <w:tcBorders>
              <w:top w:val="nil"/>
              <w:left w:val="nil"/>
              <w:bottom w:val="nil"/>
              <w:right w:val="nil"/>
            </w:tcBorders>
            <w:shd w:val="clear" w:color="auto" w:fill="auto"/>
            <w:noWrap/>
            <w:vAlign w:val="bottom"/>
            <w:hideMark/>
          </w:tcPr>
          <w:p w14:paraId="705EA6A9" w14:textId="77777777" w:rsidR="00C30438" w:rsidRPr="00033A3F" w:rsidRDefault="00C30438" w:rsidP="00C30438">
            <w:pPr>
              <w:spacing w:line="240" w:lineRule="auto"/>
              <w:jc w:val="left"/>
              <w:rPr>
                <w:rFonts w:ascii="Times New Roman" w:eastAsia="Times New Roman" w:hAnsi="Times New Roman"/>
                <w:color w:val="000000" w:themeColor="text1"/>
                <w:sz w:val="20"/>
                <w:szCs w:val="20"/>
                <w:lang w:eastAsia="cs-CZ"/>
              </w:rPr>
            </w:pPr>
          </w:p>
        </w:tc>
        <w:tc>
          <w:tcPr>
            <w:tcW w:w="1789" w:type="dxa"/>
            <w:tcBorders>
              <w:top w:val="nil"/>
              <w:left w:val="nil"/>
              <w:bottom w:val="nil"/>
              <w:right w:val="nil"/>
            </w:tcBorders>
            <w:shd w:val="clear" w:color="auto" w:fill="auto"/>
            <w:noWrap/>
            <w:vAlign w:val="bottom"/>
            <w:hideMark/>
          </w:tcPr>
          <w:p w14:paraId="7A2C8AE4" w14:textId="77777777" w:rsidR="00C30438" w:rsidRPr="00033A3F" w:rsidRDefault="00C30438" w:rsidP="00C30438">
            <w:pPr>
              <w:spacing w:line="240" w:lineRule="auto"/>
              <w:jc w:val="left"/>
              <w:rPr>
                <w:rFonts w:ascii="Times New Roman" w:eastAsia="Times New Roman" w:hAnsi="Times New Roman"/>
                <w:color w:val="000000" w:themeColor="text1"/>
                <w:sz w:val="20"/>
                <w:szCs w:val="20"/>
                <w:lang w:eastAsia="cs-CZ"/>
              </w:rPr>
            </w:pPr>
          </w:p>
        </w:tc>
      </w:tr>
    </w:tbl>
    <w:p w14:paraId="58A9EDC6" w14:textId="1976C1E0" w:rsidR="00C30438" w:rsidRPr="00033A3F" w:rsidRDefault="00C30438" w:rsidP="00C30438">
      <w:pPr>
        <w:pStyle w:val="OdstavecASR"/>
        <w:rPr>
          <w:color w:val="000000" w:themeColor="text1"/>
        </w:rPr>
      </w:pPr>
      <w:r w:rsidRPr="00033A3F">
        <w:rPr>
          <w:color w:val="000000" w:themeColor="text1"/>
        </w:rPr>
        <w:t xml:space="preserve">Míra odvolání velmi mírně narostla a činí 67,06 %. To znamená, že v asi 6 až 7 z 10 vyřízených věcí je podáno odvolání proti konečnému rozhodnutí krajského soudu, což ale není překvapivé. Vzhledem k typu projednávaných věcí je pravidlem uložení delších nepodmíněných trestů odnětí svobody, což je spolu se zákazem </w:t>
      </w:r>
      <w:r w:rsidRPr="00033A3F">
        <w:rPr>
          <w:i/>
          <w:color w:val="000000" w:themeColor="text1"/>
        </w:rPr>
        <w:t>reformationis in peius</w:t>
      </w:r>
      <w:r w:rsidRPr="00033A3F">
        <w:rPr>
          <w:color w:val="000000" w:themeColor="text1"/>
        </w:rPr>
        <w:t xml:space="preserve"> (změny rozhodnutí k horšímu) více než dostatečná motivace k odvolání se </w:t>
      </w:r>
      <w:r w:rsidR="00904DE7">
        <w:rPr>
          <w:color w:val="000000" w:themeColor="text1"/>
        </w:rPr>
        <w:t>odsouzené osoby</w:t>
      </w:r>
      <w:r w:rsidRPr="00033A3F">
        <w:rPr>
          <w:color w:val="000000" w:themeColor="text1"/>
        </w:rPr>
        <w:t xml:space="preserve"> bez ohledu na výsledek. Míra odvolání je v porovnání s jakoukoliv jinou agendou velmi vysoká, a to i přes to, že od roku 2019 výrazně klesla</w:t>
      </w:r>
      <w:r w:rsidR="00073A0D" w:rsidRPr="00033A3F">
        <w:rPr>
          <w:color w:val="000000" w:themeColor="text1"/>
        </w:rPr>
        <w:t>.</w:t>
      </w:r>
    </w:p>
    <w:p w14:paraId="0A13A8F6" w14:textId="01E43588" w:rsidR="00C30438" w:rsidRPr="00033A3F" w:rsidRDefault="00C30438" w:rsidP="00C30438">
      <w:pPr>
        <w:pStyle w:val="OdstavecASR"/>
        <w:tabs>
          <w:tab w:val="left" w:pos="7655"/>
        </w:tabs>
        <w:rPr>
          <w:color w:val="000000" w:themeColor="text1"/>
        </w:rPr>
      </w:pPr>
      <w:r w:rsidRPr="00033A3F">
        <w:rPr>
          <w:color w:val="000000" w:themeColor="text1"/>
        </w:rPr>
        <w:t>Na úrovni jednotlivých krajských soudů dochází každý rok k velkým kladným i záporným odchylkám, takže hodnocení konkrétního roku není příliš vypovídající. Nejvyšší míru odvolání v roce 2024 vykazuje KS Praha (82,73 %), nejnižší KS Ostrava (46,67 %).</w:t>
      </w:r>
    </w:p>
    <w:p w14:paraId="5D596269" w14:textId="77777777" w:rsidR="00481CD7" w:rsidRDefault="00481CD7">
      <w:pPr>
        <w:spacing w:after="160" w:line="259" w:lineRule="auto"/>
        <w:jc w:val="left"/>
        <w:rPr>
          <w:b/>
          <w:color w:val="000000" w:themeColor="text1"/>
        </w:rPr>
      </w:pPr>
      <w:r>
        <w:rPr>
          <w:b/>
          <w:color w:val="000000" w:themeColor="text1"/>
        </w:rPr>
        <w:br w:type="page"/>
      </w:r>
    </w:p>
    <w:p w14:paraId="404F3B2E" w14:textId="17136012" w:rsidR="00DF12DA" w:rsidRPr="00033A3F" w:rsidRDefault="00DF12DA" w:rsidP="00DF12DA">
      <w:pPr>
        <w:pStyle w:val="OdstavecASR"/>
        <w:keepNext/>
        <w:tabs>
          <w:tab w:val="left" w:pos="7655"/>
        </w:tabs>
        <w:outlineLvl w:val="3"/>
        <w:rPr>
          <w:b/>
          <w:color w:val="000000" w:themeColor="text1"/>
        </w:rPr>
      </w:pPr>
      <w:r w:rsidRPr="00033A3F">
        <w:rPr>
          <w:b/>
          <w:color w:val="000000" w:themeColor="text1"/>
        </w:rPr>
        <w:lastRenderedPageBreak/>
        <w:t>Míra změny rozsudku</w:t>
      </w:r>
    </w:p>
    <w:p w14:paraId="3A9E3079" w14:textId="21407418" w:rsidR="00DF12DA" w:rsidRPr="00033A3F" w:rsidRDefault="00DF12DA" w:rsidP="00DF12DA">
      <w:pPr>
        <w:pStyle w:val="Podnadpis"/>
        <w:rPr>
          <w:color w:val="000000" w:themeColor="text1"/>
        </w:rPr>
      </w:pPr>
      <w:bookmarkStart w:id="1504" w:name="_Toc43931230"/>
      <w:bookmarkStart w:id="1505" w:name="_Toc75952363"/>
      <w:bookmarkStart w:id="1506" w:name="_Toc106106819"/>
      <w:bookmarkStart w:id="1507" w:name="_Toc109802142"/>
      <w:bookmarkStart w:id="1508" w:name="_Toc144104300"/>
      <w:bookmarkStart w:id="1509" w:name="_Toc169251114"/>
      <w:bookmarkStart w:id="1510" w:name="_Toc174080800"/>
      <w:bookmarkStart w:id="1511" w:name="_Toc193530928"/>
      <w:bookmarkStart w:id="1512" w:name="_Toc194045625"/>
      <w:bookmarkStart w:id="1513" w:name="_Toc199495035"/>
      <w:bookmarkStart w:id="1514" w:name="_Toc203033096"/>
      <w:bookmarkStart w:id="1515" w:name="_Toc203033174"/>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54</w:t>
      </w:r>
      <w:r w:rsidRPr="00033A3F">
        <w:rPr>
          <w:noProof/>
          <w:color w:val="000000" w:themeColor="text1"/>
        </w:rPr>
        <w:fldChar w:fldCharType="end"/>
      </w:r>
      <w:r w:rsidRPr="00033A3F">
        <w:rPr>
          <w:color w:val="000000" w:themeColor="text1"/>
        </w:rPr>
        <w:t>: KS – míra změny rozsudku dle soudů v trestním řízení</w:t>
      </w:r>
      <w:bookmarkEnd w:id="1504"/>
      <w:bookmarkEnd w:id="1505"/>
      <w:bookmarkEnd w:id="1506"/>
      <w:bookmarkEnd w:id="1507"/>
      <w:bookmarkEnd w:id="1508"/>
      <w:r w:rsidRPr="00033A3F">
        <w:rPr>
          <w:color w:val="000000" w:themeColor="text1"/>
        </w:rPr>
        <w:t xml:space="preserve">, </w:t>
      </w:r>
      <w:bookmarkEnd w:id="1509"/>
      <w:bookmarkEnd w:id="1510"/>
      <w:r w:rsidR="00936B01" w:rsidRPr="00033A3F">
        <w:rPr>
          <w:color w:val="000000" w:themeColor="text1"/>
        </w:rPr>
        <w:t>2024</w:t>
      </w:r>
      <w:bookmarkEnd w:id="1511"/>
      <w:bookmarkEnd w:id="1512"/>
      <w:bookmarkEnd w:id="1513"/>
      <w:bookmarkEnd w:id="1514"/>
      <w:bookmarkEnd w:id="1515"/>
    </w:p>
    <w:tbl>
      <w:tblPr>
        <w:tblW w:w="6980" w:type="dxa"/>
        <w:tblCellMar>
          <w:left w:w="70" w:type="dxa"/>
          <w:right w:w="70" w:type="dxa"/>
        </w:tblCellMar>
        <w:tblLook w:val="04A0" w:firstRow="1" w:lastRow="0" w:firstColumn="1" w:lastColumn="0" w:noHBand="0" w:noVBand="1"/>
      </w:tblPr>
      <w:tblGrid>
        <w:gridCol w:w="2780"/>
        <w:gridCol w:w="2065"/>
        <w:gridCol w:w="2135"/>
      </w:tblGrid>
      <w:tr w:rsidR="00033A3F" w:rsidRPr="00033A3F" w14:paraId="5D8D6460" w14:textId="77777777" w:rsidTr="00DF12DA">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47841CE" w14:textId="77777777" w:rsidR="00DF12DA" w:rsidRPr="00033A3F" w:rsidRDefault="00DF12DA" w:rsidP="00DF12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34814052" w14:textId="66F2B247" w:rsidR="00DF12DA" w:rsidRPr="00033A3F" w:rsidRDefault="00DF12DA" w:rsidP="00DF12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Míra změny </w:t>
            </w:r>
            <w:r w:rsidR="00356BC8" w:rsidRPr="00033A3F">
              <w:rPr>
                <w:rFonts w:eastAsia="Times New Roman"/>
                <w:b/>
                <w:bCs/>
                <w:color w:val="000000" w:themeColor="text1"/>
                <w:szCs w:val="24"/>
                <w:lang w:eastAsia="cs-CZ"/>
              </w:rPr>
              <w:t>rozsudku</w:t>
            </w:r>
            <w:r w:rsidRPr="00033A3F">
              <w:rPr>
                <w:rFonts w:eastAsia="Times New Roman"/>
                <w:b/>
                <w:bCs/>
                <w:color w:val="000000" w:themeColor="text1"/>
                <w:szCs w:val="24"/>
                <w:lang w:eastAsia="cs-CZ"/>
              </w:rPr>
              <w:t xml:space="preserve"> </w:t>
            </w:r>
          </w:p>
        </w:tc>
      </w:tr>
      <w:tr w:rsidR="00033A3F" w:rsidRPr="00033A3F" w14:paraId="02C0D5FC" w14:textId="77777777" w:rsidTr="00DF12DA">
        <w:trPr>
          <w:trHeight w:val="330"/>
        </w:trPr>
        <w:tc>
          <w:tcPr>
            <w:tcW w:w="2780" w:type="dxa"/>
            <w:tcBorders>
              <w:top w:val="nil"/>
              <w:left w:val="nil"/>
              <w:bottom w:val="single" w:sz="4" w:space="0" w:color="auto"/>
              <w:right w:val="nil"/>
            </w:tcBorders>
            <w:shd w:val="clear" w:color="auto" w:fill="auto"/>
            <w:noWrap/>
            <w:vAlign w:val="bottom"/>
            <w:hideMark/>
          </w:tcPr>
          <w:p w14:paraId="1450A7DF"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2065" w:type="dxa"/>
            <w:tcBorders>
              <w:top w:val="nil"/>
              <w:left w:val="nil"/>
              <w:bottom w:val="single" w:sz="4" w:space="0" w:color="auto"/>
              <w:right w:val="nil"/>
            </w:tcBorders>
            <w:shd w:val="clear" w:color="auto" w:fill="auto"/>
            <w:noWrap/>
            <w:vAlign w:val="bottom"/>
            <w:hideMark/>
          </w:tcPr>
          <w:p w14:paraId="7544C630" w14:textId="763CAAED"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29 %</w:t>
            </w:r>
          </w:p>
        </w:tc>
        <w:tc>
          <w:tcPr>
            <w:tcW w:w="2135" w:type="dxa"/>
            <w:tcBorders>
              <w:top w:val="nil"/>
              <w:left w:val="nil"/>
              <w:bottom w:val="single" w:sz="4" w:space="0" w:color="auto"/>
              <w:right w:val="nil"/>
            </w:tcBorders>
            <w:shd w:val="clear" w:color="auto" w:fill="auto"/>
            <w:noWrap/>
            <w:vAlign w:val="center"/>
            <w:hideMark/>
          </w:tcPr>
          <w:p w14:paraId="6A7417C5" w14:textId="440D0BA8"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9 p.b.</w:t>
            </w:r>
          </w:p>
        </w:tc>
      </w:tr>
      <w:tr w:rsidR="00033A3F" w:rsidRPr="00033A3F" w14:paraId="365465B1"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3ADDC9DD"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2065" w:type="dxa"/>
            <w:tcBorders>
              <w:top w:val="nil"/>
              <w:left w:val="nil"/>
              <w:bottom w:val="single" w:sz="4" w:space="0" w:color="auto"/>
              <w:right w:val="nil"/>
            </w:tcBorders>
            <w:shd w:val="clear" w:color="auto" w:fill="auto"/>
            <w:noWrap/>
            <w:vAlign w:val="bottom"/>
            <w:hideMark/>
          </w:tcPr>
          <w:p w14:paraId="6995E84B" w14:textId="20D9134F"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32 %</w:t>
            </w:r>
          </w:p>
        </w:tc>
        <w:tc>
          <w:tcPr>
            <w:tcW w:w="2135" w:type="dxa"/>
            <w:tcBorders>
              <w:top w:val="nil"/>
              <w:left w:val="nil"/>
              <w:bottom w:val="single" w:sz="4" w:space="0" w:color="auto"/>
              <w:right w:val="nil"/>
            </w:tcBorders>
            <w:shd w:val="clear" w:color="auto" w:fill="auto"/>
            <w:noWrap/>
            <w:vAlign w:val="center"/>
            <w:hideMark/>
          </w:tcPr>
          <w:p w14:paraId="36FD8141" w14:textId="5ED7E95C"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1 p.b.</w:t>
            </w:r>
          </w:p>
        </w:tc>
      </w:tr>
      <w:tr w:rsidR="00033A3F" w:rsidRPr="00033A3F" w14:paraId="04DC51B6"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5ECE114A"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2065" w:type="dxa"/>
            <w:tcBorders>
              <w:top w:val="nil"/>
              <w:left w:val="nil"/>
              <w:bottom w:val="single" w:sz="4" w:space="0" w:color="auto"/>
              <w:right w:val="nil"/>
            </w:tcBorders>
            <w:shd w:val="clear" w:color="auto" w:fill="auto"/>
            <w:noWrap/>
            <w:vAlign w:val="bottom"/>
            <w:hideMark/>
          </w:tcPr>
          <w:p w14:paraId="227A237E" w14:textId="56BC05CC"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33 %</w:t>
            </w:r>
          </w:p>
        </w:tc>
        <w:tc>
          <w:tcPr>
            <w:tcW w:w="2135" w:type="dxa"/>
            <w:tcBorders>
              <w:top w:val="nil"/>
              <w:left w:val="nil"/>
              <w:bottom w:val="single" w:sz="4" w:space="0" w:color="auto"/>
              <w:right w:val="nil"/>
            </w:tcBorders>
            <w:shd w:val="clear" w:color="auto" w:fill="auto"/>
            <w:noWrap/>
            <w:vAlign w:val="center"/>
            <w:hideMark/>
          </w:tcPr>
          <w:p w14:paraId="42B069EC" w14:textId="1D5E8591"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0 p.b.</w:t>
            </w:r>
          </w:p>
        </w:tc>
      </w:tr>
      <w:tr w:rsidR="00033A3F" w:rsidRPr="00033A3F" w14:paraId="24410B35"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133777D4"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2065" w:type="dxa"/>
            <w:tcBorders>
              <w:top w:val="nil"/>
              <w:left w:val="nil"/>
              <w:bottom w:val="single" w:sz="4" w:space="0" w:color="auto"/>
              <w:right w:val="nil"/>
            </w:tcBorders>
            <w:shd w:val="clear" w:color="auto" w:fill="auto"/>
            <w:noWrap/>
            <w:vAlign w:val="bottom"/>
            <w:hideMark/>
          </w:tcPr>
          <w:p w14:paraId="51FCC925" w14:textId="10D96010"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93 %</w:t>
            </w:r>
          </w:p>
        </w:tc>
        <w:tc>
          <w:tcPr>
            <w:tcW w:w="2135" w:type="dxa"/>
            <w:tcBorders>
              <w:top w:val="nil"/>
              <w:left w:val="nil"/>
              <w:bottom w:val="single" w:sz="4" w:space="0" w:color="auto"/>
              <w:right w:val="nil"/>
            </w:tcBorders>
            <w:shd w:val="clear" w:color="auto" w:fill="auto"/>
            <w:noWrap/>
            <w:vAlign w:val="center"/>
            <w:hideMark/>
          </w:tcPr>
          <w:p w14:paraId="69BD7511" w14:textId="26E83A7A"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1 p.b.</w:t>
            </w:r>
          </w:p>
        </w:tc>
      </w:tr>
      <w:tr w:rsidR="00033A3F" w:rsidRPr="00033A3F" w14:paraId="1A39DC31"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6E57B7A8"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2065" w:type="dxa"/>
            <w:tcBorders>
              <w:top w:val="nil"/>
              <w:left w:val="nil"/>
              <w:bottom w:val="single" w:sz="4" w:space="0" w:color="auto"/>
              <w:right w:val="nil"/>
            </w:tcBorders>
            <w:shd w:val="clear" w:color="auto" w:fill="auto"/>
            <w:noWrap/>
            <w:vAlign w:val="bottom"/>
            <w:hideMark/>
          </w:tcPr>
          <w:p w14:paraId="362DAC35" w14:textId="065760B8"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75 %</w:t>
            </w:r>
          </w:p>
        </w:tc>
        <w:tc>
          <w:tcPr>
            <w:tcW w:w="2135" w:type="dxa"/>
            <w:tcBorders>
              <w:top w:val="nil"/>
              <w:left w:val="nil"/>
              <w:bottom w:val="single" w:sz="4" w:space="0" w:color="auto"/>
              <w:right w:val="nil"/>
            </w:tcBorders>
            <w:shd w:val="clear" w:color="auto" w:fill="auto"/>
            <w:noWrap/>
            <w:vAlign w:val="center"/>
            <w:hideMark/>
          </w:tcPr>
          <w:p w14:paraId="1134309E" w14:textId="580EEC27"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0 p.b.</w:t>
            </w:r>
          </w:p>
        </w:tc>
      </w:tr>
      <w:tr w:rsidR="00033A3F" w:rsidRPr="00033A3F" w14:paraId="4170FE4B"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38C0FF85"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2065" w:type="dxa"/>
            <w:tcBorders>
              <w:top w:val="nil"/>
              <w:left w:val="nil"/>
              <w:bottom w:val="single" w:sz="4" w:space="0" w:color="auto"/>
              <w:right w:val="nil"/>
            </w:tcBorders>
            <w:shd w:val="clear" w:color="auto" w:fill="auto"/>
            <w:noWrap/>
            <w:vAlign w:val="bottom"/>
            <w:hideMark/>
          </w:tcPr>
          <w:p w14:paraId="5F17623D" w14:textId="0FCCA723"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22 %</w:t>
            </w:r>
          </w:p>
        </w:tc>
        <w:tc>
          <w:tcPr>
            <w:tcW w:w="2135" w:type="dxa"/>
            <w:tcBorders>
              <w:top w:val="nil"/>
              <w:left w:val="nil"/>
              <w:bottom w:val="single" w:sz="4" w:space="0" w:color="auto"/>
              <w:right w:val="nil"/>
            </w:tcBorders>
            <w:shd w:val="clear" w:color="auto" w:fill="auto"/>
            <w:noWrap/>
            <w:vAlign w:val="center"/>
            <w:hideMark/>
          </w:tcPr>
          <w:p w14:paraId="1F209E98" w14:textId="76A6ACD2"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0 p.b.</w:t>
            </w:r>
          </w:p>
        </w:tc>
      </w:tr>
      <w:tr w:rsidR="00033A3F" w:rsidRPr="00033A3F" w14:paraId="514FACC5"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26D84B41"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2065" w:type="dxa"/>
            <w:tcBorders>
              <w:top w:val="nil"/>
              <w:left w:val="nil"/>
              <w:bottom w:val="single" w:sz="4" w:space="0" w:color="auto"/>
              <w:right w:val="nil"/>
            </w:tcBorders>
            <w:shd w:val="clear" w:color="auto" w:fill="auto"/>
            <w:noWrap/>
            <w:vAlign w:val="bottom"/>
            <w:hideMark/>
          </w:tcPr>
          <w:p w14:paraId="52CBC571" w14:textId="32CFAEDA"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57</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95 %</w:t>
            </w:r>
          </w:p>
        </w:tc>
        <w:tc>
          <w:tcPr>
            <w:tcW w:w="2135" w:type="dxa"/>
            <w:tcBorders>
              <w:top w:val="nil"/>
              <w:left w:val="nil"/>
              <w:bottom w:val="single" w:sz="4" w:space="0" w:color="auto"/>
              <w:right w:val="nil"/>
            </w:tcBorders>
            <w:shd w:val="clear" w:color="auto" w:fill="auto"/>
            <w:noWrap/>
            <w:vAlign w:val="center"/>
            <w:hideMark/>
          </w:tcPr>
          <w:p w14:paraId="6E626F2B" w14:textId="1E9CCFC3"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9 p.b.</w:t>
            </w:r>
          </w:p>
        </w:tc>
      </w:tr>
      <w:tr w:rsidR="00033A3F" w:rsidRPr="00033A3F" w14:paraId="1D7536A9" w14:textId="77777777" w:rsidTr="00DF12DA">
        <w:trPr>
          <w:trHeight w:val="330"/>
        </w:trPr>
        <w:tc>
          <w:tcPr>
            <w:tcW w:w="2780" w:type="dxa"/>
            <w:tcBorders>
              <w:top w:val="nil"/>
              <w:left w:val="nil"/>
              <w:bottom w:val="double" w:sz="6" w:space="0" w:color="auto"/>
              <w:right w:val="nil"/>
            </w:tcBorders>
            <w:shd w:val="clear" w:color="auto" w:fill="auto"/>
            <w:noWrap/>
            <w:vAlign w:val="bottom"/>
            <w:hideMark/>
          </w:tcPr>
          <w:p w14:paraId="78A3EDFC"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2065" w:type="dxa"/>
            <w:tcBorders>
              <w:top w:val="nil"/>
              <w:left w:val="nil"/>
              <w:bottom w:val="double" w:sz="6" w:space="0" w:color="auto"/>
              <w:right w:val="nil"/>
            </w:tcBorders>
            <w:shd w:val="clear" w:color="auto" w:fill="auto"/>
            <w:noWrap/>
            <w:vAlign w:val="bottom"/>
            <w:hideMark/>
          </w:tcPr>
          <w:p w14:paraId="43EDD661" w14:textId="46BE5B3C"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40 %</w:t>
            </w:r>
          </w:p>
        </w:tc>
        <w:tc>
          <w:tcPr>
            <w:tcW w:w="2135" w:type="dxa"/>
            <w:tcBorders>
              <w:top w:val="nil"/>
              <w:left w:val="nil"/>
              <w:bottom w:val="nil"/>
              <w:right w:val="nil"/>
            </w:tcBorders>
            <w:shd w:val="clear" w:color="auto" w:fill="auto"/>
            <w:noWrap/>
            <w:vAlign w:val="center"/>
            <w:hideMark/>
          </w:tcPr>
          <w:p w14:paraId="16462E91" w14:textId="757A87FC"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2 p.b.</w:t>
            </w:r>
          </w:p>
        </w:tc>
      </w:tr>
      <w:tr w:rsidR="00033A3F" w:rsidRPr="00033A3F" w14:paraId="74124FAD" w14:textId="77777777" w:rsidTr="00DF12DA">
        <w:trPr>
          <w:trHeight w:val="345"/>
        </w:trPr>
        <w:tc>
          <w:tcPr>
            <w:tcW w:w="2780" w:type="dxa"/>
            <w:tcBorders>
              <w:top w:val="nil"/>
              <w:left w:val="nil"/>
              <w:bottom w:val="double" w:sz="6" w:space="0" w:color="auto"/>
              <w:right w:val="nil"/>
            </w:tcBorders>
            <w:shd w:val="clear" w:color="auto" w:fill="auto"/>
            <w:noWrap/>
            <w:vAlign w:val="bottom"/>
            <w:hideMark/>
          </w:tcPr>
          <w:p w14:paraId="34BEBDE6" w14:textId="77777777" w:rsidR="00DF12DA" w:rsidRPr="00033A3F" w:rsidRDefault="00DF12DA" w:rsidP="00DF12DA">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2065" w:type="dxa"/>
            <w:tcBorders>
              <w:top w:val="nil"/>
              <w:left w:val="nil"/>
              <w:bottom w:val="double" w:sz="6" w:space="0" w:color="auto"/>
              <w:right w:val="nil"/>
            </w:tcBorders>
            <w:shd w:val="clear" w:color="auto" w:fill="auto"/>
            <w:noWrap/>
            <w:vAlign w:val="bottom"/>
            <w:hideMark/>
          </w:tcPr>
          <w:p w14:paraId="1487E57E" w14:textId="29FEC8C0" w:rsidR="00DF12DA" w:rsidRPr="00033A3F" w:rsidRDefault="00DF12DA" w:rsidP="00DF12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49</w:t>
            </w:r>
            <w:r w:rsidR="00356BC8"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54 %</w:t>
            </w:r>
          </w:p>
        </w:tc>
        <w:tc>
          <w:tcPr>
            <w:tcW w:w="2135" w:type="dxa"/>
            <w:tcBorders>
              <w:top w:val="double" w:sz="6" w:space="0" w:color="auto"/>
              <w:left w:val="nil"/>
              <w:bottom w:val="double" w:sz="6" w:space="0" w:color="auto"/>
              <w:right w:val="nil"/>
            </w:tcBorders>
            <w:shd w:val="clear" w:color="auto" w:fill="auto"/>
            <w:noWrap/>
            <w:vAlign w:val="center"/>
            <w:hideMark/>
          </w:tcPr>
          <w:p w14:paraId="3C7BCA72" w14:textId="7193B739" w:rsidR="00DF12DA" w:rsidRPr="00033A3F" w:rsidRDefault="00DF12DA" w:rsidP="00356BC8">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w:t>
            </w:r>
            <w:r w:rsidR="00356BC8" w:rsidRPr="00033A3F">
              <w:rPr>
                <w:rFonts w:eastAsia="Times New Roman"/>
                <w:b/>
                <w:bCs/>
                <w:color w:val="000000" w:themeColor="text1"/>
                <w:sz w:val="20"/>
                <w:szCs w:val="20"/>
                <w:lang w:eastAsia="cs-CZ"/>
              </w:rPr>
              <w:t>,</w:t>
            </w:r>
            <w:r w:rsidRPr="00033A3F">
              <w:rPr>
                <w:rFonts w:eastAsia="Times New Roman"/>
                <w:b/>
                <w:bCs/>
                <w:color w:val="000000" w:themeColor="text1"/>
                <w:sz w:val="20"/>
                <w:szCs w:val="20"/>
                <w:lang w:eastAsia="cs-CZ"/>
              </w:rPr>
              <w:t>2 p.b.</w:t>
            </w:r>
          </w:p>
        </w:tc>
      </w:tr>
      <w:tr w:rsidR="00033A3F" w:rsidRPr="00033A3F" w14:paraId="05B16AC8" w14:textId="77777777" w:rsidTr="00DF12DA">
        <w:trPr>
          <w:trHeight w:val="330"/>
        </w:trPr>
        <w:tc>
          <w:tcPr>
            <w:tcW w:w="2780" w:type="dxa"/>
            <w:tcBorders>
              <w:top w:val="nil"/>
              <w:left w:val="nil"/>
              <w:bottom w:val="nil"/>
              <w:right w:val="nil"/>
            </w:tcBorders>
            <w:shd w:val="clear" w:color="auto" w:fill="auto"/>
            <w:noWrap/>
            <w:vAlign w:val="bottom"/>
            <w:hideMark/>
          </w:tcPr>
          <w:p w14:paraId="7D879EFF" w14:textId="77777777" w:rsidR="00DF12DA" w:rsidRPr="00033A3F" w:rsidRDefault="00DF12DA" w:rsidP="00DF12DA">
            <w:pPr>
              <w:spacing w:line="240" w:lineRule="auto"/>
              <w:jc w:val="right"/>
              <w:rPr>
                <w:rFonts w:eastAsia="Times New Roman"/>
                <w:b/>
                <w:bCs/>
                <w:color w:val="000000" w:themeColor="text1"/>
                <w:sz w:val="20"/>
                <w:szCs w:val="20"/>
                <w:lang w:eastAsia="cs-CZ"/>
              </w:rPr>
            </w:pPr>
          </w:p>
        </w:tc>
        <w:tc>
          <w:tcPr>
            <w:tcW w:w="2065" w:type="dxa"/>
            <w:tcBorders>
              <w:top w:val="nil"/>
              <w:left w:val="nil"/>
              <w:bottom w:val="nil"/>
              <w:right w:val="nil"/>
            </w:tcBorders>
            <w:shd w:val="clear" w:color="auto" w:fill="auto"/>
            <w:noWrap/>
            <w:vAlign w:val="bottom"/>
            <w:hideMark/>
          </w:tcPr>
          <w:p w14:paraId="56EBA647" w14:textId="77777777" w:rsidR="00DF12DA" w:rsidRPr="00033A3F" w:rsidRDefault="00DF12DA" w:rsidP="00DF12DA">
            <w:pPr>
              <w:spacing w:line="240" w:lineRule="auto"/>
              <w:jc w:val="left"/>
              <w:rPr>
                <w:rFonts w:ascii="Times New Roman" w:eastAsia="Times New Roman" w:hAnsi="Times New Roman"/>
                <w:color w:val="000000" w:themeColor="text1"/>
                <w:sz w:val="20"/>
                <w:szCs w:val="20"/>
                <w:lang w:eastAsia="cs-CZ"/>
              </w:rPr>
            </w:pPr>
          </w:p>
        </w:tc>
        <w:tc>
          <w:tcPr>
            <w:tcW w:w="2135" w:type="dxa"/>
            <w:tcBorders>
              <w:top w:val="nil"/>
              <w:left w:val="nil"/>
              <w:bottom w:val="nil"/>
              <w:right w:val="nil"/>
            </w:tcBorders>
            <w:shd w:val="clear" w:color="auto" w:fill="auto"/>
            <w:noWrap/>
            <w:vAlign w:val="bottom"/>
            <w:hideMark/>
          </w:tcPr>
          <w:p w14:paraId="2956E58F" w14:textId="77777777" w:rsidR="00DF12DA" w:rsidRPr="00033A3F" w:rsidRDefault="00DF12DA" w:rsidP="00DF12DA">
            <w:pPr>
              <w:spacing w:line="240" w:lineRule="auto"/>
              <w:jc w:val="left"/>
              <w:rPr>
                <w:rFonts w:ascii="Times New Roman" w:eastAsia="Times New Roman" w:hAnsi="Times New Roman"/>
                <w:color w:val="000000" w:themeColor="text1"/>
                <w:sz w:val="20"/>
                <w:szCs w:val="20"/>
                <w:lang w:eastAsia="cs-CZ"/>
              </w:rPr>
            </w:pPr>
          </w:p>
        </w:tc>
      </w:tr>
    </w:tbl>
    <w:p w14:paraId="6ECEABA8" w14:textId="34A4A1E9" w:rsidR="00B915A0" w:rsidRPr="00033A3F" w:rsidRDefault="00B915A0" w:rsidP="00B915A0">
      <w:pPr>
        <w:pStyle w:val="OdstavecASR"/>
        <w:rPr>
          <w:color w:val="000000" w:themeColor="text1"/>
        </w:rPr>
      </w:pPr>
      <w:bookmarkStart w:id="1516" w:name="_Hlk192235530"/>
      <w:r w:rsidRPr="00033A3F">
        <w:rPr>
          <w:color w:val="000000" w:themeColor="text1"/>
        </w:rPr>
        <w:t>Míra změny rozsudku je také vyšší než u okresních soudů –</w:t>
      </w:r>
      <w:r w:rsidR="00173041" w:rsidRPr="00033A3F">
        <w:rPr>
          <w:color w:val="000000" w:themeColor="text1"/>
        </w:rPr>
        <w:t xml:space="preserve"> </w:t>
      </w:r>
      <w:r w:rsidRPr="00033A3F">
        <w:rPr>
          <w:color w:val="000000" w:themeColor="text1"/>
        </w:rPr>
        <w:t>tento rok přibližně o 10 procentních bodů. Míra změny rozsudku za ČR se zdá na první pohled vysoká. Je ale třeba vzít v úvahu závažnost a složitost projednávaných věcí (jedná se o velmi vysoké tresty odnětí svobody a komplikovanou trestnou činnost). Vrchní soudy také často pouze změní výši uloženého trestu nebo věc vrátí krajským soudům k novému projednání.</w:t>
      </w:r>
    </w:p>
    <w:p w14:paraId="1F60D2D3" w14:textId="5F68E4E6" w:rsidR="00B915A0" w:rsidRPr="00033A3F" w:rsidRDefault="00B915A0" w:rsidP="00B915A0">
      <w:pPr>
        <w:pStyle w:val="OdstavecASR"/>
        <w:keepNext/>
        <w:outlineLvl w:val="3"/>
        <w:rPr>
          <w:b/>
          <w:bCs/>
          <w:color w:val="000000" w:themeColor="text1"/>
        </w:rPr>
      </w:pPr>
      <w:r w:rsidRPr="00033A3F">
        <w:rPr>
          <w:b/>
          <w:bCs/>
          <w:color w:val="000000" w:themeColor="text1"/>
        </w:rPr>
        <w:t>Uložené výše NEPO</w:t>
      </w:r>
    </w:p>
    <w:bookmarkEnd w:id="1516"/>
    <w:p w14:paraId="4A6A7970" w14:textId="73310B0A" w:rsidR="00B915A0" w:rsidRPr="00033A3F" w:rsidRDefault="00B915A0" w:rsidP="00B915A0">
      <w:pPr>
        <w:pStyle w:val="OdstavecASR"/>
        <w:rPr>
          <w:color w:val="000000" w:themeColor="text1"/>
        </w:rPr>
      </w:pPr>
      <w:r w:rsidRPr="00033A3F">
        <w:rPr>
          <w:color w:val="000000" w:themeColor="text1"/>
        </w:rPr>
        <w:t xml:space="preserve">Zajímavý pohled na data o ukládaných trestech přináší graf níže. Na </w:t>
      </w:r>
      <w:r w:rsidR="009263D9">
        <w:rPr>
          <w:color w:val="000000" w:themeColor="text1"/>
        </w:rPr>
        <w:t xml:space="preserve">vodorovné </w:t>
      </w:r>
      <w:r w:rsidRPr="00033A3F">
        <w:rPr>
          <w:color w:val="000000" w:themeColor="text1"/>
        </w:rPr>
        <w:t xml:space="preserve">ose je výše trestů v měsících a na </w:t>
      </w:r>
      <w:r w:rsidR="009263D9">
        <w:rPr>
          <w:color w:val="000000" w:themeColor="text1"/>
        </w:rPr>
        <w:t xml:space="preserve">svislé </w:t>
      </w:r>
      <w:r w:rsidRPr="00033A3F">
        <w:rPr>
          <w:color w:val="000000" w:themeColor="text1"/>
        </w:rPr>
        <w:t xml:space="preserve">ose počet uložených trestů odsouzeným osobám. </w:t>
      </w:r>
      <w:r w:rsidR="00E67BF7" w:rsidRPr="00033A3F">
        <w:rPr>
          <w:color w:val="000000" w:themeColor="text1"/>
        </w:rPr>
        <w:t xml:space="preserve">Krajské soudy z logiky věci ukládají mnohem vyšší tresty než soudy okresní. </w:t>
      </w:r>
      <w:r w:rsidRPr="00033A3F">
        <w:rPr>
          <w:color w:val="000000" w:themeColor="text1"/>
        </w:rPr>
        <w:t>Graf ukazuje, že nejčastěji ukládaná délka odnětí svobody je 6</w:t>
      </w:r>
      <w:r w:rsidR="00E67BF7" w:rsidRPr="00033A3F">
        <w:rPr>
          <w:color w:val="000000" w:themeColor="text1"/>
        </w:rPr>
        <w:t>0</w:t>
      </w:r>
      <w:r w:rsidRPr="00033A3F">
        <w:rPr>
          <w:color w:val="000000" w:themeColor="text1"/>
        </w:rPr>
        <w:t xml:space="preserve"> měsíců. </w:t>
      </w:r>
      <w:r w:rsidR="00E67BF7" w:rsidRPr="00033A3F">
        <w:rPr>
          <w:color w:val="000000" w:themeColor="text1"/>
        </w:rPr>
        <w:t>Vzhledem k tomu, že se ukládají vyšší tresty</w:t>
      </w:r>
      <w:r w:rsidR="00E7087C" w:rsidRPr="00033A3F">
        <w:rPr>
          <w:color w:val="000000" w:themeColor="text1"/>
        </w:rPr>
        <w:t>,</w:t>
      </w:r>
      <w:r w:rsidRPr="00033A3F">
        <w:rPr>
          <w:color w:val="000000" w:themeColor="text1"/>
        </w:rPr>
        <w:t xml:space="preserve"> </w:t>
      </w:r>
      <w:r w:rsidR="00E67BF7" w:rsidRPr="00033A3F">
        <w:rPr>
          <w:color w:val="000000" w:themeColor="text1"/>
        </w:rPr>
        <w:t xml:space="preserve">tendence ukládat tresty v násobcích měsíců </w:t>
      </w:r>
      <w:r w:rsidR="00073A0D" w:rsidRPr="00033A3F">
        <w:rPr>
          <w:color w:val="000000" w:themeColor="text1"/>
        </w:rPr>
        <w:t xml:space="preserve">(tentokrát 12) </w:t>
      </w:r>
      <w:r w:rsidR="00E67BF7" w:rsidRPr="00033A3F">
        <w:rPr>
          <w:color w:val="000000" w:themeColor="text1"/>
        </w:rPr>
        <w:t>je zde ještě výrazně vyšší, než už OS</w:t>
      </w:r>
      <w:r w:rsidR="00952C0A" w:rsidRPr="00033A3F">
        <w:rPr>
          <w:color w:val="000000" w:themeColor="text1"/>
        </w:rPr>
        <w:t>.</w:t>
      </w:r>
    </w:p>
    <w:p w14:paraId="71C19533" w14:textId="7CC6574D" w:rsidR="00B915A0" w:rsidRPr="00033A3F" w:rsidRDefault="00B915A0" w:rsidP="00B915A0">
      <w:pPr>
        <w:pStyle w:val="Podnadpis"/>
        <w:rPr>
          <w:color w:val="000000" w:themeColor="text1"/>
        </w:rPr>
      </w:pPr>
      <w:bookmarkStart w:id="1517" w:name="_Toc193530830"/>
      <w:bookmarkStart w:id="1518" w:name="_Toc193634104"/>
      <w:bookmarkStart w:id="1519" w:name="_Toc203032902"/>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75</w:t>
      </w:r>
      <w:r w:rsidRPr="00033A3F">
        <w:rPr>
          <w:color w:val="000000" w:themeColor="text1"/>
        </w:rPr>
        <w:fldChar w:fldCharType="end"/>
      </w:r>
      <w:r w:rsidRPr="00033A3F">
        <w:rPr>
          <w:color w:val="000000" w:themeColor="text1"/>
        </w:rPr>
        <w:t>: OS – výše uložených NEPO dle délky</w:t>
      </w:r>
      <w:bookmarkEnd w:id="1517"/>
      <w:bookmarkEnd w:id="1518"/>
      <w:bookmarkEnd w:id="1519"/>
    </w:p>
    <w:p w14:paraId="6FA426E6" w14:textId="3C170857" w:rsidR="00BC30BA" w:rsidRPr="00033A3F" w:rsidRDefault="00E67BF7">
      <w:pPr>
        <w:spacing w:after="160" w:line="259" w:lineRule="auto"/>
        <w:jc w:val="left"/>
        <w:rPr>
          <w:color w:val="000000" w:themeColor="text1"/>
        </w:rPr>
      </w:pPr>
      <w:r w:rsidRPr="00033A3F">
        <w:rPr>
          <w:noProof/>
          <w:color w:val="000000" w:themeColor="text1"/>
          <w:lang w:eastAsia="cs-CZ"/>
        </w:rPr>
        <w:drawing>
          <wp:inline distT="0" distB="0" distL="0" distR="0" wp14:anchorId="33426284" wp14:editId="2E58B042">
            <wp:extent cx="5029200" cy="3657600"/>
            <wp:effectExtent l="0" t="0" r="0" b="0"/>
            <wp:docPr id="131263194"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F82E6B7" w14:textId="077538B9" w:rsidR="00730B1E" w:rsidRPr="00033A3F" w:rsidRDefault="00730B1E">
      <w:pPr>
        <w:spacing w:after="160" w:line="259" w:lineRule="auto"/>
        <w:jc w:val="left"/>
        <w:rPr>
          <w:color w:val="000000" w:themeColor="text1"/>
        </w:rPr>
      </w:pPr>
      <w:r w:rsidRPr="00033A3F">
        <w:rPr>
          <w:color w:val="000000" w:themeColor="text1"/>
        </w:rPr>
        <w:br w:type="page"/>
      </w:r>
    </w:p>
    <w:p w14:paraId="05710F11" w14:textId="046363E9" w:rsidR="008430BD" w:rsidRPr="00033A3F" w:rsidRDefault="008430BD" w:rsidP="008430BD">
      <w:pPr>
        <w:pStyle w:val="Nadpis2"/>
        <w:numPr>
          <w:ilvl w:val="1"/>
          <w:numId w:val="1"/>
        </w:numPr>
        <w:spacing w:before="120"/>
      </w:pPr>
      <w:bookmarkStart w:id="1520" w:name="_Toc515871262"/>
      <w:bookmarkStart w:id="1521" w:name="_Toc106092769"/>
      <w:bookmarkStart w:id="1522" w:name="_Toc169250845"/>
      <w:bookmarkStart w:id="1523" w:name="_Toc193531007"/>
      <w:bookmarkStart w:id="1524" w:name="_Toc193957063"/>
      <w:bookmarkStart w:id="1525" w:name="_Toc203032753"/>
      <w:r w:rsidRPr="00033A3F">
        <w:lastRenderedPageBreak/>
        <w:t>Trestní odvolací agenda</w:t>
      </w:r>
      <w:bookmarkEnd w:id="1520"/>
      <w:bookmarkEnd w:id="1521"/>
      <w:bookmarkEnd w:id="1522"/>
      <w:bookmarkEnd w:id="1523"/>
      <w:bookmarkEnd w:id="1524"/>
      <w:bookmarkEnd w:id="1525"/>
    </w:p>
    <w:p w14:paraId="6FCF53EF" w14:textId="77777777" w:rsidR="00BA6F21" w:rsidRPr="00033A3F" w:rsidRDefault="00BA6F21" w:rsidP="00BA6F21">
      <w:pPr>
        <w:pStyle w:val="OdstavecASR"/>
        <w:rPr>
          <w:color w:val="000000" w:themeColor="text1"/>
        </w:rPr>
      </w:pPr>
      <w:r w:rsidRPr="00033A3F">
        <w:rPr>
          <w:color w:val="000000" w:themeColor="text1"/>
        </w:rPr>
        <w:t>Trestní odvolací agenda zahrnuje rejstříky To a Tmo. Ke změnám ve vedení statistik nedošlo a data dále není třeba nijak očišťovat.</w:t>
      </w:r>
    </w:p>
    <w:p w14:paraId="22126025" w14:textId="7575F616" w:rsidR="008430BD" w:rsidRPr="00033A3F" w:rsidRDefault="008430BD" w:rsidP="008430BD">
      <w:pPr>
        <w:pStyle w:val="Nadpis3"/>
        <w:numPr>
          <w:ilvl w:val="2"/>
          <w:numId w:val="1"/>
        </w:numPr>
        <w:rPr>
          <w:color w:val="000000" w:themeColor="text1"/>
        </w:rPr>
      </w:pPr>
      <w:bookmarkStart w:id="1526" w:name="_Ref511391169"/>
      <w:bookmarkStart w:id="1527" w:name="_Toc515871263"/>
      <w:bookmarkStart w:id="1528" w:name="_Toc106092770"/>
      <w:bookmarkStart w:id="1529" w:name="_Toc169250846"/>
      <w:bookmarkStart w:id="1530" w:name="_Toc193531008"/>
      <w:bookmarkStart w:id="1531" w:name="_Toc193957064"/>
      <w:bookmarkStart w:id="1532" w:name="_Toc203032754"/>
      <w:r w:rsidRPr="00033A3F">
        <w:rPr>
          <w:color w:val="000000" w:themeColor="text1"/>
        </w:rPr>
        <w:t>Délka řízení</w:t>
      </w:r>
      <w:bookmarkEnd w:id="1526"/>
      <w:bookmarkEnd w:id="1527"/>
      <w:bookmarkEnd w:id="1528"/>
      <w:bookmarkEnd w:id="1529"/>
      <w:bookmarkEnd w:id="1530"/>
      <w:bookmarkEnd w:id="1531"/>
      <w:bookmarkEnd w:id="1532"/>
    </w:p>
    <w:p w14:paraId="3967E572" w14:textId="0014ED7F" w:rsidR="00606C82" w:rsidRPr="00033A3F" w:rsidRDefault="00606C82" w:rsidP="00606C82">
      <w:pPr>
        <w:pStyle w:val="OdstavecASR"/>
        <w:rPr>
          <w:color w:val="000000" w:themeColor="text1"/>
        </w:rPr>
      </w:pPr>
      <w:r w:rsidRPr="00033A3F">
        <w:rPr>
          <w:color w:val="000000" w:themeColor="text1"/>
        </w:rPr>
        <w:t>U této agendy uvádíme délku řízení ode dne nápadu u odvolacího soudu do dne jeho vyřízení, který je i dnem pravomocného skončení věci. Stejně jako u civilního řízení platí, že vyřízení věci v rámci odvolacího řízení je časově méně náročné než v prvostupňové agendě. Z grafu vyplývá, že délky řízení jsou velmi nízké (nejnižší ze všech agend</w:t>
      </w:r>
      <w:r w:rsidR="00073A0D" w:rsidRPr="00033A3F">
        <w:rPr>
          <w:color w:val="000000" w:themeColor="text1"/>
        </w:rPr>
        <w:t xml:space="preserve"> krajských soudů</w:t>
      </w:r>
      <w:r w:rsidRPr="00033A3F">
        <w:rPr>
          <w:color w:val="000000" w:themeColor="text1"/>
        </w:rPr>
        <w:t>) a </w:t>
      </w:r>
      <w:r w:rsidR="001A5297" w:rsidRPr="00033A3F">
        <w:rPr>
          <w:color w:val="000000" w:themeColor="text1"/>
        </w:rPr>
        <w:t xml:space="preserve">mění </w:t>
      </w:r>
      <w:r w:rsidRPr="00033A3F">
        <w:rPr>
          <w:color w:val="000000" w:themeColor="text1"/>
        </w:rPr>
        <w:t>se jen velmi málo. Až v </w:t>
      </w:r>
      <w:r w:rsidR="00453B33" w:rsidRPr="00033A3F">
        <w:rPr>
          <w:color w:val="000000" w:themeColor="text1"/>
        </w:rPr>
        <w:t>letech 2020 a 2021</w:t>
      </w:r>
      <w:r w:rsidRPr="00033A3F">
        <w:rPr>
          <w:color w:val="000000" w:themeColor="text1"/>
        </w:rPr>
        <w:t xml:space="preserve"> došlo ke zdaleka největší výchylce (nejvyššímu nárůstu) ve sledovaném období. Absolutně ale jde jen o několik dnů. Vzhledem k tomu, že délky řízení byly vždy silně stabilní, lze zvýšení délek řízení velmi pravděpodobně připsat pandemii COVID</w:t>
      </w:r>
      <w:r w:rsidRPr="00033A3F">
        <w:rPr>
          <w:color w:val="000000" w:themeColor="text1"/>
        </w:rPr>
        <w:noBreakHyphen/>
        <w:t xml:space="preserve">19. Uvedená domněnka je podpořena i faktem, že k nárůstu došlo u většiny soudů. </w:t>
      </w:r>
    </w:p>
    <w:p w14:paraId="3C68D9AB" w14:textId="22E1A966" w:rsidR="00606C82" w:rsidRPr="00033A3F" w:rsidRDefault="00606C82" w:rsidP="00606C82">
      <w:pPr>
        <w:pStyle w:val="Podnadpis"/>
        <w:numPr>
          <w:ilvl w:val="0"/>
          <w:numId w:val="0"/>
        </w:numPr>
        <w:rPr>
          <w:color w:val="000000" w:themeColor="text1"/>
        </w:rPr>
      </w:pPr>
      <w:bookmarkStart w:id="1533" w:name="_Toc515871393"/>
      <w:bookmarkStart w:id="1534" w:name="_Toc11135124"/>
      <w:bookmarkStart w:id="1535" w:name="_Toc43841443"/>
      <w:bookmarkStart w:id="1536" w:name="_Toc75952245"/>
      <w:bookmarkStart w:id="1537" w:name="_Toc106106704"/>
      <w:bookmarkStart w:id="1538" w:name="_Toc109802028"/>
      <w:bookmarkStart w:id="1539" w:name="_Toc144104178"/>
      <w:bookmarkStart w:id="1540" w:name="_Toc169250991"/>
      <w:bookmarkStart w:id="1541" w:name="_Toc174080677"/>
      <w:bookmarkStart w:id="1542" w:name="_Toc193530831"/>
      <w:bookmarkStart w:id="1543" w:name="_Toc193634105"/>
      <w:bookmarkStart w:id="1544" w:name="_Toc20303290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76</w:t>
      </w:r>
      <w:r w:rsidRPr="00033A3F">
        <w:rPr>
          <w:color w:val="000000" w:themeColor="text1"/>
        </w:rPr>
        <w:fldChar w:fldCharType="end"/>
      </w:r>
      <w:r w:rsidRPr="00033A3F">
        <w:rPr>
          <w:color w:val="000000" w:themeColor="text1"/>
        </w:rPr>
        <w:t>: KS – délka odvolacího trestního řízení v letech 2015–20</w:t>
      </w:r>
      <w:bookmarkEnd w:id="1533"/>
      <w:bookmarkEnd w:id="1534"/>
      <w:bookmarkEnd w:id="1535"/>
      <w:r w:rsidRPr="00033A3F">
        <w:rPr>
          <w:color w:val="000000" w:themeColor="text1"/>
        </w:rPr>
        <w:t>2</w:t>
      </w:r>
      <w:bookmarkEnd w:id="1536"/>
      <w:bookmarkEnd w:id="1537"/>
      <w:bookmarkEnd w:id="1538"/>
      <w:bookmarkEnd w:id="1539"/>
      <w:bookmarkEnd w:id="1540"/>
      <w:bookmarkEnd w:id="1541"/>
      <w:r w:rsidRPr="00033A3F">
        <w:rPr>
          <w:color w:val="000000" w:themeColor="text1"/>
        </w:rPr>
        <w:t>4</w:t>
      </w:r>
      <w:bookmarkEnd w:id="1542"/>
      <w:bookmarkEnd w:id="1543"/>
      <w:bookmarkEnd w:id="1544"/>
    </w:p>
    <w:p w14:paraId="79FF9F67" w14:textId="6A08875F" w:rsidR="00606C82" w:rsidRPr="00033A3F" w:rsidRDefault="00FB01CE" w:rsidP="00606C82">
      <w:pPr>
        <w:rPr>
          <w:color w:val="000000" w:themeColor="text1"/>
        </w:rPr>
      </w:pPr>
      <w:r w:rsidRPr="00033A3F">
        <w:rPr>
          <w:noProof/>
          <w:color w:val="000000" w:themeColor="text1"/>
          <w:lang w:eastAsia="cs-CZ"/>
        </w:rPr>
        <w:drawing>
          <wp:inline distT="0" distB="0" distL="0" distR="0" wp14:anchorId="5D86CD6A" wp14:editId="11C3AFD8">
            <wp:extent cx="5029200" cy="3657600"/>
            <wp:effectExtent l="0" t="0" r="0" b="0"/>
            <wp:docPr id="1937386765"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B65DB13" w14:textId="643E295E" w:rsidR="00FB01CE" w:rsidRPr="00033A3F" w:rsidRDefault="00FB01CE" w:rsidP="00FB01CE">
      <w:pPr>
        <w:pStyle w:val="OdstavecASR"/>
        <w:rPr>
          <w:color w:val="000000" w:themeColor="text1"/>
        </w:rPr>
      </w:pPr>
      <w:r w:rsidRPr="00033A3F">
        <w:rPr>
          <w:color w:val="000000" w:themeColor="text1"/>
        </w:rPr>
        <w:t>V roce 2022 hodnoty klesly v zásadě na úroveň před pandemií COVID-19 a v letech 2023 a 2024 tam zůstaly. Na této agendě je tedy vliv pandemie zřetelně vidět.</w:t>
      </w:r>
    </w:p>
    <w:p w14:paraId="4D923108" w14:textId="77777777" w:rsidR="00FB01CE" w:rsidRPr="00033A3F" w:rsidRDefault="00FB01CE" w:rsidP="00FB01CE">
      <w:pPr>
        <w:pStyle w:val="OdstavecASR"/>
        <w:rPr>
          <w:color w:val="000000" w:themeColor="text1"/>
        </w:rPr>
      </w:pPr>
      <w:r w:rsidRPr="00033A3F">
        <w:rPr>
          <w:color w:val="000000" w:themeColor="text1"/>
        </w:rPr>
        <w:t xml:space="preserve">Krajské soudy vyřizují v odvolací agendě nejčastěji odvolání proti rozhodnutí o následujících trestných činech: </w:t>
      </w:r>
      <w:r w:rsidRPr="00033A3F">
        <w:rPr>
          <w:i/>
          <w:color w:val="000000" w:themeColor="text1"/>
        </w:rPr>
        <w:t>krádež</w:t>
      </w:r>
      <w:r w:rsidRPr="00033A3F">
        <w:rPr>
          <w:color w:val="000000" w:themeColor="text1"/>
        </w:rPr>
        <w:t xml:space="preserve"> (§ 205 trestního zákoníku), </w:t>
      </w:r>
      <w:r w:rsidRPr="00033A3F">
        <w:rPr>
          <w:i/>
          <w:color w:val="000000" w:themeColor="text1"/>
        </w:rPr>
        <w:t>maření výkonu úředního rozhodnutí a vykázání</w:t>
      </w:r>
      <w:r w:rsidRPr="00033A3F">
        <w:rPr>
          <w:color w:val="000000" w:themeColor="text1"/>
        </w:rPr>
        <w:t xml:space="preserve"> (§ 337) a </w:t>
      </w:r>
      <w:r w:rsidRPr="00033A3F">
        <w:rPr>
          <w:i/>
          <w:color w:val="000000" w:themeColor="text1"/>
        </w:rPr>
        <w:t>podvod</w:t>
      </w:r>
      <w:r w:rsidRPr="00033A3F">
        <w:rPr>
          <w:color w:val="000000" w:themeColor="text1"/>
        </w:rPr>
        <w:t xml:space="preserve"> (§ 209). Těmito trestnými činy se velmi často zabývají okresní soudy v prvním stupni; logicky je u nich pak v absolutních číslech podáváno nejvíce odvolání.</w:t>
      </w:r>
    </w:p>
    <w:p w14:paraId="232C4DBB" w14:textId="77777777" w:rsidR="00FB01CE" w:rsidRPr="00033A3F" w:rsidRDefault="00FB01CE">
      <w:pPr>
        <w:spacing w:after="160" w:line="259" w:lineRule="auto"/>
        <w:jc w:val="left"/>
        <w:rPr>
          <w:rFonts w:eastAsia="Times New Roman"/>
          <w:b/>
          <w:iCs/>
          <w:color w:val="000000" w:themeColor="text1"/>
          <w:spacing w:val="15"/>
          <w:szCs w:val="24"/>
        </w:rPr>
      </w:pPr>
      <w:bookmarkStart w:id="1545" w:name="_Toc515871487"/>
      <w:bookmarkStart w:id="1546" w:name="_Toc11133254"/>
      <w:bookmarkStart w:id="1547" w:name="_Toc43931232"/>
      <w:bookmarkStart w:id="1548" w:name="_Toc75952365"/>
      <w:bookmarkStart w:id="1549" w:name="_Toc106106820"/>
      <w:bookmarkStart w:id="1550" w:name="_Toc109802143"/>
      <w:bookmarkStart w:id="1551" w:name="_Toc144104302"/>
      <w:bookmarkStart w:id="1552" w:name="_Toc169251117"/>
      <w:bookmarkStart w:id="1553" w:name="_Toc174080803"/>
      <w:r w:rsidRPr="00033A3F">
        <w:rPr>
          <w:color w:val="000000" w:themeColor="text1"/>
        </w:rPr>
        <w:br w:type="page"/>
      </w:r>
    </w:p>
    <w:p w14:paraId="1572B2B5" w14:textId="6BED9E7B" w:rsidR="00FB01CE" w:rsidRPr="00033A3F" w:rsidRDefault="00FB01CE" w:rsidP="00FB01CE">
      <w:pPr>
        <w:pStyle w:val="Podnadpis"/>
        <w:rPr>
          <w:color w:val="000000" w:themeColor="text1"/>
        </w:rPr>
      </w:pPr>
      <w:bookmarkStart w:id="1554" w:name="_Toc193530929"/>
      <w:bookmarkStart w:id="1555" w:name="_Toc194045626"/>
      <w:bookmarkStart w:id="1556" w:name="_Toc199495036"/>
      <w:bookmarkStart w:id="1557" w:name="_Toc203033097"/>
      <w:bookmarkStart w:id="1558" w:name="_Toc203033175"/>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55</w:t>
      </w:r>
      <w:r w:rsidRPr="00033A3F">
        <w:rPr>
          <w:noProof/>
          <w:color w:val="000000" w:themeColor="text1"/>
        </w:rPr>
        <w:fldChar w:fldCharType="end"/>
      </w:r>
      <w:r w:rsidRPr="00033A3F">
        <w:rPr>
          <w:color w:val="000000" w:themeColor="text1"/>
        </w:rPr>
        <w:t>: KS – délky odvolacího trestního řízení dle soudů</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p>
    <w:tbl>
      <w:tblPr>
        <w:tblW w:w="7520" w:type="dxa"/>
        <w:tblLayout w:type="fixed"/>
        <w:tblCellMar>
          <w:left w:w="70" w:type="dxa"/>
          <w:right w:w="70" w:type="dxa"/>
        </w:tblCellMar>
        <w:tblLook w:val="04A0" w:firstRow="1" w:lastRow="0" w:firstColumn="1" w:lastColumn="0" w:noHBand="0" w:noVBand="1"/>
      </w:tblPr>
      <w:tblGrid>
        <w:gridCol w:w="2480"/>
        <w:gridCol w:w="922"/>
        <w:gridCol w:w="758"/>
        <w:gridCol w:w="943"/>
        <w:gridCol w:w="737"/>
        <w:gridCol w:w="964"/>
        <w:gridCol w:w="716"/>
      </w:tblGrid>
      <w:tr w:rsidR="006733D4" w:rsidRPr="00033A3F" w14:paraId="00C99D23"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5140F29" w14:textId="77777777" w:rsidR="006733D4" w:rsidRPr="00033A3F" w:rsidRDefault="006733D4" w:rsidP="006733D4">
            <w:pPr>
              <w:spacing w:line="240" w:lineRule="auto"/>
              <w:jc w:val="center"/>
              <w:rPr>
                <w:rFonts w:eastAsia="Times New Roman"/>
                <w:b/>
                <w:bCs/>
                <w:color w:val="000000" w:themeColor="text1"/>
                <w:szCs w:val="24"/>
                <w:lang w:eastAsia="cs-CZ"/>
              </w:rPr>
            </w:pPr>
            <w:bookmarkStart w:id="1559" w:name="_Toc75952246"/>
            <w:bookmarkStart w:id="1560" w:name="_Toc106106705"/>
            <w:bookmarkStart w:id="1561" w:name="_Toc109802029"/>
            <w:bookmarkStart w:id="1562" w:name="_Toc144104179"/>
            <w:bookmarkStart w:id="1563" w:name="_Toc169250992"/>
            <w:bookmarkStart w:id="1564" w:name="_Toc174080678"/>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2D9679C1"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BF0CC3" w:rsidRPr="00033A3F" w14:paraId="1C5A7D68" w14:textId="77777777" w:rsidTr="006E1F5B">
        <w:trPr>
          <w:trHeight w:val="330"/>
        </w:trPr>
        <w:tc>
          <w:tcPr>
            <w:tcW w:w="2480" w:type="dxa"/>
            <w:vMerge/>
            <w:tcBorders>
              <w:top w:val="double" w:sz="6" w:space="0" w:color="auto"/>
              <w:left w:val="nil"/>
              <w:bottom w:val="double" w:sz="6" w:space="0" w:color="000000"/>
              <w:right w:val="nil"/>
            </w:tcBorders>
            <w:vAlign w:val="center"/>
            <w:hideMark/>
          </w:tcPr>
          <w:p w14:paraId="519DE7C9" w14:textId="77777777" w:rsidR="006733D4" w:rsidRPr="00033A3F" w:rsidRDefault="006733D4" w:rsidP="006733D4">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31D1D9F8"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AA3DD21"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5B671341"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BF0CC3" w:rsidRPr="00033A3F" w14:paraId="58275FF3" w14:textId="77777777" w:rsidTr="006E1F5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689BB9F"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7CEFAF7B"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758" w:type="dxa"/>
            <w:tcBorders>
              <w:top w:val="single" w:sz="4" w:space="0" w:color="auto"/>
              <w:left w:val="nil"/>
              <w:bottom w:val="single" w:sz="4" w:space="0" w:color="auto"/>
              <w:right w:val="nil"/>
            </w:tcBorders>
            <w:shd w:val="clear" w:color="auto" w:fill="auto"/>
            <w:noWrap/>
            <w:vAlign w:val="center"/>
            <w:hideMark/>
          </w:tcPr>
          <w:p w14:paraId="122BF108" w14:textId="3FC5DD88"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43" w:type="dxa"/>
            <w:tcBorders>
              <w:top w:val="nil"/>
              <w:left w:val="single" w:sz="4" w:space="0" w:color="auto"/>
              <w:bottom w:val="single" w:sz="4" w:space="0" w:color="auto"/>
              <w:right w:val="nil"/>
            </w:tcBorders>
            <w:shd w:val="clear" w:color="auto" w:fill="auto"/>
            <w:noWrap/>
            <w:vAlign w:val="bottom"/>
            <w:hideMark/>
          </w:tcPr>
          <w:p w14:paraId="3ACA7063"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737" w:type="dxa"/>
            <w:tcBorders>
              <w:top w:val="nil"/>
              <w:left w:val="nil"/>
              <w:bottom w:val="single" w:sz="4" w:space="0" w:color="auto"/>
              <w:right w:val="single" w:sz="4" w:space="0" w:color="auto"/>
            </w:tcBorders>
            <w:shd w:val="clear" w:color="auto" w:fill="auto"/>
            <w:noWrap/>
            <w:vAlign w:val="center"/>
            <w:hideMark/>
          </w:tcPr>
          <w:p w14:paraId="03464D73" w14:textId="24D070D7"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64" w:type="dxa"/>
            <w:tcBorders>
              <w:top w:val="single" w:sz="4" w:space="0" w:color="auto"/>
              <w:left w:val="nil"/>
              <w:bottom w:val="single" w:sz="4" w:space="0" w:color="auto"/>
              <w:right w:val="nil"/>
            </w:tcBorders>
            <w:shd w:val="clear" w:color="auto" w:fill="auto"/>
            <w:noWrap/>
            <w:vAlign w:val="bottom"/>
            <w:hideMark/>
          </w:tcPr>
          <w:p w14:paraId="3B15F331"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716" w:type="dxa"/>
            <w:tcBorders>
              <w:top w:val="single" w:sz="4" w:space="0" w:color="auto"/>
              <w:left w:val="nil"/>
              <w:bottom w:val="single" w:sz="4" w:space="0" w:color="auto"/>
              <w:right w:val="nil"/>
            </w:tcBorders>
            <w:shd w:val="clear" w:color="auto" w:fill="auto"/>
            <w:noWrap/>
            <w:vAlign w:val="center"/>
            <w:hideMark/>
          </w:tcPr>
          <w:p w14:paraId="541F8468" w14:textId="6B85B80D"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BF0CC3" w:rsidRPr="00033A3F" w14:paraId="5AFE6EB2"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7998C2C4"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7474E311"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758" w:type="dxa"/>
            <w:tcBorders>
              <w:top w:val="nil"/>
              <w:left w:val="nil"/>
              <w:bottom w:val="single" w:sz="4" w:space="0" w:color="auto"/>
              <w:right w:val="nil"/>
            </w:tcBorders>
            <w:shd w:val="clear" w:color="auto" w:fill="auto"/>
            <w:noWrap/>
            <w:vAlign w:val="center"/>
            <w:hideMark/>
          </w:tcPr>
          <w:p w14:paraId="43380BC5" w14:textId="03F2C3A9"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43" w:type="dxa"/>
            <w:tcBorders>
              <w:top w:val="nil"/>
              <w:left w:val="single" w:sz="4" w:space="0" w:color="auto"/>
              <w:bottom w:val="single" w:sz="4" w:space="0" w:color="auto"/>
              <w:right w:val="nil"/>
            </w:tcBorders>
            <w:shd w:val="clear" w:color="auto" w:fill="auto"/>
            <w:noWrap/>
            <w:vAlign w:val="bottom"/>
            <w:hideMark/>
          </w:tcPr>
          <w:p w14:paraId="5828638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737" w:type="dxa"/>
            <w:tcBorders>
              <w:top w:val="nil"/>
              <w:left w:val="nil"/>
              <w:bottom w:val="single" w:sz="4" w:space="0" w:color="auto"/>
              <w:right w:val="single" w:sz="4" w:space="0" w:color="auto"/>
            </w:tcBorders>
            <w:shd w:val="clear" w:color="auto" w:fill="auto"/>
            <w:noWrap/>
            <w:vAlign w:val="center"/>
            <w:hideMark/>
          </w:tcPr>
          <w:p w14:paraId="207E04A9" w14:textId="1348E478"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64" w:type="dxa"/>
            <w:tcBorders>
              <w:top w:val="nil"/>
              <w:left w:val="nil"/>
              <w:bottom w:val="single" w:sz="4" w:space="0" w:color="auto"/>
              <w:right w:val="nil"/>
            </w:tcBorders>
            <w:shd w:val="clear" w:color="auto" w:fill="auto"/>
            <w:noWrap/>
            <w:vAlign w:val="bottom"/>
            <w:hideMark/>
          </w:tcPr>
          <w:p w14:paraId="1D859519"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p>
        </w:tc>
        <w:tc>
          <w:tcPr>
            <w:tcW w:w="716" w:type="dxa"/>
            <w:tcBorders>
              <w:top w:val="nil"/>
              <w:left w:val="nil"/>
              <w:bottom w:val="single" w:sz="4" w:space="0" w:color="auto"/>
              <w:right w:val="nil"/>
            </w:tcBorders>
            <w:shd w:val="clear" w:color="auto" w:fill="auto"/>
            <w:noWrap/>
            <w:vAlign w:val="center"/>
            <w:hideMark/>
          </w:tcPr>
          <w:p w14:paraId="28B5A16C" w14:textId="6E717A4D"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BF0CC3" w:rsidRPr="00033A3F" w14:paraId="6A06505B"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6DE980EC"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3203CAE8"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758" w:type="dxa"/>
            <w:tcBorders>
              <w:top w:val="nil"/>
              <w:left w:val="nil"/>
              <w:bottom w:val="single" w:sz="4" w:space="0" w:color="auto"/>
              <w:right w:val="nil"/>
            </w:tcBorders>
            <w:shd w:val="clear" w:color="auto" w:fill="auto"/>
            <w:noWrap/>
            <w:vAlign w:val="center"/>
            <w:hideMark/>
          </w:tcPr>
          <w:p w14:paraId="568BF2C8" w14:textId="126DCA58"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43" w:type="dxa"/>
            <w:tcBorders>
              <w:top w:val="nil"/>
              <w:left w:val="single" w:sz="4" w:space="0" w:color="auto"/>
              <w:bottom w:val="single" w:sz="4" w:space="0" w:color="auto"/>
              <w:right w:val="nil"/>
            </w:tcBorders>
            <w:shd w:val="clear" w:color="auto" w:fill="auto"/>
            <w:noWrap/>
            <w:vAlign w:val="bottom"/>
            <w:hideMark/>
          </w:tcPr>
          <w:p w14:paraId="51EDCDF4"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w:t>
            </w:r>
          </w:p>
        </w:tc>
        <w:tc>
          <w:tcPr>
            <w:tcW w:w="737" w:type="dxa"/>
            <w:tcBorders>
              <w:top w:val="nil"/>
              <w:left w:val="nil"/>
              <w:bottom w:val="single" w:sz="4" w:space="0" w:color="auto"/>
              <w:right w:val="single" w:sz="4" w:space="0" w:color="auto"/>
            </w:tcBorders>
            <w:shd w:val="clear" w:color="auto" w:fill="auto"/>
            <w:noWrap/>
            <w:vAlign w:val="center"/>
            <w:hideMark/>
          </w:tcPr>
          <w:p w14:paraId="2B02E7AD" w14:textId="18F85AE0"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64" w:type="dxa"/>
            <w:tcBorders>
              <w:top w:val="nil"/>
              <w:left w:val="nil"/>
              <w:bottom w:val="single" w:sz="4" w:space="0" w:color="auto"/>
              <w:right w:val="nil"/>
            </w:tcBorders>
            <w:shd w:val="clear" w:color="auto" w:fill="auto"/>
            <w:noWrap/>
            <w:vAlign w:val="bottom"/>
            <w:hideMark/>
          </w:tcPr>
          <w:p w14:paraId="297EB01D"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w:t>
            </w:r>
          </w:p>
        </w:tc>
        <w:tc>
          <w:tcPr>
            <w:tcW w:w="716" w:type="dxa"/>
            <w:tcBorders>
              <w:top w:val="nil"/>
              <w:left w:val="nil"/>
              <w:bottom w:val="single" w:sz="4" w:space="0" w:color="auto"/>
              <w:right w:val="nil"/>
            </w:tcBorders>
            <w:shd w:val="clear" w:color="auto" w:fill="auto"/>
            <w:noWrap/>
            <w:vAlign w:val="center"/>
            <w:hideMark/>
          </w:tcPr>
          <w:p w14:paraId="7C372152" w14:textId="0AC3131A"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BF0CC3" w:rsidRPr="00033A3F" w14:paraId="442EC66A"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0F459FC8"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7D0F84A2"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w:t>
            </w:r>
          </w:p>
        </w:tc>
        <w:tc>
          <w:tcPr>
            <w:tcW w:w="758" w:type="dxa"/>
            <w:tcBorders>
              <w:top w:val="nil"/>
              <w:left w:val="nil"/>
              <w:bottom w:val="single" w:sz="4" w:space="0" w:color="auto"/>
              <w:right w:val="nil"/>
            </w:tcBorders>
            <w:shd w:val="clear" w:color="auto" w:fill="auto"/>
            <w:noWrap/>
            <w:vAlign w:val="center"/>
            <w:hideMark/>
          </w:tcPr>
          <w:p w14:paraId="576037E8" w14:textId="78C08A1C"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43" w:type="dxa"/>
            <w:tcBorders>
              <w:top w:val="nil"/>
              <w:left w:val="single" w:sz="4" w:space="0" w:color="auto"/>
              <w:bottom w:val="single" w:sz="4" w:space="0" w:color="auto"/>
              <w:right w:val="nil"/>
            </w:tcBorders>
            <w:shd w:val="clear" w:color="auto" w:fill="auto"/>
            <w:noWrap/>
            <w:vAlign w:val="bottom"/>
            <w:hideMark/>
          </w:tcPr>
          <w:p w14:paraId="214D9F44"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w:t>
            </w:r>
          </w:p>
        </w:tc>
        <w:tc>
          <w:tcPr>
            <w:tcW w:w="737" w:type="dxa"/>
            <w:tcBorders>
              <w:top w:val="nil"/>
              <w:left w:val="nil"/>
              <w:bottom w:val="single" w:sz="4" w:space="0" w:color="auto"/>
              <w:right w:val="single" w:sz="4" w:space="0" w:color="auto"/>
            </w:tcBorders>
            <w:shd w:val="clear" w:color="auto" w:fill="auto"/>
            <w:noWrap/>
            <w:vAlign w:val="center"/>
            <w:hideMark/>
          </w:tcPr>
          <w:p w14:paraId="39E3C154" w14:textId="0D7F40D2"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964" w:type="dxa"/>
            <w:tcBorders>
              <w:top w:val="nil"/>
              <w:left w:val="nil"/>
              <w:bottom w:val="single" w:sz="4" w:space="0" w:color="auto"/>
              <w:right w:val="nil"/>
            </w:tcBorders>
            <w:shd w:val="clear" w:color="auto" w:fill="auto"/>
            <w:noWrap/>
            <w:vAlign w:val="bottom"/>
            <w:hideMark/>
          </w:tcPr>
          <w:p w14:paraId="717C943F"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w:t>
            </w:r>
          </w:p>
        </w:tc>
        <w:tc>
          <w:tcPr>
            <w:tcW w:w="716" w:type="dxa"/>
            <w:tcBorders>
              <w:top w:val="nil"/>
              <w:left w:val="nil"/>
              <w:bottom w:val="single" w:sz="4" w:space="0" w:color="auto"/>
              <w:right w:val="nil"/>
            </w:tcBorders>
            <w:shd w:val="clear" w:color="auto" w:fill="auto"/>
            <w:noWrap/>
            <w:vAlign w:val="center"/>
            <w:hideMark/>
          </w:tcPr>
          <w:p w14:paraId="535021D5" w14:textId="65E67A73"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BF0CC3" w:rsidRPr="00033A3F" w14:paraId="59A09C92"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517EA8C6"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031D8CB9"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w:t>
            </w:r>
          </w:p>
        </w:tc>
        <w:tc>
          <w:tcPr>
            <w:tcW w:w="758" w:type="dxa"/>
            <w:tcBorders>
              <w:top w:val="nil"/>
              <w:left w:val="nil"/>
              <w:bottom w:val="single" w:sz="4" w:space="0" w:color="auto"/>
              <w:right w:val="nil"/>
            </w:tcBorders>
            <w:shd w:val="clear" w:color="auto" w:fill="auto"/>
            <w:noWrap/>
            <w:vAlign w:val="center"/>
            <w:hideMark/>
          </w:tcPr>
          <w:p w14:paraId="1FAC520D" w14:textId="55F47687"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43" w:type="dxa"/>
            <w:tcBorders>
              <w:top w:val="nil"/>
              <w:left w:val="single" w:sz="4" w:space="0" w:color="auto"/>
              <w:bottom w:val="single" w:sz="4" w:space="0" w:color="auto"/>
              <w:right w:val="nil"/>
            </w:tcBorders>
            <w:shd w:val="clear" w:color="auto" w:fill="auto"/>
            <w:noWrap/>
            <w:vAlign w:val="bottom"/>
            <w:hideMark/>
          </w:tcPr>
          <w:p w14:paraId="30D48315"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w:t>
            </w:r>
          </w:p>
        </w:tc>
        <w:tc>
          <w:tcPr>
            <w:tcW w:w="737" w:type="dxa"/>
            <w:tcBorders>
              <w:top w:val="nil"/>
              <w:left w:val="nil"/>
              <w:bottom w:val="single" w:sz="4" w:space="0" w:color="auto"/>
              <w:right w:val="single" w:sz="4" w:space="0" w:color="auto"/>
            </w:tcBorders>
            <w:shd w:val="clear" w:color="auto" w:fill="auto"/>
            <w:noWrap/>
            <w:vAlign w:val="center"/>
            <w:hideMark/>
          </w:tcPr>
          <w:p w14:paraId="63B59C9C" w14:textId="1E73F056"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64" w:type="dxa"/>
            <w:tcBorders>
              <w:top w:val="nil"/>
              <w:left w:val="nil"/>
              <w:bottom w:val="single" w:sz="4" w:space="0" w:color="auto"/>
              <w:right w:val="nil"/>
            </w:tcBorders>
            <w:shd w:val="clear" w:color="auto" w:fill="auto"/>
            <w:noWrap/>
            <w:vAlign w:val="bottom"/>
            <w:hideMark/>
          </w:tcPr>
          <w:p w14:paraId="494600A9"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182</w:t>
            </w:r>
          </w:p>
        </w:tc>
        <w:tc>
          <w:tcPr>
            <w:tcW w:w="716" w:type="dxa"/>
            <w:tcBorders>
              <w:top w:val="nil"/>
              <w:left w:val="nil"/>
              <w:bottom w:val="single" w:sz="4" w:space="0" w:color="auto"/>
              <w:right w:val="nil"/>
            </w:tcBorders>
            <w:shd w:val="clear" w:color="auto" w:fill="auto"/>
            <w:noWrap/>
            <w:vAlign w:val="center"/>
            <w:hideMark/>
          </w:tcPr>
          <w:p w14:paraId="1D943421" w14:textId="60D7DE2B"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BF0CC3" w:rsidRPr="00033A3F" w14:paraId="3B47F872"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01A36AEE"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7549D06C"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w:t>
            </w:r>
          </w:p>
        </w:tc>
        <w:tc>
          <w:tcPr>
            <w:tcW w:w="758" w:type="dxa"/>
            <w:tcBorders>
              <w:top w:val="nil"/>
              <w:left w:val="nil"/>
              <w:bottom w:val="single" w:sz="4" w:space="0" w:color="auto"/>
              <w:right w:val="nil"/>
            </w:tcBorders>
            <w:shd w:val="clear" w:color="auto" w:fill="auto"/>
            <w:noWrap/>
            <w:vAlign w:val="center"/>
            <w:hideMark/>
          </w:tcPr>
          <w:p w14:paraId="2BCDC6A2" w14:textId="54730A09"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43" w:type="dxa"/>
            <w:tcBorders>
              <w:top w:val="nil"/>
              <w:left w:val="single" w:sz="4" w:space="0" w:color="auto"/>
              <w:bottom w:val="single" w:sz="4" w:space="0" w:color="auto"/>
              <w:right w:val="nil"/>
            </w:tcBorders>
            <w:shd w:val="clear" w:color="auto" w:fill="auto"/>
            <w:noWrap/>
            <w:vAlign w:val="bottom"/>
            <w:hideMark/>
          </w:tcPr>
          <w:p w14:paraId="1049FC9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737" w:type="dxa"/>
            <w:tcBorders>
              <w:top w:val="nil"/>
              <w:left w:val="nil"/>
              <w:bottom w:val="single" w:sz="4" w:space="0" w:color="auto"/>
              <w:right w:val="single" w:sz="4" w:space="0" w:color="auto"/>
            </w:tcBorders>
            <w:shd w:val="clear" w:color="auto" w:fill="auto"/>
            <w:noWrap/>
            <w:vAlign w:val="center"/>
            <w:hideMark/>
          </w:tcPr>
          <w:p w14:paraId="016ACD46" w14:textId="5C54E31E"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64" w:type="dxa"/>
            <w:tcBorders>
              <w:top w:val="nil"/>
              <w:left w:val="nil"/>
              <w:bottom w:val="single" w:sz="4" w:space="0" w:color="auto"/>
              <w:right w:val="nil"/>
            </w:tcBorders>
            <w:shd w:val="clear" w:color="auto" w:fill="auto"/>
            <w:noWrap/>
            <w:vAlign w:val="bottom"/>
            <w:hideMark/>
          </w:tcPr>
          <w:p w14:paraId="7951A94E"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p>
        </w:tc>
        <w:tc>
          <w:tcPr>
            <w:tcW w:w="716" w:type="dxa"/>
            <w:tcBorders>
              <w:top w:val="nil"/>
              <w:left w:val="nil"/>
              <w:bottom w:val="single" w:sz="4" w:space="0" w:color="auto"/>
              <w:right w:val="nil"/>
            </w:tcBorders>
            <w:shd w:val="clear" w:color="auto" w:fill="auto"/>
            <w:noWrap/>
            <w:vAlign w:val="center"/>
            <w:hideMark/>
          </w:tcPr>
          <w:p w14:paraId="4CD8FBFD" w14:textId="3F99ECA9"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BF0CC3" w:rsidRPr="00033A3F" w14:paraId="4B70A7CF"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5312F798"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19B15551"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758" w:type="dxa"/>
            <w:tcBorders>
              <w:top w:val="nil"/>
              <w:left w:val="nil"/>
              <w:bottom w:val="single" w:sz="4" w:space="0" w:color="auto"/>
              <w:right w:val="nil"/>
            </w:tcBorders>
            <w:shd w:val="clear" w:color="auto" w:fill="auto"/>
            <w:noWrap/>
            <w:vAlign w:val="center"/>
            <w:hideMark/>
          </w:tcPr>
          <w:p w14:paraId="4322C8C3" w14:textId="0F18E56A"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43" w:type="dxa"/>
            <w:tcBorders>
              <w:top w:val="nil"/>
              <w:left w:val="single" w:sz="4" w:space="0" w:color="auto"/>
              <w:bottom w:val="single" w:sz="4" w:space="0" w:color="auto"/>
              <w:right w:val="nil"/>
            </w:tcBorders>
            <w:shd w:val="clear" w:color="auto" w:fill="auto"/>
            <w:noWrap/>
            <w:vAlign w:val="bottom"/>
            <w:hideMark/>
          </w:tcPr>
          <w:p w14:paraId="287CAD7E"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w:t>
            </w:r>
          </w:p>
        </w:tc>
        <w:tc>
          <w:tcPr>
            <w:tcW w:w="737" w:type="dxa"/>
            <w:tcBorders>
              <w:top w:val="nil"/>
              <w:left w:val="nil"/>
              <w:bottom w:val="single" w:sz="4" w:space="0" w:color="auto"/>
              <w:right w:val="single" w:sz="4" w:space="0" w:color="auto"/>
            </w:tcBorders>
            <w:shd w:val="clear" w:color="auto" w:fill="auto"/>
            <w:noWrap/>
            <w:vAlign w:val="center"/>
            <w:hideMark/>
          </w:tcPr>
          <w:p w14:paraId="52188DA5" w14:textId="4925DB10"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64" w:type="dxa"/>
            <w:tcBorders>
              <w:top w:val="nil"/>
              <w:left w:val="nil"/>
              <w:bottom w:val="single" w:sz="4" w:space="0" w:color="auto"/>
              <w:right w:val="nil"/>
            </w:tcBorders>
            <w:shd w:val="clear" w:color="auto" w:fill="auto"/>
            <w:noWrap/>
            <w:vAlign w:val="bottom"/>
            <w:hideMark/>
          </w:tcPr>
          <w:p w14:paraId="12FEC8BD"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79</w:t>
            </w:r>
          </w:p>
        </w:tc>
        <w:tc>
          <w:tcPr>
            <w:tcW w:w="716" w:type="dxa"/>
            <w:tcBorders>
              <w:top w:val="nil"/>
              <w:left w:val="nil"/>
              <w:bottom w:val="single" w:sz="4" w:space="0" w:color="auto"/>
              <w:right w:val="nil"/>
            </w:tcBorders>
            <w:shd w:val="clear" w:color="auto" w:fill="auto"/>
            <w:noWrap/>
            <w:vAlign w:val="center"/>
            <w:hideMark/>
          </w:tcPr>
          <w:p w14:paraId="5367AD50" w14:textId="4C51E08F"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r>
      <w:tr w:rsidR="00BF0CC3" w:rsidRPr="00033A3F" w14:paraId="4D725A89" w14:textId="77777777" w:rsidTr="006E1F5B">
        <w:trPr>
          <w:trHeight w:val="330"/>
        </w:trPr>
        <w:tc>
          <w:tcPr>
            <w:tcW w:w="2480" w:type="dxa"/>
            <w:tcBorders>
              <w:top w:val="nil"/>
              <w:left w:val="nil"/>
              <w:bottom w:val="double" w:sz="6" w:space="0" w:color="auto"/>
              <w:right w:val="nil"/>
            </w:tcBorders>
            <w:shd w:val="clear" w:color="auto" w:fill="auto"/>
            <w:noWrap/>
            <w:vAlign w:val="bottom"/>
            <w:hideMark/>
          </w:tcPr>
          <w:p w14:paraId="3BE2908F"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7DD0880D"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w:t>
            </w:r>
          </w:p>
        </w:tc>
        <w:tc>
          <w:tcPr>
            <w:tcW w:w="758" w:type="dxa"/>
            <w:tcBorders>
              <w:top w:val="nil"/>
              <w:left w:val="nil"/>
              <w:bottom w:val="double" w:sz="6" w:space="0" w:color="auto"/>
              <w:right w:val="nil"/>
            </w:tcBorders>
            <w:shd w:val="clear" w:color="auto" w:fill="auto"/>
            <w:noWrap/>
            <w:vAlign w:val="center"/>
            <w:hideMark/>
          </w:tcPr>
          <w:p w14:paraId="44004D37" w14:textId="7C20AF6D"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43" w:type="dxa"/>
            <w:tcBorders>
              <w:top w:val="nil"/>
              <w:left w:val="single" w:sz="4" w:space="0" w:color="auto"/>
              <w:bottom w:val="double" w:sz="6" w:space="0" w:color="auto"/>
              <w:right w:val="nil"/>
            </w:tcBorders>
            <w:shd w:val="clear" w:color="auto" w:fill="auto"/>
            <w:noWrap/>
            <w:vAlign w:val="bottom"/>
            <w:hideMark/>
          </w:tcPr>
          <w:p w14:paraId="5A9EFF6F"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w:t>
            </w:r>
          </w:p>
        </w:tc>
        <w:tc>
          <w:tcPr>
            <w:tcW w:w="737" w:type="dxa"/>
            <w:tcBorders>
              <w:top w:val="nil"/>
              <w:left w:val="nil"/>
              <w:bottom w:val="double" w:sz="6" w:space="0" w:color="auto"/>
              <w:right w:val="single" w:sz="4" w:space="0" w:color="auto"/>
            </w:tcBorders>
            <w:shd w:val="clear" w:color="auto" w:fill="auto"/>
            <w:noWrap/>
            <w:vAlign w:val="center"/>
            <w:hideMark/>
          </w:tcPr>
          <w:p w14:paraId="20BA37F7" w14:textId="0CF6F4DE"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64" w:type="dxa"/>
            <w:tcBorders>
              <w:top w:val="nil"/>
              <w:left w:val="nil"/>
              <w:bottom w:val="double" w:sz="6" w:space="0" w:color="auto"/>
              <w:right w:val="nil"/>
            </w:tcBorders>
            <w:shd w:val="clear" w:color="auto" w:fill="auto"/>
            <w:noWrap/>
            <w:vAlign w:val="bottom"/>
            <w:hideMark/>
          </w:tcPr>
          <w:p w14:paraId="2301D52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w:t>
            </w:r>
          </w:p>
        </w:tc>
        <w:tc>
          <w:tcPr>
            <w:tcW w:w="716" w:type="dxa"/>
            <w:tcBorders>
              <w:top w:val="nil"/>
              <w:left w:val="nil"/>
              <w:bottom w:val="double" w:sz="6" w:space="0" w:color="auto"/>
              <w:right w:val="nil"/>
            </w:tcBorders>
            <w:shd w:val="clear" w:color="auto" w:fill="auto"/>
            <w:noWrap/>
            <w:vAlign w:val="center"/>
            <w:hideMark/>
          </w:tcPr>
          <w:p w14:paraId="1859F0AA" w14:textId="791C9D52"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BF0CC3" w:rsidRPr="00033A3F" w14:paraId="6270964E" w14:textId="77777777" w:rsidTr="006E1F5B">
        <w:trPr>
          <w:trHeight w:val="345"/>
        </w:trPr>
        <w:tc>
          <w:tcPr>
            <w:tcW w:w="2480" w:type="dxa"/>
            <w:tcBorders>
              <w:top w:val="nil"/>
              <w:left w:val="nil"/>
              <w:bottom w:val="double" w:sz="6" w:space="0" w:color="auto"/>
              <w:right w:val="nil"/>
            </w:tcBorders>
            <w:shd w:val="clear" w:color="auto" w:fill="auto"/>
            <w:noWrap/>
            <w:vAlign w:val="bottom"/>
            <w:hideMark/>
          </w:tcPr>
          <w:p w14:paraId="37081D20" w14:textId="77777777" w:rsidR="006733D4" w:rsidRPr="00033A3F" w:rsidRDefault="006733D4" w:rsidP="006733D4">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4D5228EB"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53</w:t>
            </w:r>
          </w:p>
        </w:tc>
        <w:tc>
          <w:tcPr>
            <w:tcW w:w="758" w:type="dxa"/>
            <w:tcBorders>
              <w:top w:val="nil"/>
              <w:left w:val="nil"/>
              <w:bottom w:val="double" w:sz="6" w:space="0" w:color="auto"/>
              <w:right w:val="nil"/>
            </w:tcBorders>
            <w:shd w:val="clear" w:color="auto" w:fill="auto"/>
            <w:noWrap/>
            <w:vAlign w:val="center"/>
            <w:hideMark/>
          </w:tcPr>
          <w:p w14:paraId="63F8A678" w14:textId="59CC473A" w:rsidR="006733D4" w:rsidRPr="00033A3F" w:rsidRDefault="006733D4" w:rsidP="006E1F5B">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943" w:type="dxa"/>
            <w:tcBorders>
              <w:top w:val="nil"/>
              <w:left w:val="single" w:sz="4" w:space="0" w:color="auto"/>
              <w:bottom w:val="double" w:sz="6" w:space="0" w:color="auto"/>
              <w:right w:val="nil"/>
            </w:tcBorders>
            <w:shd w:val="clear" w:color="auto" w:fill="auto"/>
            <w:noWrap/>
            <w:vAlign w:val="bottom"/>
            <w:hideMark/>
          </w:tcPr>
          <w:p w14:paraId="55174766"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36</w:t>
            </w:r>
          </w:p>
        </w:tc>
        <w:tc>
          <w:tcPr>
            <w:tcW w:w="737" w:type="dxa"/>
            <w:tcBorders>
              <w:top w:val="nil"/>
              <w:left w:val="nil"/>
              <w:bottom w:val="double" w:sz="6" w:space="0" w:color="auto"/>
              <w:right w:val="single" w:sz="4" w:space="0" w:color="auto"/>
            </w:tcBorders>
            <w:shd w:val="clear" w:color="auto" w:fill="auto"/>
            <w:noWrap/>
            <w:vAlign w:val="center"/>
            <w:hideMark/>
          </w:tcPr>
          <w:p w14:paraId="791AECEB" w14:textId="0CD56067" w:rsidR="006733D4" w:rsidRPr="00033A3F" w:rsidRDefault="006733D4" w:rsidP="006E1F5B">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964" w:type="dxa"/>
            <w:tcBorders>
              <w:top w:val="nil"/>
              <w:left w:val="nil"/>
              <w:bottom w:val="double" w:sz="6" w:space="0" w:color="auto"/>
              <w:right w:val="nil"/>
            </w:tcBorders>
            <w:shd w:val="clear" w:color="auto" w:fill="auto"/>
            <w:noWrap/>
            <w:vAlign w:val="bottom"/>
            <w:hideMark/>
          </w:tcPr>
          <w:p w14:paraId="18FFDD8C"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102</w:t>
            </w:r>
          </w:p>
        </w:tc>
        <w:tc>
          <w:tcPr>
            <w:tcW w:w="716" w:type="dxa"/>
            <w:tcBorders>
              <w:top w:val="nil"/>
              <w:left w:val="nil"/>
              <w:bottom w:val="double" w:sz="6" w:space="0" w:color="auto"/>
              <w:right w:val="nil"/>
            </w:tcBorders>
            <w:shd w:val="clear" w:color="auto" w:fill="auto"/>
            <w:noWrap/>
            <w:vAlign w:val="center"/>
            <w:hideMark/>
          </w:tcPr>
          <w:p w14:paraId="2AE3062C" w14:textId="70E00B35" w:rsidR="006733D4" w:rsidRPr="00033A3F" w:rsidRDefault="006733D4" w:rsidP="006E1F5B">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r>
      <w:tr w:rsidR="00BF0CC3" w:rsidRPr="00033A3F" w14:paraId="6BA20709" w14:textId="77777777" w:rsidTr="006E1F5B">
        <w:trPr>
          <w:trHeight w:val="330"/>
        </w:trPr>
        <w:tc>
          <w:tcPr>
            <w:tcW w:w="2480" w:type="dxa"/>
            <w:tcBorders>
              <w:top w:val="nil"/>
              <w:left w:val="nil"/>
              <w:bottom w:val="nil"/>
              <w:right w:val="nil"/>
            </w:tcBorders>
            <w:shd w:val="clear" w:color="auto" w:fill="auto"/>
            <w:noWrap/>
            <w:vAlign w:val="bottom"/>
            <w:hideMark/>
          </w:tcPr>
          <w:p w14:paraId="144323C0" w14:textId="77777777" w:rsidR="006733D4" w:rsidRPr="00033A3F" w:rsidRDefault="006733D4" w:rsidP="006733D4">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6EBF486D"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758" w:type="dxa"/>
            <w:tcBorders>
              <w:top w:val="nil"/>
              <w:left w:val="nil"/>
              <w:bottom w:val="nil"/>
              <w:right w:val="nil"/>
            </w:tcBorders>
            <w:shd w:val="clear" w:color="auto" w:fill="auto"/>
            <w:noWrap/>
            <w:vAlign w:val="bottom"/>
            <w:hideMark/>
          </w:tcPr>
          <w:p w14:paraId="3B4A68F8"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943" w:type="dxa"/>
            <w:tcBorders>
              <w:top w:val="nil"/>
              <w:left w:val="nil"/>
              <w:bottom w:val="nil"/>
              <w:right w:val="nil"/>
            </w:tcBorders>
            <w:shd w:val="clear" w:color="auto" w:fill="auto"/>
            <w:noWrap/>
            <w:vAlign w:val="bottom"/>
            <w:hideMark/>
          </w:tcPr>
          <w:p w14:paraId="30A9D72C"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737" w:type="dxa"/>
            <w:tcBorders>
              <w:top w:val="nil"/>
              <w:left w:val="nil"/>
              <w:bottom w:val="nil"/>
              <w:right w:val="nil"/>
            </w:tcBorders>
            <w:shd w:val="clear" w:color="auto" w:fill="auto"/>
            <w:noWrap/>
            <w:vAlign w:val="bottom"/>
            <w:hideMark/>
          </w:tcPr>
          <w:p w14:paraId="7EB08E18"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964" w:type="dxa"/>
            <w:tcBorders>
              <w:top w:val="nil"/>
              <w:left w:val="nil"/>
              <w:bottom w:val="nil"/>
              <w:right w:val="nil"/>
            </w:tcBorders>
            <w:shd w:val="clear" w:color="auto" w:fill="auto"/>
            <w:noWrap/>
            <w:vAlign w:val="bottom"/>
            <w:hideMark/>
          </w:tcPr>
          <w:p w14:paraId="56482A20"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716" w:type="dxa"/>
            <w:tcBorders>
              <w:top w:val="nil"/>
              <w:left w:val="nil"/>
              <w:bottom w:val="nil"/>
              <w:right w:val="nil"/>
            </w:tcBorders>
            <w:shd w:val="clear" w:color="auto" w:fill="auto"/>
            <w:noWrap/>
            <w:vAlign w:val="bottom"/>
            <w:hideMark/>
          </w:tcPr>
          <w:p w14:paraId="2984EDC2"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r>
    </w:tbl>
    <w:p w14:paraId="7DB674C6" w14:textId="12F77A21" w:rsidR="00FB01CE" w:rsidRPr="00033A3F" w:rsidRDefault="00FB01CE" w:rsidP="00FB01CE">
      <w:pPr>
        <w:pStyle w:val="Podnadpis"/>
        <w:rPr>
          <w:color w:val="000000" w:themeColor="text1"/>
        </w:rPr>
      </w:pPr>
      <w:bookmarkStart w:id="1565" w:name="_Toc193530832"/>
      <w:bookmarkStart w:id="1566" w:name="_Toc193634106"/>
      <w:bookmarkStart w:id="1567" w:name="_Toc20303290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77</w:t>
      </w:r>
      <w:r w:rsidRPr="00033A3F">
        <w:rPr>
          <w:color w:val="000000" w:themeColor="text1"/>
        </w:rPr>
        <w:fldChar w:fldCharType="end"/>
      </w:r>
      <w:r w:rsidRPr="00033A3F">
        <w:rPr>
          <w:color w:val="000000" w:themeColor="text1"/>
        </w:rPr>
        <w:t>: KS – distribuce délek trestního odvolacího řízení</w:t>
      </w:r>
      <w:bookmarkEnd w:id="1559"/>
      <w:bookmarkEnd w:id="1560"/>
      <w:bookmarkEnd w:id="1561"/>
      <w:bookmarkEnd w:id="1562"/>
      <w:bookmarkEnd w:id="1563"/>
      <w:bookmarkEnd w:id="1564"/>
      <w:bookmarkEnd w:id="1565"/>
      <w:bookmarkEnd w:id="1566"/>
      <w:bookmarkEnd w:id="1567"/>
    </w:p>
    <w:p w14:paraId="319889D3" w14:textId="5E1AEE82" w:rsidR="00FB01CE" w:rsidRPr="00033A3F" w:rsidRDefault="00FB01CE" w:rsidP="00FB01CE">
      <w:pPr>
        <w:spacing w:after="160" w:line="259" w:lineRule="auto"/>
        <w:jc w:val="left"/>
        <w:rPr>
          <w:color w:val="000000" w:themeColor="text1"/>
        </w:rPr>
      </w:pPr>
      <w:r w:rsidRPr="00033A3F">
        <w:rPr>
          <w:noProof/>
          <w:color w:val="000000" w:themeColor="text1"/>
          <w:lang w:eastAsia="cs-CZ"/>
        </w:rPr>
        <w:drawing>
          <wp:inline distT="0" distB="0" distL="0" distR="0" wp14:anchorId="427CC0DA" wp14:editId="4864A843">
            <wp:extent cx="5029200" cy="3657600"/>
            <wp:effectExtent l="0" t="0" r="0" b="0"/>
            <wp:docPr id="827510606"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3EC40CA" w14:textId="0B4BF8A1" w:rsidR="00FB01CE" w:rsidRPr="00033A3F" w:rsidRDefault="00FB01CE" w:rsidP="00FB01CE">
      <w:pPr>
        <w:pStyle w:val="OdstavecASR"/>
        <w:rPr>
          <w:color w:val="000000" w:themeColor="text1"/>
        </w:rPr>
      </w:pPr>
      <w:r w:rsidRPr="00033A3F">
        <w:rPr>
          <w:color w:val="000000" w:themeColor="text1"/>
        </w:rPr>
        <w:t xml:space="preserve">I v histogramu je vidět, jak nízké délky řízení jsou. Asi 34 % věcí bylo vyřízeno do 1 měsíce. Pouze asi </w:t>
      </w:r>
      <w:r w:rsidR="006E1F5B" w:rsidRPr="00033A3F">
        <w:rPr>
          <w:color w:val="000000" w:themeColor="text1"/>
        </w:rPr>
        <w:t>5</w:t>
      </w:r>
      <w:r w:rsidR="00073A0D" w:rsidRPr="00033A3F">
        <w:rPr>
          <w:color w:val="000000" w:themeColor="text1"/>
        </w:rPr>
        <w:t xml:space="preserve"> </w:t>
      </w:r>
      <w:r w:rsidRPr="00033A3F">
        <w:rPr>
          <w:color w:val="000000" w:themeColor="text1"/>
        </w:rPr>
        <w:t xml:space="preserve">% případů bylo vyřízeno za více než 200 dnů. </w:t>
      </w:r>
      <w:r w:rsidR="001A5297" w:rsidRPr="00033A3F">
        <w:rPr>
          <w:color w:val="000000" w:themeColor="text1"/>
        </w:rPr>
        <w:t>To jsou hodnoty velmi blízké předchozímu roku 2023.</w:t>
      </w:r>
      <w:r w:rsidRPr="00033A3F">
        <w:rPr>
          <w:color w:val="000000" w:themeColor="text1"/>
        </w:rPr>
        <w:t xml:space="preserve"> Pro jistotu upozorňujeme, že šířka sloupce </w:t>
      </w:r>
      <w:r w:rsidR="006E1F5B" w:rsidRPr="00033A3F">
        <w:rPr>
          <w:color w:val="000000" w:themeColor="text1"/>
        </w:rPr>
        <w:t>u </w:t>
      </w:r>
      <w:r w:rsidRPr="00033A3F">
        <w:rPr>
          <w:color w:val="000000" w:themeColor="text1"/>
        </w:rPr>
        <w:t>tohoto histogramu je 10 kalendářních dní.</w:t>
      </w:r>
    </w:p>
    <w:p w14:paraId="7C6FE488" w14:textId="6BFF0610" w:rsidR="00FB01CE" w:rsidRPr="00033A3F" w:rsidRDefault="00FB01CE" w:rsidP="00FB01CE">
      <w:pPr>
        <w:spacing w:after="160" w:line="259" w:lineRule="auto"/>
        <w:jc w:val="left"/>
        <w:rPr>
          <w:color w:val="000000" w:themeColor="text1"/>
        </w:rPr>
      </w:pPr>
      <w:r w:rsidRPr="00033A3F">
        <w:rPr>
          <w:color w:val="000000" w:themeColor="text1"/>
        </w:rPr>
        <w:br w:type="page"/>
      </w:r>
    </w:p>
    <w:p w14:paraId="1F1F65A0" w14:textId="0828A5BF" w:rsidR="008430BD" w:rsidRPr="00033A3F" w:rsidRDefault="008430BD" w:rsidP="008430BD">
      <w:pPr>
        <w:pStyle w:val="Nadpis3"/>
        <w:numPr>
          <w:ilvl w:val="2"/>
          <w:numId w:val="1"/>
        </w:numPr>
        <w:rPr>
          <w:color w:val="000000" w:themeColor="text1"/>
        </w:rPr>
      </w:pPr>
      <w:bookmarkStart w:id="1568" w:name="_Ref511391173"/>
      <w:bookmarkStart w:id="1569" w:name="_Toc515871264"/>
      <w:bookmarkStart w:id="1570" w:name="_Ref40897302"/>
      <w:bookmarkStart w:id="1571" w:name="_Toc106092771"/>
      <w:bookmarkStart w:id="1572" w:name="_Toc169250847"/>
      <w:bookmarkStart w:id="1573" w:name="_Toc193531009"/>
      <w:bookmarkStart w:id="1574" w:name="_Toc193957065"/>
      <w:bookmarkStart w:id="1575" w:name="_Toc203032755"/>
      <w:r w:rsidRPr="00033A3F">
        <w:rPr>
          <w:color w:val="000000" w:themeColor="text1"/>
        </w:rPr>
        <w:lastRenderedPageBreak/>
        <w:t>Vyřizování věcí</w:t>
      </w:r>
      <w:bookmarkEnd w:id="1568"/>
      <w:bookmarkEnd w:id="1569"/>
      <w:bookmarkEnd w:id="1570"/>
      <w:bookmarkEnd w:id="1571"/>
      <w:bookmarkEnd w:id="1572"/>
      <w:bookmarkEnd w:id="1573"/>
      <w:bookmarkEnd w:id="1574"/>
      <w:bookmarkEnd w:id="1575"/>
    </w:p>
    <w:p w14:paraId="6BFF82A8" w14:textId="0823D9FF" w:rsidR="00FB01CE" w:rsidRPr="00033A3F" w:rsidRDefault="00FB01CE" w:rsidP="00FB01CE">
      <w:pPr>
        <w:pStyle w:val="Podnadpis"/>
        <w:numPr>
          <w:ilvl w:val="0"/>
          <w:numId w:val="0"/>
        </w:numPr>
        <w:rPr>
          <w:color w:val="000000" w:themeColor="text1"/>
        </w:rPr>
      </w:pPr>
      <w:bookmarkStart w:id="1576" w:name="_Toc515871395"/>
      <w:bookmarkStart w:id="1577" w:name="_Toc11135126"/>
      <w:bookmarkStart w:id="1578" w:name="_Toc43841445"/>
      <w:bookmarkStart w:id="1579" w:name="_Toc75952247"/>
      <w:bookmarkStart w:id="1580" w:name="_Toc106106706"/>
      <w:bookmarkStart w:id="1581" w:name="_Toc109802030"/>
      <w:bookmarkStart w:id="1582" w:name="_Toc144104180"/>
      <w:bookmarkStart w:id="1583" w:name="_Toc169250993"/>
      <w:bookmarkStart w:id="1584" w:name="_Toc174080679"/>
      <w:bookmarkStart w:id="1585" w:name="_Toc193530833"/>
      <w:bookmarkStart w:id="1586" w:name="_Toc193634107"/>
      <w:bookmarkStart w:id="1587" w:name="_Toc20303290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78</w:t>
      </w:r>
      <w:r w:rsidRPr="00033A3F">
        <w:rPr>
          <w:color w:val="000000" w:themeColor="text1"/>
        </w:rPr>
        <w:fldChar w:fldCharType="end"/>
      </w:r>
      <w:r w:rsidRPr="00033A3F">
        <w:rPr>
          <w:color w:val="000000" w:themeColor="text1"/>
        </w:rPr>
        <w:t>: KS – vyřizování odvolacích trestních věcí v letech 2014–</w:t>
      </w:r>
      <w:bookmarkEnd w:id="1576"/>
      <w:bookmarkEnd w:id="1577"/>
      <w:bookmarkEnd w:id="1578"/>
      <w:bookmarkEnd w:id="1579"/>
      <w:bookmarkEnd w:id="1580"/>
      <w:bookmarkEnd w:id="1581"/>
      <w:bookmarkEnd w:id="1582"/>
      <w:bookmarkEnd w:id="1583"/>
      <w:bookmarkEnd w:id="1584"/>
      <w:r w:rsidR="00936B01" w:rsidRPr="00033A3F">
        <w:rPr>
          <w:color w:val="000000" w:themeColor="text1"/>
        </w:rPr>
        <w:t>2024</w:t>
      </w:r>
      <w:bookmarkEnd w:id="1585"/>
      <w:bookmarkEnd w:id="1586"/>
      <w:bookmarkEnd w:id="1587"/>
    </w:p>
    <w:p w14:paraId="4EB40A64" w14:textId="11E405F1" w:rsidR="00FB01CE" w:rsidRPr="00033A3F" w:rsidRDefault="006733D4" w:rsidP="00FB01CE">
      <w:pPr>
        <w:rPr>
          <w:color w:val="000000" w:themeColor="text1"/>
        </w:rPr>
      </w:pPr>
      <w:r w:rsidRPr="00033A3F">
        <w:rPr>
          <w:noProof/>
          <w:color w:val="000000" w:themeColor="text1"/>
          <w:lang w:eastAsia="cs-CZ"/>
        </w:rPr>
        <w:drawing>
          <wp:inline distT="0" distB="0" distL="0" distR="0" wp14:anchorId="317A82B9" wp14:editId="4C3EFAAB">
            <wp:extent cx="5029200" cy="3657600"/>
            <wp:effectExtent l="0" t="0" r="0" b="0"/>
            <wp:docPr id="1768293781"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0772F3A" w14:textId="5FB4B6D2" w:rsidR="006733D4" w:rsidRPr="00033A3F" w:rsidRDefault="006733D4" w:rsidP="006733D4">
      <w:pPr>
        <w:pStyle w:val="OdstavecASR"/>
        <w:rPr>
          <w:color w:val="000000" w:themeColor="text1"/>
        </w:rPr>
      </w:pPr>
      <w:r w:rsidRPr="00033A3F">
        <w:rPr>
          <w:color w:val="000000" w:themeColor="text1"/>
        </w:rPr>
        <w:t xml:space="preserve">Zajímavé je, že zatímco počet vyřízených trestních věcí u okresních soudů v letech 2013 až 2016 klesal, nápad v druhostupňové trestní agendě u krajských soudů byl stabilní. Nápad v této agendě neklesal, protože snížení nápadu u okresních soudů se týkalo především jednodušších trestních věcí, které většinou končily u okresních soudů trestním příkazem; </w:t>
      </w:r>
      <w:r w:rsidR="002E43DB" w:rsidRPr="002E43DB">
        <w:rPr>
          <w:color w:val="000000" w:themeColor="text1"/>
        </w:rPr>
        <w:t>ten nemůže být napaden odvoláním ke krajskému soudu, ale odporem, v jehož důsledku se trestní příkaz ruší a soud k rozhodnutí věci musí nařídit hlavní líčení</w:t>
      </w:r>
      <w:r w:rsidRPr="00033A3F">
        <w:rPr>
          <w:color w:val="000000" w:themeColor="text1"/>
        </w:rPr>
        <w:t>. V letech 2017 až 2019 nicméně už i v odvolací agendě vidíme klesající trend jak v počtu příchozích, tak i v počtu vyřízených věcí. V roce 2020 pokles akceleroval, což lze pravděpodobně opět přisoudit pandemii COVID</w:t>
      </w:r>
      <w:r w:rsidRPr="00033A3F">
        <w:rPr>
          <w:color w:val="000000" w:themeColor="text1"/>
        </w:rPr>
        <w:noBreakHyphen/>
        <w:t>19; zároveň totiž po několikaletém poklesu vzrostl (byť nijak závažně) i počet nevyřízených věcí. V letech 2021 až 2024 pomalý, leč setrvalý pokles ve všech sledovaných ukazatelích pokračoval. Pro srovnání zmiňujeme, že nejvyšší počet příchozích</w:t>
      </w:r>
      <w:r w:rsidR="001A5297" w:rsidRPr="00033A3F">
        <w:rPr>
          <w:color w:val="000000" w:themeColor="text1"/>
        </w:rPr>
        <w:t xml:space="preserve"> věcí</w:t>
      </w:r>
      <w:r w:rsidRPr="00033A3F">
        <w:rPr>
          <w:color w:val="000000" w:themeColor="text1"/>
        </w:rPr>
        <w:t xml:space="preserve"> v posledních 16 letech byl v roce 2010, kdy dosáhl hodnoty 30 154.</w:t>
      </w:r>
    </w:p>
    <w:p w14:paraId="675BA121" w14:textId="3018FACA" w:rsidR="006733D4" w:rsidRPr="00033A3F" w:rsidRDefault="006733D4" w:rsidP="006733D4">
      <w:pPr>
        <w:pStyle w:val="OdstavecASR"/>
        <w:rPr>
          <w:color w:val="000000" w:themeColor="text1"/>
        </w:rPr>
      </w:pPr>
      <w:r w:rsidRPr="00033A3F">
        <w:rPr>
          <w:color w:val="000000" w:themeColor="text1"/>
        </w:rPr>
        <w:t xml:space="preserve">U všech soudů se míra vyřizování </w:t>
      </w:r>
      <w:r w:rsidR="001A5297" w:rsidRPr="00033A3F">
        <w:rPr>
          <w:color w:val="000000" w:themeColor="text1"/>
        </w:rPr>
        <w:t xml:space="preserve">obvykle </w:t>
      </w:r>
      <w:r w:rsidRPr="00033A3F">
        <w:rPr>
          <w:color w:val="000000" w:themeColor="text1"/>
        </w:rPr>
        <w:t>pohybuje do 1,5 procentního bodu kolem hodnoty 100</w:t>
      </w:r>
      <w:r w:rsidR="009A7970" w:rsidRPr="00033A3F">
        <w:rPr>
          <w:color w:val="000000" w:themeColor="text1"/>
        </w:rPr>
        <w:t>.</w:t>
      </w:r>
      <w:r w:rsidRPr="00033A3F">
        <w:rPr>
          <w:color w:val="000000" w:themeColor="text1"/>
        </w:rPr>
        <w:t xml:space="preserve"> Vzhledem k celkově nízkému počtu nevyřízených věcí se již míra vyřizování odpovídající 101 % projeví poklesem počtu nevyřízených věcí o desítky procent.</w:t>
      </w:r>
    </w:p>
    <w:p w14:paraId="11600F2F" w14:textId="77777777" w:rsidR="006733D4" w:rsidRPr="00033A3F" w:rsidRDefault="006733D4">
      <w:pPr>
        <w:spacing w:after="160" w:line="259" w:lineRule="auto"/>
        <w:jc w:val="left"/>
        <w:rPr>
          <w:rFonts w:eastAsia="Times New Roman"/>
          <w:b/>
          <w:iCs/>
          <w:color w:val="000000" w:themeColor="text1"/>
          <w:spacing w:val="15"/>
          <w:szCs w:val="24"/>
        </w:rPr>
      </w:pPr>
      <w:bookmarkStart w:id="1588" w:name="_Toc144104303"/>
      <w:bookmarkStart w:id="1589" w:name="_Toc169251118"/>
      <w:bookmarkStart w:id="1590" w:name="_Toc174080804"/>
      <w:r w:rsidRPr="00033A3F">
        <w:rPr>
          <w:color w:val="000000" w:themeColor="text1"/>
        </w:rPr>
        <w:br w:type="page"/>
      </w:r>
    </w:p>
    <w:p w14:paraId="65E749F1" w14:textId="6A57AA8E" w:rsidR="006733D4" w:rsidRPr="00033A3F" w:rsidRDefault="006733D4" w:rsidP="006733D4">
      <w:pPr>
        <w:pStyle w:val="Podnadpis"/>
        <w:rPr>
          <w:color w:val="000000" w:themeColor="text1"/>
        </w:rPr>
      </w:pPr>
      <w:bookmarkStart w:id="1591" w:name="_Toc193530930"/>
      <w:bookmarkStart w:id="1592" w:name="_Toc194045627"/>
      <w:bookmarkStart w:id="1593" w:name="_Toc199495037"/>
      <w:bookmarkStart w:id="1594" w:name="_Toc203033098"/>
      <w:bookmarkStart w:id="1595" w:name="_Toc203033176"/>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56</w:t>
      </w:r>
      <w:r w:rsidRPr="00033A3F">
        <w:rPr>
          <w:noProof/>
          <w:color w:val="000000" w:themeColor="text1"/>
        </w:rPr>
        <w:fldChar w:fldCharType="end"/>
      </w:r>
      <w:r w:rsidRPr="00033A3F">
        <w:rPr>
          <w:color w:val="000000" w:themeColor="text1"/>
        </w:rPr>
        <w:t>: KS – vyřizování odvolacích trestních věcí dle soudů</w:t>
      </w:r>
      <w:bookmarkEnd w:id="1588"/>
      <w:r w:rsidRPr="00033A3F">
        <w:rPr>
          <w:color w:val="000000" w:themeColor="text1"/>
        </w:rPr>
        <w:t>, 202</w:t>
      </w:r>
      <w:bookmarkEnd w:id="1589"/>
      <w:bookmarkEnd w:id="1590"/>
      <w:r w:rsidRPr="00033A3F">
        <w:rPr>
          <w:color w:val="000000" w:themeColor="text1"/>
        </w:rPr>
        <w:t>4</w:t>
      </w:r>
      <w:bookmarkEnd w:id="1591"/>
      <w:bookmarkEnd w:id="1592"/>
      <w:bookmarkEnd w:id="1593"/>
      <w:bookmarkEnd w:id="1594"/>
      <w:bookmarkEnd w:id="1595"/>
    </w:p>
    <w:tbl>
      <w:tblPr>
        <w:tblW w:w="9100" w:type="dxa"/>
        <w:tblLayout w:type="fixed"/>
        <w:tblCellMar>
          <w:left w:w="70" w:type="dxa"/>
          <w:right w:w="70" w:type="dxa"/>
        </w:tblCellMar>
        <w:tblLook w:val="04A0" w:firstRow="1" w:lastRow="0" w:firstColumn="1" w:lastColumn="0" w:noHBand="0" w:noVBand="1"/>
      </w:tblPr>
      <w:tblGrid>
        <w:gridCol w:w="1985"/>
        <w:gridCol w:w="1134"/>
        <w:gridCol w:w="813"/>
        <w:gridCol w:w="1171"/>
        <w:gridCol w:w="777"/>
        <w:gridCol w:w="1066"/>
        <w:gridCol w:w="882"/>
        <w:gridCol w:w="1272"/>
      </w:tblGrid>
      <w:tr w:rsidR="00BF0CC3" w:rsidRPr="00033A3F" w14:paraId="11C71675" w14:textId="77777777" w:rsidTr="006E1F5B">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p w14:paraId="0B1B40B0"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843" w:type="dxa"/>
            <w:gridSpan w:val="6"/>
            <w:tcBorders>
              <w:top w:val="double" w:sz="6" w:space="0" w:color="auto"/>
              <w:left w:val="nil"/>
              <w:bottom w:val="nil"/>
              <w:right w:val="single" w:sz="4" w:space="0" w:color="000000"/>
            </w:tcBorders>
            <w:shd w:val="clear" w:color="auto" w:fill="auto"/>
            <w:noWrap/>
            <w:vAlign w:val="center"/>
            <w:hideMark/>
          </w:tcPr>
          <w:p w14:paraId="2F8D4627"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72" w:type="dxa"/>
            <w:vMerge w:val="restart"/>
            <w:tcBorders>
              <w:top w:val="double" w:sz="6" w:space="0" w:color="auto"/>
              <w:left w:val="nil"/>
              <w:bottom w:val="double" w:sz="6" w:space="0" w:color="000000"/>
              <w:right w:val="nil"/>
            </w:tcBorders>
            <w:shd w:val="clear" w:color="auto" w:fill="auto"/>
            <w:vAlign w:val="center"/>
            <w:hideMark/>
          </w:tcPr>
          <w:p w14:paraId="59C91212"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BF0CC3" w:rsidRPr="00033A3F" w14:paraId="11ECC7E0" w14:textId="77777777" w:rsidTr="006E1F5B">
        <w:trPr>
          <w:trHeight w:val="330"/>
        </w:trPr>
        <w:tc>
          <w:tcPr>
            <w:tcW w:w="1985" w:type="dxa"/>
            <w:vMerge/>
            <w:tcBorders>
              <w:top w:val="double" w:sz="6" w:space="0" w:color="auto"/>
              <w:left w:val="nil"/>
              <w:bottom w:val="double" w:sz="6" w:space="0" w:color="000000"/>
              <w:right w:val="nil"/>
            </w:tcBorders>
            <w:vAlign w:val="center"/>
            <w:hideMark/>
          </w:tcPr>
          <w:p w14:paraId="1DB538C9" w14:textId="77777777" w:rsidR="006733D4" w:rsidRPr="00033A3F" w:rsidRDefault="006733D4" w:rsidP="006733D4">
            <w:pPr>
              <w:spacing w:line="240" w:lineRule="auto"/>
              <w:jc w:val="left"/>
              <w:rPr>
                <w:rFonts w:eastAsia="Times New Roman"/>
                <w:b/>
                <w:bCs/>
                <w:color w:val="000000" w:themeColor="text1"/>
                <w:szCs w:val="24"/>
                <w:lang w:eastAsia="cs-CZ"/>
              </w:rPr>
            </w:pPr>
          </w:p>
        </w:tc>
        <w:tc>
          <w:tcPr>
            <w:tcW w:w="1947" w:type="dxa"/>
            <w:gridSpan w:val="2"/>
            <w:tcBorders>
              <w:top w:val="nil"/>
              <w:left w:val="nil"/>
              <w:bottom w:val="double" w:sz="6" w:space="0" w:color="auto"/>
              <w:right w:val="nil"/>
            </w:tcBorders>
            <w:shd w:val="clear" w:color="auto" w:fill="auto"/>
            <w:noWrap/>
            <w:vAlign w:val="center"/>
            <w:hideMark/>
          </w:tcPr>
          <w:p w14:paraId="4C5025ED"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4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9CBC3B3"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48" w:type="dxa"/>
            <w:gridSpan w:val="2"/>
            <w:tcBorders>
              <w:top w:val="nil"/>
              <w:left w:val="nil"/>
              <w:bottom w:val="double" w:sz="6" w:space="0" w:color="auto"/>
              <w:right w:val="single" w:sz="4" w:space="0" w:color="000000"/>
            </w:tcBorders>
            <w:shd w:val="clear" w:color="auto" w:fill="auto"/>
            <w:noWrap/>
            <w:vAlign w:val="center"/>
            <w:hideMark/>
          </w:tcPr>
          <w:p w14:paraId="591F7242"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72" w:type="dxa"/>
            <w:vMerge/>
            <w:tcBorders>
              <w:top w:val="double" w:sz="6" w:space="0" w:color="auto"/>
              <w:left w:val="nil"/>
              <w:bottom w:val="double" w:sz="6" w:space="0" w:color="000000"/>
              <w:right w:val="nil"/>
            </w:tcBorders>
            <w:vAlign w:val="center"/>
            <w:hideMark/>
          </w:tcPr>
          <w:p w14:paraId="266F2BB7" w14:textId="77777777" w:rsidR="006733D4" w:rsidRPr="00033A3F" w:rsidRDefault="006733D4" w:rsidP="006733D4">
            <w:pPr>
              <w:spacing w:line="240" w:lineRule="auto"/>
              <w:jc w:val="left"/>
              <w:rPr>
                <w:rFonts w:eastAsia="Times New Roman"/>
                <w:b/>
                <w:bCs/>
                <w:color w:val="000000" w:themeColor="text1"/>
                <w:szCs w:val="24"/>
                <w:lang w:eastAsia="cs-CZ"/>
              </w:rPr>
            </w:pPr>
          </w:p>
        </w:tc>
      </w:tr>
      <w:tr w:rsidR="00BF0CC3" w:rsidRPr="00033A3F" w14:paraId="248EF6D3" w14:textId="77777777" w:rsidTr="006E1F5B">
        <w:trPr>
          <w:trHeight w:val="330"/>
        </w:trPr>
        <w:tc>
          <w:tcPr>
            <w:tcW w:w="1985" w:type="dxa"/>
            <w:tcBorders>
              <w:top w:val="single" w:sz="4" w:space="0" w:color="auto"/>
              <w:left w:val="nil"/>
              <w:bottom w:val="single" w:sz="4" w:space="0" w:color="auto"/>
              <w:right w:val="nil"/>
            </w:tcBorders>
            <w:shd w:val="clear" w:color="auto" w:fill="auto"/>
            <w:noWrap/>
            <w:vAlign w:val="bottom"/>
            <w:hideMark/>
          </w:tcPr>
          <w:p w14:paraId="43BC9F49"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134" w:type="dxa"/>
            <w:tcBorders>
              <w:top w:val="single" w:sz="4" w:space="0" w:color="auto"/>
              <w:left w:val="nil"/>
              <w:bottom w:val="single" w:sz="4" w:space="0" w:color="auto"/>
              <w:right w:val="nil"/>
            </w:tcBorders>
            <w:shd w:val="clear" w:color="auto" w:fill="auto"/>
            <w:noWrap/>
            <w:vAlign w:val="bottom"/>
            <w:hideMark/>
          </w:tcPr>
          <w:p w14:paraId="3637953A"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3 327</w:t>
            </w:r>
          </w:p>
        </w:tc>
        <w:tc>
          <w:tcPr>
            <w:tcW w:w="813" w:type="dxa"/>
            <w:tcBorders>
              <w:top w:val="single" w:sz="4" w:space="0" w:color="auto"/>
              <w:left w:val="nil"/>
              <w:bottom w:val="single" w:sz="4" w:space="0" w:color="auto"/>
              <w:right w:val="nil"/>
            </w:tcBorders>
            <w:shd w:val="clear" w:color="auto" w:fill="auto"/>
            <w:noWrap/>
            <w:vAlign w:val="center"/>
            <w:hideMark/>
          </w:tcPr>
          <w:p w14:paraId="0D64A685" w14:textId="73C4AC97"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71" w:type="dxa"/>
            <w:tcBorders>
              <w:top w:val="single" w:sz="4" w:space="0" w:color="auto"/>
              <w:left w:val="single" w:sz="4" w:space="0" w:color="auto"/>
              <w:bottom w:val="single" w:sz="4" w:space="0" w:color="auto"/>
              <w:right w:val="nil"/>
            </w:tcBorders>
            <w:shd w:val="clear" w:color="auto" w:fill="auto"/>
            <w:noWrap/>
            <w:vAlign w:val="bottom"/>
            <w:hideMark/>
          </w:tcPr>
          <w:p w14:paraId="6954E4A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3 306</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78D3C3AF" w14:textId="5B1E05FB"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66" w:type="dxa"/>
            <w:tcBorders>
              <w:top w:val="single" w:sz="4" w:space="0" w:color="auto"/>
              <w:left w:val="nil"/>
              <w:bottom w:val="single" w:sz="4" w:space="0" w:color="auto"/>
              <w:right w:val="nil"/>
            </w:tcBorders>
            <w:shd w:val="clear" w:color="auto" w:fill="auto"/>
            <w:noWrap/>
            <w:vAlign w:val="bottom"/>
            <w:hideMark/>
          </w:tcPr>
          <w:p w14:paraId="6F07108D"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172</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7D12D459" w14:textId="29D84208"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272" w:type="dxa"/>
            <w:tcBorders>
              <w:top w:val="nil"/>
              <w:left w:val="nil"/>
              <w:bottom w:val="single" w:sz="4" w:space="0" w:color="auto"/>
              <w:right w:val="nil"/>
            </w:tcBorders>
            <w:shd w:val="clear" w:color="auto" w:fill="auto"/>
            <w:noWrap/>
            <w:vAlign w:val="center"/>
            <w:hideMark/>
          </w:tcPr>
          <w:p w14:paraId="56696686" w14:textId="480F9CDE"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99,4 %</w:t>
            </w:r>
          </w:p>
        </w:tc>
      </w:tr>
      <w:tr w:rsidR="00BF0CC3" w:rsidRPr="00033A3F" w14:paraId="2314E57D"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1B9FD5D2"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134" w:type="dxa"/>
            <w:tcBorders>
              <w:top w:val="nil"/>
              <w:left w:val="nil"/>
              <w:bottom w:val="single" w:sz="4" w:space="0" w:color="auto"/>
              <w:right w:val="nil"/>
            </w:tcBorders>
            <w:shd w:val="clear" w:color="auto" w:fill="auto"/>
            <w:noWrap/>
            <w:vAlign w:val="bottom"/>
            <w:hideMark/>
          </w:tcPr>
          <w:p w14:paraId="5DDA929C" w14:textId="624903F3"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2 194</w:t>
            </w:r>
          </w:p>
        </w:tc>
        <w:tc>
          <w:tcPr>
            <w:tcW w:w="813" w:type="dxa"/>
            <w:tcBorders>
              <w:top w:val="nil"/>
              <w:left w:val="nil"/>
              <w:bottom w:val="single" w:sz="4" w:space="0" w:color="auto"/>
              <w:right w:val="nil"/>
            </w:tcBorders>
            <w:shd w:val="clear" w:color="auto" w:fill="auto"/>
            <w:noWrap/>
            <w:vAlign w:val="center"/>
            <w:hideMark/>
          </w:tcPr>
          <w:p w14:paraId="253742CA" w14:textId="6869EA32"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71" w:type="dxa"/>
            <w:tcBorders>
              <w:top w:val="nil"/>
              <w:left w:val="single" w:sz="4" w:space="0" w:color="auto"/>
              <w:bottom w:val="single" w:sz="4" w:space="0" w:color="auto"/>
              <w:right w:val="nil"/>
            </w:tcBorders>
            <w:shd w:val="clear" w:color="auto" w:fill="auto"/>
            <w:noWrap/>
            <w:vAlign w:val="bottom"/>
            <w:hideMark/>
          </w:tcPr>
          <w:p w14:paraId="540A0A3C" w14:textId="2C637CCE"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2 187</w:t>
            </w:r>
          </w:p>
        </w:tc>
        <w:tc>
          <w:tcPr>
            <w:tcW w:w="777" w:type="dxa"/>
            <w:tcBorders>
              <w:top w:val="nil"/>
              <w:left w:val="nil"/>
              <w:bottom w:val="single" w:sz="4" w:space="0" w:color="auto"/>
              <w:right w:val="single" w:sz="4" w:space="0" w:color="auto"/>
            </w:tcBorders>
            <w:shd w:val="clear" w:color="auto" w:fill="auto"/>
            <w:noWrap/>
            <w:vAlign w:val="center"/>
            <w:hideMark/>
          </w:tcPr>
          <w:p w14:paraId="20378B3F" w14:textId="424A7055"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66" w:type="dxa"/>
            <w:tcBorders>
              <w:top w:val="nil"/>
              <w:left w:val="nil"/>
              <w:bottom w:val="single" w:sz="4" w:space="0" w:color="auto"/>
              <w:right w:val="nil"/>
            </w:tcBorders>
            <w:shd w:val="clear" w:color="auto" w:fill="auto"/>
            <w:noWrap/>
            <w:vAlign w:val="bottom"/>
            <w:hideMark/>
          </w:tcPr>
          <w:p w14:paraId="0DE5B58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w:t>
            </w:r>
          </w:p>
        </w:tc>
        <w:tc>
          <w:tcPr>
            <w:tcW w:w="882" w:type="dxa"/>
            <w:tcBorders>
              <w:top w:val="nil"/>
              <w:left w:val="nil"/>
              <w:bottom w:val="single" w:sz="4" w:space="0" w:color="auto"/>
              <w:right w:val="single" w:sz="4" w:space="0" w:color="auto"/>
            </w:tcBorders>
            <w:shd w:val="clear" w:color="auto" w:fill="auto"/>
            <w:noWrap/>
            <w:vAlign w:val="center"/>
            <w:hideMark/>
          </w:tcPr>
          <w:p w14:paraId="40709929" w14:textId="3CC4437F"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c>
          <w:tcPr>
            <w:tcW w:w="1272" w:type="dxa"/>
            <w:tcBorders>
              <w:top w:val="nil"/>
              <w:left w:val="nil"/>
              <w:bottom w:val="single" w:sz="4" w:space="0" w:color="auto"/>
              <w:right w:val="nil"/>
            </w:tcBorders>
            <w:shd w:val="clear" w:color="auto" w:fill="auto"/>
            <w:noWrap/>
            <w:vAlign w:val="center"/>
            <w:hideMark/>
          </w:tcPr>
          <w:p w14:paraId="3AB0936F" w14:textId="52296A6D"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99,7 %</w:t>
            </w:r>
          </w:p>
        </w:tc>
      </w:tr>
      <w:tr w:rsidR="00BF0CC3" w:rsidRPr="00033A3F" w14:paraId="59250D32"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73B4AFEB"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134" w:type="dxa"/>
            <w:tcBorders>
              <w:top w:val="nil"/>
              <w:left w:val="nil"/>
              <w:bottom w:val="single" w:sz="4" w:space="0" w:color="auto"/>
              <w:right w:val="nil"/>
            </w:tcBorders>
            <w:shd w:val="clear" w:color="auto" w:fill="auto"/>
            <w:noWrap/>
            <w:vAlign w:val="bottom"/>
            <w:hideMark/>
          </w:tcPr>
          <w:p w14:paraId="75CDBD75"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832</w:t>
            </w:r>
          </w:p>
        </w:tc>
        <w:tc>
          <w:tcPr>
            <w:tcW w:w="813" w:type="dxa"/>
            <w:tcBorders>
              <w:top w:val="nil"/>
              <w:left w:val="nil"/>
              <w:bottom w:val="single" w:sz="4" w:space="0" w:color="auto"/>
              <w:right w:val="nil"/>
            </w:tcBorders>
            <w:shd w:val="clear" w:color="auto" w:fill="auto"/>
            <w:noWrap/>
            <w:vAlign w:val="center"/>
            <w:hideMark/>
          </w:tcPr>
          <w:p w14:paraId="70EA31B4" w14:textId="505E3813"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71" w:type="dxa"/>
            <w:tcBorders>
              <w:top w:val="nil"/>
              <w:left w:val="single" w:sz="4" w:space="0" w:color="auto"/>
              <w:bottom w:val="single" w:sz="4" w:space="0" w:color="auto"/>
              <w:right w:val="nil"/>
            </w:tcBorders>
            <w:shd w:val="clear" w:color="auto" w:fill="auto"/>
            <w:noWrap/>
            <w:vAlign w:val="bottom"/>
            <w:hideMark/>
          </w:tcPr>
          <w:p w14:paraId="6381BE8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845</w:t>
            </w:r>
          </w:p>
        </w:tc>
        <w:tc>
          <w:tcPr>
            <w:tcW w:w="777" w:type="dxa"/>
            <w:tcBorders>
              <w:top w:val="nil"/>
              <w:left w:val="nil"/>
              <w:bottom w:val="single" w:sz="4" w:space="0" w:color="auto"/>
              <w:right w:val="single" w:sz="4" w:space="0" w:color="auto"/>
            </w:tcBorders>
            <w:shd w:val="clear" w:color="auto" w:fill="auto"/>
            <w:noWrap/>
            <w:vAlign w:val="center"/>
            <w:hideMark/>
          </w:tcPr>
          <w:p w14:paraId="037614F0" w14:textId="499A220B"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66" w:type="dxa"/>
            <w:tcBorders>
              <w:top w:val="nil"/>
              <w:left w:val="nil"/>
              <w:bottom w:val="single" w:sz="4" w:space="0" w:color="auto"/>
              <w:right w:val="nil"/>
            </w:tcBorders>
            <w:shd w:val="clear" w:color="auto" w:fill="auto"/>
            <w:noWrap/>
            <w:vAlign w:val="bottom"/>
            <w:hideMark/>
          </w:tcPr>
          <w:p w14:paraId="640DE5E5"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882" w:type="dxa"/>
            <w:tcBorders>
              <w:top w:val="nil"/>
              <w:left w:val="nil"/>
              <w:bottom w:val="single" w:sz="4" w:space="0" w:color="auto"/>
              <w:right w:val="single" w:sz="4" w:space="0" w:color="auto"/>
            </w:tcBorders>
            <w:shd w:val="clear" w:color="auto" w:fill="auto"/>
            <w:noWrap/>
            <w:vAlign w:val="center"/>
            <w:hideMark/>
          </w:tcPr>
          <w:p w14:paraId="04397091" w14:textId="3918E47A"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272" w:type="dxa"/>
            <w:tcBorders>
              <w:top w:val="nil"/>
              <w:left w:val="nil"/>
              <w:bottom w:val="single" w:sz="4" w:space="0" w:color="auto"/>
              <w:right w:val="nil"/>
            </w:tcBorders>
            <w:shd w:val="clear" w:color="auto" w:fill="auto"/>
            <w:noWrap/>
            <w:vAlign w:val="center"/>
            <w:hideMark/>
          </w:tcPr>
          <w:p w14:paraId="2AA00D25" w14:textId="762A1F5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101,6 %</w:t>
            </w:r>
          </w:p>
        </w:tc>
      </w:tr>
      <w:tr w:rsidR="00BF0CC3" w:rsidRPr="00033A3F" w14:paraId="32305586"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7D781F50"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134" w:type="dxa"/>
            <w:tcBorders>
              <w:top w:val="nil"/>
              <w:left w:val="nil"/>
              <w:bottom w:val="single" w:sz="4" w:space="0" w:color="auto"/>
              <w:right w:val="nil"/>
            </w:tcBorders>
            <w:shd w:val="clear" w:color="auto" w:fill="auto"/>
            <w:noWrap/>
            <w:vAlign w:val="bottom"/>
            <w:hideMark/>
          </w:tcPr>
          <w:p w14:paraId="04562C56" w14:textId="26297186"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1 819</w:t>
            </w:r>
          </w:p>
        </w:tc>
        <w:tc>
          <w:tcPr>
            <w:tcW w:w="813" w:type="dxa"/>
            <w:tcBorders>
              <w:top w:val="nil"/>
              <w:left w:val="nil"/>
              <w:bottom w:val="single" w:sz="4" w:space="0" w:color="auto"/>
              <w:right w:val="nil"/>
            </w:tcBorders>
            <w:shd w:val="clear" w:color="auto" w:fill="auto"/>
            <w:noWrap/>
            <w:vAlign w:val="center"/>
            <w:hideMark/>
          </w:tcPr>
          <w:p w14:paraId="78EFA4D9" w14:textId="0B01E60E"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71" w:type="dxa"/>
            <w:tcBorders>
              <w:top w:val="nil"/>
              <w:left w:val="single" w:sz="4" w:space="0" w:color="auto"/>
              <w:bottom w:val="single" w:sz="4" w:space="0" w:color="auto"/>
              <w:right w:val="nil"/>
            </w:tcBorders>
            <w:shd w:val="clear" w:color="auto" w:fill="auto"/>
            <w:noWrap/>
            <w:vAlign w:val="bottom"/>
            <w:hideMark/>
          </w:tcPr>
          <w:p w14:paraId="1C940F39" w14:textId="7FB7BC6E"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1 791</w:t>
            </w:r>
          </w:p>
        </w:tc>
        <w:tc>
          <w:tcPr>
            <w:tcW w:w="777" w:type="dxa"/>
            <w:tcBorders>
              <w:top w:val="nil"/>
              <w:left w:val="nil"/>
              <w:bottom w:val="single" w:sz="4" w:space="0" w:color="auto"/>
              <w:right w:val="single" w:sz="4" w:space="0" w:color="auto"/>
            </w:tcBorders>
            <w:shd w:val="clear" w:color="auto" w:fill="auto"/>
            <w:noWrap/>
            <w:vAlign w:val="center"/>
            <w:hideMark/>
          </w:tcPr>
          <w:p w14:paraId="7718B0E1" w14:textId="62E3505F"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66" w:type="dxa"/>
            <w:tcBorders>
              <w:top w:val="nil"/>
              <w:left w:val="nil"/>
              <w:bottom w:val="single" w:sz="4" w:space="0" w:color="auto"/>
              <w:right w:val="nil"/>
            </w:tcBorders>
            <w:shd w:val="clear" w:color="auto" w:fill="auto"/>
            <w:noWrap/>
            <w:vAlign w:val="bottom"/>
            <w:hideMark/>
          </w:tcPr>
          <w:p w14:paraId="0946AA44"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137</w:t>
            </w:r>
          </w:p>
        </w:tc>
        <w:tc>
          <w:tcPr>
            <w:tcW w:w="882" w:type="dxa"/>
            <w:tcBorders>
              <w:top w:val="nil"/>
              <w:left w:val="nil"/>
              <w:bottom w:val="single" w:sz="4" w:space="0" w:color="auto"/>
              <w:right w:val="single" w:sz="4" w:space="0" w:color="auto"/>
            </w:tcBorders>
            <w:shd w:val="clear" w:color="auto" w:fill="auto"/>
            <w:noWrap/>
            <w:vAlign w:val="center"/>
            <w:hideMark/>
          </w:tcPr>
          <w:p w14:paraId="76FEB65C" w14:textId="458F2993"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c>
          <w:tcPr>
            <w:tcW w:w="1272" w:type="dxa"/>
            <w:tcBorders>
              <w:top w:val="nil"/>
              <w:left w:val="nil"/>
              <w:bottom w:val="single" w:sz="4" w:space="0" w:color="auto"/>
              <w:right w:val="nil"/>
            </w:tcBorders>
            <w:shd w:val="clear" w:color="auto" w:fill="auto"/>
            <w:noWrap/>
            <w:vAlign w:val="center"/>
            <w:hideMark/>
          </w:tcPr>
          <w:p w14:paraId="24A6E873" w14:textId="4E0F9F6F"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98,5 %</w:t>
            </w:r>
          </w:p>
        </w:tc>
      </w:tr>
      <w:tr w:rsidR="00BF0CC3" w:rsidRPr="00033A3F" w14:paraId="0383D3C3"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034DD60B"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134" w:type="dxa"/>
            <w:tcBorders>
              <w:top w:val="nil"/>
              <w:left w:val="nil"/>
              <w:bottom w:val="single" w:sz="4" w:space="0" w:color="auto"/>
              <w:right w:val="nil"/>
            </w:tcBorders>
            <w:shd w:val="clear" w:color="auto" w:fill="auto"/>
            <w:noWrap/>
            <w:vAlign w:val="bottom"/>
            <w:hideMark/>
          </w:tcPr>
          <w:p w14:paraId="5C1907BC" w14:textId="1EF4D8E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2 700</w:t>
            </w:r>
          </w:p>
        </w:tc>
        <w:tc>
          <w:tcPr>
            <w:tcW w:w="813" w:type="dxa"/>
            <w:tcBorders>
              <w:top w:val="nil"/>
              <w:left w:val="nil"/>
              <w:bottom w:val="single" w:sz="4" w:space="0" w:color="auto"/>
              <w:right w:val="nil"/>
            </w:tcBorders>
            <w:shd w:val="clear" w:color="auto" w:fill="auto"/>
            <w:noWrap/>
            <w:vAlign w:val="center"/>
            <w:hideMark/>
          </w:tcPr>
          <w:p w14:paraId="474AA9CA" w14:textId="203AB6CF"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71" w:type="dxa"/>
            <w:tcBorders>
              <w:top w:val="nil"/>
              <w:left w:val="single" w:sz="4" w:space="0" w:color="auto"/>
              <w:bottom w:val="single" w:sz="4" w:space="0" w:color="auto"/>
              <w:right w:val="nil"/>
            </w:tcBorders>
            <w:shd w:val="clear" w:color="auto" w:fill="auto"/>
            <w:noWrap/>
            <w:vAlign w:val="bottom"/>
            <w:hideMark/>
          </w:tcPr>
          <w:p w14:paraId="166089D8" w14:textId="46C4C0BF"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2 674</w:t>
            </w:r>
          </w:p>
        </w:tc>
        <w:tc>
          <w:tcPr>
            <w:tcW w:w="777" w:type="dxa"/>
            <w:tcBorders>
              <w:top w:val="nil"/>
              <w:left w:val="nil"/>
              <w:bottom w:val="single" w:sz="4" w:space="0" w:color="auto"/>
              <w:right w:val="single" w:sz="4" w:space="0" w:color="auto"/>
            </w:tcBorders>
            <w:shd w:val="clear" w:color="auto" w:fill="auto"/>
            <w:noWrap/>
            <w:vAlign w:val="center"/>
            <w:hideMark/>
          </w:tcPr>
          <w:p w14:paraId="1094E6AF" w14:textId="0783E4D7"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66" w:type="dxa"/>
            <w:tcBorders>
              <w:top w:val="nil"/>
              <w:left w:val="nil"/>
              <w:bottom w:val="single" w:sz="4" w:space="0" w:color="auto"/>
              <w:right w:val="nil"/>
            </w:tcBorders>
            <w:shd w:val="clear" w:color="auto" w:fill="auto"/>
            <w:noWrap/>
            <w:vAlign w:val="bottom"/>
            <w:hideMark/>
          </w:tcPr>
          <w:p w14:paraId="3B62786E"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308</w:t>
            </w:r>
          </w:p>
        </w:tc>
        <w:tc>
          <w:tcPr>
            <w:tcW w:w="882" w:type="dxa"/>
            <w:tcBorders>
              <w:top w:val="nil"/>
              <w:left w:val="nil"/>
              <w:bottom w:val="single" w:sz="4" w:space="0" w:color="auto"/>
              <w:right w:val="single" w:sz="4" w:space="0" w:color="auto"/>
            </w:tcBorders>
            <w:shd w:val="clear" w:color="auto" w:fill="auto"/>
            <w:noWrap/>
            <w:vAlign w:val="center"/>
            <w:hideMark/>
          </w:tcPr>
          <w:p w14:paraId="4BB2D7EC" w14:textId="69EEC413"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272" w:type="dxa"/>
            <w:tcBorders>
              <w:top w:val="nil"/>
              <w:left w:val="nil"/>
              <w:bottom w:val="single" w:sz="4" w:space="0" w:color="auto"/>
              <w:right w:val="nil"/>
            </w:tcBorders>
            <w:shd w:val="clear" w:color="auto" w:fill="auto"/>
            <w:noWrap/>
            <w:vAlign w:val="center"/>
            <w:hideMark/>
          </w:tcPr>
          <w:p w14:paraId="271248E9" w14:textId="498D17C8"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99,0 %</w:t>
            </w:r>
          </w:p>
        </w:tc>
      </w:tr>
      <w:tr w:rsidR="00BF0CC3" w:rsidRPr="00033A3F" w14:paraId="2E93976F"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735F8D65"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134" w:type="dxa"/>
            <w:tcBorders>
              <w:top w:val="nil"/>
              <w:left w:val="nil"/>
              <w:bottom w:val="single" w:sz="4" w:space="0" w:color="auto"/>
              <w:right w:val="nil"/>
            </w:tcBorders>
            <w:shd w:val="clear" w:color="auto" w:fill="auto"/>
            <w:noWrap/>
            <w:vAlign w:val="bottom"/>
            <w:hideMark/>
          </w:tcPr>
          <w:p w14:paraId="33C04651" w14:textId="3231EABD"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1 672</w:t>
            </w:r>
          </w:p>
        </w:tc>
        <w:tc>
          <w:tcPr>
            <w:tcW w:w="813" w:type="dxa"/>
            <w:tcBorders>
              <w:top w:val="nil"/>
              <w:left w:val="nil"/>
              <w:bottom w:val="single" w:sz="4" w:space="0" w:color="auto"/>
              <w:right w:val="nil"/>
            </w:tcBorders>
            <w:shd w:val="clear" w:color="auto" w:fill="auto"/>
            <w:noWrap/>
            <w:vAlign w:val="center"/>
            <w:hideMark/>
          </w:tcPr>
          <w:p w14:paraId="7256572E" w14:textId="07E5010C"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71" w:type="dxa"/>
            <w:tcBorders>
              <w:top w:val="nil"/>
              <w:left w:val="single" w:sz="4" w:space="0" w:color="auto"/>
              <w:bottom w:val="single" w:sz="4" w:space="0" w:color="auto"/>
              <w:right w:val="nil"/>
            </w:tcBorders>
            <w:shd w:val="clear" w:color="auto" w:fill="auto"/>
            <w:noWrap/>
            <w:vAlign w:val="bottom"/>
            <w:hideMark/>
          </w:tcPr>
          <w:p w14:paraId="755B8408" w14:textId="052331BD"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1 640</w:t>
            </w:r>
          </w:p>
        </w:tc>
        <w:tc>
          <w:tcPr>
            <w:tcW w:w="777" w:type="dxa"/>
            <w:tcBorders>
              <w:top w:val="nil"/>
              <w:left w:val="nil"/>
              <w:bottom w:val="single" w:sz="4" w:space="0" w:color="auto"/>
              <w:right w:val="single" w:sz="4" w:space="0" w:color="auto"/>
            </w:tcBorders>
            <w:shd w:val="clear" w:color="auto" w:fill="auto"/>
            <w:noWrap/>
            <w:vAlign w:val="center"/>
            <w:hideMark/>
          </w:tcPr>
          <w:p w14:paraId="52E51EB7" w14:textId="7765CB4D"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66" w:type="dxa"/>
            <w:tcBorders>
              <w:top w:val="nil"/>
              <w:left w:val="nil"/>
              <w:bottom w:val="single" w:sz="4" w:space="0" w:color="auto"/>
              <w:right w:val="nil"/>
            </w:tcBorders>
            <w:shd w:val="clear" w:color="auto" w:fill="auto"/>
            <w:noWrap/>
            <w:vAlign w:val="bottom"/>
            <w:hideMark/>
          </w:tcPr>
          <w:p w14:paraId="3AD83D67"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104</w:t>
            </w:r>
          </w:p>
        </w:tc>
        <w:tc>
          <w:tcPr>
            <w:tcW w:w="882" w:type="dxa"/>
            <w:tcBorders>
              <w:top w:val="nil"/>
              <w:left w:val="nil"/>
              <w:bottom w:val="single" w:sz="4" w:space="0" w:color="auto"/>
              <w:right w:val="single" w:sz="4" w:space="0" w:color="auto"/>
            </w:tcBorders>
            <w:shd w:val="clear" w:color="auto" w:fill="auto"/>
            <w:noWrap/>
            <w:vAlign w:val="center"/>
            <w:hideMark/>
          </w:tcPr>
          <w:p w14:paraId="14B879FA" w14:textId="17352DAE"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+44 %</w:t>
            </w:r>
          </w:p>
        </w:tc>
        <w:tc>
          <w:tcPr>
            <w:tcW w:w="1272" w:type="dxa"/>
            <w:tcBorders>
              <w:top w:val="nil"/>
              <w:left w:val="nil"/>
              <w:bottom w:val="single" w:sz="4" w:space="0" w:color="auto"/>
              <w:right w:val="nil"/>
            </w:tcBorders>
            <w:shd w:val="clear" w:color="auto" w:fill="auto"/>
            <w:noWrap/>
            <w:vAlign w:val="center"/>
            <w:hideMark/>
          </w:tcPr>
          <w:p w14:paraId="042C3255" w14:textId="68E10431"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98,1 %</w:t>
            </w:r>
          </w:p>
        </w:tc>
      </w:tr>
      <w:tr w:rsidR="00BF0CC3" w:rsidRPr="00033A3F" w14:paraId="38AD14E1"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6F254BC6"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134" w:type="dxa"/>
            <w:tcBorders>
              <w:top w:val="nil"/>
              <w:left w:val="nil"/>
              <w:bottom w:val="single" w:sz="4" w:space="0" w:color="auto"/>
              <w:right w:val="nil"/>
            </w:tcBorders>
            <w:shd w:val="clear" w:color="auto" w:fill="auto"/>
            <w:noWrap/>
            <w:vAlign w:val="bottom"/>
            <w:hideMark/>
          </w:tcPr>
          <w:p w14:paraId="04D8CB97" w14:textId="40071FD0"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2 399</w:t>
            </w:r>
          </w:p>
        </w:tc>
        <w:tc>
          <w:tcPr>
            <w:tcW w:w="813" w:type="dxa"/>
            <w:tcBorders>
              <w:top w:val="nil"/>
              <w:left w:val="nil"/>
              <w:bottom w:val="single" w:sz="4" w:space="0" w:color="auto"/>
              <w:right w:val="nil"/>
            </w:tcBorders>
            <w:shd w:val="clear" w:color="auto" w:fill="auto"/>
            <w:noWrap/>
            <w:vAlign w:val="center"/>
            <w:hideMark/>
          </w:tcPr>
          <w:p w14:paraId="0C071F9F" w14:textId="6E26247B"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71" w:type="dxa"/>
            <w:tcBorders>
              <w:top w:val="nil"/>
              <w:left w:val="single" w:sz="4" w:space="0" w:color="auto"/>
              <w:bottom w:val="single" w:sz="4" w:space="0" w:color="auto"/>
              <w:right w:val="nil"/>
            </w:tcBorders>
            <w:shd w:val="clear" w:color="auto" w:fill="auto"/>
            <w:noWrap/>
            <w:vAlign w:val="bottom"/>
            <w:hideMark/>
          </w:tcPr>
          <w:p w14:paraId="0854E058" w14:textId="3237C4AD"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2 398</w:t>
            </w:r>
          </w:p>
        </w:tc>
        <w:tc>
          <w:tcPr>
            <w:tcW w:w="777" w:type="dxa"/>
            <w:tcBorders>
              <w:top w:val="nil"/>
              <w:left w:val="nil"/>
              <w:bottom w:val="single" w:sz="4" w:space="0" w:color="auto"/>
              <w:right w:val="single" w:sz="4" w:space="0" w:color="auto"/>
            </w:tcBorders>
            <w:shd w:val="clear" w:color="auto" w:fill="auto"/>
            <w:noWrap/>
            <w:vAlign w:val="center"/>
            <w:hideMark/>
          </w:tcPr>
          <w:p w14:paraId="3B2F51AE" w14:textId="48526C55"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66" w:type="dxa"/>
            <w:tcBorders>
              <w:top w:val="nil"/>
              <w:left w:val="nil"/>
              <w:bottom w:val="single" w:sz="4" w:space="0" w:color="auto"/>
              <w:right w:val="nil"/>
            </w:tcBorders>
            <w:shd w:val="clear" w:color="auto" w:fill="auto"/>
            <w:noWrap/>
            <w:vAlign w:val="bottom"/>
            <w:hideMark/>
          </w:tcPr>
          <w:p w14:paraId="215D6584"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204</w:t>
            </w:r>
          </w:p>
        </w:tc>
        <w:tc>
          <w:tcPr>
            <w:tcW w:w="882" w:type="dxa"/>
            <w:tcBorders>
              <w:top w:val="nil"/>
              <w:left w:val="nil"/>
              <w:bottom w:val="single" w:sz="4" w:space="0" w:color="auto"/>
              <w:right w:val="single" w:sz="4" w:space="0" w:color="auto"/>
            </w:tcBorders>
            <w:shd w:val="clear" w:color="auto" w:fill="auto"/>
            <w:noWrap/>
            <w:vAlign w:val="center"/>
            <w:hideMark/>
          </w:tcPr>
          <w:p w14:paraId="170C429C" w14:textId="1D12D737"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272" w:type="dxa"/>
            <w:tcBorders>
              <w:top w:val="nil"/>
              <w:left w:val="nil"/>
              <w:bottom w:val="single" w:sz="4" w:space="0" w:color="auto"/>
              <w:right w:val="nil"/>
            </w:tcBorders>
            <w:shd w:val="clear" w:color="auto" w:fill="auto"/>
            <w:noWrap/>
            <w:vAlign w:val="center"/>
            <w:hideMark/>
          </w:tcPr>
          <w:p w14:paraId="4C64235A" w14:textId="6A43BDFE"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100,0 %</w:t>
            </w:r>
          </w:p>
        </w:tc>
      </w:tr>
      <w:tr w:rsidR="00BF0CC3" w:rsidRPr="00033A3F" w14:paraId="180F6688" w14:textId="77777777" w:rsidTr="006E1F5B">
        <w:trPr>
          <w:trHeight w:val="330"/>
        </w:trPr>
        <w:tc>
          <w:tcPr>
            <w:tcW w:w="1985" w:type="dxa"/>
            <w:tcBorders>
              <w:top w:val="nil"/>
              <w:left w:val="nil"/>
              <w:bottom w:val="double" w:sz="6" w:space="0" w:color="auto"/>
              <w:right w:val="nil"/>
            </w:tcBorders>
            <w:shd w:val="clear" w:color="auto" w:fill="auto"/>
            <w:noWrap/>
            <w:vAlign w:val="bottom"/>
            <w:hideMark/>
          </w:tcPr>
          <w:p w14:paraId="6306C5C4"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134" w:type="dxa"/>
            <w:tcBorders>
              <w:top w:val="nil"/>
              <w:left w:val="nil"/>
              <w:bottom w:val="double" w:sz="6" w:space="0" w:color="auto"/>
              <w:right w:val="nil"/>
            </w:tcBorders>
            <w:shd w:val="clear" w:color="auto" w:fill="auto"/>
            <w:noWrap/>
            <w:vAlign w:val="bottom"/>
            <w:hideMark/>
          </w:tcPr>
          <w:p w14:paraId="15DDDBBA" w14:textId="6C5C4F84"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2 733</w:t>
            </w:r>
          </w:p>
        </w:tc>
        <w:tc>
          <w:tcPr>
            <w:tcW w:w="813" w:type="dxa"/>
            <w:tcBorders>
              <w:top w:val="nil"/>
              <w:left w:val="nil"/>
              <w:bottom w:val="double" w:sz="6" w:space="0" w:color="auto"/>
              <w:right w:val="nil"/>
            </w:tcBorders>
            <w:shd w:val="clear" w:color="auto" w:fill="auto"/>
            <w:noWrap/>
            <w:vAlign w:val="center"/>
            <w:hideMark/>
          </w:tcPr>
          <w:p w14:paraId="7B433B25" w14:textId="76D726C1"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71" w:type="dxa"/>
            <w:tcBorders>
              <w:top w:val="nil"/>
              <w:left w:val="single" w:sz="4" w:space="0" w:color="auto"/>
              <w:bottom w:val="double" w:sz="6" w:space="0" w:color="auto"/>
              <w:right w:val="nil"/>
            </w:tcBorders>
            <w:shd w:val="clear" w:color="auto" w:fill="auto"/>
            <w:noWrap/>
            <w:vAlign w:val="bottom"/>
            <w:hideMark/>
          </w:tcPr>
          <w:p w14:paraId="5D40ECB5" w14:textId="2080F059"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2 818</w:t>
            </w:r>
          </w:p>
        </w:tc>
        <w:tc>
          <w:tcPr>
            <w:tcW w:w="777" w:type="dxa"/>
            <w:tcBorders>
              <w:top w:val="nil"/>
              <w:left w:val="nil"/>
              <w:bottom w:val="double" w:sz="6" w:space="0" w:color="auto"/>
              <w:right w:val="single" w:sz="4" w:space="0" w:color="auto"/>
            </w:tcBorders>
            <w:shd w:val="clear" w:color="auto" w:fill="auto"/>
            <w:noWrap/>
            <w:vAlign w:val="center"/>
            <w:hideMark/>
          </w:tcPr>
          <w:p w14:paraId="1EC5B5BF" w14:textId="36F6A8C9"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66" w:type="dxa"/>
            <w:tcBorders>
              <w:top w:val="nil"/>
              <w:left w:val="nil"/>
              <w:bottom w:val="double" w:sz="6" w:space="0" w:color="auto"/>
              <w:right w:val="nil"/>
            </w:tcBorders>
            <w:shd w:val="clear" w:color="auto" w:fill="auto"/>
            <w:noWrap/>
            <w:vAlign w:val="bottom"/>
            <w:hideMark/>
          </w:tcPr>
          <w:p w14:paraId="21DA19A2"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257</w:t>
            </w:r>
          </w:p>
        </w:tc>
        <w:tc>
          <w:tcPr>
            <w:tcW w:w="882" w:type="dxa"/>
            <w:tcBorders>
              <w:top w:val="nil"/>
              <w:left w:val="nil"/>
              <w:bottom w:val="double" w:sz="6" w:space="0" w:color="auto"/>
              <w:right w:val="single" w:sz="4" w:space="0" w:color="auto"/>
            </w:tcBorders>
            <w:shd w:val="clear" w:color="auto" w:fill="auto"/>
            <w:noWrap/>
            <w:vAlign w:val="center"/>
            <w:hideMark/>
          </w:tcPr>
          <w:p w14:paraId="47162D00" w14:textId="2FB5E570"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c>
          <w:tcPr>
            <w:tcW w:w="1272" w:type="dxa"/>
            <w:tcBorders>
              <w:top w:val="nil"/>
              <w:left w:val="nil"/>
              <w:bottom w:val="nil"/>
              <w:right w:val="nil"/>
            </w:tcBorders>
            <w:shd w:val="clear" w:color="auto" w:fill="auto"/>
            <w:noWrap/>
            <w:vAlign w:val="center"/>
            <w:hideMark/>
          </w:tcPr>
          <w:p w14:paraId="38C927FA" w14:textId="0182E003"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103,1 %</w:t>
            </w:r>
          </w:p>
        </w:tc>
      </w:tr>
      <w:tr w:rsidR="00BF0CC3" w:rsidRPr="00033A3F" w14:paraId="4F038FDF" w14:textId="77777777" w:rsidTr="006E1F5B">
        <w:trPr>
          <w:trHeight w:val="345"/>
        </w:trPr>
        <w:tc>
          <w:tcPr>
            <w:tcW w:w="1985" w:type="dxa"/>
            <w:tcBorders>
              <w:top w:val="nil"/>
              <w:left w:val="nil"/>
              <w:bottom w:val="double" w:sz="6" w:space="0" w:color="auto"/>
              <w:right w:val="nil"/>
            </w:tcBorders>
            <w:shd w:val="clear" w:color="auto" w:fill="auto"/>
            <w:noWrap/>
            <w:vAlign w:val="bottom"/>
            <w:hideMark/>
          </w:tcPr>
          <w:p w14:paraId="21DD388A" w14:textId="77777777" w:rsidR="006733D4" w:rsidRPr="00033A3F" w:rsidRDefault="006733D4" w:rsidP="006733D4">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34" w:type="dxa"/>
            <w:tcBorders>
              <w:top w:val="nil"/>
              <w:left w:val="nil"/>
              <w:bottom w:val="double" w:sz="6" w:space="0" w:color="auto"/>
              <w:right w:val="nil"/>
            </w:tcBorders>
            <w:shd w:val="clear" w:color="auto" w:fill="auto"/>
            <w:noWrap/>
            <w:vAlign w:val="bottom"/>
            <w:hideMark/>
          </w:tcPr>
          <w:p w14:paraId="3ECEC466" w14:textId="511FDFE2"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17</w:t>
            </w:r>
            <w:r w:rsidR="00272FE3"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676</w:t>
            </w:r>
          </w:p>
        </w:tc>
        <w:tc>
          <w:tcPr>
            <w:tcW w:w="813" w:type="dxa"/>
            <w:tcBorders>
              <w:top w:val="nil"/>
              <w:left w:val="nil"/>
              <w:bottom w:val="double" w:sz="6" w:space="0" w:color="auto"/>
              <w:right w:val="nil"/>
            </w:tcBorders>
            <w:shd w:val="clear" w:color="auto" w:fill="auto"/>
            <w:noWrap/>
            <w:vAlign w:val="center"/>
            <w:hideMark/>
          </w:tcPr>
          <w:p w14:paraId="1D5154B9" w14:textId="702FB8ED" w:rsidR="006733D4" w:rsidRPr="00033A3F" w:rsidRDefault="006733D4"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171" w:type="dxa"/>
            <w:tcBorders>
              <w:top w:val="nil"/>
              <w:left w:val="single" w:sz="4" w:space="0" w:color="auto"/>
              <w:bottom w:val="double" w:sz="6" w:space="0" w:color="auto"/>
              <w:right w:val="nil"/>
            </w:tcBorders>
            <w:shd w:val="clear" w:color="auto" w:fill="auto"/>
            <w:noWrap/>
            <w:vAlign w:val="bottom"/>
            <w:hideMark/>
          </w:tcPr>
          <w:p w14:paraId="542C049D" w14:textId="4234861D"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17</w:t>
            </w:r>
            <w:r w:rsidR="003B33A3"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659</w:t>
            </w:r>
          </w:p>
        </w:tc>
        <w:tc>
          <w:tcPr>
            <w:tcW w:w="777" w:type="dxa"/>
            <w:tcBorders>
              <w:top w:val="nil"/>
              <w:left w:val="nil"/>
              <w:bottom w:val="double" w:sz="6" w:space="0" w:color="auto"/>
              <w:right w:val="single" w:sz="4" w:space="0" w:color="auto"/>
            </w:tcBorders>
            <w:shd w:val="clear" w:color="auto" w:fill="auto"/>
            <w:noWrap/>
            <w:vAlign w:val="center"/>
            <w:hideMark/>
          </w:tcPr>
          <w:p w14:paraId="37B9D8D9" w14:textId="71D6419F" w:rsidR="006733D4" w:rsidRPr="00033A3F" w:rsidRDefault="006733D4"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066" w:type="dxa"/>
            <w:tcBorders>
              <w:top w:val="nil"/>
              <w:left w:val="nil"/>
              <w:bottom w:val="double" w:sz="6" w:space="0" w:color="auto"/>
              <w:right w:val="nil"/>
            </w:tcBorders>
            <w:shd w:val="clear" w:color="auto" w:fill="auto"/>
            <w:noWrap/>
            <w:vAlign w:val="bottom"/>
            <w:hideMark/>
          </w:tcPr>
          <w:p w14:paraId="6FC0C031" w14:textId="7409D90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3B33A3"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293</w:t>
            </w:r>
          </w:p>
        </w:tc>
        <w:tc>
          <w:tcPr>
            <w:tcW w:w="882" w:type="dxa"/>
            <w:tcBorders>
              <w:top w:val="nil"/>
              <w:left w:val="nil"/>
              <w:bottom w:val="double" w:sz="6" w:space="0" w:color="auto"/>
              <w:right w:val="single" w:sz="4" w:space="0" w:color="auto"/>
            </w:tcBorders>
            <w:shd w:val="clear" w:color="auto" w:fill="auto"/>
            <w:noWrap/>
            <w:vAlign w:val="center"/>
            <w:hideMark/>
          </w:tcPr>
          <w:p w14:paraId="5099FCF4" w14:textId="43A075C2" w:rsidR="006733D4" w:rsidRPr="00033A3F" w:rsidRDefault="006733D4" w:rsidP="006E1F5B">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272" w:type="dxa"/>
            <w:tcBorders>
              <w:top w:val="double" w:sz="6" w:space="0" w:color="auto"/>
              <w:left w:val="nil"/>
              <w:bottom w:val="double" w:sz="6" w:space="0" w:color="auto"/>
              <w:right w:val="nil"/>
            </w:tcBorders>
            <w:shd w:val="clear" w:color="auto" w:fill="auto"/>
            <w:noWrap/>
            <w:vAlign w:val="center"/>
            <w:hideMark/>
          </w:tcPr>
          <w:p w14:paraId="3E89FEDF" w14:textId="4FF76E23"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99,9 %</w:t>
            </w:r>
          </w:p>
        </w:tc>
      </w:tr>
      <w:tr w:rsidR="00BF0CC3" w:rsidRPr="00033A3F" w14:paraId="64AF14F9" w14:textId="77777777" w:rsidTr="006E1F5B">
        <w:trPr>
          <w:trHeight w:val="330"/>
        </w:trPr>
        <w:tc>
          <w:tcPr>
            <w:tcW w:w="1985" w:type="dxa"/>
            <w:tcBorders>
              <w:top w:val="nil"/>
              <w:left w:val="nil"/>
              <w:bottom w:val="nil"/>
              <w:right w:val="nil"/>
            </w:tcBorders>
            <w:shd w:val="clear" w:color="auto" w:fill="auto"/>
            <w:noWrap/>
            <w:vAlign w:val="bottom"/>
            <w:hideMark/>
          </w:tcPr>
          <w:p w14:paraId="56B33634" w14:textId="77777777" w:rsidR="006733D4" w:rsidRPr="00033A3F" w:rsidRDefault="006733D4" w:rsidP="006733D4">
            <w:pPr>
              <w:spacing w:line="240" w:lineRule="auto"/>
              <w:jc w:val="center"/>
              <w:rPr>
                <w:rFonts w:eastAsia="Times New Roman"/>
                <w:b/>
                <w:bCs/>
                <w:color w:val="000000" w:themeColor="text1"/>
                <w:szCs w:val="24"/>
                <w:lang w:eastAsia="cs-CZ"/>
              </w:rPr>
            </w:pPr>
          </w:p>
        </w:tc>
        <w:tc>
          <w:tcPr>
            <w:tcW w:w="1134" w:type="dxa"/>
            <w:tcBorders>
              <w:top w:val="nil"/>
              <w:left w:val="nil"/>
              <w:bottom w:val="nil"/>
              <w:right w:val="nil"/>
            </w:tcBorders>
            <w:shd w:val="clear" w:color="auto" w:fill="auto"/>
            <w:noWrap/>
            <w:vAlign w:val="bottom"/>
            <w:hideMark/>
          </w:tcPr>
          <w:p w14:paraId="34333AB7"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813" w:type="dxa"/>
            <w:tcBorders>
              <w:top w:val="nil"/>
              <w:left w:val="nil"/>
              <w:bottom w:val="nil"/>
              <w:right w:val="nil"/>
            </w:tcBorders>
            <w:shd w:val="clear" w:color="auto" w:fill="auto"/>
            <w:noWrap/>
            <w:vAlign w:val="bottom"/>
            <w:hideMark/>
          </w:tcPr>
          <w:p w14:paraId="2C603F72"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1171" w:type="dxa"/>
            <w:tcBorders>
              <w:top w:val="nil"/>
              <w:left w:val="nil"/>
              <w:bottom w:val="nil"/>
              <w:right w:val="nil"/>
            </w:tcBorders>
            <w:shd w:val="clear" w:color="auto" w:fill="auto"/>
            <w:noWrap/>
            <w:vAlign w:val="bottom"/>
            <w:hideMark/>
          </w:tcPr>
          <w:p w14:paraId="036EBE67"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777" w:type="dxa"/>
            <w:tcBorders>
              <w:top w:val="nil"/>
              <w:left w:val="nil"/>
              <w:bottom w:val="nil"/>
              <w:right w:val="nil"/>
            </w:tcBorders>
            <w:shd w:val="clear" w:color="auto" w:fill="auto"/>
            <w:noWrap/>
            <w:vAlign w:val="bottom"/>
            <w:hideMark/>
          </w:tcPr>
          <w:p w14:paraId="4A8B1B8E"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1066" w:type="dxa"/>
            <w:tcBorders>
              <w:top w:val="nil"/>
              <w:left w:val="nil"/>
              <w:bottom w:val="nil"/>
              <w:right w:val="nil"/>
            </w:tcBorders>
            <w:shd w:val="clear" w:color="auto" w:fill="auto"/>
            <w:noWrap/>
            <w:vAlign w:val="bottom"/>
            <w:hideMark/>
          </w:tcPr>
          <w:p w14:paraId="55AD01E2"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882" w:type="dxa"/>
            <w:tcBorders>
              <w:top w:val="nil"/>
              <w:left w:val="nil"/>
              <w:bottom w:val="nil"/>
              <w:right w:val="nil"/>
            </w:tcBorders>
            <w:shd w:val="clear" w:color="auto" w:fill="auto"/>
            <w:noWrap/>
            <w:vAlign w:val="bottom"/>
            <w:hideMark/>
          </w:tcPr>
          <w:p w14:paraId="692E1922"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1272" w:type="dxa"/>
            <w:tcBorders>
              <w:top w:val="nil"/>
              <w:left w:val="nil"/>
              <w:bottom w:val="nil"/>
              <w:right w:val="nil"/>
            </w:tcBorders>
            <w:shd w:val="clear" w:color="auto" w:fill="auto"/>
            <w:noWrap/>
            <w:vAlign w:val="bottom"/>
            <w:hideMark/>
          </w:tcPr>
          <w:p w14:paraId="28872BFB"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r>
    </w:tbl>
    <w:p w14:paraId="2C60251C" w14:textId="6ABF48EC" w:rsidR="00272FE3" w:rsidRPr="00033A3F" w:rsidRDefault="00272FE3" w:rsidP="003B33A3">
      <w:pPr>
        <w:pStyle w:val="Nadpis3"/>
        <w:numPr>
          <w:ilvl w:val="2"/>
          <w:numId w:val="1"/>
        </w:numPr>
        <w:rPr>
          <w:color w:val="000000" w:themeColor="text1"/>
        </w:rPr>
      </w:pPr>
      <w:bookmarkStart w:id="1596" w:name="_Toc109801383"/>
      <w:bookmarkStart w:id="1597" w:name="_Toc169250848"/>
      <w:bookmarkStart w:id="1598" w:name="_Toc193531010"/>
      <w:bookmarkStart w:id="1599" w:name="_Toc193957066"/>
      <w:bookmarkStart w:id="1600" w:name="_Toc203032756"/>
      <w:r w:rsidRPr="00033A3F">
        <w:rPr>
          <w:color w:val="000000" w:themeColor="text1"/>
        </w:rPr>
        <w:t>Vyřizování v přepočtu na soudce</w:t>
      </w:r>
      <w:bookmarkEnd w:id="1596"/>
      <w:bookmarkEnd w:id="1597"/>
      <w:bookmarkEnd w:id="1598"/>
      <w:bookmarkEnd w:id="1599"/>
      <w:bookmarkEnd w:id="1600"/>
    </w:p>
    <w:p w14:paraId="35DDF499" w14:textId="4BB00614" w:rsidR="003B33A3" w:rsidRPr="00033A3F" w:rsidRDefault="003B33A3" w:rsidP="004C0D35">
      <w:pPr>
        <w:pStyle w:val="OdstavecASR"/>
        <w:rPr>
          <w:color w:val="000000" w:themeColor="text1"/>
        </w:rPr>
      </w:pPr>
      <w:r w:rsidRPr="00033A3F">
        <w:rPr>
          <w:color w:val="000000" w:themeColor="text1"/>
        </w:rPr>
        <w:t xml:space="preserve">Tabulka opět uvádí přepočet na skutečný úvazek dle dostupných dat. V počtu vyřízených a příchozích věcí na soudce (míněno na skutečný úvazek) vidíme, že mezi soudy jsou určité rozdíly, ale žádný soud extrémně nevybočuje. Suverénně nejméně nevyřízených věcí na soudce má KS Praha, nejvíce jich pak má KS </w:t>
      </w:r>
      <w:r w:rsidR="008078BD" w:rsidRPr="00033A3F">
        <w:rPr>
          <w:color w:val="000000" w:themeColor="text1"/>
        </w:rPr>
        <w:t>Ústí nad Labem</w:t>
      </w:r>
      <w:r w:rsidRPr="00033A3F">
        <w:rPr>
          <w:color w:val="000000" w:themeColor="text1"/>
        </w:rPr>
        <w:t xml:space="preserve"> (dříve to </w:t>
      </w:r>
      <w:r w:rsidR="008078BD" w:rsidRPr="00033A3F">
        <w:rPr>
          <w:color w:val="000000" w:themeColor="text1"/>
        </w:rPr>
        <w:t>byl</w:t>
      </w:r>
      <w:r w:rsidR="003904EB" w:rsidRPr="00033A3F">
        <w:rPr>
          <w:color w:val="000000" w:themeColor="text1"/>
        </w:rPr>
        <w:t xml:space="preserve"> KS</w:t>
      </w:r>
      <w:r w:rsidR="008078BD" w:rsidRPr="00033A3F">
        <w:rPr>
          <w:color w:val="000000" w:themeColor="text1"/>
        </w:rPr>
        <w:t xml:space="preserve"> Ostrava</w:t>
      </w:r>
      <w:r w:rsidRPr="00033A3F">
        <w:rPr>
          <w:color w:val="000000" w:themeColor="text1"/>
        </w:rPr>
        <w:t>).</w:t>
      </w:r>
    </w:p>
    <w:p w14:paraId="1EFD6521" w14:textId="0C9A5B55" w:rsidR="003B33A3" w:rsidRPr="00033A3F" w:rsidRDefault="003B33A3" w:rsidP="003B33A3">
      <w:pPr>
        <w:pStyle w:val="Podnadpis"/>
        <w:numPr>
          <w:ilvl w:val="0"/>
          <w:numId w:val="0"/>
        </w:numPr>
        <w:rPr>
          <w:color w:val="000000" w:themeColor="text1"/>
        </w:rPr>
      </w:pPr>
      <w:bookmarkStart w:id="1601" w:name="_Toc43931234"/>
      <w:bookmarkStart w:id="1602" w:name="_Toc75952367"/>
      <w:bookmarkStart w:id="1603" w:name="_Toc106106822"/>
      <w:bookmarkStart w:id="1604" w:name="_Toc109802145"/>
      <w:bookmarkStart w:id="1605" w:name="_Toc144104304"/>
      <w:bookmarkStart w:id="1606" w:name="_Toc169251119"/>
      <w:bookmarkStart w:id="1607" w:name="_Toc174080805"/>
      <w:bookmarkStart w:id="1608" w:name="_Toc193530931"/>
      <w:bookmarkStart w:id="1609" w:name="_Toc194045628"/>
      <w:bookmarkStart w:id="1610" w:name="_Toc199495038"/>
      <w:bookmarkStart w:id="1611" w:name="_Toc203033099"/>
      <w:bookmarkStart w:id="1612" w:name="_Toc203033177"/>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57</w:t>
      </w:r>
      <w:r w:rsidRPr="00033A3F">
        <w:rPr>
          <w:noProof/>
          <w:color w:val="000000" w:themeColor="text1"/>
        </w:rPr>
        <w:fldChar w:fldCharType="end"/>
      </w:r>
      <w:r w:rsidRPr="00033A3F">
        <w:rPr>
          <w:color w:val="000000" w:themeColor="text1"/>
        </w:rPr>
        <w:t>: KS – vyřiz. odvolacích tr. věcí na skutečný úvazek dle soudů</w:t>
      </w:r>
      <w:bookmarkEnd w:id="1601"/>
      <w:bookmarkEnd w:id="1602"/>
      <w:bookmarkEnd w:id="1603"/>
      <w:bookmarkEnd w:id="1604"/>
      <w:bookmarkEnd w:id="1605"/>
      <w:r w:rsidRPr="00033A3F">
        <w:rPr>
          <w:color w:val="000000" w:themeColor="text1"/>
        </w:rPr>
        <w:t>, 202</w:t>
      </w:r>
      <w:bookmarkEnd w:id="1606"/>
      <w:bookmarkEnd w:id="1607"/>
      <w:r w:rsidRPr="00033A3F">
        <w:rPr>
          <w:color w:val="000000" w:themeColor="text1"/>
        </w:rPr>
        <w:t>4</w:t>
      </w:r>
      <w:bookmarkEnd w:id="1608"/>
      <w:bookmarkEnd w:id="1609"/>
      <w:bookmarkEnd w:id="1610"/>
      <w:bookmarkEnd w:id="1611"/>
      <w:bookmarkEnd w:id="1612"/>
    </w:p>
    <w:tbl>
      <w:tblPr>
        <w:tblW w:w="9072" w:type="dxa"/>
        <w:tblCellMar>
          <w:left w:w="70" w:type="dxa"/>
          <w:right w:w="70" w:type="dxa"/>
        </w:tblCellMar>
        <w:tblLook w:val="04A0" w:firstRow="1" w:lastRow="0" w:firstColumn="1" w:lastColumn="0" w:noHBand="0" w:noVBand="1"/>
      </w:tblPr>
      <w:tblGrid>
        <w:gridCol w:w="2060"/>
        <w:gridCol w:w="972"/>
        <w:gridCol w:w="1168"/>
        <w:gridCol w:w="903"/>
        <w:gridCol w:w="1243"/>
        <w:gridCol w:w="884"/>
        <w:gridCol w:w="1026"/>
        <w:gridCol w:w="816"/>
      </w:tblGrid>
      <w:tr w:rsidR="00033A3F" w:rsidRPr="00033A3F" w14:paraId="1915CD59" w14:textId="77777777" w:rsidTr="004C0D35">
        <w:trPr>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33DD805A"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972" w:type="dxa"/>
            <w:vMerge w:val="restart"/>
            <w:tcBorders>
              <w:top w:val="double" w:sz="6" w:space="0" w:color="auto"/>
              <w:left w:val="nil"/>
              <w:bottom w:val="double" w:sz="6" w:space="0" w:color="000000"/>
              <w:right w:val="nil"/>
            </w:tcBorders>
            <w:shd w:val="clear" w:color="auto" w:fill="auto"/>
            <w:vAlign w:val="center"/>
            <w:hideMark/>
          </w:tcPr>
          <w:p w14:paraId="5391D27D"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úvazků</w:t>
            </w:r>
          </w:p>
        </w:tc>
        <w:tc>
          <w:tcPr>
            <w:tcW w:w="6040" w:type="dxa"/>
            <w:gridSpan w:val="6"/>
            <w:tcBorders>
              <w:top w:val="double" w:sz="6" w:space="0" w:color="auto"/>
              <w:left w:val="nil"/>
              <w:bottom w:val="nil"/>
              <w:right w:val="nil"/>
            </w:tcBorders>
            <w:shd w:val="clear" w:color="auto" w:fill="auto"/>
            <w:noWrap/>
            <w:vAlign w:val="center"/>
            <w:hideMark/>
          </w:tcPr>
          <w:p w14:paraId="1C44DE6D" w14:textId="71F90D07" w:rsidR="003B33A3" w:rsidRPr="00033A3F" w:rsidRDefault="00FD6C77"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Počet věcí na </w:t>
            </w:r>
            <w:r w:rsidR="00073A0D" w:rsidRPr="00033A3F">
              <w:rPr>
                <w:rFonts w:eastAsia="Times New Roman"/>
                <w:b/>
                <w:bCs/>
                <w:color w:val="000000" w:themeColor="text1"/>
                <w:szCs w:val="24"/>
                <w:lang w:eastAsia="cs-CZ"/>
              </w:rPr>
              <w:t>soudce</w:t>
            </w:r>
          </w:p>
        </w:tc>
      </w:tr>
      <w:tr w:rsidR="00033A3F" w:rsidRPr="00033A3F" w14:paraId="161B1FC8" w14:textId="77777777" w:rsidTr="00FC40F0">
        <w:trPr>
          <w:trHeight w:val="330"/>
        </w:trPr>
        <w:tc>
          <w:tcPr>
            <w:tcW w:w="2060" w:type="dxa"/>
            <w:vMerge/>
            <w:tcBorders>
              <w:top w:val="double" w:sz="6" w:space="0" w:color="auto"/>
              <w:left w:val="nil"/>
              <w:bottom w:val="double" w:sz="6" w:space="0" w:color="000000"/>
              <w:right w:val="nil"/>
            </w:tcBorders>
            <w:vAlign w:val="center"/>
            <w:hideMark/>
          </w:tcPr>
          <w:p w14:paraId="74738953" w14:textId="77777777" w:rsidR="003B33A3" w:rsidRPr="00033A3F" w:rsidRDefault="003B33A3" w:rsidP="003B33A3">
            <w:pPr>
              <w:spacing w:line="240" w:lineRule="auto"/>
              <w:jc w:val="left"/>
              <w:rPr>
                <w:rFonts w:eastAsia="Times New Roman"/>
                <w:b/>
                <w:bCs/>
                <w:color w:val="000000" w:themeColor="text1"/>
                <w:szCs w:val="24"/>
                <w:lang w:eastAsia="cs-CZ"/>
              </w:rPr>
            </w:pPr>
          </w:p>
        </w:tc>
        <w:tc>
          <w:tcPr>
            <w:tcW w:w="972" w:type="dxa"/>
            <w:vMerge/>
            <w:tcBorders>
              <w:top w:val="double" w:sz="6" w:space="0" w:color="auto"/>
              <w:left w:val="nil"/>
              <w:bottom w:val="double" w:sz="6" w:space="0" w:color="000000"/>
              <w:right w:val="nil"/>
            </w:tcBorders>
            <w:vAlign w:val="center"/>
            <w:hideMark/>
          </w:tcPr>
          <w:p w14:paraId="0F68259F" w14:textId="77777777" w:rsidR="003B33A3" w:rsidRPr="00033A3F" w:rsidRDefault="003B33A3" w:rsidP="003B33A3">
            <w:pPr>
              <w:spacing w:line="240" w:lineRule="auto"/>
              <w:jc w:val="left"/>
              <w:rPr>
                <w:rFonts w:eastAsia="Times New Roman"/>
                <w:b/>
                <w:bCs/>
                <w:color w:val="000000" w:themeColor="text1"/>
                <w:szCs w:val="24"/>
                <w:lang w:eastAsia="cs-CZ"/>
              </w:rPr>
            </w:pPr>
          </w:p>
        </w:tc>
        <w:tc>
          <w:tcPr>
            <w:tcW w:w="2071" w:type="dxa"/>
            <w:gridSpan w:val="2"/>
            <w:tcBorders>
              <w:top w:val="nil"/>
              <w:left w:val="nil"/>
              <w:bottom w:val="double" w:sz="6" w:space="0" w:color="auto"/>
              <w:right w:val="nil"/>
            </w:tcBorders>
            <w:shd w:val="clear" w:color="auto" w:fill="auto"/>
            <w:noWrap/>
            <w:vAlign w:val="center"/>
            <w:hideMark/>
          </w:tcPr>
          <w:p w14:paraId="297810F7"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212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E2FA327"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42" w:type="dxa"/>
            <w:gridSpan w:val="2"/>
            <w:tcBorders>
              <w:top w:val="nil"/>
              <w:left w:val="nil"/>
              <w:bottom w:val="double" w:sz="6" w:space="0" w:color="auto"/>
              <w:right w:val="nil"/>
            </w:tcBorders>
            <w:shd w:val="clear" w:color="auto" w:fill="auto"/>
            <w:noWrap/>
            <w:vAlign w:val="center"/>
            <w:hideMark/>
          </w:tcPr>
          <w:p w14:paraId="0492FDB1"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r>
      <w:tr w:rsidR="00033A3F" w:rsidRPr="00033A3F" w14:paraId="6866AC66" w14:textId="77777777" w:rsidTr="00FC40F0">
        <w:trPr>
          <w:trHeight w:val="330"/>
        </w:trPr>
        <w:tc>
          <w:tcPr>
            <w:tcW w:w="2060" w:type="dxa"/>
            <w:tcBorders>
              <w:top w:val="single" w:sz="4" w:space="0" w:color="auto"/>
              <w:left w:val="nil"/>
              <w:bottom w:val="single" w:sz="4" w:space="0" w:color="auto"/>
              <w:right w:val="nil"/>
            </w:tcBorders>
            <w:shd w:val="clear" w:color="auto" w:fill="auto"/>
            <w:noWrap/>
            <w:vAlign w:val="bottom"/>
            <w:hideMark/>
          </w:tcPr>
          <w:p w14:paraId="299F0324"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72" w:type="dxa"/>
            <w:tcBorders>
              <w:top w:val="single" w:sz="4" w:space="0" w:color="auto"/>
              <w:left w:val="nil"/>
              <w:bottom w:val="single" w:sz="4" w:space="0" w:color="auto"/>
              <w:right w:val="nil"/>
            </w:tcBorders>
            <w:shd w:val="clear" w:color="auto" w:fill="auto"/>
            <w:noWrap/>
            <w:vAlign w:val="bottom"/>
            <w:hideMark/>
          </w:tcPr>
          <w:p w14:paraId="54483A7E" w14:textId="7777777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1168" w:type="dxa"/>
            <w:tcBorders>
              <w:top w:val="single" w:sz="4" w:space="0" w:color="auto"/>
              <w:left w:val="nil"/>
              <w:bottom w:val="single" w:sz="4" w:space="0" w:color="auto"/>
              <w:right w:val="nil"/>
            </w:tcBorders>
            <w:shd w:val="clear" w:color="auto" w:fill="auto"/>
            <w:noWrap/>
            <w:vAlign w:val="bottom"/>
            <w:hideMark/>
          </w:tcPr>
          <w:p w14:paraId="71F8D960" w14:textId="4F2442B5"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144,65</w:t>
            </w:r>
          </w:p>
        </w:tc>
        <w:tc>
          <w:tcPr>
            <w:tcW w:w="903" w:type="dxa"/>
            <w:tcBorders>
              <w:top w:val="single" w:sz="4" w:space="0" w:color="auto"/>
              <w:left w:val="nil"/>
              <w:bottom w:val="single" w:sz="4" w:space="0" w:color="auto"/>
              <w:right w:val="nil"/>
            </w:tcBorders>
            <w:shd w:val="clear" w:color="auto" w:fill="auto"/>
            <w:noWrap/>
            <w:vAlign w:val="center"/>
            <w:hideMark/>
          </w:tcPr>
          <w:p w14:paraId="72B81D66" w14:textId="7DD27D32"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243" w:type="dxa"/>
            <w:tcBorders>
              <w:top w:val="nil"/>
              <w:left w:val="single" w:sz="4" w:space="0" w:color="auto"/>
              <w:bottom w:val="single" w:sz="4" w:space="0" w:color="auto"/>
              <w:right w:val="nil"/>
            </w:tcBorders>
            <w:shd w:val="clear" w:color="auto" w:fill="auto"/>
            <w:noWrap/>
            <w:vAlign w:val="bottom"/>
            <w:hideMark/>
          </w:tcPr>
          <w:p w14:paraId="1C4CD70E" w14:textId="0D7AA3C6"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143,74</w:t>
            </w:r>
          </w:p>
        </w:tc>
        <w:tc>
          <w:tcPr>
            <w:tcW w:w="884" w:type="dxa"/>
            <w:tcBorders>
              <w:top w:val="nil"/>
              <w:left w:val="nil"/>
              <w:bottom w:val="single" w:sz="4" w:space="0" w:color="auto"/>
              <w:right w:val="single" w:sz="4" w:space="0" w:color="auto"/>
            </w:tcBorders>
            <w:shd w:val="clear" w:color="auto" w:fill="auto"/>
            <w:noWrap/>
            <w:vAlign w:val="center"/>
            <w:hideMark/>
          </w:tcPr>
          <w:p w14:paraId="4AE2F772" w14:textId="0F19F2AF"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026" w:type="dxa"/>
            <w:tcBorders>
              <w:top w:val="single" w:sz="4" w:space="0" w:color="auto"/>
              <w:left w:val="nil"/>
              <w:bottom w:val="single" w:sz="4" w:space="0" w:color="auto"/>
              <w:right w:val="nil"/>
            </w:tcBorders>
            <w:shd w:val="clear" w:color="auto" w:fill="auto"/>
            <w:noWrap/>
            <w:vAlign w:val="bottom"/>
            <w:hideMark/>
          </w:tcPr>
          <w:p w14:paraId="003BB592" w14:textId="0172577D"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7,48</w:t>
            </w:r>
          </w:p>
        </w:tc>
        <w:tc>
          <w:tcPr>
            <w:tcW w:w="816" w:type="dxa"/>
            <w:tcBorders>
              <w:top w:val="single" w:sz="4" w:space="0" w:color="auto"/>
              <w:left w:val="nil"/>
              <w:bottom w:val="single" w:sz="4" w:space="0" w:color="auto"/>
              <w:right w:val="nil"/>
            </w:tcBorders>
            <w:shd w:val="clear" w:color="auto" w:fill="auto"/>
            <w:noWrap/>
            <w:vAlign w:val="center"/>
            <w:hideMark/>
          </w:tcPr>
          <w:p w14:paraId="0DB15DC3" w14:textId="717FDF70"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33888515"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45F0B3DB"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72" w:type="dxa"/>
            <w:tcBorders>
              <w:top w:val="nil"/>
              <w:left w:val="nil"/>
              <w:bottom w:val="single" w:sz="4" w:space="0" w:color="auto"/>
              <w:right w:val="nil"/>
            </w:tcBorders>
            <w:shd w:val="clear" w:color="auto" w:fill="auto"/>
            <w:noWrap/>
            <w:vAlign w:val="bottom"/>
            <w:hideMark/>
          </w:tcPr>
          <w:p w14:paraId="3E30ACB4" w14:textId="18284189"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16,5</w:t>
            </w:r>
          </w:p>
        </w:tc>
        <w:tc>
          <w:tcPr>
            <w:tcW w:w="1168" w:type="dxa"/>
            <w:tcBorders>
              <w:top w:val="nil"/>
              <w:left w:val="nil"/>
              <w:bottom w:val="single" w:sz="4" w:space="0" w:color="auto"/>
              <w:right w:val="nil"/>
            </w:tcBorders>
            <w:shd w:val="clear" w:color="auto" w:fill="auto"/>
            <w:noWrap/>
            <w:vAlign w:val="bottom"/>
            <w:hideMark/>
          </w:tcPr>
          <w:p w14:paraId="6C5E4E8E" w14:textId="139E0955"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132,97</w:t>
            </w:r>
          </w:p>
        </w:tc>
        <w:tc>
          <w:tcPr>
            <w:tcW w:w="903" w:type="dxa"/>
            <w:tcBorders>
              <w:top w:val="nil"/>
              <w:left w:val="nil"/>
              <w:bottom w:val="single" w:sz="4" w:space="0" w:color="auto"/>
              <w:right w:val="nil"/>
            </w:tcBorders>
            <w:shd w:val="clear" w:color="auto" w:fill="auto"/>
            <w:noWrap/>
            <w:vAlign w:val="center"/>
            <w:hideMark/>
          </w:tcPr>
          <w:p w14:paraId="78F87D44" w14:textId="51ABD0E9"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43" w:type="dxa"/>
            <w:tcBorders>
              <w:top w:val="nil"/>
              <w:left w:val="single" w:sz="4" w:space="0" w:color="auto"/>
              <w:bottom w:val="single" w:sz="4" w:space="0" w:color="auto"/>
              <w:right w:val="nil"/>
            </w:tcBorders>
            <w:shd w:val="clear" w:color="auto" w:fill="auto"/>
            <w:noWrap/>
            <w:vAlign w:val="bottom"/>
            <w:hideMark/>
          </w:tcPr>
          <w:p w14:paraId="6FEA9841" w14:textId="076136D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132,55</w:t>
            </w:r>
          </w:p>
        </w:tc>
        <w:tc>
          <w:tcPr>
            <w:tcW w:w="884" w:type="dxa"/>
            <w:tcBorders>
              <w:top w:val="nil"/>
              <w:left w:val="nil"/>
              <w:bottom w:val="single" w:sz="4" w:space="0" w:color="auto"/>
              <w:right w:val="single" w:sz="4" w:space="0" w:color="auto"/>
            </w:tcBorders>
            <w:shd w:val="clear" w:color="auto" w:fill="auto"/>
            <w:noWrap/>
            <w:vAlign w:val="center"/>
            <w:hideMark/>
          </w:tcPr>
          <w:p w14:paraId="15DFEDE0" w14:textId="477A52FC"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26" w:type="dxa"/>
            <w:tcBorders>
              <w:top w:val="nil"/>
              <w:left w:val="nil"/>
              <w:bottom w:val="single" w:sz="4" w:space="0" w:color="auto"/>
              <w:right w:val="nil"/>
            </w:tcBorders>
            <w:shd w:val="clear" w:color="auto" w:fill="auto"/>
            <w:noWrap/>
            <w:vAlign w:val="bottom"/>
            <w:hideMark/>
          </w:tcPr>
          <w:p w14:paraId="4AB57261" w14:textId="6A57BED6"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2,61</w:t>
            </w:r>
          </w:p>
        </w:tc>
        <w:tc>
          <w:tcPr>
            <w:tcW w:w="816" w:type="dxa"/>
            <w:tcBorders>
              <w:top w:val="nil"/>
              <w:left w:val="nil"/>
              <w:bottom w:val="single" w:sz="4" w:space="0" w:color="auto"/>
              <w:right w:val="nil"/>
            </w:tcBorders>
            <w:shd w:val="clear" w:color="auto" w:fill="auto"/>
            <w:noWrap/>
            <w:vAlign w:val="center"/>
            <w:hideMark/>
          </w:tcPr>
          <w:p w14:paraId="2DF1E26F" w14:textId="3ACE6D4E"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r>
      <w:tr w:rsidR="00033A3F" w:rsidRPr="00033A3F" w14:paraId="6E847ACA"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1766386B"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72" w:type="dxa"/>
            <w:tcBorders>
              <w:top w:val="nil"/>
              <w:left w:val="nil"/>
              <w:bottom w:val="single" w:sz="4" w:space="0" w:color="auto"/>
              <w:right w:val="nil"/>
            </w:tcBorders>
            <w:shd w:val="clear" w:color="auto" w:fill="auto"/>
            <w:noWrap/>
            <w:vAlign w:val="bottom"/>
            <w:hideMark/>
          </w:tcPr>
          <w:p w14:paraId="478F26C7" w14:textId="7777777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168" w:type="dxa"/>
            <w:tcBorders>
              <w:top w:val="nil"/>
              <w:left w:val="nil"/>
              <w:bottom w:val="single" w:sz="4" w:space="0" w:color="auto"/>
              <w:right w:val="nil"/>
            </w:tcBorders>
            <w:shd w:val="clear" w:color="auto" w:fill="auto"/>
            <w:noWrap/>
            <w:vAlign w:val="bottom"/>
            <w:hideMark/>
          </w:tcPr>
          <w:p w14:paraId="59CF8C30" w14:textId="317D24E4"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92,44</w:t>
            </w:r>
          </w:p>
        </w:tc>
        <w:tc>
          <w:tcPr>
            <w:tcW w:w="903" w:type="dxa"/>
            <w:tcBorders>
              <w:top w:val="nil"/>
              <w:left w:val="nil"/>
              <w:bottom w:val="single" w:sz="4" w:space="0" w:color="auto"/>
              <w:right w:val="nil"/>
            </w:tcBorders>
            <w:shd w:val="clear" w:color="auto" w:fill="auto"/>
            <w:noWrap/>
            <w:vAlign w:val="center"/>
            <w:hideMark/>
          </w:tcPr>
          <w:p w14:paraId="0A41FCDC" w14:textId="1C44286C"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243" w:type="dxa"/>
            <w:tcBorders>
              <w:top w:val="nil"/>
              <w:left w:val="single" w:sz="4" w:space="0" w:color="auto"/>
              <w:bottom w:val="single" w:sz="4" w:space="0" w:color="auto"/>
              <w:right w:val="nil"/>
            </w:tcBorders>
            <w:shd w:val="clear" w:color="auto" w:fill="auto"/>
            <w:noWrap/>
            <w:vAlign w:val="bottom"/>
            <w:hideMark/>
          </w:tcPr>
          <w:p w14:paraId="208E3B39" w14:textId="0FD0937F"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93,89</w:t>
            </w:r>
          </w:p>
        </w:tc>
        <w:tc>
          <w:tcPr>
            <w:tcW w:w="884" w:type="dxa"/>
            <w:tcBorders>
              <w:top w:val="nil"/>
              <w:left w:val="nil"/>
              <w:bottom w:val="single" w:sz="4" w:space="0" w:color="auto"/>
              <w:right w:val="single" w:sz="4" w:space="0" w:color="auto"/>
            </w:tcBorders>
            <w:shd w:val="clear" w:color="auto" w:fill="auto"/>
            <w:noWrap/>
            <w:vAlign w:val="center"/>
            <w:hideMark/>
          </w:tcPr>
          <w:p w14:paraId="0B82AF22" w14:textId="7DCF7DF7"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26" w:type="dxa"/>
            <w:tcBorders>
              <w:top w:val="nil"/>
              <w:left w:val="nil"/>
              <w:bottom w:val="single" w:sz="4" w:space="0" w:color="auto"/>
              <w:right w:val="nil"/>
            </w:tcBorders>
            <w:shd w:val="clear" w:color="auto" w:fill="auto"/>
            <w:noWrap/>
            <w:vAlign w:val="bottom"/>
            <w:hideMark/>
          </w:tcPr>
          <w:p w14:paraId="2F857263" w14:textId="3FF9CFBC"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7,56</w:t>
            </w:r>
          </w:p>
        </w:tc>
        <w:tc>
          <w:tcPr>
            <w:tcW w:w="816" w:type="dxa"/>
            <w:tcBorders>
              <w:top w:val="nil"/>
              <w:left w:val="nil"/>
              <w:bottom w:val="single" w:sz="4" w:space="0" w:color="auto"/>
              <w:right w:val="nil"/>
            </w:tcBorders>
            <w:shd w:val="clear" w:color="auto" w:fill="auto"/>
            <w:noWrap/>
            <w:vAlign w:val="center"/>
            <w:hideMark/>
          </w:tcPr>
          <w:p w14:paraId="2D81FAEF" w14:textId="1C20588E"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11B5DBC9"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6B677AA9"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72" w:type="dxa"/>
            <w:tcBorders>
              <w:top w:val="nil"/>
              <w:left w:val="nil"/>
              <w:bottom w:val="single" w:sz="4" w:space="0" w:color="auto"/>
              <w:right w:val="nil"/>
            </w:tcBorders>
            <w:shd w:val="clear" w:color="auto" w:fill="auto"/>
            <w:noWrap/>
            <w:vAlign w:val="bottom"/>
            <w:hideMark/>
          </w:tcPr>
          <w:p w14:paraId="7BD99928" w14:textId="270DC555"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w:t>
            </w:r>
          </w:p>
        </w:tc>
        <w:tc>
          <w:tcPr>
            <w:tcW w:w="1168" w:type="dxa"/>
            <w:tcBorders>
              <w:top w:val="nil"/>
              <w:left w:val="nil"/>
              <w:bottom w:val="single" w:sz="4" w:space="0" w:color="auto"/>
              <w:right w:val="nil"/>
            </w:tcBorders>
            <w:shd w:val="clear" w:color="auto" w:fill="auto"/>
            <w:noWrap/>
            <w:vAlign w:val="bottom"/>
            <w:hideMark/>
          </w:tcPr>
          <w:p w14:paraId="65D585CB" w14:textId="0C3B2F1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127,20</w:t>
            </w:r>
          </w:p>
        </w:tc>
        <w:tc>
          <w:tcPr>
            <w:tcW w:w="903" w:type="dxa"/>
            <w:tcBorders>
              <w:top w:val="nil"/>
              <w:left w:val="nil"/>
              <w:bottom w:val="single" w:sz="4" w:space="0" w:color="auto"/>
              <w:right w:val="nil"/>
            </w:tcBorders>
            <w:shd w:val="clear" w:color="auto" w:fill="auto"/>
            <w:noWrap/>
            <w:vAlign w:val="center"/>
            <w:hideMark/>
          </w:tcPr>
          <w:p w14:paraId="4B7ABD19" w14:textId="1FF201C0"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c>
          <w:tcPr>
            <w:tcW w:w="1243" w:type="dxa"/>
            <w:tcBorders>
              <w:top w:val="nil"/>
              <w:left w:val="single" w:sz="4" w:space="0" w:color="auto"/>
              <w:bottom w:val="single" w:sz="4" w:space="0" w:color="auto"/>
              <w:right w:val="nil"/>
            </w:tcBorders>
            <w:shd w:val="clear" w:color="auto" w:fill="auto"/>
            <w:noWrap/>
            <w:vAlign w:val="bottom"/>
            <w:hideMark/>
          </w:tcPr>
          <w:p w14:paraId="3EB547B1" w14:textId="1CD950B9"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125,24</w:t>
            </w:r>
          </w:p>
        </w:tc>
        <w:tc>
          <w:tcPr>
            <w:tcW w:w="884" w:type="dxa"/>
            <w:tcBorders>
              <w:top w:val="nil"/>
              <w:left w:val="nil"/>
              <w:bottom w:val="single" w:sz="4" w:space="0" w:color="auto"/>
              <w:right w:val="single" w:sz="4" w:space="0" w:color="auto"/>
            </w:tcBorders>
            <w:shd w:val="clear" w:color="auto" w:fill="auto"/>
            <w:noWrap/>
            <w:vAlign w:val="center"/>
            <w:hideMark/>
          </w:tcPr>
          <w:p w14:paraId="4B8C2273" w14:textId="2239E523"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c>
          <w:tcPr>
            <w:tcW w:w="1026" w:type="dxa"/>
            <w:tcBorders>
              <w:top w:val="nil"/>
              <w:left w:val="nil"/>
              <w:bottom w:val="single" w:sz="4" w:space="0" w:color="auto"/>
              <w:right w:val="nil"/>
            </w:tcBorders>
            <w:shd w:val="clear" w:color="auto" w:fill="auto"/>
            <w:noWrap/>
            <w:vAlign w:val="bottom"/>
            <w:hideMark/>
          </w:tcPr>
          <w:p w14:paraId="5A1264C0" w14:textId="3FBC152D"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9,58</w:t>
            </w:r>
          </w:p>
        </w:tc>
        <w:tc>
          <w:tcPr>
            <w:tcW w:w="816" w:type="dxa"/>
            <w:tcBorders>
              <w:top w:val="nil"/>
              <w:left w:val="nil"/>
              <w:bottom w:val="single" w:sz="4" w:space="0" w:color="auto"/>
              <w:right w:val="nil"/>
            </w:tcBorders>
            <w:shd w:val="clear" w:color="auto" w:fill="auto"/>
            <w:noWrap/>
            <w:vAlign w:val="center"/>
            <w:hideMark/>
          </w:tcPr>
          <w:p w14:paraId="0EB004D3" w14:textId="22184702"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+51 %</w:t>
            </w:r>
          </w:p>
        </w:tc>
      </w:tr>
      <w:tr w:rsidR="00033A3F" w:rsidRPr="00033A3F" w14:paraId="31D0802F"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08BD6C4A"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72" w:type="dxa"/>
            <w:tcBorders>
              <w:top w:val="nil"/>
              <w:left w:val="nil"/>
              <w:bottom w:val="single" w:sz="4" w:space="0" w:color="auto"/>
              <w:right w:val="nil"/>
            </w:tcBorders>
            <w:shd w:val="clear" w:color="auto" w:fill="auto"/>
            <w:noWrap/>
            <w:vAlign w:val="bottom"/>
            <w:hideMark/>
          </w:tcPr>
          <w:p w14:paraId="65F0042F" w14:textId="6C7C664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23,42</w:t>
            </w:r>
          </w:p>
        </w:tc>
        <w:tc>
          <w:tcPr>
            <w:tcW w:w="1168" w:type="dxa"/>
            <w:tcBorders>
              <w:top w:val="nil"/>
              <w:left w:val="nil"/>
              <w:bottom w:val="single" w:sz="4" w:space="0" w:color="auto"/>
              <w:right w:val="nil"/>
            </w:tcBorders>
            <w:shd w:val="clear" w:color="auto" w:fill="auto"/>
            <w:noWrap/>
            <w:vAlign w:val="bottom"/>
            <w:hideMark/>
          </w:tcPr>
          <w:p w14:paraId="43DD6CD8" w14:textId="7828159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115,29</w:t>
            </w:r>
          </w:p>
        </w:tc>
        <w:tc>
          <w:tcPr>
            <w:tcW w:w="903" w:type="dxa"/>
            <w:tcBorders>
              <w:top w:val="nil"/>
              <w:left w:val="nil"/>
              <w:bottom w:val="single" w:sz="4" w:space="0" w:color="auto"/>
              <w:right w:val="nil"/>
            </w:tcBorders>
            <w:shd w:val="clear" w:color="auto" w:fill="auto"/>
            <w:noWrap/>
            <w:vAlign w:val="center"/>
            <w:hideMark/>
          </w:tcPr>
          <w:p w14:paraId="20A57848" w14:textId="1868E2A8" w:rsidR="003B33A3" w:rsidRPr="00033A3F" w:rsidRDefault="003B33A3" w:rsidP="003B33A3">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43" w:type="dxa"/>
            <w:tcBorders>
              <w:top w:val="nil"/>
              <w:left w:val="single" w:sz="4" w:space="0" w:color="auto"/>
              <w:bottom w:val="single" w:sz="4" w:space="0" w:color="auto"/>
              <w:right w:val="nil"/>
            </w:tcBorders>
            <w:shd w:val="clear" w:color="auto" w:fill="auto"/>
            <w:noWrap/>
            <w:vAlign w:val="bottom"/>
            <w:hideMark/>
          </w:tcPr>
          <w:p w14:paraId="07042585" w14:textId="5BBA815E"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114,18</w:t>
            </w:r>
          </w:p>
        </w:tc>
        <w:tc>
          <w:tcPr>
            <w:tcW w:w="884" w:type="dxa"/>
            <w:tcBorders>
              <w:top w:val="nil"/>
              <w:left w:val="nil"/>
              <w:bottom w:val="single" w:sz="4" w:space="0" w:color="auto"/>
              <w:right w:val="single" w:sz="4" w:space="0" w:color="auto"/>
            </w:tcBorders>
            <w:shd w:val="clear" w:color="auto" w:fill="auto"/>
            <w:noWrap/>
            <w:vAlign w:val="center"/>
            <w:hideMark/>
          </w:tcPr>
          <w:p w14:paraId="45201E1B" w14:textId="0ACC1316" w:rsidR="003B33A3" w:rsidRPr="00033A3F" w:rsidRDefault="003B33A3" w:rsidP="003B33A3">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26" w:type="dxa"/>
            <w:tcBorders>
              <w:top w:val="nil"/>
              <w:left w:val="nil"/>
              <w:bottom w:val="single" w:sz="4" w:space="0" w:color="auto"/>
              <w:right w:val="nil"/>
            </w:tcBorders>
            <w:shd w:val="clear" w:color="auto" w:fill="auto"/>
            <w:noWrap/>
            <w:vAlign w:val="bottom"/>
            <w:hideMark/>
          </w:tcPr>
          <w:p w14:paraId="7C2FD3E3" w14:textId="692A7731"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13,15</w:t>
            </w:r>
          </w:p>
        </w:tc>
        <w:tc>
          <w:tcPr>
            <w:tcW w:w="816" w:type="dxa"/>
            <w:tcBorders>
              <w:top w:val="nil"/>
              <w:left w:val="nil"/>
              <w:bottom w:val="single" w:sz="4" w:space="0" w:color="auto"/>
              <w:right w:val="nil"/>
            </w:tcBorders>
            <w:shd w:val="clear" w:color="auto" w:fill="auto"/>
            <w:noWrap/>
            <w:vAlign w:val="center"/>
            <w:hideMark/>
          </w:tcPr>
          <w:p w14:paraId="51E0A2C0" w14:textId="5204F47B"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14AD0F23"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26D25C26"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72" w:type="dxa"/>
            <w:tcBorders>
              <w:top w:val="nil"/>
              <w:left w:val="nil"/>
              <w:bottom w:val="single" w:sz="4" w:space="0" w:color="auto"/>
              <w:right w:val="nil"/>
            </w:tcBorders>
            <w:shd w:val="clear" w:color="auto" w:fill="auto"/>
            <w:noWrap/>
            <w:vAlign w:val="bottom"/>
            <w:hideMark/>
          </w:tcPr>
          <w:p w14:paraId="6F25E5CF" w14:textId="29C7D52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12,25</w:t>
            </w:r>
          </w:p>
        </w:tc>
        <w:tc>
          <w:tcPr>
            <w:tcW w:w="1168" w:type="dxa"/>
            <w:tcBorders>
              <w:top w:val="nil"/>
              <w:left w:val="nil"/>
              <w:bottom w:val="single" w:sz="4" w:space="0" w:color="auto"/>
              <w:right w:val="nil"/>
            </w:tcBorders>
            <w:shd w:val="clear" w:color="auto" w:fill="auto"/>
            <w:noWrap/>
            <w:vAlign w:val="bottom"/>
            <w:hideMark/>
          </w:tcPr>
          <w:p w14:paraId="1BEE2565" w14:textId="74B94FF2"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136,49</w:t>
            </w:r>
          </w:p>
        </w:tc>
        <w:tc>
          <w:tcPr>
            <w:tcW w:w="903" w:type="dxa"/>
            <w:tcBorders>
              <w:top w:val="nil"/>
              <w:left w:val="nil"/>
              <w:bottom w:val="single" w:sz="4" w:space="0" w:color="auto"/>
              <w:right w:val="nil"/>
            </w:tcBorders>
            <w:shd w:val="clear" w:color="auto" w:fill="auto"/>
            <w:noWrap/>
            <w:vAlign w:val="center"/>
            <w:hideMark/>
          </w:tcPr>
          <w:p w14:paraId="1A1D5C73" w14:textId="2323E315"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243" w:type="dxa"/>
            <w:tcBorders>
              <w:top w:val="nil"/>
              <w:left w:val="single" w:sz="4" w:space="0" w:color="auto"/>
              <w:bottom w:val="single" w:sz="4" w:space="0" w:color="auto"/>
              <w:right w:val="nil"/>
            </w:tcBorders>
            <w:shd w:val="clear" w:color="auto" w:fill="auto"/>
            <w:noWrap/>
            <w:vAlign w:val="bottom"/>
            <w:hideMark/>
          </w:tcPr>
          <w:p w14:paraId="73706990" w14:textId="2E09F7E0"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133,88</w:t>
            </w:r>
          </w:p>
        </w:tc>
        <w:tc>
          <w:tcPr>
            <w:tcW w:w="884" w:type="dxa"/>
            <w:tcBorders>
              <w:top w:val="nil"/>
              <w:left w:val="nil"/>
              <w:bottom w:val="single" w:sz="4" w:space="0" w:color="auto"/>
              <w:right w:val="single" w:sz="4" w:space="0" w:color="auto"/>
            </w:tcBorders>
            <w:shd w:val="clear" w:color="auto" w:fill="auto"/>
            <w:noWrap/>
            <w:vAlign w:val="center"/>
            <w:hideMark/>
          </w:tcPr>
          <w:p w14:paraId="3A8EA596" w14:textId="32CB72A6"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026" w:type="dxa"/>
            <w:tcBorders>
              <w:top w:val="nil"/>
              <w:left w:val="nil"/>
              <w:bottom w:val="single" w:sz="4" w:space="0" w:color="auto"/>
              <w:right w:val="nil"/>
            </w:tcBorders>
            <w:shd w:val="clear" w:color="auto" w:fill="auto"/>
            <w:noWrap/>
            <w:vAlign w:val="bottom"/>
            <w:hideMark/>
          </w:tcPr>
          <w:p w14:paraId="0D73311B" w14:textId="287AC3BB"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8,49</w:t>
            </w:r>
          </w:p>
        </w:tc>
        <w:tc>
          <w:tcPr>
            <w:tcW w:w="816" w:type="dxa"/>
            <w:tcBorders>
              <w:top w:val="nil"/>
              <w:left w:val="nil"/>
              <w:bottom w:val="single" w:sz="4" w:space="0" w:color="auto"/>
              <w:right w:val="nil"/>
            </w:tcBorders>
            <w:shd w:val="clear" w:color="auto" w:fill="auto"/>
            <w:noWrap/>
            <w:vAlign w:val="center"/>
            <w:hideMark/>
          </w:tcPr>
          <w:p w14:paraId="172F8279" w14:textId="41FA11DD"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+65 %</w:t>
            </w:r>
          </w:p>
        </w:tc>
      </w:tr>
      <w:tr w:rsidR="00033A3F" w:rsidRPr="00033A3F" w14:paraId="6C5E93F9"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4E2A6783"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72" w:type="dxa"/>
            <w:tcBorders>
              <w:top w:val="nil"/>
              <w:left w:val="nil"/>
              <w:bottom w:val="single" w:sz="4" w:space="0" w:color="auto"/>
              <w:right w:val="nil"/>
            </w:tcBorders>
            <w:shd w:val="clear" w:color="auto" w:fill="auto"/>
            <w:noWrap/>
            <w:vAlign w:val="bottom"/>
            <w:hideMark/>
          </w:tcPr>
          <w:p w14:paraId="4BD1F677" w14:textId="7777777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168" w:type="dxa"/>
            <w:tcBorders>
              <w:top w:val="nil"/>
              <w:left w:val="nil"/>
              <w:bottom w:val="single" w:sz="4" w:space="0" w:color="auto"/>
              <w:right w:val="nil"/>
            </w:tcBorders>
            <w:shd w:val="clear" w:color="auto" w:fill="auto"/>
            <w:noWrap/>
            <w:vAlign w:val="bottom"/>
            <w:hideMark/>
          </w:tcPr>
          <w:p w14:paraId="50E8FFF5" w14:textId="71AE3924"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126,26</w:t>
            </w:r>
          </w:p>
        </w:tc>
        <w:tc>
          <w:tcPr>
            <w:tcW w:w="903" w:type="dxa"/>
            <w:tcBorders>
              <w:top w:val="nil"/>
              <w:left w:val="nil"/>
              <w:bottom w:val="single" w:sz="4" w:space="0" w:color="auto"/>
              <w:right w:val="nil"/>
            </w:tcBorders>
            <w:shd w:val="clear" w:color="auto" w:fill="auto"/>
            <w:noWrap/>
            <w:vAlign w:val="center"/>
            <w:hideMark/>
          </w:tcPr>
          <w:p w14:paraId="15B033D9" w14:textId="318C10AC"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243" w:type="dxa"/>
            <w:tcBorders>
              <w:top w:val="nil"/>
              <w:left w:val="single" w:sz="4" w:space="0" w:color="auto"/>
              <w:bottom w:val="single" w:sz="4" w:space="0" w:color="auto"/>
              <w:right w:val="nil"/>
            </w:tcBorders>
            <w:shd w:val="clear" w:color="auto" w:fill="auto"/>
            <w:noWrap/>
            <w:vAlign w:val="bottom"/>
            <w:hideMark/>
          </w:tcPr>
          <w:p w14:paraId="23C1B725" w14:textId="1456715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126,21</w:t>
            </w:r>
          </w:p>
        </w:tc>
        <w:tc>
          <w:tcPr>
            <w:tcW w:w="884" w:type="dxa"/>
            <w:tcBorders>
              <w:top w:val="nil"/>
              <w:left w:val="nil"/>
              <w:bottom w:val="single" w:sz="4" w:space="0" w:color="auto"/>
              <w:right w:val="single" w:sz="4" w:space="0" w:color="auto"/>
            </w:tcBorders>
            <w:shd w:val="clear" w:color="auto" w:fill="auto"/>
            <w:noWrap/>
            <w:vAlign w:val="center"/>
            <w:hideMark/>
          </w:tcPr>
          <w:p w14:paraId="599BB977" w14:textId="6568519A"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026" w:type="dxa"/>
            <w:tcBorders>
              <w:top w:val="nil"/>
              <w:left w:val="nil"/>
              <w:bottom w:val="single" w:sz="4" w:space="0" w:color="auto"/>
              <w:right w:val="nil"/>
            </w:tcBorders>
            <w:shd w:val="clear" w:color="auto" w:fill="auto"/>
            <w:noWrap/>
            <w:vAlign w:val="bottom"/>
            <w:hideMark/>
          </w:tcPr>
          <w:p w14:paraId="4626FED2" w14:textId="46208988"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10,74</w:t>
            </w:r>
          </w:p>
        </w:tc>
        <w:tc>
          <w:tcPr>
            <w:tcW w:w="816" w:type="dxa"/>
            <w:tcBorders>
              <w:top w:val="nil"/>
              <w:left w:val="nil"/>
              <w:bottom w:val="single" w:sz="4" w:space="0" w:color="auto"/>
              <w:right w:val="nil"/>
            </w:tcBorders>
            <w:shd w:val="clear" w:color="auto" w:fill="auto"/>
            <w:noWrap/>
            <w:vAlign w:val="center"/>
            <w:hideMark/>
          </w:tcPr>
          <w:p w14:paraId="610A8A0A" w14:textId="6E0F66D8"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033A3F" w:rsidRPr="00033A3F" w14:paraId="2AF62A83" w14:textId="77777777" w:rsidTr="00FC40F0">
        <w:trPr>
          <w:trHeight w:val="330"/>
        </w:trPr>
        <w:tc>
          <w:tcPr>
            <w:tcW w:w="2060" w:type="dxa"/>
            <w:tcBorders>
              <w:top w:val="nil"/>
              <w:left w:val="nil"/>
              <w:bottom w:val="double" w:sz="6" w:space="0" w:color="auto"/>
              <w:right w:val="nil"/>
            </w:tcBorders>
            <w:shd w:val="clear" w:color="auto" w:fill="auto"/>
            <w:noWrap/>
            <w:vAlign w:val="bottom"/>
            <w:hideMark/>
          </w:tcPr>
          <w:p w14:paraId="035F9858"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72" w:type="dxa"/>
            <w:tcBorders>
              <w:top w:val="nil"/>
              <w:left w:val="nil"/>
              <w:bottom w:val="double" w:sz="6" w:space="0" w:color="auto"/>
              <w:right w:val="nil"/>
            </w:tcBorders>
            <w:shd w:val="clear" w:color="auto" w:fill="auto"/>
            <w:noWrap/>
            <w:vAlign w:val="bottom"/>
            <w:hideMark/>
          </w:tcPr>
          <w:p w14:paraId="05641634" w14:textId="7777777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168" w:type="dxa"/>
            <w:tcBorders>
              <w:top w:val="nil"/>
              <w:left w:val="nil"/>
              <w:bottom w:val="double" w:sz="6" w:space="0" w:color="auto"/>
              <w:right w:val="nil"/>
            </w:tcBorders>
            <w:shd w:val="clear" w:color="auto" w:fill="auto"/>
            <w:noWrap/>
            <w:vAlign w:val="bottom"/>
            <w:hideMark/>
          </w:tcPr>
          <w:p w14:paraId="6BB47F23" w14:textId="313F1B30"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97,61</w:t>
            </w:r>
          </w:p>
        </w:tc>
        <w:tc>
          <w:tcPr>
            <w:tcW w:w="903" w:type="dxa"/>
            <w:tcBorders>
              <w:top w:val="nil"/>
              <w:left w:val="nil"/>
              <w:bottom w:val="double" w:sz="6" w:space="0" w:color="auto"/>
              <w:right w:val="nil"/>
            </w:tcBorders>
            <w:shd w:val="clear" w:color="auto" w:fill="auto"/>
            <w:noWrap/>
            <w:vAlign w:val="center"/>
            <w:hideMark/>
          </w:tcPr>
          <w:p w14:paraId="067E4F0A" w14:textId="5FE96DDE"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243" w:type="dxa"/>
            <w:tcBorders>
              <w:top w:val="nil"/>
              <w:left w:val="single" w:sz="4" w:space="0" w:color="auto"/>
              <w:bottom w:val="double" w:sz="6" w:space="0" w:color="auto"/>
              <w:right w:val="nil"/>
            </w:tcBorders>
            <w:shd w:val="clear" w:color="auto" w:fill="auto"/>
            <w:noWrap/>
            <w:vAlign w:val="bottom"/>
            <w:hideMark/>
          </w:tcPr>
          <w:p w14:paraId="36AAE6B5" w14:textId="50B6506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100,64</w:t>
            </w:r>
          </w:p>
        </w:tc>
        <w:tc>
          <w:tcPr>
            <w:tcW w:w="884" w:type="dxa"/>
            <w:tcBorders>
              <w:top w:val="nil"/>
              <w:left w:val="nil"/>
              <w:bottom w:val="double" w:sz="6" w:space="0" w:color="auto"/>
              <w:right w:val="single" w:sz="4" w:space="0" w:color="auto"/>
            </w:tcBorders>
            <w:shd w:val="clear" w:color="auto" w:fill="auto"/>
            <w:noWrap/>
            <w:vAlign w:val="center"/>
            <w:hideMark/>
          </w:tcPr>
          <w:p w14:paraId="556190CF" w14:textId="1928D22A"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26" w:type="dxa"/>
            <w:tcBorders>
              <w:top w:val="nil"/>
              <w:left w:val="nil"/>
              <w:bottom w:val="double" w:sz="6" w:space="0" w:color="auto"/>
              <w:right w:val="nil"/>
            </w:tcBorders>
            <w:shd w:val="clear" w:color="auto" w:fill="auto"/>
            <w:noWrap/>
            <w:vAlign w:val="bottom"/>
            <w:hideMark/>
          </w:tcPr>
          <w:p w14:paraId="1AFD33FC" w14:textId="3AB658FF"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9,18</w:t>
            </w:r>
          </w:p>
        </w:tc>
        <w:tc>
          <w:tcPr>
            <w:tcW w:w="816" w:type="dxa"/>
            <w:tcBorders>
              <w:top w:val="nil"/>
              <w:left w:val="nil"/>
              <w:bottom w:val="double" w:sz="6" w:space="0" w:color="auto"/>
              <w:right w:val="nil"/>
            </w:tcBorders>
            <w:shd w:val="clear" w:color="auto" w:fill="auto"/>
            <w:noWrap/>
            <w:vAlign w:val="center"/>
            <w:hideMark/>
          </w:tcPr>
          <w:p w14:paraId="7EC01BC4" w14:textId="4E135A0B"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r>
      <w:tr w:rsidR="00033A3F" w:rsidRPr="00033A3F" w14:paraId="18101A89" w14:textId="77777777" w:rsidTr="00FC40F0">
        <w:trPr>
          <w:trHeight w:val="345"/>
        </w:trPr>
        <w:tc>
          <w:tcPr>
            <w:tcW w:w="2060" w:type="dxa"/>
            <w:tcBorders>
              <w:top w:val="nil"/>
              <w:left w:val="nil"/>
              <w:bottom w:val="double" w:sz="6" w:space="0" w:color="auto"/>
              <w:right w:val="nil"/>
            </w:tcBorders>
            <w:shd w:val="clear" w:color="auto" w:fill="auto"/>
            <w:noWrap/>
            <w:vAlign w:val="bottom"/>
            <w:hideMark/>
          </w:tcPr>
          <w:p w14:paraId="40C9A441" w14:textId="77777777" w:rsidR="003B33A3" w:rsidRPr="00033A3F" w:rsidRDefault="003B33A3" w:rsidP="003B33A3">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72" w:type="dxa"/>
            <w:tcBorders>
              <w:top w:val="nil"/>
              <w:left w:val="nil"/>
              <w:bottom w:val="double" w:sz="6" w:space="0" w:color="auto"/>
              <w:right w:val="nil"/>
            </w:tcBorders>
            <w:shd w:val="clear" w:color="auto" w:fill="auto"/>
            <w:noWrap/>
            <w:vAlign w:val="bottom"/>
            <w:hideMark/>
          </w:tcPr>
          <w:p w14:paraId="12AF2217" w14:textId="7101040F"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145,47</w:t>
            </w:r>
          </w:p>
        </w:tc>
        <w:tc>
          <w:tcPr>
            <w:tcW w:w="1168" w:type="dxa"/>
            <w:tcBorders>
              <w:top w:val="nil"/>
              <w:left w:val="nil"/>
              <w:bottom w:val="double" w:sz="6" w:space="0" w:color="auto"/>
              <w:right w:val="nil"/>
            </w:tcBorders>
            <w:shd w:val="clear" w:color="auto" w:fill="auto"/>
            <w:noWrap/>
            <w:vAlign w:val="bottom"/>
            <w:hideMark/>
          </w:tcPr>
          <w:p w14:paraId="63BB82FA" w14:textId="271ABE5B"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121,51</w:t>
            </w:r>
          </w:p>
        </w:tc>
        <w:tc>
          <w:tcPr>
            <w:tcW w:w="903" w:type="dxa"/>
            <w:tcBorders>
              <w:top w:val="nil"/>
              <w:left w:val="nil"/>
              <w:bottom w:val="double" w:sz="6" w:space="0" w:color="auto"/>
              <w:right w:val="nil"/>
            </w:tcBorders>
            <w:shd w:val="clear" w:color="auto" w:fill="auto"/>
            <w:noWrap/>
            <w:vAlign w:val="center"/>
            <w:hideMark/>
          </w:tcPr>
          <w:p w14:paraId="2B9C9A9F" w14:textId="57722818" w:rsidR="003B33A3" w:rsidRPr="00033A3F" w:rsidRDefault="003B33A3"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243" w:type="dxa"/>
            <w:tcBorders>
              <w:top w:val="nil"/>
              <w:left w:val="single" w:sz="4" w:space="0" w:color="auto"/>
              <w:bottom w:val="double" w:sz="6" w:space="0" w:color="auto"/>
              <w:right w:val="nil"/>
            </w:tcBorders>
            <w:shd w:val="clear" w:color="auto" w:fill="auto"/>
            <w:noWrap/>
            <w:vAlign w:val="bottom"/>
            <w:hideMark/>
          </w:tcPr>
          <w:p w14:paraId="31E48B85" w14:textId="12345481"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121,39</w:t>
            </w:r>
          </w:p>
        </w:tc>
        <w:tc>
          <w:tcPr>
            <w:tcW w:w="884" w:type="dxa"/>
            <w:tcBorders>
              <w:top w:val="nil"/>
              <w:left w:val="nil"/>
              <w:bottom w:val="double" w:sz="6" w:space="0" w:color="auto"/>
              <w:right w:val="single" w:sz="4" w:space="0" w:color="auto"/>
            </w:tcBorders>
            <w:shd w:val="clear" w:color="auto" w:fill="auto"/>
            <w:noWrap/>
            <w:vAlign w:val="center"/>
            <w:hideMark/>
          </w:tcPr>
          <w:p w14:paraId="27C94B47" w14:textId="5179013A" w:rsidR="003B33A3" w:rsidRPr="00033A3F" w:rsidRDefault="003B33A3"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026" w:type="dxa"/>
            <w:tcBorders>
              <w:top w:val="nil"/>
              <w:left w:val="nil"/>
              <w:bottom w:val="double" w:sz="6" w:space="0" w:color="auto"/>
              <w:right w:val="nil"/>
            </w:tcBorders>
            <w:shd w:val="clear" w:color="auto" w:fill="auto"/>
            <w:noWrap/>
            <w:vAlign w:val="bottom"/>
            <w:hideMark/>
          </w:tcPr>
          <w:p w14:paraId="7059B416" w14:textId="4F8B1CD6"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8,89</w:t>
            </w:r>
          </w:p>
        </w:tc>
        <w:tc>
          <w:tcPr>
            <w:tcW w:w="816" w:type="dxa"/>
            <w:tcBorders>
              <w:top w:val="nil"/>
              <w:left w:val="nil"/>
              <w:bottom w:val="double" w:sz="6" w:space="0" w:color="auto"/>
              <w:right w:val="nil"/>
            </w:tcBorders>
            <w:shd w:val="clear" w:color="auto" w:fill="auto"/>
            <w:noWrap/>
            <w:vAlign w:val="center"/>
            <w:hideMark/>
          </w:tcPr>
          <w:p w14:paraId="3C5EB344" w14:textId="2A30E61D" w:rsidR="003B33A3" w:rsidRPr="00033A3F" w:rsidRDefault="003B33A3"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+5 %</w:t>
            </w:r>
          </w:p>
        </w:tc>
      </w:tr>
      <w:tr w:rsidR="00033A3F" w:rsidRPr="00033A3F" w14:paraId="23A24699" w14:textId="77777777" w:rsidTr="00FC40F0">
        <w:trPr>
          <w:trHeight w:val="330"/>
        </w:trPr>
        <w:tc>
          <w:tcPr>
            <w:tcW w:w="2060" w:type="dxa"/>
            <w:tcBorders>
              <w:top w:val="nil"/>
              <w:left w:val="nil"/>
              <w:bottom w:val="nil"/>
              <w:right w:val="nil"/>
            </w:tcBorders>
            <w:shd w:val="clear" w:color="auto" w:fill="auto"/>
            <w:noWrap/>
            <w:vAlign w:val="bottom"/>
            <w:hideMark/>
          </w:tcPr>
          <w:p w14:paraId="3CD6C3A6" w14:textId="77777777" w:rsidR="003B33A3" w:rsidRPr="00033A3F" w:rsidRDefault="003B33A3" w:rsidP="003B33A3">
            <w:pPr>
              <w:spacing w:line="240" w:lineRule="auto"/>
              <w:jc w:val="center"/>
              <w:rPr>
                <w:rFonts w:eastAsia="Times New Roman"/>
                <w:b/>
                <w:bCs/>
                <w:color w:val="000000" w:themeColor="text1"/>
                <w:sz w:val="20"/>
                <w:szCs w:val="20"/>
                <w:lang w:eastAsia="cs-CZ"/>
              </w:rPr>
            </w:pPr>
          </w:p>
        </w:tc>
        <w:tc>
          <w:tcPr>
            <w:tcW w:w="972" w:type="dxa"/>
            <w:tcBorders>
              <w:top w:val="nil"/>
              <w:left w:val="nil"/>
              <w:bottom w:val="nil"/>
              <w:right w:val="nil"/>
            </w:tcBorders>
            <w:shd w:val="clear" w:color="auto" w:fill="auto"/>
            <w:noWrap/>
            <w:vAlign w:val="bottom"/>
            <w:hideMark/>
          </w:tcPr>
          <w:p w14:paraId="161C94E5"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1168" w:type="dxa"/>
            <w:tcBorders>
              <w:top w:val="nil"/>
              <w:left w:val="nil"/>
              <w:bottom w:val="nil"/>
              <w:right w:val="nil"/>
            </w:tcBorders>
            <w:shd w:val="clear" w:color="auto" w:fill="auto"/>
            <w:noWrap/>
            <w:vAlign w:val="bottom"/>
            <w:hideMark/>
          </w:tcPr>
          <w:p w14:paraId="6188C3A5"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903" w:type="dxa"/>
            <w:tcBorders>
              <w:top w:val="nil"/>
              <w:left w:val="nil"/>
              <w:bottom w:val="nil"/>
              <w:right w:val="nil"/>
            </w:tcBorders>
            <w:shd w:val="clear" w:color="auto" w:fill="auto"/>
            <w:noWrap/>
            <w:vAlign w:val="bottom"/>
            <w:hideMark/>
          </w:tcPr>
          <w:p w14:paraId="56C68275"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1243" w:type="dxa"/>
            <w:tcBorders>
              <w:top w:val="nil"/>
              <w:left w:val="nil"/>
              <w:bottom w:val="nil"/>
              <w:right w:val="nil"/>
            </w:tcBorders>
            <w:shd w:val="clear" w:color="auto" w:fill="auto"/>
            <w:noWrap/>
            <w:vAlign w:val="bottom"/>
            <w:hideMark/>
          </w:tcPr>
          <w:p w14:paraId="1887A377"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884" w:type="dxa"/>
            <w:tcBorders>
              <w:top w:val="nil"/>
              <w:left w:val="nil"/>
              <w:bottom w:val="nil"/>
              <w:right w:val="nil"/>
            </w:tcBorders>
            <w:shd w:val="clear" w:color="auto" w:fill="auto"/>
            <w:noWrap/>
            <w:vAlign w:val="bottom"/>
            <w:hideMark/>
          </w:tcPr>
          <w:p w14:paraId="2696C15B"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1026" w:type="dxa"/>
            <w:tcBorders>
              <w:top w:val="nil"/>
              <w:left w:val="nil"/>
              <w:bottom w:val="nil"/>
              <w:right w:val="nil"/>
            </w:tcBorders>
            <w:shd w:val="clear" w:color="auto" w:fill="auto"/>
            <w:noWrap/>
            <w:vAlign w:val="bottom"/>
            <w:hideMark/>
          </w:tcPr>
          <w:p w14:paraId="00849196"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816" w:type="dxa"/>
            <w:tcBorders>
              <w:top w:val="nil"/>
              <w:left w:val="nil"/>
              <w:bottom w:val="nil"/>
              <w:right w:val="nil"/>
            </w:tcBorders>
            <w:shd w:val="clear" w:color="auto" w:fill="auto"/>
            <w:noWrap/>
            <w:vAlign w:val="bottom"/>
            <w:hideMark/>
          </w:tcPr>
          <w:p w14:paraId="78D1CC94"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r>
    </w:tbl>
    <w:p w14:paraId="044B8E2E" w14:textId="0F24583B" w:rsidR="0027340B" w:rsidRPr="00033A3F" w:rsidRDefault="0027340B" w:rsidP="0027340B">
      <w:pPr>
        <w:pStyle w:val="OdstavecASR"/>
        <w:rPr>
          <w:color w:val="000000" w:themeColor="text1"/>
        </w:rPr>
      </w:pPr>
      <w:bookmarkStart w:id="1613" w:name="_Hlk137210836"/>
      <w:bookmarkStart w:id="1614" w:name="_Toc75952366"/>
      <w:bookmarkStart w:id="1615" w:name="_Toc106106821"/>
      <w:bookmarkStart w:id="1616" w:name="_Toc109802144"/>
      <w:r w:rsidRPr="00033A3F">
        <w:rPr>
          <w:color w:val="000000" w:themeColor="text1"/>
        </w:rPr>
        <w:t>Oproti loňskému roku se snížil skutečný počet soudců (úvazků) o 6 (ze 151 na 146).</w:t>
      </w:r>
    </w:p>
    <w:p w14:paraId="53C74A62" w14:textId="7C4FB8CF" w:rsidR="00A47A03" w:rsidRPr="00033A3F" w:rsidRDefault="008430BD" w:rsidP="008430BD">
      <w:pPr>
        <w:pStyle w:val="Nadpis3"/>
        <w:numPr>
          <w:ilvl w:val="2"/>
          <w:numId w:val="1"/>
        </w:numPr>
        <w:rPr>
          <w:color w:val="000000" w:themeColor="text1"/>
        </w:rPr>
      </w:pPr>
      <w:bookmarkStart w:id="1617" w:name="_Toc515871265"/>
      <w:bookmarkStart w:id="1618" w:name="_Toc106092773"/>
      <w:bookmarkStart w:id="1619" w:name="_Toc169250849"/>
      <w:bookmarkStart w:id="1620" w:name="_Toc193531011"/>
      <w:bookmarkStart w:id="1621" w:name="_Toc193957067"/>
      <w:bookmarkStart w:id="1622" w:name="_Toc203032757"/>
      <w:bookmarkEnd w:id="1613"/>
      <w:bookmarkEnd w:id="1614"/>
      <w:bookmarkEnd w:id="1615"/>
      <w:bookmarkEnd w:id="1616"/>
      <w:r w:rsidRPr="00033A3F">
        <w:rPr>
          <w:color w:val="000000" w:themeColor="text1"/>
        </w:rPr>
        <w:t>Disposition time</w:t>
      </w:r>
      <w:bookmarkEnd w:id="1617"/>
      <w:r w:rsidRPr="00033A3F">
        <w:rPr>
          <w:color w:val="000000" w:themeColor="text1"/>
        </w:rPr>
        <w:t xml:space="preserve"> (dispoziční čas)</w:t>
      </w:r>
      <w:bookmarkEnd w:id="1618"/>
      <w:bookmarkEnd w:id="1619"/>
      <w:bookmarkEnd w:id="1620"/>
      <w:bookmarkEnd w:id="1621"/>
      <w:bookmarkEnd w:id="1622"/>
    </w:p>
    <w:p w14:paraId="32B3B888" w14:textId="521DF64B" w:rsidR="004C0F9C" w:rsidRPr="00033A3F" w:rsidRDefault="004C0F9C" w:rsidP="004C0D35">
      <w:pPr>
        <w:pStyle w:val="OdstavecASR"/>
        <w:rPr>
          <w:color w:val="000000" w:themeColor="text1"/>
        </w:rPr>
      </w:pPr>
      <w:bookmarkStart w:id="1623" w:name="_Toc515871266"/>
      <w:bookmarkStart w:id="1624" w:name="_Ref70586663"/>
      <w:bookmarkStart w:id="1625" w:name="_Toc106092774"/>
      <w:r w:rsidRPr="00033A3F">
        <w:rPr>
          <w:color w:val="000000" w:themeColor="text1"/>
        </w:rPr>
        <w:t>Z grafu je patrné, že DT je opravdu nízký a z dlouhodobého hlediska poměrně neměnný, což vyplývá z poměru vyřízených a nevyřízených věcí a z toho, že jsou tyto ukazatele také stabilní. Vzhledem k poklesu nápadu a počtu vyřízených věcí a mírnému růstu počtu nevyřízených věcí DT v roce 2020 vzrostl. Nárůst činil 7 dnů, což ale představuje 29 %. Následně v roce 2021 DT opět o něco klesl. V letech 2022 až 202</w:t>
      </w:r>
      <w:r w:rsidR="00A702B0" w:rsidRPr="00033A3F">
        <w:rPr>
          <w:color w:val="000000" w:themeColor="text1"/>
        </w:rPr>
        <w:t>4</w:t>
      </w:r>
      <w:r w:rsidRPr="00033A3F">
        <w:rPr>
          <w:color w:val="000000" w:themeColor="text1"/>
        </w:rPr>
        <w:t xml:space="preserve"> došlo k naprosto minimální</w:t>
      </w:r>
      <w:r w:rsidR="00A702B0" w:rsidRPr="00033A3F">
        <w:rPr>
          <w:color w:val="000000" w:themeColor="text1"/>
        </w:rPr>
        <w:t>m</w:t>
      </w:r>
      <w:r w:rsidRPr="00033A3F">
        <w:rPr>
          <w:color w:val="000000" w:themeColor="text1"/>
        </w:rPr>
        <w:t xml:space="preserve"> změnám – DT poklesl či narostl </w:t>
      </w:r>
      <w:r w:rsidRPr="00033A3F">
        <w:rPr>
          <w:color w:val="000000" w:themeColor="text1"/>
        </w:rPr>
        <w:lastRenderedPageBreak/>
        <w:t>vždy o 1 kalendářní den. Z reálného hlediska však nejsou takto nevýznamné statistické změny ani několika</w:t>
      </w:r>
      <w:r w:rsidR="00A702B0" w:rsidRPr="00033A3F">
        <w:rPr>
          <w:color w:val="000000" w:themeColor="text1"/>
        </w:rPr>
        <w:t>denní</w:t>
      </w:r>
      <w:r w:rsidRPr="00033A3F">
        <w:rPr>
          <w:color w:val="000000" w:themeColor="text1"/>
        </w:rPr>
        <w:t xml:space="preserve"> rozdíl oproti DT v roce 2020 důležité.</w:t>
      </w:r>
    </w:p>
    <w:p w14:paraId="33BB077C" w14:textId="171B4384" w:rsidR="004C0F9C" w:rsidRPr="00033A3F" w:rsidRDefault="004C0F9C" w:rsidP="004C0F9C">
      <w:pPr>
        <w:pStyle w:val="Podnadpis"/>
        <w:numPr>
          <w:ilvl w:val="0"/>
          <w:numId w:val="0"/>
        </w:numPr>
        <w:rPr>
          <w:color w:val="000000" w:themeColor="text1"/>
        </w:rPr>
      </w:pPr>
      <w:bookmarkStart w:id="1626" w:name="_Toc515871396"/>
      <w:bookmarkStart w:id="1627" w:name="_Toc11135127"/>
      <w:bookmarkStart w:id="1628" w:name="_Toc43841446"/>
      <w:bookmarkStart w:id="1629" w:name="_Toc75952248"/>
      <w:bookmarkStart w:id="1630" w:name="_Toc106106707"/>
      <w:bookmarkStart w:id="1631" w:name="_Toc109802031"/>
      <w:bookmarkStart w:id="1632" w:name="_Toc144104181"/>
      <w:bookmarkStart w:id="1633" w:name="_Toc169250994"/>
      <w:bookmarkStart w:id="1634" w:name="_Toc174080680"/>
      <w:bookmarkStart w:id="1635" w:name="_Toc193530834"/>
      <w:bookmarkStart w:id="1636" w:name="_Toc193634108"/>
      <w:bookmarkStart w:id="1637" w:name="_Toc20303290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79</w:t>
      </w:r>
      <w:r w:rsidRPr="00033A3F">
        <w:rPr>
          <w:color w:val="000000" w:themeColor="text1"/>
        </w:rPr>
        <w:fldChar w:fldCharType="end"/>
      </w:r>
      <w:r w:rsidRPr="00033A3F">
        <w:rPr>
          <w:color w:val="000000" w:themeColor="text1"/>
        </w:rPr>
        <w:t>: KS – DT odvolacího trestního řízení v letech 2014–</w:t>
      </w:r>
      <w:bookmarkEnd w:id="1626"/>
      <w:bookmarkEnd w:id="1627"/>
      <w:bookmarkEnd w:id="1628"/>
      <w:bookmarkEnd w:id="1629"/>
      <w:bookmarkEnd w:id="1630"/>
      <w:bookmarkEnd w:id="1631"/>
      <w:bookmarkEnd w:id="1632"/>
      <w:bookmarkEnd w:id="1633"/>
      <w:bookmarkEnd w:id="1634"/>
      <w:r w:rsidR="005E53E6" w:rsidRPr="00033A3F">
        <w:rPr>
          <w:color w:val="000000" w:themeColor="text1"/>
        </w:rPr>
        <w:t>2024</w:t>
      </w:r>
      <w:bookmarkEnd w:id="1635"/>
      <w:bookmarkEnd w:id="1636"/>
      <w:bookmarkEnd w:id="1637"/>
    </w:p>
    <w:p w14:paraId="2F974F62" w14:textId="56B97DF5" w:rsidR="004C0F9C" w:rsidRPr="00033A3F" w:rsidRDefault="004C0F9C">
      <w:pPr>
        <w:spacing w:after="160" w:line="259" w:lineRule="auto"/>
        <w:jc w:val="left"/>
        <w:rPr>
          <w:rFonts w:eastAsiaTheme="majorEastAsia" w:cstheme="majorBidi"/>
          <w:b/>
          <w:color w:val="000000" w:themeColor="text1"/>
          <w:sz w:val="28"/>
          <w:szCs w:val="26"/>
        </w:rPr>
      </w:pPr>
      <w:r w:rsidRPr="00033A3F">
        <w:rPr>
          <w:rFonts w:eastAsiaTheme="majorEastAsia" w:cstheme="majorBidi"/>
          <w:b/>
          <w:noProof/>
          <w:color w:val="000000" w:themeColor="text1"/>
          <w:sz w:val="28"/>
          <w:szCs w:val="26"/>
          <w:lang w:eastAsia="cs-CZ"/>
        </w:rPr>
        <w:drawing>
          <wp:inline distT="0" distB="0" distL="0" distR="0" wp14:anchorId="57E21F1E" wp14:editId="20F746E8">
            <wp:extent cx="5029200" cy="3657600"/>
            <wp:effectExtent l="0" t="0" r="0" b="0"/>
            <wp:docPr id="1403457723"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ACD388B" w14:textId="10700B04" w:rsidR="004C0F9C" w:rsidRPr="00033A3F" w:rsidRDefault="004C0F9C" w:rsidP="004C0F9C">
      <w:pPr>
        <w:pStyle w:val="Podnadpis"/>
        <w:rPr>
          <w:color w:val="000000" w:themeColor="text1"/>
        </w:rPr>
      </w:pPr>
      <w:bookmarkStart w:id="1638" w:name="_Toc11133256"/>
      <w:bookmarkStart w:id="1639" w:name="_Toc43931235"/>
      <w:bookmarkStart w:id="1640" w:name="_Toc75952368"/>
      <w:bookmarkStart w:id="1641" w:name="_Toc106106823"/>
      <w:bookmarkStart w:id="1642" w:name="_Toc109802146"/>
      <w:bookmarkStart w:id="1643" w:name="_Toc144104305"/>
      <w:bookmarkStart w:id="1644" w:name="_Toc169251120"/>
      <w:bookmarkStart w:id="1645" w:name="_Toc174080806"/>
      <w:bookmarkStart w:id="1646" w:name="_Toc193530932"/>
      <w:bookmarkStart w:id="1647" w:name="_Toc194045629"/>
      <w:bookmarkStart w:id="1648" w:name="_Toc199495039"/>
      <w:bookmarkStart w:id="1649" w:name="_Toc203033100"/>
      <w:bookmarkStart w:id="1650" w:name="_Toc203033178"/>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58</w:t>
      </w:r>
      <w:r w:rsidRPr="00033A3F">
        <w:rPr>
          <w:noProof/>
          <w:color w:val="000000" w:themeColor="text1"/>
        </w:rPr>
        <w:fldChar w:fldCharType="end"/>
      </w:r>
      <w:r w:rsidRPr="00033A3F">
        <w:rPr>
          <w:color w:val="000000" w:themeColor="text1"/>
        </w:rPr>
        <w:t>: KS – DT odvolacího trestního řízení dle soudů</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p>
    <w:tbl>
      <w:tblPr>
        <w:tblW w:w="5960" w:type="dxa"/>
        <w:tblCellMar>
          <w:left w:w="70" w:type="dxa"/>
          <w:right w:w="70" w:type="dxa"/>
        </w:tblCellMar>
        <w:tblLook w:val="04A0" w:firstRow="1" w:lastRow="0" w:firstColumn="1" w:lastColumn="0" w:noHBand="0" w:noVBand="1"/>
      </w:tblPr>
      <w:tblGrid>
        <w:gridCol w:w="2780"/>
        <w:gridCol w:w="1331"/>
        <w:gridCol w:w="1849"/>
      </w:tblGrid>
      <w:tr w:rsidR="00033A3F" w:rsidRPr="00033A3F" w14:paraId="6D8B636A" w14:textId="77777777" w:rsidTr="004C0F9C">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9C3D107" w14:textId="77777777" w:rsidR="004C0F9C" w:rsidRPr="00033A3F" w:rsidRDefault="004C0F9C" w:rsidP="004C0F9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7836E8BC" w14:textId="77777777" w:rsidR="004C0F9C" w:rsidRPr="00033A3F" w:rsidRDefault="004C0F9C" w:rsidP="004C0F9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Disposition time</w:t>
            </w:r>
          </w:p>
        </w:tc>
      </w:tr>
      <w:tr w:rsidR="00033A3F" w:rsidRPr="00033A3F" w14:paraId="0560D52B" w14:textId="77777777" w:rsidTr="00542EE2">
        <w:trPr>
          <w:trHeight w:val="330"/>
        </w:trPr>
        <w:tc>
          <w:tcPr>
            <w:tcW w:w="2780" w:type="dxa"/>
            <w:tcBorders>
              <w:top w:val="nil"/>
              <w:left w:val="nil"/>
              <w:bottom w:val="single" w:sz="4" w:space="0" w:color="auto"/>
              <w:right w:val="nil"/>
            </w:tcBorders>
            <w:shd w:val="clear" w:color="auto" w:fill="auto"/>
            <w:noWrap/>
            <w:vAlign w:val="bottom"/>
            <w:hideMark/>
          </w:tcPr>
          <w:p w14:paraId="1771C1BC"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331" w:type="dxa"/>
            <w:tcBorders>
              <w:top w:val="nil"/>
              <w:left w:val="nil"/>
              <w:bottom w:val="single" w:sz="4" w:space="0" w:color="auto"/>
              <w:right w:val="nil"/>
            </w:tcBorders>
            <w:shd w:val="clear" w:color="auto" w:fill="auto"/>
            <w:noWrap/>
            <w:vAlign w:val="bottom"/>
            <w:hideMark/>
          </w:tcPr>
          <w:p w14:paraId="02221641"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849" w:type="dxa"/>
            <w:tcBorders>
              <w:top w:val="nil"/>
              <w:left w:val="nil"/>
              <w:bottom w:val="single" w:sz="4" w:space="0" w:color="auto"/>
              <w:right w:val="nil"/>
            </w:tcBorders>
            <w:shd w:val="clear" w:color="auto" w:fill="auto"/>
            <w:noWrap/>
            <w:vAlign w:val="center"/>
            <w:hideMark/>
          </w:tcPr>
          <w:p w14:paraId="70BC5DA1" w14:textId="2521FA4B"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057CBA17"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6EDE7769"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331" w:type="dxa"/>
            <w:tcBorders>
              <w:top w:val="nil"/>
              <w:left w:val="nil"/>
              <w:bottom w:val="single" w:sz="4" w:space="0" w:color="auto"/>
              <w:right w:val="nil"/>
            </w:tcBorders>
            <w:shd w:val="clear" w:color="auto" w:fill="auto"/>
            <w:noWrap/>
            <w:vAlign w:val="bottom"/>
            <w:hideMark/>
          </w:tcPr>
          <w:p w14:paraId="6797D81A"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849" w:type="dxa"/>
            <w:tcBorders>
              <w:top w:val="nil"/>
              <w:left w:val="nil"/>
              <w:bottom w:val="single" w:sz="4" w:space="0" w:color="auto"/>
              <w:right w:val="nil"/>
            </w:tcBorders>
            <w:shd w:val="clear" w:color="auto" w:fill="auto"/>
            <w:noWrap/>
            <w:vAlign w:val="center"/>
            <w:hideMark/>
          </w:tcPr>
          <w:p w14:paraId="474A3915" w14:textId="238BE45E"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r>
      <w:tr w:rsidR="00033A3F" w:rsidRPr="00033A3F" w14:paraId="43DF0558"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1CFBC792"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331" w:type="dxa"/>
            <w:tcBorders>
              <w:top w:val="nil"/>
              <w:left w:val="nil"/>
              <w:bottom w:val="single" w:sz="4" w:space="0" w:color="auto"/>
              <w:right w:val="nil"/>
            </w:tcBorders>
            <w:shd w:val="clear" w:color="auto" w:fill="auto"/>
            <w:noWrap/>
            <w:vAlign w:val="bottom"/>
            <w:hideMark/>
          </w:tcPr>
          <w:p w14:paraId="0223DCE5"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w:t>
            </w:r>
          </w:p>
        </w:tc>
        <w:tc>
          <w:tcPr>
            <w:tcW w:w="1849" w:type="dxa"/>
            <w:tcBorders>
              <w:top w:val="nil"/>
              <w:left w:val="nil"/>
              <w:bottom w:val="single" w:sz="4" w:space="0" w:color="auto"/>
              <w:right w:val="nil"/>
            </w:tcBorders>
            <w:shd w:val="clear" w:color="auto" w:fill="auto"/>
            <w:noWrap/>
            <w:vAlign w:val="center"/>
            <w:hideMark/>
          </w:tcPr>
          <w:p w14:paraId="34DE0127" w14:textId="48C4AAD0"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77310520"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5DDCD915"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331" w:type="dxa"/>
            <w:tcBorders>
              <w:top w:val="nil"/>
              <w:left w:val="nil"/>
              <w:bottom w:val="single" w:sz="4" w:space="0" w:color="auto"/>
              <w:right w:val="nil"/>
            </w:tcBorders>
            <w:shd w:val="clear" w:color="auto" w:fill="auto"/>
            <w:noWrap/>
            <w:vAlign w:val="bottom"/>
            <w:hideMark/>
          </w:tcPr>
          <w:p w14:paraId="7C80EBD8"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849" w:type="dxa"/>
            <w:tcBorders>
              <w:top w:val="nil"/>
              <w:left w:val="nil"/>
              <w:bottom w:val="single" w:sz="4" w:space="0" w:color="auto"/>
              <w:right w:val="nil"/>
            </w:tcBorders>
            <w:shd w:val="clear" w:color="auto" w:fill="auto"/>
            <w:noWrap/>
            <w:vAlign w:val="center"/>
            <w:hideMark/>
          </w:tcPr>
          <w:p w14:paraId="78E4A8EA" w14:textId="3BD9BE09"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r>
      <w:tr w:rsidR="00033A3F" w:rsidRPr="00033A3F" w14:paraId="037FE0FE"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2E9EA106"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331" w:type="dxa"/>
            <w:tcBorders>
              <w:top w:val="nil"/>
              <w:left w:val="nil"/>
              <w:bottom w:val="single" w:sz="4" w:space="0" w:color="auto"/>
              <w:right w:val="nil"/>
            </w:tcBorders>
            <w:shd w:val="clear" w:color="auto" w:fill="auto"/>
            <w:noWrap/>
            <w:vAlign w:val="bottom"/>
            <w:hideMark/>
          </w:tcPr>
          <w:p w14:paraId="16943B86"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1849" w:type="dxa"/>
            <w:tcBorders>
              <w:top w:val="nil"/>
              <w:left w:val="nil"/>
              <w:bottom w:val="single" w:sz="4" w:space="0" w:color="auto"/>
              <w:right w:val="nil"/>
            </w:tcBorders>
            <w:shd w:val="clear" w:color="auto" w:fill="auto"/>
            <w:noWrap/>
            <w:vAlign w:val="center"/>
            <w:hideMark/>
          </w:tcPr>
          <w:p w14:paraId="4FBC3D13" w14:textId="2B5C3C42"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033A3F" w:rsidRPr="00033A3F" w14:paraId="63DB0AA5"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5BE710A4"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331" w:type="dxa"/>
            <w:tcBorders>
              <w:top w:val="nil"/>
              <w:left w:val="nil"/>
              <w:bottom w:val="single" w:sz="4" w:space="0" w:color="auto"/>
              <w:right w:val="nil"/>
            </w:tcBorders>
            <w:shd w:val="clear" w:color="auto" w:fill="auto"/>
            <w:noWrap/>
            <w:vAlign w:val="bottom"/>
            <w:hideMark/>
          </w:tcPr>
          <w:p w14:paraId="4A764F66"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1849" w:type="dxa"/>
            <w:tcBorders>
              <w:top w:val="nil"/>
              <w:left w:val="nil"/>
              <w:bottom w:val="single" w:sz="4" w:space="0" w:color="auto"/>
              <w:right w:val="nil"/>
            </w:tcBorders>
            <w:shd w:val="clear" w:color="auto" w:fill="auto"/>
            <w:noWrap/>
            <w:vAlign w:val="center"/>
            <w:hideMark/>
          </w:tcPr>
          <w:p w14:paraId="37D0E481" w14:textId="0C80736A"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+47 %</w:t>
            </w:r>
          </w:p>
        </w:tc>
      </w:tr>
      <w:tr w:rsidR="00033A3F" w:rsidRPr="00033A3F" w14:paraId="13511CC4"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6534375A"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331" w:type="dxa"/>
            <w:tcBorders>
              <w:top w:val="nil"/>
              <w:left w:val="nil"/>
              <w:bottom w:val="single" w:sz="4" w:space="0" w:color="auto"/>
              <w:right w:val="nil"/>
            </w:tcBorders>
            <w:shd w:val="clear" w:color="auto" w:fill="auto"/>
            <w:noWrap/>
            <w:vAlign w:val="bottom"/>
            <w:hideMark/>
          </w:tcPr>
          <w:p w14:paraId="1F3C689D"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w:t>
            </w:r>
          </w:p>
        </w:tc>
        <w:tc>
          <w:tcPr>
            <w:tcW w:w="1849" w:type="dxa"/>
            <w:tcBorders>
              <w:top w:val="nil"/>
              <w:left w:val="nil"/>
              <w:bottom w:val="single" w:sz="4" w:space="0" w:color="auto"/>
              <w:right w:val="nil"/>
            </w:tcBorders>
            <w:shd w:val="clear" w:color="auto" w:fill="auto"/>
            <w:noWrap/>
            <w:vAlign w:val="center"/>
            <w:hideMark/>
          </w:tcPr>
          <w:p w14:paraId="6B861E9B" w14:textId="36D86F44"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5B66CE66" w14:textId="77777777" w:rsidTr="00542EE2">
        <w:trPr>
          <w:trHeight w:val="330"/>
        </w:trPr>
        <w:tc>
          <w:tcPr>
            <w:tcW w:w="2780" w:type="dxa"/>
            <w:tcBorders>
              <w:top w:val="nil"/>
              <w:left w:val="nil"/>
              <w:bottom w:val="double" w:sz="6" w:space="0" w:color="auto"/>
              <w:right w:val="nil"/>
            </w:tcBorders>
            <w:shd w:val="clear" w:color="auto" w:fill="auto"/>
            <w:noWrap/>
            <w:vAlign w:val="bottom"/>
            <w:hideMark/>
          </w:tcPr>
          <w:p w14:paraId="29C959CE"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331" w:type="dxa"/>
            <w:tcBorders>
              <w:top w:val="nil"/>
              <w:left w:val="nil"/>
              <w:bottom w:val="double" w:sz="6" w:space="0" w:color="auto"/>
              <w:right w:val="nil"/>
            </w:tcBorders>
            <w:shd w:val="clear" w:color="auto" w:fill="auto"/>
            <w:noWrap/>
            <w:vAlign w:val="bottom"/>
            <w:hideMark/>
          </w:tcPr>
          <w:p w14:paraId="2C86FC11"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1849" w:type="dxa"/>
            <w:tcBorders>
              <w:top w:val="nil"/>
              <w:left w:val="nil"/>
              <w:bottom w:val="double" w:sz="6" w:space="0" w:color="auto"/>
              <w:right w:val="nil"/>
            </w:tcBorders>
            <w:shd w:val="clear" w:color="auto" w:fill="auto"/>
            <w:noWrap/>
            <w:vAlign w:val="center"/>
            <w:hideMark/>
          </w:tcPr>
          <w:p w14:paraId="5180F5E9" w14:textId="283161AA"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r>
      <w:tr w:rsidR="00033A3F" w:rsidRPr="00033A3F" w14:paraId="3AF489EB" w14:textId="77777777" w:rsidTr="00542EE2">
        <w:trPr>
          <w:trHeight w:val="345"/>
        </w:trPr>
        <w:tc>
          <w:tcPr>
            <w:tcW w:w="2780" w:type="dxa"/>
            <w:tcBorders>
              <w:top w:val="nil"/>
              <w:left w:val="nil"/>
              <w:bottom w:val="double" w:sz="6" w:space="0" w:color="auto"/>
              <w:right w:val="nil"/>
            </w:tcBorders>
            <w:shd w:val="clear" w:color="auto" w:fill="auto"/>
            <w:noWrap/>
            <w:vAlign w:val="bottom"/>
            <w:hideMark/>
          </w:tcPr>
          <w:p w14:paraId="12090855" w14:textId="77777777" w:rsidR="004C0F9C" w:rsidRPr="00033A3F" w:rsidRDefault="004C0F9C" w:rsidP="004C0F9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331" w:type="dxa"/>
            <w:tcBorders>
              <w:top w:val="nil"/>
              <w:left w:val="nil"/>
              <w:bottom w:val="double" w:sz="6" w:space="0" w:color="auto"/>
              <w:right w:val="nil"/>
            </w:tcBorders>
            <w:shd w:val="clear" w:color="auto" w:fill="auto"/>
            <w:noWrap/>
            <w:vAlign w:val="bottom"/>
            <w:hideMark/>
          </w:tcPr>
          <w:p w14:paraId="7F916038" w14:textId="77777777" w:rsidR="004C0F9C" w:rsidRPr="00033A3F" w:rsidRDefault="004C0F9C" w:rsidP="004C0F9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w:t>
            </w:r>
          </w:p>
        </w:tc>
        <w:tc>
          <w:tcPr>
            <w:tcW w:w="1849" w:type="dxa"/>
            <w:tcBorders>
              <w:top w:val="nil"/>
              <w:left w:val="nil"/>
              <w:bottom w:val="double" w:sz="6" w:space="0" w:color="auto"/>
              <w:right w:val="nil"/>
            </w:tcBorders>
            <w:shd w:val="clear" w:color="auto" w:fill="auto"/>
            <w:noWrap/>
            <w:vAlign w:val="center"/>
            <w:hideMark/>
          </w:tcPr>
          <w:p w14:paraId="07253F28" w14:textId="097C880F" w:rsidR="004C0F9C" w:rsidRPr="00033A3F" w:rsidRDefault="004C0F9C"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+5 %</w:t>
            </w:r>
          </w:p>
        </w:tc>
      </w:tr>
      <w:tr w:rsidR="00033A3F" w:rsidRPr="00033A3F" w14:paraId="263940B9" w14:textId="77777777" w:rsidTr="00542EE2">
        <w:trPr>
          <w:trHeight w:val="330"/>
        </w:trPr>
        <w:tc>
          <w:tcPr>
            <w:tcW w:w="2780" w:type="dxa"/>
            <w:tcBorders>
              <w:top w:val="nil"/>
              <w:left w:val="nil"/>
              <w:bottom w:val="nil"/>
              <w:right w:val="nil"/>
            </w:tcBorders>
            <w:shd w:val="clear" w:color="auto" w:fill="auto"/>
            <w:noWrap/>
            <w:vAlign w:val="bottom"/>
            <w:hideMark/>
          </w:tcPr>
          <w:p w14:paraId="525BD28A" w14:textId="77777777" w:rsidR="004C0F9C" w:rsidRPr="00033A3F" w:rsidRDefault="004C0F9C" w:rsidP="004C0F9C">
            <w:pPr>
              <w:spacing w:line="240" w:lineRule="auto"/>
              <w:jc w:val="center"/>
              <w:rPr>
                <w:rFonts w:eastAsia="Times New Roman"/>
                <w:b/>
                <w:bCs/>
                <w:color w:val="000000" w:themeColor="text1"/>
                <w:sz w:val="20"/>
                <w:szCs w:val="20"/>
                <w:lang w:eastAsia="cs-CZ"/>
              </w:rPr>
            </w:pPr>
          </w:p>
        </w:tc>
        <w:tc>
          <w:tcPr>
            <w:tcW w:w="1331" w:type="dxa"/>
            <w:tcBorders>
              <w:top w:val="nil"/>
              <w:left w:val="nil"/>
              <w:bottom w:val="nil"/>
              <w:right w:val="nil"/>
            </w:tcBorders>
            <w:shd w:val="clear" w:color="auto" w:fill="auto"/>
            <w:noWrap/>
            <w:vAlign w:val="bottom"/>
            <w:hideMark/>
          </w:tcPr>
          <w:p w14:paraId="27A8CDA1" w14:textId="77777777" w:rsidR="004C0F9C" w:rsidRPr="00033A3F" w:rsidRDefault="004C0F9C" w:rsidP="004C0F9C">
            <w:pPr>
              <w:spacing w:line="240" w:lineRule="auto"/>
              <w:jc w:val="left"/>
              <w:rPr>
                <w:rFonts w:ascii="Times New Roman" w:eastAsia="Times New Roman" w:hAnsi="Times New Roman"/>
                <w:color w:val="000000" w:themeColor="text1"/>
                <w:sz w:val="20"/>
                <w:szCs w:val="20"/>
                <w:lang w:eastAsia="cs-CZ"/>
              </w:rPr>
            </w:pPr>
          </w:p>
        </w:tc>
        <w:tc>
          <w:tcPr>
            <w:tcW w:w="1849" w:type="dxa"/>
            <w:tcBorders>
              <w:top w:val="nil"/>
              <w:left w:val="nil"/>
              <w:bottom w:val="nil"/>
              <w:right w:val="nil"/>
            </w:tcBorders>
            <w:shd w:val="clear" w:color="auto" w:fill="auto"/>
            <w:noWrap/>
            <w:vAlign w:val="bottom"/>
            <w:hideMark/>
          </w:tcPr>
          <w:p w14:paraId="11E556A2" w14:textId="77777777" w:rsidR="004C0F9C" w:rsidRPr="00033A3F" w:rsidRDefault="004C0F9C" w:rsidP="004C0F9C">
            <w:pPr>
              <w:spacing w:line="240" w:lineRule="auto"/>
              <w:jc w:val="left"/>
              <w:rPr>
                <w:rFonts w:ascii="Times New Roman" w:eastAsia="Times New Roman" w:hAnsi="Times New Roman"/>
                <w:color w:val="000000" w:themeColor="text1"/>
                <w:sz w:val="20"/>
                <w:szCs w:val="20"/>
                <w:lang w:eastAsia="cs-CZ"/>
              </w:rPr>
            </w:pPr>
          </w:p>
        </w:tc>
      </w:tr>
    </w:tbl>
    <w:p w14:paraId="53DC4B3B" w14:textId="1D2F8E20" w:rsidR="00165B9E" w:rsidRPr="00033A3F" w:rsidRDefault="004C0F9C" w:rsidP="004C0F9C">
      <w:pPr>
        <w:pStyle w:val="OdstavecASR"/>
        <w:rPr>
          <w:color w:val="000000" w:themeColor="text1"/>
        </w:rPr>
      </w:pPr>
      <w:r w:rsidRPr="00033A3F">
        <w:rPr>
          <w:color w:val="000000" w:themeColor="text1"/>
        </w:rPr>
        <w:t>V tabulce vidíme, že relativní změny jsou u některých soudů poměrně významné (o desítky procent). Absolutní změny jsou ale opět malé. Výsledky v této podkapitole korespondují s výsledky z podkapitol </w:t>
      </w:r>
      <w:r w:rsidRPr="00033A3F">
        <w:rPr>
          <w:color w:val="000000" w:themeColor="text1"/>
        </w:rPr>
        <w:fldChar w:fldCharType="begin"/>
      </w:r>
      <w:r w:rsidRPr="00033A3F">
        <w:rPr>
          <w:color w:val="000000" w:themeColor="text1"/>
        </w:rPr>
        <w:instrText xml:space="preserve"> REF _Ref511391169 \r \h  \* MERGEFORMAT </w:instrText>
      </w:r>
      <w:r w:rsidRPr="00033A3F">
        <w:rPr>
          <w:color w:val="000000" w:themeColor="text1"/>
        </w:rPr>
      </w:r>
      <w:r w:rsidRPr="00033A3F">
        <w:rPr>
          <w:color w:val="000000" w:themeColor="text1"/>
        </w:rPr>
        <w:fldChar w:fldCharType="separate"/>
      </w:r>
      <w:r w:rsidR="00163B51">
        <w:rPr>
          <w:color w:val="000000" w:themeColor="text1"/>
        </w:rPr>
        <w:t>3.5.1</w:t>
      </w:r>
      <w:r w:rsidRPr="00033A3F">
        <w:rPr>
          <w:color w:val="000000" w:themeColor="text1"/>
        </w:rPr>
        <w:fldChar w:fldCharType="end"/>
      </w:r>
      <w:r w:rsidRPr="00033A3F">
        <w:rPr>
          <w:color w:val="000000" w:themeColor="text1"/>
        </w:rPr>
        <w:t xml:space="preserve"> a </w:t>
      </w:r>
      <w:r w:rsidRPr="00033A3F">
        <w:rPr>
          <w:color w:val="000000" w:themeColor="text1"/>
        </w:rPr>
        <w:fldChar w:fldCharType="begin"/>
      </w:r>
      <w:r w:rsidRPr="00033A3F">
        <w:rPr>
          <w:color w:val="000000" w:themeColor="text1"/>
        </w:rPr>
        <w:instrText xml:space="preserve"> REF _Ref40897302 \r \h  \* MERGEFORMAT </w:instrText>
      </w:r>
      <w:r w:rsidRPr="00033A3F">
        <w:rPr>
          <w:color w:val="000000" w:themeColor="text1"/>
        </w:rPr>
      </w:r>
      <w:r w:rsidRPr="00033A3F">
        <w:rPr>
          <w:color w:val="000000" w:themeColor="text1"/>
        </w:rPr>
        <w:fldChar w:fldCharType="separate"/>
      </w:r>
      <w:r w:rsidR="00163B51">
        <w:rPr>
          <w:color w:val="000000" w:themeColor="text1"/>
        </w:rPr>
        <w:t>3.5.2</w:t>
      </w:r>
      <w:r w:rsidRPr="00033A3F">
        <w:rPr>
          <w:color w:val="000000" w:themeColor="text1"/>
        </w:rPr>
        <w:fldChar w:fldCharType="end"/>
      </w:r>
      <w:r w:rsidRPr="00033A3F">
        <w:rPr>
          <w:color w:val="000000" w:themeColor="text1"/>
        </w:rPr>
        <w:t>. Agenda je ze statistického hlediska na vyřizování v zásadě bezproblémová.</w:t>
      </w:r>
    </w:p>
    <w:p w14:paraId="1CBF7FEF" w14:textId="77777777" w:rsidR="00165B9E" w:rsidRPr="00033A3F" w:rsidRDefault="00165B9E">
      <w:pPr>
        <w:spacing w:after="160" w:line="259" w:lineRule="auto"/>
        <w:jc w:val="left"/>
        <w:rPr>
          <w:color w:val="000000" w:themeColor="text1"/>
        </w:rPr>
      </w:pPr>
      <w:r w:rsidRPr="00033A3F">
        <w:rPr>
          <w:color w:val="000000" w:themeColor="text1"/>
        </w:rPr>
        <w:br w:type="page"/>
      </w:r>
    </w:p>
    <w:p w14:paraId="4C3CFCB6" w14:textId="24ABED07" w:rsidR="008430BD" w:rsidRPr="00033A3F" w:rsidRDefault="008430BD" w:rsidP="008430BD">
      <w:pPr>
        <w:pStyle w:val="Nadpis2"/>
        <w:numPr>
          <w:ilvl w:val="1"/>
          <w:numId w:val="1"/>
        </w:numPr>
        <w:spacing w:before="120"/>
      </w:pPr>
      <w:bookmarkStart w:id="1651" w:name="_Toc193866461"/>
      <w:bookmarkStart w:id="1652" w:name="_Toc193872878"/>
      <w:bookmarkStart w:id="1653" w:name="_Toc193957068"/>
      <w:bookmarkStart w:id="1654" w:name="_Toc169250850"/>
      <w:bookmarkStart w:id="1655" w:name="_Toc193531012"/>
      <w:bookmarkStart w:id="1656" w:name="_Toc193957069"/>
      <w:bookmarkStart w:id="1657" w:name="_Toc203032758"/>
      <w:bookmarkEnd w:id="1651"/>
      <w:bookmarkEnd w:id="1652"/>
      <w:bookmarkEnd w:id="1653"/>
      <w:r w:rsidRPr="00033A3F">
        <w:lastRenderedPageBreak/>
        <w:t>Správní agenda</w:t>
      </w:r>
      <w:bookmarkEnd w:id="1623"/>
      <w:bookmarkEnd w:id="1624"/>
      <w:bookmarkEnd w:id="1625"/>
      <w:bookmarkEnd w:id="1654"/>
      <w:bookmarkEnd w:id="1655"/>
      <w:bookmarkEnd w:id="1656"/>
      <w:bookmarkEnd w:id="1657"/>
    </w:p>
    <w:p w14:paraId="423C14B5" w14:textId="77777777" w:rsidR="007952E9" w:rsidRPr="00033A3F" w:rsidRDefault="007952E9" w:rsidP="007952E9">
      <w:pPr>
        <w:pStyle w:val="OdstavecASR"/>
        <w:rPr>
          <w:color w:val="000000" w:themeColor="text1"/>
        </w:rPr>
      </w:pPr>
      <w:r w:rsidRPr="00033A3F">
        <w:rPr>
          <w:color w:val="000000" w:themeColor="text1"/>
        </w:rPr>
        <w:t>Správní agenda krajských soudů zahrnuje rejstříky A (všeobecná správní agenda), Af (agenda ve věcech finanční správy), Ad (sociální a důchodová agenda) a Az (azylová agenda).</w:t>
      </w:r>
    </w:p>
    <w:p w14:paraId="527DB0FD" w14:textId="79BDB71C" w:rsidR="008430BD" w:rsidRPr="00033A3F" w:rsidRDefault="008430BD" w:rsidP="008430BD">
      <w:pPr>
        <w:pStyle w:val="Nadpis3"/>
        <w:numPr>
          <w:ilvl w:val="2"/>
          <w:numId w:val="1"/>
        </w:numPr>
        <w:rPr>
          <w:color w:val="000000" w:themeColor="text1"/>
        </w:rPr>
      </w:pPr>
      <w:bookmarkStart w:id="1658" w:name="_Toc43903076"/>
      <w:bookmarkStart w:id="1659" w:name="_Toc106092775"/>
      <w:bookmarkStart w:id="1660" w:name="_Toc169250851"/>
      <w:bookmarkStart w:id="1661" w:name="_Toc193531013"/>
      <w:bookmarkStart w:id="1662" w:name="_Toc193957070"/>
      <w:bookmarkStart w:id="1663" w:name="_Toc203032759"/>
      <w:r w:rsidRPr="00033A3F">
        <w:rPr>
          <w:color w:val="000000" w:themeColor="text1"/>
        </w:rPr>
        <w:t>Délka řízení</w:t>
      </w:r>
      <w:bookmarkEnd w:id="1658"/>
      <w:bookmarkEnd w:id="1659"/>
      <w:bookmarkEnd w:id="1660"/>
      <w:bookmarkEnd w:id="1661"/>
      <w:bookmarkEnd w:id="1662"/>
      <w:bookmarkEnd w:id="1663"/>
    </w:p>
    <w:p w14:paraId="79853C8F" w14:textId="17E775E0" w:rsidR="007952E9" w:rsidRPr="00033A3F" w:rsidRDefault="007952E9" w:rsidP="007952E9">
      <w:pPr>
        <w:pStyle w:val="OdstavecASR"/>
        <w:rPr>
          <w:color w:val="000000" w:themeColor="text1"/>
        </w:rPr>
      </w:pPr>
      <w:r w:rsidRPr="00033A3F">
        <w:rPr>
          <w:color w:val="000000" w:themeColor="text1"/>
        </w:rPr>
        <w:t xml:space="preserve">V období zobrazeném na grafu jsou délky řízení relativně stabilní až do roku 2021. Tato stabilní úroveň nicméně byla důsledkem výrazného nárůstu v letech 2009 až 2014 a spolu s dalšími ukazateli, jako je počet nevyřízených věcí, svědčila o relativně špatné situaci správního soudnictví. Od roku 2019 nicméně klesal počet nevyřízených věcí a také se měnilo složení portfolia vyřizovaných věcí – zvýšil </w:t>
      </w:r>
      <w:r w:rsidR="00A702B0" w:rsidRPr="00033A3F">
        <w:rPr>
          <w:color w:val="000000" w:themeColor="text1"/>
        </w:rPr>
        <w:t>se</w:t>
      </w:r>
      <w:r w:rsidRPr="00033A3F">
        <w:rPr>
          <w:color w:val="000000" w:themeColor="text1"/>
        </w:rPr>
        <w:t xml:space="preserve"> podíl vyřízení dlouhodobě nevyřízených věcí, což naznačovalo, že ke zlepšení délek řízení by mělo dojít v dohledné době. Stalo se tak v roce 2022, kdy došlo k významnému poklesu v délkách řízení: medián klesl o 62 dnů a byl nejnižší od roku 2013, průměr klesl o 72 dnů a byl nejnižší od roku 2012 a percentil 90 klesl o 190 dnů a byl nejnižší od roku 2011. Postupné vylepšování statistik nevyřízených věcí se tedy nakonec promítlo i do délek řízení, zejména u nejvíce přetížených soudů. Výrazný pokles pokračoval i v letech 2023 a 2024. Například medián tak mezi roky 2021 a 2024 klesl o </w:t>
      </w:r>
      <w:r w:rsidR="000C7A72" w:rsidRPr="00033A3F">
        <w:rPr>
          <w:color w:val="000000" w:themeColor="text1"/>
        </w:rPr>
        <w:t>176</w:t>
      </w:r>
      <w:r w:rsidRPr="00033A3F">
        <w:rPr>
          <w:color w:val="000000" w:themeColor="text1"/>
        </w:rPr>
        <w:t xml:space="preserve"> dnů, tedy 42 %.</w:t>
      </w:r>
    </w:p>
    <w:p w14:paraId="077144CC" w14:textId="460EC498" w:rsidR="007952E9" w:rsidRPr="00033A3F" w:rsidRDefault="007952E9" w:rsidP="007952E9">
      <w:pPr>
        <w:pStyle w:val="Podnadpis"/>
        <w:numPr>
          <w:ilvl w:val="0"/>
          <w:numId w:val="0"/>
        </w:numPr>
        <w:rPr>
          <w:color w:val="000000" w:themeColor="text1"/>
        </w:rPr>
      </w:pPr>
      <w:bookmarkStart w:id="1664" w:name="_Toc75952249"/>
      <w:bookmarkStart w:id="1665" w:name="_Toc106106708"/>
      <w:bookmarkStart w:id="1666" w:name="_Toc109802032"/>
      <w:bookmarkStart w:id="1667" w:name="_Toc144104182"/>
      <w:bookmarkStart w:id="1668" w:name="_Toc169250995"/>
      <w:bookmarkStart w:id="1669" w:name="_Toc174080681"/>
      <w:bookmarkStart w:id="1670" w:name="_Toc193530835"/>
      <w:bookmarkStart w:id="1671" w:name="_Toc193634109"/>
      <w:bookmarkStart w:id="1672" w:name="_Toc20303290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80</w:t>
      </w:r>
      <w:r w:rsidRPr="00033A3F">
        <w:rPr>
          <w:color w:val="000000" w:themeColor="text1"/>
        </w:rPr>
        <w:fldChar w:fldCharType="end"/>
      </w:r>
      <w:r w:rsidRPr="00033A3F">
        <w:rPr>
          <w:color w:val="000000" w:themeColor="text1"/>
        </w:rPr>
        <w:t>: KS – délka správního řízení u KS v letech 2015–202</w:t>
      </w:r>
      <w:bookmarkEnd w:id="1664"/>
      <w:bookmarkEnd w:id="1665"/>
      <w:bookmarkEnd w:id="1666"/>
      <w:bookmarkEnd w:id="1667"/>
      <w:bookmarkEnd w:id="1668"/>
      <w:bookmarkEnd w:id="1669"/>
      <w:r w:rsidRPr="00033A3F">
        <w:rPr>
          <w:color w:val="000000" w:themeColor="text1"/>
        </w:rPr>
        <w:t>4</w:t>
      </w:r>
      <w:bookmarkEnd w:id="1670"/>
      <w:bookmarkEnd w:id="1671"/>
      <w:bookmarkEnd w:id="1672"/>
    </w:p>
    <w:p w14:paraId="2966015C" w14:textId="097C5E00" w:rsidR="007952E9" w:rsidRPr="00033A3F" w:rsidRDefault="007952E9" w:rsidP="007952E9">
      <w:pPr>
        <w:rPr>
          <w:color w:val="000000" w:themeColor="text1"/>
        </w:rPr>
      </w:pPr>
      <w:r w:rsidRPr="00033A3F">
        <w:rPr>
          <w:noProof/>
          <w:color w:val="000000" w:themeColor="text1"/>
          <w:lang w:eastAsia="cs-CZ"/>
        </w:rPr>
        <w:drawing>
          <wp:inline distT="0" distB="0" distL="0" distR="0" wp14:anchorId="5F337902" wp14:editId="1C15C2E4">
            <wp:extent cx="5029200" cy="3657600"/>
            <wp:effectExtent l="0" t="0" r="0" b="0"/>
            <wp:docPr id="1662111619"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0353DE9" w14:textId="77777777" w:rsidR="00686B28" w:rsidRPr="00033A3F" w:rsidRDefault="00686B28">
      <w:pPr>
        <w:spacing w:after="160" w:line="259" w:lineRule="auto"/>
        <w:jc w:val="left"/>
        <w:rPr>
          <w:color w:val="000000" w:themeColor="text1"/>
        </w:rPr>
      </w:pPr>
      <w:bookmarkStart w:id="1673" w:name="_Toc144104306"/>
      <w:bookmarkStart w:id="1674" w:name="_Toc169251121"/>
      <w:bookmarkStart w:id="1675" w:name="_Toc174080807"/>
    </w:p>
    <w:p w14:paraId="7594FB0B" w14:textId="178DF42B" w:rsidR="00686B28" w:rsidRPr="00033A3F" w:rsidRDefault="00686B28" w:rsidP="00686B28">
      <w:pPr>
        <w:pStyle w:val="OdstavecASR"/>
        <w:rPr>
          <w:color w:val="000000" w:themeColor="text1"/>
        </w:rPr>
      </w:pPr>
      <w:r w:rsidRPr="00033A3F">
        <w:rPr>
          <w:color w:val="000000" w:themeColor="text1"/>
        </w:rPr>
        <w:t xml:space="preserve">Nejvyšší délky řízení vykazovaly KS Brno, MS Praha a KS Ústí nad Labem. Právě tyto tři soudy ale v letech 2022 až 2024 zaznamenaly výrazné zlepšení. KS v Ústí nad Labem dokonce dostihl KS v Ostravě. Jak je uvedeno výše, v posledních letech došlo k masivnímu poklesu </w:t>
      </w:r>
      <w:r w:rsidR="00A702B0" w:rsidRPr="00033A3F">
        <w:rPr>
          <w:color w:val="000000" w:themeColor="text1"/>
        </w:rPr>
        <w:t>v</w:t>
      </w:r>
      <w:r w:rsidRPr="00033A3F">
        <w:rPr>
          <w:color w:val="000000" w:themeColor="text1"/>
        </w:rPr>
        <w:t xml:space="preserve"> délkách řízení, především u soudů, kde byla situace nejhorší. Pokles samozřejmě nemůže pokračovat donekonečna a je tedy otázka, kdy se </w:t>
      </w:r>
      <w:r w:rsidR="00EE6BFC" w:rsidRPr="00033A3F">
        <w:rPr>
          <w:color w:val="000000" w:themeColor="text1"/>
        </w:rPr>
        <w:t>délky řízení</w:t>
      </w:r>
      <w:r w:rsidRPr="00033A3F">
        <w:rPr>
          <w:color w:val="000000" w:themeColor="text1"/>
        </w:rPr>
        <w:t xml:space="preserve"> </w:t>
      </w:r>
      <w:r w:rsidR="00C13A01" w:rsidRPr="00033A3F">
        <w:rPr>
          <w:color w:val="000000" w:themeColor="text1"/>
        </w:rPr>
        <w:t xml:space="preserve">zastaví. Jak ukazuje další podkapitola, počet příchozích věcí opět pomalu roste a pokles v počtu nevyřízených věcí výrazně zpomaluje. U některých soudů ale stále </w:t>
      </w:r>
      <w:r w:rsidR="000C7A72" w:rsidRPr="00033A3F">
        <w:rPr>
          <w:color w:val="000000" w:themeColor="text1"/>
        </w:rPr>
        <w:t>zřejmě existuje</w:t>
      </w:r>
      <w:r w:rsidR="00C13A01" w:rsidRPr="00033A3F">
        <w:rPr>
          <w:color w:val="000000" w:themeColor="text1"/>
        </w:rPr>
        <w:t xml:space="preserve"> prostor pro zlepšení.</w:t>
      </w:r>
    </w:p>
    <w:p w14:paraId="296D07D2" w14:textId="7851B864" w:rsidR="007952E9" w:rsidRPr="00033A3F" w:rsidRDefault="007952E9" w:rsidP="00165B9E">
      <w:pPr>
        <w:pStyle w:val="Podnadpis"/>
        <w:rPr>
          <w:color w:val="000000" w:themeColor="text1"/>
        </w:rPr>
      </w:pPr>
      <w:bookmarkStart w:id="1676" w:name="_Toc193530933"/>
      <w:bookmarkStart w:id="1677" w:name="_Toc194045630"/>
      <w:bookmarkStart w:id="1678" w:name="_Toc199495040"/>
      <w:bookmarkStart w:id="1679" w:name="_Toc203033101"/>
      <w:bookmarkStart w:id="1680" w:name="_Toc203033179"/>
      <w:r w:rsidRPr="00033A3F">
        <w:rPr>
          <w:color w:val="000000" w:themeColor="text1"/>
        </w:rPr>
        <w:lastRenderedPageBreak/>
        <w:t xml:space="preserve">Tabulka </w:t>
      </w:r>
      <w:r w:rsidR="00BC30BA" w:rsidRPr="00033A3F">
        <w:rPr>
          <w:noProof/>
          <w:color w:val="000000" w:themeColor="text1"/>
        </w:rPr>
        <w:fldChar w:fldCharType="begin"/>
      </w:r>
      <w:r w:rsidR="00BC30BA" w:rsidRPr="00033A3F">
        <w:rPr>
          <w:noProof/>
          <w:color w:val="000000" w:themeColor="text1"/>
        </w:rPr>
        <w:instrText xml:space="preserve"> SEQ Tabulka \* ARABIC </w:instrText>
      </w:r>
      <w:r w:rsidR="00BC30BA" w:rsidRPr="00033A3F">
        <w:rPr>
          <w:noProof/>
          <w:color w:val="000000" w:themeColor="text1"/>
        </w:rPr>
        <w:fldChar w:fldCharType="separate"/>
      </w:r>
      <w:r w:rsidR="00163B51">
        <w:rPr>
          <w:noProof/>
          <w:color w:val="000000" w:themeColor="text1"/>
        </w:rPr>
        <w:t>59</w:t>
      </w:r>
      <w:r w:rsidR="00BC30BA" w:rsidRPr="00033A3F">
        <w:rPr>
          <w:noProof/>
          <w:color w:val="000000" w:themeColor="text1"/>
        </w:rPr>
        <w:fldChar w:fldCharType="end"/>
      </w:r>
      <w:r w:rsidRPr="00033A3F">
        <w:rPr>
          <w:color w:val="000000" w:themeColor="text1"/>
        </w:rPr>
        <w:t>: KS – délky správního řízení dle soudů</w:t>
      </w:r>
      <w:bookmarkEnd w:id="1673"/>
      <w:bookmarkEnd w:id="1674"/>
      <w:bookmarkEnd w:id="1675"/>
      <w:bookmarkEnd w:id="1676"/>
      <w:bookmarkEnd w:id="1677"/>
      <w:bookmarkEnd w:id="1678"/>
      <w:bookmarkEnd w:id="1679"/>
      <w:bookmarkEnd w:id="1680"/>
    </w:p>
    <w:tbl>
      <w:tblPr>
        <w:tblW w:w="7520" w:type="dxa"/>
        <w:tblLayout w:type="fixed"/>
        <w:tblCellMar>
          <w:left w:w="70" w:type="dxa"/>
          <w:right w:w="70" w:type="dxa"/>
        </w:tblCellMar>
        <w:tblLook w:val="04A0" w:firstRow="1" w:lastRow="0" w:firstColumn="1" w:lastColumn="0" w:noHBand="0" w:noVBand="1"/>
      </w:tblPr>
      <w:tblGrid>
        <w:gridCol w:w="2480"/>
        <w:gridCol w:w="922"/>
        <w:gridCol w:w="758"/>
        <w:gridCol w:w="943"/>
        <w:gridCol w:w="737"/>
        <w:gridCol w:w="964"/>
        <w:gridCol w:w="716"/>
      </w:tblGrid>
      <w:tr w:rsidR="00686B28" w:rsidRPr="00033A3F" w14:paraId="2049E8F4"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A1BC600"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0687BC27"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BF0CC3" w:rsidRPr="00033A3F" w14:paraId="47822425" w14:textId="77777777" w:rsidTr="00824AE6">
        <w:trPr>
          <w:trHeight w:val="330"/>
        </w:trPr>
        <w:tc>
          <w:tcPr>
            <w:tcW w:w="2480" w:type="dxa"/>
            <w:vMerge/>
            <w:tcBorders>
              <w:top w:val="double" w:sz="6" w:space="0" w:color="auto"/>
              <w:left w:val="nil"/>
              <w:bottom w:val="double" w:sz="6" w:space="0" w:color="000000"/>
              <w:right w:val="nil"/>
            </w:tcBorders>
            <w:vAlign w:val="center"/>
            <w:hideMark/>
          </w:tcPr>
          <w:p w14:paraId="4E7AA8BD" w14:textId="77777777" w:rsidR="00686B28" w:rsidRPr="00033A3F" w:rsidRDefault="00686B28" w:rsidP="00686B28">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52A83B2B"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AF2B8AA"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6CA315A4"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BF0CC3" w:rsidRPr="00033A3F" w14:paraId="7F7F1C02" w14:textId="77777777" w:rsidTr="00824AE6">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6B18B1C"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4432B20C"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375</w:t>
            </w:r>
          </w:p>
        </w:tc>
        <w:tc>
          <w:tcPr>
            <w:tcW w:w="758" w:type="dxa"/>
            <w:tcBorders>
              <w:top w:val="single" w:sz="4" w:space="0" w:color="auto"/>
              <w:left w:val="nil"/>
              <w:bottom w:val="single" w:sz="4" w:space="0" w:color="auto"/>
              <w:right w:val="nil"/>
            </w:tcBorders>
            <w:shd w:val="clear" w:color="auto" w:fill="auto"/>
            <w:noWrap/>
            <w:vAlign w:val="center"/>
            <w:hideMark/>
          </w:tcPr>
          <w:p w14:paraId="67E56061" w14:textId="032EE279"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c>
          <w:tcPr>
            <w:tcW w:w="943" w:type="dxa"/>
            <w:tcBorders>
              <w:top w:val="nil"/>
              <w:left w:val="single" w:sz="4" w:space="0" w:color="auto"/>
              <w:bottom w:val="single" w:sz="4" w:space="0" w:color="auto"/>
              <w:right w:val="nil"/>
            </w:tcBorders>
            <w:shd w:val="clear" w:color="auto" w:fill="auto"/>
            <w:noWrap/>
            <w:vAlign w:val="bottom"/>
            <w:hideMark/>
          </w:tcPr>
          <w:p w14:paraId="65AF6A43"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280</w:t>
            </w:r>
          </w:p>
        </w:tc>
        <w:tc>
          <w:tcPr>
            <w:tcW w:w="737" w:type="dxa"/>
            <w:tcBorders>
              <w:top w:val="nil"/>
              <w:left w:val="nil"/>
              <w:bottom w:val="single" w:sz="4" w:space="0" w:color="auto"/>
              <w:right w:val="single" w:sz="4" w:space="0" w:color="auto"/>
            </w:tcBorders>
            <w:shd w:val="clear" w:color="auto" w:fill="auto"/>
            <w:noWrap/>
            <w:vAlign w:val="center"/>
            <w:hideMark/>
          </w:tcPr>
          <w:p w14:paraId="158C844E" w14:textId="38B2DF79"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c>
          <w:tcPr>
            <w:tcW w:w="964" w:type="dxa"/>
            <w:tcBorders>
              <w:top w:val="single" w:sz="4" w:space="0" w:color="auto"/>
              <w:left w:val="nil"/>
              <w:bottom w:val="single" w:sz="4" w:space="0" w:color="auto"/>
              <w:right w:val="nil"/>
            </w:tcBorders>
            <w:shd w:val="clear" w:color="auto" w:fill="auto"/>
            <w:noWrap/>
            <w:vAlign w:val="bottom"/>
            <w:hideMark/>
          </w:tcPr>
          <w:p w14:paraId="4ABC5065"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826</w:t>
            </w:r>
          </w:p>
        </w:tc>
        <w:tc>
          <w:tcPr>
            <w:tcW w:w="716" w:type="dxa"/>
            <w:tcBorders>
              <w:top w:val="single" w:sz="4" w:space="0" w:color="auto"/>
              <w:left w:val="nil"/>
              <w:bottom w:val="single" w:sz="4" w:space="0" w:color="auto"/>
              <w:right w:val="nil"/>
            </w:tcBorders>
            <w:shd w:val="clear" w:color="auto" w:fill="auto"/>
            <w:noWrap/>
            <w:vAlign w:val="center"/>
            <w:hideMark/>
          </w:tcPr>
          <w:p w14:paraId="3565050A" w14:textId="4134028C"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r>
      <w:tr w:rsidR="00BF0CC3" w:rsidRPr="00033A3F" w14:paraId="70F713B1"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4A626E97"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3D39660E"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283</w:t>
            </w:r>
          </w:p>
        </w:tc>
        <w:tc>
          <w:tcPr>
            <w:tcW w:w="758" w:type="dxa"/>
            <w:tcBorders>
              <w:top w:val="nil"/>
              <w:left w:val="nil"/>
              <w:bottom w:val="single" w:sz="4" w:space="0" w:color="auto"/>
              <w:right w:val="nil"/>
            </w:tcBorders>
            <w:shd w:val="clear" w:color="auto" w:fill="auto"/>
            <w:noWrap/>
            <w:vAlign w:val="center"/>
            <w:hideMark/>
          </w:tcPr>
          <w:p w14:paraId="5E0D00B3" w14:textId="03527A52"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943" w:type="dxa"/>
            <w:tcBorders>
              <w:top w:val="nil"/>
              <w:left w:val="single" w:sz="4" w:space="0" w:color="auto"/>
              <w:bottom w:val="single" w:sz="4" w:space="0" w:color="auto"/>
              <w:right w:val="nil"/>
            </w:tcBorders>
            <w:shd w:val="clear" w:color="auto" w:fill="auto"/>
            <w:noWrap/>
            <w:vAlign w:val="bottom"/>
            <w:hideMark/>
          </w:tcPr>
          <w:p w14:paraId="33E0B629"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173</w:t>
            </w:r>
          </w:p>
        </w:tc>
        <w:tc>
          <w:tcPr>
            <w:tcW w:w="737" w:type="dxa"/>
            <w:tcBorders>
              <w:top w:val="nil"/>
              <w:left w:val="nil"/>
              <w:bottom w:val="single" w:sz="4" w:space="0" w:color="auto"/>
              <w:right w:val="single" w:sz="4" w:space="0" w:color="auto"/>
            </w:tcBorders>
            <w:shd w:val="clear" w:color="auto" w:fill="auto"/>
            <w:noWrap/>
            <w:vAlign w:val="center"/>
            <w:hideMark/>
          </w:tcPr>
          <w:p w14:paraId="4EB90249" w14:textId="0E2B5DE1"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c>
          <w:tcPr>
            <w:tcW w:w="964" w:type="dxa"/>
            <w:tcBorders>
              <w:top w:val="nil"/>
              <w:left w:val="nil"/>
              <w:bottom w:val="single" w:sz="4" w:space="0" w:color="auto"/>
              <w:right w:val="nil"/>
            </w:tcBorders>
            <w:shd w:val="clear" w:color="auto" w:fill="auto"/>
            <w:noWrap/>
            <w:vAlign w:val="bottom"/>
            <w:hideMark/>
          </w:tcPr>
          <w:p w14:paraId="2A99779F"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671</w:t>
            </w:r>
          </w:p>
        </w:tc>
        <w:tc>
          <w:tcPr>
            <w:tcW w:w="716" w:type="dxa"/>
            <w:tcBorders>
              <w:top w:val="nil"/>
              <w:left w:val="nil"/>
              <w:bottom w:val="single" w:sz="4" w:space="0" w:color="auto"/>
              <w:right w:val="nil"/>
            </w:tcBorders>
            <w:shd w:val="clear" w:color="auto" w:fill="auto"/>
            <w:noWrap/>
            <w:vAlign w:val="center"/>
            <w:hideMark/>
          </w:tcPr>
          <w:p w14:paraId="5C8EE514" w14:textId="30BD3C29"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BF0CC3" w:rsidRPr="00033A3F" w14:paraId="56EE4DD6"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51BB6EED"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1E9B5D3B"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216</w:t>
            </w:r>
          </w:p>
        </w:tc>
        <w:tc>
          <w:tcPr>
            <w:tcW w:w="758" w:type="dxa"/>
            <w:tcBorders>
              <w:top w:val="nil"/>
              <w:left w:val="nil"/>
              <w:bottom w:val="single" w:sz="4" w:space="0" w:color="auto"/>
              <w:right w:val="nil"/>
            </w:tcBorders>
            <w:shd w:val="clear" w:color="auto" w:fill="auto"/>
            <w:noWrap/>
            <w:vAlign w:val="center"/>
            <w:hideMark/>
          </w:tcPr>
          <w:p w14:paraId="49545FD3" w14:textId="66B9BCF2"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43" w:type="dxa"/>
            <w:tcBorders>
              <w:top w:val="nil"/>
              <w:left w:val="single" w:sz="4" w:space="0" w:color="auto"/>
              <w:bottom w:val="single" w:sz="4" w:space="0" w:color="auto"/>
              <w:right w:val="nil"/>
            </w:tcBorders>
            <w:shd w:val="clear" w:color="auto" w:fill="auto"/>
            <w:noWrap/>
            <w:vAlign w:val="bottom"/>
            <w:hideMark/>
          </w:tcPr>
          <w:p w14:paraId="44ECEEC1"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117</w:t>
            </w:r>
          </w:p>
        </w:tc>
        <w:tc>
          <w:tcPr>
            <w:tcW w:w="737" w:type="dxa"/>
            <w:tcBorders>
              <w:top w:val="nil"/>
              <w:left w:val="nil"/>
              <w:bottom w:val="single" w:sz="4" w:space="0" w:color="auto"/>
              <w:right w:val="single" w:sz="4" w:space="0" w:color="auto"/>
            </w:tcBorders>
            <w:shd w:val="clear" w:color="auto" w:fill="auto"/>
            <w:noWrap/>
            <w:vAlign w:val="center"/>
            <w:hideMark/>
          </w:tcPr>
          <w:p w14:paraId="5090386E" w14:textId="7E9277C3"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64" w:type="dxa"/>
            <w:tcBorders>
              <w:top w:val="nil"/>
              <w:left w:val="nil"/>
              <w:bottom w:val="single" w:sz="4" w:space="0" w:color="auto"/>
              <w:right w:val="nil"/>
            </w:tcBorders>
            <w:shd w:val="clear" w:color="auto" w:fill="auto"/>
            <w:noWrap/>
            <w:vAlign w:val="bottom"/>
            <w:hideMark/>
          </w:tcPr>
          <w:p w14:paraId="47D1B764"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419</w:t>
            </w:r>
          </w:p>
        </w:tc>
        <w:tc>
          <w:tcPr>
            <w:tcW w:w="716" w:type="dxa"/>
            <w:tcBorders>
              <w:top w:val="nil"/>
              <w:left w:val="nil"/>
              <w:bottom w:val="single" w:sz="4" w:space="0" w:color="auto"/>
              <w:right w:val="nil"/>
            </w:tcBorders>
            <w:shd w:val="clear" w:color="auto" w:fill="auto"/>
            <w:noWrap/>
            <w:vAlign w:val="center"/>
            <w:hideMark/>
          </w:tcPr>
          <w:p w14:paraId="53755297" w14:textId="54096A9A"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BF0CC3" w:rsidRPr="00033A3F" w14:paraId="3001ABDB"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0F2CE290"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47FC5D4B"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217</w:t>
            </w:r>
          </w:p>
        </w:tc>
        <w:tc>
          <w:tcPr>
            <w:tcW w:w="758" w:type="dxa"/>
            <w:tcBorders>
              <w:top w:val="nil"/>
              <w:left w:val="nil"/>
              <w:bottom w:val="single" w:sz="4" w:space="0" w:color="auto"/>
              <w:right w:val="nil"/>
            </w:tcBorders>
            <w:shd w:val="clear" w:color="auto" w:fill="auto"/>
            <w:noWrap/>
            <w:vAlign w:val="center"/>
            <w:hideMark/>
          </w:tcPr>
          <w:p w14:paraId="3793DBD1" w14:textId="084B6C0B"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3" w:type="dxa"/>
            <w:tcBorders>
              <w:top w:val="nil"/>
              <w:left w:val="single" w:sz="4" w:space="0" w:color="auto"/>
              <w:bottom w:val="single" w:sz="4" w:space="0" w:color="auto"/>
              <w:right w:val="nil"/>
            </w:tcBorders>
            <w:shd w:val="clear" w:color="auto" w:fill="auto"/>
            <w:noWrap/>
            <w:vAlign w:val="bottom"/>
            <w:hideMark/>
          </w:tcPr>
          <w:p w14:paraId="3E64A509"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151</w:t>
            </w:r>
          </w:p>
        </w:tc>
        <w:tc>
          <w:tcPr>
            <w:tcW w:w="737" w:type="dxa"/>
            <w:tcBorders>
              <w:top w:val="nil"/>
              <w:left w:val="nil"/>
              <w:bottom w:val="single" w:sz="4" w:space="0" w:color="auto"/>
              <w:right w:val="single" w:sz="4" w:space="0" w:color="auto"/>
            </w:tcBorders>
            <w:shd w:val="clear" w:color="auto" w:fill="auto"/>
            <w:noWrap/>
            <w:vAlign w:val="center"/>
            <w:hideMark/>
          </w:tcPr>
          <w:p w14:paraId="361C2861" w14:textId="507C8A28"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64" w:type="dxa"/>
            <w:tcBorders>
              <w:top w:val="nil"/>
              <w:left w:val="nil"/>
              <w:bottom w:val="single" w:sz="4" w:space="0" w:color="auto"/>
              <w:right w:val="nil"/>
            </w:tcBorders>
            <w:shd w:val="clear" w:color="auto" w:fill="auto"/>
            <w:noWrap/>
            <w:vAlign w:val="bottom"/>
            <w:hideMark/>
          </w:tcPr>
          <w:p w14:paraId="7145F078"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409</w:t>
            </w:r>
          </w:p>
        </w:tc>
        <w:tc>
          <w:tcPr>
            <w:tcW w:w="716" w:type="dxa"/>
            <w:tcBorders>
              <w:top w:val="nil"/>
              <w:left w:val="nil"/>
              <w:bottom w:val="single" w:sz="4" w:space="0" w:color="auto"/>
              <w:right w:val="nil"/>
            </w:tcBorders>
            <w:shd w:val="clear" w:color="auto" w:fill="auto"/>
            <w:noWrap/>
            <w:vAlign w:val="center"/>
            <w:hideMark/>
          </w:tcPr>
          <w:p w14:paraId="232726A1" w14:textId="54CD0828"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BF0CC3" w:rsidRPr="00033A3F" w14:paraId="477F8614"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4B2AC155"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4247AC60"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308</w:t>
            </w:r>
          </w:p>
        </w:tc>
        <w:tc>
          <w:tcPr>
            <w:tcW w:w="758" w:type="dxa"/>
            <w:tcBorders>
              <w:top w:val="nil"/>
              <w:left w:val="nil"/>
              <w:bottom w:val="single" w:sz="4" w:space="0" w:color="auto"/>
              <w:right w:val="nil"/>
            </w:tcBorders>
            <w:shd w:val="clear" w:color="auto" w:fill="auto"/>
            <w:noWrap/>
            <w:vAlign w:val="center"/>
            <w:hideMark/>
          </w:tcPr>
          <w:p w14:paraId="52ACB830" w14:textId="58BEC863"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943" w:type="dxa"/>
            <w:tcBorders>
              <w:top w:val="nil"/>
              <w:left w:val="single" w:sz="4" w:space="0" w:color="auto"/>
              <w:bottom w:val="single" w:sz="4" w:space="0" w:color="auto"/>
              <w:right w:val="nil"/>
            </w:tcBorders>
            <w:shd w:val="clear" w:color="auto" w:fill="auto"/>
            <w:noWrap/>
            <w:vAlign w:val="bottom"/>
            <w:hideMark/>
          </w:tcPr>
          <w:p w14:paraId="4722F70F"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225</w:t>
            </w:r>
          </w:p>
        </w:tc>
        <w:tc>
          <w:tcPr>
            <w:tcW w:w="737" w:type="dxa"/>
            <w:tcBorders>
              <w:top w:val="nil"/>
              <w:left w:val="nil"/>
              <w:bottom w:val="single" w:sz="4" w:space="0" w:color="auto"/>
              <w:right w:val="single" w:sz="4" w:space="0" w:color="auto"/>
            </w:tcBorders>
            <w:shd w:val="clear" w:color="auto" w:fill="auto"/>
            <w:noWrap/>
            <w:vAlign w:val="center"/>
            <w:hideMark/>
          </w:tcPr>
          <w:p w14:paraId="236CCA53" w14:textId="2A1A6059"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64" w:type="dxa"/>
            <w:tcBorders>
              <w:top w:val="nil"/>
              <w:left w:val="nil"/>
              <w:bottom w:val="single" w:sz="4" w:space="0" w:color="auto"/>
              <w:right w:val="nil"/>
            </w:tcBorders>
            <w:shd w:val="clear" w:color="auto" w:fill="auto"/>
            <w:noWrap/>
            <w:vAlign w:val="bottom"/>
            <w:hideMark/>
          </w:tcPr>
          <w:p w14:paraId="1F9A9DC2"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618</w:t>
            </w:r>
          </w:p>
        </w:tc>
        <w:tc>
          <w:tcPr>
            <w:tcW w:w="716" w:type="dxa"/>
            <w:tcBorders>
              <w:top w:val="nil"/>
              <w:left w:val="nil"/>
              <w:bottom w:val="single" w:sz="4" w:space="0" w:color="auto"/>
              <w:right w:val="nil"/>
            </w:tcBorders>
            <w:shd w:val="clear" w:color="auto" w:fill="auto"/>
            <w:noWrap/>
            <w:vAlign w:val="center"/>
            <w:hideMark/>
          </w:tcPr>
          <w:p w14:paraId="09A2D985" w14:textId="50EEFCC4"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r>
      <w:tr w:rsidR="00BF0CC3" w:rsidRPr="00033A3F" w14:paraId="5DDB6E35"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0247810A"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0C2E12F6"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219</w:t>
            </w:r>
          </w:p>
        </w:tc>
        <w:tc>
          <w:tcPr>
            <w:tcW w:w="758" w:type="dxa"/>
            <w:tcBorders>
              <w:top w:val="nil"/>
              <w:left w:val="nil"/>
              <w:bottom w:val="single" w:sz="4" w:space="0" w:color="auto"/>
              <w:right w:val="nil"/>
            </w:tcBorders>
            <w:shd w:val="clear" w:color="auto" w:fill="auto"/>
            <w:noWrap/>
            <w:vAlign w:val="center"/>
            <w:hideMark/>
          </w:tcPr>
          <w:p w14:paraId="5E9A0EEE" w14:textId="7B63BB26"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943" w:type="dxa"/>
            <w:tcBorders>
              <w:top w:val="nil"/>
              <w:left w:val="single" w:sz="4" w:space="0" w:color="auto"/>
              <w:bottom w:val="single" w:sz="4" w:space="0" w:color="auto"/>
              <w:right w:val="nil"/>
            </w:tcBorders>
            <w:shd w:val="clear" w:color="auto" w:fill="auto"/>
            <w:noWrap/>
            <w:vAlign w:val="bottom"/>
            <w:hideMark/>
          </w:tcPr>
          <w:p w14:paraId="573BADB2"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144</w:t>
            </w:r>
          </w:p>
        </w:tc>
        <w:tc>
          <w:tcPr>
            <w:tcW w:w="737" w:type="dxa"/>
            <w:tcBorders>
              <w:top w:val="nil"/>
              <w:left w:val="nil"/>
              <w:bottom w:val="single" w:sz="4" w:space="0" w:color="auto"/>
              <w:right w:val="single" w:sz="4" w:space="0" w:color="auto"/>
            </w:tcBorders>
            <w:shd w:val="clear" w:color="auto" w:fill="auto"/>
            <w:noWrap/>
            <w:vAlign w:val="center"/>
            <w:hideMark/>
          </w:tcPr>
          <w:p w14:paraId="27837024" w14:textId="3C0F99BD"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64" w:type="dxa"/>
            <w:tcBorders>
              <w:top w:val="nil"/>
              <w:left w:val="nil"/>
              <w:bottom w:val="single" w:sz="4" w:space="0" w:color="auto"/>
              <w:right w:val="nil"/>
            </w:tcBorders>
            <w:shd w:val="clear" w:color="auto" w:fill="auto"/>
            <w:noWrap/>
            <w:vAlign w:val="bottom"/>
            <w:hideMark/>
          </w:tcPr>
          <w:p w14:paraId="7871CCD2"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356</w:t>
            </w:r>
          </w:p>
        </w:tc>
        <w:tc>
          <w:tcPr>
            <w:tcW w:w="716" w:type="dxa"/>
            <w:tcBorders>
              <w:top w:val="nil"/>
              <w:left w:val="nil"/>
              <w:bottom w:val="single" w:sz="4" w:space="0" w:color="auto"/>
              <w:right w:val="nil"/>
            </w:tcBorders>
            <w:shd w:val="clear" w:color="auto" w:fill="auto"/>
            <w:noWrap/>
            <w:vAlign w:val="center"/>
            <w:hideMark/>
          </w:tcPr>
          <w:p w14:paraId="40CB99E3" w14:textId="3D89C818"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-37 %</w:t>
            </w:r>
          </w:p>
        </w:tc>
      </w:tr>
      <w:tr w:rsidR="00BF0CC3" w:rsidRPr="00033A3F" w14:paraId="31155E6F"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461FD1CD"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4DC08A8D"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451</w:t>
            </w:r>
          </w:p>
        </w:tc>
        <w:tc>
          <w:tcPr>
            <w:tcW w:w="758" w:type="dxa"/>
            <w:tcBorders>
              <w:top w:val="nil"/>
              <w:left w:val="nil"/>
              <w:bottom w:val="single" w:sz="4" w:space="0" w:color="auto"/>
              <w:right w:val="nil"/>
            </w:tcBorders>
            <w:shd w:val="clear" w:color="auto" w:fill="auto"/>
            <w:noWrap/>
            <w:vAlign w:val="center"/>
            <w:hideMark/>
          </w:tcPr>
          <w:p w14:paraId="6E901E55" w14:textId="69CE11CA"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43" w:type="dxa"/>
            <w:tcBorders>
              <w:top w:val="nil"/>
              <w:left w:val="single" w:sz="4" w:space="0" w:color="auto"/>
              <w:bottom w:val="single" w:sz="4" w:space="0" w:color="auto"/>
              <w:right w:val="nil"/>
            </w:tcBorders>
            <w:shd w:val="clear" w:color="auto" w:fill="auto"/>
            <w:noWrap/>
            <w:vAlign w:val="bottom"/>
            <w:hideMark/>
          </w:tcPr>
          <w:p w14:paraId="29E89E4A"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357</w:t>
            </w:r>
          </w:p>
        </w:tc>
        <w:tc>
          <w:tcPr>
            <w:tcW w:w="737" w:type="dxa"/>
            <w:tcBorders>
              <w:top w:val="nil"/>
              <w:left w:val="nil"/>
              <w:bottom w:val="single" w:sz="4" w:space="0" w:color="auto"/>
              <w:right w:val="single" w:sz="4" w:space="0" w:color="auto"/>
            </w:tcBorders>
            <w:shd w:val="clear" w:color="auto" w:fill="auto"/>
            <w:noWrap/>
            <w:vAlign w:val="center"/>
            <w:hideMark/>
          </w:tcPr>
          <w:p w14:paraId="5C0D36A7" w14:textId="218D60C1"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964" w:type="dxa"/>
            <w:tcBorders>
              <w:top w:val="nil"/>
              <w:left w:val="nil"/>
              <w:bottom w:val="single" w:sz="4" w:space="0" w:color="auto"/>
              <w:right w:val="nil"/>
            </w:tcBorders>
            <w:shd w:val="clear" w:color="auto" w:fill="auto"/>
            <w:noWrap/>
            <w:vAlign w:val="bottom"/>
            <w:hideMark/>
          </w:tcPr>
          <w:p w14:paraId="01F6803C"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834</w:t>
            </w:r>
          </w:p>
        </w:tc>
        <w:tc>
          <w:tcPr>
            <w:tcW w:w="716" w:type="dxa"/>
            <w:tcBorders>
              <w:top w:val="nil"/>
              <w:left w:val="nil"/>
              <w:bottom w:val="single" w:sz="4" w:space="0" w:color="auto"/>
              <w:right w:val="nil"/>
            </w:tcBorders>
            <w:shd w:val="clear" w:color="auto" w:fill="auto"/>
            <w:noWrap/>
            <w:vAlign w:val="center"/>
            <w:hideMark/>
          </w:tcPr>
          <w:p w14:paraId="68A22FEC" w14:textId="47C594F2"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BF0CC3" w:rsidRPr="00033A3F" w14:paraId="2AFEACC9" w14:textId="77777777" w:rsidTr="00824AE6">
        <w:trPr>
          <w:trHeight w:val="330"/>
        </w:trPr>
        <w:tc>
          <w:tcPr>
            <w:tcW w:w="2480" w:type="dxa"/>
            <w:tcBorders>
              <w:top w:val="nil"/>
              <w:left w:val="nil"/>
              <w:bottom w:val="double" w:sz="6" w:space="0" w:color="auto"/>
              <w:right w:val="nil"/>
            </w:tcBorders>
            <w:shd w:val="clear" w:color="auto" w:fill="auto"/>
            <w:noWrap/>
            <w:vAlign w:val="bottom"/>
            <w:hideMark/>
          </w:tcPr>
          <w:p w14:paraId="1BD48FCF"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449DB69D"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291</w:t>
            </w:r>
          </w:p>
        </w:tc>
        <w:tc>
          <w:tcPr>
            <w:tcW w:w="758" w:type="dxa"/>
            <w:tcBorders>
              <w:top w:val="nil"/>
              <w:left w:val="nil"/>
              <w:bottom w:val="double" w:sz="6" w:space="0" w:color="auto"/>
              <w:right w:val="nil"/>
            </w:tcBorders>
            <w:shd w:val="clear" w:color="auto" w:fill="auto"/>
            <w:noWrap/>
            <w:vAlign w:val="center"/>
            <w:hideMark/>
          </w:tcPr>
          <w:p w14:paraId="71738AA3" w14:textId="01EFD0AC"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43" w:type="dxa"/>
            <w:tcBorders>
              <w:top w:val="nil"/>
              <w:left w:val="single" w:sz="4" w:space="0" w:color="auto"/>
              <w:bottom w:val="double" w:sz="6" w:space="0" w:color="auto"/>
              <w:right w:val="nil"/>
            </w:tcBorders>
            <w:shd w:val="clear" w:color="auto" w:fill="auto"/>
            <w:noWrap/>
            <w:vAlign w:val="bottom"/>
            <w:hideMark/>
          </w:tcPr>
          <w:p w14:paraId="789A74BD"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244</w:t>
            </w:r>
          </w:p>
        </w:tc>
        <w:tc>
          <w:tcPr>
            <w:tcW w:w="737" w:type="dxa"/>
            <w:tcBorders>
              <w:top w:val="nil"/>
              <w:left w:val="nil"/>
              <w:bottom w:val="double" w:sz="6" w:space="0" w:color="auto"/>
              <w:right w:val="single" w:sz="4" w:space="0" w:color="auto"/>
            </w:tcBorders>
            <w:shd w:val="clear" w:color="auto" w:fill="auto"/>
            <w:noWrap/>
            <w:vAlign w:val="center"/>
            <w:hideMark/>
          </w:tcPr>
          <w:p w14:paraId="587D7BA8" w14:textId="68251845"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64" w:type="dxa"/>
            <w:tcBorders>
              <w:top w:val="nil"/>
              <w:left w:val="nil"/>
              <w:bottom w:val="double" w:sz="6" w:space="0" w:color="auto"/>
              <w:right w:val="nil"/>
            </w:tcBorders>
            <w:shd w:val="clear" w:color="auto" w:fill="auto"/>
            <w:noWrap/>
            <w:vAlign w:val="bottom"/>
            <w:hideMark/>
          </w:tcPr>
          <w:p w14:paraId="60FDC5C1"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584</w:t>
            </w:r>
          </w:p>
        </w:tc>
        <w:tc>
          <w:tcPr>
            <w:tcW w:w="716" w:type="dxa"/>
            <w:tcBorders>
              <w:top w:val="nil"/>
              <w:left w:val="nil"/>
              <w:bottom w:val="double" w:sz="6" w:space="0" w:color="auto"/>
              <w:right w:val="nil"/>
            </w:tcBorders>
            <w:shd w:val="clear" w:color="auto" w:fill="auto"/>
            <w:noWrap/>
            <w:vAlign w:val="center"/>
            <w:hideMark/>
          </w:tcPr>
          <w:p w14:paraId="02986245" w14:textId="7220FB56"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BF0CC3" w:rsidRPr="00033A3F" w14:paraId="74C68C63" w14:textId="77777777" w:rsidTr="00824AE6">
        <w:trPr>
          <w:trHeight w:val="345"/>
        </w:trPr>
        <w:tc>
          <w:tcPr>
            <w:tcW w:w="2480" w:type="dxa"/>
            <w:tcBorders>
              <w:top w:val="nil"/>
              <w:left w:val="nil"/>
              <w:bottom w:val="double" w:sz="6" w:space="0" w:color="auto"/>
              <w:right w:val="nil"/>
            </w:tcBorders>
            <w:shd w:val="clear" w:color="auto" w:fill="auto"/>
            <w:noWrap/>
            <w:vAlign w:val="bottom"/>
            <w:hideMark/>
          </w:tcPr>
          <w:p w14:paraId="07376BF3" w14:textId="77777777" w:rsidR="00686B28" w:rsidRPr="00033A3F" w:rsidRDefault="00686B28" w:rsidP="00686B28">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7434F3FC"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336</w:t>
            </w:r>
          </w:p>
        </w:tc>
        <w:tc>
          <w:tcPr>
            <w:tcW w:w="758" w:type="dxa"/>
            <w:tcBorders>
              <w:top w:val="nil"/>
              <w:left w:val="nil"/>
              <w:bottom w:val="double" w:sz="6" w:space="0" w:color="auto"/>
              <w:right w:val="nil"/>
            </w:tcBorders>
            <w:shd w:val="clear" w:color="auto" w:fill="auto"/>
            <w:noWrap/>
            <w:vAlign w:val="center"/>
            <w:hideMark/>
          </w:tcPr>
          <w:p w14:paraId="2E80F8EB" w14:textId="76571524" w:rsidR="00686B28" w:rsidRPr="00033A3F" w:rsidRDefault="00686B28" w:rsidP="00824AE6">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-16 %</w:t>
            </w:r>
          </w:p>
        </w:tc>
        <w:tc>
          <w:tcPr>
            <w:tcW w:w="943" w:type="dxa"/>
            <w:tcBorders>
              <w:top w:val="nil"/>
              <w:left w:val="single" w:sz="4" w:space="0" w:color="auto"/>
              <w:bottom w:val="double" w:sz="6" w:space="0" w:color="auto"/>
              <w:right w:val="nil"/>
            </w:tcBorders>
            <w:shd w:val="clear" w:color="auto" w:fill="auto"/>
            <w:noWrap/>
            <w:vAlign w:val="bottom"/>
            <w:hideMark/>
          </w:tcPr>
          <w:p w14:paraId="24DA1847"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239</w:t>
            </w:r>
          </w:p>
        </w:tc>
        <w:tc>
          <w:tcPr>
            <w:tcW w:w="737" w:type="dxa"/>
            <w:tcBorders>
              <w:top w:val="nil"/>
              <w:left w:val="nil"/>
              <w:bottom w:val="double" w:sz="6" w:space="0" w:color="auto"/>
              <w:right w:val="single" w:sz="4" w:space="0" w:color="auto"/>
            </w:tcBorders>
            <w:shd w:val="clear" w:color="auto" w:fill="auto"/>
            <w:noWrap/>
            <w:vAlign w:val="center"/>
            <w:hideMark/>
          </w:tcPr>
          <w:p w14:paraId="5DE22B84" w14:textId="05D2EC82" w:rsidR="00686B28" w:rsidRPr="00033A3F" w:rsidRDefault="00686B28" w:rsidP="00824AE6">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-16 %</w:t>
            </w:r>
          </w:p>
        </w:tc>
        <w:tc>
          <w:tcPr>
            <w:tcW w:w="964" w:type="dxa"/>
            <w:tcBorders>
              <w:top w:val="nil"/>
              <w:left w:val="nil"/>
              <w:bottom w:val="double" w:sz="6" w:space="0" w:color="auto"/>
              <w:right w:val="nil"/>
            </w:tcBorders>
            <w:shd w:val="clear" w:color="auto" w:fill="auto"/>
            <w:noWrap/>
            <w:vAlign w:val="bottom"/>
            <w:hideMark/>
          </w:tcPr>
          <w:p w14:paraId="48AC4AFB"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740</w:t>
            </w:r>
          </w:p>
        </w:tc>
        <w:tc>
          <w:tcPr>
            <w:tcW w:w="716" w:type="dxa"/>
            <w:tcBorders>
              <w:top w:val="nil"/>
              <w:left w:val="nil"/>
              <w:bottom w:val="double" w:sz="6" w:space="0" w:color="auto"/>
              <w:right w:val="nil"/>
            </w:tcBorders>
            <w:shd w:val="clear" w:color="auto" w:fill="auto"/>
            <w:noWrap/>
            <w:vAlign w:val="center"/>
            <w:hideMark/>
          </w:tcPr>
          <w:p w14:paraId="14C56BD5" w14:textId="07C7F665" w:rsidR="00686B28" w:rsidRPr="00033A3F" w:rsidRDefault="00686B28" w:rsidP="00824AE6">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-14 %</w:t>
            </w:r>
          </w:p>
        </w:tc>
      </w:tr>
      <w:tr w:rsidR="00BF0CC3" w:rsidRPr="00033A3F" w14:paraId="5FD57B32" w14:textId="77777777" w:rsidTr="00824AE6">
        <w:trPr>
          <w:trHeight w:val="330"/>
        </w:trPr>
        <w:tc>
          <w:tcPr>
            <w:tcW w:w="2480" w:type="dxa"/>
            <w:tcBorders>
              <w:top w:val="nil"/>
              <w:left w:val="nil"/>
              <w:bottom w:val="nil"/>
              <w:right w:val="nil"/>
            </w:tcBorders>
            <w:shd w:val="clear" w:color="auto" w:fill="auto"/>
            <w:noWrap/>
            <w:vAlign w:val="bottom"/>
            <w:hideMark/>
          </w:tcPr>
          <w:p w14:paraId="0004B325" w14:textId="77777777" w:rsidR="00686B28" w:rsidRPr="00033A3F" w:rsidRDefault="00686B28" w:rsidP="00686B28">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4F594B9C"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758" w:type="dxa"/>
            <w:tcBorders>
              <w:top w:val="nil"/>
              <w:left w:val="nil"/>
              <w:bottom w:val="nil"/>
              <w:right w:val="nil"/>
            </w:tcBorders>
            <w:shd w:val="clear" w:color="auto" w:fill="auto"/>
            <w:noWrap/>
            <w:vAlign w:val="bottom"/>
            <w:hideMark/>
          </w:tcPr>
          <w:p w14:paraId="2FB69038"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943" w:type="dxa"/>
            <w:tcBorders>
              <w:top w:val="nil"/>
              <w:left w:val="nil"/>
              <w:bottom w:val="nil"/>
              <w:right w:val="nil"/>
            </w:tcBorders>
            <w:shd w:val="clear" w:color="auto" w:fill="auto"/>
            <w:noWrap/>
            <w:vAlign w:val="bottom"/>
            <w:hideMark/>
          </w:tcPr>
          <w:p w14:paraId="09C76EF1"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737" w:type="dxa"/>
            <w:tcBorders>
              <w:top w:val="nil"/>
              <w:left w:val="nil"/>
              <w:bottom w:val="nil"/>
              <w:right w:val="nil"/>
            </w:tcBorders>
            <w:shd w:val="clear" w:color="auto" w:fill="auto"/>
            <w:noWrap/>
            <w:vAlign w:val="bottom"/>
            <w:hideMark/>
          </w:tcPr>
          <w:p w14:paraId="42F7C8AD"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964" w:type="dxa"/>
            <w:tcBorders>
              <w:top w:val="nil"/>
              <w:left w:val="nil"/>
              <w:bottom w:val="nil"/>
              <w:right w:val="nil"/>
            </w:tcBorders>
            <w:shd w:val="clear" w:color="auto" w:fill="auto"/>
            <w:noWrap/>
            <w:vAlign w:val="bottom"/>
            <w:hideMark/>
          </w:tcPr>
          <w:p w14:paraId="36DA665F"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716" w:type="dxa"/>
            <w:tcBorders>
              <w:top w:val="nil"/>
              <w:left w:val="nil"/>
              <w:bottom w:val="nil"/>
              <w:right w:val="nil"/>
            </w:tcBorders>
            <w:shd w:val="clear" w:color="auto" w:fill="auto"/>
            <w:noWrap/>
            <w:vAlign w:val="bottom"/>
            <w:hideMark/>
          </w:tcPr>
          <w:p w14:paraId="739615F6"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 xml:space="preserve"> </w:t>
            </w:r>
          </w:p>
        </w:tc>
      </w:tr>
    </w:tbl>
    <w:p w14:paraId="77B11962" w14:textId="50FCFC3D" w:rsidR="00686B28" w:rsidRPr="00033A3F" w:rsidRDefault="00686B28" w:rsidP="00686B28">
      <w:pPr>
        <w:pStyle w:val="Podnadpis"/>
        <w:rPr>
          <w:color w:val="000000" w:themeColor="text1"/>
        </w:rPr>
      </w:pPr>
      <w:bookmarkStart w:id="1681" w:name="_Toc75952250"/>
      <w:bookmarkStart w:id="1682" w:name="_Toc106106709"/>
      <w:bookmarkStart w:id="1683" w:name="_Toc109802033"/>
      <w:bookmarkStart w:id="1684" w:name="_Toc144104183"/>
      <w:bookmarkStart w:id="1685" w:name="_Toc169250996"/>
      <w:bookmarkStart w:id="1686" w:name="_Toc174080682"/>
      <w:bookmarkStart w:id="1687" w:name="_Toc193530836"/>
      <w:bookmarkStart w:id="1688" w:name="_Toc193634110"/>
      <w:bookmarkStart w:id="1689" w:name="_Toc20303290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81</w:t>
      </w:r>
      <w:r w:rsidRPr="00033A3F">
        <w:rPr>
          <w:color w:val="000000" w:themeColor="text1"/>
        </w:rPr>
        <w:fldChar w:fldCharType="end"/>
      </w:r>
      <w:r w:rsidRPr="00033A3F">
        <w:rPr>
          <w:color w:val="000000" w:themeColor="text1"/>
        </w:rPr>
        <w:t>: KS – distribuce délek o řízení ve správních věcech</w:t>
      </w:r>
      <w:bookmarkEnd w:id="1681"/>
      <w:bookmarkEnd w:id="1682"/>
      <w:bookmarkEnd w:id="1683"/>
      <w:bookmarkEnd w:id="1684"/>
      <w:r w:rsidRPr="00033A3F">
        <w:rPr>
          <w:color w:val="000000" w:themeColor="text1"/>
        </w:rPr>
        <w:t>, 2023 a 202</w:t>
      </w:r>
      <w:bookmarkEnd w:id="1685"/>
      <w:bookmarkEnd w:id="1686"/>
      <w:r w:rsidRPr="00033A3F">
        <w:rPr>
          <w:color w:val="000000" w:themeColor="text1"/>
        </w:rPr>
        <w:t>4</w:t>
      </w:r>
      <w:bookmarkEnd w:id="1687"/>
      <w:bookmarkEnd w:id="1688"/>
      <w:bookmarkEnd w:id="1689"/>
    </w:p>
    <w:p w14:paraId="363EFC97" w14:textId="1D4438E4" w:rsidR="007952E9" w:rsidRPr="00033A3F" w:rsidRDefault="00450DC6" w:rsidP="007952E9">
      <w:pPr>
        <w:rPr>
          <w:color w:val="000000" w:themeColor="text1"/>
        </w:rPr>
      </w:pPr>
      <w:r w:rsidRPr="00033A3F">
        <w:rPr>
          <w:noProof/>
          <w:color w:val="000000" w:themeColor="text1"/>
          <w:lang w:eastAsia="cs-CZ"/>
        </w:rPr>
        <w:drawing>
          <wp:inline distT="0" distB="0" distL="0" distR="0" wp14:anchorId="6040794F" wp14:editId="046AD496">
            <wp:extent cx="5029200" cy="3657600"/>
            <wp:effectExtent l="0" t="0" r="0" b="0"/>
            <wp:docPr id="1864367980"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D66248A" w14:textId="77777777" w:rsidR="00686B28" w:rsidRPr="00033A3F" w:rsidRDefault="00686B28" w:rsidP="007952E9">
      <w:pPr>
        <w:rPr>
          <w:color w:val="000000" w:themeColor="text1"/>
        </w:rPr>
      </w:pPr>
    </w:p>
    <w:p w14:paraId="58856556" w14:textId="77777777" w:rsidR="00450DC6" w:rsidRPr="00033A3F" w:rsidRDefault="00450DC6" w:rsidP="00450DC6">
      <w:pPr>
        <w:pStyle w:val="OdstavecASR"/>
        <w:rPr>
          <w:color w:val="000000" w:themeColor="text1"/>
        </w:rPr>
      </w:pPr>
      <w:bookmarkStart w:id="1690" w:name="_Hlk68866436"/>
      <w:r w:rsidRPr="00033A3F">
        <w:rPr>
          <w:color w:val="000000" w:themeColor="text1"/>
        </w:rPr>
        <w:t xml:space="preserve">Stejně jako u ostatních agend jsou na závěr </w:t>
      </w:r>
      <w:r w:rsidR="00A702B0" w:rsidRPr="00033A3F">
        <w:rPr>
          <w:color w:val="000000" w:themeColor="text1"/>
        </w:rPr>
        <w:t>podkapitoly</w:t>
      </w:r>
      <w:r w:rsidRPr="00033A3F">
        <w:rPr>
          <w:color w:val="000000" w:themeColor="text1"/>
        </w:rPr>
        <w:t xml:space="preserve"> délky řízení zobrazeny v histogramu. Šířka intervalu je 50 dnů. V porovnání s ostatními agendami je ve správní agendě vysoký medián a rovněž distribuce délek řízení je jiná, mnohem „plošší“. Četnost délek řízení tedy klesá s rostoucí délkou řízení mnohem pomaleji.</w:t>
      </w:r>
    </w:p>
    <w:bookmarkEnd w:id="1690"/>
    <w:p w14:paraId="108D8038" w14:textId="38D5CF45" w:rsidR="00450DC6" w:rsidRPr="00033A3F" w:rsidRDefault="00450DC6" w:rsidP="00450DC6">
      <w:pPr>
        <w:pStyle w:val="OdstavecASR"/>
        <w:rPr>
          <w:color w:val="000000" w:themeColor="text1"/>
        </w:rPr>
      </w:pPr>
      <w:r w:rsidRPr="00033A3F">
        <w:rPr>
          <w:color w:val="000000" w:themeColor="text1"/>
        </w:rPr>
        <w:t>U této agendy v grafu zobrazujeme histogramy za roky 2023 a 2024, abychom tak demonstrovali další posun v délkách řízení. Ten je z grafu zcela patrný.</w:t>
      </w:r>
    </w:p>
    <w:p w14:paraId="0065AE79" w14:textId="4516C183" w:rsidR="008430BD" w:rsidRPr="00033A3F" w:rsidRDefault="008430BD" w:rsidP="008430BD">
      <w:pPr>
        <w:pStyle w:val="Nadpis3"/>
        <w:numPr>
          <w:ilvl w:val="2"/>
          <w:numId w:val="1"/>
        </w:numPr>
        <w:rPr>
          <w:color w:val="000000" w:themeColor="text1"/>
        </w:rPr>
      </w:pPr>
      <w:bookmarkStart w:id="1691" w:name="_Toc515871268"/>
      <w:bookmarkStart w:id="1692" w:name="_Toc106092776"/>
      <w:bookmarkStart w:id="1693" w:name="_Toc169250852"/>
      <w:bookmarkStart w:id="1694" w:name="_Toc193531014"/>
      <w:bookmarkStart w:id="1695" w:name="_Toc193957071"/>
      <w:bookmarkStart w:id="1696" w:name="_Toc203032760"/>
      <w:r w:rsidRPr="00033A3F">
        <w:rPr>
          <w:color w:val="000000" w:themeColor="text1"/>
        </w:rPr>
        <w:lastRenderedPageBreak/>
        <w:t>Vyřizování věcí</w:t>
      </w:r>
      <w:bookmarkEnd w:id="1691"/>
      <w:bookmarkEnd w:id="1692"/>
      <w:bookmarkEnd w:id="1693"/>
      <w:bookmarkEnd w:id="1694"/>
      <w:bookmarkEnd w:id="1695"/>
      <w:bookmarkEnd w:id="1696"/>
    </w:p>
    <w:p w14:paraId="2B96F0DF" w14:textId="77777777" w:rsidR="00450DC6" w:rsidRPr="00033A3F" w:rsidRDefault="00450DC6" w:rsidP="00450DC6">
      <w:pPr>
        <w:pStyle w:val="OdstavecASR"/>
        <w:rPr>
          <w:color w:val="000000" w:themeColor="text1"/>
        </w:rPr>
      </w:pPr>
      <w:r w:rsidRPr="00033A3F">
        <w:rPr>
          <w:color w:val="000000" w:themeColor="text1"/>
        </w:rPr>
        <w:t>Ve správní agendě se v průběhu let poměrně rychle mění nápad. To může plynout z legislativních změn, ze změn v jednotlivých agendách (např. v azylové agendě) nebo jednorázových šoků. Počet vyřízených věcí samozřejmě s určitým zpožděním kopíruje počet věcí napadlých. V letech 2014</w:t>
      </w:r>
      <w:r w:rsidRPr="00033A3F">
        <w:rPr>
          <w:color w:val="000000" w:themeColor="text1"/>
        </w:rPr>
        <w:noBreakHyphen/>
        <w:t>2018 vidíme dva znepokojivé jevy. Počet příchozích věcí poměrně rychle stoupal a zároveň převyšoval počet věcí vyřízených, což vedlo k trvalému růstu v počtu nevyřízených věcí. Teprve v roce 2019 došlo k značnému poklesu v počtu příchozích věcí, který se projevil také poklesem počtu nevyřízených věcí a značným poklesem disposition time. Počet vyřízených věcí se ale podařilo soudům navýšit a v letech 2020 a 2021 udržet víceméně na úrovni roku 2019 (zřejmě díky velkému množství nedodělků), což vedlo k výraznému poklesu v počtu nevyřízených věcí. Oproti roku 2018 tak poklesl počet příchozích věcí o 16 % a počet nevyřízených věcí dokonce o 32 %.</w:t>
      </w:r>
    </w:p>
    <w:p w14:paraId="58A37394" w14:textId="5B122C4C" w:rsidR="00450DC6" w:rsidRPr="00033A3F" w:rsidRDefault="00450DC6" w:rsidP="00450DC6">
      <w:pPr>
        <w:pStyle w:val="OdstavecASR"/>
        <w:rPr>
          <w:color w:val="000000" w:themeColor="text1"/>
        </w:rPr>
      </w:pPr>
      <w:r w:rsidRPr="00033A3F">
        <w:rPr>
          <w:color w:val="000000" w:themeColor="text1"/>
        </w:rPr>
        <w:t xml:space="preserve">V roce 2022 došlo k dalšímu velmi prudkému poklesu příchozích, vyřízených i nevyřízených věcí. Pokles v počtu nevyřízených věcí nejen že nezpomalil, dokonce ještě akceleroval. Počet nevyřízených věcí tak klesl od roku 2018 téměř na polovinu. V roce 2023 se po 4 letech zvýšil počet příchozích věcí. Počet vyřízených věcí ho ale stále převyšoval, a tak </w:t>
      </w:r>
      <w:r w:rsidR="00EE6BFC" w:rsidRPr="00033A3F">
        <w:rPr>
          <w:color w:val="000000" w:themeColor="text1"/>
        </w:rPr>
        <w:t xml:space="preserve">se snížil </w:t>
      </w:r>
      <w:r w:rsidRPr="00033A3F">
        <w:rPr>
          <w:color w:val="000000" w:themeColor="text1"/>
        </w:rPr>
        <w:t>počet nevyřízených věcí na nejmenší hodnotu za sledované období.</w:t>
      </w:r>
      <w:r w:rsidR="00C13A01" w:rsidRPr="00033A3F">
        <w:rPr>
          <w:color w:val="000000" w:themeColor="text1"/>
        </w:rPr>
        <w:t xml:space="preserve"> V roce 2024 </w:t>
      </w:r>
      <w:r w:rsidR="004A4998" w:rsidRPr="00033A3F">
        <w:rPr>
          <w:color w:val="000000" w:themeColor="text1"/>
        </w:rPr>
        <w:t xml:space="preserve">se </w:t>
      </w:r>
      <w:r w:rsidR="00C13A01" w:rsidRPr="00033A3F">
        <w:rPr>
          <w:color w:val="000000" w:themeColor="text1"/>
        </w:rPr>
        <w:t xml:space="preserve">počet příchozích věci </w:t>
      </w:r>
      <w:r w:rsidR="004A4998" w:rsidRPr="00033A3F">
        <w:rPr>
          <w:color w:val="000000" w:themeColor="text1"/>
        </w:rPr>
        <w:t xml:space="preserve"> opět mírně zvýšil</w:t>
      </w:r>
      <w:r w:rsidR="00C13A01" w:rsidRPr="00033A3F">
        <w:rPr>
          <w:color w:val="000000" w:themeColor="text1"/>
        </w:rPr>
        <w:t>. Počet nevyřízených věcí stále klesá, ale tempo poklesu se (logicky) zpomaluje.</w:t>
      </w:r>
    </w:p>
    <w:p w14:paraId="1195DA12" w14:textId="6BD8DACB" w:rsidR="00450DC6" w:rsidRPr="00033A3F" w:rsidRDefault="00450DC6" w:rsidP="00450DC6">
      <w:pPr>
        <w:pStyle w:val="OdstavecASR"/>
        <w:rPr>
          <w:color w:val="000000" w:themeColor="text1"/>
        </w:rPr>
      </w:pPr>
      <w:r w:rsidRPr="00033A3F">
        <w:rPr>
          <w:color w:val="000000" w:themeColor="text1"/>
        </w:rPr>
        <w:t xml:space="preserve">To ukazuje, že situace ve správním soudnictví se z hlediska vyřizování věcí stále </w:t>
      </w:r>
      <w:r w:rsidR="00514573" w:rsidRPr="00033A3F">
        <w:rPr>
          <w:color w:val="000000" w:themeColor="text1"/>
        </w:rPr>
        <w:t>citelně</w:t>
      </w:r>
      <w:r w:rsidRPr="00033A3F">
        <w:rPr>
          <w:color w:val="000000" w:themeColor="text1"/>
        </w:rPr>
        <w:t xml:space="preserve"> zlepšuje, a to </w:t>
      </w:r>
      <w:r w:rsidR="00A702B0" w:rsidRPr="00033A3F">
        <w:rPr>
          <w:color w:val="000000" w:themeColor="text1"/>
        </w:rPr>
        <w:t xml:space="preserve">navzdory tomu, že </w:t>
      </w:r>
      <w:r w:rsidR="00514573" w:rsidRPr="00033A3F">
        <w:rPr>
          <w:color w:val="000000" w:themeColor="text1"/>
        </w:rPr>
        <w:t>se zastavil pokles nápadu</w:t>
      </w:r>
      <w:r w:rsidRPr="00033A3F">
        <w:rPr>
          <w:color w:val="000000" w:themeColor="text1"/>
        </w:rPr>
        <w:t xml:space="preserve">. </w:t>
      </w:r>
      <w:r w:rsidR="00514573" w:rsidRPr="00033A3F">
        <w:rPr>
          <w:color w:val="000000" w:themeColor="text1"/>
        </w:rPr>
        <w:t xml:space="preserve">Projevuje se tak zřejmě mimo jiné dlouhodobý efekt </w:t>
      </w:r>
      <w:r w:rsidRPr="00033A3F">
        <w:rPr>
          <w:color w:val="000000" w:themeColor="text1"/>
        </w:rPr>
        <w:t xml:space="preserve">posílení správních úseků </w:t>
      </w:r>
      <w:r w:rsidR="00514573" w:rsidRPr="00033A3F">
        <w:rPr>
          <w:color w:val="000000" w:themeColor="text1"/>
        </w:rPr>
        <w:t xml:space="preserve">krajských </w:t>
      </w:r>
      <w:r w:rsidRPr="00033A3F">
        <w:rPr>
          <w:color w:val="000000" w:themeColor="text1"/>
        </w:rPr>
        <w:t>soudů</w:t>
      </w:r>
      <w:r w:rsidR="00514573" w:rsidRPr="00033A3F">
        <w:rPr>
          <w:color w:val="000000" w:themeColor="text1"/>
        </w:rPr>
        <w:t>, ke kterému Ministerstvo spravedlnosti přistoupilo</w:t>
      </w:r>
      <w:r w:rsidRPr="00033A3F">
        <w:rPr>
          <w:color w:val="000000" w:themeColor="text1"/>
        </w:rPr>
        <w:t>.</w:t>
      </w:r>
      <w:r w:rsidR="00035189" w:rsidRPr="00033A3F">
        <w:rPr>
          <w:color w:val="000000" w:themeColor="text1"/>
        </w:rPr>
        <w:t xml:space="preserve"> Výsledkem je, že v porovnání s ostatními členskými státy EU </w:t>
      </w:r>
      <w:r w:rsidR="00A560BA" w:rsidRPr="00033A3F">
        <w:rPr>
          <w:color w:val="000000" w:themeColor="text1"/>
        </w:rPr>
        <w:t>vykázala</w:t>
      </w:r>
      <w:r w:rsidR="00035189" w:rsidRPr="00033A3F">
        <w:rPr>
          <w:color w:val="000000" w:themeColor="text1"/>
        </w:rPr>
        <w:t xml:space="preserve"> Česká republika v roce 2022 (poslední dostupná data) nejméně nevyřízených správních věcí na 100 obyvatel mezi všemi státy EU27.</w:t>
      </w:r>
    </w:p>
    <w:p w14:paraId="3CDBAE32" w14:textId="112FA179" w:rsidR="00450DC6" w:rsidRPr="00033A3F" w:rsidRDefault="00450DC6" w:rsidP="00450DC6">
      <w:pPr>
        <w:pStyle w:val="Podnadpis"/>
        <w:numPr>
          <w:ilvl w:val="0"/>
          <w:numId w:val="0"/>
        </w:numPr>
        <w:rPr>
          <w:color w:val="000000" w:themeColor="text1"/>
        </w:rPr>
      </w:pPr>
      <w:bookmarkStart w:id="1697" w:name="_Toc11135130"/>
      <w:bookmarkStart w:id="1698" w:name="_Toc43841449"/>
      <w:bookmarkStart w:id="1699" w:name="_Toc75952251"/>
      <w:bookmarkStart w:id="1700" w:name="_Toc106106710"/>
      <w:bookmarkStart w:id="1701" w:name="_Toc109802034"/>
      <w:bookmarkStart w:id="1702" w:name="_Toc144104184"/>
      <w:bookmarkStart w:id="1703" w:name="_Toc169250997"/>
      <w:bookmarkStart w:id="1704" w:name="_Toc174080683"/>
      <w:bookmarkStart w:id="1705" w:name="_Toc193530837"/>
      <w:bookmarkStart w:id="1706" w:name="_Toc193634111"/>
      <w:bookmarkStart w:id="1707" w:name="_Toc20303290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82</w:t>
      </w:r>
      <w:r w:rsidRPr="00033A3F">
        <w:rPr>
          <w:color w:val="000000" w:themeColor="text1"/>
        </w:rPr>
        <w:fldChar w:fldCharType="end"/>
      </w:r>
      <w:r w:rsidRPr="00033A3F">
        <w:rPr>
          <w:color w:val="000000" w:themeColor="text1"/>
        </w:rPr>
        <w:t>: KS – vyřizování správních věcí v letech 2015–20</w:t>
      </w:r>
      <w:bookmarkEnd w:id="1697"/>
      <w:bookmarkEnd w:id="1698"/>
      <w:bookmarkEnd w:id="1699"/>
      <w:bookmarkEnd w:id="1700"/>
      <w:bookmarkEnd w:id="1701"/>
      <w:bookmarkEnd w:id="1702"/>
      <w:r w:rsidRPr="00033A3F">
        <w:rPr>
          <w:color w:val="000000" w:themeColor="text1"/>
        </w:rPr>
        <w:t>2</w:t>
      </w:r>
      <w:bookmarkEnd w:id="1703"/>
      <w:bookmarkEnd w:id="1704"/>
      <w:r w:rsidRPr="00033A3F">
        <w:rPr>
          <w:color w:val="000000" w:themeColor="text1"/>
        </w:rPr>
        <w:t>4</w:t>
      </w:r>
      <w:bookmarkEnd w:id="1705"/>
      <w:bookmarkEnd w:id="1706"/>
      <w:bookmarkEnd w:id="1707"/>
    </w:p>
    <w:p w14:paraId="057B7686" w14:textId="26F8D9AB" w:rsidR="00450DC6" w:rsidRPr="00033A3F" w:rsidRDefault="004B2C91" w:rsidP="00450DC6">
      <w:pPr>
        <w:rPr>
          <w:color w:val="000000" w:themeColor="text1"/>
        </w:rPr>
      </w:pPr>
      <w:r w:rsidRPr="004B2C91">
        <w:rPr>
          <w:noProof/>
          <w:color w:val="000000" w:themeColor="text1"/>
        </w:rPr>
        <w:drawing>
          <wp:inline distT="0" distB="0" distL="0" distR="0" wp14:anchorId="2C6B1A5B" wp14:editId="49DC6418">
            <wp:extent cx="5029200" cy="3657600"/>
            <wp:effectExtent l="0" t="0" r="0" b="0"/>
            <wp:docPr id="17061003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F90DFE4" w14:textId="5DC53871" w:rsidR="00C13A01" w:rsidRPr="00033A3F" w:rsidRDefault="00C13A01" w:rsidP="000C7A72">
      <w:pPr>
        <w:pStyle w:val="Podnadpis"/>
        <w:numPr>
          <w:ilvl w:val="0"/>
          <w:numId w:val="0"/>
        </w:numPr>
        <w:rPr>
          <w:color w:val="000000" w:themeColor="text1"/>
        </w:rPr>
      </w:pPr>
    </w:p>
    <w:p w14:paraId="365FF896" w14:textId="1E791205" w:rsidR="00450DC6" w:rsidRPr="00033A3F" w:rsidRDefault="00C13A01" w:rsidP="00C13A01">
      <w:pPr>
        <w:pStyle w:val="Podnadpis"/>
        <w:numPr>
          <w:ilvl w:val="0"/>
          <w:numId w:val="0"/>
        </w:numPr>
        <w:rPr>
          <w:color w:val="000000" w:themeColor="text1"/>
        </w:rPr>
      </w:pPr>
      <w:bookmarkStart w:id="1708" w:name="_Toc75952370"/>
      <w:bookmarkStart w:id="1709" w:name="_Toc106106825"/>
      <w:bookmarkStart w:id="1710" w:name="_Toc109802148"/>
      <w:bookmarkStart w:id="1711" w:name="_Toc144104307"/>
      <w:bookmarkStart w:id="1712" w:name="_Toc169251122"/>
      <w:bookmarkStart w:id="1713" w:name="_Toc174080808"/>
      <w:bookmarkStart w:id="1714" w:name="_Toc193530934"/>
      <w:bookmarkStart w:id="1715" w:name="_Toc194045631"/>
      <w:bookmarkStart w:id="1716" w:name="_Toc199495041"/>
      <w:bookmarkStart w:id="1717" w:name="_Toc203033102"/>
      <w:bookmarkStart w:id="1718" w:name="_Toc20303318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60</w:t>
      </w:r>
      <w:r w:rsidRPr="00033A3F">
        <w:rPr>
          <w:color w:val="000000" w:themeColor="text1"/>
        </w:rPr>
        <w:fldChar w:fldCharType="end"/>
      </w:r>
      <w:r w:rsidRPr="00033A3F">
        <w:rPr>
          <w:color w:val="000000" w:themeColor="text1"/>
        </w:rPr>
        <w:t>: KS – vyřizování správních věcí dle soudů</w:t>
      </w:r>
      <w:bookmarkEnd w:id="1708"/>
      <w:bookmarkEnd w:id="1709"/>
      <w:bookmarkEnd w:id="1710"/>
      <w:bookmarkEnd w:id="1711"/>
      <w:bookmarkEnd w:id="1712"/>
      <w:bookmarkEnd w:id="1713"/>
      <w:bookmarkEnd w:id="1714"/>
      <w:bookmarkEnd w:id="1715"/>
      <w:bookmarkEnd w:id="1716"/>
      <w:bookmarkEnd w:id="1717"/>
      <w:bookmarkEnd w:id="1718"/>
    </w:p>
    <w:tbl>
      <w:tblPr>
        <w:tblW w:w="9072" w:type="dxa"/>
        <w:tblCellMar>
          <w:left w:w="70" w:type="dxa"/>
          <w:right w:w="70" w:type="dxa"/>
        </w:tblCellMar>
        <w:tblLook w:val="04A0" w:firstRow="1" w:lastRow="0" w:firstColumn="1" w:lastColumn="0" w:noHBand="0" w:noVBand="1"/>
      </w:tblPr>
      <w:tblGrid>
        <w:gridCol w:w="2020"/>
        <w:gridCol w:w="1071"/>
        <w:gridCol w:w="878"/>
        <w:gridCol w:w="993"/>
        <w:gridCol w:w="850"/>
        <w:gridCol w:w="992"/>
        <w:gridCol w:w="851"/>
        <w:gridCol w:w="1417"/>
      </w:tblGrid>
      <w:tr w:rsidR="00033A3F" w:rsidRPr="00033A3F" w14:paraId="7F728ED6" w14:textId="77777777" w:rsidTr="00FC40F0">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7A06567B"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635" w:type="dxa"/>
            <w:gridSpan w:val="6"/>
            <w:tcBorders>
              <w:top w:val="double" w:sz="6" w:space="0" w:color="auto"/>
              <w:left w:val="nil"/>
              <w:bottom w:val="nil"/>
              <w:right w:val="single" w:sz="4" w:space="0" w:color="000000"/>
            </w:tcBorders>
            <w:shd w:val="clear" w:color="auto" w:fill="auto"/>
            <w:noWrap/>
            <w:vAlign w:val="center"/>
            <w:hideMark/>
          </w:tcPr>
          <w:p w14:paraId="6030991A"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417" w:type="dxa"/>
            <w:vMerge w:val="restart"/>
            <w:tcBorders>
              <w:top w:val="double" w:sz="6" w:space="0" w:color="auto"/>
              <w:left w:val="nil"/>
              <w:bottom w:val="double" w:sz="6" w:space="0" w:color="000000"/>
              <w:right w:val="nil"/>
            </w:tcBorders>
            <w:shd w:val="clear" w:color="auto" w:fill="auto"/>
            <w:vAlign w:val="center"/>
            <w:hideMark/>
          </w:tcPr>
          <w:p w14:paraId="436E745B"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485590DA" w14:textId="77777777" w:rsidTr="00FC40F0">
        <w:trPr>
          <w:trHeight w:val="330"/>
        </w:trPr>
        <w:tc>
          <w:tcPr>
            <w:tcW w:w="2020" w:type="dxa"/>
            <w:vMerge/>
            <w:tcBorders>
              <w:top w:val="double" w:sz="6" w:space="0" w:color="auto"/>
              <w:left w:val="nil"/>
              <w:bottom w:val="double" w:sz="6" w:space="0" w:color="000000"/>
              <w:right w:val="nil"/>
            </w:tcBorders>
            <w:vAlign w:val="center"/>
            <w:hideMark/>
          </w:tcPr>
          <w:p w14:paraId="68DEA864" w14:textId="77777777" w:rsidR="00C13A01" w:rsidRPr="00033A3F" w:rsidRDefault="00C13A01" w:rsidP="00C13A01">
            <w:pPr>
              <w:spacing w:line="240" w:lineRule="auto"/>
              <w:jc w:val="left"/>
              <w:rPr>
                <w:rFonts w:eastAsia="Times New Roman"/>
                <w:b/>
                <w:bCs/>
                <w:color w:val="000000" w:themeColor="text1"/>
                <w:szCs w:val="24"/>
                <w:lang w:eastAsia="cs-CZ"/>
              </w:rPr>
            </w:pPr>
          </w:p>
        </w:tc>
        <w:tc>
          <w:tcPr>
            <w:tcW w:w="1949" w:type="dxa"/>
            <w:gridSpan w:val="2"/>
            <w:tcBorders>
              <w:top w:val="nil"/>
              <w:left w:val="nil"/>
              <w:bottom w:val="double" w:sz="6" w:space="0" w:color="auto"/>
              <w:right w:val="nil"/>
            </w:tcBorders>
            <w:shd w:val="clear" w:color="auto" w:fill="auto"/>
            <w:noWrap/>
            <w:vAlign w:val="center"/>
            <w:hideMark/>
          </w:tcPr>
          <w:p w14:paraId="40EEFFE3"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84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BDB6F19"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noWrap/>
            <w:vAlign w:val="center"/>
            <w:hideMark/>
          </w:tcPr>
          <w:p w14:paraId="1C41DE70"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417" w:type="dxa"/>
            <w:vMerge/>
            <w:tcBorders>
              <w:top w:val="double" w:sz="6" w:space="0" w:color="auto"/>
              <w:left w:val="nil"/>
              <w:bottom w:val="double" w:sz="6" w:space="0" w:color="000000"/>
              <w:right w:val="nil"/>
            </w:tcBorders>
            <w:vAlign w:val="center"/>
            <w:hideMark/>
          </w:tcPr>
          <w:p w14:paraId="25FF25B0" w14:textId="77777777" w:rsidR="00C13A01" w:rsidRPr="00033A3F" w:rsidRDefault="00C13A01" w:rsidP="00C13A01">
            <w:pPr>
              <w:spacing w:line="240" w:lineRule="auto"/>
              <w:jc w:val="left"/>
              <w:rPr>
                <w:rFonts w:eastAsia="Times New Roman"/>
                <w:b/>
                <w:bCs/>
                <w:color w:val="000000" w:themeColor="text1"/>
                <w:szCs w:val="24"/>
                <w:lang w:eastAsia="cs-CZ"/>
              </w:rPr>
            </w:pPr>
          </w:p>
        </w:tc>
      </w:tr>
      <w:tr w:rsidR="00033A3F" w:rsidRPr="00033A3F" w14:paraId="0F59ED3F" w14:textId="77777777" w:rsidTr="00FC40F0">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5A2D2B7"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71" w:type="dxa"/>
            <w:tcBorders>
              <w:top w:val="single" w:sz="4" w:space="0" w:color="auto"/>
              <w:left w:val="nil"/>
              <w:bottom w:val="single" w:sz="4" w:space="0" w:color="auto"/>
              <w:right w:val="nil"/>
            </w:tcBorders>
            <w:shd w:val="clear" w:color="auto" w:fill="auto"/>
            <w:noWrap/>
            <w:vAlign w:val="bottom"/>
            <w:hideMark/>
          </w:tcPr>
          <w:p w14:paraId="227A6FF4"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2 793</w:t>
            </w:r>
          </w:p>
        </w:tc>
        <w:tc>
          <w:tcPr>
            <w:tcW w:w="878" w:type="dxa"/>
            <w:tcBorders>
              <w:top w:val="single" w:sz="4" w:space="0" w:color="auto"/>
              <w:left w:val="nil"/>
              <w:bottom w:val="single" w:sz="4" w:space="0" w:color="auto"/>
              <w:right w:val="nil"/>
            </w:tcBorders>
            <w:shd w:val="clear" w:color="auto" w:fill="auto"/>
            <w:noWrap/>
            <w:vAlign w:val="center"/>
            <w:hideMark/>
          </w:tcPr>
          <w:p w14:paraId="4E25A354" w14:textId="047C9538"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4F7B67E"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3 083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E20C59A" w14:textId="3A75330D"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2" w:type="dxa"/>
            <w:tcBorders>
              <w:top w:val="single" w:sz="4" w:space="0" w:color="auto"/>
              <w:left w:val="nil"/>
              <w:bottom w:val="single" w:sz="4" w:space="0" w:color="auto"/>
              <w:right w:val="nil"/>
            </w:tcBorders>
            <w:shd w:val="clear" w:color="auto" w:fill="auto"/>
            <w:noWrap/>
            <w:vAlign w:val="bottom"/>
            <w:hideMark/>
          </w:tcPr>
          <w:p w14:paraId="4A49B03D"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1 507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FAE16A" w14:textId="3D344BEB"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1417" w:type="dxa"/>
            <w:tcBorders>
              <w:top w:val="nil"/>
              <w:left w:val="nil"/>
              <w:bottom w:val="single" w:sz="4" w:space="0" w:color="auto"/>
              <w:right w:val="nil"/>
            </w:tcBorders>
            <w:shd w:val="clear" w:color="auto" w:fill="auto"/>
            <w:noWrap/>
            <w:vAlign w:val="center"/>
            <w:hideMark/>
          </w:tcPr>
          <w:p w14:paraId="3EA65D66" w14:textId="0D0D909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110,4 %</w:t>
            </w:r>
          </w:p>
        </w:tc>
      </w:tr>
      <w:tr w:rsidR="00033A3F" w:rsidRPr="00033A3F" w14:paraId="1AC922B7"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07EF3F8A"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71" w:type="dxa"/>
            <w:tcBorders>
              <w:top w:val="nil"/>
              <w:left w:val="nil"/>
              <w:bottom w:val="single" w:sz="4" w:space="0" w:color="auto"/>
              <w:right w:val="nil"/>
            </w:tcBorders>
            <w:shd w:val="clear" w:color="auto" w:fill="auto"/>
            <w:noWrap/>
            <w:vAlign w:val="bottom"/>
            <w:hideMark/>
          </w:tcPr>
          <w:p w14:paraId="006546B6"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924</w:t>
            </w:r>
          </w:p>
        </w:tc>
        <w:tc>
          <w:tcPr>
            <w:tcW w:w="878" w:type="dxa"/>
            <w:tcBorders>
              <w:top w:val="nil"/>
              <w:left w:val="nil"/>
              <w:bottom w:val="single" w:sz="4" w:space="0" w:color="auto"/>
              <w:right w:val="nil"/>
            </w:tcBorders>
            <w:shd w:val="clear" w:color="auto" w:fill="auto"/>
            <w:noWrap/>
            <w:vAlign w:val="center"/>
            <w:hideMark/>
          </w:tcPr>
          <w:p w14:paraId="485662B9" w14:textId="1A515A2E"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93" w:type="dxa"/>
            <w:tcBorders>
              <w:top w:val="nil"/>
              <w:left w:val="single" w:sz="4" w:space="0" w:color="auto"/>
              <w:bottom w:val="single" w:sz="4" w:space="0" w:color="auto"/>
              <w:right w:val="nil"/>
            </w:tcBorders>
            <w:shd w:val="clear" w:color="auto" w:fill="auto"/>
            <w:noWrap/>
            <w:vAlign w:val="bottom"/>
            <w:hideMark/>
          </w:tcPr>
          <w:p w14:paraId="35162C4D"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888</w:t>
            </w:r>
          </w:p>
        </w:tc>
        <w:tc>
          <w:tcPr>
            <w:tcW w:w="850" w:type="dxa"/>
            <w:tcBorders>
              <w:top w:val="nil"/>
              <w:left w:val="nil"/>
              <w:bottom w:val="single" w:sz="4" w:space="0" w:color="auto"/>
              <w:right w:val="single" w:sz="4" w:space="0" w:color="auto"/>
            </w:tcBorders>
            <w:shd w:val="clear" w:color="auto" w:fill="auto"/>
            <w:noWrap/>
            <w:vAlign w:val="center"/>
            <w:hideMark/>
          </w:tcPr>
          <w:p w14:paraId="2EAE46B6" w14:textId="3DFD4817"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92" w:type="dxa"/>
            <w:tcBorders>
              <w:top w:val="nil"/>
              <w:left w:val="nil"/>
              <w:bottom w:val="single" w:sz="4" w:space="0" w:color="auto"/>
              <w:right w:val="nil"/>
            </w:tcBorders>
            <w:shd w:val="clear" w:color="auto" w:fill="auto"/>
            <w:noWrap/>
            <w:vAlign w:val="bottom"/>
            <w:hideMark/>
          </w:tcPr>
          <w:p w14:paraId="6EDB8B8E"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536</w:t>
            </w:r>
          </w:p>
        </w:tc>
        <w:tc>
          <w:tcPr>
            <w:tcW w:w="851" w:type="dxa"/>
            <w:tcBorders>
              <w:top w:val="nil"/>
              <w:left w:val="nil"/>
              <w:bottom w:val="single" w:sz="4" w:space="0" w:color="auto"/>
              <w:right w:val="single" w:sz="4" w:space="0" w:color="auto"/>
            </w:tcBorders>
            <w:shd w:val="clear" w:color="auto" w:fill="auto"/>
            <w:noWrap/>
            <w:vAlign w:val="center"/>
            <w:hideMark/>
          </w:tcPr>
          <w:p w14:paraId="7785C5D0" w14:textId="38C368BB"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417" w:type="dxa"/>
            <w:tcBorders>
              <w:top w:val="nil"/>
              <w:left w:val="nil"/>
              <w:bottom w:val="single" w:sz="4" w:space="0" w:color="auto"/>
              <w:right w:val="nil"/>
            </w:tcBorders>
            <w:shd w:val="clear" w:color="auto" w:fill="auto"/>
            <w:noWrap/>
            <w:vAlign w:val="center"/>
            <w:hideMark/>
          </w:tcPr>
          <w:p w14:paraId="6202A6E2" w14:textId="664F1A3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96,1 %</w:t>
            </w:r>
          </w:p>
        </w:tc>
      </w:tr>
      <w:tr w:rsidR="00033A3F" w:rsidRPr="00033A3F" w14:paraId="469B09E9"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31458E90"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71" w:type="dxa"/>
            <w:tcBorders>
              <w:top w:val="nil"/>
              <w:left w:val="nil"/>
              <w:bottom w:val="single" w:sz="4" w:space="0" w:color="auto"/>
              <w:right w:val="nil"/>
            </w:tcBorders>
            <w:shd w:val="clear" w:color="auto" w:fill="auto"/>
            <w:noWrap/>
            <w:vAlign w:val="bottom"/>
            <w:hideMark/>
          </w:tcPr>
          <w:p w14:paraId="547AFA1C"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341</w:t>
            </w:r>
          </w:p>
        </w:tc>
        <w:tc>
          <w:tcPr>
            <w:tcW w:w="878" w:type="dxa"/>
            <w:tcBorders>
              <w:top w:val="nil"/>
              <w:left w:val="nil"/>
              <w:bottom w:val="single" w:sz="4" w:space="0" w:color="auto"/>
              <w:right w:val="nil"/>
            </w:tcBorders>
            <w:shd w:val="clear" w:color="auto" w:fill="auto"/>
            <w:noWrap/>
            <w:vAlign w:val="center"/>
            <w:hideMark/>
          </w:tcPr>
          <w:p w14:paraId="0CD9EF2C" w14:textId="3B95A7A0" w:rsidR="00C13A01" w:rsidRPr="00033A3F" w:rsidRDefault="00C13A01" w:rsidP="00C13A0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3" w:type="dxa"/>
            <w:tcBorders>
              <w:top w:val="nil"/>
              <w:left w:val="single" w:sz="4" w:space="0" w:color="auto"/>
              <w:bottom w:val="single" w:sz="4" w:space="0" w:color="auto"/>
              <w:right w:val="nil"/>
            </w:tcBorders>
            <w:shd w:val="clear" w:color="auto" w:fill="auto"/>
            <w:noWrap/>
            <w:vAlign w:val="bottom"/>
            <w:hideMark/>
          </w:tcPr>
          <w:p w14:paraId="1FB92D26"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330</w:t>
            </w:r>
          </w:p>
        </w:tc>
        <w:tc>
          <w:tcPr>
            <w:tcW w:w="850" w:type="dxa"/>
            <w:tcBorders>
              <w:top w:val="nil"/>
              <w:left w:val="nil"/>
              <w:bottom w:val="single" w:sz="4" w:space="0" w:color="auto"/>
              <w:right w:val="single" w:sz="4" w:space="0" w:color="auto"/>
            </w:tcBorders>
            <w:shd w:val="clear" w:color="auto" w:fill="auto"/>
            <w:noWrap/>
            <w:vAlign w:val="center"/>
            <w:hideMark/>
          </w:tcPr>
          <w:p w14:paraId="1E05CD32" w14:textId="774C68DB"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92" w:type="dxa"/>
            <w:tcBorders>
              <w:top w:val="nil"/>
              <w:left w:val="nil"/>
              <w:bottom w:val="single" w:sz="4" w:space="0" w:color="auto"/>
              <w:right w:val="nil"/>
            </w:tcBorders>
            <w:shd w:val="clear" w:color="auto" w:fill="auto"/>
            <w:noWrap/>
            <w:vAlign w:val="bottom"/>
            <w:hideMark/>
          </w:tcPr>
          <w:p w14:paraId="5F9DA817"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138</w:t>
            </w:r>
          </w:p>
        </w:tc>
        <w:tc>
          <w:tcPr>
            <w:tcW w:w="851" w:type="dxa"/>
            <w:tcBorders>
              <w:top w:val="nil"/>
              <w:left w:val="nil"/>
              <w:bottom w:val="single" w:sz="4" w:space="0" w:color="auto"/>
              <w:right w:val="single" w:sz="4" w:space="0" w:color="auto"/>
            </w:tcBorders>
            <w:shd w:val="clear" w:color="auto" w:fill="auto"/>
            <w:noWrap/>
            <w:vAlign w:val="center"/>
            <w:hideMark/>
          </w:tcPr>
          <w:p w14:paraId="3E466BA6" w14:textId="495FA18E"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417" w:type="dxa"/>
            <w:tcBorders>
              <w:top w:val="nil"/>
              <w:left w:val="nil"/>
              <w:bottom w:val="single" w:sz="4" w:space="0" w:color="auto"/>
              <w:right w:val="nil"/>
            </w:tcBorders>
            <w:shd w:val="clear" w:color="auto" w:fill="auto"/>
            <w:noWrap/>
            <w:vAlign w:val="center"/>
            <w:hideMark/>
          </w:tcPr>
          <w:p w14:paraId="2E9C8B5C" w14:textId="37448428"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96,8 %</w:t>
            </w:r>
          </w:p>
        </w:tc>
      </w:tr>
      <w:tr w:rsidR="00033A3F" w:rsidRPr="00033A3F" w14:paraId="57989115"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44D8000B"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71" w:type="dxa"/>
            <w:tcBorders>
              <w:top w:val="nil"/>
              <w:left w:val="nil"/>
              <w:bottom w:val="single" w:sz="4" w:space="0" w:color="auto"/>
              <w:right w:val="nil"/>
            </w:tcBorders>
            <w:shd w:val="clear" w:color="auto" w:fill="auto"/>
            <w:noWrap/>
            <w:vAlign w:val="bottom"/>
            <w:hideMark/>
          </w:tcPr>
          <w:p w14:paraId="2D867C04"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657</w:t>
            </w:r>
          </w:p>
        </w:tc>
        <w:tc>
          <w:tcPr>
            <w:tcW w:w="878" w:type="dxa"/>
            <w:tcBorders>
              <w:top w:val="nil"/>
              <w:left w:val="nil"/>
              <w:bottom w:val="single" w:sz="4" w:space="0" w:color="auto"/>
              <w:right w:val="nil"/>
            </w:tcBorders>
            <w:shd w:val="clear" w:color="auto" w:fill="auto"/>
            <w:noWrap/>
            <w:vAlign w:val="center"/>
            <w:hideMark/>
          </w:tcPr>
          <w:p w14:paraId="1B506D03" w14:textId="74C59222"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993" w:type="dxa"/>
            <w:tcBorders>
              <w:top w:val="nil"/>
              <w:left w:val="single" w:sz="4" w:space="0" w:color="auto"/>
              <w:bottom w:val="single" w:sz="4" w:space="0" w:color="auto"/>
              <w:right w:val="nil"/>
            </w:tcBorders>
            <w:shd w:val="clear" w:color="auto" w:fill="auto"/>
            <w:noWrap/>
            <w:vAlign w:val="bottom"/>
            <w:hideMark/>
          </w:tcPr>
          <w:p w14:paraId="7772D178"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622</w:t>
            </w:r>
          </w:p>
        </w:tc>
        <w:tc>
          <w:tcPr>
            <w:tcW w:w="850" w:type="dxa"/>
            <w:tcBorders>
              <w:top w:val="nil"/>
              <w:left w:val="nil"/>
              <w:bottom w:val="single" w:sz="4" w:space="0" w:color="auto"/>
              <w:right w:val="single" w:sz="4" w:space="0" w:color="auto"/>
            </w:tcBorders>
            <w:shd w:val="clear" w:color="auto" w:fill="auto"/>
            <w:noWrap/>
            <w:vAlign w:val="center"/>
            <w:hideMark/>
          </w:tcPr>
          <w:p w14:paraId="0ADAF071" w14:textId="5A84227A"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2" w:type="dxa"/>
            <w:tcBorders>
              <w:top w:val="nil"/>
              <w:left w:val="nil"/>
              <w:bottom w:val="single" w:sz="4" w:space="0" w:color="auto"/>
              <w:right w:val="nil"/>
            </w:tcBorders>
            <w:shd w:val="clear" w:color="auto" w:fill="auto"/>
            <w:noWrap/>
            <w:vAlign w:val="bottom"/>
            <w:hideMark/>
          </w:tcPr>
          <w:p w14:paraId="0C46DEAB"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298</w:t>
            </w:r>
          </w:p>
        </w:tc>
        <w:tc>
          <w:tcPr>
            <w:tcW w:w="851" w:type="dxa"/>
            <w:tcBorders>
              <w:top w:val="nil"/>
              <w:left w:val="nil"/>
              <w:bottom w:val="single" w:sz="4" w:space="0" w:color="auto"/>
              <w:right w:val="single" w:sz="4" w:space="0" w:color="auto"/>
            </w:tcBorders>
            <w:shd w:val="clear" w:color="auto" w:fill="auto"/>
            <w:noWrap/>
            <w:vAlign w:val="center"/>
            <w:hideMark/>
          </w:tcPr>
          <w:p w14:paraId="15D901C4" w14:textId="1A2B938A"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417" w:type="dxa"/>
            <w:tcBorders>
              <w:top w:val="nil"/>
              <w:left w:val="nil"/>
              <w:bottom w:val="single" w:sz="4" w:space="0" w:color="auto"/>
              <w:right w:val="nil"/>
            </w:tcBorders>
            <w:shd w:val="clear" w:color="auto" w:fill="auto"/>
            <w:noWrap/>
            <w:vAlign w:val="center"/>
            <w:hideMark/>
          </w:tcPr>
          <w:p w14:paraId="41258628" w14:textId="2FFEAFD2"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94,7 %</w:t>
            </w:r>
          </w:p>
        </w:tc>
      </w:tr>
      <w:tr w:rsidR="00033A3F" w:rsidRPr="00033A3F" w14:paraId="07E2D408"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1302C9B1"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71" w:type="dxa"/>
            <w:tcBorders>
              <w:top w:val="nil"/>
              <w:left w:val="nil"/>
              <w:bottom w:val="single" w:sz="4" w:space="0" w:color="auto"/>
              <w:right w:val="nil"/>
            </w:tcBorders>
            <w:shd w:val="clear" w:color="auto" w:fill="auto"/>
            <w:noWrap/>
            <w:vAlign w:val="bottom"/>
            <w:hideMark/>
          </w:tcPr>
          <w:p w14:paraId="6D0056D3"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616</w:t>
            </w:r>
          </w:p>
        </w:tc>
        <w:tc>
          <w:tcPr>
            <w:tcW w:w="878" w:type="dxa"/>
            <w:tcBorders>
              <w:top w:val="nil"/>
              <w:left w:val="nil"/>
              <w:bottom w:val="single" w:sz="4" w:space="0" w:color="auto"/>
              <w:right w:val="nil"/>
            </w:tcBorders>
            <w:shd w:val="clear" w:color="auto" w:fill="auto"/>
            <w:noWrap/>
            <w:vAlign w:val="center"/>
            <w:hideMark/>
          </w:tcPr>
          <w:p w14:paraId="410FE074" w14:textId="14C7DA38" w:rsidR="00C13A01" w:rsidRPr="00033A3F" w:rsidRDefault="00C13A01" w:rsidP="00C13A0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993" w:type="dxa"/>
            <w:tcBorders>
              <w:top w:val="nil"/>
              <w:left w:val="single" w:sz="4" w:space="0" w:color="auto"/>
              <w:bottom w:val="single" w:sz="4" w:space="0" w:color="auto"/>
              <w:right w:val="nil"/>
            </w:tcBorders>
            <w:shd w:val="clear" w:color="auto" w:fill="auto"/>
            <w:noWrap/>
            <w:vAlign w:val="bottom"/>
            <w:hideMark/>
          </w:tcPr>
          <w:p w14:paraId="1922891A"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608</w:t>
            </w:r>
          </w:p>
        </w:tc>
        <w:tc>
          <w:tcPr>
            <w:tcW w:w="850" w:type="dxa"/>
            <w:tcBorders>
              <w:top w:val="nil"/>
              <w:left w:val="nil"/>
              <w:bottom w:val="single" w:sz="4" w:space="0" w:color="auto"/>
              <w:right w:val="single" w:sz="4" w:space="0" w:color="auto"/>
            </w:tcBorders>
            <w:shd w:val="clear" w:color="auto" w:fill="auto"/>
            <w:noWrap/>
            <w:vAlign w:val="center"/>
            <w:hideMark/>
          </w:tcPr>
          <w:p w14:paraId="5CF25E72" w14:textId="520B5BF4"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92" w:type="dxa"/>
            <w:tcBorders>
              <w:top w:val="nil"/>
              <w:left w:val="nil"/>
              <w:bottom w:val="single" w:sz="4" w:space="0" w:color="auto"/>
              <w:right w:val="nil"/>
            </w:tcBorders>
            <w:shd w:val="clear" w:color="auto" w:fill="auto"/>
            <w:noWrap/>
            <w:vAlign w:val="bottom"/>
            <w:hideMark/>
          </w:tcPr>
          <w:p w14:paraId="591E1780"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410</w:t>
            </w:r>
          </w:p>
        </w:tc>
        <w:tc>
          <w:tcPr>
            <w:tcW w:w="851" w:type="dxa"/>
            <w:tcBorders>
              <w:top w:val="nil"/>
              <w:left w:val="nil"/>
              <w:bottom w:val="single" w:sz="4" w:space="0" w:color="auto"/>
              <w:right w:val="single" w:sz="4" w:space="0" w:color="auto"/>
            </w:tcBorders>
            <w:shd w:val="clear" w:color="auto" w:fill="auto"/>
            <w:noWrap/>
            <w:vAlign w:val="center"/>
            <w:hideMark/>
          </w:tcPr>
          <w:p w14:paraId="72786C67" w14:textId="18D36FAB"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417" w:type="dxa"/>
            <w:tcBorders>
              <w:top w:val="nil"/>
              <w:left w:val="nil"/>
              <w:bottom w:val="single" w:sz="4" w:space="0" w:color="auto"/>
              <w:right w:val="nil"/>
            </w:tcBorders>
            <w:shd w:val="clear" w:color="auto" w:fill="auto"/>
            <w:noWrap/>
            <w:vAlign w:val="center"/>
            <w:hideMark/>
          </w:tcPr>
          <w:p w14:paraId="10E3A2A2" w14:textId="512F4673"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98,7 %</w:t>
            </w:r>
          </w:p>
        </w:tc>
      </w:tr>
      <w:tr w:rsidR="00033A3F" w:rsidRPr="00033A3F" w14:paraId="391EAFDE"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23ECECB5"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71" w:type="dxa"/>
            <w:tcBorders>
              <w:top w:val="nil"/>
              <w:left w:val="nil"/>
              <w:bottom w:val="single" w:sz="4" w:space="0" w:color="auto"/>
              <w:right w:val="nil"/>
            </w:tcBorders>
            <w:shd w:val="clear" w:color="auto" w:fill="auto"/>
            <w:noWrap/>
            <w:vAlign w:val="bottom"/>
            <w:hideMark/>
          </w:tcPr>
          <w:p w14:paraId="53419F43"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523</w:t>
            </w:r>
          </w:p>
        </w:tc>
        <w:tc>
          <w:tcPr>
            <w:tcW w:w="878" w:type="dxa"/>
            <w:tcBorders>
              <w:top w:val="nil"/>
              <w:left w:val="nil"/>
              <w:bottom w:val="single" w:sz="4" w:space="0" w:color="auto"/>
              <w:right w:val="nil"/>
            </w:tcBorders>
            <w:shd w:val="clear" w:color="auto" w:fill="auto"/>
            <w:noWrap/>
            <w:vAlign w:val="center"/>
            <w:hideMark/>
          </w:tcPr>
          <w:p w14:paraId="1787C06F" w14:textId="026FA64D"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3" w:type="dxa"/>
            <w:tcBorders>
              <w:top w:val="nil"/>
              <w:left w:val="single" w:sz="4" w:space="0" w:color="auto"/>
              <w:bottom w:val="single" w:sz="4" w:space="0" w:color="auto"/>
              <w:right w:val="nil"/>
            </w:tcBorders>
            <w:shd w:val="clear" w:color="auto" w:fill="auto"/>
            <w:noWrap/>
            <w:vAlign w:val="bottom"/>
            <w:hideMark/>
          </w:tcPr>
          <w:p w14:paraId="4DEE15CD"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530</w:t>
            </w:r>
          </w:p>
        </w:tc>
        <w:tc>
          <w:tcPr>
            <w:tcW w:w="850" w:type="dxa"/>
            <w:tcBorders>
              <w:top w:val="nil"/>
              <w:left w:val="nil"/>
              <w:bottom w:val="single" w:sz="4" w:space="0" w:color="auto"/>
              <w:right w:val="single" w:sz="4" w:space="0" w:color="auto"/>
            </w:tcBorders>
            <w:shd w:val="clear" w:color="auto" w:fill="auto"/>
            <w:noWrap/>
            <w:vAlign w:val="center"/>
            <w:hideMark/>
          </w:tcPr>
          <w:p w14:paraId="41C72B25" w14:textId="104B8DC6"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92" w:type="dxa"/>
            <w:tcBorders>
              <w:top w:val="nil"/>
              <w:left w:val="nil"/>
              <w:bottom w:val="single" w:sz="4" w:space="0" w:color="auto"/>
              <w:right w:val="nil"/>
            </w:tcBorders>
            <w:shd w:val="clear" w:color="auto" w:fill="auto"/>
            <w:noWrap/>
            <w:vAlign w:val="bottom"/>
            <w:hideMark/>
          </w:tcPr>
          <w:p w14:paraId="10CF03D6"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230</w:t>
            </w:r>
          </w:p>
        </w:tc>
        <w:tc>
          <w:tcPr>
            <w:tcW w:w="851" w:type="dxa"/>
            <w:tcBorders>
              <w:top w:val="nil"/>
              <w:left w:val="nil"/>
              <w:bottom w:val="single" w:sz="4" w:space="0" w:color="auto"/>
              <w:right w:val="single" w:sz="4" w:space="0" w:color="auto"/>
            </w:tcBorders>
            <w:shd w:val="clear" w:color="auto" w:fill="auto"/>
            <w:noWrap/>
            <w:vAlign w:val="center"/>
            <w:hideMark/>
          </w:tcPr>
          <w:p w14:paraId="70D2D09A" w14:textId="3D8AA871"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417" w:type="dxa"/>
            <w:tcBorders>
              <w:top w:val="nil"/>
              <w:left w:val="nil"/>
              <w:bottom w:val="single" w:sz="4" w:space="0" w:color="auto"/>
              <w:right w:val="nil"/>
            </w:tcBorders>
            <w:shd w:val="clear" w:color="auto" w:fill="auto"/>
            <w:noWrap/>
            <w:vAlign w:val="center"/>
            <w:hideMark/>
          </w:tcPr>
          <w:p w14:paraId="6299960F" w14:textId="4CF8DF2E"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101,3 %</w:t>
            </w:r>
          </w:p>
        </w:tc>
      </w:tr>
      <w:tr w:rsidR="00033A3F" w:rsidRPr="00033A3F" w14:paraId="1F2E1FBF"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694D9922"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71" w:type="dxa"/>
            <w:tcBorders>
              <w:top w:val="nil"/>
              <w:left w:val="nil"/>
              <w:bottom w:val="single" w:sz="4" w:space="0" w:color="auto"/>
              <w:right w:val="nil"/>
            </w:tcBorders>
            <w:shd w:val="clear" w:color="auto" w:fill="auto"/>
            <w:noWrap/>
            <w:vAlign w:val="bottom"/>
            <w:hideMark/>
          </w:tcPr>
          <w:p w14:paraId="60F8A41C"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1319</w:t>
            </w:r>
          </w:p>
        </w:tc>
        <w:tc>
          <w:tcPr>
            <w:tcW w:w="878" w:type="dxa"/>
            <w:tcBorders>
              <w:top w:val="nil"/>
              <w:left w:val="nil"/>
              <w:bottom w:val="single" w:sz="4" w:space="0" w:color="auto"/>
              <w:right w:val="nil"/>
            </w:tcBorders>
            <w:shd w:val="clear" w:color="auto" w:fill="auto"/>
            <w:noWrap/>
            <w:vAlign w:val="center"/>
            <w:hideMark/>
          </w:tcPr>
          <w:p w14:paraId="3DBCC28E" w14:textId="0B6CDAC9"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93" w:type="dxa"/>
            <w:tcBorders>
              <w:top w:val="nil"/>
              <w:left w:val="single" w:sz="4" w:space="0" w:color="auto"/>
              <w:bottom w:val="single" w:sz="4" w:space="0" w:color="auto"/>
              <w:right w:val="nil"/>
            </w:tcBorders>
            <w:shd w:val="clear" w:color="auto" w:fill="auto"/>
            <w:noWrap/>
            <w:vAlign w:val="bottom"/>
            <w:hideMark/>
          </w:tcPr>
          <w:p w14:paraId="0D808925"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1477</w:t>
            </w:r>
          </w:p>
        </w:tc>
        <w:tc>
          <w:tcPr>
            <w:tcW w:w="850" w:type="dxa"/>
            <w:tcBorders>
              <w:top w:val="nil"/>
              <w:left w:val="nil"/>
              <w:bottom w:val="single" w:sz="4" w:space="0" w:color="auto"/>
              <w:right w:val="single" w:sz="4" w:space="0" w:color="auto"/>
            </w:tcBorders>
            <w:shd w:val="clear" w:color="auto" w:fill="auto"/>
            <w:noWrap/>
            <w:vAlign w:val="center"/>
            <w:hideMark/>
          </w:tcPr>
          <w:p w14:paraId="171A15D4" w14:textId="6A11FB6D"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92" w:type="dxa"/>
            <w:tcBorders>
              <w:top w:val="nil"/>
              <w:left w:val="nil"/>
              <w:bottom w:val="single" w:sz="4" w:space="0" w:color="auto"/>
              <w:right w:val="nil"/>
            </w:tcBorders>
            <w:shd w:val="clear" w:color="auto" w:fill="auto"/>
            <w:noWrap/>
            <w:vAlign w:val="bottom"/>
            <w:hideMark/>
          </w:tcPr>
          <w:p w14:paraId="5EC42122"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1000</w:t>
            </w:r>
          </w:p>
        </w:tc>
        <w:tc>
          <w:tcPr>
            <w:tcW w:w="851" w:type="dxa"/>
            <w:tcBorders>
              <w:top w:val="nil"/>
              <w:left w:val="nil"/>
              <w:bottom w:val="single" w:sz="4" w:space="0" w:color="auto"/>
              <w:right w:val="single" w:sz="4" w:space="0" w:color="auto"/>
            </w:tcBorders>
            <w:shd w:val="clear" w:color="auto" w:fill="auto"/>
            <w:noWrap/>
            <w:vAlign w:val="center"/>
            <w:hideMark/>
          </w:tcPr>
          <w:p w14:paraId="2537FB42" w14:textId="4EE77D75"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417" w:type="dxa"/>
            <w:tcBorders>
              <w:top w:val="nil"/>
              <w:left w:val="nil"/>
              <w:bottom w:val="single" w:sz="4" w:space="0" w:color="auto"/>
              <w:right w:val="nil"/>
            </w:tcBorders>
            <w:shd w:val="clear" w:color="auto" w:fill="auto"/>
            <w:noWrap/>
            <w:vAlign w:val="center"/>
            <w:hideMark/>
          </w:tcPr>
          <w:p w14:paraId="6FAEC7A6" w14:textId="6C66B193"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112,0 %</w:t>
            </w:r>
          </w:p>
        </w:tc>
      </w:tr>
      <w:tr w:rsidR="00033A3F" w:rsidRPr="00033A3F" w14:paraId="79CE8F50" w14:textId="77777777" w:rsidTr="00FC40F0">
        <w:trPr>
          <w:trHeight w:val="330"/>
        </w:trPr>
        <w:tc>
          <w:tcPr>
            <w:tcW w:w="2020" w:type="dxa"/>
            <w:tcBorders>
              <w:top w:val="nil"/>
              <w:left w:val="nil"/>
              <w:bottom w:val="double" w:sz="6" w:space="0" w:color="auto"/>
              <w:right w:val="nil"/>
            </w:tcBorders>
            <w:shd w:val="clear" w:color="auto" w:fill="auto"/>
            <w:noWrap/>
            <w:vAlign w:val="bottom"/>
            <w:hideMark/>
          </w:tcPr>
          <w:p w14:paraId="4784A05A"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71" w:type="dxa"/>
            <w:tcBorders>
              <w:top w:val="nil"/>
              <w:left w:val="nil"/>
              <w:bottom w:val="double" w:sz="6" w:space="0" w:color="auto"/>
              <w:right w:val="nil"/>
            </w:tcBorders>
            <w:shd w:val="clear" w:color="auto" w:fill="auto"/>
            <w:noWrap/>
            <w:vAlign w:val="bottom"/>
            <w:hideMark/>
          </w:tcPr>
          <w:p w14:paraId="46087EDA"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1014</w:t>
            </w:r>
          </w:p>
        </w:tc>
        <w:tc>
          <w:tcPr>
            <w:tcW w:w="878" w:type="dxa"/>
            <w:tcBorders>
              <w:top w:val="nil"/>
              <w:left w:val="nil"/>
              <w:bottom w:val="double" w:sz="6" w:space="0" w:color="auto"/>
              <w:right w:val="nil"/>
            </w:tcBorders>
            <w:shd w:val="clear" w:color="auto" w:fill="auto"/>
            <w:noWrap/>
            <w:vAlign w:val="center"/>
            <w:hideMark/>
          </w:tcPr>
          <w:p w14:paraId="4EF74916" w14:textId="21C4CAD2"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993" w:type="dxa"/>
            <w:tcBorders>
              <w:top w:val="nil"/>
              <w:left w:val="single" w:sz="4" w:space="0" w:color="auto"/>
              <w:bottom w:val="double" w:sz="6" w:space="0" w:color="auto"/>
              <w:right w:val="nil"/>
            </w:tcBorders>
            <w:shd w:val="clear" w:color="auto" w:fill="auto"/>
            <w:noWrap/>
            <w:vAlign w:val="bottom"/>
            <w:hideMark/>
          </w:tcPr>
          <w:p w14:paraId="7FBBAD4D"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1027</w:t>
            </w:r>
          </w:p>
        </w:tc>
        <w:tc>
          <w:tcPr>
            <w:tcW w:w="850" w:type="dxa"/>
            <w:tcBorders>
              <w:top w:val="nil"/>
              <w:left w:val="nil"/>
              <w:bottom w:val="double" w:sz="6" w:space="0" w:color="auto"/>
              <w:right w:val="single" w:sz="4" w:space="0" w:color="auto"/>
            </w:tcBorders>
            <w:shd w:val="clear" w:color="auto" w:fill="auto"/>
            <w:noWrap/>
            <w:vAlign w:val="center"/>
            <w:hideMark/>
          </w:tcPr>
          <w:p w14:paraId="5DF45AC8" w14:textId="15A5A18C"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92" w:type="dxa"/>
            <w:tcBorders>
              <w:top w:val="nil"/>
              <w:left w:val="nil"/>
              <w:bottom w:val="double" w:sz="6" w:space="0" w:color="auto"/>
              <w:right w:val="nil"/>
            </w:tcBorders>
            <w:shd w:val="clear" w:color="auto" w:fill="auto"/>
            <w:noWrap/>
            <w:vAlign w:val="bottom"/>
            <w:hideMark/>
          </w:tcPr>
          <w:p w14:paraId="024B9595"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628</w:t>
            </w:r>
          </w:p>
        </w:tc>
        <w:tc>
          <w:tcPr>
            <w:tcW w:w="851" w:type="dxa"/>
            <w:tcBorders>
              <w:top w:val="nil"/>
              <w:left w:val="nil"/>
              <w:bottom w:val="double" w:sz="6" w:space="0" w:color="auto"/>
              <w:right w:val="single" w:sz="4" w:space="0" w:color="auto"/>
            </w:tcBorders>
            <w:shd w:val="clear" w:color="auto" w:fill="auto"/>
            <w:noWrap/>
            <w:vAlign w:val="center"/>
            <w:hideMark/>
          </w:tcPr>
          <w:p w14:paraId="28B63053" w14:textId="0E3347BC"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417" w:type="dxa"/>
            <w:tcBorders>
              <w:top w:val="nil"/>
              <w:left w:val="nil"/>
              <w:bottom w:val="nil"/>
              <w:right w:val="nil"/>
            </w:tcBorders>
            <w:shd w:val="clear" w:color="auto" w:fill="auto"/>
            <w:noWrap/>
            <w:vAlign w:val="center"/>
            <w:hideMark/>
          </w:tcPr>
          <w:p w14:paraId="7068A6A9" w14:textId="22AC2FCC"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101,3 %</w:t>
            </w:r>
          </w:p>
        </w:tc>
      </w:tr>
      <w:tr w:rsidR="00033A3F" w:rsidRPr="00033A3F" w14:paraId="540348EA" w14:textId="77777777" w:rsidTr="00FC40F0">
        <w:trPr>
          <w:trHeight w:val="345"/>
        </w:trPr>
        <w:tc>
          <w:tcPr>
            <w:tcW w:w="2020" w:type="dxa"/>
            <w:tcBorders>
              <w:top w:val="nil"/>
              <w:left w:val="nil"/>
              <w:bottom w:val="double" w:sz="6" w:space="0" w:color="auto"/>
              <w:right w:val="nil"/>
            </w:tcBorders>
            <w:shd w:val="clear" w:color="auto" w:fill="auto"/>
            <w:noWrap/>
            <w:vAlign w:val="bottom"/>
            <w:hideMark/>
          </w:tcPr>
          <w:p w14:paraId="045CDBE3" w14:textId="77777777" w:rsidR="00C13A01" w:rsidRPr="00033A3F" w:rsidRDefault="00C13A01" w:rsidP="00C13A0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71" w:type="dxa"/>
            <w:tcBorders>
              <w:top w:val="nil"/>
              <w:left w:val="nil"/>
              <w:bottom w:val="double" w:sz="6" w:space="0" w:color="auto"/>
              <w:right w:val="nil"/>
            </w:tcBorders>
            <w:shd w:val="clear" w:color="auto" w:fill="auto"/>
            <w:noWrap/>
            <w:vAlign w:val="bottom"/>
            <w:hideMark/>
          </w:tcPr>
          <w:p w14:paraId="796C55A0"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8 187</w:t>
            </w:r>
          </w:p>
        </w:tc>
        <w:tc>
          <w:tcPr>
            <w:tcW w:w="878" w:type="dxa"/>
            <w:tcBorders>
              <w:top w:val="nil"/>
              <w:left w:val="nil"/>
              <w:bottom w:val="double" w:sz="6" w:space="0" w:color="auto"/>
              <w:right w:val="nil"/>
            </w:tcBorders>
            <w:shd w:val="clear" w:color="auto" w:fill="auto"/>
            <w:noWrap/>
            <w:vAlign w:val="center"/>
            <w:hideMark/>
          </w:tcPr>
          <w:p w14:paraId="4C1DC3E0" w14:textId="6053C2E6" w:rsidR="00C13A01" w:rsidRPr="00033A3F" w:rsidRDefault="00C13A01"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993" w:type="dxa"/>
            <w:tcBorders>
              <w:top w:val="nil"/>
              <w:left w:val="single" w:sz="4" w:space="0" w:color="auto"/>
              <w:bottom w:val="double" w:sz="6" w:space="0" w:color="auto"/>
              <w:right w:val="nil"/>
            </w:tcBorders>
            <w:shd w:val="clear" w:color="auto" w:fill="auto"/>
            <w:noWrap/>
            <w:vAlign w:val="bottom"/>
            <w:hideMark/>
          </w:tcPr>
          <w:p w14:paraId="2CF03FD1"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8 565</w:t>
            </w:r>
          </w:p>
        </w:tc>
        <w:tc>
          <w:tcPr>
            <w:tcW w:w="850" w:type="dxa"/>
            <w:tcBorders>
              <w:top w:val="nil"/>
              <w:left w:val="nil"/>
              <w:bottom w:val="double" w:sz="6" w:space="0" w:color="auto"/>
              <w:right w:val="single" w:sz="4" w:space="0" w:color="auto"/>
            </w:tcBorders>
            <w:shd w:val="clear" w:color="auto" w:fill="auto"/>
            <w:noWrap/>
            <w:vAlign w:val="center"/>
            <w:hideMark/>
          </w:tcPr>
          <w:p w14:paraId="17CD0DCB" w14:textId="0868D5F6" w:rsidR="00C13A01" w:rsidRPr="00033A3F" w:rsidRDefault="00C13A01"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992" w:type="dxa"/>
            <w:tcBorders>
              <w:top w:val="nil"/>
              <w:left w:val="nil"/>
              <w:bottom w:val="double" w:sz="6" w:space="0" w:color="auto"/>
              <w:right w:val="nil"/>
            </w:tcBorders>
            <w:shd w:val="clear" w:color="auto" w:fill="auto"/>
            <w:noWrap/>
            <w:vAlign w:val="bottom"/>
            <w:hideMark/>
          </w:tcPr>
          <w:p w14:paraId="3096E88F"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4 747</w:t>
            </w:r>
          </w:p>
        </w:tc>
        <w:tc>
          <w:tcPr>
            <w:tcW w:w="851" w:type="dxa"/>
            <w:tcBorders>
              <w:top w:val="nil"/>
              <w:left w:val="nil"/>
              <w:bottom w:val="double" w:sz="6" w:space="0" w:color="auto"/>
              <w:right w:val="single" w:sz="4" w:space="0" w:color="auto"/>
            </w:tcBorders>
            <w:shd w:val="clear" w:color="auto" w:fill="auto"/>
            <w:noWrap/>
            <w:vAlign w:val="center"/>
            <w:hideMark/>
          </w:tcPr>
          <w:p w14:paraId="28647830" w14:textId="38E50121" w:rsidR="00C13A01" w:rsidRPr="00033A3F" w:rsidRDefault="00C13A01"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-8 %</w:t>
            </w:r>
          </w:p>
        </w:tc>
        <w:tc>
          <w:tcPr>
            <w:tcW w:w="1417" w:type="dxa"/>
            <w:tcBorders>
              <w:top w:val="double" w:sz="6" w:space="0" w:color="auto"/>
              <w:left w:val="nil"/>
              <w:bottom w:val="double" w:sz="6" w:space="0" w:color="auto"/>
              <w:right w:val="nil"/>
            </w:tcBorders>
            <w:shd w:val="clear" w:color="auto" w:fill="auto"/>
            <w:noWrap/>
            <w:vAlign w:val="center"/>
            <w:hideMark/>
          </w:tcPr>
          <w:p w14:paraId="316392CB" w14:textId="536CB114"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104,6 %</w:t>
            </w:r>
          </w:p>
        </w:tc>
      </w:tr>
      <w:tr w:rsidR="00033A3F" w:rsidRPr="00033A3F" w14:paraId="35852AC2" w14:textId="77777777" w:rsidTr="00FC40F0">
        <w:trPr>
          <w:trHeight w:val="330"/>
        </w:trPr>
        <w:tc>
          <w:tcPr>
            <w:tcW w:w="2020" w:type="dxa"/>
            <w:tcBorders>
              <w:top w:val="nil"/>
              <w:left w:val="nil"/>
              <w:bottom w:val="nil"/>
              <w:right w:val="nil"/>
            </w:tcBorders>
            <w:shd w:val="clear" w:color="auto" w:fill="auto"/>
            <w:noWrap/>
            <w:vAlign w:val="bottom"/>
            <w:hideMark/>
          </w:tcPr>
          <w:p w14:paraId="1D112AAD" w14:textId="77777777" w:rsidR="00C13A01" w:rsidRPr="00033A3F" w:rsidRDefault="00C13A01" w:rsidP="00C13A01">
            <w:pPr>
              <w:spacing w:line="240" w:lineRule="auto"/>
              <w:jc w:val="center"/>
              <w:rPr>
                <w:rFonts w:eastAsia="Times New Roman"/>
                <w:b/>
                <w:bCs/>
                <w:color w:val="000000" w:themeColor="text1"/>
                <w:szCs w:val="24"/>
                <w:lang w:eastAsia="cs-CZ"/>
              </w:rPr>
            </w:pPr>
          </w:p>
        </w:tc>
        <w:tc>
          <w:tcPr>
            <w:tcW w:w="1071" w:type="dxa"/>
            <w:tcBorders>
              <w:top w:val="nil"/>
              <w:left w:val="nil"/>
              <w:bottom w:val="nil"/>
              <w:right w:val="nil"/>
            </w:tcBorders>
            <w:shd w:val="clear" w:color="auto" w:fill="auto"/>
            <w:noWrap/>
            <w:vAlign w:val="bottom"/>
            <w:hideMark/>
          </w:tcPr>
          <w:p w14:paraId="369EF761"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878" w:type="dxa"/>
            <w:tcBorders>
              <w:top w:val="nil"/>
              <w:left w:val="nil"/>
              <w:bottom w:val="nil"/>
              <w:right w:val="nil"/>
            </w:tcBorders>
            <w:shd w:val="clear" w:color="auto" w:fill="auto"/>
            <w:noWrap/>
            <w:vAlign w:val="bottom"/>
            <w:hideMark/>
          </w:tcPr>
          <w:p w14:paraId="0B85177D"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993" w:type="dxa"/>
            <w:tcBorders>
              <w:top w:val="nil"/>
              <w:left w:val="nil"/>
              <w:bottom w:val="nil"/>
              <w:right w:val="nil"/>
            </w:tcBorders>
            <w:shd w:val="clear" w:color="auto" w:fill="auto"/>
            <w:noWrap/>
            <w:vAlign w:val="bottom"/>
            <w:hideMark/>
          </w:tcPr>
          <w:p w14:paraId="0BE2C252"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850" w:type="dxa"/>
            <w:tcBorders>
              <w:top w:val="nil"/>
              <w:left w:val="nil"/>
              <w:bottom w:val="nil"/>
              <w:right w:val="nil"/>
            </w:tcBorders>
            <w:shd w:val="clear" w:color="auto" w:fill="auto"/>
            <w:noWrap/>
            <w:vAlign w:val="bottom"/>
            <w:hideMark/>
          </w:tcPr>
          <w:p w14:paraId="15458834"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992" w:type="dxa"/>
            <w:tcBorders>
              <w:top w:val="nil"/>
              <w:left w:val="nil"/>
              <w:bottom w:val="nil"/>
              <w:right w:val="nil"/>
            </w:tcBorders>
            <w:shd w:val="clear" w:color="auto" w:fill="auto"/>
            <w:noWrap/>
            <w:vAlign w:val="bottom"/>
            <w:hideMark/>
          </w:tcPr>
          <w:p w14:paraId="2786E026"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7C51E08D"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1417" w:type="dxa"/>
            <w:tcBorders>
              <w:top w:val="nil"/>
              <w:left w:val="nil"/>
              <w:bottom w:val="nil"/>
              <w:right w:val="nil"/>
            </w:tcBorders>
            <w:shd w:val="clear" w:color="auto" w:fill="auto"/>
            <w:noWrap/>
            <w:vAlign w:val="bottom"/>
            <w:hideMark/>
          </w:tcPr>
          <w:p w14:paraId="6C207DC0"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r>
    </w:tbl>
    <w:p w14:paraId="256FC3CB" w14:textId="025DD004" w:rsidR="00C13A01" w:rsidRPr="00033A3F" w:rsidRDefault="00C13A01" w:rsidP="00C13A01">
      <w:pPr>
        <w:pStyle w:val="OdstavecASR"/>
        <w:shd w:val="clear" w:color="auto" w:fill="FFFFFF" w:themeFill="background1"/>
        <w:rPr>
          <w:color w:val="000000" w:themeColor="text1"/>
        </w:rPr>
      </w:pPr>
      <w:r w:rsidRPr="00033A3F">
        <w:rPr>
          <w:color w:val="000000" w:themeColor="text1"/>
        </w:rPr>
        <w:t>Zpomalují</w:t>
      </w:r>
      <w:r w:rsidR="00FC40F0" w:rsidRPr="00033A3F">
        <w:rPr>
          <w:color w:val="000000" w:themeColor="text1"/>
        </w:rPr>
        <w:t>cí</w:t>
      </w:r>
      <w:r w:rsidRPr="00033A3F">
        <w:rPr>
          <w:color w:val="000000" w:themeColor="text1"/>
        </w:rPr>
        <w:t xml:space="preserve"> trend </w:t>
      </w:r>
      <w:r w:rsidR="008B047F" w:rsidRPr="00033A3F">
        <w:rPr>
          <w:color w:val="000000" w:themeColor="text1"/>
        </w:rPr>
        <w:t xml:space="preserve">poklesu </w:t>
      </w:r>
      <w:r w:rsidRPr="00033A3F">
        <w:rPr>
          <w:color w:val="000000" w:themeColor="text1"/>
        </w:rPr>
        <w:t>nevyřízených věcí vidíme v tabulce výše</w:t>
      </w:r>
      <w:r w:rsidR="000C7A72" w:rsidRPr="00033A3F">
        <w:rPr>
          <w:color w:val="000000" w:themeColor="text1"/>
        </w:rPr>
        <w:t xml:space="preserve">. </w:t>
      </w:r>
      <w:r w:rsidRPr="00033A3F">
        <w:rPr>
          <w:color w:val="000000" w:themeColor="text1"/>
        </w:rPr>
        <w:t xml:space="preserve">V tomto roce měly pouze </w:t>
      </w:r>
      <w:r w:rsidR="00BC30BA" w:rsidRPr="00033A3F">
        <w:rPr>
          <w:color w:val="000000" w:themeColor="text1"/>
        </w:rPr>
        <w:t>4 </w:t>
      </w:r>
      <w:r w:rsidRPr="00033A3F">
        <w:rPr>
          <w:color w:val="000000" w:themeColor="text1"/>
        </w:rPr>
        <w:t>soudy mír</w:t>
      </w:r>
      <w:r w:rsidR="00872C0E">
        <w:rPr>
          <w:color w:val="000000" w:themeColor="text1"/>
        </w:rPr>
        <w:t>u</w:t>
      </w:r>
      <w:r w:rsidRPr="00033A3F">
        <w:rPr>
          <w:color w:val="000000" w:themeColor="text1"/>
        </w:rPr>
        <w:t xml:space="preserve"> vyřizování přes 100 %</w:t>
      </w:r>
      <w:r w:rsidR="00872C0E">
        <w:rPr>
          <w:color w:val="000000" w:themeColor="text1"/>
        </w:rPr>
        <w:t>,</w:t>
      </w:r>
      <w:r w:rsidR="008B047F" w:rsidRPr="00033A3F">
        <w:rPr>
          <w:color w:val="000000" w:themeColor="text1"/>
        </w:rPr>
        <w:t xml:space="preserve"> což je oproti minulosti méně; pozitivní nicméně je, že mezi tyto soudy stále velmi výrazně patří MS Praha a KS Brno, které vykazují nejvyšší nápad i nejvyšší počet nedodělků</w:t>
      </w:r>
      <w:r w:rsidRPr="00033A3F">
        <w:rPr>
          <w:color w:val="000000" w:themeColor="text1"/>
        </w:rPr>
        <w:t>.</w:t>
      </w:r>
    </w:p>
    <w:p w14:paraId="0E2A0BFC" w14:textId="37C54188" w:rsidR="00C13A01" w:rsidRPr="00033A3F" w:rsidRDefault="00C13A01" w:rsidP="00C13A01">
      <w:pPr>
        <w:pStyle w:val="OdstavecASR"/>
        <w:shd w:val="clear" w:color="auto" w:fill="FFFFFF" w:themeFill="background1"/>
        <w:rPr>
          <w:color w:val="000000" w:themeColor="text1"/>
        </w:rPr>
      </w:pPr>
      <w:r w:rsidRPr="00033A3F">
        <w:rPr>
          <w:color w:val="000000" w:themeColor="text1"/>
        </w:rPr>
        <w:t>Data v této podkapitole nejsou nijak normalizována, takže nelze činit závěry o celkové zatíženosti jednotlivých soudů. K tomu slouží ostatní podkapitoly.</w:t>
      </w:r>
    </w:p>
    <w:p w14:paraId="7E1A6C34" w14:textId="4A83461A" w:rsidR="00C13A01" w:rsidRPr="00033A3F" w:rsidRDefault="00C13A01" w:rsidP="00C13A01">
      <w:pPr>
        <w:pStyle w:val="Podnadpis"/>
        <w:rPr>
          <w:color w:val="000000" w:themeColor="text1"/>
        </w:rPr>
      </w:pPr>
      <w:bookmarkStart w:id="1719" w:name="_Toc515871492"/>
      <w:bookmarkStart w:id="1720" w:name="_Toc11133259"/>
      <w:bookmarkStart w:id="1721" w:name="_Toc43931238"/>
      <w:bookmarkStart w:id="1722" w:name="_Toc75952371"/>
      <w:bookmarkStart w:id="1723" w:name="_Toc106106826"/>
      <w:bookmarkStart w:id="1724" w:name="_Toc109802149"/>
      <w:bookmarkStart w:id="1725" w:name="_Toc144104308"/>
      <w:bookmarkStart w:id="1726" w:name="_Toc169250998"/>
      <w:bookmarkStart w:id="1727" w:name="_Toc174080684"/>
      <w:bookmarkStart w:id="1728" w:name="_Toc193530838"/>
      <w:bookmarkStart w:id="1729" w:name="_Toc193634112"/>
      <w:bookmarkStart w:id="1730" w:name="_Toc203032910"/>
      <w:bookmarkStart w:id="1731" w:name="_Hlk9902222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83</w:t>
      </w:r>
      <w:r w:rsidRPr="00033A3F">
        <w:rPr>
          <w:color w:val="000000" w:themeColor="text1"/>
        </w:rPr>
        <w:fldChar w:fldCharType="end"/>
      </w:r>
      <w:r w:rsidRPr="00033A3F">
        <w:rPr>
          <w:color w:val="000000" w:themeColor="text1"/>
        </w:rPr>
        <w:t>: KS – podíl nevyříz. věcí druhů agendy správního soudnictví</w:t>
      </w:r>
      <w:bookmarkEnd w:id="1719"/>
      <w:bookmarkEnd w:id="1720"/>
      <w:bookmarkEnd w:id="1721"/>
      <w:bookmarkEnd w:id="1722"/>
      <w:bookmarkEnd w:id="1723"/>
      <w:bookmarkEnd w:id="1724"/>
      <w:bookmarkEnd w:id="1725"/>
      <w:r w:rsidRPr="00033A3F">
        <w:rPr>
          <w:color w:val="000000" w:themeColor="text1"/>
        </w:rPr>
        <w:t>, 202</w:t>
      </w:r>
      <w:bookmarkEnd w:id="1726"/>
      <w:bookmarkEnd w:id="1727"/>
      <w:r w:rsidRPr="00033A3F">
        <w:rPr>
          <w:color w:val="000000" w:themeColor="text1"/>
        </w:rPr>
        <w:t>4</w:t>
      </w:r>
      <w:bookmarkEnd w:id="1728"/>
      <w:bookmarkEnd w:id="1729"/>
      <w:bookmarkEnd w:id="1730"/>
    </w:p>
    <w:bookmarkEnd w:id="1731"/>
    <w:p w14:paraId="0E15675B" w14:textId="1067492B" w:rsidR="00C13A01" w:rsidRPr="00033A3F" w:rsidRDefault="00EA4AAF" w:rsidP="00450DC6">
      <w:pPr>
        <w:rPr>
          <w:color w:val="000000" w:themeColor="text1"/>
        </w:rPr>
      </w:pPr>
      <w:r w:rsidRPr="00033A3F">
        <w:rPr>
          <w:noProof/>
          <w:color w:val="000000" w:themeColor="text1"/>
          <w:lang w:eastAsia="cs-CZ"/>
        </w:rPr>
        <w:drawing>
          <wp:inline distT="0" distB="0" distL="0" distR="0" wp14:anchorId="260C783A" wp14:editId="2C0D0752">
            <wp:extent cx="5029200" cy="3657600"/>
            <wp:effectExtent l="0" t="0" r="0" b="0"/>
            <wp:docPr id="1766388818"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1F52282" w14:textId="77777777" w:rsidR="00C13A01" w:rsidRPr="00033A3F" w:rsidRDefault="00C13A01" w:rsidP="00450DC6">
      <w:pPr>
        <w:rPr>
          <w:color w:val="000000" w:themeColor="text1"/>
        </w:rPr>
      </w:pPr>
    </w:p>
    <w:p w14:paraId="0253850B" w14:textId="7236CA64" w:rsidR="00EA4AAF" w:rsidRPr="00033A3F" w:rsidRDefault="00EA4AAF" w:rsidP="00EA4AAF">
      <w:pPr>
        <w:pStyle w:val="OdstavecASR"/>
        <w:rPr>
          <w:color w:val="000000" w:themeColor="text1"/>
        </w:rPr>
      </w:pPr>
      <w:r w:rsidRPr="00033A3F">
        <w:rPr>
          <w:color w:val="000000" w:themeColor="text1"/>
        </w:rPr>
        <w:lastRenderedPageBreak/>
        <w:t>Graf výše ukazuje složení nevyřízených věcí ve správním soudnictví k 31. 12. 2024. Za nejobtížnější bývá obecně považována agenda Af. Byť je toto tvrzení nutno brát s rezervou, zejména vzhledem k vysoké variabilitě skladby „zbytkové“ všeobecné agendy A, potvrzuje jej fakt, že agenda Af tvoří výrazně větší část počtu nevyřízených věcí, než je její podíl na celkovém počtu ve věcech příchozích. U soudu tak zůstávají tyto věci v průměru nejdéle nevyřízené, což potvrzuje i délka řízení získaná z</w:t>
      </w:r>
      <w:r w:rsidR="008B047F" w:rsidRPr="00033A3F">
        <w:rPr>
          <w:color w:val="000000" w:themeColor="text1"/>
        </w:rPr>
        <w:t xml:space="preserve"> dat </w:t>
      </w:r>
      <w:r w:rsidR="00D1785C" w:rsidRPr="00033A3F">
        <w:rPr>
          <w:color w:val="000000" w:themeColor="text1"/>
        </w:rPr>
        <w:t>statistických listů, tedy</w:t>
      </w:r>
      <w:r w:rsidRPr="00033A3F">
        <w:rPr>
          <w:color w:val="000000" w:themeColor="text1"/>
        </w:rPr>
        <w:t xml:space="preserve"> z pravomocně skončených věc</w:t>
      </w:r>
      <w:r w:rsidR="008B047F" w:rsidRPr="00033A3F">
        <w:rPr>
          <w:color w:val="000000" w:themeColor="text1"/>
        </w:rPr>
        <w:t>ech</w:t>
      </w:r>
      <w:r w:rsidRPr="00033A3F">
        <w:rPr>
          <w:color w:val="000000" w:themeColor="text1"/>
        </w:rPr>
        <w:t>.</w:t>
      </w:r>
    </w:p>
    <w:p w14:paraId="08EAD17E" w14:textId="2833652D" w:rsidR="008430BD" w:rsidRPr="00033A3F" w:rsidRDefault="008430BD" w:rsidP="008430BD">
      <w:pPr>
        <w:pStyle w:val="Nadpis3"/>
        <w:numPr>
          <w:ilvl w:val="2"/>
          <w:numId w:val="1"/>
        </w:numPr>
        <w:rPr>
          <w:color w:val="000000" w:themeColor="text1"/>
        </w:rPr>
      </w:pPr>
      <w:bookmarkStart w:id="1732" w:name="_Toc515871269"/>
      <w:bookmarkStart w:id="1733" w:name="_Toc106092777"/>
      <w:bookmarkStart w:id="1734" w:name="_Toc169250853"/>
      <w:bookmarkStart w:id="1735" w:name="_Toc193531015"/>
      <w:bookmarkStart w:id="1736" w:name="_Toc193957072"/>
      <w:bookmarkStart w:id="1737" w:name="_Toc203032761"/>
      <w:r w:rsidRPr="00033A3F">
        <w:rPr>
          <w:color w:val="000000" w:themeColor="text1"/>
        </w:rPr>
        <w:t>Vyřizování věcí v přepočtu na soudce</w:t>
      </w:r>
      <w:bookmarkEnd w:id="1732"/>
      <w:bookmarkEnd w:id="1733"/>
      <w:bookmarkEnd w:id="1734"/>
      <w:bookmarkEnd w:id="1735"/>
      <w:bookmarkEnd w:id="1736"/>
      <w:bookmarkEnd w:id="1737"/>
    </w:p>
    <w:p w14:paraId="4B9BE7B5" w14:textId="354A1604" w:rsidR="00985626" w:rsidRPr="00033A3F" w:rsidRDefault="00985626" w:rsidP="004C0D35">
      <w:pPr>
        <w:pStyle w:val="OdstavecASR"/>
        <w:rPr>
          <w:color w:val="000000" w:themeColor="text1"/>
        </w:rPr>
      </w:pPr>
      <w:r w:rsidRPr="00033A3F">
        <w:rPr>
          <w:color w:val="000000" w:themeColor="text1"/>
        </w:rPr>
        <w:t xml:space="preserve">V tabulce uvádíme údaje založené na počtu soudců (úvazků) k 1. 1. </w:t>
      </w:r>
      <w:r w:rsidR="00857F88" w:rsidRPr="00033A3F">
        <w:rPr>
          <w:color w:val="000000" w:themeColor="text1"/>
        </w:rPr>
        <w:t>2024</w:t>
      </w:r>
      <w:r w:rsidRPr="00033A3F">
        <w:rPr>
          <w:color w:val="000000" w:themeColor="text1"/>
        </w:rPr>
        <w:t xml:space="preserve">. Údaje o nápadu, obživě a vyřízených věcech jsou </w:t>
      </w:r>
      <w:r w:rsidR="004E02AD" w:rsidRPr="00033A3F">
        <w:rPr>
          <w:color w:val="000000" w:themeColor="text1"/>
        </w:rPr>
        <w:t>souhrnné hodnoty za celý rok 2024</w:t>
      </w:r>
      <w:r w:rsidRPr="00033A3F">
        <w:rPr>
          <w:color w:val="000000" w:themeColor="text1"/>
        </w:rPr>
        <w:t xml:space="preserve">. Data o počtu nevyřízených věcí jsou </w:t>
      </w:r>
      <w:r w:rsidR="004E02AD" w:rsidRPr="00033A3F">
        <w:rPr>
          <w:color w:val="000000" w:themeColor="text1"/>
        </w:rPr>
        <w:t xml:space="preserve">vztažena </w:t>
      </w:r>
      <w:r w:rsidRPr="00033A3F">
        <w:rPr>
          <w:color w:val="000000" w:themeColor="text1"/>
        </w:rPr>
        <w:t xml:space="preserve">k 31. 12. </w:t>
      </w:r>
      <w:r w:rsidR="00857F88" w:rsidRPr="00033A3F">
        <w:rPr>
          <w:color w:val="000000" w:themeColor="text1"/>
        </w:rPr>
        <w:t>2024</w:t>
      </w:r>
      <w:r w:rsidRPr="00033A3F">
        <w:rPr>
          <w:color w:val="000000" w:themeColor="text1"/>
        </w:rPr>
        <w:t>.</w:t>
      </w:r>
    </w:p>
    <w:p w14:paraId="5327D552" w14:textId="4C9EFD7F" w:rsidR="008C109A" w:rsidRPr="00033A3F" w:rsidRDefault="00985626" w:rsidP="004C0D35">
      <w:pPr>
        <w:pStyle w:val="OdstavecASR"/>
        <w:rPr>
          <w:color w:val="000000" w:themeColor="text1"/>
        </w:rPr>
      </w:pPr>
      <w:r w:rsidRPr="00033A3F">
        <w:rPr>
          <w:color w:val="000000" w:themeColor="text1"/>
        </w:rPr>
        <w:t xml:space="preserve">V roce 2020 byl počet soudců </w:t>
      </w:r>
      <w:r w:rsidR="0023533C" w:rsidRPr="00033A3F">
        <w:rPr>
          <w:color w:val="000000" w:themeColor="text1"/>
        </w:rPr>
        <w:t>správních úseků</w:t>
      </w:r>
      <w:r w:rsidRPr="00033A3F">
        <w:rPr>
          <w:color w:val="000000" w:themeColor="text1"/>
        </w:rPr>
        <w:t xml:space="preserve"> 98, v roce 2021 činil 113 a v letech 2022 a 2023 </w:t>
      </w:r>
      <w:r w:rsidR="0023533C" w:rsidRPr="00033A3F">
        <w:rPr>
          <w:color w:val="000000" w:themeColor="text1"/>
        </w:rPr>
        <w:t xml:space="preserve">pak </w:t>
      </w:r>
      <w:r w:rsidRPr="00033A3F">
        <w:rPr>
          <w:color w:val="000000" w:themeColor="text1"/>
        </w:rPr>
        <w:t>118. To je nárůst celkem o 20 soudců (20 %)</w:t>
      </w:r>
      <w:r w:rsidR="0023533C" w:rsidRPr="00033A3F">
        <w:rPr>
          <w:color w:val="000000" w:themeColor="text1"/>
        </w:rPr>
        <w:t xml:space="preserve">, který </w:t>
      </w:r>
      <w:r w:rsidRPr="00033A3F">
        <w:rPr>
          <w:color w:val="000000" w:themeColor="text1"/>
        </w:rPr>
        <w:t>spolu s poklesem v nápadu soudům umožnil vyřídit mnohem více věcí, než jich na soudy přišlo.</w:t>
      </w:r>
      <w:r w:rsidR="008C109A" w:rsidRPr="00033A3F">
        <w:rPr>
          <w:color w:val="000000" w:themeColor="text1"/>
        </w:rPr>
        <w:t xml:space="preserve"> V roce 2024 počet úvazků poklesl na 11</w:t>
      </w:r>
      <w:r w:rsidR="00404CFA">
        <w:rPr>
          <w:color w:val="000000" w:themeColor="text1"/>
        </w:rPr>
        <w:t>2</w:t>
      </w:r>
      <w:r w:rsidR="0023533C" w:rsidRPr="00033A3F">
        <w:rPr>
          <w:color w:val="000000" w:themeColor="text1"/>
        </w:rPr>
        <w:t>, především</w:t>
      </w:r>
      <w:r w:rsidR="008C109A" w:rsidRPr="00033A3F">
        <w:rPr>
          <w:color w:val="000000" w:themeColor="text1"/>
        </w:rPr>
        <w:t xml:space="preserve"> u KS v</w:t>
      </w:r>
      <w:r w:rsidR="00404CFA">
        <w:rPr>
          <w:color w:val="000000" w:themeColor="text1"/>
        </w:rPr>
        <w:t> </w:t>
      </w:r>
      <w:r w:rsidR="008C109A" w:rsidRPr="00033A3F">
        <w:rPr>
          <w:color w:val="000000" w:themeColor="text1"/>
        </w:rPr>
        <w:t>Plzni</w:t>
      </w:r>
      <w:r w:rsidR="00404CFA">
        <w:rPr>
          <w:color w:val="000000" w:themeColor="text1"/>
        </w:rPr>
        <w:t xml:space="preserve"> a KS v Ústí nad Labem.</w:t>
      </w:r>
    </w:p>
    <w:p w14:paraId="60FF56BF" w14:textId="481FD369" w:rsidR="00985626" w:rsidRPr="00033A3F" w:rsidRDefault="00985626" w:rsidP="00985626">
      <w:pPr>
        <w:pStyle w:val="Podnadpis"/>
        <w:rPr>
          <w:color w:val="000000" w:themeColor="text1"/>
        </w:rPr>
      </w:pPr>
      <w:bookmarkStart w:id="1738" w:name="_Toc75952372"/>
      <w:bookmarkStart w:id="1739" w:name="_Toc106106827"/>
      <w:bookmarkStart w:id="1740" w:name="_Toc109802150"/>
      <w:bookmarkStart w:id="1741" w:name="_Toc144104309"/>
      <w:bookmarkStart w:id="1742" w:name="_Toc169251123"/>
      <w:bookmarkStart w:id="1743" w:name="_Toc174080809"/>
      <w:bookmarkStart w:id="1744" w:name="_Toc193530935"/>
      <w:bookmarkStart w:id="1745" w:name="_Toc194045632"/>
      <w:bookmarkStart w:id="1746" w:name="_Toc199495042"/>
      <w:bookmarkStart w:id="1747" w:name="_Toc203033103"/>
      <w:bookmarkStart w:id="1748" w:name="_Toc203033181"/>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61</w:t>
      </w:r>
      <w:r w:rsidRPr="00033A3F">
        <w:rPr>
          <w:noProof/>
          <w:color w:val="000000" w:themeColor="text1"/>
        </w:rPr>
        <w:fldChar w:fldCharType="end"/>
      </w:r>
      <w:r w:rsidRPr="00033A3F">
        <w:rPr>
          <w:color w:val="000000" w:themeColor="text1"/>
        </w:rPr>
        <w:t>: KS – vyřiz. správních věcí na skutečný úvazek dle soudů</w:t>
      </w:r>
      <w:bookmarkEnd w:id="1738"/>
      <w:bookmarkEnd w:id="1739"/>
      <w:bookmarkEnd w:id="1740"/>
      <w:bookmarkEnd w:id="1741"/>
      <w:r w:rsidRPr="00033A3F">
        <w:rPr>
          <w:color w:val="000000" w:themeColor="text1"/>
        </w:rPr>
        <w:t>, 202</w:t>
      </w:r>
      <w:bookmarkEnd w:id="1742"/>
      <w:bookmarkEnd w:id="1743"/>
      <w:r w:rsidRPr="00033A3F">
        <w:rPr>
          <w:color w:val="000000" w:themeColor="text1"/>
        </w:rPr>
        <w:t>4</w:t>
      </w:r>
      <w:bookmarkEnd w:id="1744"/>
      <w:bookmarkEnd w:id="1745"/>
      <w:bookmarkEnd w:id="1746"/>
      <w:bookmarkEnd w:id="1747"/>
      <w:bookmarkEnd w:id="1748"/>
    </w:p>
    <w:tbl>
      <w:tblPr>
        <w:tblW w:w="9240" w:type="dxa"/>
        <w:tblCellMar>
          <w:left w:w="70" w:type="dxa"/>
          <w:right w:w="70" w:type="dxa"/>
        </w:tblCellMar>
        <w:tblLook w:val="04A0" w:firstRow="1" w:lastRow="0" w:firstColumn="1" w:lastColumn="0" w:noHBand="0" w:noVBand="1"/>
      </w:tblPr>
      <w:tblGrid>
        <w:gridCol w:w="1985"/>
        <w:gridCol w:w="982"/>
        <w:gridCol w:w="1074"/>
        <w:gridCol w:w="1119"/>
        <w:gridCol w:w="999"/>
        <w:gridCol w:w="1041"/>
        <w:gridCol w:w="999"/>
        <w:gridCol w:w="1041"/>
      </w:tblGrid>
      <w:tr w:rsidR="00404CFA" w:rsidRPr="00404CFA" w14:paraId="41DF852B" w14:textId="77777777" w:rsidTr="00542EE2">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p w14:paraId="46551BC0"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Soud</w:t>
            </w:r>
          </w:p>
        </w:tc>
        <w:tc>
          <w:tcPr>
            <w:tcW w:w="982" w:type="dxa"/>
            <w:vMerge w:val="restart"/>
            <w:tcBorders>
              <w:top w:val="double" w:sz="6" w:space="0" w:color="auto"/>
              <w:left w:val="nil"/>
              <w:bottom w:val="double" w:sz="6" w:space="0" w:color="000000"/>
              <w:right w:val="nil"/>
            </w:tcBorders>
            <w:shd w:val="clear" w:color="auto" w:fill="auto"/>
            <w:vAlign w:val="center"/>
            <w:hideMark/>
          </w:tcPr>
          <w:p w14:paraId="4A166CB7"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Počet úvazků</w:t>
            </w:r>
          </w:p>
        </w:tc>
        <w:tc>
          <w:tcPr>
            <w:tcW w:w="6273" w:type="dxa"/>
            <w:gridSpan w:val="6"/>
            <w:tcBorders>
              <w:top w:val="double" w:sz="6" w:space="0" w:color="auto"/>
              <w:left w:val="nil"/>
              <w:bottom w:val="nil"/>
              <w:right w:val="nil"/>
            </w:tcBorders>
            <w:shd w:val="clear" w:color="auto" w:fill="auto"/>
            <w:noWrap/>
            <w:vAlign w:val="center"/>
            <w:hideMark/>
          </w:tcPr>
          <w:p w14:paraId="59558BC2"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Délka řízení</w:t>
            </w:r>
          </w:p>
        </w:tc>
      </w:tr>
      <w:tr w:rsidR="00404CFA" w:rsidRPr="00404CFA" w14:paraId="4DE24871" w14:textId="77777777" w:rsidTr="00542EE2">
        <w:trPr>
          <w:trHeight w:val="330"/>
        </w:trPr>
        <w:tc>
          <w:tcPr>
            <w:tcW w:w="1985" w:type="dxa"/>
            <w:vMerge/>
            <w:tcBorders>
              <w:top w:val="double" w:sz="6" w:space="0" w:color="auto"/>
              <w:left w:val="nil"/>
              <w:bottom w:val="double" w:sz="6" w:space="0" w:color="000000"/>
              <w:right w:val="nil"/>
            </w:tcBorders>
            <w:vAlign w:val="center"/>
            <w:hideMark/>
          </w:tcPr>
          <w:p w14:paraId="3704877B" w14:textId="77777777" w:rsidR="00404CFA" w:rsidRPr="00404CFA" w:rsidRDefault="00404CFA" w:rsidP="00404CFA">
            <w:pPr>
              <w:spacing w:line="240" w:lineRule="auto"/>
              <w:jc w:val="left"/>
              <w:rPr>
                <w:rFonts w:eastAsia="Times New Roman"/>
                <w:b/>
                <w:bCs/>
                <w:color w:val="000000"/>
                <w:szCs w:val="24"/>
                <w:lang w:eastAsia="cs-CZ"/>
              </w:rPr>
            </w:pPr>
          </w:p>
        </w:tc>
        <w:tc>
          <w:tcPr>
            <w:tcW w:w="982" w:type="dxa"/>
            <w:vMerge/>
            <w:tcBorders>
              <w:top w:val="double" w:sz="6" w:space="0" w:color="auto"/>
              <w:left w:val="nil"/>
              <w:bottom w:val="double" w:sz="6" w:space="0" w:color="000000"/>
              <w:right w:val="nil"/>
            </w:tcBorders>
            <w:vAlign w:val="center"/>
            <w:hideMark/>
          </w:tcPr>
          <w:p w14:paraId="43CE50C0" w14:textId="77777777" w:rsidR="00404CFA" w:rsidRPr="00404CFA" w:rsidRDefault="00404CFA" w:rsidP="00404CFA">
            <w:pPr>
              <w:spacing w:line="240" w:lineRule="auto"/>
              <w:jc w:val="left"/>
              <w:rPr>
                <w:rFonts w:eastAsia="Times New Roman"/>
                <w:b/>
                <w:bCs/>
                <w:color w:val="000000"/>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5CFCB223"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Nápad + obživlé věci</w:t>
            </w:r>
          </w:p>
        </w:tc>
        <w:tc>
          <w:tcPr>
            <w:tcW w:w="204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54AC121"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Vyřízeno</w:t>
            </w:r>
          </w:p>
        </w:tc>
        <w:tc>
          <w:tcPr>
            <w:tcW w:w="2040" w:type="dxa"/>
            <w:gridSpan w:val="2"/>
            <w:tcBorders>
              <w:top w:val="nil"/>
              <w:left w:val="nil"/>
              <w:bottom w:val="double" w:sz="6" w:space="0" w:color="auto"/>
              <w:right w:val="nil"/>
            </w:tcBorders>
            <w:shd w:val="clear" w:color="auto" w:fill="auto"/>
            <w:noWrap/>
            <w:vAlign w:val="center"/>
            <w:hideMark/>
          </w:tcPr>
          <w:p w14:paraId="7FDFF5B6"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Nevyřízeno</w:t>
            </w:r>
          </w:p>
        </w:tc>
      </w:tr>
      <w:tr w:rsidR="00404CFA" w:rsidRPr="00404CFA" w14:paraId="240A6EF5" w14:textId="77777777" w:rsidTr="00542EE2">
        <w:trPr>
          <w:trHeight w:val="330"/>
        </w:trPr>
        <w:tc>
          <w:tcPr>
            <w:tcW w:w="1985" w:type="dxa"/>
            <w:tcBorders>
              <w:top w:val="single" w:sz="4" w:space="0" w:color="auto"/>
              <w:left w:val="nil"/>
              <w:bottom w:val="single" w:sz="4" w:space="0" w:color="auto"/>
              <w:right w:val="nil"/>
            </w:tcBorders>
            <w:shd w:val="clear" w:color="auto" w:fill="auto"/>
            <w:noWrap/>
            <w:vAlign w:val="bottom"/>
            <w:hideMark/>
          </w:tcPr>
          <w:p w14:paraId="7D0204AB"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MS Praha</w:t>
            </w:r>
          </w:p>
        </w:tc>
        <w:tc>
          <w:tcPr>
            <w:tcW w:w="982" w:type="dxa"/>
            <w:tcBorders>
              <w:top w:val="single" w:sz="4" w:space="0" w:color="auto"/>
              <w:left w:val="nil"/>
              <w:bottom w:val="single" w:sz="4" w:space="0" w:color="auto"/>
              <w:right w:val="nil"/>
            </w:tcBorders>
            <w:shd w:val="clear" w:color="auto" w:fill="auto"/>
            <w:noWrap/>
            <w:vAlign w:val="bottom"/>
            <w:hideMark/>
          </w:tcPr>
          <w:p w14:paraId="517A0A5B" w14:textId="379923C1"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38</w:t>
            </w:r>
            <w:r>
              <w:rPr>
                <w:rFonts w:eastAsia="Times New Roman"/>
                <w:color w:val="000000"/>
                <w:szCs w:val="24"/>
                <w:lang w:eastAsia="cs-CZ"/>
              </w:rPr>
              <w:t>,</w:t>
            </w:r>
            <w:r w:rsidRPr="00404CFA">
              <w:rPr>
                <w:rFonts w:eastAsia="Times New Roman"/>
                <w:color w:val="000000"/>
                <w:szCs w:val="24"/>
                <w:lang w:eastAsia="cs-CZ"/>
              </w:rPr>
              <w:t>4</w:t>
            </w:r>
          </w:p>
        </w:tc>
        <w:tc>
          <w:tcPr>
            <w:tcW w:w="1074" w:type="dxa"/>
            <w:tcBorders>
              <w:top w:val="single" w:sz="4" w:space="0" w:color="auto"/>
              <w:left w:val="nil"/>
              <w:bottom w:val="single" w:sz="4" w:space="0" w:color="auto"/>
              <w:right w:val="nil"/>
            </w:tcBorders>
            <w:shd w:val="clear" w:color="auto" w:fill="auto"/>
            <w:noWrap/>
            <w:vAlign w:val="bottom"/>
            <w:hideMark/>
          </w:tcPr>
          <w:p w14:paraId="51EC372C" w14:textId="7D4E09BA"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72</w:t>
            </w:r>
            <w:r>
              <w:rPr>
                <w:rFonts w:eastAsia="Times New Roman"/>
                <w:color w:val="000000"/>
                <w:szCs w:val="24"/>
                <w:lang w:eastAsia="cs-CZ"/>
              </w:rPr>
              <w:t>,</w:t>
            </w:r>
            <w:r w:rsidRPr="00404CFA">
              <w:rPr>
                <w:rFonts w:eastAsia="Times New Roman"/>
                <w:color w:val="000000"/>
                <w:szCs w:val="24"/>
                <w:lang w:eastAsia="cs-CZ"/>
              </w:rPr>
              <w:t>73</w:t>
            </w:r>
          </w:p>
        </w:tc>
        <w:tc>
          <w:tcPr>
            <w:tcW w:w="1119" w:type="dxa"/>
            <w:tcBorders>
              <w:top w:val="single" w:sz="4" w:space="0" w:color="auto"/>
              <w:left w:val="nil"/>
              <w:bottom w:val="single" w:sz="4" w:space="0" w:color="auto"/>
              <w:right w:val="nil"/>
            </w:tcBorders>
            <w:shd w:val="clear" w:color="auto" w:fill="auto"/>
            <w:noWrap/>
            <w:vAlign w:val="center"/>
            <w:hideMark/>
          </w:tcPr>
          <w:p w14:paraId="6E0D8553"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+1 %  </w:t>
            </w:r>
          </w:p>
        </w:tc>
        <w:tc>
          <w:tcPr>
            <w:tcW w:w="999" w:type="dxa"/>
            <w:tcBorders>
              <w:top w:val="nil"/>
              <w:left w:val="single" w:sz="4" w:space="0" w:color="auto"/>
              <w:bottom w:val="single" w:sz="4" w:space="0" w:color="auto"/>
              <w:right w:val="nil"/>
            </w:tcBorders>
            <w:shd w:val="clear" w:color="auto" w:fill="auto"/>
            <w:noWrap/>
            <w:vAlign w:val="bottom"/>
            <w:hideMark/>
          </w:tcPr>
          <w:p w14:paraId="17C0A20A" w14:textId="3EA8E17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80</w:t>
            </w:r>
            <w:r>
              <w:rPr>
                <w:rFonts w:eastAsia="Times New Roman"/>
                <w:color w:val="000000"/>
                <w:szCs w:val="24"/>
                <w:lang w:eastAsia="cs-CZ"/>
              </w:rPr>
              <w:t>,</w:t>
            </w:r>
            <w:r w:rsidRPr="00404CFA">
              <w:rPr>
                <w:rFonts w:eastAsia="Times New Roman"/>
                <w:color w:val="000000"/>
                <w:szCs w:val="24"/>
                <w:lang w:eastAsia="cs-CZ"/>
              </w:rPr>
              <w:t>29</w:t>
            </w:r>
          </w:p>
        </w:tc>
        <w:tc>
          <w:tcPr>
            <w:tcW w:w="1041" w:type="dxa"/>
            <w:tcBorders>
              <w:top w:val="nil"/>
              <w:left w:val="nil"/>
              <w:bottom w:val="single" w:sz="4" w:space="0" w:color="auto"/>
              <w:right w:val="single" w:sz="4" w:space="0" w:color="auto"/>
            </w:tcBorders>
            <w:shd w:val="clear" w:color="auto" w:fill="auto"/>
            <w:noWrap/>
            <w:vAlign w:val="center"/>
            <w:hideMark/>
          </w:tcPr>
          <w:p w14:paraId="541507DD"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-7 %  </w:t>
            </w:r>
          </w:p>
        </w:tc>
        <w:tc>
          <w:tcPr>
            <w:tcW w:w="999" w:type="dxa"/>
            <w:tcBorders>
              <w:top w:val="single" w:sz="4" w:space="0" w:color="auto"/>
              <w:left w:val="nil"/>
              <w:bottom w:val="single" w:sz="4" w:space="0" w:color="auto"/>
              <w:right w:val="nil"/>
            </w:tcBorders>
            <w:shd w:val="clear" w:color="auto" w:fill="auto"/>
            <w:noWrap/>
            <w:vAlign w:val="bottom"/>
            <w:hideMark/>
          </w:tcPr>
          <w:p w14:paraId="45DB85E6" w14:textId="333AD49F"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39</w:t>
            </w:r>
            <w:r>
              <w:rPr>
                <w:rFonts w:eastAsia="Times New Roman"/>
                <w:color w:val="000000"/>
                <w:szCs w:val="24"/>
                <w:lang w:eastAsia="cs-CZ"/>
              </w:rPr>
              <w:t>,</w:t>
            </w:r>
            <w:r w:rsidRPr="00404CFA">
              <w:rPr>
                <w:rFonts w:eastAsia="Times New Roman"/>
                <w:color w:val="000000"/>
                <w:szCs w:val="24"/>
                <w:lang w:eastAsia="cs-CZ"/>
              </w:rPr>
              <w:t>24</w:t>
            </w:r>
          </w:p>
        </w:tc>
        <w:tc>
          <w:tcPr>
            <w:tcW w:w="1041" w:type="dxa"/>
            <w:tcBorders>
              <w:top w:val="single" w:sz="4" w:space="0" w:color="auto"/>
              <w:left w:val="nil"/>
              <w:bottom w:val="single" w:sz="4" w:space="0" w:color="auto"/>
              <w:right w:val="nil"/>
            </w:tcBorders>
            <w:shd w:val="clear" w:color="auto" w:fill="auto"/>
            <w:noWrap/>
            <w:vAlign w:val="center"/>
            <w:hideMark/>
          </w:tcPr>
          <w:p w14:paraId="11AC8F84"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-15 %  </w:t>
            </w:r>
          </w:p>
        </w:tc>
      </w:tr>
      <w:tr w:rsidR="00404CFA" w:rsidRPr="00404CFA" w14:paraId="1045D675"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3F4F62BA"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Praha</w:t>
            </w:r>
          </w:p>
        </w:tc>
        <w:tc>
          <w:tcPr>
            <w:tcW w:w="982" w:type="dxa"/>
            <w:tcBorders>
              <w:top w:val="nil"/>
              <w:left w:val="nil"/>
              <w:bottom w:val="single" w:sz="4" w:space="0" w:color="auto"/>
              <w:right w:val="nil"/>
            </w:tcBorders>
            <w:shd w:val="clear" w:color="auto" w:fill="auto"/>
            <w:noWrap/>
            <w:vAlign w:val="bottom"/>
            <w:hideMark/>
          </w:tcPr>
          <w:p w14:paraId="638B5C79" w14:textId="7777777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14</w:t>
            </w:r>
          </w:p>
        </w:tc>
        <w:tc>
          <w:tcPr>
            <w:tcW w:w="1074" w:type="dxa"/>
            <w:tcBorders>
              <w:top w:val="nil"/>
              <w:left w:val="nil"/>
              <w:bottom w:val="single" w:sz="4" w:space="0" w:color="auto"/>
              <w:right w:val="nil"/>
            </w:tcBorders>
            <w:shd w:val="clear" w:color="auto" w:fill="auto"/>
            <w:noWrap/>
            <w:vAlign w:val="bottom"/>
            <w:hideMark/>
          </w:tcPr>
          <w:p w14:paraId="7467852A" w14:textId="3BF33CF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66</w:t>
            </w:r>
            <w:r>
              <w:rPr>
                <w:rFonts w:eastAsia="Times New Roman"/>
                <w:color w:val="000000"/>
                <w:szCs w:val="24"/>
                <w:lang w:eastAsia="cs-CZ"/>
              </w:rPr>
              <w:t>,</w:t>
            </w:r>
            <w:r w:rsidRPr="00404CFA">
              <w:rPr>
                <w:rFonts w:eastAsia="Times New Roman"/>
                <w:color w:val="000000"/>
                <w:szCs w:val="24"/>
                <w:lang w:eastAsia="cs-CZ"/>
              </w:rPr>
              <w:t>00</w:t>
            </w:r>
          </w:p>
        </w:tc>
        <w:tc>
          <w:tcPr>
            <w:tcW w:w="1119" w:type="dxa"/>
            <w:tcBorders>
              <w:top w:val="nil"/>
              <w:left w:val="nil"/>
              <w:bottom w:val="single" w:sz="4" w:space="0" w:color="auto"/>
              <w:right w:val="nil"/>
            </w:tcBorders>
            <w:shd w:val="clear" w:color="auto" w:fill="auto"/>
            <w:noWrap/>
            <w:vAlign w:val="center"/>
            <w:hideMark/>
          </w:tcPr>
          <w:p w14:paraId="426C9C16"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+5 %  </w:t>
            </w:r>
          </w:p>
        </w:tc>
        <w:tc>
          <w:tcPr>
            <w:tcW w:w="999" w:type="dxa"/>
            <w:tcBorders>
              <w:top w:val="nil"/>
              <w:left w:val="single" w:sz="4" w:space="0" w:color="auto"/>
              <w:bottom w:val="single" w:sz="4" w:space="0" w:color="auto"/>
              <w:right w:val="nil"/>
            </w:tcBorders>
            <w:shd w:val="clear" w:color="auto" w:fill="auto"/>
            <w:noWrap/>
            <w:vAlign w:val="bottom"/>
            <w:hideMark/>
          </w:tcPr>
          <w:p w14:paraId="5BACCD56" w14:textId="49F2B321"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63</w:t>
            </w:r>
            <w:r>
              <w:rPr>
                <w:rFonts w:eastAsia="Times New Roman"/>
                <w:color w:val="000000"/>
                <w:szCs w:val="24"/>
                <w:lang w:eastAsia="cs-CZ"/>
              </w:rPr>
              <w:t>,</w:t>
            </w:r>
            <w:r w:rsidRPr="00404CFA">
              <w:rPr>
                <w:rFonts w:eastAsia="Times New Roman"/>
                <w:color w:val="000000"/>
                <w:szCs w:val="24"/>
                <w:lang w:eastAsia="cs-CZ"/>
              </w:rPr>
              <w:t>43</w:t>
            </w:r>
          </w:p>
        </w:tc>
        <w:tc>
          <w:tcPr>
            <w:tcW w:w="1041" w:type="dxa"/>
            <w:tcBorders>
              <w:top w:val="nil"/>
              <w:left w:val="nil"/>
              <w:bottom w:val="single" w:sz="4" w:space="0" w:color="auto"/>
              <w:right w:val="single" w:sz="4" w:space="0" w:color="auto"/>
            </w:tcBorders>
            <w:shd w:val="clear" w:color="auto" w:fill="auto"/>
            <w:noWrap/>
            <w:vAlign w:val="center"/>
            <w:hideMark/>
          </w:tcPr>
          <w:p w14:paraId="0F4E31D0"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-7 %  </w:t>
            </w:r>
          </w:p>
        </w:tc>
        <w:tc>
          <w:tcPr>
            <w:tcW w:w="999" w:type="dxa"/>
            <w:tcBorders>
              <w:top w:val="nil"/>
              <w:left w:val="nil"/>
              <w:bottom w:val="single" w:sz="4" w:space="0" w:color="auto"/>
              <w:right w:val="nil"/>
            </w:tcBorders>
            <w:shd w:val="clear" w:color="auto" w:fill="auto"/>
            <w:noWrap/>
            <w:vAlign w:val="bottom"/>
            <w:hideMark/>
          </w:tcPr>
          <w:p w14:paraId="45D9BCAC" w14:textId="5E21F03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38</w:t>
            </w:r>
            <w:r>
              <w:rPr>
                <w:rFonts w:eastAsia="Times New Roman"/>
                <w:color w:val="000000"/>
                <w:szCs w:val="24"/>
                <w:lang w:eastAsia="cs-CZ"/>
              </w:rPr>
              <w:t>,</w:t>
            </w:r>
            <w:r w:rsidRPr="00404CFA">
              <w:rPr>
                <w:rFonts w:eastAsia="Times New Roman"/>
                <w:color w:val="000000"/>
                <w:szCs w:val="24"/>
                <w:lang w:eastAsia="cs-CZ"/>
              </w:rPr>
              <w:t>29</w:t>
            </w:r>
          </w:p>
        </w:tc>
        <w:tc>
          <w:tcPr>
            <w:tcW w:w="1041" w:type="dxa"/>
            <w:tcBorders>
              <w:top w:val="nil"/>
              <w:left w:val="nil"/>
              <w:bottom w:val="single" w:sz="4" w:space="0" w:color="auto"/>
              <w:right w:val="nil"/>
            </w:tcBorders>
            <w:shd w:val="clear" w:color="auto" w:fill="auto"/>
            <w:noWrap/>
            <w:vAlign w:val="center"/>
            <w:hideMark/>
          </w:tcPr>
          <w:p w14:paraId="4D27F098"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-0 %  </w:t>
            </w:r>
          </w:p>
        </w:tc>
      </w:tr>
      <w:tr w:rsidR="00404CFA" w:rsidRPr="00404CFA" w14:paraId="3CEBDD87"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6240F4CF"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Č. Budějovice</w:t>
            </w:r>
          </w:p>
        </w:tc>
        <w:tc>
          <w:tcPr>
            <w:tcW w:w="982" w:type="dxa"/>
            <w:tcBorders>
              <w:top w:val="nil"/>
              <w:left w:val="nil"/>
              <w:bottom w:val="single" w:sz="4" w:space="0" w:color="auto"/>
              <w:right w:val="nil"/>
            </w:tcBorders>
            <w:shd w:val="clear" w:color="auto" w:fill="auto"/>
            <w:noWrap/>
            <w:vAlign w:val="bottom"/>
            <w:hideMark/>
          </w:tcPr>
          <w:p w14:paraId="70FC8CC7" w14:textId="7777777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4</w:t>
            </w:r>
          </w:p>
        </w:tc>
        <w:tc>
          <w:tcPr>
            <w:tcW w:w="1074" w:type="dxa"/>
            <w:tcBorders>
              <w:top w:val="nil"/>
              <w:left w:val="nil"/>
              <w:bottom w:val="single" w:sz="4" w:space="0" w:color="auto"/>
              <w:right w:val="nil"/>
            </w:tcBorders>
            <w:shd w:val="clear" w:color="auto" w:fill="auto"/>
            <w:noWrap/>
            <w:vAlign w:val="bottom"/>
            <w:hideMark/>
          </w:tcPr>
          <w:p w14:paraId="23B1977F" w14:textId="0DE9212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85</w:t>
            </w:r>
            <w:r>
              <w:rPr>
                <w:rFonts w:eastAsia="Times New Roman"/>
                <w:color w:val="000000"/>
                <w:szCs w:val="24"/>
                <w:lang w:eastAsia="cs-CZ"/>
              </w:rPr>
              <w:t>,</w:t>
            </w:r>
            <w:r w:rsidRPr="00404CFA">
              <w:rPr>
                <w:rFonts w:eastAsia="Times New Roman"/>
                <w:color w:val="000000"/>
                <w:szCs w:val="24"/>
                <w:lang w:eastAsia="cs-CZ"/>
              </w:rPr>
              <w:t>25</w:t>
            </w:r>
          </w:p>
        </w:tc>
        <w:tc>
          <w:tcPr>
            <w:tcW w:w="1119" w:type="dxa"/>
            <w:tcBorders>
              <w:top w:val="nil"/>
              <w:left w:val="nil"/>
              <w:bottom w:val="single" w:sz="4" w:space="0" w:color="auto"/>
              <w:right w:val="nil"/>
            </w:tcBorders>
            <w:shd w:val="clear" w:color="auto" w:fill="auto"/>
            <w:noWrap/>
            <w:vAlign w:val="center"/>
            <w:hideMark/>
          </w:tcPr>
          <w:p w14:paraId="6F0D9782"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-8 %  </w:t>
            </w:r>
          </w:p>
        </w:tc>
        <w:tc>
          <w:tcPr>
            <w:tcW w:w="999" w:type="dxa"/>
            <w:tcBorders>
              <w:top w:val="nil"/>
              <w:left w:val="single" w:sz="4" w:space="0" w:color="auto"/>
              <w:bottom w:val="single" w:sz="4" w:space="0" w:color="auto"/>
              <w:right w:val="nil"/>
            </w:tcBorders>
            <w:shd w:val="clear" w:color="auto" w:fill="auto"/>
            <w:noWrap/>
            <w:vAlign w:val="bottom"/>
            <w:hideMark/>
          </w:tcPr>
          <w:p w14:paraId="777A5527" w14:textId="5C6A16E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82</w:t>
            </w:r>
            <w:r>
              <w:rPr>
                <w:rFonts w:eastAsia="Times New Roman"/>
                <w:color w:val="000000"/>
                <w:szCs w:val="24"/>
                <w:lang w:eastAsia="cs-CZ"/>
              </w:rPr>
              <w:t>,</w:t>
            </w:r>
            <w:r w:rsidRPr="00404CFA">
              <w:rPr>
                <w:rFonts w:eastAsia="Times New Roman"/>
                <w:color w:val="000000"/>
                <w:szCs w:val="24"/>
                <w:lang w:eastAsia="cs-CZ"/>
              </w:rPr>
              <w:t>50</w:t>
            </w:r>
          </w:p>
        </w:tc>
        <w:tc>
          <w:tcPr>
            <w:tcW w:w="1041" w:type="dxa"/>
            <w:tcBorders>
              <w:top w:val="nil"/>
              <w:left w:val="nil"/>
              <w:bottom w:val="single" w:sz="4" w:space="0" w:color="auto"/>
              <w:right w:val="single" w:sz="4" w:space="0" w:color="auto"/>
            </w:tcBorders>
            <w:shd w:val="clear" w:color="auto" w:fill="auto"/>
            <w:noWrap/>
            <w:vAlign w:val="center"/>
            <w:hideMark/>
          </w:tcPr>
          <w:p w14:paraId="2B21ADFC"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-12 %  </w:t>
            </w:r>
          </w:p>
        </w:tc>
        <w:tc>
          <w:tcPr>
            <w:tcW w:w="999" w:type="dxa"/>
            <w:tcBorders>
              <w:top w:val="nil"/>
              <w:left w:val="nil"/>
              <w:bottom w:val="single" w:sz="4" w:space="0" w:color="auto"/>
              <w:right w:val="nil"/>
            </w:tcBorders>
            <w:shd w:val="clear" w:color="auto" w:fill="auto"/>
            <w:noWrap/>
            <w:vAlign w:val="bottom"/>
            <w:hideMark/>
          </w:tcPr>
          <w:p w14:paraId="461C56EA" w14:textId="536A5BD6"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34</w:t>
            </w:r>
            <w:r>
              <w:rPr>
                <w:rFonts w:eastAsia="Times New Roman"/>
                <w:color w:val="000000"/>
                <w:szCs w:val="24"/>
                <w:lang w:eastAsia="cs-CZ"/>
              </w:rPr>
              <w:t>,</w:t>
            </w:r>
            <w:r w:rsidRPr="00404CFA">
              <w:rPr>
                <w:rFonts w:eastAsia="Times New Roman"/>
                <w:color w:val="000000"/>
                <w:szCs w:val="24"/>
                <w:lang w:eastAsia="cs-CZ"/>
              </w:rPr>
              <w:t>50</w:t>
            </w:r>
          </w:p>
        </w:tc>
        <w:tc>
          <w:tcPr>
            <w:tcW w:w="1041" w:type="dxa"/>
            <w:tcBorders>
              <w:top w:val="nil"/>
              <w:left w:val="nil"/>
              <w:bottom w:val="single" w:sz="4" w:space="0" w:color="auto"/>
              <w:right w:val="nil"/>
            </w:tcBorders>
            <w:shd w:val="clear" w:color="auto" w:fill="auto"/>
            <w:noWrap/>
            <w:vAlign w:val="center"/>
            <w:hideMark/>
          </w:tcPr>
          <w:p w14:paraId="483F3BF4"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+9 %  </w:t>
            </w:r>
          </w:p>
        </w:tc>
      </w:tr>
      <w:tr w:rsidR="00404CFA" w:rsidRPr="00404CFA" w14:paraId="64EF86C6"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3F9E4E5F"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Plzeň</w:t>
            </w:r>
          </w:p>
        </w:tc>
        <w:tc>
          <w:tcPr>
            <w:tcW w:w="982" w:type="dxa"/>
            <w:tcBorders>
              <w:top w:val="nil"/>
              <w:left w:val="nil"/>
              <w:bottom w:val="single" w:sz="4" w:space="0" w:color="auto"/>
              <w:right w:val="nil"/>
            </w:tcBorders>
            <w:shd w:val="clear" w:color="auto" w:fill="auto"/>
            <w:noWrap/>
            <w:vAlign w:val="bottom"/>
            <w:hideMark/>
          </w:tcPr>
          <w:p w14:paraId="3731738B" w14:textId="0F8266BC"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7</w:t>
            </w:r>
            <w:r>
              <w:rPr>
                <w:rFonts w:eastAsia="Times New Roman"/>
                <w:color w:val="000000"/>
                <w:szCs w:val="24"/>
                <w:lang w:eastAsia="cs-CZ"/>
              </w:rPr>
              <w:t>,</w:t>
            </w:r>
            <w:r w:rsidRPr="00404CFA">
              <w:rPr>
                <w:rFonts w:eastAsia="Times New Roman"/>
                <w:color w:val="000000"/>
                <w:szCs w:val="24"/>
                <w:lang w:eastAsia="cs-CZ"/>
              </w:rPr>
              <w:t>5</w:t>
            </w:r>
          </w:p>
        </w:tc>
        <w:tc>
          <w:tcPr>
            <w:tcW w:w="1074" w:type="dxa"/>
            <w:tcBorders>
              <w:top w:val="nil"/>
              <w:left w:val="nil"/>
              <w:bottom w:val="single" w:sz="4" w:space="0" w:color="auto"/>
              <w:right w:val="nil"/>
            </w:tcBorders>
            <w:shd w:val="clear" w:color="auto" w:fill="auto"/>
            <w:noWrap/>
            <w:vAlign w:val="bottom"/>
            <w:hideMark/>
          </w:tcPr>
          <w:p w14:paraId="7F2A7DF3" w14:textId="15B3E34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87</w:t>
            </w:r>
            <w:r>
              <w:rPr>
                <w:rFonts w:eastAsia="Times New Roman"/>
                <w:color w:val="000000"/>
                <w:szCs w:val="24"/>
                <w:lang w:eastAsia="cs-CZ"/>
              </w:rPr>
              <w:t>,</w:t>
            </w:r>
            <w:r w:rsidRPr="00404CFA">
              <w:rPr>
                <w:rFonts w:eastAsia="Times New Roman"/>
                <w:color w:val="000000"/>
                <w:szCs w:val="24"/>
                <w:lang w:eastAsia="cs-CZ"/>
              </w:rPr>
              <w:t>60</w:t>
            </w:r>
          </w:p>
        </w:tc>
        <w:tc>
          <w:tcPr>
            <w:tcW w:w="1119" w:type="dxa"/>
            <w:tcBorders>
              <w:top w:val="nil"/>
              <w:left w:val="nil"/>
              <w:bottom w:val="single" w:sz="4" w:space="0" w:color="auto"/>
              <w:right w:val="nil"/>
            </w:tcBorders>
            <w:shd w:val="clear" w:color="auto" w:fill="auto"/>
            <w:noWrap/>
            <w:vAlign w:val="center"/>
            <w:hideMark/>
          </w:tcPr>
          <w:p w14:paraId="1C2EC70B"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+47 %  </w:t>
            </w:r>
          </w:p>
        </w:tc>
        <w:tc>
          <w:tcPr>
            <w:tcW w:w="999" w:type="dxa"/>
            <w:tcBorders>
              <w:top w:val="nil"/>
              <w:left w:val="single" w:sz="4" w:space="0" w:color="auto"/>
              <w:bottom w:val="single" w:sz="4" w:space="0" w:color="auto"/>
              <w:right w:val="nil"/>
            </w:tcBorders>
            <w:shd w:val="clear" w:color="auto" w:fill="auto"/>
            <w:noWrap/>
            <w:vAlign w:val="bottom"/>
            <w:hideMark/>
          </w:tcPr>
          <w:p w14:paraId="4996BCE6" w14:textId="2246DC99"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82</w:t>
            </w:r>
            <w:r>
              <w:rPr>
                <w:rFonts w:eastAsia="Times New Roman"/>
                <w:color w:val="000000"/>
                <w:szCs w:val="24"/>
                <w:lang w:eastAsia="cs-CZ"/>
              </w:rPr>
              <w:t>,</w:t>
            </w:r>
            <w:r w:rsidRPr="00404CFA">
              <w:rPr>
                <w:rFonts w:eastAsia="Times New Roman"/>
                <w:color w:val="000000"/>
                <w:szCs w:val="24"/>
                <w:lang w:eastAsia="cs-CZ"/>
              </w:rPr>
              <w:t>93</w:t>
            </w:r>
          </w:p>
        </w:tc>
        <w:tc>
          <w:tcPr>
            <w:tcW w:w="1041" w:type="dxa"/>
            <w:tcBorders>
              <w:top w:val="nil"/>
              <w:left w:val="nil"/>
              <w:bottom w:val="single" w:sz="4" w:space="0" w:color="auto"/>
              <w:right w:val="single" w:sz="4" w:space="0" w:color="auto"/>
            </w:tcBorders>
            <w:shd w:val="clear" w:color="auto" w:fill="auto"/>
            <w:noWrap/>
            <w:vAlign w:val="center"/>
            <w:hideMark/>
          </w:tcPr>
          <w:p w14:paraId="36D99D78"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+30 %  </w:t>
            </w:r>
          </w:p>
        </w:tc>
        <w:tc>
          <w:tcPr>
            <w:tcW w:w="999" w:type="dxa"/>
            <w:tcBorders>
              <w:top w:val="nil"/>
              <w:left w:val="nil"/>
              <w:bottom w:val="single" w:sz="4" w:space="0" w:color="auto"/>
              <w:right w:val="nil"/>
            </w:tcBorders>
            <w:shd w:val="clear" w:color="auto" w:fill="auto"/>
            <w:noWrap/>
            <w:vAlign w:val="bottom"/>
            <w:hideMark/>
          </w:tcPr>
          <w:p w14:paraId="557ADD3C" w14:textId="2292E07B"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39</w:t>
            </w:r>
            <w:r>
              <w:rPr>
                <w:rFonts w:eastAsia="Times New Roman"/>
                <w:color w:val="000000"/>
                <w:szCs w:val="24"/>
                <w:lang w:eastAsia="cs-CZ"/>
              </w:rPr>
              <w:t>,</w:t>
            </w:r>
            <w:r w:rsidRPr="00404CFA">
              <w:rPr>
                <w:rFonts w:eastAsia="Times New Roman"/>
                <w:color w:val="000000"/>
                <w:szCs w:val="24"/>
                <w:lang w:eastAsia="cs-CZ"/>
              </w:rPr>
              <w:t>73</w:t>
            </w:r>
          </w:p>
        </w:tc>
        <w:tc>
          <w:tcPr>
            <w:tcW w:w="1041" w:type="dxa"/>
            <w:tcBorders>
              <w:top w:val="nil"/>
              <w:left w:val="nil"/>
              <w:bottom w:val="single" w:sz="4" w:space="0" w:color="auto"/>
              <w:right w:val="nil"/>
            </w:tcBorders>
            <w:shd w:val="clear" w:color="auto" w:fill="auto"/>
            <w:noWrap/>
            <w:vAlign w:val="center"/>
            <w:hideMark/>
          </w:tcPr>
          <w:p w14:paraId="65861C10"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+44 %  </w:t>
            </w:r>
          </w:p>
        </w:tc>
      </w:tr>
      <w:tr w:rsidR="00404CFA" w:rsidRPr="00404CFA" w14:paraId="602D3151"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54124886"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Ústí n. Labem</w:t>
            </w:r>
          </w:p>
        </w:tc>
        <w:tc>
          <w:tcPr>
            <w:tcW w:w="982" w:type="dxa"/>
            <w:tcBorders>
              <w:top w:val="nil"/>
              <w:left w:val="nil"/>
              <w:bottom w:val="single" w:sz="4" w:space="0" w:color="auto"/>
              <w:right w:val="nil"/>
            </w:tcBorders>
            <w:shd w:val="clear" w:color="auto" w:fill="auto"/>
            <w:noWrap/>
            <w:vAlign w:val="bottom"/>
            <w:hideMark/>
          </w:tcPr>
          <w:p w14:paraId="5C751A6A" w14:textId="4B6A962F"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9</w:t>
            </w:r>
            <w:r>
              <w:rPr>
                <w:rFonts w:eastAsia="Times New Roman"/>
                <w:color w:val="000000"/>
                <w:szCs w:val="24"/>
                <w:lang w:eastAsia="cs-CZ"/>
              </w:rPr>
              <w:t>,</w:t>
            </w:r>
            <w:r w:rsidRPr="00404CFA">
              <w:rPr>
                <w:rFonts w:eastAsia="Times New Roman"/>
                <w:color w:val="000000"/>
                <w:szCs w:val="24"/>
                <w:lang w:eastAsia="cs-CZ"/>
              </w:rPr>
              <w:t>5</w:t>
            </w:r>
          </w:p>
        </w:tc>
        <w:tc>
          <w:tcPr>
            <w:tcW w:w="1074" w:type="dxa"/>
            <w:tcBorders>
              <w:top w:val="nil"/>
              <w:left w:val="nil"/>
              <w:bottom w:val="single" w:sz="4" w:space="0" w:color="auto"/>
              <w:right w:val="nil"/>
            </w:tcBorders>
            <w:shd w:val="clear" w:color="auto" w:fill="auto"/>
            <w:noWrap/>
            <w:vAlign w:val="bottom"/>
            <w:hideMark/>
          </w:tcPr>
          <w:p w14:paraId="13833744" w14:textId="37227782"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64</w:t>
            </w:r>
            <w:r>
              <w:rPr>
                <w:rFonts w:eastAsia="Times New Roman"/>
                <w:color w:val="000000"/>
                <w:szCs w:val="24"/>
                <w:lang w:eastAsia="cs-CZ"/>
              </w:rPr>
              <w:t>,</w:t>
            </w:r>
            <w:r w:rsidRPr="00404CFA">
              <w:rPr>
                <w:rFonts w:eastAsia="Times New Roman"/>
                <w:color w:val="000000"/>
                <w:szCs w:val="24"/>
                <w:lang w:eastAsia="cs-CZ"/>
              </w:rPr>
              <w:t>84</w:t>
            </w:r>
          </w:p>
        </w:tc>
        <w:tc>
          <w:tcPr>
            <w:tcW w:w="1119" w:type="dxa"/>
            <w:tcBorders>
              <w:top w:val="nil"/>
              <w:left w:val="nil"/>
              <w:bottom w:val="single" w:sz="4" w:space="0" w:color="auto"/>
              <w:right w:val="nil"/>
            </w:tcBorders>
            <w:shd w:val="clear" w:color="auto" w:fill="auto"/>
            <w:noWrap/>
            <w:vAlign w:val="center"/>
            <w:hideMark/>
          </w:tcPr>
          <w:p w14:paraId="2BEBEE9E"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+21 %  </w:t>
            </w:r>
          </w:p>
        </w:tc>
        <w:tc>
          <w:tcPr>
            <w:tcW w:w="999" w:type="dxa"/>
            <w:tcBorders>
              <w:top w:val="nil"/>
              <w:left w:val="single" w:sz="4" w:space="0" w:color="auto"/>
              <w:bottom w:val="single" w:sz="4" w:space="0" w:color="auto"/>
              <w:right w:val="nil"/>
            </w:tcBorders>
            <w:shd w:val="clear" w:color="auto" w:fill="auto"/>
            <w:noWrap/>
            <w:vAlign w:val="bottom"/>
            <w:hideMark/>
          </w:tcPr>
          <w:p w14:paraId="152DDEBF" w14:textId="45908248"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64</w:t>
            </w:r>
            <w:r>
              <w:rPr>
                <w:rFonts w:eastAsia="Times New Roman"/>
                <w:color w:val="000000"/>
                <w:szCs w:val="24"/>
                <w:lang w:eastAsia="cs-CZ"/>
              </w:rPr>
              <w:t>,</w:t>
            </w:r>
            <w:r w:rsidRPr="00404CFA">
              <w:rPr>
                <w:rFonts w:eastAsia="Times New Roman"/>
                <w:color w:val="000000"/>
                <w:szCs w:val="24"/>
                <w:lang w:eastAsia="cs-CZ"/>
              </w:rPr>
              <w:t>00</w:t>
            </w:r>
          </w:p>
        </w:tc>
        <w:tc>
          <w:tcPr>
            <w:tcW w:w="1041" w:type="dxa"/>
            <w:tcBorders>
              <w:top w:val="nil"/>
              <w:left w:val="nil"/>
              <w:bottom w:val="single" w:sz="4" w:space="0" w:color="auto"/>
              <w:right w:val="single" w:sz="4" w:space="0" w:color="auto"/>
            </w:tcBorders>
            <w:shd w:val="clear" w:color="auto" w:fill="auto"/>
            <w:noWrap/>
            <w:vAlign w:val="center"/>
            <w:hideMark/>
          </w:tcPr>
          <w:p w14:paraId="1BC6F378"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+19 %  </w:t>
            </w:r>
          </w:p>
        </w:tc>
        <w:tc>
          <w:tcPr>
            <w:tcW w:w="999" w:type="dxa"/>
            <w:tcBorders>
              <w:top w:val="nil"/>
              <w:left w:val="nil"/>
              <w:bottom w:val="single" w:sz="4" w:space="0" w:color="auto"/>
              <w:right w:val="nil"/>
            </w:tcBorders>
            <w:shd w:val="clear" w:color="auto" w:fill="auto"/>
            <w:noWrap/>
            <w:vAlign w:val="bottom"/>
            <w:hideMark/>
          </w:tcPr>
          <w:p w14:paraId="3A771145" w14:textId="4131D3E5"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43</w:t>
            </w:r>
            <w:r>
              <w:rPr>
                <w:rFonts w:eastAsia="Times New Roman"/>
                <w:color w:val="000000"/>
                <w:szCs w:val="24"/>
                <w:lang w:eastAsia="cs-CZ"/>
              </w:rPr>
              <w:t>,</w:t>
            </w:r>
            <w:r w:rsidRPr="00404CFA">
              <w:rPr>
                <w:rFonts w:eastAsia="Times New Roman"/>
                <w:color w:val="000000"/>
                <w:szCs w:val="24"/>
                <w:lang w:eastAsia="cs-CZ"/>
              </w:rPr>
              <w:t>16</w:t>
            </w:r>
          </w:p>
        </w:tc>
        <w:tc>
          <w:tcPr>
            <w:tcW w:w="1041" w:type="dxa"/>
            <w:tcBorders>
              <w:top w:val="nil"/>
              <w:left w:val="nil"/>
              <w:bottom w:val="single" w:sz="4" w:space="0" w:color="auto"/>
              <w:right w:val="nil"/>
            </w:tcBorders>
            <w:shd w:val="clear" w:color="auto" w:fill="auto"/>
            <w:noWrap/>
            <w:vAlign w:val="center"/>
            <w:hideMark/>
          </w:tcPr>
          <w:p w14:paraId="04DE5345"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+33 %  </w:t>
            </w:r>
          </w:p>
        </w:tc>
      </w:tr>
      <w:tr w:rsidR="00404CFA" w:rsidRPr="00404CFA" w14:paraId="4A3FA81F"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40C9D38E"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Hr. Králové</w:t>
            </w:r>
          </w:p>
        </w:tc>
        <w:tc>
          <w:tcPr>
            <w:tcW w:w="982" w:type="dxa"/>
            <w:tcBorders>
              <w:top w:val="nil"/>
              <w:left w:val="nil"/>
              <w:bottom w:val="single" w:sz="4" w:space="0" w:color="auto"/>
              <w:right w:val="nil"/>
            </w:tcBorders>
            <w:shd w:val="clear" w:color="auto" w:fill="auto"/>
            <w:noWrap/>
            <w:vAlign w:val="bottom"/>
            <w:hideMark/>
          </w:tcPr>
          <w:p w14:paraId="19C5D457" w14:textId="62418586"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9</w:t>
            </w:r>
            <w:r>
              <w:rPr>
                <w:rFonts w:eastAsia="Times New Roman"/>
                <w:color w:val="000000"/>
                <w:szCs w:val="24"/>
                <w:lang w:eastAsia="cs-CZ"/>
              </w:rPr>
              <w:t>,</w:t>
            </w:r>
            <w:r w:rsidRPr="00404CFA">
              <w:rPr>
                <w:rFonts w:eastAsia="Times New Roman"/>
                <w:color w:val="000000"/>
                <w:szCs w:val="24"/>
                <w:lang w:eastAsia="cs-CZ"/>
              </w:rPr>
              <w:t>7</w:t>
            </w:r>
          </w:p>
        </w:tc>
        <w:tc>
          <w:tcPr>
            <w:tcW w:w="1074" w:type="dxa"/>
            <w:tcBorders>
              <w:top w:val="nil"/>
              <w:left w:val="nil"/>
              <w:bottom w:val="single" w:sz="4" w:space="0" w:color="auto"/>
              <w:right w:val="nil"/>
            </w:tcBorders>
            <w:shd w:val="clear" w:color="auto" w:fill="auto"/>
            <w:noWrap/>
            <w:vAlign w:val="bottom"/>
            <w:hideMark/>
          </w:tcPr>
          <w:p w14:paraId="556FDAB5" w14:textId="1BBF83F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53</w:t>
            </w:r>
            <w:r>
              <w:rPr>
                <w:rFonts w:eastAsia="Times New Roman"/>
                <w:color w:val="000000"/>
                <w:szCs w:val="24"/>
                <w:lang w:eastAsia="cs-CZ"/>
              </w:rPr>
              <w:t>,</w:t>
            </w:r>
            <w:r w:rsidRPr="00404CFA">
              <w:rPr>
                <w:rFonts w:eastAsia="Times New Roman"/>
                <w:color w:val="000000"/>
                <w:szCs w:val="24"/>
                <w:lang w:eastAsia="cs-CZ"/>
              </w:rPr>
              <w:t>92</w:t>
            </w:r>
          </w:p>
        </w:tc>
        <w:tc>
          <w:tcPr>
            <w:tcW w:w="1119" w:type="dxa"/>
            <w:tcBorders>
              <w:top w:val="nil"/>
              <w:left w:val="nil"/>
              <w:bottom w:val="single" w:sz="4" w:space="0" w:color="auto"/>
              <w:right w:val="nil"/>
            </w:tcBorders>
            <w:shd w:val="clear" w:color="auto" w:fill="auto"/>
            <w:noWrap/>
            <w:vAlign w:val="center"/>
            <w:hideMark/>
          </w:tcPr>
          <w:p w14:paraId="3F262812"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+17 %  </w:t>
            </w:r>
          </w:p>
        </w:tc>
        <w:tc>
          <w:tcPr>
            <w:tcW w:w="999" w:type="dxa"/>
            <w:tcBorders>
              <w:top w:val="nil"/>
              <w:left w:val="single" w:sz="4" w:space="0" w:color="auto"/>
              <w:bottom w:val="single" w:sz="4" w:space="0" w:color="auto"/>
              <w:right w:val="nil"/>
            </w:tcBorders>
            <w:shd w:val="clear" w:color="auto" w:fill="auto"/>
            <w:noWrap/>
            <w:vAlign w:val="bottom"/>
            <w:hideMark/>
          </w:tcPr>
          <w:p w14:paraId="35DC1DF8" w14:textId="375491DD"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54</w:t>
            </w:r>
            <w:r>
              <w:rPr>
                <w:rFonts w:eastAsia="Times New Roman"/>
                <w:color w:val="000000"/>
                <w:szCs w:val="24"/>
                <w:lang w:eastAsia="cs-CZ"/>
              </w:rPr>
              <w:t>,</w:t>
            </w:r>
            <w:r w:rsidRPr="00404CFA">
              <w:rPr>
                <w:rFonts w:eastAsia="Times New Roman"/>
                <w:color w:val="000000"/>
                <w:szCs w:val="24"/>
                <w:lang w:eastAsia="cs-CZ"/>
              </w:rPr>
              <w:t>64</w:t>
            </w:r>
          </w:p>
        </w:tc>
        <w:tc>
          <w:tcPr>
            <w:tcW w:w="1041" w:type="dxa"/>
            <w:tcBorders>
              <w:top w:val="nil"/>
              <w:left w:val="nil"/>
              <w:bottom w:val="single" w:sz="4" w:space="0" w:color="auto"/>
              <w:right w:val="single" w:sz="4" w:space="0" w:color="auto"/>
            </w:tcBorders>
            <w:shd w:val="clear" w:color="auto" w:fill="auto"/>
            <w:noWrap/>
            <w:vAlign w:val="center"/>
            <w:hideMark/>
          </w:tcPr>
          <w:p w14:paraId="58768E5B"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+15 %  </w:t>
            </w:r>
          </w:p>
        </w:tc>
        <w:tc>
          <w:tcPr>
            <w:tcW w:w="999" w:type="dxa"/>
            <w:tcBorders>
              <w:top w:val="nil"/>
              <w:left w:val="nil"/>
              <w:bottom w:val="single" w:sz="4" w:space="0" w:color="auto"/>
              <w:right w:val="nil"/>
            </w:tcBorders>
            <w:shd w:val="clear" w:color="auto" w:fill="auto"/>
            <w:noWrap/>
            <w:vAlign w:val="bottom"/>
            <w:hideMark/>
          </w:tcPr>
          <w:p w14:paraId="57401C0A" w14:textId="5ABD28AE"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23</w:t>
            </w:r>
            <w:r>
              <w:rPr>
                <w:rFonts w:eastAsia="Times New Roman"/>
                <w:color w:val="000000"/>
                <w:szCs w:val="24"/>
                <w:lang w:eastAsia="cs-CZ"/>
              </w:rPr>
              <w:t>,</w:t>
            </w:r>
            <w:r w:rsidRPr="00404CFA">
              <w:rPr>
                <w:rFonts w:eastAsia="Times New Roman"/>
                <w:color w:val="000000"/>
                <w:szCs w:val="24"/>
                <w:lang w:eastAsia="cs-CZ"/>
              </w:rPr>
              <w:t>71</w:t>
            </w:r>
          </w:p>
        </w:tc>
        <w:tc>
          <w:tcPr>
            <w:tcW w:w="1041" w:type="dxa"/>
            <w:tcBorders>
              <w:top w:val="nil"/>
              <w:left w:val="nil"/>
              <w:bottom w:val="single" w:sz="4" w:space="0" w:color="auto"/>
              <w:right w:val="nil"/>
            </w:tcBorders>
            <w:shd w:val="clear" w:color="auto" w:fill="auto"/>
            <w:noWrap/>
            <w:vAlign w:val="center"/>
            <w:hideMark/>
          </w:tcPr>
          <w:p w14:paraId="51808373"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+17 %  </w:t>
            </w:r>
          </w:p>
        </w:tc>
      </w:tr>
      <w:tr w:rsidR="00404CFA" w:rsidRPr="00404CFA" w14:paraId="2A8B551B"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072182D5"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Brno</w:t>
            </w:r>
          </w:p>
        </w:tc>
        <w:tc>
          <w:tcPr>
            <w:tcW w:w="982" w:type="dxa"/>
            <w:tcBorders>
              <w:top w:val="nil"/>
              <w:left w:val="nil"/>
              <w:bottom w:val="single" w:sz="4" w:space="0" w:color="auto"/>
              <w:right w:val="nil"/>
            </w:tcBorders>
            <w:shd w:val="clear" w:color="auto" w:fill="auto"/>
            <w:noWrap/>
            <w:vAlign w:val="bottom"/>
            <w:hideMark/>
          </w:tcPr>
          <w:p w14:paraId="2BA4E97E" w14:textId="7BDD8BDC"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16</w:t>
            </w:r>
            <w:r>
              <w:rPr>
                <w:rFonts w:eastAsia="Times New Roman"/>
                <w:color w:val="000000"/>
                <w:szCs w:val="24"/>
                <w:lang w:eastAsia="cs-CZ"/>
              </w:rPr>
              <w:t>,</w:t>
            </w:r>
            <w:r w:rsidRPr="00404CFA">
              <w:rPr>
                <w:rFonts w:eastAsia="Times New Roman"/>
                <w:color w:val="000000"/>
                <w:szCs w:val="24"/>
                <w:lang w:eastAsia="cs-CZ"/>
              </w:rPr>
              <w:t>5</w:t>
            </w:r>
          </w:p>
        </w:tc>
        <w:tc>
          <w:tcPr>
            <w:tcW w:w="1074" w:type="dxa"/>
            <w:tcBorders>
              <w:top w:val="nil"/>
              <w:left w:val="nil"/>
              <w:bottom w:val="single" w:sz="4" w:space="0" w:color="auto"/>
              <w:right w:val="nil"/>
            </w:tcBorders>
            <w:shd w:val="clear" w:color="auto" w:fill="auto"/>
            <w:noWrap/>
            <w:vAlign w:val="bottom"/>
            <w:hideMark/>
          </w:tcPr>
          <w:p w14:paraId="709E3E84" w14:textId="4F7702CA"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79</w:t>
            </w:r>
            <w:r>
              <w:rPr>
                <w:rFonts w:eastAsia="Times New Roman"/>
                <w:color w:val="000000"/>
                <w:szCs w:val="24"/>
                <w:lang w:eastAsia="cs-CZ"/>
              </w:rPr>
              <w:t>,</w:t>
            </w:r>
            <w:r w:rsidRPr="00404CFA">
              <w:rPr>
                <w:rFonts w:eastAsia="Times New Roman"/>
                <w:color w:val="000000"/>
                <w:szCs w:val="24"/>
                <w:lang w:eastAsia="cs-CZ"/>
              </w:rPr>
              <w:t>94</w:t>
            </w:r>
          </w:p>
        </w:tc>
        <w:tc>
          <w:tcPr>
            <w:tcW w:w="1119" w:type="dxa"/>
            <w:tcBorders>
              <w:top w:val="nil"/>
              <w:left w:val="nil"/>
              <w:bottom w:val="single" w:sz="4" w:space="0" w:color="auto"/>
              <w:right w:val="nil"/>
            </w:tcBorders>
            <w:shd w:val="clear" w:color="auto" w:fill="auto"/>
            <w:noWrap/>
            <w:vAlign w:val="center"/>
            <w:hideMark/>
          </w:tcPr>
          <w:p w14:paraId="01D1538E"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+4 %  </w:t>
            </w:r>
          </w:p>
        </w:tc>
        <w:tc>
          <w:tcPr>
            <w:tcW w:w="999" w:type="dxa"/>
            <w:tcBorders>
              <w:top w:val="nil"/>
              <w:left w:val="single" w:sz="4" w:space="0" w:color="auto"/>
              <w:bottom w:val="single" w:sz="4" w:space="0" w:color="auto"/>
              <w:right w:val="nil"/>
            </w:tcBorders>
            <w:shd w:val="clear" w:color="auto" w:fill="auto"/>
            <w:noWrap/>
            <w:vAlign w:val="bottom"/>
            <w:hideMark/>
          </w:tcPr>
          <w:p w14:paraId="567F1CF7" w14:textId="219A167B"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89</w:t>
            </w:r>
            <w:r>
              <w:rPr>
                <w:rFonts w:eastAsia="Times New Roman"/>
                <w:color w:val="000000"/>
                <w:szCs w:val="24"/>
                <w:lang w:eastAsia="cs-CZ"/>
              </w:rPr>
              <w:t>,</w:t>
            </w:r>
            <w:r w:rsidRPr="00404CFA">
              <w:rPr>
                <w:rFonts w:eastAsia="Times New Roman"/>
                <w:color w:val="000000"/>
                <w:szCs w:val="24"/>
                <w:lang w:eastAsia="cs-CZ"/>
              </w:rPr>
              <w:t>52</w:t>
            </w:r>
          </w:p>
        </w:tc>
        <w:tc>
          <w:tcPr>
            <w:tcW w:w="1041" w:type="dxa"/>
            <w:tcBorders>
              <w:top w:val="nil"/>
              <w:left w:val="nil"/>
              <w:bottom w:val="single" w:sz="4" w:space="0" w:color="auto"/>
              <w:right w:val="single" w:sz="4" w:space="0" w:color="auto"/>
            </w:tcBorders>
            <w:shd w:val="clear" w:color="auto" w:fill="auto"/>
            <w:noWrap/>
            <w:vAlign w:val="center"/>
            <w:hideMark/>
          </w:tcPr>
          <w:p w14:paraId="65871A47"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+4 %  </w:t>
            </w:r>
          </w:p>
        </w:tc>
        <w:tc>
          <w:tcPr>
            <w:tcW w:w="999" w:type="dxa"/>
            <w:tcBorders>
              <w:top w:val="nil"/>
              <w:left w:val="nil"/>
              <w:bottom w:val="single" w:sz="4" w:space="0" w:color="auto"/>
              <w:right w:val="nil"/>
            </w:tcBorders>
            <w:shd w:val="clear" w:color="auto" w:fill="auto"/>
            <w:noWrap/>
            <w:vAlign w:val="bottom"/>
            <w:hideMark/>
          </w:tcPr>
          <w:p w14:paraId="0B0811E1" w14:textId="265C2BE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60</w:t>
            </w:r>
            <w:r>
              <w:rPr>
                <w:rFonts w:eastAsia="Times New Roman"/>
                <w:color w:val="000000"/>
                <w:szCs w:val="24"/>
                <w:lang w:eastAsia="cs-CZ"/>
              </w:rPr>
              <w:t>,</w:t>
            </w:r>
            <w:r w:rsidRPr="00404CFA">
              <w:rPr>
                <w:rFonts w:eastAsia="Times New Roman"/>
                <w:color w:val="000000"/>
                <w:szCs w:val="24"/>
                <w:lang w:eastAsia="cs-CZ"/>
              </w:rPr>
              <w:t>61</w:t>
            </w:r>
          </w:p>
        </w:tc>
        <w:tc>
          <w:tcPr>
            <w:tcW w:w="1041" w:type="dxa"/>
            <w:tcBorders>
              <w:top w:val="nil"/>
              <w:left w:val="nil"/>
              <w:bottom w:val="single" w:sz="4" w:space="0" w:color="auto"/>
              <w:right w:val="nil"/>
            </w:tcBorders>
            <w:shd w:val="clear" w:color="auto" w:fill="auto"/>
            <w:noWrap/>
            <w:vAlign w:val="center"/>
            <w:hideMark/>
          </w:tcPr>
          <w:p w14:paraId="4FA2906C"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-14 %  </w:t>
            </w:r>
          </w:p>
        </w:tc>
      </w:tr>
      <w:tr w:rsidR="00404CFA" w:rsidRPr="00404CFA" w14:paraId="77FA58C9" w14:textId="77777777" w:rsidTr="00542EE2">
        <w:trPr>
          <w:trHeight w:val="330"/>
        </w:trPr>
        <w:tc>
          <w:tcPr>
            <w:tcW w:w="1985" w:type="dxa"/>
            <w:tcBorders>
              <w:top w:val="nil"/>
              <w:left w:val="nil"/>
              <w:bottom w:val="double" w:sz="6" w:space="0" w:color="auto"/>
              <w:right w:val="nil"/>
            </w:tcBorders>
            <w:shd w:val="clear" w:color="auto" w:fill="auto"/>
            <w:noWrap/>
            <w:vAlign w:val="bottom"/>
            <w:hideMark/>
          </w:tcPr>
          <w:p w14:paraId="3E4CA66E"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Ostrava</w:t>
            </w:r>
          </w:p>
        </w:tc>
        <w:tc>
          <w:tcPr>
            <w:tcW w:w="982" w:type="dxa"/>
            <w:tcBorders>
              <w:top w:val="nil"/>
              <w:left w:val="nil"/>
              <w:bottom w:val="double" w:sz="6" w:space="0" w:color="auto"/>
              <w:right w:val="nil"/>
            </w:tcBorders>
            <w:shd w:val="clear" w:color="auto" w:fill="auto"/>
            <w:noWrap/>
            <w:vAlign w:val="bottom"/>
            <w:hideMark/>
          </w:tcPr>
          <w:p w14:paraId="1D999797" w14:textId="7777777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12</w:t>
            </w:r>
          </w:p>
        </w:tc>
        <w:tc>
          <w:tcPr>
            <w:tcW w:w="1074" w:type="dxa"/>
            <w:tcBorders>
              <w:top w:val="nil"/>
              <w:left w:val="nil"/>
              <w:bottom w:val="double" w:sz="6" w:space="0" w:color="auto"/>
              <w:right w:val="nil"/>
            </w:tcBorders>
            <w:shd w:val="clear" w:color="auto" w:fill="auto"/>
            <w:noWrap/>
            <w:vAlign w:val="bottom"/>
            <w:hideMark/>
          </w:tcPr>
          <w:p w14:paraId="2859363A" w14:textId="32494751"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84</w:t>
            </w:r>
            <w:r>
              <w:rPr>
                <w:rFonts w:eastAsia="Times New Roman"/>
                <w:color w:val="000000"/>
                <w:szCs w:val="24"/>
                <w:lang w:eastAsia="cs-CZ"/>
              </w:rPr>
              <w:t>,</w:t>
            </w:r>
            <w:r w:rsidRPr="00404CFA">
              <w:rPr>
                <w:rFonts w:eastAsia="Times New Roman"/>
                <w:color w:val="000000"/>
                <w:szCs w:val="24"/>
                <w:lang w:eastAsia="cs-CZ"/>
              </w:rPr>
              <w:t>50</w:t>
            </w:r>
          </w:p>
        </w:tc>
        <w:tc>
          <w:tcPr>
            <w:tcW w:w="1119" w:type="dxa"/>
            <w:tcBorders>
              <w:top w:val="nil"/>
              <w:left w:val="nil"/>
              <w:bottom w:val="double" w:sz="6" w:space="0" w:color="auto"/>
              <w:right w:val="nil"/>
            </w:tcBorders>
            <w:shd w:val="clear" w:color="auto" w:fill="auto"/>
            <w:noWrap/>
            <w:vAlign w:val="center"/>
            <w:hideMark/>
          </w:tcPr>
          <w:p w14:paraId="018215A8"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+4 %  </w:t>
            </w:r>
          </w:p>
        </w:tc>
        <w:tc>
          <w:tcPr>
            <w:tcW w:w="999" w:type="dxa"/>
            <w:tcBorders>
              <w:top w:val="nil"/>
              <w:left w:val="single" w:sz="4" w:space="0" w:color="auto"/>
              <w:bottom w:val="double" w:sz="6" w:space="0" w:color="auto"/>
              <w:right w:val="nil"/>
            </w:tcBorders>
            <w:shd w:val="clear" w:color="auto" w:fill="auto"/>
            <w:noWrap/>
            <w:vAlign w:val="bottom"/>
            <w:hideMark/>
          </w:tcPr>
          <w:p w14:paraId="7685858D" w14:textId="32E1161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85</w:t>
            </w:r>
            <w:r>
              <w:rPr>
                <w:rFonts w:eastAsia="Times New Roman"/>
                <w:color w:val="000000"/>
                <w:szCs w:val="24"/>
                <w:lang w:eastAsia="cs-CZ"/>
              </w:rPr>
              <w:t>,</w:t>
            </w:r>
            <w:r w:rsidRPr="00404CFA">
              <w:rPr>
                <w:rFonts w:eastAsia="Times New Roman"/>
                <w:color w:val="000000"/>
                <w:szCs w:val="24"/>
                <w:lang w:eastAsia="cs-CZ"/>
              </w:rPr>
              <w:t>58</w:t>
            </w:r>
          </w:p>
        </w:tc>
        <w:tc>
          <w:tcPr>
            <w:tcW w:w="1041" w:type="dxa"/>
            <w:tcBorders>
              <w:top w:val="nil"/>
              <w:left w:val="nil"/>
              <w:bottom w:val="double" w:sz="6" w:space="0" w:color="auto"/>
              <w:right w:val="single" w:sz="4" w:space="0" w:color="auto"/>
            </w:tcBorders>
            <w:shd w:val="clear" w:color="auto" w:fill="auto"/>
            <w:noWrap/>
            <w:vAlign w:val="center"/>
            <w:hideMark/>
          </w:tcPr>
          <w:p w14:paraId="7B6162EA"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+2 %  </w:t>
            </w:r>
          </w:p>
        </w:tc>
        <w:tc>
          <w:tcPr>
            <w:tcW w:w="999" w:type="dxa"/>
            <w:tcBorders>
              <w:top w:val="nil"/>
              <w:left w:val="nil"/>
              <w:bottom w:val="double" w:sz="6" w:space="0" w:color="auto"/>
              <w:right w:val="nil"/>
            </w:tcBorders>
            <w:shd w:val="clear" w:color="auto" w:fill="auto"/>
            <w:noWrap/>
            <w:vAlign w:val="bottom"/>
            <w:hideMark/>
          </w:tcPr>
          <w:p w14:paraId="621C9794" w14:textId="6135606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52</w:t>
            </w:r>
            <w:r>
              <w:rPr>
                <w:rFonts w:eastAsia="Times New Roman"/>
                <w:color w:val="000000"/>
                <w:szCs w:val="24"/>
                <w:lang w:eastAsia="cs-CZ"/>
              </w:rPr>
              <w:t>,</w:t>
            </w:r>
            <w:r w:rsidRPr="00404CFA">
              <w:rPr>
                <w:rFonts w:eastAsia="Times New Roman"/>
                <w:color w:val="000000"/>
                <w:szCs w:val="24"/>
                <w:lang w:eastAsia="cs-CZ"/>
              </w:rPr>
              <w:t>33</w:t>
            </w:r>
          </w:p>
        </w:tc>
        <w:tc>
          <w:tcPr>
            <w:tcW w:w="1041" w:type="dxa"/>
            <w:tcBorders>
              <w:top w:val="nil"/>
              <w:left w:val="nil"/>
              <w:bottom w:val="double" w:sz="6" w:space="0" w:color="auto"/>
              <w:right w:val="nil"/>
            </w:tcBorders>
            <w:shd w:val="clear" w:color="auto" w:fill="auto"/>
            <w:noWrap/>
            <w:vAlign w:val="center"/>
            <w:hideMark/>
          </w:tcPr>
          <w:p w14:paraId="7DEFEA3E"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-4 %  </w:t>
            </w:r>
          </w:p>
        </w:tc>
      </w:tr>
      <w:tr w:rsidR="00404CFA" w:rsidRPr="00404CFA" w14:paraId="7AAD80F5" w14:textId="77777777" w:rsidTr="00542EE2">
        <w:trPr>
          <w:trHeight w:val="345"/>
        </w:trPr>
        <w:tc>
          <w:tcPr>
            <w:tcW w:w="1985" w:type="dxa"/>
            <w:tcBorders>
              <w:top w:val="nil"/>
              <w:left w:val="nil"/>
              <w:bottom w:val="double" w:sz="6" w:space="0" w:color="auto"/>
              <w:right w:val="nil"/>
            </w:tcBorders>
            <w:shd w:val="clear" w:color="auto" w:fill="auto"/>
            <w:noWrap/>
            <w:vAlign w:val="bottom"/>
            <w:hideMark/>
          </w:tcPr>
          <w:p w14:paraId="5A2D186B" w14:textId="77777777" w:rsidR="00404CFA" w:rsidRPr="00404CFA" w:rsidRDefault="00404CFA" w:rsidP="00404CFA">
            <w:pPr>
              <w:spacing w:line="240" w:lineRule="auto"/>
              <w:jc w:val="left"/>
              <w:rPr>
                <w:rFonts w:eastAsia="Times New Roman"/>
                <w:b/>
                <w:bCs/>
                <w:color w:val="000000"/>
                <w:szCs w:val="24"/>
                <w:lang w:eastAsia="cs-CZ"/>
              </w:rPr>
            </w:pPr>
            <w:r w:rsidRPr="00404CFA">
              <w:rPr>
                <w:rFonts w:eastAsia="Times New Roman"/>
                <w:b/>
                <w:bCs/>
                <w:color w:val="000000"/>
                <w:szCs w:val="24"/>
                <w:lang w:eastAsia="cs-CZ"/>
              </w:rPr>
              <w:t>Celkem ČR</w:t>
            </w:r>
          </w:p>
        </w:tc>
        <w:tc>
          <w:tcPr>
            <w:tcW w:w="982" w:type="dxa"/>
            <w:tcBorders>
              <w:top w:val="nil"/>
              <w:left w:val="nil"/>
              <w:bottom w:val="double" w:sz="6" w:space="0" w:color="auto"/>
              <w:right w:val="nil"/>
            </w:tcBorders>
            <w:shd w:val="clear" w:color="auto" w:fill="auto"/>
            <w:noWrap/>
            <w:vAlign w:val="bottom"/>
            <w:hideMark/>
          </w:tcPr>
          <w:p w14:paraId="0F0EB563" w14:textId="7488033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111</w:t>
            </w:r>
            <w:r>
              <w:rPr>
                <w:rFonts w:eastAsia="Times New Roman"/>
                <w:b/>
                <w:bCs/>
                <w:color w:val="000000"/>
                <w:szCs w:val="24"/>
                <w:lang w:eastAsia="cs-CZ"/>
              </w:rPr>
              <w:t>,</w:t>
            </w:r>
            <w:r w:rsidRPr="00404CFA">
              <w:rPr>
                <w:rFonts w:eastAsia="Times New Roman"/>
                <w:b/>
                <w:bCs/>
                <w:color w:val="000000"/>
                <w:szCs w:val="24"/>
                <w:lang w:eastAsia="cs-CZ"/>
              </w:rPr>
              <w:t>6</w:t>
            </w:r>
          </w:p>
        </w:tc>
        <w:tc>
          <w:tcPr>
            <w:tcW w:w="1074" w:type="dxa"/>
            <w:tcBorders>
              <w:top w:val="nil"/>
              <w:left w:val="nil"/>
              <w:bottom w:val="double" w:sz="6" w:space="0" w:color="auto"/>
              <w:right w:val="nil"/>
            </w:tcBorders>
            <w:shd w:val="clear" w:color="auto" w:fill="auto"/>
            <w:noWrap/>
            <w:vAlign w:val="bottom"/>
            <w:hideMark/>
          </w:tcPr>
          <w:p w14:paraId="42515BC0" w14:textId="3D7F8F2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73</w:t>
            </w:r>
            <w:r>
              <w:rPr>
                <w:rFonts w:eastAsia="Times New Roman"/>
                <w:b/>
                <w:bCs/>
                <w:color w:val="000000"/>
                <w:szCs w:val="24"/>
                <w:lang w:eastAsia="cs-CZ"/>
              </w:rPr>
              <w:t>,</w:t>
            </w:r>
            <w:r w:rsidRPr="00404CFA">
              <w:rPr>
                <w:rFonts w:eastAsia="Times New Roman"/>
                <w:b/>
                <w:bCs/>
                <w:color w:val="000000"/>
                <w:szCs w:val="24"/>
                <w:lang w:eastAsia="cs-CZ"/>
              </w:rPr>
              <w:t>36</w:t>
            </w:r>
          </w:p>
        </w:tc>
        <w:tc>
          <w:tcPr>
            <w:tcW w:w="1119" w:type="dxa"/>
            <w:tcBorders>
              <w:top w:val="nil"/>
              <w:left w:val="nil"/>
              <w:bottom w:val="double" w:sz="6" w:space="0" w:color="auto"/>
              <w:right w:val="nil"/>
            </w:tcBorders>
            <w:shd w:val="clear" w:color="auto" w:fill="auto"/>
            <w:noWrap/>
            <w:vAlign w:val="center"/>
            <w:hideMark/>
          </w:tcPr>
          <w:p w14:paraId="4639A4D9" w14:textId="77777777" w:rsidR="00404CFA" w:rsidRPr="00404CFA" w:rsidRDefault="00404CFA" w:rsidP="00404CFA">
            <w:pPr>
              <w:spacing w:line="240" w:lineRule="auto"/>
              <w:jc w:val="center"/>
              <w:rPr>
                <w:rFonts w:eastAsia="Times New Roman"/>
                <w:b/>
                <w:bCs/>
                <w:color w:val="000000"/>
                <w:sz w:val="20"/>
                <w:szCs w:val="20"/>
                <w:lang w:eastAsia="cs-CZ"/>
              </w:rPr>
            </w:pPr>
            <w:r w:rsidRPr="00404CFA">
              <w:rPr>
                <w:rFonts w:eastAsia="Times New Roman"/>
                <w:b/>
                <w:bCs/>
                <w:color w:val="000000"/>
                <w:sz w:val="20"/>
                <w:szCs w:val="20"/>
                <w:lang w:eastAsia="cs-CZ"/>
              </w:rPr>
              <w:t xml:space="preserve">+8 %  </w:t>
            </w:r>
          </w:p>
        </w:tc>
        <w:tc>
          <w:tcPr>
            <w:tcW w:w="999" w:type="dxa"/>
            <w:tcBorders>
              <w:top w:val="nil"/>
              <w:left w:val="single" w:sz="4" w:space="0" w:color="auto"/>
              <w:bottom w:val="double" w:sz="6" w:space="0" w:color="auto"/>
              <w:right w:val="nil"/>
            </w:tcBorders>
            <w:shd w:val="clear" w:color="auto" w:fill="auto"/>
            <w:noWrap/>
            <w:vAlign w:val="bottom"/>
            <w:hideMark/>
          </w:tcPr>
          <w:p w14:paraId="2C75F957" w14:textId="5B7D0C3D"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76</w:t>
            </w:r>
            <w:r>
              <w:rPr>
                <w:rFonts w:eastAsia="Times New Roman"/>
                <w:b/>
                <w:bCs/>
                <w:color w:val="000000"/>
                <w:szCs w:val="24"/>
                <w:lang w:eastAsia="cs-CZ"/>
              </w:rPr>
              <w:t>,</w:t>
            </w:r>
            <w:r w:rsidRPr="00404CFA">
              <w:rPr>
                <w:rFonts w:eastAsia="Times New Roman"/>
                <w:b/>
                <w:bCs/>
                <w:color w:val="000000"/>
                <w:szCs w:val="24"/>
                <w:lang w:eastAsia="cs-CZ"/>
              </w:rPr>
              <w:t>75</w:t>
            </w:r>
          </w:p>
        </w:tc>
        <w:tc>
          <w:tcPr>
            <w:tcW w:w="1041" w:type="dxa"/>
            <w:tcBorders>
              <w:top w:val="nil"/>
              <w:left w:val="nil"/>
              <w:bottom w:val="double" w:sz="6" w:space="0" w:color="auto"/>
              <w:right w:val="single" w:sz="4" w:space="0" w:color="auto"/>
            </w:tcBorders>
            <w:shd w:val="clear" w:color="auto" w:fill="auto"/>
            <w:noWrap/>
            <w:vAlign w:val="center"/>
            <w:hideMark/>
          </w:tcPr>
          <w:p w14:paraId="44EB56A5" w14:textId="77777777" w:rsidR="00404CFA" w:rsidRPr="00404CFA" w:rsidRDefault="00404CFA" w:rsidP="00404CFA">
            <w:pPr>
              <w:spacing w:line="240" w:lineRule="auto"/>
              <w:jc w:val="center"/>
              <w:rPr>
                <w:rFonts w:eastAsia="Times New Roman"/>
                <w:b/>
                <w:bCs/>
                <w:color w:val="000000"/>
                <w:sz w:val="20"/>
                <w:szCs w:val="20"/>
                <w:lang w:eastAsia="cs-CZ"/>
              </w:rPr>
            </w:pPr>
            <w:r w:rsidRPr="00404CFA">
              <w:rPr>
                <w:rFonts w:eastAsia="Times New Roman"/>
                <w:b/>
                <w:bCs/>
                <w:color w:val="000000"/>
                <w:sz w:val="20"/>
                <w:szCs w:val="20"/>
                <w:lang w:eastAsia="cs-CZ"/>
              </w:rPr>
              <w:t xml:space="preserve">+2 %  </w:t>
            </w:r>
          </w:p>
        </w:tc>
        <w:tc>
          <w:tcPr>
            <w:tcW w:w="999" w:type="dxa"/>
            <w:tcBorders>
              <w:top w:val="nil"/>
              <w:left w:val="nil"/>
              <w:bottom w:val="double" w:sz="6" w:space="0" w:color="auto"/>
              <w:right w:val="nil"/>
            </w:tcBorders>
            <w:shd w:val="clear" w:color="auto" w:fill="auto"/>
            <w:noWrap/>
            <w:vAlign w:val="bottom"/>
            <w:hideMark/>
          </w:tcPr>
          <w:p w14:paraId="1367E231" w14:textId="5075276C"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42</w:t>
            </w:r>
            <w:r>
              <w:rPr>
                <w:rFonts w:eastAsia="Times New Roman"/>
                <w:b/>
                <w:bCs/>
                <w:color w:val="000000"/>
                <w:szCs w:val="24"/>
                <w:lang w:eastAsia="cs-CZ"/>
              </w:rPr>
              <w:t>,</w:t>
            </w:r>
            <w:r w:rsidRPr="00404CFA">
              <w:rPr>
                <w:rFonts w:eastAsia="Times New Roman"/>
                <w:b/>
                <w:bCs/>
                <w:color w:val="000000"/>
                <w:szCs w:val="24"/>
                <w:lang w:eastAsia="cs-CZ"/>
              </w:rPr>
              <w:t>54</w:t>
            </w:r>
          </w:p>
        </w:tc>
        <w:tc>
          <w:tcPr>
            <w:tcW w:w="1041" w:type="dxa"/>
            <w:tcBorders>
              <w:top w:val="nil"/>
              <w:left w:val="nil"/>
              <w:bottom w:val="double" w:sz="6" w:space="0" w:color="auto"/>
              <w:right w:val="nil"/>
            </w:tcBorders>
            <w:shd w:val="clear" w:color="auto" w:fill="auto"/>
            <w:noWrap/>
            <w:vAlign w:val="center"/>
            <w:hideMark/>
          </w:tcPr>
          <w:p w14:paraId="135D3B02" w14:textId="77777777" w:rsidR="00404CFA" w:rsidRPr="00404CFA" w:rsidRDefault="00404CFA" w:rsidP="00404CFA">
            <w:pPr>
              <w:spacing w:line="240" w:lineRule="auto"/>
              <w:jc w:val="center"/>
              <w:rPr>
                <w:rFonts w:eastAsia="Times New Roman"/>
                <w:b/>
                <w:bCs/>
                <w:color w:val="000000"/>
                <w:sz w:val="20"/>
                <w:szCs w:val="20"/>
                <w:lang w:eastAsia="cs-CZ"/>
              </w:rPr>
            </w:pPr>
            <w:r w:rsidRPr="00404CFA">
              <w:rPr>
                <w:rFonts w:eastAsia="Times New Roman"/>
                <w:b/>
                <w:bCs/>
                <w:color w:val="000000"/>
                <w:sz w:val="20"/>
                <w:szCs w:val="20"/>
                <w:lang w:eastAsia="cs-CZ"/>
              </w:rPr>
              <w:t xml:space="preserve">-2 %  </w:t>
            </w:r>
          </w:p>
        </w:tc>
      </w:tr>
      <w:tr w:rsidR="00404CFA" w:rsidRPr="00404CFA" w14:paraId="68EB28F7" w14:textId="77777777" w:rsidTr="00542EE2">
        <w:trPr>
          <w:trHeight w:val="330"/>
        </w:trPr>
        <w:tc>
          <w:tcPr>
            <w:tcW w:w="1985" w:type="dxa"/>
            <w:tcBorders>
              <w:top w:val="nil"/>
              <w:left w:val="nil"/>
              <w:bottom w:val="nil"/>
              <w:right w:val="nil"/>
            </w:tcBorders>
            <w:shd w:val="clear" w:color="auto" w:fill="auto"/>
            <w:noWrap/>
            <w:vAlign w:val="bottom"/>
            <w:hideMark/>
          </w:tcPr>
          <w:p w14:paraId="6D3930E9" w14:textId="77777777" w:rsidR="00404CFA" w:rsidRPr="00404CFA" w:rsidRDefault="00404CFA" w:rsidP="00404CFA">
            <w:pPr>
              <w:spacing w:line="240" w:lineRule="auto"/>
              <w:jc w:val="center"/>
              <w:rPr>
                <w:rFonts w:eastAsia="Times New Roman"/>
                <w:b/>
                <w:bCs/>
                <w:color w:val="000000"/>
                <w:sz w:val="20"/>
                <w:szCs w:val="20"/>
                <w:lang w:eastAsia="cs-CZ"/>
              </w:rPr>
            </w:pPr>
          </w:p>
        </w:tc>
        <w:tc>
          <w:tcPr>
            <w:tcW w:w="982" w:type="dxa"/>
            <w:tcBorders>
              <w:top w:val="nil"/>
              <w:left w:val="nil"/>
              <w:bottom w:val="nil"/>
              <w:right w:val="nil"/>
            </w:tcBorders>
            <w:shd w:val="clear" w:color="auto" w:fill="auto"/>
            <w:noWrap/>
            <w:vAlign w:val="bottom"/>
            <w:hideMark/>
          </w:tcPr>
          <w:p w14:paraId="461648DD"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1074" w:type="dxa"/>
            <w:tcBorders>
              <w:top w:val="nil"/>
              <w:left w:val="nil"/>
              <w:bottom w:val="nil"/>
              <w:right w:val="nil"/>
            </w:tcBorders>
            <w:shd w:val="clear" w:color="auto" w:fill="auto"/>
            <w:noWrap/>
            <w:vAlign w:val="bottom"/>
            <w:hideMark/>
          </w:tcPr>
          <w:p w14:paraId="5FF6279E"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1119" w:type="dxa"/>
            <w:tcBorders>
              <w:top w:val="nil"/>
              <w:left w:val="nil"/>
              <w:bottom w:val="nil"/>
              <w:right w:val="nil"/>
            </w:tcBorders>
            <w:shd w:val="clear" w:color="auto" w:fill="auto"/>
            <w:noWrap/>
            <w:vAlign w:val="bottom"/>
            <w:hideMark/>
          </w:tcPr>
          <w:p w14:paraId="015AB05E"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999" w:type="dxa"/>
            <w:tcBorders>
              <w:top w:val="nil"/>
              <w:left w:val="nil"/>
              <w:bottom w:val="nil"/>
              <w:right w:val="nil"/>
            </w:tcBorders>
            <w:shd w:val="clear" w:color="auto" w:fill="auto"/>
            <w:noWrap/>
            <w:vAlign w:val="bottom"/>
            <w:hideMark/>
          </w:tcPr>
          <w:p w14:paraId="0F2CC312"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1041" w:type="dxa"/>
            <w:tcBorders>
              <w:top w:val="nil"/>
              <w:left w:val="nil"/>
              <w:bottom w:val="nil"/>
              <w:right w:val="nil"/>
            </w:tcBorders>
            <w:shd w:val="clear" w:color="auto" w:fill="auto"/>
            <w:noWrap/>
            <w:vAlign w:val="bottom"/>
            <w:hideMark/>
          </w:tcPr>
          <w:p w14:paraId="43443081"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999" w:type="dxa"/>
            <w:tcBorders>
              <w:top w:val="nil"/>
              <w:left w:val="nil"/>
              <w:bottom w:val="nil"/>
              <w:right w:val="nil"/>
            </w:tcBorders>
            <w:shd w:val="clear" w:color="auto" w:fill="auto"/>
            <w:noWrap/>
            <w:vAlign w:val="bottom"/>
            <w:hideMark/>
          </w:tcPr>
          <w:p w14:paraId="2A05953A"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1041" w:type="dxa"/>
            <w:tcBorders>
              <w:top w:val="nil"/>
              <w:left w:val="nil"/>
              <w:bottom w:val="nil"/>
              <w:right w:val="nil"/>
            </w:tcBorders>
            <w:shd w:val="clear" w:color="auto" w:fill="auto"/>
            <w:noWrap/>
            <w:vAlign w:val="bottom"/>
            <w:hideMark/>
          </w:tcPr>
          <w:p w14:paraId="333A9176"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r>
    </w:tbl>
    <w:p w14:paraId="783BFB0F" w14:textId="77777777" w:rsidR="00985626" w:rsidRPr="00033A3F" w:rsidRDefault="00985626" w:rsidP="00985626">
      <w:pPr>
        <w:rPr>
          <w:color w:val="000000" w:themeColor="text1"/>
        </w:rPr>
      </w:pPr>
    </w:p>
    <w:p w14:paraId="0993016B" w14:textId="73F452C1" w:rsidR="007F004B" w:rsidRPr="00033A3F" w:rsidRDefault="008430BD" w:rsidP="008430BD">
      <w:pPr>
        <w:pStyle w:val="Nadpis3"/>
        <w:numPr>
          <w:ilvl w:val="2"/>
          <w:numId w:val="1"/>
        </w:numPr>
        <w:rPr>
          <w:color w:val="000000" w:themeColor="text1"/>
        </w:rPr>
      </w:pPr>
      <w:bookmarkStart w:id="1749" w:name="_Toc515871270"/>
      <w:bookmarkStart w:id="1750" w:name="_Toc106092778"/>
      <w:bookmarkStart w:id="1751" w:name="_Toc169250854"/>
      <w:bookmarkStart w:id="1752" w:name="_Toc193531016"/>
      <w:bookmarkStart w:id="1753" w:name="_Toc193957073"/>
      <w:bookmarkStart w:id="1754" w:name="_Toc203032762"/>
      <w:r w:rsidRPr="00033A3F">
        <w:rPr>
          <w:color w:val="000000" w:themeColor="text1"/>
        </w:rPr>
        <w:t>Disposition time</w:t>
      </w:r>
      <w:bookmarkEnd w:id="1749"/>
      <w:r w:rsidRPr="00033A3F">
        <w:rPr>
          <w:color w:val="000000" w:themeColor="text1"/>
        </w:rPr>
        <w:t xml:space="preserve"> (dispoziční čas)</w:t>
      </w:r>
      <w:bookmarkEnd w:id="1750"/>
      <w:bookmarkEnd w:id="1751"/>
      <w:bookmarkEnd w:id="1752"/>
      <w:bookmarkEnd w:id="1753"/>
      <w:bookmarkEnd w:id="1754"/>
    </w:p>
    <w:p w14:paraId="73A2DBB4" w14:textId="41EFC25D" w:rsidR="00165B9E" w:rsidRPr="00033A3F" w:rsidRDefault="005236EB" w:rsidP="00165B9E">
      <w:pPr>
        <w:pStyle w:val="OdstavecASR"/>
        <w:rPr>
          <w:color w:val="000000" w:themeColor="text1"/>
        </w:rPr>
      </w:pPr>
      <w:r w:rsidRPr="00033A3F">
        <w:rPr>
          <w:color w:val="000000" w:themeColor="text1"/>
        </w:rPr>
        <w:t>DT dále potvrzuje závěry z předchozích podkapitol. Od roku 2019 DT klesá v důsledku výrazného poklesu v počtu nevyřízených věcí. DT se tak po šestiletém období</w:t>
      </w:r>
      <w:r w:rsidR="005F080F" w:rsidRPr="00033A3F">
        <w:rPr>
          <w:color w:val="000000" w:themeColor="text1"/>
        </w:rPr>
        <w:t xml:space="preserve"> dostal pod hodnotu 365 dnů</w:t>
      </w:r>
      <w:r w:rsidRPr="00033A3F">
        <w:rPr>
          <w:color w:val="000000" w:themeColor="text1"/>
        </w:rPr>
        <w:t>, od roku 2021 již opravdu výrazně</w:t>
      </w:r>
      <w:r w:rsidR="004E02AD" w:rsidRPr="00033A3F">
        <w:rPr>
          <w:color w:val="000000" w:themeColor="text1"/>
        </w:rPr>
        <w:t xml:space="preserve"> (hodnota DT = 365 kal. dnů znamená stejný počet nevyřízených jako vyřízených věcí</w:t>
      </w:r>
      <w:r w:rsidR="004E02AD" w:rsidRPr="00033A3F">
        <w:rPr>
          <w:rStyle w:val="Znakapoznpodarou"/>
          <w:color w:val="000000" w:themeColor="text1"/>
        </w:rPr>
        <w:footnoteReference w:id="14"/>
      </w:r>
      <w:r w:rsidR="004E02AD" w:rsidRPr="00033A3F">
        <w:rPr>
          <w:color w:val="000000" w:themeColor="text1"/>
        </w:rPr>
        <w:t>)</w:t>
      </w:r>
      <w:r w:rsidRPr="00033A3F">
        <w:rPr>
          <w:color w:val="000000" w:themeColor="text1"/>
        </w:rPr>
        <w:t xml:space="preserve">. To znamená, že </w:t>
      </w:r>
      <w:r w:rsidR="004E02AD" w:rsidRPr="00033A3F">
        <w:rPr>
          <w:color w:val="000000" w:themeColor="text1"/>
        </w:rPr>
        <w:t>od roku 2021</w:t>
      </w:r>
      <w:r w:rsidR="000C7A72" w:rsidRPr="00033A3F">
        <w:rPr>
          <w:color w:val="000000" w:themeColor="text1"/>
        </w:rPr>
        <w:t xml:space="preserve"> je</w:t>
      </w:r>
      <w:r w:rsidRPr="00033A3F">
        <w:rPr>
          <w:color w:val="000000" w:themeColor="text1"/>
        </w:rPr>
        <w:t xml:space="preserve"> počet nevyřízených věcí nižší než počet věcí vyřízených. Od roku 2018 do roku 2022 klesl DT o 187 dnů (o 45 %). V letech 2023 a 2024 došlo k dalším, i když již mírnějším poklesům. Z tabulky pak vidíme, že celkový pokles v DT je tažen KS Brno</w:t>
      </w:r>
      <w:r w:rsidR="000C7A72" w:rsidRPr="00033A3F">
        <w:rPr>
          <w:color w:val="000000" w:themeColor="text1"/>
        </w:rPr>
        <w:t>,</w:t>
      </w:r>
      <w:r w:rsidRPr="00033A3F">
        <w:rPr>
          <w:color w:val="000000" w:themeColor="text1"/>
        </w:rPr>
        <w:t xml:space="preserve"> MS Praha</w:t>
      </w:r>
      <w:r w:rsidR="000C7A72" w:rsidRPr="00033A3F">
        <w:rPr>
          <w:color w:val="000000" w:themeColor="text1"/>
        </w:rPr>
        <w:t xml:space="preserve"> a KS Ostrava</w:t>
      </w:r>
      <w:r w:rsidRPr="00033A3F">
        <w:rPr>
          <w:color w:val="000000" w:themeColor="text1"/>
        </w:rPr>
        <w:t>.</w:t>
      </w:r>
    </w:p>
    <w:p w14:paraId="2F81579C" w14:textId="62810051" w:rsidR="005236EB" w:rsidRPr="00033A3F" w:rsidRDefault="005236EB" w:rsidP="00165B9E">
      <w:pPr>
        <w:pStyle w:val="Podnadpis"/>
        <w:rPr>
          <w:color w:val="000000" w:themeColor="text1"/>
        </w:rPr>
      </w:pPr>
      <w:bookmarkStart w:id="1755" w:name="_Toc193530839"/>
      <w:bookmarkStart w:id="1756" w:name="_Toc193634113"/>
      <w:bookmarkStart w:id="1757" w:name="_Toc203032911"/>
      <w:r w:rsidRPr="00033A3F">
        <w:rPr>
          <w:color w:val="000000" w:themeColor="text1"/>
        </w:rPr>
        <w:lastRenderedPageBreak/>
        <w:t xml:space="preserve">Graf </w:t>
      </w:r>
      <w:r w:rsidR="00BC30BA" w:rsidRPr="00033A3F">
        <w:rPr>
          <w:noProof/>
          <w:color w:val="000000" w:themeColor="text1"/>
        </w:rPr>
        <w:fldChar w:fldCharType="begin"/>
      </w:r>
      <w:r w:rsidR="00BC30BA" w:rsidRPr="00033A3F">
        <w:rPr>
          <w:noProof/>
          <w:color w:val="000000" w:themeColor="text1"/>
        </w:rPr>
        <w:instrText xml:space="preserve"> SEQ Graf \* ARABIC </w:instrText>
      </w:r>
      <w:r w:rsidR="00BC30BA" w:rsidRPr="00033A3F">
        <w:rPr>
          <w:noProof/>
          <w:color w:val="000000" w:themeColor="text1"/>
        </w:rPr>
        <w:fldChar w:fldCharType="separate"/>
      </w:r>
      <w:r w:rsidR="00163B51">
        <w:rPr>
          <w:noProof/>
          <w:color w:val="000000" w:themeColor="text1"/>
        </w:rPr>
        <w:t>84</w:t>
      </w:r>
      <w:r w:rsidR="00BC30BA" w:rsidRPr="00033A3F">
        <w:rPr>
          <w:noProof/>
          <w:color w:val="000000" w:themeColor="text1"/>
        </w:rPr>
        <w:fldChar w:fldCharType="end"/>
      </w:r>
      <w:r w:rsidRPr="00033A3F">
        <w:rPr>
          <w:color w:val="000000" w:themeColor="text1"/>
        </w:rPr>
        <w:t>: KS – DT správního řízení v letech 201</w:t>
      </w:r>
      <w:r w:rsidR="00A7721D" w:rsidRPr="00033A3F">
        <w:rPr>
          <w:color w:val="000000" w:themeColor="text1"/>
        </w:rPr>
        <w:t>5</w:t>
      </w:r>
      <w:r w:rsidRPr="00033A3F">
        <w:rPr>
          <w:color w:val="000000" w:themeColor="text1"/>
        </w:rPr>
        <w:t>–202</w:t>
      </w:r>
      <w:r w:rsidR="00A7721D" w:rsidRPr="00033A3F">
        <w:rPr>
          <w:color w:val="000000" w:themeColor="text1"/>
        </w:rPr>
        <w:t>4</w:t>
      </w:r>
      <w:bookmarkEnd w:id="1755"/>
      <w:bookmarkEnd w:id="1756"/>
      <w:bookmarkEnd w:id="1757"/>
    </w:p>
    <w:p w14:paraId="57F6BB6E" w14:textId="6F65E233" w:rsidR="005236EB" w:rsidRPr="00033A3F" w:rsidRDefault="005236EB" w:rsidP="005236EB">
      <w:pPr>
        <w:pStyle w:val="OdstavecASR"/>
        <w:rPr>
          <w:color w:val="000000" w:themeColor="text1"/>
        </w:rPr>
      </w:pPr>
      <w:r w:rsidRPr="00033A3F">
        <w:rPr>
          <w:noProof/>
          <w:color w:val="000000" w:themeColor="text1"/>
          <w:lang w:eastAsia="cs-CZ"/>
        </w:rPr>
        <w:drawing>
          <wp:inline distT="0" distB="0" distL="0" distR="0" wp14:anchorId="1293A673" wp14:editId="5291EAAA">
            <wp:extent cx="5029200" cy="3657600"/>
            <wp:effectExtent l="0" t="0" r="0" b="0"/>
            <wp:docPr id="1702960487"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70DFE12" w14:textId="77777777" w:rsidR="005236EB" w:rsidRPr="00033A3F" w:rsidRDefault="005236EB" w:rsidP="005236EB">
      <w:pPr>
        <w:pStyle w:val="OdstavecASR"/>
        <w:rPr>
          <w:color w:val="000000" w:themeColor="text1"/>
        </w:rPr>
      </w:pPr>
    </w:p>
    <w:p w14:paraId="046DDBB3" w14:textId="6543B0D7" w:rsidR="005236EB" w:rsidRPr="00033A3F" w:rsidRDefault="005236EB" w:rsidP="005236EB">
      <w:pPr>
        <w:pStyle w:val="Podnadpis"/>
        <w:rPr>
          <w:color w:val="000000" w:themeColor="text1"/>
        </w:rPr>
      </w:pPr>
      <w:bookmarkStart w:id="1758" w:name="_Toc106106828"/>
      <w:bookmarkStart w:id="1759" w:name="_Toc109802151"/>
      <w:bookmarkStart w:id="1760" w:name="_Toc144104310"/>
      <w:bookmarkStart w:id="1761" w:name="_Toc169251124"/>
      <w:bookmarkStart w:id="1762" w:name="_Toc174080810"/>
      <w:bookmarkStart w:id="1763" w:name="_Toc193530936"/>
      <w:bookmarkStart w:id="1764" w:name="_Toc194045633"/>
      <w:bookmarkStart w:id="1765" w:name="_Toc199495043"/>
      <w:bookmarkStart w:id="1766" w:name="_Toc203033104"/>
      <w:bookmarkStart w:id="1767" w:name="_Toc203033182"/>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62</w:t>
      </w:r>
      <w:r w:rsidRPr="00033A3F">
        <w:rPr>
          <w:noProof/>
          <w:color w:val="000000" w:themeColor="text1"/>
        </w:rPr>
        <w:fldChar w:fldCharType="end"/>
      </w:r>
      <w:r w:rsidRPr="00033A3F">
        <w:rPr>
          <w:color w:val="000000" w:themeColor="text1"/>
        </w:rPr>
        <w:t>: KS – DT správního řízení dle soudů</w:t>
      </w:r>
      <w:bookmarkEnd w:id="1758"/>
      <w:bookmarkEnd w:id="1759"/>
      <w:bookmarkEnd w:id="1760"/>
      <w:r w:rsidRPr="00033A3F">
        <w:rPr>
          <w:color w:val="000000" w:themeColor="text1"/>
        </w:rPr>
        <w:t>, 202</w:t>
      </w:r>
      <w:bookmarkEnd w:id="1761"/>
      <w:bookmarkEnd w:id="1762"/>
      <w:r w:rsidR="00A7721D" w:rsidRPr="00033A3F">
        <w:rPr>
          <w:color w:val="000000" w:themeColor="text1"/>
        </w:rPr>
        <w:t>4</w:t>
      </w:r>
      <w:bookmarkEnd w:id="1763"/>
      <w:bookmarkEnd w:id="1764"/>
      <w:bookmarkEnd w:id="1765"/>
      <w:bookmarkEnd w:id="1766"/>
      <w:bookmarkEnd w:id="1767"/>
    </w:p>
    <w:tbl>
      <w:tblPr>
        <w:tblW w:w="5960" w:type="dxa"/>
        <w:tblCellMar>
          <w:left w:w="70" w:type="dxa"/>
          <w:right w:w="70" w:type="dxa"/>
        </w:tblCellMar>
        <w:tblLook w:val="04A0" w:firstRow="1" w:lastRow="0" w:firstColumn="1" w:lastColumn="0" w:noHBand="0" w:noVBand="1"/>
      </w:tblPr>
      <w:tblGrid>
        <w:gridCol w:w="2780"/>
        <w:gridCol w:w="1253"/>
        <w:gridCol w:w="1927"/>
      </w:tblGrid>
      <w:tr w:rsidR="00033A3F" w:rsidRPr="00033A3F" w14:paraId="40385BCD" w14:textId="77777777" w:rsidTr="005236E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36FE48B" w14:textId="77777777" w:rsidR="005236EB" w:rsidRPr="00033A3F" w:rsidRDefault="005236EB" w:rsidP="005236E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569F8183" w14:textId="77777777" w:rsidR="005236EB" w:rsidRPr="00033A3F" w:rsidRDefault="005236EB" w:rsidP="005236E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Disposition time</w:t>
            </w:r>
          </w:p>
        </w:tc>
      </w:tr>
      <w:tr w:rsidR="00033A3F" w:rsidRPr="00033A3F" w14:paraId="78EE9E1B" w14:textId="77777777" w:rsidTr="005236EB">
        <w:trPr>
          <w:trHeight w:val="330"/>
        </w:trPr>
        <w:tc>
          <w:tcPr>
            <w:tcW w:w="2780" w:type="dxa"/>
            <w:tcBorders>
              <w:top w:val="nil"/>
              <w:left w:val="nil"/>
              <w:bottom w:val="single" w:sz="4" w:space="0" w:color="auto"/>
              <w:right w:val="nil"/>
            </w:tcBorders>
            <w:shd w:val="clear" w:color="auto" w:fill="auto"/>
            <w:noWrap/>
            <w:vAlign w:val="bottom"/>
            <w:hideMark/>
          </w:tcPr>
          <w:p w14:paraId="4D269FD0"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5DCDCE52"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178</w:t>
            </w:r>
          </w:p>
        </w:tc>
        <w:tc>
          <w:tcPr>
            <w:tcW w:w="1927" w:type="dxa"/>
            <w:tcBorders>
              <w:top w:val="nil"/>
              <w:left w:val="nil"/>
              <w:bottom w:val="single" w:sz="4" w:space="0" w:color="auto"/>
              <w:right w:val="nil"/>
            </w:tcBorders>
            <w:shd w:val="clear" w:color="auto" w:fill="auto"/>
            <w:noWrap/>
            <w:vAlign w:val="center"/>
            <w:hideMark/>
          </w:tcPr>
          <w:p w14:paraId="3B70FEE0" w14:textId="32A3B06B" w:rsidR="005236EB" w:rsidRPr="00033A3F" w:rsidRDefault="005236EB" w:rsidP="005236E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22F2E058"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75345DA1"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74F8D203"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220</w:t>
            </w:r>
          </w:p>
        </w:tc>
        <w:tc>
          <w:tcPr>
            <w:tcW w:w="1927" w:type="dxa"/>
            <w:tcBorders>
              <w:top w:val="nil"/>
              <w:left w:val="nil"/>
              <w:bottom w:val="single" w:sz="4" w:space="0" w:color="auto"/>
              <w:right w:val="nil"/>
            </w:tcBorders>
            <w:shd w:val="clear" w:color="auto" w:fill="auto"/>
            <w:noWrap/>
            <w:vAlign w:val="center"/>
            <w:hideMark/>
          </w:tcPr>
          <w:p w14:paraId="089DA5EB" w14:textId="4CB3D64E"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2C609400"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5A955DBE"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2F3A30B2"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153</w:t>
            </w:r>
          </w:p>
        </w:tc>
        <w:tc>
          <w:tcPr>
            <w:tcW w:w="1927" w:type="dxa"/>
            <w:tcBorders>
              <w:top w:val="nil"/>
              <w:left w:val="nil"/>
              <w:bottom w:val="single" w:sz="4" w:space="0" w:color="auto"/>
              <w:right w:val="nil"/>
            </w:tcBorders>
            <w:shd w:val="clear" w:color="auto" w:fill="auto"/>
            <w:noWrap/>
            <w:vAlign w:val="center"/>
            <w:hideMark/>
          </w:tcPr>
          <w:p w14:paraId="666ADB01" w14:textId="2A315B95"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r>
      <w:tr w:rsidR="00033A3F" w:rsidRPr="00033A3F" w14:paraId="3D7CFBC4"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101A874A"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64C4D9B4"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175</w:t>
            </w:r>
          </w:p>
        </w:tc>
        <w:tc>
          <w:tcPr>
            <w:tcW w:w="1927" w:type="dxa"/>
            <w:tcBorders>
              <w:top w:val="nil"/>
              <w:left w:val="nil"/>
              <w:bottom w:val="single" w:sz="4" w:space="0" w:color="auto"/>
              <w:right w:val="nil"/>
            </w:tcBorders>
            <w:shd w:val="clear" w:color="auto" w:fill="auto"/>
            <w:noWrap/>
            <w:vAlign w:val="center"/>
            <w:hideMark/>
          </w:tcPr>
          <w:p w14:paraId="6EE0B497" w14:textId="42933686"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7F383721"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7ED3723B"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10D22E15"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246</w:t>
            </w:r>
          </w:p>
        </w:tc>
        <w:tc>
          <w:tcPr>
            <w:tcW w:w="1927" w:type="dxa"/>
            <w:tcBorders>
              <w:top w:val="nil"/>
              <w:left w:val="nil"/>
              <w:bottom w:val="single" w:sz="4" w:space="0" w:color="auto"/>
              <w:right w:val="nil"/>
            </w:tcBorders>
            <w:shd w:val="clear" w:color="auto" w:fill="auto"/>
            <w:noWrap/>
            <w:vAlign w:val="center"/>
            <w:hideMark/>
          </w:tcPr>
          <w:p w14:paraId="6A3E9DCA" w14:textId="249F92E4"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2649E88E"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2AA7EAA5"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06E186F3"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158</w:t>
            </w:r>
          </w:p>
        </w:tc>
        <w:tc>
          <w:tcPr>
            <w:tcW w:w="1927" w:type="dxa"/>
            <w:tcBorders>
              <w:top w:val="nil"/>
              <w:left w:val="nil"/>
              <w:bottom w:val="single" w:sz="4" w:space="0" w:color="auto"/>
              <w:right w:val="nil"/>
            </w:tcBorders>
            <w:shd w:val="clear" w:color="auto" w:fill="auto"/>
            <w:noWrap/>
            <w:vAlign w:val="center"/>
            <w:hideMark/>
          </w:tcPr>
          <w:p w14:paraId="1502C4F0" w14:textId="18D2F100"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206B6A11"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7C6B605B"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3E5C7BEB"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247</w:t>
            </w:r>
          </w:p>
        </w:tc>
        <w:tc>
          <w:tcPr>
            <w:tcW w:w="1927" w:type="dxa"/>
            <w:tcBorders>
              <w:top w:val="nil"/>
              <w:left w:val="nil"/>
              <w:bottom w:val="single" w:sz="4" w:space="0" w:color="auto"/>
              <w:right w:val="nil"/>
            </w:tcBorders>
            <w:shd w:val="clear" w:color="auto" w:fill="auto"/>
            <w:noWrap/>
            <w:vAlign w:val="center"/>
            <w:hideMark/>
          </w:tcPr>
          <w:p w14:paraId="7D0ABFC2" w14:textId="6F743B01"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r>
      <w:tr w:rsidR="00033A3F" w:rsidRPr="00033A3F" w14:paraId="2DC5FD8F" w14:textId="77777777" w:rsidTr="005236EB">
        <w:trPr>
          <w:trHeight w:val="330"/>
        </w:trPr>
        <w:tc>
          <w:tcPr>
            <w:tcW w:w="2780" w:type="dxa"/>
            <w:tcBorders>
              <w:top w:val="nil"/>
              <w:left w:val="nil"/>
              <w:bottom w:val="double" w:sz="6" w:space="0" w:color="auto"/>
              <w:right w:val="nil"/>
            </w:tcBorders>
            <w:shd w:val="clear" w:color="auto" w:fill="auto"/>
            <w:noWrap/>
            <w:vAlign w:val="bottom"/>
            <w:hideMark/>
          </w:tcPr>
          <w:p w14:paraId="53D0D9ED"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0E454B71"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223</w:t>
            </w:r>
          </w:p>
        </w:tc>
        <w:tc>
          <w:tcPr>
            <w:tcW w:w="1927" w:type="dxa"/>
            <w:tcBorders>
              <w:top w:val="nil"/>
              <w:left w:val="nil"/>
              <w:bottom w:val="double" w:sz="6" w:space="0" w:color="auto"/>
              <w:right w:val="nil"/>
            </w:tcBorders>
            <w:shd w:val="clear" w:color="auto" w:fill="auto"/>
            <w:noWrap/>
            <w:vAlign w:val="center"/>
            <w:hideMark/>
          </w:tcPr>
          <w:p w14:paraId="136BE893" w14:textId="5908836F"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38297444" w14:textId="77777777" w:rsidTr="005236EB">
        <w:trPr>
          <w:trHeight w:val="345"/>
        </w:trPr>
        <w:tc>
          <w:tcPr>
            <w:tcW w:w="2780" w:type="dxa"/>
            <w:tcBorders>
              <w:top w:val="nil"/>
              <w:left w:val="nil"/>
              <w:bottom w:val="double" w:sz="6" w:space="0" w:color="auto"/>
              <w:right w:val="nil"/>
            </w:tcBorders>
            <w:shd w:val="clear" w:color="auto" w:fill="auto"/>
            <w:noWrap/>
            <w:vAlign w:val="bottom"/>
            <w:hideMark/>
          </w:tcPr>
          <w:p w14:paraId="1F9D2C98" w14:textId="77777777" w:rsidR="005236EB" w:rsidRPr="00033A3F" w:rsidRDefault="005236EB" w:rsidP="005236EB">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6BC48E4B" w14:textId="77777777" w:rsidR="005236EB" w:rsidRPr="00033A3F" w:rsidRDefault="005236EB" w:rsidP="005236E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202</w:t>
            </w:r>
          </w:p>
        </w:tc>
        <w:tc>
          <w:tcPr>
            <w:tcW w:w="1927" w:type="dxa"/>
            <w:tcBorders>
              <w:top w:val="nil"/>
              <w:left w:val="nil"/>
              <w:bottom w:val="double" w:sz="6" w:space="0" w:color="auto"/>
              <w:right w:val="nil"/>
            </w:tcBorders>
            <w:shd w:val="clear" w:color="auto" w:fill="auto"/>
            <w:noWrap/>
            <w:vAlign w:val="center"/>
            <w:hideMark/>
          </w:tcPr>
          <w:p w14:paraId="6E93D399" w14:textId="36A70CB8" w:rsidR="005236EB" w:rsidRPr="00033A3F" w:rsidRDefault="005236EB"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r>
      <w:tr w:rsidR="00033A3F" w:rsidRPr="00033A3F" w14:paraId="5162D7DA" w14:textId="77777777" w:rsidTr="005236EB">
        <w:trPr>
          <w:trHeight w:val="330"/>
        </w:trPr>
        <w:tc>
          <w:tcPr>
            <w:tcW w:w="2780" w:type="dxa"/>
            <w:tcBorders>
              <w:top w:val="nil"/>
              <w:left w:val="nil"/>
              <w:bottom w:val="nil"/>
              <w:right w:val="nil"/>
            </w:tcBorders>
            <w:shd w:val="clear" w:color="auto" w:fill="auto"/>
            <w:noWrap/>
            <w:vAlign w:val="bottom"/>
            <w:hideMark/>
          </w:tcPr>
          <w:p w14:paraId="295E2CE5" w14:textId="77777777" w:rsidR="005236EB" w:rsidRPr="00033A3F" w:rsidRDefault="005236EB" w:rsidP="005236EB">
            <w:pPr>
              <w:spacing w:line="240" w:lineRule="auto"/>
              <w:jc w:val="center"/>
              <w:rPr>
                <w:rFonts w:eastAsia="Times New Roman"/>
                <w:b/>
                <w:bCs/>
                <w:color w:val="000000" w:themeColor="text1"/>
                <w:sz w:val="20"/>
                <w:szCs w:val="20"/>
                <w:lang w:eastAsia="cs-CZ"/>
              </w:rPr>
            </w:pPr>
          </w:p>
        </w:tc>
        <w:tc>
          <w:tcPr>
            <w:tcW w:w="1253" w:type="dxa"/>
            <w:tcBorders>
              <w:top w:val="nil"/>
              <w:left w:val="nil"/>
              <w:bottom w:val="nil"/>
              <w:right w:val="nil"/>
            </w:tcBorders>
            <w:shd w:val="clear" w:color="auto" w:fill="auto"/>
            <w:noWrap/>
            <w:vAlign w:val="bottom"/>
            <w:hideMark/>
          </w:tcPr>
          <w:p w14:paraId="1CED1F04" w14:textId="77777777" w:rsidR="005236EB" w:rsidRPr="00033A3F" w:rsidRDefault="005236EB" w:rsidP="005236EB">
            <w:pPr>
              <w:spacing w:line="240" w:lineRule="auto"/>
              <w:jc w:val="left"/>
              <w:rPr>
                <w:rFonts w:ascii="Times New Roman" w:eastAsia="Times New Roman" w:hAnsi="Times New Roman"/>
                <w:color w:val="000000" w:themeColor="text1"/>
                <w:sz w:val="20"/>
                <w:szCs w:val="20"/>
                <w:lang w:eastAsia="cs-CZ"/>
              </w:rPr>
            </w:pPr>
          </w:p>
        </w:tc>
        <w:tc>
          <w:tcPr>
            <w:tcW w:w="1927" w:type="dxa"/>
            <w:tcBorders>
              <w:top w:val="nil"/>
              <w:left w:val="nil"/>
              <w:bottom w:val="nil"/>
              <w:right w:val="nil"/>
            </w:tcBorders>
            <w:shd w:val="clear" w:color="auto" w:fill="auto"/>
            <w:noWrap/>
            <w:vAlign w:val="bottom"/>
            <w:hideMark/>
          </w:tcPr>
          <w:p w14:paraId="4FCB9D6A" w14:textId="77777777" w:rsidR="005236EB" w:rsidRPr="00033A3F" w:rsidRDefault="005236EB" w:rsidP="005236EB">
            <w:pPr>
              <w:spacing w:line="240" w:lineRule="auto"/>
              <w:jc w:val="left"/>
              <w:rPr>
                <w:rFonts w:ascii="Times New Roman" w:eastAsia="Times New Roman" w:hAnsi="Times New Roman"/>
                <w:color w:val="000000" w:themeColor="text1"/>
                <w:sz w:val="20"/>
                <w:szCs w:val="20"/>
                <w:lang w:eastAsia="cs-CZ"/>
              </w:rPr>
            </w:pPr>
          </w:p>
        </w:tc>
      </w:tr>
    </w:tbl>
    <w:p w14:paraId="3434DD9E" w14:textId="143D36C4" w:rsidR="00AE739E" w:rsidRPr="00033A3F" w:rsidRDefault="005236EB" w:rsidP="005236EB">
      <w:pPr>
        <w:pStyle w:val="OdstavecASR"/>
        <w:rPr>
          <w:color w:val="000000" w:themeColor="text1"/>
        </w:rPr>
      </w:pPr>
      <w:r w:rsidRPr="00033A3F">
        <w:rPr>
          <w:color w:val="000000" w:themeColor="text1"/>
        </w:rPr>
        <w:t>Situac</w:t>
      </w:r>
      <w:r w:rsidR="005F080F" w:rsidRPr="00033A3F">
        <w:rPr>
          <w:color w:val="000000" w:themeColor="text1"/>
        </w:rPr>
        <w:t>i</w:t>
      </w:r>
      <w:r w:rsidRPr="00033A3F">
        <w:rPr>
          <w:color w:val="000000" w:themeColor="text1"/>
        </w:rPr>
        <w:t xml:space="preserve"> lze shrnout tak, že délky řízení ve správním soudnictví byly velmi vysoké, ale v letech 2022 a</w:t>
      </w:r>
      <w:r w:rsidR="00A7721D" w:rsidRPr="00033A3F">
        <w:rPr>
          <w:color w:val="000000" w:themeColor="text1"/>
        </w:rPr>
        <w:t>ž</w:t>
      </w:r>
      <w:r w:rsidRPr="00033A3F">
        <w:rPr>
          <w:color w:val="000000" w:themeColor="text1"/>
        </w:rPr>
        <w:t xml:space="preserve"> 202</w:t>
      </w:r>
      <w:r w:rsidR="00A7721D" w:rsidRPr="00033A3F">
        <w:rPr>
          <w:color w:val="000000" w:themeColor="text1"/>
        </w:rPr>
        <w:t>4</w:t>
      </w:r>
      <w:r w:rsidRPr="00033A3F">
        <w:rPr>
          <w:color w:val="000000" w:themeColor="text1"/>
        </w:rPr>
        <w:t xml:space="preserve"> konečně vykázaly značný pokles. Rychle kles</w:t>
      </w:r>
      <w:r w:rsidR="00A7721D" w:rsidRPr="00033A3F">
        <w:rPr>
          <w:color w:val="000000" w:themeColor="text1"/>
        </w:rPr>
        <w:t>ala</w:t>
      </w:r>
      <w:r w:rsidRPr="00033A3F">
        <w:rPr>
          <w:color w:val="000000" w:themeColor="text1"/>
        </w:rPr>
        <w:t xml:space="preserve"> i případová zátěž správních úseků soudů.</w:t>
      </w:r>
      <w:r w:rsidR="00A7721D" w:rsidRPr="00033A3F">
        <w:rPr>
          <w:color w:val="000000" w:themeColor="text1"/>
        </w:rPr>
        <w:t xml:space="preserve"> </w:t>
      </w:r>
      <w:r w:rsidRPr="00033A3F">
        <w:rPr>
          <w:color w:val="000000" w:themeColor="text1"/>
        </w:rPr>
        <w:t>Situace ve správním soudnictví se tak díky posilování správních úseků a poklesu v nápadu v posledních pěti letech výrazně zlepšila</w:t>
      </w:r>
      <w:r w:rsidR="00A7721D" w:rsidRPr="00033A3F">
        <w:rPr>
          <w:color w:val="000000" w:themeColor="text1"/>
        </w:rPr>
        <w:t>. Zlepšování ukazatelů se ale zpomaluje</w:t>
      </w:r>
      <w:r w:rsidRPr="00033A3F">
        <w:rPr>
          <w:color w:val="000000" w:themeColor="text1"/>
        </w:rPr>
        <w:t xml:space="preserve"> a další vývoj bude třeba sledovat i proto, že </w:t>
      </w:r>
      <w:r w:rsidR="005F080F" w:rsidRPr="00033A3F">
        <w:rPr>
          <w:color w:val="000000" w:themeColor="text1"/>
        </w:rPr>
        <w:t xml:space="preserve">některé </w:t>
      </w:r>
      <w:r w:rsidRPr="00033A3F">
        <w:rPr>
          <w:color w:val="000000" w:themeColor="text1"/>
        </w:rPr>
        <w:t>správní agendy</w:t>
      </w:r>
      <w:r w:rsidR="005F080F" w:rsidRPr="00033A3F">
        <w:rPr>
          <w:color w:val="000000" w:themeColor="text1"/>
        </w:rPr>
        <w:t>, jako je například agenda cizinecká a azylová,</w:t>
      </w:r>
      <w:r w:rsidRPr="00033A3F">
        <w:rPr>
          <w:color w:val="000000" w:themeColor="text1"/>
        </w:rPr>
        <w:t xml:space="preserve"> mohou podléhat náhlým a nepředvídatelným externím vlivům.</w:t>
      </w:r>
    </w:p>
    <w:p w14:paraId="1445EB32" w14:textId="77777777" w:rsidR="00AE739E" w:rsidRPr="00033A3F" w:rsidRDefault="00AE739E">
      <w:pPr>
        <w:spacing w:after="160" w:line="259" w:lineRule="auto"/>
        <w:jc w:val="left"/>
        <w:rPr>
          <w:color w:val="000000" w:themeColor="text1"/>
        </w:rPr>
      </w:pPr>
      <w:r w:rsidRPr="00033A3F">
        <w:rPr>
          <w:color w:val="000000" w:themeColor="text1"/>
        </w:rPr>
        <w:br w:type="page"/>
      </w:r>
    </w:p>
    <w:p w14:paraId="14AF05E3" w14:textId="57E803AA" w:rsidR="008430BD" w:rsidRPr="00033A3F" w:rsidRDefault="008430BD" w:rsidP="008430BD">
      <w:pPr>
        <w:pStyle w:val="Nadpis2"/>
        <w:numPr>
          <w:ilvl w:val="1"/>
          <w:numId w:val="1"/>
        </w:numPr>
        <w:spacing w:before="120"/>
      </w:pPr>
      <w:bookmarkStart w:id="1768" w:name="_Toc193866467"/>
      <w:bookmarkStart w:id="1769" w:name="_Toc193872884"/>
      <w:bookmarkStart w:id="1770" w:name="_Toc193957074"/>
      <w:bookmarkStart w:id="1771" w:name="_Ref511982760"/>
      <w:bookmarkStart w:id="1772" w:name="_Toc515871272"/>
      <w:bookmarkStart w:id="1773" w:name="_Toc106092779"/>
      <w:bookmarkStart w:id="1774" w:name="_Toc169250855"/>
      <w:bookmarkStart w:id="1775" w:name="_Toc193531017"/>
      <w:bookmarkStart w:id="1776" w:name="_Toc193957075"/>
      <w:bookmarkStart w:id="1777" w:name="_Toc203032763"/>
      <w:bookmarkEnd w:id="1768"/>
      <w:bookmarkEnd w:id="1769"/>
      <w:bookmarkEnd w:id="1770"/>
      <w:r w:rsidRPr="00033A3F">
        <w:lastRenderedPageBreak/>
        <w:t>Insolvenční agenda</w:t>
      </w:r>
      <w:bookmarkEnd w:id="1771"/>
      <w:bookmarkEnd w:id="1772"/>
      <w:bookmarkEnd w:id="1773"/>
      <w:bookmarkEnd w:id="1774"/>
      <w:bookmarkEnd w:id="1775"/>
      <w:bookmarkEnd w:id="1776"/>
      <w:bookmarkEnd w:id="1777"/>
    </w:p>
    <w:p w14:paraId="66BC2409" w14:textId="77777777" w:rsidR="00A7721D" w:rsidRPr="00033A3F" w:rsidRDefault="00A7721D" w:rsidP="00A7721D">
      <w:pPr>
        <w:pStyle w:val="OdstavecASR"/>
        <w:rPr>
          <w:color w:val="000000" w:themeColor="text1"/>
        </w:rPr>
      </w:pPr>
      <w:r w:rsidRPr="00033A3F">
        <w:rPr>
          <w:color w:val="000000" w:themeColor="text1"/>
        </w:rPr>
        <w:t>Insolvenční agenda je vedena v prvostupňovém rejstříku INS. Ve vedení statistik nedošlo v průběhu sledovaných let k žádným změnám. Přesto můžeme pozorovat, že se většina ukazatelů během let výrazně měnila. Jedná se totiž o poměrně novou agendu z roku 2008 (do té doby bylo řízení o úpadku upraveno jiným systémem a bylo vedeno v jiných rejstřících) a obvykle trvá několik let, než se ukazatele ustálí. Je ještě třeba připomenout, že součástí insolvenční agendy je projednávání a rozhodování incidenčních sporů, které jsou vedeny v rejstříku ICm. Tomuto rejstříku se věnuje další kapitola.</w:t>
      </w:r>
    </w:p>
    <w:p w14:paraId="5ABF611B" w14:textId="60C088C5" w:rsidR="00A7721D" w:rsidRPr="00033A3F" w:rsidRDefault="00A7721D" w:rsidP="00A7721D">
      <w:pPr>
        <w:pStyle w:val="OdstavecASR"/>
        <w:rPr>
          <w:color w:val="000000" w:themeColor="text1"/>
        </w:rPr>
      </w:pPr>
      <w:r w:rsidRPr="00033A3F">
        <w:rPr>
          <w:color w:val="000000" w:themeColor="text1"/>
        </w:rPr>
        <w:t xml:space="preserve">Původně insolvence zahrnovala dvě zcela odlišné agendy – insolvenci podnikatelů (osob právnických a podnikajících fyzických osob) a insolvenci nepodnikatelů (zpravidla fyzických osob jako spotřebitelů). Insolvence fyzických osob – spotřebitelů se označovaly jako spotřebitelské insolvence. Podnikatelské a spotřebitelské insolvence tak představovaly skutkově i právně rozdílné druhy insolvencí. V naprosté většině případů se spotřebitelské insolvence řešily a doposud řeší tzv. oddlužením, naopak ty podnikatelské zpravidla konkursem. Toto rozdělení v souvislosti s dalšími novelizacemi zákona č. 182/2006 Sb., o úpadku a způsobech jeho řešení (insolvenční zákon), který tuto agendu upravuje, není již tak striktní. Zejména významná novela insolvenčního zákona účinná od 1. července 2017, provedená zákonem č. 64/2017 Sb., ještě podstatněji otevřela podnikajícím fyzickým osobám možnost řešit úpadek oddlužením. </w:t>
      </w:r>
      <w:r w:rsidR="005F080F" w:rsidRPr="00033A3F">
        <w:rPr>
          <w:color w:val="000000" w:themeColor="text1"/>
        </w:rPr>
        <w:t>Stejnou možnost mají i</w:t>
      </w:r>
      <w:r w:rsidRPr="00033A3F">
        <w:rPr>
          <w:color w:val="000000" w:themeColor="text1"/>
        </w:rPr>
        <w:t xml:space="preserve"> právnické osoby, které zákon nezařazuje mezi podnikatele. V důsledku toho již rozdělení na spotřebitelské a podnikatelské insolvence jen podle členění na fyzické a právnické osoby nadále plně nekoresponduje. Ministerstvo spravedlnosti v důsledku toho v současné době ne vždy disponuje daty, která by umožnila spotřebitelské a podnikatelské insolvence důsledně rozlišit. V podkapitole věnované délkám řízení proto dělíme insolvence na insolvence fyzických osob (ty ale zahrnují i podnikající fyzické osoby) a insolvence právnických osob. V ostatních podkapitolách nejsou k dispozici data, která by dělení umožnila. Další významná novela insolvenčního zákona (zákon č. 31/2019 Sb.), která nabyla účinnost dne 1. června 2019, kromě řady změn technického charakteru opětovně zásadně zasáhla do procesu oddlužení. Jejím hlavním záměrem </w:t>
      </w:r>
      <w:r w:rsidR="000C7A72" w:rsidRPr="00033A3F">
        <w:rPr>
          <w:color w:val="000000" w:themeColor="text1"/>
        </w:rPr>
        <w:t>bylo</w:t>
      </w:r>
      <w:r w:rsidRPr="00033A3F">
        <w:rPr>
          <w:color w:val="000000" w:themeColor="text1"/>
        </w:rPr>
        <w:t xml:space="preserve"> zpřístupnění institutu oddlužení i dlužníkům v tzv. </w:t>
      </w:r>
      <w:r w:rsidRPr="00033A3F">
        <w:rPr>
          <w:i/>
          <w:color w:val="000000" w:themeColor="text1"/>
        </w:rPr>
        <w:t>dluhové pasti</w:t>
      </w:r>
      <w:r w:rsidRPr="00033A3F">
        <w:rPr>
          <w:color w:val="000000" w:themeColor="text1"/>
        </w:rPr>
        <w:t xml:space="preserve">. Novela zároveň reagovala na potřeby, které vyplynuly z aplikační praxe pro oddlužení fyzických osob – podnikatelů. Změny zavedené touto novelou </w:t>
      </w:r>
      <w:r w:rsidR="000C7A72" w:rsidRPr="00033A3F">
        <w:rPr>
          <w:color w:val="000000" w:themeColor="text1"/>
        </w:rPr>
        <w:t>byly</w:t>
      </w:r>
      <w:r w:rsidRPr="00033A3F">
        <w:rPr>
          <w:color w:val="000000" w:themeColor="text1"/>
        </w:rPr>
        <w:t xml:space="preserve"> velmi významné a jejich účinek má dopad v delším časovém horizontu. Mohou ovlivnit jak délky řízení, tak vyřizování insolvenčních věcí.</w:t>
      </w:r>
      <w:r w:rsidR="00BA120B" w:rsidRPr="00033A3F">
        <w:rPr>
          <w:color w:val="000000" w:themeColor="text1"/>
        </w:rPr>
        <w:t xml:space="preserve"> Poslední významná novela je zák. č. 252/2024 Sb. (účinnost od 1.</w:t>
      </w:r>
      <w:r w:rsidR="002645B1" w:rsidRPr="00033A3F">
        <w:rPr>
          <w:color w:val="000000" w:themeColor="text1"/>
        </w:rPr>
        <w:t xml:space="preserve"> </w:t>
      </w:r>
      <w:r w:rsidR="00BA120B" w:rsidRPr="00033A3F">
        <w:rPr>
          <w:color w:val="000000" w:themeColor="text1"/>
        </w:rPr>
        <w:t>10.</w:t>
      </w:r>
      <w:r w:rsidR="002645B1" w:rsidRPr="00033A3F">
        <w:rPr>
          <w:color w:val="000000" w:themeColor="text1"/>
        </w:rPr>
        <w:t xml:space="preserve"> </w:t>
      </w:r>
      <w:r w:rsidR="00BA120B" w:rsidRPr="00033A3F">
        <w:rPr>
          <w:color w:val="000000" w:themeColor="text1"/>
        </w:rPr>
        <w:t>2024), jejíchž nejzásadnější (a propíranou) změnou, kterou přinesla, je zkrácení doby oddlužení 5 let na 3 roky a odstranění fixní hranice míry uspokojení pohledávek. Tato novela přinesla i další opomíjené změny, které se snaží dříve uvedené vyvážit. Případně změny plynoucí z této novely se rovněž projeví později.</w:t>
      </w:r>
    </w:p>
    <w:p w14:paraId="318375B4" w14:textId="41F1ACA5" w:rsidR="008430BD" w:rsidRPr="00033A3F" w:rsidRDefault="008430BD" w:rsidP="008430BD">
      <w:pPr>
        <w:pStyle w:val="Nadpis3"/>
        <w:numPr>
          <w:ilvl w:val="2"/>
          <w:numId w:val="1"/>
        </w:numPr>
        <w:rPr>
          <w:color w:val="000000" w:themeColor="text1"/>
        </w:rPr>
      </w:pPr>
      <w:bookmarkStart w:id="1778" w:name="_Toc515871273"/>
      <w:bookmarkStart w:id="1779" w:name="_Toc106092780"/>
      <w:bookmarkStart w:id="1780" w:name="_Toc169250856"/>
      <w:bookmarkStart w:id="1781" w:name="_Toc193531018"/>
      <w:bookmarkStart w:id="1782" w:name="_Toc193957076"/>
      <w:bookmarkStart w:id="1783" w:name="_Toc203032764"/>
      <w:r w:rsidRPr="00033A3F">
        <w:rPr>
          <w:color w:val="000000" w:themeColor="text1"/>
        </w:rPr>
        <w:t>Délka řízení</w:t>
      </w:r>
      <w:bookmarkEnd w:id="1778"/>
      <w:bookmarkEnd w:id="1779"/>
      <w:bookmarkEnd w:id="1780"/>
      <w:bookmarkEnd w:id="1781"/>
      <w:bookmarkEnd w:id="1782"/>
      <w:bookmarkEnd w:id="1783"/>
    </w:p>
    <w:p w14:paraId="21CF19DC" w14:textId="77777777" w:rsidR="00A7721D" w:rsidRPr="00033A3F" w:rsidRDefault="00A7721D" w:rsidP="00A7721D">
      <w:pPr>
        <w:pStyle w:val="OdstavecASR"/>
        <w:rPr>
          <w:color w:val="000000" w:themeColor="text1"/>
        </w:rPr>
      </w:pPr>
      <w:r w:rsidRPr="00033A3F">
        <w:rPr>
          <w:color w:val="000000" w:themeColor="text1"/>
        </w:rPr>
        <w:t xml:space="preserve">Sledování délky řízení je u této agendy složitější, protože se jedná o vícefázové řízení upravené insolvenčním zákonem. Jednoduše řečeno, v první fázi je rozhodnuto o insolvenčním návrhu, případně i o způsobu řešení úpadku. Pokud insolvenční soud nerozhodne o úpadku a vyřídí tedy insolvenční návrh jiným způsobem, řízení končí. V opačném případě nastává další fáze řízení, jejíž délka se odvíjí především od způsobu řešení úpadku (oddlužení, konkurs, reorganizace). Například oddlužení běžně trvá pět let. Soud má reálný vliv na délku řízení pouze v první fázi, ve fázi řešení úpadku má u oddlužení pouze nepřímý vliv na délku řízení. Zkoumat tedy budeme délku řízení </w:t>
      </w:r>
      <w:r w:rsidRPr="00033A3F">
        <w:rPr>
          <w:color w:val="000000" w:themeColor="text1"/>
        </w:rPr>
        <w:lastRenderedPageBreak/>
        <w:t>týkající se právě první fáze insolvenčního řízení. Budeme pracovat s délkou řízení ode dne zahájení řízení do dne rozhodnutí o insolvenčním návrhu, tedy do dne, kdy bylo rozhodnuto o úpadku nebo bylo o insolvenčním návrhu rozhodnuto jinak.</w:t>
      </w:r>
    </w:p>
    <w:p w14:paraId="211FC8CB" w14:textId="5C7AD8AE" w:rsidR="00A7721D" w:rsidRPr="00033A3F" w:rsidRDefault="00A7721D" w:rsidP="00A7721D">
      <w:pPr>
        <w:pStyle w:val="Podnadpis"/>
        <w:numPr>
          <w:ilvl w:val="0"/>
          <w:numId w:val="0"/>
        </w:numPr>
        <w:rPr>
          <w:color w:val="000000" w:themeColor="text1"/>
        </w:rPr>
      </w:pPr>
      <w:bookmarkStart w:id="1784" w:name="_Toc515871402"/>
      <w:bookmarkStart w:id="1785" w:name="_Toc11135133"/>
      <w:bookmarkStart w:id="1786" w:name="_Toc43841452"/>
      <w:bookmarkStart w:id="1787" w:name="_Toc75952254"/>
      <w:bookmarkStart w:id="1788" w:name="_Toc106106713"/>
      <w:bookmarkStart w:id="1789" w:name="_Toc109802037"/>
      <w:bookmarkStart w:id="1790" w:name="_Toc144104187"/>
      <w:bookmarkStart w:id="1791" w:name="_Toc169251000"/>
      <w:bookmarkStart w:id="1792" w:name="_Toc174080686"/>
      <w:bookmarkStart w:id="1793" w:name="_Toc193530840"/>
      <w:bookmarkStart w:id="1794" w:name="_Toc193634114"/>
      <w:bookmarkStart w:id="1795" w:name="_Toc20303291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85</w:t>
      </w:r>
      <w:r w:rsidRPr="00033A3F">
        <w:rPr>
          <w:color w:val="000000" w:themeColor="text1"/>
        </w:rPr>
        <w:fldChar w:fldCharType="end"/>
      </w:r>
      <w:r w:rsidRPr="00033A3F">
        <w:rPr>
          <w:color w:val="000000" w:themeColor="text1"/>
        </w:rPr>
        <w:t>: KS – délka insolvenčního řízení v letech 2015–20</w:t>
      </w:r>
      <w:bookmarkEnd w:id="1784"/>
      <w:bookmarkEnd w:id="1785"/>
      <w:bookmarkEnd w:id="1786"/>
      <w:r w:rsidRPr="00033A3F">
        <w:rPr>
          <w:color w:val="000000" w:themeColor="text1"/>
        </w:rPr>
        <w:t>2</w:t>
      </w:r>
      <w:bookmarkEnd w:id="1787"/>
      <w:bookmarkEnd w:id="1788"/>
      <w:bookmarkEnd w:id="1789"/>
      <w:bookmarkEnd w:id="1790"/>
      <w:bookmarkEnd w:id="1791"/>
      <w:bookmarkEnd w:id="1792"/>
      <w:r w:rsidRPr="00033A3F">
        <w:rPr>
          <w:color w:val="000000" w:themeColor="text1"/>
        </w:rPr>
        <w:t>4</w:t>
      </w:r>
      <w:bookmarkEnd w:id="1793"/>
      <w:bookmarkEnd w:id="1794"/>
      <w:bookmarkEnd w:id="1795"/>
    </w:p>
    <w:p w14:paraId="5D3B9DB4" w14:textId="419FCF0D" w:rsidR="00A7721D" w:rsidRPr="00033A3F" w:rsidRDefault="00BB5215" w:rsidP="00A7721D">
      <w:pPr>
        <w:rPr>
          <w:color w:val="000000" w:themeColor="text1"/>
        </w:rPr>
      </w:pPr>
      <w:r w:rsidRPr="00033A3F">
        <w:rPr>
          <w:noProof/>
          <w:color w:val="000000" w:themeColor="text1"/>
          <w:lang w:eastAsia="cs-CZ"/>
        </w:rPr>
        <w:drawing>
          <wp:inline distT="0" distB="0" distL="0" distR="0" wp14:anchorId="710F67E4" wp14:editId="48479AE6">
            <wp:extent cx="5029200" cy="3657600"/>
            <wp:effectExtent l="0" t="0" r="0" b="0"/>
            <wp:docPr id="1843449930"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E356921" w14:textId="2F682367" w:rsidR="00B15D73" w:rsidRPr="00033A3F" w:rsidRDefault="00B15D73" w:rsidP="00B15D73">
      <w:pPr>
        <w:pStyle w:val="OdstavecASR"/>
        <w:rPr>
          <w:color w:val="000000" w:themeColor="text1"/>
        </w:rPr>
      </w:pPr>
      <w:r w:rsidRPr="00033A3F">
        <w:rPr>
          <w:color w:val="000000" w:themeColor="text1"/>
        </w:rPr>
        <w:t xml:space="preserve">Z grafu je patrný rostoucí trend v průměru a mediánu od roku 2015 do roku 2018. </w:t>
      </w:r>
      <w:r w:rsidR="005F080F" w:rsidRPr="00033A3F">
        <w:rPr>
          <w:color w:val="000000" w:themeColor="text1"/>
        </w:rPr>
        <w:t xml:space="preserve">Tento </w:t>
      </w:r>
      <w:r w:rsidRPr="00033A3F">
        <w:rPr>
          <w:color w:val="000000" w:themeColor="text1"/>
        </w:rPr>
        <w:t xml:space="preserve">trend je v datech </w:t>
      </w:r>
      <w:r w:rsidR="005F080F" w:rsidRPr="00033A3F">
        <w:rPr>
          <w:color w:val="000000" w:themeColor="text1"/>
        </w:rPr>
        <w:t>přítomen</w:t>
      </w:r>
      <w:r w:rsidRPr="00033A3F">
        <w:rPr>
          <w:color w:val="000000" w:themeColor="text1"/>
        </w:rPr>
        <w:t xml:space="preserve"> i před sledovaným obdobím, již od roku 2008. V roce 2019 se trend obrátil a délky řízení začaly klesat, vzhledem k jejich absolutní výši poměrně rychle. Od roku 2019 do roku 2024 klesly na méně než polovinu. V absolutních číslech jsou vykazované délky řízení v porovnání s ostatními agendami relativně velmi nízké.</w:t>
      </w:r>
    </w:p>
    <w:p w14:paraId="4FA4A43C" w14:textId="42D87431" w:rsidR="00B15D73" w:rsidRPr="00033A3F" w:rsidRDefault="00B15D73" w:rsidP="00B15D73">
      <w:pPr>
        <w:pStyle w:val="Podnadpis"/>
        <w:rPr>
          <w:color w:val="000000" w:themeColor="text1"/>
        </w:rPr>
      </w:pPr>
      <w:bookmarkStart w:id="1796" w:name="_Toc75952374"/>
      <w:bookmarkStart w:id="1797" w:name="_Toc106106829"/>
      <w:bookmarkStart w:id="1798" w:name="_Toc109802152"/>
      <w:bookmarkStart w:id="1799" w:name="_Toc144104311"/>
      <w:bookmarkStart w:id="1800" w:name="_Toc169251125"/>
      <w:bookmarkStart w:id="1801" w:name="_Toc174080811"/>
      <w:bookmarkStart w:id="1802" w:name="_Toc193530937"/>
      <w:bookmarkStart w:id="1803" w:name="_Toc194045634"/>
      <w:bookmarkStart w:id="1804" w:name="_Toc199495044"/>
      <w:bookmarkStart w:id="1805" w:name="_Toc203033105"/>
      <w:bookmarkStart w:id="1806" w:name="_Toc20303318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63</w:t>
      </w:r>
      <w:r w:rsidRPr="00033A3F">
        <w:rPr>
          <w:noProof/>
          <w:color w:val="000000" w:themeColor="text1"/>
        </w:rPr>
        <w:fldChar w:fldCharType="end"/>
      </w:r>
      <w:r w:rsidRPr="00033A3F">
        <w:rPr>
          <w:color w:val="000000" w:themeColor="text1"/>
        </w:rPr>
        <w:t>: KS – délky insolvenčního řízení dle soudů</w:t>
      </w:r>
      <w:bookmarkEnd w:id="1796"/>
      <w:bookmarkEnd w:id="1797"/>
      <w:bookmarkEnd w:id="1798"/>
      <w:bookmarkEnd w:id="1799"/>
      <w:r w:rsidRPr="00033A3F">
        <w:rPr>
          <w:color w:val="000000" w:themeColor="text1"/>
        </w:rPr>
        <w:t>, 202</w:t>
      </w:r>
      <w:bookmarkEnd w:id="1800"/>
      <w:bookmarkEnd w:id="1801"/>
      <w:r w:rsidRPr="00033A3F">
        <w:rPr>
          <w:color w:val="000000" w:themeColor="text1"/>
        </w:rPr>
        <w:t>4</w:t>
      </w:r>
      <w:bookmarkEnd w:id="1802"/>
      <w:bookmarkEnd w:id="1803"/>
      <w:bookmarkEnd w:id="1804"/>
      <w:bookmarkEnd w:id="1805"/>
      <w:bookmarkEnd w:id="1806"/>
    </w:p>
    <w:tbl>
      <w:tblPr>
        <w:tblW w:w="7520" w:type="dxa"/>
        <w:tblCellMar>
          <w:left w:w="70" w:type="dxa"/>
          <w:right w:w="70" w:type="dxa"/>
        </w:tblCellMar>
        <w:tblLook w:val="04A0" w:firstRow="1" w:lastRow="0" w:firstColumn="1" w:lastColumn="0" w:noHBand="0" w:noVBand="1"/>
      </w:tblPr>
      <w:tblGrid>
        <w:gridCol w:w="2480"/>
        <w:gridCol w:w="541"/>
        <w:gridCol w:w="1060"/>
        <w:gridCol w:w="540"/>
        <w:gridCol w:w="1060"/>
        <w:gridCol w:w="779"/>
        <w:gridCol w:w="1060"/>
      </w:tblGrid>
      <w:tr w:rsidR="00033A3F" w:rsidRPr="00033A3F" w14:paraId="704E4906" w14:textId="77777777" w:rsidTr="00C6501C">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910F25D"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7A2ECBD3"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33902C55" w14:textId="77777777" w:rsidTr="00C6501C">
        <w:trPr>
          <w:trHeight w:val="330"/>
        </w:trPr>
        <w:tc>
          <w:tcPr>
            <w:tcW w:w="2480" w:type="dxa"/>
            <w:vMerge/>
            <w:tcBorders>
              <w:top w:val="double" w:sz="6" w:space="0" w:color="auto"/>
              <w:left w:val="nil"/>
              <w:bottom w:val="double" w:sz="6" w:space="0" w:color="000000"/>
              <w:right w:val="nil"/>
            </w:tcBorders>
            <w:vAlign w:val="center"/>
            <w:hideMark/>
          </w:tcPr>
          <w:p w14:paraId="06545043" w14:textId="77777777" w:rsidR="00C6501C" w:rsidRPr="00033A3F" w:rsidRDefault="00C6501C" w:rsidP="00C6501C">
            <w:pPr>
              <w:spacing w:line="240" w:lineRule="auto"/>
              <w:jc w:val="left"/>
              <w:rPr>
                <w:rFonts w:eastAsia="Times New Roman"/>
                <w:b/>
                <w:bCs/>
                <w:color w:val="000000" w:themeColor="text1"/>
                <w:szCs w:val="24"/>
                <w:lang w:eastAsia="cs-CZ"/>
              </w:rPr>
            </w:pPr>
          </w:p>
        </w:tc>
        <w:tc>
          <w:tcPr>
            <w:tcW w:w="1601" w:type="dxa"/>
            <w:gridSpan w:val="2"/>
            <w:tcBorders>
              <w:top w:val="nil"/>
              <w:left w:val="nil"/>
              <w:bottom w:val="double" w:sz="6" w:space="0" w:color="auto"/>
              <w:right w:val="single" w:sz="4" w:space="0" w:color="000000"/>
            </w:tcBorders>
            <w:shd w:val="clear" w:color="auto" w:fill="auto"/>
            <w:noWrap/>
            <w:vAlign w:val="center"/>
            <w:hideMark/>
          </w:tcPr>
          <w:p w14:paraId="6B97CF29"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00" w:type="dxa"/>
            <w:gridSpan w:val="2"/>
            <w:tcBorders>
              <w:top w:val="nil"/>
              <w:left w:val="nil"/>
              <w:bottom w:val="double" w:sz="6" w:space="0" w:color="auto"/>
              <w:right w:val="single" w:sz="4" w:space="0" w:color="000000"/>
            </w:tcBorders>
            <w:shd w:val="clear" w:color="auto" w:fill="auto"/>
            <w:noWrap/>
            <w:vAlign w:val="center"/>
            <w:hideMark/>
          </w:tcPr>
          <w:p w14:paraId="39F35A45"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839" w:type="dxa"/>
            <w:gridSpan w:val="2"/>
            <w:tcBorders>
              <w:top w:val="nil"/>
              <w:left w:val="nil"/>
              <w:bottom w:val="double" w:sz="6" w:space="0" w:color="auto"/>
              <w:right w:val="nil"/>
            </w:tcBorders>
            <w:shd w:val="clear" w:color="auto" w:fill="auto"/>
            <w:noWrap/>
            <w:vAlign w:val="center"/>
            <w:hideMark/>
          </w:tcPr>
          <w:p w14:paraId="47DAE501"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35F76433" w14:textId="77777777" w:rsidTr="00C6501C">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D0191F8"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541" w:type="dxa"/>
            <w:tcBorders>
              <w:top w:val="single" w:sz="4" w:space="0" w:color="auto"/>
              <w:left w:val="nil"/>
              <w:bottom w:val="single" w:sz="4" w:space="0" w:color="auto"/>
              <w:right w:val="nil"/>
            </w:tcBorders>
            <w:shd w:val="clear" w:color="auto" w:fill="auto"/>
            <w:noWrap/>
            <w:vAlign w:val="bottom"/>
            <w:hideMark/>
          </w:tcPr>
          <w:p w14:paraId="0049AFD0"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w:t>
            </w:r>
          </w:p>
        </w:tc>
        <w:tc>
          <w:tcPr>
            <w:tcW w:w="1060" w:type="dxa"/>
            <w:tcBorders>
              <w:top w:val="single" w:sz="4" w:space="0" w:color="auto"/>
              <w:left w:val="nil"/>
              <w:bottom w:val="single" w:sz="4" w:space="0" w:color="auto"/>
              <w:right w:val="nil"/>
            </w:tcBorders>
            <w:shd w:val="clear" w:color="auto" w:fill="auto"/>
            <w:noWrap/>
            <w:vAlign w:val="center"/>
            <w:hideMark/>
          </w:tcPr>
          <w:p w14:paraId="25EA7470" w14:textId="2C0BDBB4"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540" w:type="dxa"/>
            <w:tcBorders>
              <w:top w:val="nil"/>
              <w:left w:val="single" w:sz="4" w:space="0" w:color="auto"/>
              <w:bottom w:val="single" w:sz="4" w:space="0" w:color="auto"/>
              <w:right w:val="nil"/>
            </w:tcBorders>
            <w:shd w:val="clear" w:color="auto" w:fill="auto"/>
            <w:noWrap/>
            <w:vAlign w:val="bottom"/>
            <w:hideMark/>
          </w:tcPr>
          <w:p w14:paraId="2E81B72B"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p>
        </w:tc>
        <w:tc>
          <w:tcPr>
            <w:tcW w:w="1060" w:type="dxa"/>
            <w:tcBorders>
              <w:top w:val="nil"/>
              <w:left w:val="nil"/>
              <w:bottom w:val="single" w:sz="4" w:space="0" w:color="auto"/>
              <w:right w:val="single" w:sz="4" w:space="0" w:color="auto"/>
            </w:tcBorders>
            <w:shd w:val="clear" w:color="auto" w:fill="auto"/>
            <w:noWrap/>
            <w:vAlign w:val="center"/>
            <w:hideMark/>
          </w:tcPr>
          <w:p w14:paraId="415CC39D" w14:textId="5DF847DA"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779" w:type="dxa"/>
            <w:tcBorders>
              <w:top w:val="single" w:sz="4" w:space="0" w:color="auto"/>
              <w:left w:val="nil"/>
              <w:bottom w:val="single" w:sz="4" w:space="0" w:color="auto"/>
              <w:right w:val="nil"/>
            </w:tcBorders>
            <w:shd w:val="clear" w:color="auto" w:fill="auto"/>
            <w:noWrap/>
            <w:vAlign w:val="bottom"/>
            <w:hideMark/>
          </w:tcPr>
          <w:p w14:paraId="1EC93375"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122</w:t>
            </w:r>
          </w:p>
        </w:tc>
        <w:tc>
          <w:tcPr>
            <w:tcW w:w="1060" w:type="dxa"/>
            <w:tcBorders>
              <w:top w:val="single" w:sz="4" w:space="0" w:color="auto"/>
              <w:left w:val="nil"/>
              <w:bottom w:val="single" w:sz="4" w:space="0" w:color="auto"/>
              <w:right w:val="nil"/>
            </w:tcBorders>
            <w:shd w:val="clear" w:color="auto" w:fill="auto"/>
            <w:noWrap/>
            <w:vAlign w:val="center"/>
            <w:hideMark/>
          </w:tcPr>
          <w:p w14:paraId="27C7C5AE" w14:textId="18E970A1"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415F525A"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6ECBD702"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541" w:type="dxa"/>
            <w:tcBorders>
              <w:top w:val="nil"/>
              <w:left w:val="nil"/>
              <w:bottom w:val="single" w:sz="4" w:space="0" w:color="auto"/>
              <w:right w:val="nil"/>
            </w:tcBorders>
            <w:shd w:val="clear" w:color="auto" w:fill="auto"/>
            <w:noWrap/>
            <w:vAlign w:val="bottom"/>
            <w:hideMark/>
          </w:tcPr>
          <w:p w14:paraId="1D0469CE"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060" w:type="dxa"/>
            <w:tcBorders>
              <w:top w:val="nil"/>
              <w:left w:val="nil"/>
              <w:bottom w:val="single" w:sz="4" w:space="0" w:color="auto"/>
              <w:right w:val="nil"/>
            </w:tcBorders>
            <w:shd w:val="clear" w:color="auto" w:fill="auto"/>
            <w:noWrap/>
            <w:vAlign w:val="center"/>
            <w:hideMark/>
          </w:tcPr>
          <w:p w14:paraId="4D5BC3E6" w14:textId="4E92A2AF"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540" w:type="dxa"/>
            <w:tcBorders>
              <w:top w:val="nil"/>
              <w:left w:val="single" w:sz="4" w:space="0" w:color="auto"/>
              <w:bottom w:val="single" w:sz="4" w:space="0" w:color="auto"/>
              <w:right w:val="nil"/>
            </w:tcBorders>
            <w:shd w:val="clear" w:color="auto" w:fill="auto"/>
            <w:noWrap/>
            <w:vAlign w:val="bottom"/>
            <w:hideMark/>
          </w:tcPr>
          <w:p w14:paraId="54773402"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w:t>
            </w:r>
          </w:p>
        </w:tc>
        <w:tc>
          <w:tcPr>
            <w:tcW w:w="1060" w:type="dxa"/>
            <w:tcBorders>
              <w:top w:val="nil"/>
              <w:left w:val="nil"/>
              <w:bottom w:val="single" w:sz="4" w:space="0" w:color="auto"/>
              <w:right w:val="single" w:sz="4" w:space="0" w:color="auto"/>
            </w:tcBorders>
            <w:shd w:val="clear" w:color="auto" w:fill="auto"/>
            <w:noWrap/>
            <w:vAlign w:val="center"/>
            <w:hideMark/>
          </w:tcPr>
          <w:p w14:paraId="7C130850" w14:textId="6A77F760"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779" w:type="dxa"/>
            <w:tcBorders>
              <w:top w:val="nil"/>
              <w:left w:val="nil"/>
              <w:bottom w:val="single" w:sz="4" w:space="0" w:color="auto"/>
              <w:right w:val="nil"/>
            </w:tcBorders>
            <w:shd w:val="clear" w:color="auto" w:fill="auto"/>
            <w:noWrap/>
            <w:vAlign w:val="bottom"/>
            <w:hideMark/>
          </w:tcPr>
          <w:p w14:paraId="0132F23B"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w:t>
            </w:r>
          </w:p>
        </w:tc>
        <w:tc>
          <w:tcPr>
            <w:tcW w:w="1060" w:type="dxa"/>
            <w:tcBorders>
              <w:top w:val="nil"/>
              <w:left w:val="nil"/>
              <w:bottom w:val="single" w:sz="4" w:space="0" w:color="auto"/>
              <w:right w:val="nil"/>
            </w:tcBorders>
            <w:shd w:val="clear" w:color="auto" w:fill="auto"/>
            <w:noWrap/>
            <w:vAlign w:val="center"/>
            <w:hideMark/>
          </w:tcPr>
          <w:p w14:paraId="1A837D01" w14:textId="175A1BFB"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033A3F" w:rsidRPr="00033A3F" w14:paraId="5D139D39"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00E71483"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541" w:type="dxa"/>
            <w:tcBorders>
              <w:top w:val="nil"/>
              <w:left w:val="nil"/>
              <w:bottom w:val="single" w:sz="4" w:space="0" w:color="auto"/>
              <w:right w:val="nil"/>
            </w:tcBorders>
            <w:shd w:val="clear" w:color="auto" w:fill="auto"/>
            <w:noWrap/>
            <w:vAlign w:val="bottom"/>
            <w:hideMark/>
          </w:tcPr>
          <w:p w14:paraId="3C0A9E3C"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c>
          <w:tcPr>
            <w:tcW w:w="1060" w:type="dxa"/>
            <w:tcBorders>
              <w:top w:val="nil"/>
              <w:left w:val="nil"/>
              <w:bottom w:val="single" w:sz="4" w:space="0" w:color="auto"/>
              <w:right w:val="nil"/>
            </w:tcBorders>
            <w:shd w:val="clear" w:color="auto" w:fill="auto"/>
            <w:noWrap/>
            <w:vAlign w:val="center"/>
            <w:hideMark/>
          </w:tcPr>
          <w:p w14:paraId="7E6549EC" w14:textId="76F03A8E"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540" w:type="dxa"/>
            <w:tcBorders>
              <w:top w:val="nil"/>
              <w:left w:val="single" w:sz="4" w:space="0" w:color="auto"/>
              <w:bottom w:val="single" w:sz="4" w:space="0" w:color="auto"/>
              <w:right w:val="nil"/>
            </w:tcBorders>
            <w:shd w:val="clear" w:color="auto" w:fill="auto"/>
            <w:noWrap/>
            <w:vAlign w:val="bottom"/>
            <w:hideMark/>
          </w:tcPr>
          <w:p w14:paraId="0ED1DE25"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60" w:type="dxa"/>
            <w:tcBorders>
              <w:top w:val="nil"/>
              <w:left w:val="nil"/>
              <w:bottom w:val="single" w:sz="4" w:space="0" w:color="auto"/>
              <w:right w:val="single" w:sz="4" w:space="0" w:color="auto"/>
            </w:tcBorders>
            <w:shd w:val="clear" w:color="auto" w:fill="auto"/>
            <w:noWrap/>
            <w:vAlign w:val="center"/>
            <w:hideMark/>
          </w:tcPr>
          <w:p w14:paraId="2443EB37" w14:textId="790359A3"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c>
          <w:tcPr>
            <w:tcW w:w="779" w:type="dxa"/>
            <w:tcBorders>
              <w:top w:val="nil"/>
              <w:left w:val="nil"/>
              <w:bottom w:val="single" w:sz="4" w:space="0" w:color="auto"/>
              <w:right w:val="nil"/>
            </w:tcBorders>
            <w:shd w:val="clear" w:color="auto" w:fill="auto"/>
            <w:noWrap/>
            <w:vAlign w:val="bottom"/>
            <w:hideMark/>
          </w:tcPr>
          <w:p w14:paraId="5CA3522E"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060" w:type="dxa"/>
            <w:tcBorders>
              <w:top w:val="nil"/>
              <w:left w:val="nil"/>
              <w:bottom w:val="single" w:sz="4" w:space="0" w:color="auto"/>
              <w:right w:val="nil"/>
            </w:tcBorders>
            <w:shd w:val="clear" w:color="auto" w:fill="auto"/>
            <w:noWrap/>
            <w:vAlign w:val="center"/>
            <w:hideMark/>
          </w:tcPr>
          <w:p w14:paraId="00948735" w14:textId="1092AC64"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r>
      <w:tr w:rsidR="00033A3F" w:rsidRPr="00033A3F" w14:paraId="61C680CD"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54836A8D"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541" w:type="dxa"/>
            <w:tcBorders>
              <w:top w:val="nil"/>
              <w:left w:val="nil"/>
              <w:bottom w:val="single" w:sz="4" w:space="0" w:color="auto"/>
              <w:right w:val="nil"/>
            </w:tcBorders>
            <w:shd w:val="clear" w:color="auto" w:fill="auto"/>
            <w:noWrap/>
            <w:vAlign w:val="bottom"/>
            <w:hideMark/>
          </w:tcPr>
          <w:p w14:paraId="509B762B"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p>
        </w:tc>
        <w:tc>
          <w:tcPr>
            <w:tcW w:w="1060" w:type="dxa"/>
            <w:tcBorders>
              <w:top w:val="nil"/>
              <w:left w:val="nil"/>
              <w:bottom w:val="single" w:sz="4" w:space="0" w:color="auto"/>
              <w:right w:val="nil"/>
            </w:tcBorders>
            <w:shd w:val="clear" w:color="auto" w:fill="auto"/>
            <w:noWrap/>
            <w:vAlign w:val="center"/>
            <w:hideMark/>
          </w:tcPr>
          <w:p w14:paraId="77112C61" w14:textId="65EC3AA3"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540" w:type="dxa"/>
            <w:tcBorders>
              <w:top w:val="nil"/>
              <w:left w:val="single" w:sz="4" w:space="0" w:color="auto"/>
              <w:bottom w:val="single" w:sz="4" w:space="0" w:color="auto"/>
              <w:right w:val="nil"/>
            </w:tcBorders>
            <w:shd w:val="clear" w:color="auto" w:fill="auto"/>
            <w:noWrap/>
            <w:vAlign w:val="bottom"/>
            <w:hideMark/>
          </w:tcPr>
          <w:p w14:paraId="68E0807E"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1060" w:type="dxa"/>
            <w:tcBorders>
              <w:top w:val="nil"/>
              <w:left w:val="nil"/>
              <w:bottom w:val="single" w:sz="4" w:space="0" w:color="auto"/>
              <w:right w:val="single" w:sz="4" w:space="0" w:color="auto"/>
            </w:tcBorders>
            <w:shd w:val="clear" w:color="auto" w:fill="auto"/>
            <w:noWrap/>
            <w:vAlign w:val="center"/>
            <w:hideMark/>
          </w:tcPr>
          <w:p w14:paraId="07AE5A56" w14:textId="329275E7"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779" w:type="dxa"/>
            <w:tcBorders>
              <w:top w:val="nil"/>
              <w:left w:val="nil"/>
              <w:bottom w:val="single" w:sz="4" w:space="0" w:color="auto"/>
              <w:right w:val="nil"/>
            </w:tcBorders>
            <w:shd w:val="clear" w:color="auto" w:fill="auto"/>
            <w:noWrap/>
            <w:vAlign w:val="bottom"/>
            <w:hideMark/>
          </w:tcPr>
          <w:p w14:paraId="46CC52AF"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p>
        </w:tc>
        <w:tc>
          <w:tcPr>
            <w:tcW w:w="1060" w:type="dxa"/>
            <w:tcBorders>
              <w:top w:val="nil"/>
              <w:left w:val="nil"/>
              <w:bottom w:val="single" w:sz="4" w:space="0" w:color="auto"/>
              <w:right w:val="nil"/>
            </w:tcBorders>
            <w:shd w:val="clear" w:color="auto" w:fill="auto"/>
            <w:noWrap/>
            <w:vAlign w:val="center"/>
            <w:hideMark/>
          </w:tcPr>
          <w:p w14:paraId="278CDB51" w14:textId="37C1EDF8"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6261041F"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1748122A"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541" w:type="dxa"/>
            <w:tcBorders>
              <w:top w:val="nil"/>
              <w:left w:val="nil"/>
              <w:bottom w:val="single" w:sz="4" w:space="0" w:color="auto"/>
              <w:right w:val="nil"/>
            </w:tcBorders>
            <w:shd w:val="clear" w:color="auto" w:fill="auto"/>
            <w:noWrap/>
            <w:vAlign w:val="bottom"/>
            <w:hideMark/>
          </w:tcPr>
          <w:p w14:paraId="42ED98FE"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1060" w:type="dxa"/>
            <w:tcBorders>
              <w:top w:val="nil"/>
              <w:left w:val="nil"/>
              <w:bottom w:val="single" w:sz="4" w:space="0" w:color="auto"/>
              <w:right w:val="nil"/>
            </w:tcBorders>
            <w:shd w:val="clear" w:color="auto" w:fill="auto"/>
            <w:noWrap/>
            <w:vAlign w:val="center"/>
            <w:hideMark/>
          </w:tcPr>
          <w:p w14:paraId="301329E8" w14:textId="25D30EC6"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540" w:type="dxa"/>
            <w:tcBorders>
              <w:top w:val="nil"/>
              <w:left w:val="single" w:sz="4" w:space="0" w:color="auto"/>
              <w:bottom w:val="single" w:sz="4" w:space="0" w:color="auto"/>
              <w:right w:val="nil"/>
            </w:tcBorders>
            <w:shd w:val="clear" w:color="auto" w:fill="auto"/>
            <w:noWrap/>
            <w:vAlign w:val="bottom"/>
            <w:hideMark/>
          </w:tcPr>
          <w:p w14:paraId="6A3B76C1"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w:t>
            </w:r>
          </w:p>
        </w:tc>
        <w:tc>
          <w:tcPr>
            <w:tcW w:w="1060" w:type="dxa"/>
            <w:tcBorders>
              <w:top w:val="nil"/>
              <w:left w:val="nil"/>
              <w:bottom w:val="single" w:sz="4" w:space="0" w:color="auto"/>
              <w:right w:val="single" w:sz="4" w:space="0" w:color="auto"/>
            </w:tcBorders>
            <w:shd w:val="clear" w:color="auto" w:fill="auto"/>
            <w:noWrap/>
            <w:vAlign w:val="center"/>
            <w:hideMark/>
          </w:tcPr>
          <w:p w14:paraId="0647C347" w14:textId="2CEA86F1"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779" w:type="dxa"/>
            <w:tcBorders>
              <w:top w:val="nil"/>
              <w:left w:val="nil"/>
              <w:bottom w:val="single" w:sz="4" w:space="0" w:color="auto"/>
              <w:right w:val="nil"/>
            </w:tcBorders>
            <w:shd w:val="clear" w:color="auto" w:fill="auto"/>
            <w:noWrap/>
            <w:vAlign w:val="bottom"/>
            <w:hideMark/>
          </w:tcPr>
          <w:p w14:paraId="0A1B2342"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52</w:t>
            </w:r>
          </w:p>
        </w:tc>
        <w:tc>
          <w:tcPr>
            <w:tcW w:w="1060" w:type="dxa"/>
            <w:tcBorders>
              <w:top w:val="nil"/>
              <w:left w:val="nil"/>
              <w:bottom w:val="single" w:sz="4" w:space="0" w:color="auto"/>
              <w:right w:val="nil"/>
            </w:tcBorders>
            <w:shd w:val="clear" w:color="auto" w:fill="auto"/>
            <w:noWrap/>
            <w:vAlign w:val="center"/>
            <w:hideMark/>
          </w:tcPr>
          <w:p w14:paraId="4E2451C0" w14:textId="3C478A31"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1830A83D"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3EE7FD24"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541" w:type="dxa"/>
            <w:tcBorders>
              <w:top w:val="nil"/>
              <w:left w:val="nil"/>
              <w:bottom w:val="single" w:sz="4" w:space="0" w:color="auto"/>
              <w:right w:val="nil"/>
            </w:tcBorders>
            <w:shd w:val="clear" w:color="auto" w:fill="auto"/>
            <w:noWrap/>
            <w:vAlign w:val="bottom"/>
            <w:hideMark/>
          </w:tcPr>
          <w:p w14:paraId="64E72CC9"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060" w:type="dxa"/>
            <w:tcBorders>
              <w:top w:val="nil"/>
              <w:left w:val="nil"/>
              <w:bottom w:val="single" w:sz="4" w:space="0" w:color="auto"/>
              <w:right w:val="nil"/>
            </w:tcBorders>
            <w:shd w:val="clear" w:color="auto" w:fill="auto"/>
            <w:noWrap/>
            <w:vAlign w:val="center"/>
            <w:hideMark/>
          </w:tcPr>
          <w:p w14:paraId="13AE0BA4" w14:textId="1F8D4DF3"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c>
          <w:tcPr>
            <w:tcW w:w="540" w:type="dxa"/>
            <w:tcBorders>
              <w:top w:val="nil"/>
              <w:left w:val="single" w:sz="4" w:space="0" w:color="auto"/>
              <w:bottom w:val="single" w:sz="4" w:space="0" w:color="auto"/>
              <w:right w:val="nil"/>
            </w:tcBorders>
            <w:shd w:val="clear" w:color="auto" w:fill="auto"/>
            <w:noWrap/>
            <w:vAlign w:val="bottom"/>
            <w:hideMark/>
          </w:tcPr>
          <w:p w14:paraId="17014648"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p>
        </w:tc>
        <w:tc>
          <w:tcPr>
            <w:tcW w:w="1060" w:type="dxa"/>
            <w:tcBorders>
              <w:top w:val="nil"/>
              <w:left w:val="nil"/>
              <w:bottom w:val="single" w:sz="4" w:space="0" w:color="auto"/>
              <w:right w:val="single" w:sz="4" w:space="0" w:color="auto"/>
            </w:tcBorders>
            <w:shd w:val="clear" w:color="auto" w:fill="auto"/>
            <w:noWrap/>
            <w:vAlign w:val="center"/>
            <w:hideMark/>
          </w:tcPr>
          <w:p w14:paraId="26F1F85F" w14:textId="0AF41615"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c>
          <w:tcPr>
            <w:tcW w:w="779" w:type="dxa"/>
            <w:tcBorders>
              <w:top w:val="nil"/>
              <w:left w:val="nil"/>
              <w:bottom w:val="single" w:sz="4" w:space="0" w:color="auto"/>
              <w:right w:val="nil"/>
            </w:tcBorders>
            <w:shd w:val="clear" w:color="auto" w:fill="auto"/>
            <w:noWrap/>
            <w:vAlign w:val="bottom"/>
            <w:hideMark/>
          </w:tcPr>
          <w:p w14:paraId="2BD2218A"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w:t>
            </w:r>
          </w:p>
        </w:tc>
        <w:tc>
          <w:tcPr>
            <w:tcW w:w="1060" w:type="dxa"/>
            <w:tcBorders>
              <w:top w:val="nil"/>
              <w:left w:val="nil"/>
              <w:bottom w:val="single" w:sz="4" w:space="0" w:color="auto"/>
              <w:right w:val="nil"/>
            </w:tcBorders>
            <w:shd w:val="clear" w:color="auto" w:fill="auto"/>
            <w:noWrap/>
            <w:vAlign w:val="center"/>
            <w:hideMark/>
          </w:tcPr>
          <w:p w14:paraId="375D7A7C" w14:textId="50FFDCF3"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r>
      <w:tr w:rsidR="00033A3F" w:rsidRPr="00033A3F" w14:paraId="0A9C1F13"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1DB2E0B0"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541" w:type="dxa"/>
            <w:tcBorders>
              <w:top w:val="nil"/>
              <w:left w:val="nil"/>
              <w:bottom w:val="single" w:sz="4" w:space="0" w:color="auto"/>
              <w:right w:val="nil"/>
            </w:tcBorders>
            <w:shd w:val="clear" w:color="auto" w:fill="auto"/>
            <w:noWrap/>
            <w:vAlign w:val="bottom"/>
            <w:hideMark/>
          </w:tcPr>
          <w:p w14:paraId="72628013"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w:t>
            </w:r>
          </w:p>
        </w:tc>
        <w:tc>
          <w:tcPr>
            <w:tcW w:w="1060" w:type="dxa"/>
            <w:tcBorders>
              <w:top w:val="nil"/>
              <w:left w:val="nil"/>
              <w:bottom w:val="single" w:sz="4" w:space="0" w:color="auto"/>
              <w:right w:val="nil"/>
            </w:tcBorders>
            <w:shd w:val="clear" w:color="auto" w:fill="auto"/>
            <w:noWrap/>
            <w:vAlign w:val="center"/>
            <w:hideMark/>
          </w:tcPr>
          <w:p w14:paraId="47D84553" w14:textId="02CC2E66"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540" w:type="dxa"/>
            <w:tcBorders>
              <w:top w:val="nil"/>
              <w:left w:val="single" w:sz="4" w:space="0" w:color="auto"/>
              <w:bottom w:val="single" w:sz="4" w:space="0" w:color="auto"/>
              <w:right w:val="nil"/>
            </w:tcBorders>
            <w:shd w:val="clear" w:color="auto" w:fill="auto"/>
            <w:noWrap/>
            <w:vAlign w:val="bottom"/>
            <w:hideMark/>
          </w:tcPr>
          <w:p w14:paraId="4EE854B2"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060" w:type="dxa"/>
            <w:tcBorders>
              <w:top w:val="nil"/>
              <w:left w:val="nil"/>
              <w:bottom w:val="single" w:sz="4" w:space="0" w:color="auto"/>
              <w:right w:val="single" w:sz="4" w:space="0" w:color="auto"/>
            </w:tcBorders>
            <w:shd w:val="clear" w:color="auto" w:fill="auto"/>
            <w:noWrap/>
            <w:vAlign w:val="center"/>
            <w:hideMark/>
          </w:tcPr>
          <w:p w14:paraId="42061ECF" w14:textId="6E1CA38B"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779" w:type="dxa"/>
            <w:tcBorders>
              <w:top w:val="nil"/>
              <w:left w:val="nil"/>
              <w:bottom w:val="single" w:sz="4" w:space="0" w:color="auto"/>
              <w:right w:val="nil"/>
            </w:tcBorders>
            <w:shd w:val="clear" w:color="auto" w:fill="auto"/>
            <w:noWrap/>
            <w:vAlign w:val="bottom"/>
            <w:hideMark/>
          </w:tcPr>
          <w:p w14:paraId="7FD8C57C"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p>
        </w:tc>
        <w:tc>
          <w:tcPr>
            <w:tcW w:w="1060" w:type="dxa"/>
            <w:tcBorders>
              <w:top w:val="nil"/>
              <w:left w:val="nil"/>
              <w:bottom w:val="single" w:sz="4" w:space="0" w:color="auto"/>
              <w:right w:val="nil"/>
            </w:tcBorders>
            <w:shd w:val="clear" w:color="auto" w:fill="auto"/>
            <w:noWrap/>
            <w:vAlign w:val="center"/>
            <w:hideMark/>
          </w:tcPr>
          <w:p w14:paraId="3A1D2188" w14:textId="5BBAF6F2"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2071EC20" w14:textId="77777777" w:rsidTr="00C6501C">
        <w:trPr>
          <w:trHeight w:val="330"/>
        </w:trPr>
        <w:tc>
          <w:tcPr>
            <w:tcW w:w="2480" w:type="dxa"/>
            <w:tcBorders>
              <w:top w:val="nil"/>
              <w:left w:val="nil"/>
              <w:bottom w:val="double" w:sz="6" w:space="0" w:color="auto"/>
              <w:right w:val="nil"/>
            </w:tcBorders>
            <w:shd w:val="clear" w:color="auto" w:fill="auto"/>
            <w:noWrap/>
            <w:vAlign w:val="bottom"/>
            <w:hideMark/>
          </w:tcPr>
          <w:p w14:paraId="2260C604"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541" w:type="dxa"/>
            <w:tcBorders>
              <w:top w:val="nil"/>
              <w:left w:val="nil"/>
              <w:bottom w:val="double" w:sz="6" w:space="0" w:color="auto"/>
              <w:right w:val="nil"/>
            </w:tcBorders>
            <w:shd w:val="clear" w:color="auto" w:fill="auto"/>
            <w:noWrap/>
            <w:vAlign w:val="bottom"/>
            <w:hideMark/>
          </w:tcPr>
          <w:p w14:paraId="75993E13"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060" w:type="dxa"/>
            <w:tcBorders>
              <w:top w:val="nil"/>
              <w:left w:val="nil"/>
              <w:bottom w:val="double" w:sz="6" w:space="0" w:color="auto"/>
              <w:right w:val="nil"/>
            </w:tcBorders>
            <w:shd w:val="clear" w:color="auto" w:fill="auto"/>
            <w:noWrap/>
            <w:vAlign w:val="center"/>
            <w:hideMark/>
          </w:tcPr>
          <w:p w14:paraId="12EF48B4" w14:textId="2EA07E9A"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540" w:type="dxa"/>
            <w:tcBorders>
              <w:top w:val="nil"/>
              <w:left w:val="single" w:sz="4" w:space="0" w:color="auto"/>
              <w:bottom w:val="double" w:sz="6" w:space="0" w:color="auto"/>
              <w:right w:val="nil"/>
            </w:tcBorders>
            <w:shd w:val="clear" w:color="auto" w:fill="auto"/>
            <w:noWrap/>
            <w:vAlign w:val="bottom"/>
            <w:hideMark/>
          </w:tcPr>
          <w:p w14:paraId="00C4E727"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1060" w:type="dxa"/>
            <w:tcBorders>
              <w:top w:val="nil"/>
              <w:left w:val="nil"/>
              <w:bottom w:val="double" w:sz="6" w:space="0" w:color="auto"/>
              <w:right w:val="single" w:sz="4" w:space="0" w:color="auto"/>
            </w:tcBorders>
            <w:shd w:val="clear" w:color="auto" w:fill="auto"/>
            <w:noWrap/>
            <w:vAlign w:val="center"/>
            <w:hideMark/>
          </w:tcPr>
          <w:p w14:paraId="1CE47AC4" w14:textId="5E25A7DF"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779" w:type="dxa"/>
            <w:tcBorders>
              <w:top w:val="nil"/>
              <w:left w:val="nil"/>
              <w:bottom w:val="double" w:sz="6" w:space="0" w:color="auto"/>
              <w:right w:val="nil"/>
            </w:tcBorders>
            <w:shd w:val="clear" w:color="auto" w:fill="auto"/>
            <w:noWrap/>
            <w:vAlign w:val="bottom"/>
            <w:hideMark/>
          </w:tcPr>
          <w:p w14:paraId="04468281"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w:t>
            </w:r>
          </w:p>
        </w:tc>
        <w:tc>
          <w:tcPr>
            <w:tcW w:w="1060" w:type="dxa"/>
            <w:tcBorders>
              <w:top w:val="nil"/>
              <w:left w:val="nil"/>
              <w:bottom w:val="double" w:sz="6" w:space="0" w:color="auto"/>
              <w:right w:val="nil"/>
            </w:tcBorders>
            <w:shd w:val="clear" w:color="auto" w:fill="auto"/>
            <w:noWrap/>
            <w:vAlign w:val="center"/>
            <w:hideMark/>
          </w:tcPr>
          <w:p w14:paraId="200950EA" w14:textId="65A5EC41"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7228D572" w14:textId="77777777" w:rsidTr="00C6501C">
        <w:trPr>
          <w:trHeight w:val="345"/>
        </w:trPr>
        <w:tc>
          <w:tcPr>
            <w:tcW w:w="2480" w:type="dxa"/>
            <w:tcBorders>
              <w:top w:val="nil"/>
              <w:left w:val="nil"/>
              <w:bottom w:val="double" w:sz="6" w:space="0" w:color="auto"/>
              <w:right w:val="nil"/>
            </w:tcBorders>
            <w:shd w:val="clear" w:color="auto" w:fill="auto"/>
            <w:noWrap/>
            <w:vAlign w:val="bottom"/>
            <w:hideMark/>
          </w:tcPr>
          <w:p w14:paraId="4D7C51EA" w14:textId="77777777" w:rsidR="00C6501C" w:rsidRPr="00033A3F" w:rsidRDefault="00C6501C" w:rsidP="00C6501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541" w:type="dxa"/>
            <w:tcBorders>
              <w:top w:val="nil"/>
              <w:left w:val="nil"/>
              <w:bottom w:val="double" w:sz="6" w:space="0" w:color="auto"/>
              <w:right w:val="nil"/>
            </w:tcBorders>
            <w:shd w:val="clear" w:color="auto" w:fill="auto"/>
            <w:noWrap/>
            <w:vAlign w:val="center"/>
            <w:hideMark/>
          </w:tcPr>
          <w:p w14:paraId="355F6EBD" w14:textId="77777777" w:rsidR="00C6501C" w:rsidRPr="00033A3F" w:rsidRDefault="00C6501C" w:rsidP="00BB521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35</w:t>
            </w:r>
          </w:p>
        </w:tc>
        <w:tc>
          <w:tcPr>
            <w:tcW w:w="1060" w:type="dxa"/>
            <w:tcBorders>
              <w:top w:val="nil"/>
              <w:left w:val="nil"/>
              <w:bottom w:val="double" w:sz="6" w:space="0" w:color="auto"/>
              <w:right w:val="nil"/>
            </w:tcBorders>
            <w:shd w:val="clear" w:color="auto" w:fill="auto"/>
            <w:noWrap/>
            <w:vAlign w:val="center"/>
            <w:hideMark/>
          </w:tcPr>
          <w:p w14:paraId="29281A09" w14:textId="29655614" w:rsidR="00C6501C" w:rsidRPr="00033A3F" w:rsidRDefault="00C6501C" w:rsidP="00BB5215">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-26 %</w:t>
            </w:r>
          </w:p>
        </w:tc>
        <w:tc>
          <w:tcPr>
            <w:tcW w:w="540" w:type="dxa"/>
            <w:tcBorders>
              <w:top w:val="nil"/>
              <w:left w:val="single" w:sz="4" w:space="0" w:color="auto"/>
              <w:bottom w:val="double" w:sz="6" w:space="0" w:color="auto"/>
              <w:right w:val="nil"/>
            </w:tcBorders>
            <w:shd w:val="clear" w:color="auto" w:fill="auto"/>
            <w:noWrap/>
            <w:vAlign w:val="center"/>
            <w:hideMark/>
          </w:tcPr>
          <w:p w14:paraId="027B88CA" w14:textId="77777777" w:rsidR="00C6501C" w:rsidRPr="00033A3F" w:rsidRDefault="00C6501C" w:rsidP="00BB521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21</w:t>
            </w:r>
          </w:p>
        </w:tc>
        <w:tc>
          <w:tcPr>
            <w:tcW w:w="1060" w:type="dxa"/>
            <w:tcBorders>
              <w:top w:val="nil"/>
              <w:left w:val="nil"/>
              <w:bottom w:val="double" w:sz="6" w:space="0" w:color="auto"/>
              <w:right w:val="single" w:sz="4" w:space="0" w:color="auto"/>
            </w:tcBorders>
            <w:shd w:val="clear" w:color="auto" w:fill="auto"/>
            <w:noWrap/>
            <w:vAlign w:val="center"/>
            <w:hideMark/>
          </w:tcPr>
          <w:p w14:paraId="583B65BA" w14:textId="2FA3F64A" w:rsidR="00C6501C" w:rsidRPr="00033A3F" w:rsidRDefault="00C6501C" w:rsidP="00BB5215">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-28 %</w:t>
            </w:r>
          </w:p>
        </w:tc>
        <w:tc>
          <w:tcPr>
            <w:tcW w:w="779" w:type="dxa"/>
            <w:tcBorders>
              <w:top w:val="nil"/>
              <w:left w:val="nil"/>
              <w:bottom w:val="double" w:sz="6" w:space="0" w:color="auto"/>
              <w:right w:val="nil"/>
            </w:tcBorders>
            <w:shd w:val="clear" w:color="auto" w:fill="auto"/>
            <w:noWrap/>
            <w:vAlign w:val="center"/>
            <w:hideMark/>
          </w:tcPr>
          <w:p w14:paraId="79BA8130" w14:textId="77777777" w:rsidR="00C6501C" w:rsidRPr="00033A3F" w:rsidRDefault="00C6501C" w:rsidP="00BB521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75</w:t>
            </w:r>
          </w:p>
        </w:tc>
        <w:tc>
          <w:tcPr>
            <w:tcW w:w="1060" w:type="dxa"/>
            <w:tcBorders>
              <w:top w:val="nil"/>
              <w:left w:val="nil"/>
              <w:bottom w:val="double" w:sz="6" w:space="0" w:color="auto"/>
              <w:right w:val="nil"/>
            </w:tcBorders>
            <w:shd w:val="clear" w:color="auto" w:fill="auto"/>
            <w:noWrap/>
            <w:vAlign w:val="center"/>
            <w:hideMark/>
          </w:tcPr>
          <w:p w14:paraId="02FAFF82" w14:textId="402C3120" w:rsidR="00C6501C" w:rsidRPr="00033A3F" w:rsidRDefault="00C6501C" w:rsidP="00BB5215">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-23 %</w:t>
            </w:r>
          </w:p>
        </w:tc>
      </w:tr>
      <w:tr w:rsidR="00033A3F" w:rsidRPr="00033A3F" w14:paraId="35569818" w14:textId="77777777" w:rsidTr="00C6501C">
        <w:trPr>
          <w:trHeight w:val="330"/>
        </w:trPr>
        <w:tc>
          <w:tcPr>
            <w:tcW w:w="2480" w:type="dxa"/>
            <w:tcBorders>
              <w:top w:val="nil"/>
              <w:left w:val="nil"/>
              <w:bottom w:val="nil"/>
              <w:right w:val="nil"/>
            </w:tcBorders>
            <w:shd w:val="clear" w:color="auto" w:fill="auto"/>
            <w:noWrap/>
            <w:vAlign w:val="bottom"/>
            <w:hideMark/>
          </w:tcPr>
          <w:p w14:paraId="2391719A" w14:textId="77777777" w:rsidR="00C6501C" w:rsidRPr="00033A3F" w:rsidRDefault="00C6501C" w:rsidP="00C6501C">
            <w:pPr>
              <w:spacing w:line="240" w:lineRule="auto"/>
              <w:jc w:val="right"/>
              <w:rPr>
                <w:rFonts w:eastAsia="Times New Roman"/>
                <w:b/>
                <w:bCs/>
                <w:color w:val="000000" w:themeColor="text1"/>
                <w:sz w:val="20"/>
                <w:szCs w:val="20"/>
                <w:lang w:eastAsia="cs-CZ"/>
              </w:rPr>
            </w:pPr>
          </w:p>
        </w:tc>
        <w:tc>
          <w:tcPr>
            <w:tcW w:w="541" w:type="dxa"/>
            <w:tcBorders>
              <w:top w:val="nil"/>
              <w:left w:val="nil"/>
              <w:bottom w:val="nil"/>
              <w:right w:val="nil"/>
            </w:tcBorders>
            <w:shd w:val="clear" w:color="auto" w:fill="auto"/>
            <w:noWrap/>
            <w:vAlign w:val="bottom"/>
            <w:hideMark/>
          </w:tcPr>
          <w:p w14:paraId="1DBFDCD1"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1060" w:type="dxa"/>
            <w:tcBorders>
              <w:top w:val="nil"/>
              <w:left w:val="nil"/>
              <w:bottom w:val="nil"/>
              <w:right w:val="nil"/>
            </w:tcBorders>
            <w:shd w:val="clear" w:color="auto" w:fill="auto"/>
            <w:noWrap/>
            <w:vAlign w:val="bottom"/>
            <w:hideMark/>
          </w:tcPr>
          <w:p w14:paraId="6486F66B"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540" w:type="dxa"/>
            <w:tcBorders>
              <w:top w:val="nil"/>
              <w:left w:val="nil"/>
              <w:bottom w:val="nil"/>
              <w:right w:val="nil"/>
            </w:tcBorders>
            <w:shd w:val="clear" w:color="auto" w:fill="auto"/>
            <w:noWrap/>
            <w:vAlign w:val="bottom"/>
            <w:hideMark/>
          </w:tcPr>
          <w:p w14:paraId="28A8656D"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1060" w:type="dxa"/>
            <w:tcBorders>
              <w:top w:val="nil"/>
              <w:left w:val="nil"/>
              <w:bottom w:val="nil"/>
              <w:right w:val="nil"/>
            </w:tcBorders>
            <w:shd w:val="clear" w:color="auto" w:fill="auto"/>
            <w:noWrap/>
            <w:vAlign w:val="bottom"/>
            <w:hideMark/>
          </w:tcPr>
          <w:p w14:paraId="5F47D86B"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779" w:type="dxa"/>
            <w:tcBorders>
              <w:top w:val="nil"/>
              <w:left w:val="nil"/>
              <w:bottom w:val="nil"/>
              <w:right w:val="nil"/>
            </w:tcBorders>
            <w:shd w:val="clear" w:color="auto" w:fill="auto"/>
            <w:noWrap/>
            <w:vAlign w:val="bottom"/>
            <w:hideMark/>
          </w:tcPr>
          <w:p w14:paraId="62466832"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1060" w:type="dxa"/>
            <w:tcBorders>
              <w:top w:val="nil"/>
              <w:left w:val="nil"/>
              <w:bottom w:val="nil"/>
              <w:right w:val="nil"/>
            </w:tcBorders>
            <w:shd w:val="clear" w:color="auto" w:fill="auto"/>
            <w:noWrap/>
            <w:vAlign w:val="bottom"/>
            <w:hideMark/>
          </w:tcPr>
          <w:p w14:paraId="42183283"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r>
    </w:tbl>
    <w:p w14:paraId="565D7421" w14:textId="0E0C2D0B" w:rsidR="00C6501C" w:rsidRPr="00033A3F" w:rsidRDefault="00C6501C" w:rsidP="00C6501C">
      <w:pPr>
        <w:pStyle w:val="OdstavecASR"/>
        <w:rPr>
          <w:color w:val="000000" w:themeColor="text1"/>
        </w:rPr>
      </w:pPr>
      <w:r w:rsidRPr="00033A3F">
        <w:rPr>
          <w:color w:val="000000" w:themeColor="text1"/>
        </w:rPr>
        <w:t xml:space="preserve">V tabulce vidíme, že rozdíly v délce řízení jsou v absolutních číslech mezi soudy malé. To naznačuje, že v ČR není soud, který by měl výraznější problémy s vyřizováním insolvenčních </w:t>
      </w:r>
      <w:r w:rsidRPr="00033A3F">
        <w:rPr>
          <w:color w:val="000000" w:themeColor="text1"/>
        </w:rPr>
        <w:lastRenderedPageBreak/>
        <w:t>návrhů. Nejvíce vybočuje KS v Českých Budějovicích, který má medián délky řízení jen 6 dnů. Rozhodnout o úpadku tak</w:t>
      </w:r>
      <w:r w:rsidR="00024092" w:rsidRPr="00033A3F">
        <w:rPr>
          <w:color w:val="000000" w:themeColor="text1"/>
        </w:rPr>
        <w:t xml:space="preserve"> tomuto</w:t>
      </w:r>
      <w:r w:rsidRPr="00033A3F">
        <w:rPr>
          <w:color w:val="000000" w:themeColor="text1"/>
        </w:rPr>
        <w:t xml:space="preserve"> soudu typicky netrvá ani</w:t>
      </w:r>
      <w:r w:rsidR="00BA120B" w:rsidRPr="00033A3F">
        <w:rPr>
          <w:color w:val="000000" w:themeColor="text1"/>
        </w:rPr>
        <w:t xml:space="preserve"> kalendářní</w:t>
      </w:r>
      <w:r w:rsidRPr="00033A3F">
        <w:rPr>
          <w:color w:val="000000" w:themeColor="text1"/>
        </w:rPr>
        <w:t xml:space="preserve"> týden.</w:t>
      </w:r>
    </w:p>
    <w:p w14:paraId="6F8E9F7F" w14:textId="77777777" w:rsidR="00B15D73" w:rsidRPr="00033A3F" w:rsidRDefault="00B15D73" w:rsidP="00B15D73">
      <w:pPr>
        <w:rPr>
          <w:color w:val="000000" w:themeColor="text1"/>
        </w:rPr>
      </w:pPr>
    </w:p>
    <w:p w14:paraId="0D7402A8" w14:textId="5F3A0376" w:rsidR="008430BD" w:rsidRPr="00033A3F" w:rsidRDefault="008430BD" w:rsidP="008430BD">
      <w:pPr>
        <w:pStyle w:val="Nadpis3"/>
        <w:numPr>
          <w:ilvl w:val="2"/>
          <w:numId w:val="1"/>
        </w:numPr>
        <w:rPr>
          <w:color w:val="000000" w:themeColor="text1"/>
        </w:rPr>
      </w:pPr>
      <w:bookmarkStart w:id="1807" w:name="_Toc43903082"/>
      <w:bookmarkStart w:id="1808" w:name="_Toc106092781"/>
      <w:bookmarkStart w:id="1809" w:name="_Toc169250857"/>
      <w:bookmarkStart w:id="1810" w:name="_Toc193531019"/>
      <w:bookmarkStart w:id="1811" w:name="_Toc193957077"/>
      <w:bookmarkStart w:id="1812" w:name="_Toc203032765"/>
      <w:r w:rsidRPr="00033A3F">
        <w:rPr>
          <w:color w:val="000000" w:themeColor="text1"/>
        </w:rPr>
        <w:t>Vyřizování věcí</w:t>
      </w:r>
      <w:bookmarkEnd w:id="1807"/>
      <w:bookmarkEnd w:id="1808"/>
      <w:bookmarkEnd w:id="1809"/>
      <w:bookmarkEnd w:id="1810"/>
      <w:bookmarkEnd w:id="1811"/>
      <w:bookmarkEnd w:id="1812"/>
    </w:p>
    <w:p w14:paraId="29A673B9" w14:textId="558ACF11" w:rsidR="00BB5215" w:rsidRPr="00033A3F" w:rsidRDefault="00BB5215" w:rsidP="00BB5215">
      <w:pPr>
        <w:pStyle w:val="Podnadpis"/>
        <w:numPr>
          <w:ilvl w:val="0"/>
          <w:numId w:val="0"/>
        </w:numPr>
        <w:rPr>
          <w:color w:val="000000" w:themeColor="text1"/>
        </w:rPr>
      </w:pPr>
      <w:bookmarkStart w:id="1813" w:name="_Toc515871405"/>
      <w:bookmarkStart w:id="1814" w:name="_Toc11135136"/>
      <w:bookmarkStart w:id="1815" w:name="_Toc43841455"/>
      <w:bookmarkStart w:id="1816" w:name="_Toc75952257"/>
      <w:bookmarkStart w:id="1817" w:name="_Toc106106714"/>
      <w:bookmarkStart w:id="1818" w:name="_Toc109802038"/>
      <w:bookmarkStart w:id="1819" w:name="_Toc144104188"/>
      <w:bookmarkStart w:id="1820" w:name="_Toc169251001"/>
      <w:bookmarkStart w:id="1821" w:name="_Toc174080687"/>
      <w:bookmarkStart w:id="1822" w:name="_Toc193530841"/>
      <w:bookmarkStart w:id="1823" w:name="_Toc193634115"/>
      <w:bookmarkStart w:id="1824" w:name="_Toc20303291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86</w:t>
      </w:r>
      <w:r w:rsidRPr="00033A3F">
        <w:rPr>
          <w:color w:val="000000" w:themeColor="text1"/>
        </w:rPr>
        <w:fldChar w:fldCharType="end"/>
      </w:r>
      <w:r w:rsidRPr="00033A3F">
        <w:rPr>
          <w:color w:val="000000" w:themeColor="text1"/>
        </w:rPr>
        <w:t>: KS – vyřizování insolvenčních věcí v letech 2015–20</w:t>
      </w:r>
      <w:bookmarkEnd w:id="1813"/>
      <w:bookmarkEnd w:id="1814"/>
      <w:bookmarkEnd w:id="1815"/>
      <w:r w:rsidRPr="00033A3F">
        <w:rPr>
          <w:color w:val="000000" w:themeColor="text1"/>
        </w:rPr>
        <w:t>2</w:t>
      </w:r>
      <w:bookmarkEnd w:id="1816"/>
      <w:bookmarkEnd w:id="1817"/>
      <w:bookmarkEnd w:id="1818"/>
      <w:bookmarkEnd w:id="1819"/>
      <w:bookmarkEnd w:id="1820"/>
      <w:bookmarkEnd w:id="1821"/>
      <w:r w:rsidRPr="00033A3F">
        <w:rPr>
          <w:color w:val="000000" w:themeColor="text1"/>
        </w:rPr>
        <w:t>4</w:t>
      </w:r>
      <w:bookmarkEnd w:id="1822"/>
      <w:bookmarkEnd w:id="1823"/>
      <w:bookmarkEnd w:id="1824"/>
    </w:p>
    <w:p w14:paraId="641DD045" w14:textId="2AD70841" w:rsidR="00BB5215" w:rsidRPr="00033A3F" w:rsidRDefault="006B3ACB" w:rsidP="00BB5215">
      <w:pPr>
        <w:rPr>
          <w:color w:val="000000" w:themeColor="text1"/>
        </w:rPr>
      </w:pPr>
      <w:r w:rsidRPr="00033A3F">
        <w:rPr>
          <w:noProof/>
          <w:color w:val="000000" w:themeColor="text1"/>
          <w:lang w:eastAsia="cs-CZ"/>
        </w:rPr>
        <w:drawing>
          <wp:inline distT="0" distB="0" distL="0" distR="0" wp14:anchorId="54B9497B" wp14:editId="68D5D776">
            <wp:extent cx="5029200" cy="3657600"/>
            <wp:effectExtent l="0" t="0" r="0" b="0"/>
            <wp:docPr id="581313022"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7CFEA4F" w14:textId="77777777" w:rsidR="006B3ACB" w:rsidRPr="00033A3F" w:rsidRDefault="006B3ACB" w:rsidP="00BA120B">
      <w:pPr>
        <w:pStyle w:val="OdstavecASR"/>
        <w:rPr>
          <w:color w:val="000000" w:themeColor="text1"/>
        </w:rPr>
      </w:pPr>
      <w:r w:rsidRPr="00033A3F">
        <w:rPr>
          <w:color w:val="000000" w:themeColor="text1"/>
        </w:rPr>
        <w:t>Sledovat vyřizování věcí je složitější, než je tomu u ostatních agend. Nápad je u této agendy principiálně stejný. Jedná se o jeden podaný insolvenční návrh nebo návrh na moratorium (viz seznam pojmů v příloze) před zahájením insolvenčního řízení (viz ust. § 115 a násl. insolvenčního zákona). „Vyřízené věci“ v této podkapitole se nicméně vztahují k již zcela vyřízeným věcem. Jedná se tedy o věci, kde již skončilo celé insolvenční řízení, včetně případů, kde bylo o insolvenčním návrhu rozhodnuto jinak než rozhodnutím o úpadku. Nevyřízené věci po rozhodnutí o úpadku jsou věci, kde již bylo rozhodnuto o úpadku, případně o způsobu jeho řešení, a úpadek dlužníka je realizován určeným způsobem.</w:t>
      </w:r>
    </w:p>
    <w:p w14:paraId="7AEF23D6" w14:textId="77777777" w:rsidR="000D0EE0" w:rsidRDefault="000D0EE0">
      <w:pPr>
        <w:spacing w:after="160" w:line="259" w:lineRule="auto"/>
        <w:jc w:val="left"/>
        <w:rPr>
          <w:rFonts w:eastAsia="Times New Roman"/>
          <w:b/>
          <w:iCs/>
          <w:color w:val="000000" w:themeColor="text1"/>
          <w:spacing w:val="15"/>
          <w:szCs w:val="24"/>
        </w:rPr>
      </w:pPr>
      <w:bookmarkStart w:id="1825" w:name="_Toc11133265"/>
      <w:bookmarkStart w:id="1826" w:name="_Toc43931244"/>
      <w:bookmarkStart w:id="1827" w:name="_Toc75952377"/>
      <w:bookmarkStart w:id="1828" w:name="_Toc106106830"/>
      <w:bookmarkStart w:id="1829" w:name="_Toc109802153"/>
      <w:bookmarkStart w:id="1830" w:name="_Toc144104312"/>
      <w:bookmarkStart w:id="1831" w:name="_Toc169251126"/>
      <w:bookmarkStart w:id="1832" w:name="_Toc174080812"/>
      <w:bookmarkStart w:id="1833" w:name="_Toc193530938"/>
      <w:bookmarkStart w:id="1834" w:name="_Toc194045635"/>
      <w:bookmarkStart w:id="1835" w:name="_Toc199495045"/>
      <w:r>
        <w:rPr>
          <w:color w:val="000000" w:themeColor="text1"/>
        </w:rPr>
        <w:br w:type="page"/>
      </w:r>
    </w:p>
    <w:p w14:paraId="5E5CAABF" w14:textId="1E72673E" w:rsidR="006B3ACB" w:rsidRPr="00033A3F" w:rsidRDefault="006B3ACB" w:rsidP="006B3ACB">
      <w:pPr>
        <w:pStyle w:val="Podnadpis"/>
        <w:rPr>
          <w:color w:val="000000" w:themeColor="text1"/>
        </w:rPr>
      </w:pPr>
      <w:bookmarkStart w:id="1836" w:name="_Toc203033106"/>
      <w:bookmarkStart w:id="1837" w:name="_Toc203033184"/>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64</w:t>
      </w:r>
      <w:r w:rsidRPr="00033A3F">
        <w:rPr>
          <w:noProof/>
          <w:color w:val="000000" w:themeColor="text1"/>
        </w:rPr>
        <w:fldChar w:fldCharType="end"/>
      </w:r>
      <w:r w:rsidRPr="00033A3F">
        <w:rPr>
          <w:color w:val="000000" w:themeColor="text1"/>
        </w:rPr>
        <w:t>: KS – vyřizování insolvenčních věcí dle soudů</w:t>
      </w:r>
      <w:bookmarkEnd w:id="1825"/>
      <w:bookmarkEnd w:id="1826"/>
      <w:bookmarkEnd w:id="1827"/>
      <w:bookmarkEnd w:id="1828"/>
      <w:bookmarkEnd w:id="1829"/>
      <w:bookmarkEnd w:id="1830"/>
      <w:r w:rsidRPr="00033A3F">
        <w:rPr>
          <w:color w:val="000000" w:themeColor="text1"/>
        </w:rPr>
        <w:t>, 202</w:t>
      </w:r>
      <w:bookmarkEnd w:id="1831"/>
      <w:bookmarkEnd w:id="1832"/>
      <w:r w:rsidRPr="00033A3F">
        <w:rPr>
          <w:color w:val="000000" w:themeColor="text1"/>
        </w:rPr>
        <w:t>4</w:t>
      </w:r>
      <w:bookmarkEnd w:id="1833"/>
      <w:bookmarkEnd w:id="1834"/>
      <w:bookmarkEnd w:id="1835"/>
      <w:bookmarkEnd w:id="1836"/>
      <w:bookmarkEnd w:id="1837"/>
    </w:p>
    <w:tbl>
      <w:tblPr>
        <w:tblW w:w="9072" w:type="dxa"/>
        <w:tblLayout w:type="fixed"/>
        <w:tblCellMar>
          <w:left w:w="70" w:type="dxa"/>
          <w:right w:w="70" w:type="dxa"/>
        </w:tblCellMar>
        <w:tblLook w:val="04A0" w:firstRow="1" w:lastRow="0" w:firstColumn="1" w:lastColumn="0" w:noHBand="0" w:noVBand="1"/>
      </w:tblPr>
      <w:tblGrid>
        <w:gridCol w:w="1978"/>
        <w:gridCol w:w="999"/>
        <w:gridCol w:w="774"/>
        <w:gridCol w:w="1069"/>
        <w:gridCol w:w="705"/>
        <w:gridCol w:w="996"/>
        <w:gridCol w:w="777"/>
        <w:gridCol w:w="1066"/>
        <w:gridCol w:w="708"/>
      </w:tblGrid>
      <w:tr w:rsidR="004C0D35" w:rsidRPr="00033A3F" w14:paraId="6D0CF460" w14:textId="77777777" w:rsidTr="004C0D35">
        <w:trPr>
          <w:trHeight w:val="330"/>
        </w:trPr>
        <w:tc>
          <w:tcPr>
            <w:tcW w:w="1978" w:type="dxa"/>
            <w:vMerge w:val="restart"/>
            <w:tcBorders>
              <w:top w:val="double" w:sz="6" w:space="0" w:color="auto"/>
              <w:left w:val="nil"/>
              <w:bottom w:val="double" w:sz="6" w:space="0" w:color="000000"/>
              <w:right w:val="nil"/>
            </w:tcBorders>
            <w:shd w:val="clear" w:color="auto" w:fill="auto"/>
            <w:noWrap/>
            <w:vAlign w:val="center"/>
            <w:hideMark/>
          </w:tcPr>
          <w:p w14:paraId="7FBC36E0" w14:textId="166479FC" w:rsidR="00C32C55" w:rsidRPr="00033A3F" w:rsidRDefault="00371086"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C32C55" w:rsidRPr="00033A3F">
              <w:rPr>
                <w:rFonts w:eastAsia="Times New Roman"/>
                <w:b/>
                <w:bCs/>
                <w:color w:val="000000" w:themeColor="text1"/>
                <w:szCs w:val="24"/>
                <w:lang w:eastAsia="cs-CZ"/>
              </w:rPr>
              <w:t>oud</w:t>
            </w:r>
          </w:p>
        </w:tc>
        <w:tc>
          <w:tcPr>
            <w:tcW w:w="7094" w:type="dxa"/>
            <w:gridSpan w:val="8"/>
            <w:tcBorders>
              <w:top w:val="double" w:sz="6" w:space="0" w:color="auto"/>
              <w:left w:val="nil"/>
              <w:bottom w:val="nil"/>
              <w:right w:val="nil"/>
            </w:tcBorders>
            <w:shd w:val="clear" w:color="auto" w:fill="auto"/>
            <w:noWrap/>
            <w:vAlign w:val="center"/>
            <w:hideMark/>
          </w:tcPr>
          <w:p w14:paraId="72922E73"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r>
      <w:tr w:rsidR="00BF0CC3" w:rsidRPr="00033A3F" w14:paraId="43B8B8FA" w14:textId="77777777" w:rsidTr="00371086">
        <w:trPr>
          <w:trHeight w:val="960"/>
        </w:trPr>
        <w:tc>
          <w:tcPr>
            <w:tcW w:w="1978" w:type="dxa"/>
            <w:vMerge/>
            <w:tcBorders>
              <w:top w:val="double" w:sz="6" w:space="0" w:color="auto"/>
              <w:left w:val="nil"/>
              <w:bottom w:val="double" w:sz="6" w:space="0" w:color="000000"/>
              <w:right w:val="nil"/>
            </w:tcBorders>
            <w:vAlign w:val="center"/>
            <w:hideMark/>
          </w:tcPr>
          <w:p w14:paraId="2507F7CB" w14:textId="77777777" w:rsidR="00C32C55" w:rsidRPr="00033A3F" w:rsidRDefault="00C32C55" w:rsidP="00C32C55">
            <w:pPr>
              <w:spacing w:line="240" w:lineRule="auto"/>
              <w:jc w:val="left"/>
              <w:rPr>
                <w:rFonts w:eastAsia="Times New Roman"/>
                <w:b/>
                <w:bCs/>
                <w:color w:val="000000" w:themeColor="text1"/>
                <w:szCs w:val="24"/>
                <w:lang w:eastAsia="cs-CZ"/>
              </w:rPr>
            </w:pPr>
          </w:p>
        </w:tc>
        <w:tc>
          <w:tcPr>
            <w:tcW w:w="1773" w:type="dxa"/>
            <w:gridSpan w:val="2"/>
            <w:tcBorders>
              <w:top w:val="nil"/>
              <w:left w:val="nil"/>
              <w:bottom w:val="double" w:sz="6" w:space="0" w:color="auto"/>
              <w:right w:val="nil"/>
            </w:tcBorders>
            <w:shd w:val="clear" w:color="auto" w:fill="auto"/>
            <w:vAlign w:val="center"/>
            <w:hideMark/>
          </w:tcPr>
          <w:p w14:paraId="3DB9F665"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77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22E5DC1"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773" w:type="dxa"/>
            <w:gridSpan w:val="2"/>
            <w:tcBorders>
              <w:top w:val="nil"/>
              <w:left w:val="nil"/>
              <w:bottom w:val="double" w:sz="6" w:space="0" w:color="auto"/>
              <w:right w:val="single" w:sz="4" w:space="0" w:color="000000"/>
            </w:tcBorders>
            <w:shd w:val="clear" w:color="auto" w:fill="auto"/>
            <w:vAlign w:val="center"/>
            <w:hideMark/>
          </w:tcPr>
          <w:p w14:paraId="67CF7F84" w14:textId="27A88041" w:rsidR="00C32C55" w:rsidRPr="00033A3F" w:rsidRDefault="00C32C55" w:rsidP="0017304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Nevyřízeno před rozh. </w:t>
            </w:r>
            <w:r w:rsidR="00173041" w:rsidRPr="00033A3F">
              <w:rPr>
                <w:rFonts w:eastAsia="Times New Roman"/>
                <w:b/>
                <w:bCs/>
                <w:color w:val="000000" w:themeColor="text1"/>
                <w:szCs w:val="24"/>
                <w:lang w:eastAsia="cs-CZ"/>
              </w:rPr>
              <w:t>o </w:t>
            </w:r>
            <w:r w:rsidRPr="00033A3F">
              <w:rPr>
                <w:rFonts w:eastAsia="Times New Roman"/>
                <w:b/>
                <w:bCs/>
                <w:color w:val="000000" w:themeColor="text1"/>
                <w:szCs w:val="24"/>
                <w:lang w:eastAsia="cs-CZ"/>
              </w:rPr>
              <w:t>úpadku</w:t>
            </w:r>
          </w:p>
        </w:tc>
        <w:tc>
          <w:tcPr>
            <w:tcW w:w="1774" w:type="dxa"/>
            <w:gridSpan w:val="2"/>
            <w:tcBorders>
              <w:top w:val="nil"/>
              <w:left w:val="nil"/>
              <w:bottom w:val="double" w:sz="6" w:space="0" w:color="auto"/>
              <w:right w:val="nil"/>
            </w:tcBorders>
            <w:shd w:val="clear" w:color="auto" w:fill="auto"/>
            <w:vAlign w:val="center"/>
            <w:hideMark/>
          </w:tcPr>
          <w:p w14:paraId="1E5BD2F5"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 po rozh. o úpadku</w:t>
            </w:r>
          </w:p>
        </w:tc>
      </w:tr>
      <w:tr w:rsidR="00BF0CC3" w:rsidRPr="00033A3F" w14:paraId="3CC9CE87" w14:textId="77777777" w:rsidTr="00371086">
        <w:trPr>
          <w:trHeight w:val="330"/>
        </w:trPr>
        <w:tc>
          <w:tcPr>
            <w:tcW w:w="1978" w:type="dxa"/>
            <w:tcBorders>
              <w:top w:val="single" w:sz="4" w:space="0" w:color="auto"/>
              <w:left w:val="nil"/>
              <w:bottom w:val="single" w:sz="4" w:space="0" w:color="auto"/>
              <w:right w:val="nil"/>
            </w:tcBorders>
            <w:shd w:val="clear" w:color="auto" w:fill="auto"/>
            <w:noWrap/>
            <w:vAlign w:val="bottom"/>
            <w:hideMark/>
          </w:tcPr>
          <w:p w14:paraId="209D1C99"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99" w:type="dxa"/>
            <w:tcBorders>
              <w:top w:val="single" w:sz="4" w:space="0" w:color="auto"/>
              <w:left w:val="nil"/>
              <w:bottom w:val="single" w:sz="4" w:space="0" w:color="auto"/>
              <w:right w:val="nil"/>
            </w:tcBorders>
            <w:shd w:val="clear" w:color="auto" w:fill="auto"/>
            <w:noWrap/>
            <w:vAlign w:val="bottom"/>
            <w:hideMark/>
          </w:tcPr>
          <w:p w14:paraId="465EE1E3"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2 373</w:t>
            </w:r>
          </w:p>
        </w:tc>
        <w:tc>
          <w:tcPr>
            <w:tcW w:w="774" w:type="dxa"/>
            <w:tcBorders>
              <w:top w:val="single" w:sz="4" w:space="0" w:color="auto"/>
              <w:left w:val="nil"/>
              <w:bottom w:val="single" w:sz="4" w:space="0" w:color="auto"/>
              <w:right w:val="nil"/>
            </w:tcBorders>
            <w:shd w:val="clear" w:color="auto" w:fill="auto"/>
            <w:noWrap/>
            <w:vAlign w:val="center"/>
            <w:hideMark/>
          </w:tcPr>
          <w:p w14:paraId="410CA62B" w14:textId="064D10F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69" w:type="dxa"/>
            <w:tcBorders>
              <w:top w:val="single" w:sz="4" w:space="0" w:color="auto"/>
              <w:left w:val="single" w:sz="4" w:space="0" w:color="auto"/>
              <w:bottom w:val="single" w:sz="4" w:space="0" w:color="auto"/>
              <w:right w:val="nil"/>
            </w:tcBorders>
            <w:shd w:val="clear" w:color="auto" w:fill="auto"/>
            <w:noWrap/>
            <w:vAlign w:val="bottom"/>
            <w:hideMark/>
          </w:tcPr>
          <w:p w14:paraId="1D4F9E42"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2 424</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12770D44" w14:textId="558F7A1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96" w:type="dxa"/>
            <w:tcBorders>
              <w:top w:val="single" w:sz="4" w:space="0" w:color="auto"/>
              <w:left w:val="nil"/>
              <w:bottom w:val="single" w:sz="4" w:space="0" w:color="auto"/>
              <w:right w:val="nil"/>
            </w:tcBorders>
            <w:shd w:val="clear" w:color="auto" w:fill="auto"/>
            <w:noWrap/>
            <w:vAlign w:val="bottom"/>
            <w:hideMark/>
          </w:tcPr>
          <w:p w14:paraId="7C44A185"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418</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6FF577E1" w14:textId="7C4A9E76"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+48 %</w:t>
            </w:r>
          </w:p>
        </w:tc>
        <w:tc>
          <w:tcPr>
            <w:tcW w:w="1066" w:type="dxa"/>
            <w:tcBorders>
              <w:top w:val="single" w:sz="4" w:space="0" w:color="auto"/>
              <w:left w:val="nil"/>
              <w:bottom w:val="single" w:sz="4" w:space="0" w:color="auto"/>
              <w:right w:val="nil"/>
            </w:tcBorders>
            <w:shd w:val="clear" w:color="auto" w:fill="auto"/>
            <w:noWrap/>
            <w:vAlign w:val="bottom"/>
            <w:hideMark/>
          </w:tcPr>
          <w:p w14:paraId="3704E9A6"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8 620</w:t>
            </w:r>
          </w:p>
        </w:tc>
        <w:tc>
          <w:tcPr>
            <w:tcW w:w="708" w:type="dxa"/>
            <w:tcBorders>
              <w:top w:val="single" w:sz="4" w:space="0" w:color="auto"/>
              <w:left w:val="nil"/>
              <w:bottom w:val="single" w:sz="4" w:space="0" w:color="auto"/>
              <w:right w:val="nil"/>
            </w:tcBorders>
            <w:shd w:val="clear" w:color="auto" w:fill="auto"/>
            <w:noWrap/>
            <w:vAlign w:val="center"/>
            <w:hideMark/>
          </w:tcPr>
          <w:p w14:paraId="52846955" w14:textId="55AE0F39"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BF0CC3" w:rsidRPr="00033A3F" w14:paraId="3BCA0D37"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2504D30F"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99" w:type="dxa"/>
            <w:tcBorders>
              <w:top w:val="nil"/>
              <w:left w:val="nil"/>
              <w:bottom w:val="single" w:sz="4" w:space="0" w:color="auto"/>
              <w:right w:val="nil"/>
            </w:tcBorders>
            <w:shd w:val="clear" w:color="auto" w:fill="auto"/>
            <w:noWrap/>
            <w:vAlign w:val="bottom"/>
            <w:hideMark/>
          </w:tcPr>
          <w:p w14:paraId="45219AE6"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2 734</w:t>
            </w:r>
          </w:p>
        </w:tc>
        <w:tc>
          <w:tcPr>
            <w:tcW w:w="774" w:type="dxa"/>
            <w:tcBorders>
              <w:top w:val="nil"/>
              <w:left w:val="nil"/>
              <w:bottom w:val="single" w:sz="4" w:space="0" w:color="auto"/>
              <w:right w:val="nil"/>
            </w:tcBorders>
            <w:shd w:val="clear" w:color="auto" w:fill="auto"/>
            <w:noWrap/>
            <w:vAlign w:val="center"/>
            <w:hideMark/>
          </w:tcPr>
          <w:p w14:paraId="35404917" w14:textId="118AEF6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069" w:type="dxa"/>
            <w:tcBorders>
              <w:top w:val="nil"/>
              <w:left w:val="single" w:sz="4" w:space="0" w:color="auto"/>
              <w:bottom w:val="single" w:sz="4" w:space="0" w:color="auto"/>
              <w:right w:val="nil"/>
            </w:tcBorders>
            <w:shd w:val="clear" w:color="auto" w:fill="auto"/>
            <w:noWrap/>
            <w:vAlign w:val="bottom"/>
            <w:hideMark/>
          </w:tcPr>
          <w:p w14:paraId="7E40C188"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3 127</w:t>
            </w:r>
          </w:p>
        </w:tc>
        <w:tc>
          <w:tcPr>
            <w:tcW w:w="705" w:type="dxa"/>
            <w:tcBorders>
              <w:top w:val="nil"/>
              <w:left w:val="nil"/>
              <w:bottom w:val="single" w:sz="4" w:space="0" w:color="auto"/>
              <w:right w:val="single" w:sz="4" w:space="0" w:color="auto"/>
            </w:tcBorders>
            <w:shd w:val="clear" w:color="auto" w:fill="auto"/>
            <w:noWrap/>
            <w:vAlign w:val="center"/>
            <w:hideMark/>
          </w:tcPr>
          <w:p w14:paraId="154D77DE" w14:textId="1A0DFE69"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996" w:type="dxa"/>
            <w:tcBorders>
              <w:top w:val="nil"/>
              <w:left w:val="nil"/>
              <w:bottom w:val="single" w:sz="4" w:space="0" w:color="auto"/>
              <w:right w:val="nil"/>
            </w:tcBorders>
            <w:shd w:val="clear" w:color="auto" w:fill="auto"/>
            <w:noWrap/>
            <w:vAlign w:val="bottom"/>
            <w:hideMark/>
          </w:tcPr>
          <w:p w14:paraId="57FC440F"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w:t>
            </w:r>
          </w:p>
        </w:tc>
        <w:tc>
          <w:tcPr>
            <w:tcW w:w="777" w:type="dxa"/>
            <w:tcBorders>
              <w:top w:val="nil"/>
              <w:left w:val="nil"/>
              <w:bottom w:val="single" w:sz="4" w:space="0" w:color="auto"/>
              <w:right w:val="single" w:sz="4" w:space="0" w:color="auto"/>
            </w:tcBorders>
            <w:shd w:val="clear" w:color="auto" w:fill="auto"/>
            <w:noWrap/>
            <w:vAlign w:val="center"/>
            <w:hideMark/>
          </w:tcPr>
          <w:p w14:paraId="03CBC713" w14:textId="25E5AF07"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+20 %</w:t>
            </w:r>
          </w:p>
        </w:tc>
        <w:tc>
          <w:tcPr>
            <w:tcW w:w="1066" w:type="dxa"/>
            <w:tcBorders>
              <w:top w:val="nil"/>
              <w:left w:val="nil"/>
              <w:bottom w:val="single" w:sz="4" w:space="0" w:color="auto"/>
              <w:right w:val="nil"/>
            </w:tcBorders>
            <w:shd w:val="clear" w:color="auto" w:fill="auto"/>
            <w:noWrap/>
            <w:vAlign w:val="bottom"/>
            <w:hideMark/>
          </w:tcPr>
          <w:p w14:paraId="3BA0CC4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10 163</w:t>
            </w:r>
          </w:p>
        </w:tc>
        <w:tc>
          <w:tcPr>
            <w:tcW w:w="708" w:type="dxa"/>
            <w:tcBorders>
              <w:top w:val="nil"/>
              <w:left w:val="nil"/>
              <w:bottom w:val="single" w:sz="4" w:space="0" w:color="auto"/>
              <w:right w:val="nil"/>
            </w:tcBorders>
            <w:shd w:val="clear" w:color="auto" w:fill="auto"/>
            <w:noWrap/>
            <w:vAlign w:val="center"/>
            <w:hideMark/>
          </w:tcPr>
          <w:p w14:paraId="22CA090D" w14:textId="777871D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BF0CC3" w:rsidRPr="00033A3F" w14:paraId="2D10E46A"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5169DA7C"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99" w:type="dxa"/>
            <w:tcBorders>
              <w:top w:val="nil"/>
              <w:left w:val="nil"/>
              <w:bottom w:val="single" w:sz="4" w:space="0" w:color="auto"/>
              <w:right w:val="nil"/>
            </w:tcBorders>
            <w:shd w:val="clear" w:color="auto" w:fill="auto"/>
            <w:noWrap/>
            <w:vAlign w:val="bottom"/>
            <w:hideMark/>
          </w:tcPr>
          <w:p w14:paraId="64EFA947"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1 401</w:t>
            </w:r>
          </w:p>
        </w:tc>
        <w:tc>
          <w:tcPr>
            <w:tcW w:w="774" w:type="dxa"/>
            <w:tcBorders>
              <w:top w:val="nil"/>
              <w:left w:val="nil"/>
              <w:bottom w:val="single" w:sz="4" w:space="0" w:color="auto"/>
              <w:right w:val="nil"/>
            </w:tcBorders>
            <w:shd w:val="clear" w:color="auto" w:fill="auto"/>
            <w:noWrap/>
            <w:vAlign w:val="center"/>
            <w:hideMark/>
          </w:tcPr>
          <w:p w14:paraId="593DE7A7" w14:textId="62B32355"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69" w:type="dxa"/>
            <w:tcBorders>
              <w:top w:val="nil"/>
              <w:left w:val="single" w:sz="4" w:space="0" w:color="auto"/>
              <w:bottom w:val="single" w:sz="4" w:space="0" w:color="auto"/>
              <w:right w:val="nil"/>
            </w:tcBorders>
            <w:shd w:val="clear" w:color="auto" w:fill="auto"/>
            <w:noWrap/>
            <w:vAlign w:val="bottom"/>
            <w:hideMark/>
          </w:tcPr>
          <w:p w14:paraId="36ECC9DC"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1 672</w:t>
            </w:r>
          </w:p>
        </w:tc>
        <w:tc>
          <w:tcPr>
            <w:tcW w:w="705" w:type="dxa"/>
            <w:tcBorders>
              <w:top w:val="nil"/>
              <w:left w:val="nil"/>
              <w:bottom w:val="single" w:sz="4" w:space="0" w:color="auto"/>
              <w:right w:val="single" w:sz="4" w:space="0" w:color="auto"/>
            </w:tcBorders>
            <w:shd w:val="clear" w:color="auto" w:fill="auto"/>
            <w:noWrap/>
            <w:vAlign w:val="center"/>
            <w:hideMark/>
          </w:tcPr>
          <w:p w14:paraId="3508CEBF" w14:textId="0D5F6DF1"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96" w:type="dxa"/>
            <w:tcBorders>
              <w:top w:val="nil"/>
              <w:left w:val="nil"/>
              <w:bottom w:val="single" w:sz="4" w:space="0" w:color="auto"/>
              <w:right w:val="nil"/>
            </w:tcBorders>
            <w:shd w:val="clear" w:color="auto" w:fill="auto"/>
            <w:noWrap/>
            <w:vAlign w:val="bottom"/>
            <w:hideMark/>
          </w:tcPr>
          <w:p w14:paraId="2DF0365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p>
        </w:tc>
        <w:tc>
          <w:tcPr>
            <w:tcW w:w="777" w:type="dxa"/>
            <w:tcBorders>
              <w:top w:val="nil"/>
              <w:left w:val="nil"/>
              <w:bottom w:val="single" w:sz="4" w:space="0" w:color="auto"/>
              <w:right w:val="single" w:sz="4" w:space="0" w:color="auto"/>
            </w:tcBorders>
            <w:shd w:val="clear" w:color="auto" w:fill="auto"/>
            <w:noWrap/>
            <w:vAlign w:val="center"/>
            <w:hideMark/>
          </w:tcPr>
          <w:p w14:paraId="7361E0AD" w14:textId="210965E8" w:rsidR="00C32C55" w:rsidRPr="00033A3F" w:rsidRDefault="00C32C55" w:rsidP="00C32C5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66" w:type="dxa"/>
            <w:tcBorders>
              <w:top w:val="nil"/>
              <w:left w:val="nil"/>
              <w:bottom w:val="single" w:sz="4" w:space="0" w:color="auto"/>
              <w:right w:val="nil"/>
            </w:tcBorders>
            <w:shd w:val="clear" w:color="auto" w:fill="auto"/>
            <w:noWrap/>
            <w:vAlign w:val="bottom"/>
            <w:hideMark/>
          </w:tcPr>
          <w:p w14:paraId="0CF53FB7"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5 299</w:t>
            </w:r>
          </w:p>
        </w:tc>
        <w:tc>
          <w:tcPr>
            <w:tcW w:w="708" w:type="dxa"/>
            <w:tcBorders>
              <w:top w:val="nil"/>
              <w:left w:val="nil"/>
              <w:bottom w:val="single" w:sz="4" w:space="0" w:color="auto"/>
              <w:right w:val="nil"/>
            </w:tcBorders>
            <w:shd w:val="clear" w:color="auto" w:fill="auto"/>
            <w:noWrap/>
            <w:vAlign w:val="center"/>
            <w:hideMark/>
          </w:tcPr>
          <w:p w14:paraId="379A147E" w14:textId="00974755"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BF0CC3" w:rsidRPr="00033A3F" w14:paraId="7BC64DD9"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7C178AA6"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99" w:type="dxa"/>
            <w:tcBorders>
              <w:top w:val="nil"/>
              <w:left w:val="nil"/>
              <w:bottom w:val="single" w:sz="4" w:space="0" w:color="auto"/>
              <w:right w:val="nil"/>
            </w:tcBorders>
            <w:shd w:val="clear" w:color="auto" w:fill="auto"/>
            <w:noWrap/>
            <w:vAlign w:val="bottom"/>
            <w:hideMark/>
          </w:tcPr>
          <w:p w14:paraId="2E2F01D6"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1 953</w:t>
            </w:r>
          </w:p>
        </w:tc>
        <w:tc>
          <w:tcPr>
            <w:tcW w:w="774" w:type="dxa"/>
            <w:tcBorders>
              <w:top w:val="nil"/>
              <w:left w:val="nil"/>
              <w:bottom w:val="single" w:sz="4" w:space="0" w:color="auto"/>
              <w:right w:val="nil"/>
            </w:tcBorders>
            <w:shd w:val="clear" w:color="auto" w:fill="auto"/>
            <w:noWrap/>
            <w:vAlign w:val="center"/>
            <w:hideMark/>
          </w:tcPr>
          <w:p w14:paraId="5C662836" w14:textId="46983762"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69" w:type="dxa"/>
            <w:tcBorders>
              <w:top w:val="nil"/>
              <w:left w:val="single" w:sz="4" w:space="0" w:color="auto"/>
              <w:bottom w:val="single" w:sz="4" w:space="0" w:color="auto"/>
              <w:right w:val="nil"/>
            </w:tcBorders>
            <w:shd w:val="clear" w:color="auto" w:fill="auto"/>
            <w:noWrap/>
            <w:vAlign w:val="bottom"/>
            <w:hideMark/>
          </w:tcPr>
          <w:p w14:paraId="562185AB"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2 308</w:t>
            </w:r>
          </w:p>
        </w:tc>
        <w:tc>
          <w:tcPr>
            <w:tcW w:w="705" w:type="dxa"/>
            <w:tcBorders>
              <w:top w:val="nil"/>
              <w:left w:val="nil"/>
              <w:bottom w:val="single" w:sz="4" w:space="0" w:color="auto"/>
              <w:right w:val="single" w:sz="4" w:space="0" w:color="auto"/>
            </w:tcBorders>
            <w:shd w:val="clear" w:color="auto" w:fill="auto"/>
            <w:noWrap/>
            <w:vAlign w:val="center"/>
            <w:hideMark/>
          </w:tcPr>
          <w:p w14:paraId="5F11DA18" w14:textId="58918A96"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996" w:type="dxa"/>
            <w:tcBorders>
              <w:top w:val="nil"/>
              <w:left w:val="nil"/>
              <w:bottom w:val="single" w:sz="4" w:space="0" w:color="auto"/>
              <w:right w:val="nil"/>
            </w:tcBorders>
            <w:shd w:val="clear" w:color="auto" w:fill="auto"/>
            <w:noWrap/>
            <w:vAlign w:val="bottom"/>
            <w:hideMark/>
          </w:tcPr>
          <w:p w14:paraId="4AE8B6E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321</w:t>
            </w:r>
          </w:p>
        </w:tc>
        <w:tc>
          <w:tcPr>
            <w:tcW w:w="777" w:type="dxa"/>
            <w:tcBorders>
              <w:top w:val="nil"/>
              <w:left w:val="nil"/>
              <w:bottom w:val="single" w:sz="4" w:space="0" w:color="auto"/>
              <w:right w:val="single" w:sz="4" w:space="0" w:color="auto"/>
            </w:tcBorders>
            <w:shd w:val="clear" w:color="auto" w:fill="auto"/>
            <w:noWrap/>
            <w:vAlign w:val="center"/>
            <w:hideMark/>
          </w:tcPr>
          <w:p w14:paraId="5CBE13EF" w14:textId="627E7595"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+71 %</w:t>
            </w:r>
          </w:p>
        </w:tc>
        <w:tc>
          <w:tcPr>
            <w:tcW w:w="1066" w:type="dxa"/>
            <w:tcBorders>
              <w:top w:val="nil"/>
              <w:left w:val="nil"/>
              <w:bottom w:val="single" w:sz="4" w:space="0" w:color="auto"/>
              <w:right w:val="nil"/>
            </w:tcBorders>
            <w:shd w:val="clear" w:color="auto" w:fill="auto"/>
            <w:noWrap/>
            <w:vAlign w:val="bottom"/>
            <w:hideMark/>
          </w:tcPr>
          <w:p w14:paraId="030FAB5E"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8 270</w:t>
            </w:r>
          </w:p>
        </w:tc>
        <w:tc>
          <w:tcPr>
            <w:tcW w:w="708" w:type="dxa"/>
            <w:tcBorders>
              <w:top w:val="nil"/>
              <w:left w:val="nil"/>
              <w:bottom w:val="single" w:sz="4" w:space="0" w:color="auto"/>
              <w:right w:val="nil"/>
            </w:tcBorders>
            <w:shd w:val="clear" w:color="auto" w:fill="auto"/>
            <w:noWrap/>
            <w:vAlign w:val="center"/>
            <w:hideMark/>
          </w:tcPr>
          <w:p w14:paraId="0B2DEC13" w14:textId="2871ADD9"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BF0CC3" w:rsidRPr="00033A3F" w14:paraId="49CC7E67"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01A57078"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99" w:type="dxa"/>
            <w:tcBorders>
              <w:top w:val="nil"/>
              <w:left w:val="nil"/>
              <w:bottom w:val="single" w:sz="4" w:space="0" w:color="auto"/>
              <w:right w:val="nil"/>
            </w:tcBorders>
            <w:shd w:val="clear" w:color="auto" w:fill="auto"/>
            <w:noWrap/>
            <w:vAlign w:val="bottom"/>
            <w:hideMark/>
          </w:tcPr>
          <w:p w14:paraId="42D84C7D"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3 521</w:t>
            </w:r>
          </w:p>
        </w:tc>
        <w:tc>
          <w:tcPr>
            <w:tcW w:w="774" w:type="dxa"/>
            <w:tcBorders>
              <w:top w:val="nil"/>
              <w:left w:val="nil"/>
              <w:bottom w:val="single" w:sz="4" w:space="0" w:color="auto"/>
              <w:right w:val="nil"/>
            </w:tcBorders>
            <w:shd w:val="clear" w:color="auto" w:fill="auto"/>
            <w:noWrap/>
            <w:vAlign w:val="center"/>
            <w:hideMark/>
          </w:tcPr>
          <w:p w14:paraId="7EFB2748" w14:textId="2C2713B5"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69" w:type="dxa"/>
            <w:tcBorders>
              <w:top w:val="nil"/>
              <w:left w:val="single" w:sz="4" w:space="0" w:color="auto"/>
              <w:bottom w:val="single" w:sz="4" w:space="0" w:color="auto"/>
              <w:right w:val="nil"/>
            </w:tcBorders>
            <w:shd w:val="clear" w:color="auto" w:fill="auto"/>
            <w:noWrap/>
            <w:vAlign w:val="bottom"/>
            <w:hideMark/>
          </w:tcPr>
          <w:p w14:paraId="041EF297"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4 172</w:t>
            </w:r>
          </w:p>
        </w:tc>
        <w:tc>
          <w:tcPr>
            <w:tcW w:w="705" w:type="dxa"/>
            <w:tcBorders>
              <w:top w:val="nil"/>
              <w:left w:val="nil"/>
              <w:bottom w:val="single" w:sz="4" w:space="0" w:color="auto"/>
              <w:right w:val="single" w:sz="4" w:space="0" w:color="auto"/>
            </w:tcBorders>
            <w:shd w:val="clear" w:color="auto" w:fill="auto"/>
            <w:noWrap/>
            <w:vAlign w:val="center"/>
            <w:hideMark/>
          </w:tcPr>
          <w:p w14:paraId="324D4108" w14:textId="722BD13B"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996" w:type="dxa"/>
            <w:tcBorders>
              <w:top w:val="nil"/>
              <w:left w:val="nil"/>
              <w:bottom w:val="single" w:sz="4" w:space="0" w:color="auto"/>
              <w:right w:val="nil"/>
            </w:tcBorders>
            <w:shd w:val="clear" w:color="auto" w:fill="auto"/>
            <w:noWrap/>
            <w:vAlign w:val="bottom"/>
            <w:hideMark/>
          </w:tcPr>
          <w:p w14:paraId="58C48FE5"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230</w:t>
            </w:r>
          </w:p>
        </w:tc>
        <w:tc>
          <w:tcPr>
            <w:tcW w:w="777" w:type="dxa"/>
            <w:tcBorders>
              <w:top w:val="nil"/>
              <w:left w:val="nil"/>
              <w:bottom w:val="single" w:sz="4" w:space="0" w:color="auto"/>
              <w:right w:val="single" w:sz="4" w:space="0" w:color="auto"/>
            </w:tcBorders>
            <w:shd w:val="clear" w:color="auto" w:fill="auto"/>
            <w:noWrap/>
            <w:vAlign w:val="center"/>
            <w:hideMark/>
          </w:tcPr>
          <w:p w14:paraId="07D122AE" w14:textId="1606B368"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+58 %</w:t>
            </w:r>
          </w:p>
        </w:tc>
        <w:tc>
          <w:tcPr>
            <w:tcW w:w="1066" w:type="dxa"/>
            <w:tcBorders>
              <w:top w:val="nil"/>
              <w:left w:val="nil"/>
              <w:bottom w:val="single" w:sz="4" w:space="0" w:color="auto"/>
              <w:right w:val="nil"/>
            </w:tcBorders>
            <w:shd w:val="clear" w:color="auto" w:fill="auto"/>
            <w:noWrap/>
            <w:vAlign w:val="bottom"/>
            <w:hideMark/>
          </w:tcPr>
          <w:p w14:paraId="7D2C228E"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14 605</w:t>
            </w:r>
          </w:p>
        </w:tc>
        <w:tc>
          <w:tcPr>
            <w:tcW w:w="708" w:type="dxa"/>
            <w:tcBorders>
              <w:top w:val="nil"/>
              <w:left w:val="nil"/>
              <w:bottom w:val="single" w:sz="4" w:space="0" w:color="auto"/>
              <w:right w:val="nil"/>
            </w:tcBorders>
            <w:shd w:val="clear" w:color="auto" w:fill="auto"/>
            <w:noWrap/>
            <w:vAlign w:val="center"/>
            <w:hideMark/>
          </w:tcPr>
          <w:p w14:paraId="2136AE61" w14:textId="1A1D50B6"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BF0CC3" w:rsidRPr="00033A3F" w14:paraId="035449DB"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451A13FA"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99" w:type="dxa"/>
            <w:tcBorders>
              <w:top w:val="nil"/>
              <w:left w:val="nil"/>
              <w:bottom w:val="single" w:sz="4" w:space="0" w:color="auto"/>
              <w:right w:val="nil"/>
            </w:tcBorders>
            <w:shd w:val="clear" w:color="auto" w:fill="auto"/>
            <w:noWrap/>
            <w:vAlign w:val="bottom"/>
            <w:hideMark/>
          </w:tcPr>
          <w:p w14:paraId="147D4081"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2 323</w:t>
            </w:r>
          </w:p>
        </w:tc>
        <w:tc>
          <w:tcPr>
            <w:tcW w:w="774" w:type="dxa"/>
            <w:tcBorders>
              <w:top w:val="nil"/>
              <w:left w:val="nil"/>
              <w:bottom w:val="single" w:sz="4" w:space="0" w:color="auto"/>
              <w:right w:val="nil"/>
            </w:tcBorders>
            <w:shd w:val="clear" w:color="auto" w:fill="auto"/>
            <w:noWrap/>
            <w:vAlign w:val="center"/>
            <w:hideMark/>
          </w:tcPr>
          <w:p w14:paraId="242050CF" w14:textId="71AE04DF"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69" w:type="dxa"/>
            <w:tcBorders>
              <w:top w:val="nil"/>
              <w:left w:val="single" w:sz="4" w:space="0" w:color="auto"/>
              <w:bottom w:val="single" w:sz="4" w:space="0" w:color="auto"/>
              <w:right w:val="nil"/>
            </w:tcBorders>
            <w:shd w:val="clear" w:color="auto" w:fill="auto"/>
            <w:noWrap/>
            <w:vAlign w:val="bottom"/>
            <w:hideMark/>
          </w:tcPr>
          <w:p w14:paraId="06C8D4AB"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2 762</w:t>
            </w:r>
          </w:p>
        </w:tc>
        <w:tc>
          <w:tcPr>
            <w:tcW w:w="705" w:type="dxa"/>
            <w:tcBorders>
              <w:top w:val="nil"/>
              <w:left w:val="nil"/>
              <w:bottom w:val="single" w:sz="4" w:space="0" w:color="auto"/>
              <w:right w:val="single" w:sz="4" w:space="0" w:color="auto"/>
            </w:tcBorders>
            <w:shd w:val="clear" w:color="auto" w:fill="auto"/>
            <w:noWrap/>
            <w:vAlign w:val="center"/>
            <w:hideMark/>
          </w:tcPr>
          <w:p w14:paraId="619351D3" w14:textId="3BFDC60A"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96" w:type="dxa"/>
            <w:tcBorders>
              <w:top w:val="nil"/>
              <w:left w:val="nil"/>
              <w:bottom w:val="single" w:sz="4" w:space="0" w:color="auto"/>
              <w:right w:val="nil"/>
            </w:tcBorders>
            <w:shd w:val="clear" w:color="auto" w:fill="auto"/>
            <w:noWrap/>
            <w:vAlign w:val="bottom"/>
            <w:hideMark/>
          </w:tcPr>
          <w:p w14:paraId="6BB70436"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w:t>
            </w:r>
          </w:p>
        </w:tc>
        <w:tc>
          <w:tcPr>
            <w:tcW w:w="777" w:type="dxa"/>
            <w:tcBorders>
              <w:top w:val="nil"/>
              <w:left w:val="nil"/>
              <w:bottom w:val="single" w:sz="4" w:space="0" w:color="auto"/>
              <w:right w:val="single" w:sz="4" w:space="0" w:color="auto"/>
            </w:tcBorders>
            <w:shd w:val="clear" w:color="auto" w:fill="auto"/>
            <w:noWrap/>
            <w:vAlign w:val="center"/>
            <w:hideMark/>
          </w:tcPr>
          <w:p w14:paraId="67296F6B" w14:textId="11A33E2F"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+39 %</w:t>
            </w:r>
          </w:p>
        </w:tc>
        <w:tc>
          <w:tcPr>
            <w:tcW w:w="1066" w:type="dxa"/>
            <w:tcBorders>
              <w:top w:val="nil"/>
              <w:left w:val="nil"/>
              <w:bottom w:val="single" w:sz="4" w:space="0" w:color="auto"/>
              <w:right w:val="nil"/>
            </w:tcBorders>
            <w:shd w:val="clear" w:color="auto" w:fill="auto"/>
            <w:noWrap/>
            <w:vAlign w:val="bottom"/>
            <w:hideMark/>
          </w:tcPr>
          <w:p w14:paraId="3BA459F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9 861</w:t>
            </w:r>
          </w:p>
        </w:tc>
        <w:tc>
          <w:tcPr>
            <w:tcW w:w="708" w:type="dxa"/>
            <w:tcBorders>
              <w:top w:val="nil"/>
              <w:left w:val="nil"/>
              <w:bottom w:val="single" w:sz="4" w:space="0" w:color="auto"/>
              <w:right w:val="nil"/>
            </w:tcBorders>
            <w:shd w:val="clear" w:color="auto" w:fill="auto"/>
            <w:noWrap/>
            <w:vAlign w:val="center"/>
            <w:hideMark/>
          </w:tcPr>
          <w:p w14:paraId="2B1C9A32" w14:textId="3E954EAA"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BF0CC3" w:rsidRPr="00033A3F" w14:paraId="197245A1"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53A21A4B"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99" w:type="dxa"/>
            <w:tcBorders>
              <w:top w:val="nil"/>
              <w:left w:val="nil"/>
              <w:bottom w:val="single" w:sz="4" w:space="0" w:color="auto"/>
              <w:right w:val="nil"/>
            </w:tcBorders>
            <w:shd w:val="clear" w:color="auto" w:fill="auto"/>
            <w:noWrap/>
            <w:vAlign w:val="bottom"/>
            <w:hideMark/>
          </w:tcPr>
          <w:p w14:paraId="0CD790E2"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3 625</w:t>
            </w:r>
          </w:p>
        </w:tc>
        <w:tc>
          <w:tcPr>
            <w:tcW w:w="774" w:type="dxa"/>
            <w:tcBorders>
              <w:top w:val="nil"/>
              <w:left w:val="nil"/>
              <w:bottom w:val="single" w:sz="4" w:space="0" w:color="auto"/>
              <w:right w:val="nil"/>
            </w:tcBorders>
            <w:shd w:val="clear" w:color="auto" w:fill="auto"/>
            <w:noWrap/>
            <w:vAlign w:val="center"/>
            <w:hideMark/>
          </w:tcPr>
          <w:p w14:paraId="44DDEC38" w14:textId="00F7B571"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69" w:type="dxa"/>
            <w:tcBorders>
              <w:top w:val="nil"/>
              <w:left w:val="single" w:sz="4" w:space="0" w:color="auto"/>
              <w:bottom w:val="single" w:sz="4" w:space="0" w:color="auto"/>
              <w:right w:val="nil"/>
            </w:tcBorders>
            <w:shd w:val="clear" w:color="auto" w:fill="auto"/>
            <w:noWrap/>
            <w:vAlign w:val="bottom"/>
            <w:hideMark/>
          </w:tcPr>
          <w:p w14:paraId="10BBEA14"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4 354</w:t>
            </w:r>
          </w:p>
        </w:tc>
        <w:tc>
          <w:tcPr>
            <w:tcW w:w="705" w:type="dxa"/>
            <w:tcBorders>
              <w:top w:val="nil"/>
              <w:left w:val="nil"/>
              <w:bottom w:val="single" w:sz="4" w:space="0" w:color="auto"/>
              <w:right w:val="single" w:sz="4" w:space="0" w:color="auto"/>
            </w:tcBorders>
            <w:shd w:val="clear" w:color="auto" w:fill="auto"/>
            <w:noWrap/>
            <w:vAlign w:val="center"/>
            <w:hideMark/>
          </w:tcPr>
          <w:p w14:paraId="140FAA8E" w14:textId="39F84FD2"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6" w:type="dxa"/>
            <w:tcBorders>
              <w:top w:val="nil"/>
              <w:left w:val="nil"/>
              <w:bottom w:val="single" w:sz="4" w:space="0" w:color="auto"/>
              <w:right w:val="nil"/>
            </w:tcBorders>
            <w:shd w:val="clear" w:color="auto" w:fill="auto"/>
            <w:noWrap/>
            <w:vAlign w:val="bottom"/>
            <w:hideMark/>
          </w:tcPr>
          <w:p w14:paraId="380EC049"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547</w:t>
            </w:r>
          </w:p>
        </w:tc>
        <w:tc>
          <w:tcPr>
            <w:tcW w:w="777" w:type="dxa"/>
            <w:tcBorders>
              <w:top w:val="nil"/>
              <w:left w:val="nil"/>
              <w:bottom w:val="single" w:sz="4" w:space="0" w:color="auto"/>
              <w:right w:val="single" w:sz="4" w:space="0" w:color="auto"/>
            </w:tcBorders>
            <w:shd w:val="clear" w:color="auto" w:fill="auto"/>
            <w:noWrap/>
            <w:vAlign w:val="center"/>
            <w:hideMark/>
          </w:tcPr>
          <w:p w14:paraId="28F37AED" w14:textId="061B05BC"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c>
          <w:tcPr>
            <w:tcW w:w="1066" w:type="dxa"/>
            <w:tcBorders>
              <w:top w:val="nil"/>
              <w:left w:val="nil"/>
              <w:bottom w:val="single" w:sz="4" w:space="0" w:color="auto"/>
              <w:right w:val="nil"/>
            </w:tcBorders>
            <w:shd w:val="clear" w:color="auto" w:fill="auto"/>
            <w:noWrap/>
            <w:vAlign w:val="bottom"/>
            <w:hideMark/>
          </w:tcPr>
          <w:p w14:paraId="1FBF97BD"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14 283</w:t>
            </w:r>
          </w:p>
        </w:tc>
        <w:tc>
          <w:tcPr>
            <w:tcW w:w="708" w:type="dxa"/>
            <w:tcBorders>
              <w:top w:val="nil"/>
              <w:left w:val="nil"/>
              <w:bottom w:val="single" w:sz="4" w:space="0" w:color="auto"/>
              <w:right w:val="nil"/>
            </w:tcBorders>
            <w:shd w:val="clear" w:color="auto" w:fill="auto"/>
            <w:noWrap/>
            <w:vAlign w:val="center"/>
            <w:hideMark/>
          </w:tcPr>
          <w:p w14:paraId="142CE5A2" w14:textId="55B79F17"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BF0CC3" w:rsidRPr="00033A3F" w14:paraId="30DED572" w14:textId="77777777" w:rsidTr="00371086">
        <w:trPr>
          <w:trHeight w:val="330"/>
        </w:trPr>
        <w:tc>
          <w:tcPr>
            <w:tcW w:w="1978" w:type="dxa"/>
            <w:tcBorders>
              <w:top w:val="nil"/>
              <w:left w:val="nil"/>
              <w:bottom w:val="double" w:sz="6" w:space="0" w:color="auto"/>
              <w:right w:val="nil"/>
            </w:tcBorders>
            <w:shd w:val="clear" w:color="auto" w:fill="auto"/>
            <w:noWrap/>
            <w:vAlign w:val="bottom"/>
            <w:hideMark/>
          </w:tcPr>
          <w:p w14:paraId="4FE5F9CB"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99" w:type="dxa"/>
            <w:tcBorders>
              <w:top w:val="nil"/>
              <w:left w:val="nil"/>
              <w:bottom w:val="double" w:sz="6" w:space="0" w:color="auto"/>
              <w:right w:val="nil"/>
            </w:tcBorders>
            <w:shd w:val="clear" w:color="auto" w:fill="auto"/>
            <w:noWrap/>
            <w:vAlign w:val="bottom"/>
            <w:hideMark/>
          </w:tcPr>
          <w:p w14:paraId="44ACC573"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4 450</w:t>
            </w:r>
          </w:p>
        </w:tc>
        <w:tc>
          <w:tcPr>
            <w:tcW w:w="774" w:type="dxa"/>
            <w:tcBorders>
              <w:top w:val="nil"/>
              <w:left w:val="nil"/>
              <w:bottom w:val="double" w:sz="6" w:space="0" w:color="auto"/>
              <w:right w:val="nil"/>
            </w:tcBorders>
            <w:shd w:val="clear" w:color="auto" w:fill="auto"/>
            <w:noWrap/>
            <w:vAlign w:val="center"/>
            <w:hideMark/>
          </w:tcPr>
          <w:p w14:paraId="331FAB6A" w14:textId="005F0C2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069" w:type="dxa"/>
            <w:tcBorders>
              <w:top w:val="nil"/>
              <w:left w:val="single" w:sz="4" w:space="0" w:color="auto"/>
              <w:bottom w:val="double" w:sz="6" w:space="0" w:color="auto"/>
              <w:right w:val="nil"/>
            </w:tcBorders>
            <w:shd w:val="clear" w:color="auto" w:fill="auto"/>
            <w:noWrap/>
            <w:vAlign w:val="bottom"/>
            <w:hideMark/>
          </w:tcPr>
          <w:p w14:paraId="60FFC4CB"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4 884</w:t>
            </w:r>
          </w:p>
        </w:tc>
        <w:tc>
          <w:tcPr>
            <w:tcW w:w="705" w:type="dxa"/>
            <w:tcBorders>
              <w:top w:val="nil"/>
              <w:left w:val="nil"/>
              <w:bottom w:val="double" w:sz="6" w:space="0" w:color="auto"/>
              <w:right w:val="single" w:sz="4" w:space="0" w:color="auto"/>
            </w:tcBorders>
            <w:shd w:val="clear" w:color="auto" w:fill="auto"/>
            <w:noWrap/>
            <w:vAlign w:val="center"/>
            <w:hideMark/>
          </w:tcPr>
          <w:p w14:paraId="4F2D7DEE" w14:textId="5960E823"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6" w:type="dxa"/>
            <w:tcBorders>
              <w:top w:val="nil"/>
              <w:left w:val="nil"/>
              <w:bottom w:val="double" w:sz="6" w:space="0" w:color="auto"/>
              <w:right w:val="nil"/>
            </w:tcBorders>
            <w:shd w:val="clear" w:color="auto" w:fill="auto"/>
            <w:noWrap/>
            <w:vAlign w:val="bottom"/>
            <w:hideMark/>
          </w:tcPr>
          <w:p w14:paraId="1F44F9A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481</w:t>
            </w:r>
          </w:p>
        </w:tc>
        <w:tc>
          <w:tcPr>
            <w:tcW w:w="777" w:type="dxa"/>
            <w:tcBorders>
              <w:top w:val="nil"/>
              <w:left w:val="nil"/>
              <w:bottom w:val="double" w:sz="6" w:space="0" w:color="auto"/>
              <w:right w:val="single" w:sz="4" w:space="0" w:color="auto"/>
            </w:tcBorders>
            <w:shd w:val="clear" w:color="auto" w:fill="auto"/>
            <w:noWrap/>
            <w:vAlign w:val="center"/>
            <w:hideMark/>
          </w:tcPr>
          <w:p w14:paraId="342ABF4F" w14:textId="75B66F9D"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c>
          <w:tcPr>
            <w:tcW w:w="1066" w:type="dxa"/>
            <w:tcBorders>
              <w:top w:val="nil"/>
              <w:left w:val="nil"/>
              <w:bottom w:val="double" w:sz="6" w:space="0" w:color="auto"/>
              <w:right w:val="nil"/>
            </w:tcBorders>
            <w:shd w:val="clear" w:color="auto" w:fill="auto"/>
            <w:noWrap/>
            <w:vAlign w:val="bottom"/>
            <w:hideMark/>
          </w:tcPr>
          <w:p w14:paraId="66F9F74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18 017</w:t>
            </w:r>
          </w:p>
        </w:tc>
        <w:tc>
          <w:tcPr>
            <w:tcW w:w="708" w:type="dxa"/>
            <w:tcBorders>
              <w:top w:val="nil"/>
              <w:left w:val="nil"/>
              <w:bottom w:val="double" w:sz="6" w:space="0" w:color="auto"/>
              <w:right w:val="nil"/>
            </w:tcBorders>
            <w:shd w:val="clear" w:color="auto" w:fill="auto"/>
            <w:noWrap/>
            <w:vAlign w:val="center"/>
            <w:hideMark/>
          </w:tcPr>
          <w:p w14:paraId="1E90B790" w14:textId="72E4CDA6"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BF0CC3" w:rsidRPr="00033A3F" w14:paraId="1FE7DA11" w14:textId="77777777" w:rsidTr="00371086">
        <w:trPr>
          <w:trHeight w:val="345"/>
        </w:trPr>
        <w:tc>
          <w:tcPr>
            <w:tcW w:w="1978" w:type="dxa"/>
            <w:tcBorders>
              <w:top w:val="nil"/>
              <w:left w:val="nil"/>
              <w:bottom w:val="double" w:sz="6" w:space="0" w:color="auto"/>
              <w:right w:val="nil"/>
            </w:tcBorders>
            <w:shd w:val="clear" w:color="auto" w:fill="auto"/>
            <w:noWrap/>
            <w:vAlign w:val="bottom"/>
            <w:hideMark/>
          </w:tcPr>
          <w:p w14:paraId="6FAF50DA" w14:textId="77777777" w:rsidR="00C32C55" w:rsidRPr="00033A3F" w:rsidRDefault="00C32C55" w:rsidP="00C32C55">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99" w:type="dxa"/>
            <w:tcBorders>
              <w:top w:val="nil"/>
              <w:left w:val="nil"/>
              <w:bottom w:val="double" w:sz="6" w:space="0" w:color="auto"/>
              <w:right w:val="nil"/>
            </w:tcBorders>
            <w:shd w:val="clear" w:color="auto" w:fill="auto"/>
            <w:noWrap/>
            <w:vAlign w:val="bottom"/>
            <w:hideMark/>
          </w:tcPr>
          <w:p w14:paraId="33BD9E40"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22 380</w:t>
            </w:r>
          </w:p>
        </w:tc>
        <w:tc>
          <w:tcPr>
            <w:tcW w:w="774" w:type="dxa"/>
            <w:tcBorders>
              <w:top w:val="nil"/>
              <w:left w:val="nil"/>
              <w:bottom w:val="double" w:sz="6" w:space="0" w:color="auto"/>
              <w:right w:val="nil"/>
            </w:tcBorders>
            <w:shd w:val="clear" w:color="auto" w:fill="auto"/>
            <w:noWrap/>
            <w:vAlign w:val="center"/>
            <w:hideMark/>
          </w:tcPr>
          <w:p w14:paraId="0C6CDC30" w14:textId="4EB23DA2" w:rsidR="00C32C55" w:rsidRPr="00033A3F" w:rsidRDefault="00C32C55"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+8 %</w:t>
            </w:r>
          </w:p>
        </w:tc>
        <w:tc>
          <w:tcPr>
            <w:tcW w:w="1069" w:type="dxa"/>
            <w:tcBorders>
              <w:top w:val="nil"/>
              <w:left w:val="single" w:sz="4" w:space="0" w:color="auto"/>
              <w:bottom w:val="double" w:sz="6" w:space="0" w:color="auto"/>
              <w:right w:val="nil"/>
            </w:tcBorders>
            <w:shd w:val="clear" w:color="auto" w:fill="auto"/>
            <w:noWrap/>
            <w:vAlign w:val="bottom"/>
            <w:hideMark/>
          </w:tcPr>
          <w:p w14:paraId="4747D63C"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25 703</w:t>
            </w:r>
          </w:p>
        </w:tc>
        <w:tc>
          <w:tcPr>
            <w:tcW w:w="705" w:type="dxa"/>
            <w:tcBorders>
              <w:top w:val="nil"/>
              <w:left w:val="nil"/>
              <w:bottom w:val="double" w:sz="6" w:space="0" w:color="auto"/>
              <w:right w:val="single" w:sz="4" w:space="0" w:color="auto"/>
            </w:tcBorders>
            <w:shd w:val="clear" w:color="auto" w:fill="auto"/>
            <w:noWrap/>
            <w:vAlign w:val="center"/>
            <w:hideMark/>
          </w:tcPr>
          <w:p w14:paraId="29F28980" w14:textId="26F35216" w:rsidR="00C32C55" w:rsidRPr="00033A3F" w:rsidRDefault="00C32C55"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-11 %</w:t>
            </w:r>
          </w:p>
        </w:tc>
        <w:tc>
          <w:tcPr>
            <w:tcW w:w="996" w:type="dxa"/>
            <w:tcBorders>
              <w:top w:val="nil"/>
              <w:left w:val="nil"/>
              <w:bottom w:val="double" w:sz="6" w:space="0" w:color="auto"/>
              <w:right w:val="nil"/>
            </w:tcBorders>
            <w:shd w:val="clear" w:color="auto" w:fill="auto"/>
            <w:noWrap/>
            <w:vAlign w:val="bottom"/>
            <w:hideMark/>
          </w:tcPr>
          <w:p w14:paraId="5891B4D6"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2 266</w:t>
            </w:r>
          </w:p>
        </w:tc>
        <w:tc>
          <w:tcPr>
            <w:tcW w:w="777" w:type="dxa"/>
            <w:tcBorders>
              <w:top w:val="nil"/>
              <w:left w:val="nil"/>
              <w:bottom w:val="double" w:sz="6" w:space="0" w:color="auto"/>
              <w:right w:val="single" w:sz="4" w:space="0" w:color="auto"/>
            </w:tcBorders>
            <w:shd w:val="clear" w:color="auto" w:fill="auto"/>
            <w:noWrap/>
            <w:vAlign w:val="center"/>
            <w:hideMark/>
          </w:tcPr>
          <w:p w14:paraId="68D35E91" w14:textId="5FA0CE7D" w:rsidR="00C32C55" w:rsidRPr="00033A3F" w:rsidRDefault="00C32C55"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+37 %</w:t>
            </w:r>
          </w:p>
        </w:tc>
        <w:tc>
          <w:tcPr>
            <w:tcW w:w="1066" w:type="dxa"/>
            <w:tcBorders>
              <w:top w:val="nil"/>
              <w:left w:val="nil"/>
              <w:bottom w:val="double" w:sz="6" w:space="0" w:color="auto"/>
              <w:right w:val="nil"/>
            </w:tcBorders>
            <w:shd w:val="clear" w:color="auto" w:fill="auto"/>
            <w:noWrap/>
            <w:vAlign w:val="bottom"/>
            <w:hideMark/>
          </w:tcPr>
          <w:p w14:paraId="0FDFBEF0"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89 118</w:t>
            </w:r>
          </w:p>
        </w:tc>
        <w:tc>
          <w:tcPr>
            <w:tcW w:w="708" w:type="dxa"/>
            <w:tcBorders>
              <w:top w:val="nil"/>
              <w:left w:val="nil"/>
              <w:bottom w:val="double" w:sz="6" w:space="0" w:color="auto"/>
              <w:right w:val="nil"/>
            </w:tcBorders>
            <w:shd w:val="clear" w:color="auto" w:fill="auto"/>
            <w:noWrap/>
            <w:vAlign w:val="center"/>
            <w:hideMark/>
          </w:tcPr>
          <w:p w14:paraId="15ACC3FF" w14:textId="371E699A" w:rsidR="00C32C55" w:rsidRPr="00033A3F" w:rsidRDefault="00C32C55"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r>
    </w:tbl>
    <w:p w14:paraId="21EF0D96" w14:textId="70C180A1" w:rsidR="008731EB" w:rsidRPr="00033A3F" w:rsidRDefault="00DB4A94" w:rsidP="00C32C55">
      <w:pPr>
        <w:pStyle w:val="OdstavecASR"/>
        <w:rPr>
          <w:color w:val="000000" w:themeColor="text1"/>
        </w:rPr>
      </w:pPr>
      <w:r w:rsidRPr="00033A3F">
        <w:rPr>
          <w:color w:val="000000" w:themeColor="text1"/>
        </w:rPr>
        <w:t>V</w:t>
      </w:r>
      <w:r w:rsidR="00C32C55" w:rsidRPr="00033A3F">
        <w:rPr>
          <w:color w:val="000000" w:themeColor="text1"/>
        </w:rPr>
        <w:t xml:space="preserve"> prvních letech po zavedení nové úpravy insolvencí </w:t>
      </w:r>
      <w:r w:rsidRPr="00033A3F">
        <w:rPr>
          <w:color w:val="000000" w:themeColor="text1"/>
        </w:rPr>
        <w:t>(toto období již není v grafu patrné)</w:t>
      </w:r>
      <w:r w:rsidR="00C32C55" w:rsidRPr="00033A3F">
        <w:rPr>
          <w:color w:val="000000" w:themeColor="text1"/>
        </w:rPr>
        <w:t xml:space="preserve"> počet napadlých věcí logicky stoupal, protože se jednalo o novou agendu. V roce 2013 pak došlo v nápadu ke změně trendu, což můžeme připsat změnám v ekonomické situaci v ČR, zejména ovšem tomu, že „zásoba“ osob, které se před rokem 2008 dostaly do úpadkové situace a byly schopny ji řešit oddlužením, se vyčerpala, a nově tedy již </w:t>
      </w:r>
      <w:r w:rsidRPr="00033A3F">
        <w:rPr>
          <w:color w:val="000000" w:themeColor="text1"/>
        </w:rPr>
        <w:t xml:space="preserve">šlo </w:t>
      </w:r>
      <w:r w:rsidR="00C32C55" w:rsidRPr="00033A3F">
        <w:rPr>
          <w:color w:val="000000" w:themeColor="text1"/>
        </w:rPr>
        <w:t xml:space="preserve">jen o navrhovatele, kteří k rozhodnutí o podání insolvenčního návrhu dospěli až v daném roce. Časová řada počtu nevyřízených věcí před rozhodnutím o úpadku měla podobný průběh se zpožděním, což je vzhledem k rychlosti vyřizování insolvenčních návrhů logické. Počet vyřízených věcí rostl v letech 2016 až 2019, protože celé insolvenční řízení trvá několik let. Ve vyřízených věcech se tedy odrážel rostoucí nápad z let 2010 až 2013. Počet nevyřízených věcí po rozhodnutí o úpadku z podobných důvodů rostl až do roku 2016. Druhá fáze insolvenčního řízení totiž trvá relativně dlouho a nevyřízené věci po rozhodnutí o úpadku se tak postupně kumulovaly, což je efekt, který trval asi pět let. V roce 2017 se proto počet nevyřízených věcí po úpadku stabilizoval, když „vyprchal“ efekt rostoucího nápadu do roku 2013. </w:t>
      </w:r>
    </w:p>
    <w:p w14:paraId="7345DDEC" w14:textId="41316C67" w:rsidR="00C32C55" w:rsidRPr="00033A3F" w:rsidRDefault="00C32C55" w:rsidP="00C32C55">
      <w:pPr>
        <w:pStyle w:val="OdstavecASR"/>
        <w:rPr>
          <w:color w:val="000000" w:themeColor="text1"/>
        </w:rPr>
      </w:pPr>
      <w:r w:rsidRPr="00033A3F">
        <w:rPr>
          <w:color w:val="000000" w:themeColor="text1"/>
        </w:rPr>
        <w:t>V roce 2018 pak počet nevyřízených věcí začal klesat, a to u všech soudů s výjimkou MS Praha. Novela účinná od 1. 7. 2017 mimo jiné zpřísnila podmínky pro podání insolvenčního návrhu u fyzických osob. Měsíční data za rok 2017 a 2018 ukázala, že to vedlo k velkému růstu nápadu před účinností novely, tedy v červnu 2017. Poté došlo k prudkému poklesu v nápadu. V součtu se tento efekt později projevil dalším snížením v počtu nevyřízených věcí po rozhodnutí o úpadku. V následujících měsících nápad opět postupně rostl a přibližoval se tak hodnotám před červnem 2017. Měsíční nápad ale stále byl v průměru nižší, než před novelou. Další novela insolvenční</w:t>
      </w:r>
      <w:r w:rsidR="00DB4A94" w:rsidRPr="00033A3F">
        <w:rPr>
          <w:color w:val="000000" w:themeColor="text1"/>
        </w:rPr>
        <w:t>ho</w:t>
      </w:r>
      <w:r w:rsidRPr="00033A3F">
        <w:rPr>
          <w:color w:val="000000" w:themeColor="text1"/>
        </w:rPr>
        <w:t xml:space="preserve"> zákona je účinná od 1. 6. 2019, jak bylo uvedeno výše. Po účinnosti této novely došlo k velmi prudkému nárůstu v počtu napadlých věcí, a to především v prvních měsících. To se pak samozřejmě projevilo i v počtu nevyřízených věcí.</w:t>
      </w:r>
    </w:p>
    <w:p w14:paraId="3F10ECCE" w14:textId="77777777" w:rsidR="008731EB" w:rsidRPr="00033A3F" w:rsidRDefault="00C32C55" w:rsidP="00C32C55">
      <w:pPr>
        <w:pStyle w:val="OdstavecASR"/>
        <w:rPr>
          <w:color w:val="000000" w:themeColor="text1"/>
        </w:rPr>
      </w:pPr>
      <w:r w:rsidRPr="00033A3F">
        <w:rPr>
          <w:color w:val="000000" w:themeColor="text1"/>
        </w:rPr>
        <w:t>V letech 2020 a 2021 došlo k poklesu v nápadu o 13 %, respektive 12 %. Nápad klesl u všech soudů. Byť je u insolvenční agendy obtížné jednoznačně určit zdroj poklesu s ohledem na legislativní změny z posledních let, lze předpokládat, že citelný dopad měla pandemie COVID</w:t>
      </w:r>
      <w:r w:rsidRPr="00033A3F">
        <w:rPr>
          <w:color w:val="000000" w:themeColor="text1"/>
        </w:rPr>
        <w:noBreakHyphen/>
        <w:t xml:space="preserve">19 a zejména pak „lex covid justice“, který mimo jiné upravoval ochranný institut mimořádného </w:t>
      </w:r>
      <w:r w:rsidRPr="00033A3F">
        <w:rPr>
          <w:color w:val="000000" w:themeColor="text1"/>
        </w:rPr>
        <w:lastRenderedPageBreak/>
        <w:t xml:space="preserve">moratoria a pozastavoval povinnost dlužníka podat na sebe insolvenční návrh. V roce 2022 pokles pokračoval – průměrně dosáhl 13 %, u jednotlivých soudů pak v rozmezí od 11 do 16 %. V roce 2023 se pokles zastavil a nápad zůstal víceméně stejný. Prudce ale narostl počet vyřízených věcí, což zřejmě souvisí s dopady nárůstu nápadu v roce 2019. Tomuto závěru nasvědčuje i skutečnost, že došlo k citelnému poklesu počtu nevyřízených věcí po rozhodnutí o úpadku. </w:t>
      </w:r>
    </w:p>
    <w:p w14:paraId="5A5FAB82" w14:textId="473D62D6" w:rsidR="00C32C55" w:rsidRPr="00033A3F" w:rsidRDefault="00C32C55" w:rsidP="00C32C55">
      <w:pPr>
        <w:pStyle w:val="OdstavecASR"/>
        <w:rPr>
          <w:color w:val="000000" w:themeColor="text1"/>
        </w:rPr>
      </w:pPr>
      <w:r w:rsidRPr="00033A3F">
        <w:rPr>
          <w:color w:val="000000" w:themeColor="text1"/>
        </w:rPr>
        <w:t>V roce 2024 nedošlo k žádným výrazným změnám – mírně stoupl počet příchozích věcí a po loňském nárůstu mírně klesl počet vyřízených věcí. Počet nevyřízených věci po rozhodnutí o</w:t>
      </w:r>
      <w:r w:rsidR="008731EB" w:rsidRPr="00033A3F">
        <w:rPr>
          <w:color w:val="000000" w:themeColor="text1"/>
        </w:rPr>
        <w:t> </w:t>
      </w:r>
      <w:r w:rsidRPr="00033A3F">
        <w:rPr>
          <w:color w:val="000000" w:themeColor="text1"/>
        </w:rPr>
        <w:t>úpadku nadále klesá. Počet nevyřízených věcí před rozhodnutím o úpadku v tomto roce narostl.</w:t>
      </w:r>
    </w:p>
    <w:p w14:paraId="0381D8DB" w14:textId="578FF164" w:rsidR="008430BD" w:rsidRPr="00033A3F" w:rsidRDefault="008430BD" w:rsidP="008430BD">
      <w:pPr>
        <w:pStyle w:val="Nadpis3"/>
        <w:numPr>
          <w:ilvl w:val="2"/>
          <w:numId w:val="1"/>
        </w:numPr>
        <w:rPr>
          <w:color w:val="000000" w:themeColor="text1"/>
        </w:rPr>
      </w:pPr>
      <w:bookmarkStart w:id="1838" w:name="_Toc515871275"/>
      <w:bookmarkStart w:id="1839" w:name="_Toc106092782"/>
      <w:bookmarkStart w:id="1840" w:name="_Toc169250858"/>
      <w:bookmarkStart w:id="1841" w:name="_Toc193531020"/>
      <w:bookmarkStart w:id="1842" w:name="_Toc193957078"/>
      <w:bookmarkStart w:id="1843" w:name="_Toc203032766"/>
      <w:r w:rsidRPr="00033A3F">
        <w:rPr>
          <w:color w:val="000000" w:themeColor="text1"/>
        </w:rPr>
        <w:t>Vyřizování věcí v přepočtu na soudce</w:t>
      </w:r>
      <w:bookmarkEnd w:id="1838"/>
      <w:bookmarkEnd w:id="1839"/>
      <w:bookmarkEnd w:id="1840"/>
      <w:bookmarkEnd w:id="1841"/>
      <w:bookmarkEnd w:id="1842"/>
      <w:bookmarkEnd w:id="1843"/>
    </w:p>
    <w:p w14:paraId="4B6B2E6F" w14:textId="77777777" w:rsidR="00C32C55" w:rsidRPr="00033A3F" w:rsidRDefault="00C32C55" w:rsidP="00C32C55">
      <w:pPr>
        <w:pStyle w:val="OdstavecASR"/>
        <w:rPr>
          <w:color w:val="000000" w:themeColor="text1"/>
        </w:rPr>
      </w:pPr>
      <w:r w:rsidRPr="00033A3F">
        <w:rPr>
          <w:color w:val="000000" w:themeColor="text1"/>
        </w:rPr>
        <w:t>Stejně jako u ostatních agend má Ministerstvo spravedlnosti od roku 2019 k dispozici detailnější statistická data o počtu soudců na insolvenčních úsecích soudů.</w:t>
      </w:r>
    </w:p>
    <w:p w14:paraId="7F990390" w14:textId="1D104413" w:rsidR="00C32C55" w:rsidRPr="00033A3F" w:rsidRDefault="00C32C55" w:rsidP="00C32C55">
      <w:pPr>
        <w:pStyle w:val="OdstavecASR"/>
        <w:rPr>
          <w:color w:val="000000" w:themeColor="text1"/>
        </w:rPr>
      </w:pPr>
      <w:r w:rsidRPr="00033A3F">
        <w:rPr>
          <w:color w:val="000000" w:themeColor="text1"/>
        </w:rPr>
        <w:t>Přepočteme-li na soudce počet příchozích věcí a počet vyřízených věcí, výrazně nižší hodnoty než ostatní soudy vykazuje MS Praha. Je to dáno tím, že tento soud má na insolvenčním úseku relativně více soudců, protože jeho insolvenční agenda je výrazně složitější než u ostatních soudů. Je za to zodpovědný především vyšší podíl úpadků řešených konkursem</w:t>
      </w:r>
      <w:r w:rsidR="00BA120B" w:rsidRPr="00033A3F">
        <w:rPr>
          <w:color w:val="000000" w:themeColor="text1"/>
        </w:rPr>
        <w:t xml:space="preserve"> (viz statistika v podkapitole 3.7.4)</w:t>
      </w:r>
      <w:r w:rsidRPr="00033A3F">
        <w:rPr>
          <w:color w:val="000000" w:themeColor="text1"/>
        </w:rPr>
        <w:t xml:space="preserve">. </w:t>
      </w:r>
      <w:r w:rsidR="00165B9E" w:rsidRPr="00033A3F">
        <w:rPr>
          <w:color w:val="000000" w:themeColor="text1"/>
        </w:rPr>
        <w:t>Vysoká čísla v roce 2024 vykázal KS Plzeň, protože zde došlo k poklesu v počtu úvazků.</w:t>
      </w:r>
    </w:p>
    <w:p w14:paraId="2C2AB302" w14:textId="235EDF6D" w:rsidR="00C32C55" w:rsidRDefault="00C32C55" w:rsidP="00C32C55">
      <w:pPr>
        <w:pStyle w:val="Podnadpis"/>
        <w:numPr>
          <w:ilvl w:val="0"/>
          <w:numId w:val="0"/>
        </w:numPr>
        <w:rPr>
          <w:color w:val="000000" w:themeColor="text1"/>
        </w:rPr>
      </w:pPr>
      <w:bookmarkStart w:id="1844" w:name="_Toc144104313"/>
      <w:bookmarkStart w:id="1845" w:name="_Toc169251127"/>
      <w:bookmarkStart w:id="1846" w:name="_Toc174080813"/>
      <w:bookmarkStart w:id="1847" w:name="_Toc193530939"/>
      <w:bookmarkStart w:id="1848" w:name="_Toc194045636"/>
      <w:bookmarkStart w:id="1849" w:name="_Toc199495046"/>
      <w:bookmarkStart w:id="1850" w:name="_Toc203033107"/>
      <w:bookmarkStart w:id="1851" w:name="_Toc203033185"/>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65</w:t>
      </w:r>
      <w:r w:rsidRPr="00033A3F">
        <w:rPr>
          <w:noProof/>
          <w:color w:val="000000" w:themeColor="text1"/>
        </w:rPr>
        <w:fldChar w:fldCharType="end"/>
      </w:r>
      <w:r w:rsidRPr="00033A3F">
        <w:rPr>
          <w:color w:val="000000" w:themeColor="text1"/>
        </w:rPr>
        <w:t>: KS – vyřizování ins. věcí na skutečný úvazek dle soudů</w:t>
      </w:r>
      <w:bookmarkEnd w:id="1844"/>
      <w:r w:rsidRPr="00033A3F">
        <w:rPr>
          <w:color w:val="000000" w:themeColor="text1"/>
        </w:rPr>
        <w:t>, 202</w:t>
      </w:r>
      <w:bookmarkEnd w:id="1845"/>
      <w:bookmarkEnd w:id="1846"/>
      <w:r w:rsidR="00165B9E" w:rsidRPr="00033A3F">
        <w:rPr>
          <w:color w:val="000000" w:themeColor="text1"/>
        </w:rPr>
        <w:t>4</w:t>
      </w:r>
      <w:bookmarkEnd w:id="1847"/>
      <w:bookmarkEnd w:id="1848"/>
      <w:bookmarkEnd w:id="1849"/>
      <w:bookmarkEnd w:id="1850"/>
      <w:bookmarkEnd w:id="1851"/>
    </w:p>
    <w:tbl>
      <w:tblPr>
        <w:tblW w:w="9214" w:type="dxa"/>
        <w:tblCellMar>
          <w:left w:w="70" w:type="dxa"/>
          <w:right w:w="70" w:type="dxa"/>
        </w:tblCellMar>
        <w:tblLook w:val="04A0" w:firstRow="1" w:lastRow="0" w:firstColumn="1" w:lastColumn="0" w:noHBand="0" w:noVBand="1"/>
      </w:tblPr>
      <w:tblGrid>
        <w:gridCol w:w="2060"/>
        <w:gridCol w:w="991"/>
        <w:gridCol w:w="1060"/>
        <w:gridCol w:w="851"/>
        <w:gridCol w:w="1275"/>
        <w:gridCol w:w="851"/>
        <w:gridCol w:w="1134"/>
        <w:gridCol w:w="992"/>
      </w:tblGrid>
      <w:tr w:rsidR="00660E8C" w:rsidRPr="00660E8C" w14:paraId="2389E4D6" w14:textId="77777777" w:rsidTr="00163B51">
        <w:trPr>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3F784881" w14:textId="3DADAE30" w:rsidR="00660E8C" w:rsidRPr="00660E8C" w:rsidRDefault="00163B51" w:rsidP="00163B51">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00660E8C" w:rsidRPr="00660E8C">
              <w:rPr>
                <w:rFonts w:eastAsia="Times New Roman"/>
                <w:b/>
                <w:bCs/>
                <w:color w:val="000000"/>
                <w:szCs w:val="24"/>
                <w:lang w:eastAsia="cs-CZ"/>
              </w:rPr>
              <w:t>oud</w:t>
            </w:r>
          </w:p>
        </w:tc>
        <w:tc>
          <w:tcPr>
            <w:tcW w:w="991" w:type="dxa"/>
            <w:vMerge w:val="restart"/>
            <w:tcBorders>
              <w:top w:val="double" w:sz="6" w:space="0" w:color="auto"/>
              <w:left w:val="nil"/>
              <w:bottom w:val="double" w:sz="6" w:space="0" w:color="000000"/>
              <w:right w:val="nil"/>
            </w:tcBorders>
            <w:shd w:val="clear" w:color="auto" w:fill="auto"/>
            <w:vAlign w:val="center"/>
            <w:hideMark/>
          </w:tcPr>
          <w:p w14:paraId="04824732"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Počet úvazků</w:t>
            </w:r>
          </w:p>
        </w:tc>
        <w:tc>
          <w:tcPr>
            <w:tcW w:w="6163" w:type="dxa"/>
            <w:gridSpan w:val="6"/>
            <w:tcBorders>
              <w:top w:val="double" w:sz="6" w:space="0" w:color="auto"/>
              <w:left w:val="nil"/>
              <w:bottom w:val="nil"/>
              <w:right w:val="nil"/>
            </w:tcBorders>
            <w:shd w:val="clear" w:color="auto" w:fill="auto"/>
            <w:noWrap/>
            <w:vAlign w:val="center"/>
            <w:hideMark/>
          </w:tcPr>
          <w:p w14:paraId="14F203D6"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Počet věcí na soudce</w:t>
            </w:r>
          </w:p>
        </w:tc>
      </w:tr>
      <w:tr w:rsidR="00660E8C" w:rsidRPr="00660E8C" w14:paraId="68E7C584" w14:textId="77777777" w:rsidTr="00542EE2">
        <w:trPr>
          <w:trHeight w:val="960"/>
        </w:trPr>
        <w:tc>
          <w:tcPr>
            <w:tcW w:w="2060" w:type="dxa"/>
            <w:vMerge/>
            <w:tcBorders>
              <w:top w:val="double" w:sz="6" w:space="0" w:color="auto"/>
              <w:left w:val="nil"/>
              <w:bottom w:val="double" w:sz="6" w:space="0" w:color="000000"/>
              <w:right w:val="nil"/>
            </w:tcBorders>
            <w:vAlign w:val="center"/>
            <w:hideMark/>
          </w:tcPr>
          <w:p w14:paraId="7C1CB324" w14:textId="77777777" w:rsidR="00660E8C" w:rsidRPr="00660E8C" w:rsidRDefault="00660E8C" w:rsidP="00660E8C">
            <w:pPr>
              <w:spacing w:line="240" w:lineRule="auto"/>
              <w:jc w:val="left"/>
              <w:rPr>
                <w:rFonts w:eastAsia="Times New Roman"/>
                <w:b/>
                <w:bCs/>
                <w:color w:val="000000"/>
                <w:szCs w:val="24"/>
                <w:lang w:eastAsia="cs-CZ"/>
              </w:rPr>
            </w:pPr>
          </w:p>
        </w:tc>
        <w:tc>
          <w:tcPr>
            <w:tcW w:w="991" w:type="dxa"/>
            <w:vMerge/>
            <w:tcBorders>
              <w:top w:val="double" w:sz="6" w:space="0" w:color="auto"/>
              <w:left w:val="nil"/>
              <w:bottom w:val="double" w:sz="6" w:space="0" w:color="000000"/>
              <w:right w:val="nil"/>
            </w:tcBorders>
            <w:vAlign w:val="center"/>
            <w:hideMark/>
          </w:tcPr>
          <w:p w14:paraId="74115E44" w14:textId="77777777" w:rsidR="00660E8C" w:rsidRPr="00660E8C" w:rsidRDefault="00660E8C" w:rsidP="00660E8C">
            <w:pPr>
              <w:spacing w:line="240" w:lineRule="auto"/>
              <w:jc w:val="left"/>
              <w:rPr>
                <w:rFonts w:eastAsia="Times New Roman"/>
                <w:b/>
                <w:bCs/>
                <w:color w:val="000000"/>
                <w:szCs w:val="24"/>
                <w:lang w:eastAsia="cs-CZ"/>
              </w:rPr>
            </w:pPr>
          </w:p>
        </w:tc>
        <w:tc>
          <w:tcPr>
            <w:tcW w:w="1911" w:type="dxa"/>
            <w:gridSpan w:val="2"/>
            <w:tcBorders>
              <w:top w:val="nil"/>
              <w:left w:val="nil"/>
              <w:bottom w:val="double" w:sz="6" w:space="0" w:color="auto"/>
              <w:right w:val="nil"/>
            </w:tcBorders>
            <w:shd w:val="clear" w:color="auto" w:fill="auto"/>
            <w:noWrap/>
            <w:vAlign w:val="center"/>
            <w:hideMark/>
          </w:tcPr>
          <w:p w14:paraId="595A5003"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Nápad + obživlé věci</w:t>
            </w:r>
          </w:p>
        </w:tc>
        <w:tc>
          <w:tcPr>
            <w:tcW w:w="212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8BC5FEC"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Vyřízeno</w:t>
            </w:r>
          </w:p>
        </w:tc>
        <w:tc>
          <w:tcPr>
            <w:tcW w:w="2126" w:type="dxa"/>
            <w:gridSpan w:val="2"/>
            <w:tcBorders>
              <w:top w:val="nil"/>
              <w:left w:val="nil"/>
              <w:bottom w:val="double" w:sz="6" w:space="0" w:color="auto"/>
              <w:right w:val="nil"/>
            </w:tcBorders>
            <w:shd w:val="clear" w:color="auto" w:fill="auto"/>
            <w:vAlign w:val="center"/>
            <w:hideMark/>
          </w:tcPr>
          <w:p w14:paraId="6DB8E2F5"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Nevyřízeno před rozh. o úpadku</w:t>
            </w:r>
          </w:p>
        </w:tc>
      </w:tr>
      <w:tr w:rsidR="00660E8C" w:rsidRPr="00660E8C" w14:paraId="7BFD1F0E" w14:textId="77777777" w:rsidTr="00542EE2">
        <w:trPr>
          <w:trHeight w:val="330"/>
        </w:trPr>
        <w:tc>
          <w:tcPr>
            <w:tcW w:w="2060" w:type="dxa"/>
            <w:tcBorders>
              <w:top w:val="single" w:sz="4" w:space="0" w:color="auto"/>
              <w:left w:val="nil"/>
              <w:bottom w:val="single" w:sz="4" w:space="0" w:color="auto"/>
              <w:right w:val="nil"/>
            </w:tcBorders>
            <w:shd w:val="clear" w:color="auto" w:fill="auto"/>
            <w:noWrap/>
            <w:vAlign w:val="bottom"/>
            <w:hideMark/>
          </w:tcPr>
          <w:p w14:paraId="1E91442E"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MS Praha</w:t>
            </w:r>
          </w:p>
        </w:tc>
        <w:tc>
          <w:tcPr>
            <w:tcW w:w="991" w:type="dxa"/>
            <w:tcBorders>
              <w:top w:val="single" w:sz="4" w:space="0" w:color="auto"/>
              <w:left w:val="nil"/>
              <w:bottom w:val="single" w:sz="4" w:space="0" w:color="auto"/>
              <w:right w:val="nil"/>
            </w:tcBorders>
            <w:shd w:val="clear" w:color="auto" w:fill="auto"/>
            <w:vAlign w:val="bottom"/>
            <w:hideMark/>
          </w:tcPr>
          <w:p w14:paraId="45F1496A" w14:textId="53752CA8"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18</w:t>
            </w:r>
            <w:r>
              <w:rPr>
                <w:rFonts w:eastAsia="Times New Roman"/>
                <w:color w:val="000000"/>
                <w:szCs w:val="24"/>
                <w:lang w:eastAsia="cs-CZ"/>
              </w:rPr>
              <w:t>,</w:t>
            </w:r>
            <w:r w:rsidRPr="00660E8C">
              <w:rPr>
                <w:rFonts w:eastAsia="Times New Roman"/>
                <w:color w:val="000000"/>
                <w:szCs w:val="24"/>
                <w:lang w:eastAsia="cs-CZ"/>
              </w:rPr>
              <w:t>4</w:t>
            </w:r>
          </w:p>
        </w:tc>
        <w:tc>
          <w:tcPr>
            <w:tcW w:w="1060" w:type="dxa"/>
            <w:tcBorders>
              <w:top w:val="single" w:sz="4" w:space="0" w:color="auto"/>
              <w:left w:val="nil"/>
              <w:bottom w:val="single" w:sz="4" w:space="0" w:color="auto"/>
              <w:right w:val="nil"/>
            </w:tcBorders>
            <w:shd w:val="clear" w:color="auto" w:fill="auto"/>
            <w:noWrap/>
            <w:vAlign w:val="bottom"/>
            <w:hideMark/>
          </w:tcPr>
          <w:p w14:paraId="549A43E5" w14:textId="7D5A68C5"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128</w:t>
            </w:r>
            <w:r>
              <w:rPr>
                <w:rFonts w:eastAsia="Times New Roman"/>
                <w:color w:val="000000"/>
                <w:szCs w:val="24"/>
                <w:lang w:eastAsia="cs-CZ"/>
              </w:rPr>
              <w:t>,</w:t>
            </w:r>
            <w:r w:rsidRPr="00660E8C">
              <w:rPr>
                <w:rFonts w:eastAsia="Times New Roman"/>
                <w:color w:val="000000"/>
                <w:szCs w:val="24"/>
                <w:lang w:eastAsia="cs-CZ"/>
              </w:rPr>
              <w:t>97</w:t>
            </w:r>
          </w:p>
        </w:tc>
        <w:tc>
          <w:tcPr>
            <w:tcW w:w="851" w:type="dxa"/>
            <w:tcBorders>
              <w:top w:val="single" w:sz="4" w:space="0" w:color="auto"/>
              <w:left w:val="nil"/>
              <w:bottom w:val="single" w:sz="4" w:space="0" w:color="auto"/>
              <w:right w:val="nil"/>
            </w:tcBorders>
            <w:shd w:val="clear" w:color="auto" w:fill="auto"/>
            <w:noWrap/>
            <w:vAlign w:val="center"/>
            <w:hideMark/>
          </w:tcPr>
          <w:p w14:paraId="3D2B809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-14 %  </w:t>
            </w:r>
          </w:p>
        </w:tc>
        <w:tc>
          <w:tcPr>
            <w:tcW w:w="1275" w:type="dxa"/>
            <w:tcBorders>
              <w:top w:val="nil"/>
              <w:left w:val="single" w:sz="4" w:space="0" w:color="auto"/>
              <w:bottom w:val="single" w:sz="4" w:space="0" w:color="auto"/>
              <w:right w:val="nil"/>
            </w:tcBorders>
            <w:shd w:val="clear" w:color="auto" w:fill="auto"/>
            <w:noWrap/>
            <w:vAlign w:val="bottom"/>
            <w:hideMark/>
          </w:tcPr>
          <w:p w14:paraId="48F1A109" w14:textId="0B46B9F1"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131</w:t>
            </w:r>
            <w:r>
              <w:rPr>
                <w:rFonts w:eastAsia="Times New Roman"/>
                <w:color w:val="000000"/>
                <w:szCs w:val="24"/>
                <w:lang w:eastAsia="cs-CZ"/>
              </w:rPr>
              <w:t>,</w:t>
            </w:r>
            <w:r w:rsidRPr="00660E8C">
              <w:rPr>
                <w:rFonts w:eastAsia="Times New Roman"/>
                <w:color w:val="000000"/>
                <w:szCs w:val="24"/>
                <w:lang w:eastAsia="cs-CZ"/>
              </w:rPr>
              <w:t>74</w:t>
            </w:r>
          </w:p>
        </w:tc>
        <w:tc>
          <w:tcPr>
            <w:tcW w:w="851" w:type="dxa"/>
            <w:tcBorders>
              <w:top w:val="nil"/>
              <w:left w:val="nil"/>
              <w:bottom w:val="single" w:sz="4" w:space="0" w:color="auto"/>
              <w:right w:val="single" w:sz="4" w:space="0" w:color="auto"/>
            </w:tcBorders>
            <w:shd w:val="clear" w:color="auto" w:fill="auto"/>
            <w:noWrap/>
            <w:vAlign w:val="center"/>
            <w:hideMark/>
          </w:tcPr>
          <w:p w14:paraId="78BBB13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+39 %  </w:t>
            </w:r>
          </w:p>
        </w:tc>
        <w:tc>
          <w:tcPr>
            <w:tcW w:w="1134" w:type="dxa"/>
            <w:tcBorders>
              <w:top w:val="single" w:sz="4" w:space="0" w:color="auto"/>
              <w:left w:val="nil"/>
              <w:bottom w:val="single" w:sz="4" w:space="0" w:color="auto"/>
              <w:right w:val="nil"/>
            </w:tcBorders>
            <w:shd w:val="clear" w:color="auto" w:fill="auto"/>
            <w:noWrap/>
            <w:vAlign w:val="bottom"/>
            <w:hideMark/>
          </w:tcPr>
          <w:p w14:paraId="538B11E7" w14:textId="532E293D"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22</w:t>
            </w:r>
            <w:r>
              <w:rPr>
                <w:rFonts w:eastAsia="Times New Roman"/>
                <w:color w:val="000000"/>
                <w:szCs w:val="24"/>
                <w:lang w:eastAsia="cs-CZ"/>
              </w:rPr>
              <w:t>,</w:t>
            </w:r>
            <w:r w:rsidRPr="00660E8C">
              <w:rPr>
                <w:rFonts w:eastAsia="Times New Roman"/>
                <w:color w:val="000000"/>
                <w:szCs w:val="24"/>
                <w:lang w:eastAsia="cs-CZ"/>
              </w:rPr>
              <w:t>72</w:t>
            </w:r>
          </w:p>
        </w:tc>
        <w:tc>
          <w:tcPr>
            <w:tcW w:w="992" w:type="dxa"/>
            <w:tcBorders>
              <w:top w:val="single" w:sz="4" w:space="0" w:color="auto"/>
              <w:left w:val="nil"/>
              <w:bottom w:val="single" w:sz="4" w:space="0" w:color="auto"/>
              <w:right w:val="nil"/>
            </w:tcBorders>
            <w:shd w:val="clear" w:color="auto" w:fill="auto"/>
            <w:noWrap/>
            <w:vAlign w:val="center"/>
            <w:hideMark/>
          </w:tcPr>
          <w:p w14:paraId="193AB34C"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-8 %  </w:t>
            </w:r>
          </w:p>
        </w:tc>
      </w:tr>
      <w:tr w:rsidR="00660E8C" w:rsidRPr="00660E8C" w14:paraId="59DA138B"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389D61FC"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Praha</w:t>
            </w:r>
          </w:p>
        </w:tc>
        <w:tc>
          <w:tcPr>
            <w:tcW w:w="991" w:type="dxa"/>
            <w:tcBorders>
              <w:top w:val="nil"/>
              <w:left w:val="nil"/>
              <w:bottom w:val="single" w:sz="4" w:space="0" w:color="auto"/>
              <w:right w:val="nil"/>
            </w:tcBorders>
            <w:shd w:val="clear" w:color="auto" w:fill="auto"/>
            <w:vAlign w:val="bottom"/>
            <w:hideMark/>
          </w:tcPr>
          <w:p w14:paraId="08C4CACE" w14:textId="333B066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11</w:t>
            </w:r>
            <w:r>
              <w:rPr>
                <w:rFonts w:eastAsia="Times New Roman"/>
                <w:color w:val="000000"/>
                <w:szCs w:val="24"/>
                <w:lang w:eastAsia="cs-CZ"/>
              </w:rPr>
              <w:t>,</w:t>
            </w:r>
            <w:r w:rsidRPr="00660E8C">
              <w:rPr>
                <w:rFonts w:eastAsia="Times New Roman"/>
                <w:color w:val="000000"/>
                <w:szCs w:val="24"/>
                <w:lang w:eastAsia="cs-CZ"/>
              </w:rPr>
              <w:t>7</w:t>
            </w:r>
          </w:p>
        </w:tc>
        <w:tc>
          <w:tcPr>
            <w:tcW w:w="1060" w:type="dxa"/>
            <w:tcBorders>
              <w:top w:val="nil"/>
              <w:left w:val="nil"/>
              <w:bottom w:val="single" w:sz="4" w:space="0" w:color="auto"/>
              <w:right w:val="nil"/>
            </w:tcBorders>
            <w:shd w:val="clear" w:color="auto" w:fill="auto"/>
            <w:noWrap/>
            <w:vAlign w:val="bottom"/>
            <w:hideMark/>
          </w:tcPr>
          <w:p w14:paraId="00A4F48A" w14:textId="6B38B055"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233</w:t>
            </w:r>
            <w:r>
              <w:rPr>
                <w:rFonts w:eastAsia="Times New Roman"/>
                <w:color w:val="000000"/>
                <w:szCs w:val="24"/>
                <w:lang w:eastAsia="cs-CZ"/>
              </w:rPr>
              <w:t>,</w:t>
            </w:r>
            <w:r w:rsidRPr="00660E8C">
              <w:rPr>
                <w:rFonts w:eastAsia="Times New Roman"/>
                <w:color w:val="000000"/>
                <w:szCs w:val="24"/>
                <w:lang w:eastAsia="cs-CZ"/>
              </w:rPr>
              <w:t>68</w:t>
            </w:r>
          </w:p>
        </w:tc>
        <w:tc>
          <w:tcPr>
            <w:tcW w:w="851" w:type="dxa"/>
            <w:tcBorders>
              <w:top w:val="nil"/>
              <w:left w:val="nil"/>
              <w:bottom w:val="single" w:sz="4" w:space="0" w:color="auto"/>
              <w:right w:val="nil"/>
            </w:tcBorders>
            <w:shd w:val="clear" w:color="auto" w:fill="auto"/>
            <w:noWrap/>
            <w:vAlign w:val="center"/>
            <w:hideMark/>
          </w:tcPr>
          <w:p w14:paraId="53461258"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-14 %  </w:t>
            </w:r>
          </w:p>
        </w:tc>
        <w:tc>
          <w:tcPr>
            <w:tcW w:w="1275" w:type="dxa"/>
            <w:tcBorders>
              <w:top w:val="nil"/>
              <w:left w:val="single" w:sz="4" w:space="0" w:color="auto"/>
              <w:bottom w:val="single" w:sz="4" w:space="0" w:color="auto"/>
              <w:right w:val="nil"/>
            </w:tcBorders>
            <w:shd w:val="clear" w:color="auto" w:fill="auto"/>
            <w:noWrap/>
            <w:vAlign w:val="bottom"/>
            <w:hideMark/>
          </w:tcPr>
          <w:p w14:paraId="423AAD5C" w14:textId="1AF03E29"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267</w:t>
            </w:r>
            <w:r>
              <w:rPr>
                <w:rFonts w:eastAsia="Times New Roman"/>
                <w:color w:val="000000"/>
                <w:szCs w:val="24"/>
                <w:lang w:eastAsia="cs-CZ"/>
              </w:rPr>
              <w:t>,</w:t>
            </w:r>
            <w:r w:rsidRPr="00660E8C">
              <w:rPr>
                <w:rFonts w:eastAsia="Times New Roman"/>
                <w:color w:val="000000"/>
                <w:szCs w:val="24"/>
                <w:lang w:eastAsia="cs-CZ"/>
              </w:rPr>
              <w:t>26</w:t>
            </w:r>
          </w:p>
        </w:tc>
        <w:tc>
          <w:tcPr>
            <w:tcW w:w="851" w:type="dxa"/>
            <w:tcBorders>
              <w:top w:val="nil"/>
              <w:left w:val="nil"/>
              <w:bottom w:val="single" w:sz="4" w:space="0" w:color="auto"/>
              <w:right w:val="single" w:sz="4" w:space="0" w:color="auto"/>
            </w:tcBorders>
            <w:shd w:val="clear" w:color="auto" w:fill="auto"/>
            <w:noWrap/>
            <w:vAlign w:val="center"/>
            <w:hideMark/>
          </w:tcPr>
          <w:p w14:paraId="60197D3C"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+16 %  </w:t>
            </w:r>
          </w:p>
        </w:tc>
        <w:tc>
          <w:tcPr>
            <w:tcW w:w="1134" w:type="dxa"/>
            <w:tcBorders>
              <w:top w:val="nil"/>
              <w:left w:val="nil"/>
              <w:bottom w:val="single" w:sz="4" w:space="0" w:color="auto"/>
              <w:right w:val="nil"/>
            </w:tcBorders>
            <w:shd w:val="clear" w:color="auto" w:fill="auto"/>
            <w:noWrap/>
            <w:vAlign w:val="bottom"/>
            <w:hideMark/>
          </w:tcPr>
          <w:p w14:paraId="4CE64654" w14:textId="048F66FF"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12</w:t>
            </w:r>
            <w:r>
              <w:rPr>
                <w:rFonts w:eastAsia="Times New Roman"/>
                <w:color w:val="000000"/>
                <w:szCs w:val="24"/>
                <w:lang w:eastAsia="cs-CZ"/>
              </w:rPr>
              <w:t>,</w:t>
            </w:r>
            <w:r w:rsidRPr="00660E8C">
              <w:rPr>
                <w:rFonts w:eastAsia="Times New Roman"/>
                <w:color w:val="000000"/>
                <w:szCs w:val="24"/>
                <w:lang w:eastAsia="cs-CZ"/>
              </w:rPr>
              <w:t>56</w:t>
            </w:r>
          </w:p>
        </w:tc>
        <w:tc>
          <w:tcPr>
            <w:tcW w:w="992" w:type="dxa"/>
            <w:tcBorders>
              <w:top w:val="nil"/>
              <w:left w:val="nil"/>
              <w:bottom w:val="single" w:sz="4" w:space="0" w:color="auto"/>
              <w:right w:val="nil"/>
            </w:tcBorders>
            <w:shd w:val="clear" w:color="auto" w:fill="auto"/>
            <w:noWrap/>
            <w:vAlign w:val="center"/>
            <w:hideMark/>
          </w:tcPr>
          <w:p w14:paraId="3924F50F"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-7 %  </w:t>
            </w:r>
          </w:p>
        </w:tc>
      </w:tr>
      <w:tr w:rsidR="00660E8C" w:rsidRPr="00660E8C" w14:paraId="4B422665"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1E2CA632"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Č. Budějovice</w:t>
            </w:r>
          </w:p>
        </w:tc>
        <w:tc>
          <w:tcPr>
            <w:tcW w:w="991" w:type="dxa"/>
            <w:tcBorders>
              <w:top w:val="nil"/>
              <w:left w:val="nil"/>
              <w:bottom w:val="single" w:sz="4" w:space="0" w:color="auto"/>
              <w:right w:val="nil"/>
            </w:tcBorders>
            <w:shd w:val="clear" w:color="auto" w:fill="auto"/>
            <w:vAlign w:val="bottom"/>
            <w:hideMark/>
          </w:tcPr>
          <w:p w14:paraId="31F098D1" w14:textId="7777777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6</w:t>
            </w:r>
          </w:p>
        </w:tc>
        <w:tc>
          <w:tcPr>
            <w:tcW w:w="1060" w:type="dxa"/>
            <w:tcBorders>
              <w:top w:val="nil"/>
              <w:left w:val="nil"/>
              <w:bottom w:val="single" w:sz="4" w:space="0" w:color="auto"/>
              <w:right w:val="nil"/>
            </w:tcBorders>
            <w:shd w:val="clear" w:color="auto" w:fill="auto"/>
            <w:noWrap/>
            <w:vAlign w:val="bottom"/>
            <w:hideMark/>
          </w:tcPr>
          <w:p w14:paraId="76235CCB" w14:textId="185F4024"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233</w:t>
            </w:r>
            <w:r>
              <w:rPr>
                <w:rFonts w:eastAsia="Times New Roman"/>
                <w:color w:val="000000"/>
                <w:szCs w:val="24"/>
                <w:lang w:eastAsia="cs-CZ"/>
              </w:rPr>
              <w:t>,</w:t>
            </w:r>
            <w:r w:rsidRPr="00660E8C">
              <w:rPr>
                <w:rFonts w:eastAsia="Times New Roman"/>
                <w:color w:val="000000"/>
                <w:szCs w:val="24"/>
                <w:lang w:eastAsia="cs-CZ"/>
              </w:rPr>
              <w:t>50</w:t>
            </w:r>
          </w:p>
        </w:tc>
        <w:tc>
          <w:tcPr>
            <w:tcW w:w="851" w:type="dxa"/>
            <w:tcBorders>
              <w:top w:val="nil"/>
              <w:left w:val="nil"/>
              <w:bottom w:val="single" w:sz="4" w:space="0" w:color="auto"/>
              <w:right w:val="nil"/>
            </w:tcBorders>
            <w:shd w:val="clear" w:color="auto" w:fill="auto"/>
            <w:noWrap/>
            <w:vAlign w:val="center"/>
            <w:hideMark/>
          </w:tcPr>
          <w:p w14:paraId="45ABD3E7"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-12 %  </w:t>
            </w:r>
          </w:p>
        </w:tc>
        <w:tc>
          <w:tcPr>
            <w:tcW w:w="1275" w:type="dxa"/>
            <w:tcBorders>
              <w:top w:val="nil"/>
              <w:left w:val="single" w:sz="4" w:space="0" w:color="auto"/>
              <w:bottom w:val="single" w:sz="4" w:space="0" w:color="auto"/>
              <w:right w:val="nil"/>
            </w:tcBorders>
            <w:shd w:val="clear" w:color="auto" w:fill="auto"/>
            <w:noWrap/>
            <w:vAlign w:val="bottom"/>
            <w:hideMark/>
          </w:tcPr>
          <w:p w14:paraId="6BED1E01" w14:textId="56DABF69"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278</w:t>
            </w:r>
            <w:r>
              <w:rPr>
                <w:rFonts w:eastAsia="Times New Roman"/>
                <w:color w:val="000000"/>
                <w:szCs w:val="24"/>
                <w:lang w:eastAsia="cs-CZ"/>
              </w:rPr>
              <w:t>,</w:t>
            </w:r>
            <w:r w:rsidRPr="00660E8C">
              <w:rPr>
                <w:rFonts w:eastAsia="Times New Roman"/>
                <w:color w:val="000000"/>
                <w:szCs w:val="24"/>
                <w:lang w:eastAsia="cs-CZ"/>
              </w:rPr>
              <w:t>67</w:t>
            </w:r>
          </w:p>
        </w:tc>
        <w:tc>
          <w:tcPr>
            <w:tcW w:w="851" w:type="dxa"/>
            <w:tcBorders>
              <w:top w:val="nil"/>
              <w:left w:val="nil"/>
              <w:bottom w:val="single" w:sz="4" w:space="0" w:color="auto"/>
              <w:right w:val="single" w:sz="4" w:space="0" w:color="auto"/>
            </w:tcBorders>
            <w:shd w:val="clear" w:color="auto" w:fill="auto"/>
            <w:noWrap/>
            <w:vAlign w:val="center"/>
            <w:hideMark/>
          </w:tcPr>
          <w:p w14:paraId="02A50B72"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-6 %  </w:t>
            </w:r>
          </w:p>
        </w:tc>
        <w:tc>
          <w:tcPr>
            <w:tcW w:w="1134" w:type="dxa"/>
            <w:tcBorders>
              <w:top w:val="nil"/>
              <w:left w:val="nil"/>
              <w:bottom w:val="single" w:sz="4" w:space="0" w:color="auto"/>
              <w:right w:val="nil"/>
            </w:tcBorders>
            <w:shd w:val="clear" w:color="auto" w:fill="auto"/>
            <w:noWrap/>
            <w:vAlign w:val="bottom"/>
            <w:hideMark/>
          </w:tcPr>
          <w:p w14:paraId="10B4CA4A" w14:textId="6567225A"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8</w:t>
            </w:r>
            <w:r>
              <w:rPr>
                <w:rFonts w:eastAsia="Times New Roman"/>
                <w:color w:val="000000"/>
                <w:szCs w:val="24"/>
                <w:lang w:eastAsia="cs-CZ"/>
              </w:rPr>
              <w:t>,</w:t>
            </w:r>
            <w:r w:rsidRPr="00660E8C">
              <w:rPr>
                <w:rFonts w:eastAsia="Times New Roman"/>
                <w:color w:val="000000"/>
                <w:szCs w:val="24"/>
                <w:lang w:eastAsia="cs-CZ"/>
              </w:rPr>
              <w:t>50</w:t>
            </w:r>
          </w:p>
        </w:tc>
        <w:tc>
          <w:tcPr>
            <w:tcW w:w="992" w:type="dxa"/>
            <w:tcBorders>
              <w:top w:val="nil"/>
              <w:left w:val="nil"/>
              <w:bottom w:val="single" w:sz="4" w:space="0" w:color="auto"/>
              <w:right w:val="nil"/>
            </w:tcBorders>
            <w:shd w:val="clear" w:color="auto" w:fill="auto"/>
            <w:noWrap/>
            <w:vAlign w:val="center"/>
            <w:hideMark/>
          </w:tcPr>
          <w:p w14:paraId="02C1435E"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-5 %  </w:t>
            </w:r>
          </w:p>
        </w:tc>
      </w:tr>
      <w:tr w:rsidR="00660E8C" w:rsidRPr="00660E8C" w14:paraId="7C9022CC"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43C7C1D7"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Plzeň</w:t>
            </w:r>
          </w:p>
        </w:tc>
        <w:tc>
          <w:tcPr>
            <w:tcW w:w="991" w:type="dxa"/>
            <w:tcBorders>
              <w:top w:val="nil"/>
              <w:left w:val="nil"/>
              <w:bottom w:val="single" w:sz="4" w:space="0" w:color="auto"/>
              <w:right w:val="nil"/>
            </w:tcBorders>
            <w:shd w:val="clear" w:color="auto" w:fill="auto"/>
            <w:vAlign w:val="bottom"/>
            <w:hideMark/>
          </w:tcPr>
          <w:p w14:paraId="61643B15" w14:textId="0216498F"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5</w:t>
            </w:r>
            <w:r>
              <w:rPr>
                <w:rFonts w:eastAsia="Times New Roman"/>
                <w:color w:val="000000"/>
                <w:szCs w:val="24"/>
                <w:lang w:eastAsia="cs-CZ"/>
              </w:rPr>
              <w:t>,</w:t>
            </w:r>
            <w:r w:rsidRPr="00660E8C">
              <w:rPr>
                <w:rFonts w:eastAsia="Times New Roman"/>
                <w:color w:val="000000"/>
                <w:szCs w:val="24"/>
                <w:lang w:eastAsia="cs-CZ"/>
              </w:rPr>
              <w:t>35</w:t>
            </w:r>
          </w:p>
        </w:tc>
        <w:tc>
          <w:tcPr>
            <w:tcW w:w="1060" w:type="dxa"/>
            <w:tcBorders>
              <w:top w:val="nil"/>
              <w:left w:val="nil"/>
              <w:bottom w:val="single" w:sz="4" w:space="0" w:color="auto"/>
              <w:right w:val="nil"/>
            </w:tcBorders>
            <w:shd w:val="clear" w:color="auto" w:fill="auto"/>
            <w:noWrap/>
            <w:vAlign w:val="bottom"/>
            <w:hideMark/>
          </w:tcPr>
          <w:p w14:paraId="5D3B76A2" w14:textId="155A7A73"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365</w:t>
            </w:r>
            <w:r>
              <w:rPr>
                <w:rFonts w:eastAsia="Times New Roman"/>
                <w:color w:val="000000"/>
                <w:szCs w:val="24"/>
                <w:lang w:eastAsia="cs-CZ"/>
              </w:rPr>
              <w:t>,</w:t>
            </w:r>
            <w:r w:rsidRPr="00660E8C">
              <w:rPr>
                <w:rFonts w:eastAsia="Times New Roman"/>
                <w:color w:val="000000"/>
                <w:szCs w:val="24"/>
                <w:lang w:eastAsia="cs-CZ"/>
              </w:rPr>
              <w:t>05</w:t>
            </w:r>
          </w:p>
        </w:tc>
        <w:tc>
          <w:tcPr>
            <w:tcW w:w="851" w:type="dxa"/>
            <w:tcBorders>
              <w:top w:val="nil"/>
              <w:left w:val="nil"/>
              <w:bottom w:val="single" w:sz="4" w:space="0" w:color="auto"/>
              <w:right w:val="nil"/>
            </w:tcBorders>
            <w:shd w:val="clear" w:color="auto" w:fill="auto"/>
            <w:noWrap/>
            <w:vAlign w:val="center"/>
            <w:hideMark/>
          </w:tcPr>
          <w:p w14:paraId="4D43152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+30 %  </w:t>
            </w:r>
          </w:p>
        </w:tc>
        <w:tc>
          <w:tcPr>
            <w:tcW w:w="1275" w:type="dxa"/>
            <w:tcBorders>
              <w:top w:val="nil"/>
              <w:left w:val="single" w:sz="4" w:space="0" w:color="auto"/>
              <w:bottom w:val="single" w:sz="4" w:space="0" w:color="auto"/>
              <w:right w:val="nil"/>
            </w:tcBorders>
            <w:shd w:val="clear" w:color="auto" w:fill="auto"/>
            <w:noWrap/>
            <w:vAlign w:val="bottom"/>
            <w:hideMark/>
          </w:tcPr>
          <w:p w14:paraId="218FF72D" w14:textId="7BE293E9"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431</w:t>
            </w:r>
            <w:r>
              <w:rPr>
                <w:rFonts w:eastAsia="Times New Roman"/>
                <w:color w:val="000000"/>
                <w:szCs w:val="24"/>
                <w:lang w:eastAsia="cs-CZ"/>
              </w:rPr>
              <w:t>,</w:t>
            </w:r>
            <w:r w:rsidRPr="00660E8C">
              <w:rPr>
                <w:rFonts w:eastAsia="Times New Roman"/>
                <w:color w:val="000000"/>
                <w:szCs w:val="24"/>
                <w:lang w:eastAsia="cs-CZ"/>
              </w:rPr>
              <w:t>40</w:t>
            </w:r>
          </w:p>
        </w:tc>
        <w:tc>
          <w:tcPr>
            <w:tcW w:w="851" w:type="dxa"/>
            <w:tcBorders>
              <w:top w:val="nil"/>
              <w:left w:val="nil"/>
              <w:bottom w:val="single" w:sz="4" w:space="0" w:color="auto"/>
              <w:right w:val="single" w:sz="4" w:space="0" w:color="auto"/>
            </w:tcBorders>
            <w:shd w:val="clear" w:color="auto" w:fill="auto"/>
            <w:noWrap/>
            <w:vAlign w:val="center"/>
            <w:hideMark/>
          </w:tcPr>
          <w:p w14:paraId="2B0A4A0C"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+168 %  </w:t>
            </w:r>
          </w:p>
        </w:tc>
        <w:tc>
          <w:tcPr>
            <w:tcW w:w="1134" w:type="dxa"/>
            <w:tcBorders>
              <w:top w:val="nil"/>
              <w:left w:val="nil"/>
              <w:bottom w:val="single" w:sz="4" w:space="0" w:color="auto"/>
              <w:right w:val="nil"/>
            </w:tcBorders>
            <w:shd w:val="clear" w:color="auto" w:fill="auto"/>
            <w:noWrap/>
            <w:vAlign w:val="bottom"/>
            <w:hideMark/>
          </w:tcPr>
          <w:p w14:paraId="44C779E3" w14:textId="529DCE0E"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60</w:t>
            </w:r>
            <w:r>
              <w:rPr>
                <w:rFonts w:eastAsia="Times New Roman"/>
                <w:color w:val="000000"/>
                <w:szCs w:val="24"/>
                <w:lang w:eastAsia="cs-CZ"/>
              </w:rPr>
              <w:t>,</w:t>
            </w:r>
            <w:r w:rsidRPr="00660E8C">
              <w:rPr>
                <w:rFonts w:eastAsia="Times New Roman"/>
                <w:color w:val="000000"/>
                <w:szCs w:val="24"/>
                <w:lang w:eastAsia="cs-CZ"/>
              </w:rPr>
              <w:t>00</w:t>
            </w:r>
          </w:p>
        </w:tc>
        <w:tc>
          <w:tcPr>
            <w:tcW w:w="992" w:type="dxa"/>
            <w:tcBorders>
              <w:top w:val="nil"/>
              <w:left w:val="nil"/>
              <w:bottom w:val="single" w:sz="4" w:space="0" w:color="auto"/>
              <w:right w:val="nil"/>
            </w:tcBorders>
            <w:shd w:val="clear" w:color="auto" w:fill="auto"/>
            <w:noWrap/>
            <w:vAlign w:val="center"/>
            <w:hideMark/>
          </w:tcPr>
          <w:p w14:paraId="339BD6E7"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+48 %  </w:t>
            </w:r>
          </w:p>
        </w:tc>
      </w:tr>
      <w:tr w:rsidR="00660E8C" w:rsidRPr="00660E8C" w14:paraId="0C91597C"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4093E5DE"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Ústí n. Labem</w:t>
            </w:r>
          </w:p>
        </w:tc>
        <w:tc>
          <w:tcPr>
            <w:tcW w:w="991" w:type="dxa"/>
            <w:tcBorders>
              <w:top w:val="nil"/>
              <w:left w:val="nil"/>
              <w:bottom w:val="single" w:sz="4" w:space="0" w:color="auto"/>
              <w:right w:val="nil"/>
            </w:tcBorders>
            <w:shd w:val="clear" w:color="auto" w:fill="auto"/>
            <w:vAlign w:val="bottom"/>
            <w:hideMark/>
          </w:tcPr>
          <w:p w14:paraId="04E655EF" w14:textId="3AE5827B"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14</w:t>
            </w:r>
            <w:r>
              <w:rPr>
                <w:rFonts w:eastAsia="Times New Roman"/>
                <w:color w:val="000000"/>
                <w:szCs w:val="24"/>
                <w:lang w:eastAsia="cs-CZ"/>
              </w:rPr>
              <w:t>,</w:t>
            </w:r>
            <w:r w:rsidRPr="00660E8C">
              <w:rPr>
                <w:rFonts w:eastAsia="Times New Roman"/>
                <w:color w:val="000000"/>
                <w:szCs w:val="24"/>
                <w:lang w:eastAsia="cs-CZ"/>
              </w:rPr>
              <w:t>77</w:t>
            </w:r>
          </w:p>
        </w:tc>
        <w:tc>
          <w:tcPr>
            <w:tcW w:w="1060" w:type="dxa"/>
            <w:tcBorders>
              <w:top w:val="nil"/>
              <w:left w:val="nil"/>
              <w:bottom w:val="single" w:sz="4" w:space="0" w:color="auto"/>
              <w:right w:val="nil"/>
            </w:tcBorders>
            <w:shd w:val="clear" w:color="auto" w:fill="auto"/>
            <w:noWrap/>
            <w:vAlign w:val="bottom"/>
            <w:hideMark/>
          </w:tcPr>
          <w:p w14:paraId="137B74F7" w14:textId="49356B03"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238</w:t>
            </w:r>
            <w:r>
              <w:rPr>
                <w:rFonts w:eastAsia="Times New Roman"/>
                <w:color w:val="000000"/>
                <w:szCs w:val="24"/>
                <w:lang w:eastAsia="cs-CZ"/>
              </w:rPr>
              <w:t>,</w:t>
            </w:r>
            <w:r w:rsidRPr="00660E8C">
              <w:rPr>
                <w:rFonts w:eastAsia="Times New Roman"/>
                <w:color w:val="000000"/>
                <w:szCs w:val="24"/>
                <w:lang w:eastAsia="cs-CZ"/>
              </w:rPr>
              <w:t>39</w:t>
            </w:r>
          </w:p>
        </w:tc>
        <w:tc>
          <w:tcPr>
            <w:tcW w:w="851" w:type="dxa"/>
            <w:tcBorders>
              <w:top w:val="nil"/>
              <w:left w:val="nil"/>
              <w:bottom w:val="single" w:sz="4" w:space="0" w:color="auto"/>
              <w:right w:val="nil"/>
            </w:tcBorders>
            <w:shd w:val="clear" w:color="auto" w:fill="auto"/>
            <w:noWrap/>
            <w:vAlign w:val="center"/>
            <w:hideMark/>
          </w:tcPr>
          <w:p w14:paraId="0242D19F"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-10 %  </w:t>
            </w:r>
          </w:p>
        </w:tc>
        <w:tc>
          <w:tcPr>
            <w:tcW w:w="1275" w:type="dxa"/>
            <w:tcBorders>
              <w:top w:val="nil"/>
              <w:left w:val="single" w:sz="4" w:space="0" w:color="auto"/>
              <w:bottom w:val="single" w:sz="4" w:space="0" w:color="auto"/>
              <w:right w:val="nil"/>
            </w:tcBorders>
            <w:shd w:val="clear" w:color="auto" w:fill="auto"/>
            <w:noWrap/>
            <w:vAlign w:val="bottom"/>
            <w:hideMark/>
          </w:tcPr>
          <w:p w14:paraId="5870627A" w14:textId="29C129AD"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282</w:t>
            </w:r>
            <w:r>
              <w:rPr>
                <w:rFonts w:eastAsia="Times New Roman"/>
                <w:color w:val="000000"/>
                <w:szCs w:val="24"/>
                <w:lang w:eastAsia="cs-CZ"/>
              </w:rPr>
              <w:t>,</w:t>
            </w:r>
            <w:r w:rsidRPr="00660E8C">
              <w:rPr>
                <w:rFonts w:eastAsia="Times New Roman"/>
                <w:color w:val="000000"/>
                <w:szCs w:val="24"/>
                <w:lang w:eastAsia="cs-CZ"/>
              </w:rPr>
              <w:t>46</w:t>
            </w:r>
          </w:p>
        </w:tc>
        <w:tc>
          <w:tcPr>
            <w:tcW w:w="851" w:type="dxa"/>
            <w:tcBorders>
              <w:top w:val="nil"/>
              <w:left w:val="nil"/>
              <w:bottom w:val="single" w:sz="4" w:space="0" w:color="auto"/>
              <w:right w:val="single" w:sz="4" w:space="0" w:color="auto"/>
            </w:tcBorders>
            <w:shd w:val="clear" w:color="auto" w:fill="auto"/>
            <w:noWrap/>
            <w:vAlign w:val="center"/>
            <w:hideMark/>
          </w:tcPr>
          <w:p w14:paraId="6A7ED87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+65 %  </w:t>
            </w:r>
          </w:p>
        </w:tc>
        <w:tc>
          <w:tcPr>
            <w:tcW w:w="1134" w:type="dxa"/>
            <w:tcBorders>
              <w:top w:val="nil"/>
              <w:left w:val="nil"/>
              <w:bottom w:val="single" w:sz="4" w:space="0" w:color="auto"/>
              <w:right w:val="nil"/>
            </w:tcBorders>
            <w:shd w:val="clear" w:color="auto" w:fill="auto"/>
            <w:noWrap/>
            <w:vAlign w:val="bottom"/>
            <w:hideMark/>
          </w:tcPr>
          <w:p w14:paraId="1F43E8B0" w14:textId="319B52A0"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15</w:t>
            </w:r>
            <w:r>
              <w:rPr>
                <w:rFonts w:eastAsia="Times New Roman"/>
                <w:color w:val="000000"/>
                <w:szCs w:val="24"/>
                <w:lang w:eastAsia="cs-CZ"/>
              </w:rPr>
              <w:t>,</w:t>
            </w:r>
            <w:r w:rsidRPr="00660E8C">
              <w:rPr>
                <w:rFonts w:eastAsia="Times New Roman"/>
                <w:color w:val="000000"/>
                <w:szCs w:val="24"/>
                <w:lang w:eastAsia="cs-CZ"/>
              </w:rPr>
              <w:t>57</w:t>
            </w:r>
          </w:p>
        </w:tc>
        <w:tc>
          <w:tcPr>
            <w:tcW w:w="992" w:type="dxa"/>
            <w:tcBorders>
              <w:top w:val="nil"/>
              <w:left w:val="nil"/>
              <w:bottom w:val="single" w:sz="4" w:space="0" w:color="auto"/>
              <w:right w:val="nil"/>
            </w:tcBorders>
            <w:shd w:val="clear" w:color="auto" w:fill="auto"/>
            <w:noWrap/>
            <w:vAlign w:val="center"/>
            <w:hideMark/>
          </w:tcPr>
          <w:p w14:paraId="0B426109"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-0 %  </w:t>
            </w:r>
          </w:p>
        </w:tc>
      </w:tr>
      <w:tr w:rsidR="00660E8C" w:rsidRPr="00660E8C" w14:paraId="00A13A85"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3F229AE7"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Hr. Králové</w:t>
            </w:r>
          </w:p>
        </w:tc>
        <w:tc>
          <w:tcPr>
            <w:tcW w:w="991" w:type="dxa"/>
            <w:tcBorders>
              <w:top w:val="nil"/>
              <w:left w:val="nil"/>
              <w:bottom w:val="single" w:sz="4" w:space="0" w:color="auto"/>
              <w:right w:val="nil"/>
            </w:tcBorders>
            <w:shd w:val="clear" w:color="auto" w:fill="auto"/>
            <w:vAlign w:val="bottom"/>
            <w:hideMark/>
          </w:tcPr>
          <w:p w14:paraId="2D9D53E1" w14:textId="37069095"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8</w:t>
            </w:r>
            <w:r>
              <w:rPr>
                <w:rFonts w:eastAsia="Times New Roman"/>
                <w:color w:val="000000"/>
                <w:szCs w:val="24"/>
                <w:lang w:eastAsia="cs-CZ"/>
              </w:rPr>
              <w:t>,</w:t>
            </w:r>
            <w:r w:rsidRPr="00660E8C">
              <w:rPr>
                <w:rFonts w:eastAsia="Times New Roman"/>
                <w:color w:val="000000"/>
                <w:szCs w:val="24"/>
                <w:lang w:eastAsia="cs-CZ"/>
              </w:rPr>
              <w:t>8</w:t>
            </w:r>
          </w:p>
        </w:tc>
        <w:tc>
          <w:tcPr>
            <w:tcW w:w="1060" w:type="dxa"/>
            <w:tcBorders>
              <w:top w:val="nil"/>
              <w:left w:val="nil"/>
              <w:bottom w:val="single" w:sz="4" w:space="0" w:color="auto"/>
              <w:right w:val="nil"/>
            </w:tcBorders>
            <w:shd w:val="clear" w:color="auto" w:fill="auto"/>
            <w:noWrap/>
            <w:vAlign w:val="bottom"/>
            <w:hideMark/>
          </w:tcPr>
          <w:p w14:paraId="07A7AEEA" w14:textId="2A35BAC1"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263</w:t>
            </w:r>
            <w:r>
              <w:rPr>
                <w:rFonts w:eastAsia="Times New Roman"/>
                <w:color w:val="000000"/>
                <w:szCs w:val="24"/>
                <w:lang w:eastAsia="cs-CZ"/>
              </w:rPr>
              <w:t>,</w:t>
            </w:r>
            <w:r w:rsidRPr="00660E8C">
              <w:rPr>
                <w:rFonts w:eastAsia="Times New Roman"/>
                <w:color w:val="000000"/>
                <w:szCs w:val="24"/>
                <w:lang w:eastAsia="cs-CZ"/>
              </w:rPr>
              <w:t>98</w:t>
            </w:r>
          </w:p>
        </w:tc>
        <w:tc>
          <w:tcPr>
            <w:tcW w:w="851" w:type="dxa"/>
            <w:tcBorders>
              <w:top w:val="nil"/>
              <w:left w:val="nil"/>
              <w:bottom w:val="single" w:sz="4" w:space="0" w:color="auto"/>
              <w:right w:val="nil"/>
            </w:tcBorders>
            <w:shd w:val="clear" w:color="auto" w:fill="auto"/>
            <w:noWrap/>
            <w:vAlign w:val="center"/>
            <w:hideMark/>
          </w:tcPr>
          <w:p w14:paraId="46EE081F"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-10 %  </w:t>
            </w:r>
          </w:p>
        </w:tc>
        <w:tc>
          <w:tcPr>
            <w:tcW w:w="1275" w:type="dxa"/>
            <w:tcBorders>
              <w:top w:val="nil"/>
              <w:left w:val="single" w:sz="4" w:space="0" w:color="auto"/>
              <w:bottom w:val="single" w:sz="4" w:space="0" w:color="auto"/>
              <w:right w:val="nil"/>
            </w:tcBorders>
            <w:shd w:val="clear" w:color="auto" w:fill="auto"/>
            <w:noWrap/>
            <w:vAlign w:val="bottom"/>
            <w:hideMark/>
          </w:tcPr>
          <w:p w14:paraId="34BA612F" w14:textId="3CCD2EF9"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313</w:t>
            </w:r>
            <w:r>
              <w:rPr>
                <w:rFonts w:eastAsia="Times New Roman"/>
                <w:color w:val="000000"/>
                <w:szCs w:val="24"/>
                <w:lang w:eastAsia="cs-CZ"/>
              </w:rPr>
              <w:t>,</w:t>
            </w:r>
            <w:r w:rsidRPr="00660E8C">
              <w:rPr>
                <w:rFonts w:eastAsia="Times New Roman"/>
                <w:color w:val="000000"/>
                <w:szCs w:val="24"/>
                <w:lang w:eastAsia="cs-CZ"/>
              </w:rPr>
              <w:t>86</w:t>
            </w:r>
          </w:p>
        </w:tc>
        <w:tc>
          <w:tcPr>
            <w:tcW w:w="851" w:type="dxa"/>
            <w:tcBorders>
              <w:top w:val="nil"/>
              <w:left w:val="nil"/>
              <w:bottom w:val="single" w:sz="4" w:space="0" w:color="auto"/>
              <w:right w:val="single" w:sz="4" w:space="0" w:color="auto"/>
            </w:tcBorders>
            <w:shd w:val="clear" w:color="auto" w:fill="auto"/>
            <w:noWrap/>
            <w:vAlign w:val="center"/>
            <w:hideMark/>
          </w:tcPr>
          <w:p w14:paraId="6D2F0C55"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+44 %  </w:t>
            </w:r>
          </w:p>
        </w:tc>
        <w:tc>
          <w:tcPr>
            <w:tcW w:w="1134" w:type="dxa"/>
            <w:tcBorders>
              <w:top w:val="nil"/>
              <w:left w:val="nil"/>
              <w:bottom w:val="single" w:sz="4" w:space="0" w:color="auto"/>
              <w:right w:val="nil"/>
            </w:tcBorders>
            <w:shd w:val="clear" w:color="auto" w:fill="auto"/>
            <w:noWrap/>
            <w:vAlign w:val="bottom"/>
            <w:hideMark/>
          </w:tcPr>
          <w:p w14:paraId="40F904ED" w14:textId="79FB4580"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8</w:t>
            </w:r>
            <w:r>
              <w:rPr>
                <w:rFonts w:eastAsia="Times New Roman"/>
                <w:color w:val="000000"/>
                <w:szCs w:val="24"/>
                <w:lang w:eastAsia="cs-CZ"/>
              </w:rPr>
              <w:t>,</w:t>
            </w:r>
            <w:r w:rsidRPr="00660E8C">
              <w:rPr>
                <w:rFonts w:eastAsia="Times New Roman"/>
                <w:color w:val="000000"/>
                <w:szCs w:val="24"/>
                <w:lang w:eastAsia="cs-CZ"/>
              </w:rPr>
              <w:t>07</w:t>
            </w:r>
          </w:p>
        </w:tc>
        <w:tc>
          <w:tcPr>
            <w:tcW w:w="992" w:type="dxa"/>
            <w:tcBorders>
              <w:top w:val="nil"/>
              <w:left w:val="nil"/>
              <w:bottom w:val="single" w:sz="4" w:space="0" w:color="auto"/>
              <w:right w:val="nil"/>
            </w:tcBorders>
            <w:shd w:val="clear" w:color="auto" w:fill="auto"/>
            <w:noWrap/>
            <w:vAlign w:val="center"/>
            <w:hideMark/>
          </w:tcPr>
          <w:p w14:paraId="2C3ECF3E"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-1 %  </w:t>
            </w:r>
          </w:p>
        </w:tc>
      </w:tr>
      <w:tr w:rsidR="00660E8C" w:rsidRPr="00660E8C" w14:paraId="54A2F393"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444EAE3F"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Brno</w:t>
            </w:r>
          </w:p>
        </w:tc>
        <w:tc>
          <w:tcPr>
            <w:tcW w:w="991" w:type="dxa"/>
            <w:tcBorders>
              <w:top w:val="nil"/>
              <w:left w:val="nil"/>
              <w:bottom w:val="single" w:sz="4" w:space="0" w:color="auto"/>
              <w:right w:val="nil"/>
            </w:tcBorders>
            <w:shd w:val="clear" w:color="auto" w:fill="auto"/>
            <w:vAlign w:val="bottom"/>
            <w:hideMark/>
          </w:tcPr>
          <w:p w14:paraId="197F8DFE" w14:textId="7777777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17</w:t>
            </w:r>
          </w:p>
        </w:tc>
        <w:tc>
          <w:tcPr>
            <w:tcW w:w="1060" w:type="dxa"/>
            <w:tcBorders>
              <w:top w:val="nil"/>
              <w:left w:val="nil"/>
              <w:bottom w:val="single" w:sz="4" w:space="0" w:color="auto"/>
              <w:right w:val="nil"/>
            </w:tcBorders>
            <w:shd w:val="clear" w:color="auto" w:fill="auto"/>
            <w:noWrap/>
            <w:vAlign w:val="bottom"/>
            <w:hideMark/>
          </w:tcPr>
          <w:p w14:paraId="4D7705D1" w14:textId="7F3A35E5"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213</w:t>
            </w:r>
            <w:r>
              <w:rPr>
                <w:rFonts w:eastAsia="Times New Roman"/>
                <w:color w:val="000000"/>
                <w:szCs w:val="24"/>
                <w:lang w:eastAsia="cs-CZ"/>
              </w:rPr>
              <w:t>,</w:t>
            </w:r>
            <w:r w:rsidRPr="00660E8C">
              <w:rPr>
                <w:rFonts w:eastAsia="Times New Roman"/>
                <w:color w:val="000000"/>
                <w:szCs w:val="24"/>
                <w:lang w:eastAsia="cs-CZ"/>
              </w:rPr>
              <w:t>24</w:t>
            </w:r>
          </w:p>
        </w:tc>
        <w:tc>
          <w:tcPr>
            <w:tcW w:w="851" w:type="dxa"/>
            <w:tcBorders>
              <w:top w:val="nil"/>
              <w:left w:val="nil"/>
              <w:bottom w:val="single" w:sz="4" w:space="0" w:color="auto"/>
              <w:right w:val="nil"/>
            </w:tcBorders>
            <w:shd w:val="clear" w:color="auto" w:fill="auto"/>
            <w:noWrap/>
            <w:vAlign w:val="center"/>
            <w:hideMark/>
          </w:tcPr>
          <w:p w14:paraId="6A26F3C5"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+2 %  </w:t>
            </w:r>
          </w:p>
        </w:tc>
        <w:tc>
          <w:tcPr>
            <w:tcW w:w="1275" w:type="dxa"/>
            <w:tcBorders>
              <w:top w:val="nil"/>
              <w:left w:val="single" w:sz="4" w:space="0" w:color="auto"/>
              <w:bottom w:val="single" w:sz="4" w:space="0" w:color="auto"/>
              <w:right w:val="nil"/>
            </w:tcBorders>
            <w:shd w:val="clear" w:color="auto" w:fill="auto"/>
            <w:noWrap/>
            <w:vAlign w:val="bottom"/>
            <w:hideMark/>
          </w:tcPr>
          <w:p w14:paraId="7362CC64" w14:textId="67F0B7FD"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256</w:t>
            </w:r>
            <w:r>
              <w:rPr>
                <w:rFonts w:eastAsia="Times New Roman"/>
                <w:color w:val="000000"/>
                <w:szCs w:val="24"/>
                <w:lang w:eastAsia="cs-CZ"/>
              </w:rPr>
              <w:t>,</w:t>
            </w:r>
            <w:r w:rsidRPr="00660E8C">
              <w:rPr>
                <w:rFonts w:eastAsia="Times New Roman"/>
                <w:color w:val="000000"/>
                <w:szCs w:val="24"/>
                <w:lang w:eastAsia="cs-CZ"/>
              </w:rPr>
              <w:t>12</w:t>
            </w:r>
          </w:p>
        </w:tc>
        <w:tc>
          <w:tcPr>
            <w:tcW w:w="851" w:type="dxa"/>
            <w:tcBorders>
              <w:top w:val="nil"/>
              <w:left w:val="nil"/>
              <w:bottom w:val="single" w:sz="4" w:space="0" w:color="auto"/>
              <w:right w:val="single" w:sz="4" w:space="0" w:color="auto"/>
            </w:tcBorders>
            <w:shd w:val="clear" w:color="auto" w:fill="auto"/>
            <w:noWrap/>
            <w:vAlign w:val="center"/>
            <w:hideMark/>
          </w:tcPr>
          <w:p w14:paraId="304813E3"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+35 %  </w:t>
            </w:r>
          </w:p>
        </w:tc>
        <w:tc>
          <w:tcPr>
            <w:tcW w:w="1134" w:type="dxa"/>
            <w:tcBorders>
              <w:top w:val="nil"/>
              <w:left w:val="nil"/>
              <w:bottom w:val="single" w:sz="4" w:space="0" w:color="auto"/>
              <w:right w:val="nil"/>
            </w:tcBorders>
            <w:shd w:val="clear" w:color="auto" w:fill="auto"/>
            <w:noWrap/>
            <w:vAlign w:val="bottom"/>
            <w:hideMark/>
          </w:tcPr>
          <w:p w14:paraId="582FB32C" w14:textId="649DFB4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32</w:t>
            </w:r>
            <w:r>
              <w:rPr>
                <w:rFonts w:eastAsia="Times New Roman"/>
                <w:color w:val="000000"/>
                <w:szCs w:val="24"/>
                <w:lang w:eastAsia="cs-CZ"/>
              </w:rPr>
              <w:t>,</w:t>
            </w:r>
            <w:r w:rsidRPr="00660E8C">
              <w:rPr>
                <w:rFonts w:eastAsia="Times New Roman"/>
                <w:color w:val="000000"/>
                <w:szCs w:val="24"/>
                <w:lang w:eastAsia="cs-CZ"/>
              </w:rPr>
              <w:t>18</w:t>
            </w:r>
          </w:p>
        </w:tc>
        <w:tc>
          <w:tcPr>
            <w:tcW w:w="992" w:type="dxa"/>
            <w:tcBorders>
              <w:top w:val="nil"/>
              <w:left w:val="nil"/>
              <w:bottom w:val="single" w:sz="4" w:space="0" w:color="auto"/>
              <w:right w:val="nil"/>
            </w:tcBorders>
            <w:shd w:val="clear" w:color="auto" w:fill="auto"/>
            <w:noWrap/>
            <w:vAlign w:val="center"/>
            <w:hideMark/>
          </w:tcPr>
          <w:p w14:paraId="38F9724E"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+0 %  </w:t>
            </w:r>
          </w:p>
        </w:tc>
      </w:tr>
      <w:tr w:rsidR="00660E8C" w:rsidRPr="00660E8C" w14:paraId="487AE2D8" w14:textId="77777777" w:rsidTr="00542EE2">
        <w:trPr>
          <w:trHeight w:val="330"/>
        </w:trPr>
        <w:tc>
          <w:tcPr>
            <w:tcW w:w="2060" w:type="dxa"/>
            <w:tcBorders>
              <w:top w:val="nil"/>
              <w:left w:val="nil"/>
              <w:bottom w:val="double" w:sz="6" w:space="0" w:color="auto"/>
              <w:right w:val="nil"/>
            </w:tcBorders>
            <w:shd w:val="clear" w:color="auto" w:fill="auto"/>
            <w:noWrap/>
            <w:vAlign w:val="bottom"/>
            <w:hideMark/>
          </w:tcPr>
          <w:p w14:paraId="0A67350F"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Ostrava</w:t>
            </w:r>
          </w:p>
        </w:tc>
        <w:tc>
          <w:tcPr>
            <w:tcW w:w="991" w:type="dxa"/>
            <w:tcBorders>
              <w:top w:val="nil"/>
              <w:left w:val="nil"/>
              <w:bottom w:val="double" w:sz="6" w:space="0" w:color="auto"/>
              <w:right w:val="nil"/>
            </w:tcBorders>
            <w:shd w:val="clear" w:color="auto" w:fill="auto"/>
            <w:vAlign w:val="bottom"/>
            <w:hideMark/>
          </w:tcPr>
          <w:p w14:paraId="346B2E15" w14:textId="7777777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14</w:t>
            </w:r>
          </w:p>
        </w:tc>
        <w:tc>
          <w:tcPr>
            <w:tcW w:w="1060" w:type="dxa"/>
            <w:tcBorders>
              <w:top w:val="nil"/>
              <w:left w:val="nil"/>
              <w:bottom w:val="double" w:sz="6" w:space="0" w:color="auto"/>
              <w:right w:val="nil"/>
            </w:tcBorders>
            <w:shd w:val="clear" w:color="auto" w:fill="auto"/>
            <w:noWrap/>
            <w:vAlign w:val="bottom"/>
            <w:hideMark/>
          </w:tcPr>
          <w:p w14:paraId="0ED3A6DC" w14:textId="5A322AE1"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317</w:t>
            </w:r>
            <w:r>
              <w:rPr>
                <w:rFonts w:eastAsia="Times New Roman"/>
                <w:color w:val="000000"/>
                <w:szCs w:val="24"/>
                <w:lang w:eastAsia="cs-CZ"/>
              </w:rPr>
              <w:t>,</w:t>
            </w:r>
            <w:r w:rsidRPr="00660E8C">
              <w:rPr>
                <w:rFonts w:eastAsia="Times New Roman"/>
                <w:color w:val="000000"/>
                <w:szCs w:val="24"/>
                <w:lang w:eastAsia="cs-CZ"/>
              </w:rPr>
              <w:t>86</w:t>
            </w:r>
          </w:p>
        </w:tc>
        <w:tc>
          <w:tcPr>
            <w:tcW w:w="851" w:type="dxa"/>
            <w:tcBorders>
              <w:top w:val="nil"/>
              <w:left w:val="nil"/>
              <w:bottom w:val="double" w:sz="6" w:space="0" w:color="auto"/>
              <w:right w:val="nil"/>
            </w:tcBorders>
            <w:shd w:val="clear" w:color="auto" w:fill="auto"/>
            <w:noWrap/>
            <w:vAlign w:val="center"/>
            <w:hideMark/>
          </w:tcPr>
          <w:p w14:paraId="68B5077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-8 %  </w:t>
            </w:r>
          </w:p>
        </w:tc>
        <w:tc>
          <w:tcPr>
            <w:tcW w:w="1275" w:type="dxa"/>
            <w:tcBorders>
              <w:top w:val="nil"/>
              <w:left w:val="single" w:sz="4" w:space="0" w:color="auto"/>
              <w:bottom w:val="double" w:sz="6" w:space="0" w:color="auto"/>
              <w:right w:val="nil"/>
            </w:tcBorders>
            <w:shd w:val="clear" w:color="auto" w:fill="auto"/>
            <w:noWrap/>
            <w:vAlign w:val="bottom"/>
            <w:hideMark/>
          </w:tcPr>
          <w:p w14:paraId="03ECF76B" w14:textId="17430C0F"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348</w:t>
            </w:r>
            <w:r>
              <w:rPr>
                <w:rFonts w:eastAsia="Times New Roman"/>
                <w:color w:val="000000"/>
                <w:szCs w:val="24"/>
                <w:lang w:eastAsia="cs-CZ"/>
              </w:rPr>
              <w:t>,</w:t>
            </w:r>
            <w:r w:rsidRPr="00660E8C">
              <w:rPr>
                <w:rFonts w:eastAsia="Times New Roman"/>
                <w:color w:val="000000"/>
                <w:szCs w:val="24"/>
                <w:lang w:eastAsia="cs-CZ"/>
              </w:rPr>
              <w:t>86</w:t>
            </w:r>
          </w:p>
        </w:tc>
        <w:tc>
          <w:tcPr>
            <w:tcW w:w="851" w:type="dxa"/>
            <w:tcBorders>
              <w:top w:val="nil"/>
              <w:left w:val="nil"/>
              <w:bottom w:val="double" w:sz="6" w:space="0" w:color="auto"/>
              <w:right w:val="single" w:sz="4" w:space="0" w:color="auto"/>
            </w:tcBorders>
            <w:shd w:val="clear" w:color="auto" w:fill="auto"/>
            <w:noWrap/>
            <w:vAlign w:val="center"/>
            <w:hideMark/>
          </w:tcPr>
          <w:p w14:paraId="34DC6F68"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+28 %  </w:t>
            </w:r>
          </w:p>
        </w:tc>
        <w:tc>
          <w:tcPr>
            <w:tcW w:w="1134" w:type="dxa"/>
            <w:tcBorders>
              <w:top w:val="nil"/>
              <w:left w:val="nil"/>
              <w:bottom w:val="double" w:sz="6" w:space="0" w:color="auto"/>
              <w:right w:val="nil"/>
            </w:tcBorders>
            <w:shd w:val="clear" w:color="auto" w:fill="auto"/>
            <w:noWrap/>
            <w:vAlign w:val="bottom"/>
            <w:hideMark/>
          </w:tcPr>
          <w:p w14:paraId="07AAB0B7" w14:textId="5F77E6DB"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34</w:t>
            </w:r>
            <w:r>
              <w:rPr>
                <w:rFonts w:eastAsia="Times New Roman"/>
                <w:color w:val="000000"/>
                <w:szCs w:val="24"/>
                <w:lang w:eastAsia="cs-CZ"/>
              </w:rPr>
              <w:t>,</w:t>
            </w:r>
            <w:r w:rsidRPr="00660E8C">
              <w:rPr>
                <w:rFonts w:eastAsia="Times New Roman"/>
                <w:color w:val="000000"/>
                <w:szCs w:val="24"/>
                <w:lang w:eastAsia="cs-CZ"/>
              </w:rPr>
              <w:t>36</w:t>
            </w:r>
          </w:p>
        </w:tc>
        <w:tc>
          <w:tcPr>
            <w:tcW w:w="992" w:type="dxa"/>
            <w:tcBorders>
              <w:top w:val="nil"/>
              <w:left w:val="nil"/>
              <w:bottom w:val="double" w:sz="6" w:space="0" w:color="auto"/>
              <w:right w:val="nil"/>
            </w:tcBorders>
            <w:shd w:val="clear" w:color="auto" w:fill="auto"/>
            <w:noWrap/>
            <w:vAlign w:val="center"/>
            <w:hideMark/>
          </w:tcPr>
          <w:p w14:paraId="3A4A1E58"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-3 %  </w:t>
            </w:r>
          </w:p>
        </w:tc>
      </w:tr>
      <w:tr w:rsidR="00660E8C" w:rsidRPr="00660E8C" w14:paraId="642E20A7" w14:textId="77777777" w:rsidTr="00542EE2">
        <w:trPr>
          <w:trHeight w:val="345"/>
        </w:trPr>
        <w:tc>
          <w:tcPr>
            <w:tcW w:w="2060" w:type="dxa"/>
            <w:tcBorders>
              <w:top w:val="nil"/>
              <w:left w:val="nil"/>
              <w:bottom w:val="double" w:sz="6" w:space="0" w:color="auto"/>
              <w:right w:val="nil"/>
            </w:tcBorders>
            <w:shd w:val="clear" w:color="auto" w:fill="auto"/>
            <w:noWrap/>
            <w:vAlign w:val="bottom"/>
            <w:hideMark/>
          </w:tcPr>
          <w:p w14:paraId="2D5D603F" w14:textId="77777777" w:rsidR="00660E8C" w:rsidRPr="00660E8C" w:rsidRDefault="00660E8C" w:rsidP="00660E8C">
            <w:pPr>
              <w:spacing w:line="240" w:lineRule="auto"/>
              <w:jc w:val="left"/>
              <w:rPr>
                <w:rFonts w:eastAsia="Times New Roman"/>
                <w:b/>
                <w:bCs/>
                <w:color w:val="000000"/>
                <w:szCs w:val="24"/>
                <w:lang w:eastAsia="cs-CZ"/>
              </w:rPr>
            </w:pPr>
            <w:r w:rsidRPr="00660E8C">
              <w:rPr>
                <w:rFonts w:eastAsia="Times New Roman"/>
                <w:b/>
                <w:bCs/>
                <w:color w:val="000000"/>
                <w:szCs w:val="24"/>
                <w:lang w:eastAsia="cs-CZ"/>
              </w:rPr>
              <w:t>Celkem ČR</w:t>
            </w:r>
          </w:p>
        </w:tc>
        <w:tc>
          <w:tcPr>
            <w:tcW w:w="991" w:type="dxa"/>
            <w:tcBorders>
              <w:top w:val="nil"/>
              <w:left w:val="nil"/>
              <w:bottom w:val="double" w:sz="6" w:space="0" w:color="auto"/>
              <w:right w:val="nil"/>
            </w:tcBorders>
            <w:shd w:val="clear" w:color="auto" w:fill="auto"/>
            <w:vAlign w:val="bottom"/>
            <w:hideMark/>
          </w:tcPr>
          <w:p w14:paraId="72421A50" w14:textId="557CECF0"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96</w:t>
            </w:r>
            <w:r>
              <w:rPr>
                <w:rFonts w:eastAsia="Times New Roman"/>
                <w:b/>
                <w:bCs/>
                <w:color w:val="000000"/>
                <w:szCs w:val="24"/>
                <w:lang w:eastAsia="cs-CZ"/>
              </w:rPr>
              <w:t>,</w:t>
            </w:r>
            <w:r w:rsidRPr="00660E8C">
              <w:rPr>
                <w:rFonts w:eastAsia="Times New Roman"/>
                <w:b/>
                <w:bCs/>
                <w:color w:val="000000"/>
                <w:szCs w:val="24"/>
                <w:lang w:eastAsia="cs-CZ"/>
              </w:rPr>
              <w:t>02</w:t>
            </w:r>
          </w:p>
        </w:tc>
        <w:tc>
          <w:tcPr>
            <w:tcW w:w="1060" w:type="dxa"/>
            <w:tcBorders>
              <w:top w:val="nil"/>
              <w:left w:val="nil"/>
              <w:bottom w:val="double" w:sz="6" w:space="0" w:color="auto"/>
              <w:right w:val="nil"/>
            </w:tcBorders>
            <w:shd w:val="clear" w:color="auto" w:fill="auto"/>
            <w:noWrap/>
            <w:vAlign w:val="bottom"/>
            <w:hideMark/>
          </w:tcPr>
          <w:p w14:paraId="6CF86F90" w14:textId="2799FD4C"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233</w:t>
            </w:r>
            <w:r>
              <w:rPr>
                <w:rFonts w:eastAsia="Times New Roman"/>
                <w:b/>
                <w:bCs/>
                <w:color w:val="000000"/>
                <w:szCs w:val="24"/>
                <w:lang w:eastAsia="cs-CZ"/>
              </w:rPr>
              <w:t>,</w:t>
            </w:r>
            <w:r w:rsidRPr="00660E8C">
              <w:rPr>
                <w:rFonts w:eastAsia="Times New Roman"/>
                <w:b/>
                <w:bCs/>
                <w:color w:val="000000"/>
                <w:szCs w:val="24"/>
                <w:lang w:eastAsia="cs-CZ"/>
              </w:rPr>
              <w:t>08</w:t>
            </w:r>
          </w:p>
        </w:tc>
        <w:tc>
          <w:tcPr>
            <w:tcW w:w="851" w:type="dxa"/>
            <w:tcBorders>
              <w:top w:val="nil"/>
              <w:left w:val="nil"/>
              <w:bottom w:val="double" w:sz="6" w:space="0" w:color="auto"/>
              <w:right w:val="nil"/>
            </w:tcBorders>
            <w:shd w:val="clear" w:color="auto" w:fill="auto"/>
            <w:noWrap/>
            <w:vAlign w:val="center"/>
            <w:hideMark/>
          </w:tcPr>
          <w:p w14:paraId="11DCD4F0" w14:textId="77777777" w:rsidR="00660E8C" w:rsidRPr="00660E8C" w:rsidRDefault="00660E8C" w:rsidP="00660E8C">
            <w:pPr>
              <w:spacing w:line="240" w:lineRule="auto"/>
              <w:jc w:val="center"/>
              <w:rPr>
                <w:rFonts w:eastAsia="Times New Roman"/>
                <w:b/>
                <w:bCs/>
                <w:color w:val="000000"/>
                <w:sz w:val="20"/>
                <w:szCs w:val="20"/>
                <w:lang w:eastAsia="cs-CZ"/>
              </w:rPr>
            </w:pPr>
            <w:r w:rsidRPr="00660E8C">
              <w:rPr>
                <w:rFonts w:eastAsia="Times New Roman"/>
                <w:b/>
                <w:bCs/>
                <w:color w:val="000000"/>
                <w:sz w:val="20"/>
                <w:szCs w:val="20"/>
                <w:lang w:eastAsia="cs-CZ"/>
              </w:rPr>
              <w:t xml:space="preserve">-7 %  </w:t>
            </w:r>
          </w:p>
        </w:tc>
        <w:tc>
          <w:tcPr>
            <w:tcW w:w="1275" w:type="dxa"/>
            <w:tcBorders>
              <w:top w:val="nil"/>
              <w:left w:val="single" w:sz="4" w:space="0" w:color="auto"/>
              <w:bottom w:val="double" w:sz="6" w:space="0" w:color="auto"/>
              <w:right w:val="nil"/>
            </w:tcBorders>
            <w:shd w:val="clear" w:color="auto" w:fill="auto"/>
            <w:noWrap/>
            <w:vAlign w:val="bottom"/>
            <w:hideMark/>
          </w:tcPr>
          <w:p w14:paraId="5FE1A4C5" w14:textId="1121BB36"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267</w:t>
            </w:r>
            <w:r>
              <w:rPr>
                <w:rFonts w:eastAsia="Times New Roman"/>
                <w:b/>
                <w:bCs/>
                <w:color w:val="000000"/>
                <w:szCs w:val="24"/>
                <w:lang w:eastAsia="cs-CZ"/>
              </w:rPr>
              <w:t>,</w:t>
            </w:r>
            <w:r w:rsidRPr="00660E8C">
              <w:rPr>
                <w:rFonts w:eastAsia="Times New Roman"/>
                <w:b/>
                <w:bCs/>
                <w:color w:val="000000"/>
                <w:szCs w:val="24"/>
                <w:lang w:eastAsia="cs-CZ"/>
              </w:rPr>
              <w:t>68</w:t>
            </w:r>
          </w:p>
        </w:tc>
        <w:tc>
          <w:tcPr>
            <w:tcW w:w="851" w:type="dxa"/>
            <w:tcBorders>
              <w:top w:val="nil"/>
              <w:left w:val="nil"/>
              <w:bottom w:val="double" w:sz="6" w:space="0" w:color="auto"/>
              <w:right w:val="single" w:sz="4" w:space="0" w:color="auto"/>
            </w:tcBorders>
            <w:shd w:val="clear" w:color="auto" w:fill="auto"/>
            <w:noWrap/>
            <w:vAlign w:val="center"/>
            <w:hideMark/>
          </w:tcPr>
          <w:p w14:paraId="6E7B1280" w14:textId="77777777" w:rsidR="00660E8C" w:rsidRPr="00660E8C" w:rsidRDefault="00660E8C" w:rsidP="00660E8C">
            <w:pPr>
              <w:spacing w:line="240" w:lineRule="auto"/>
              <w:jc w:val="center"/>
              <w:rPr>
                <w:rFonts w:eastAsia="Times New Roman"/>
                <w:b/>
                <w:bCs/>
                <w:color w:val="000000"/>
                <w:sz w:val="20"/>
                <w:szCs w:val="20"/>
                <w:lang w:eastAsia="cs-CZ"/>
              </w:rPr>
            </w:pPr>
            <w:r w:rsidRPr="00660E8C">
              <w:rPr>
                <w:rFonts w:eastAsia="Times New Roman"/>
                <w:b/>
                <w:bCs/>
                <w:color w:val="000000"/>
                <w:sz w:val="20"/>
                <w:szCs w:val="20"/>
                <w:lang w:eastAsia="cs-CZ"/>
              </w:rPr>
              <w:t xml:space="preserve">+43 %  </w:t>
            </w:r>
          </w:p>
        </w:tc>
        <w:tc>
          <w:tcPr>
            <w:tcW w:w="1134" w:type="dxa"/>
            <w:tcBorders>
              <w:top w:val="nil"/>
              <w:left w:val="nil"/>
              <w:bottom w:val="double" w:sz="6" w:space="0" w:color="auto"/>
              <w:right w:val="nil"/>
            </w:tcBorders>
            <w:shd w:val="clear" w:color="auto" w:fill="auto"/>
            <w:noWrap/>
            <w:vAlign w:val="bottom"/>
            <w:hideMark/>
          </w:tcPr>
          <w:p w14:paraId="028198C9" w14:textId="66FD5FE1"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23</w:t>
            </w:r>
            <w:r>
              <w:rPr>
                <w:rFonts w:eastAsia="Times New Roman"/>
                <w:b/>
                <w:bCs/>
                <w:color w:val="000000"/>
                <w:szCs w:val="24"/>
                <w:lang w:eastAsia="cs-CZ"/>
              </w:rPr>
              <w:t>,</w:t>
            </w:r>
            <w:r w:rsidRPr="00660E8C">
              <w:rPr>
                <w:rFonts w:eastAsia="Times New Roman"/>
                <w:b/>
                <w:bCs/>
                <w:color w:val="000000"/>
                <w:szCs w:val="24"/>
                <w:lang w:eastAsia="cs-CZ"/>
              </w:rPr>
              <w:t>60</w:t>
            </w:r>
          </w:p>
        </w:tc>
        <w:tc>
          <w:tcPr>
            <w:tcW w:w="992" w:type="dxa"/>
            <w:tcBorders>
              <w:top w:val="nil"/>
              <w:left w:val="nil"/>
              <w:bottom w:val="double" w:sz="6" w:space="0" w:color="auto"/>
              <w:right w:val="nil"/>
            </w:tcBorders>
            <w:shd w:val="clear" w:color="auto" w:fill="auto"/>
            <w:noWrap/>
            <w:vAlign w:val="center"/>
            <w:hideMark/>
          </w:tcPr>
          <w:p w14:paraId="40CF1A3B" w14:textId="77777777" w:rsidR="00660E8C" w:rsidRPr="00660E8C" w:rsidRDefault="00660E8C" w:rsidP="00660E8C">
            <w:pPr>
              <w:spacing w:line="240" w:lineRule="auto"/>
              <w:jc w:val="center"/>
              <w:rPr>
                <w:rFonts w:eastAsia="Times New Roman"/>
                <w:b/>
                <w:bCs/>
                <w:color w:val="000000"/>
                <w:sz w:val="20"/>
                <w:szCs w:val="20"/>
                <w:lang w:eastAsia="cs-CZ"/>
              </w:rPr>
            </w:pPr>
            <w:r w:rsidRPr="00660E8C">
              <w:rPr>
                <w:rFonts w:eastAsia="Times New Roman"/>
                <w:b/>
                <w:bCs/>
                <w:color w:val="000000"/>
                <w:sz w:val="20"/>
                <w:szCs w:val="20"/>
                <w:lang w:eastAsia="cs-CZ"/>
              </w:rPr>
              <w:t xml:space="preserve">-1 %  </w:t>
            </w:r>
          </w:p>
        </w:tc>
      </w:tr>
      <w:tr w:rsidR="00660E8C" w:rsidRPr="00660E8C" w14:paraId="63149484" w14:textId="77777777" w:rsidTr="00542EE2">
        <w:trPr>
          <w:trHeight w:val="330"/>
        </w:trPr>
        <w:tc>
          <w:tcPr>
            <w:tcW w:w="2060" w:type="dxa"/>
            <w:tcBorders>
              <w:top w:val="nil"/>
              <w:left w:val="nil"/>
              <w:bottom w:val="nil"/>
              <w:right w:val="nil"/>
            </w:tcBorders>
            <w:shd w:val="clear" w:color="auto" w:fill="auto"/>
            <w:noWrap/>
            <w:vAlign w:val="bottom"/>
            <w:hideMark/>
          </w:tcPr>
          <w:p w14:paraId="58A781A1" w14:textId="77777777" w:rsidR="00660E8C" w:rsidRPr="00660E8C" w:rsidRDefault="00660E8C" w:rsidP="00660E8C">
            <w:pPr>
              <w:spacing w:line="240" w:lineRule="auto"/>
              <w:jc w:val="center"/>
              <w:rPr>
                <w:rFonts w:eastAsia="Times New Roman"/>
                <w:b/>
                <w:bCs/>
                <w:color w:val="000000"/>
                <w:sz w:val="20"/>
                <w:szCs w:val="20"/>
                <w:lang w:eastAsia="cs-CZ"/>
              </w:rPr>
            </w:pPr>
          </w:p>
        </w:tc>
        <w:tc>
          <w:tcPr>
            <w:tcW w:w="991" w:type="dxa"/>
            <w:tcBorders>
              <w:top w:val="nil"/>
              <w:left w:val="nil"/>
              <w:bottom w:val="nil"/>
              <w:right w:val="nil"/>
            </w:tcBorders>
            <w:shd w:val="clear" w:color="auto" w:fill="auto"/>
            <w:noWrap/>
            <w:vAlign w:val="bottom"/>
            <w:hideMark/>
          </w:tcPr>
          <w:p w14:paraId="2D24EAF6"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1060" w:type="dxa"/>
            <w:tcBorders>
              <w:top w:val="nil"/>
              <w:left w:val="nil"/>
              <w:bottom w:val="nil"/>
              <w:right w:val="nil"/>
            </w:tcBorders>
            <w:shd w:val="clear" w:color="auto" w:fill="auto"/>
            <w:noWrap/>
            <w:vAlign w:val="bottom"/>
            <w:hideMark/>
          </w:tcPr>
          <w:p w14:paraId="7C56A14D"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2277012F"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1275" w:type="dxa"/>
            <w:tcBorders>
              <w:top w:val="nil"/>
              <w:left w:val="nil"/>
              <w:bottom w:val="nil"/>
              <w:right w:val="nil"/>
            </w:tcBorders>
            <w:shd w:val="clear" w:color="auto" w:fill="auto"/>
            <w:noWrap/>
            <w:vAlign w:val="bottom"/>
            <w:hideMark/>
          </w:tcPr>
          <w:p w14:paraId="4A752571"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0B2A30D4"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6C9FE125"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4C8D481E"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r>
    </w:tbl>
    <w:p w14:paraId="3176982F" w14:textId="224D3AAC" w:rsidR="007F004B" w:rsidRPr="00033A3F" w:rsidRDefault="00FF31A6" w:rsidP="00FF31A6">
      <w:pPr>
        <w:pStyle w:val="Nadpis3"/>
        <w:numPr>
          <w:ilvl w:val="2"/>
          <w:numId w:val="1"/>
        </w:numPr>
        <w:rPr>
          <w:color w:val="000000" w:themeColor="text1"/>
        </w:rPr>
      </w:pPr>
      <w:bookmarkStart w:id="1852" w:name="_Toc109801394"/>
      <w:bookmarkStart w:id="1853" w:name="_Toc169250859"/>
      <w:bookmarkStart w:id="1854" w:name="_Toc193531021"/>
      <w:bookmarkStart w:id="1855" w:name="_Toc193957079"/>
      <w:bookmarkStart w:id="1856" w:name="_Toc203032767"/>
      <w:r w:rsidRPr="00033A3F">
        <w:rPr>
          <w:color w:val="000000" w:themeColor="text1"/>
        </w:rPr>
        <w:t>Další statistiky</w:t>
      </w:r>
      <w:bookmarkEnd w:id="1852"/>
      <w:bookmarkEnd w:id="1853"/>
      <w:bookmarkEnd w:id="1854"/>
      <w:bookmarkEnd w:id="1855"/>
      <w:bookmarkEnd w:id="1856"/>
    </w:p>
    <w:p w14:paraId="65C1EE3C" w14:textId="6EAA5BFD" w:rsidR="00660E8C" w:rsidRDefault="00AE739E" w:rsidP="00AE739E">
      <w:pPr>
        <w:pStyle w:val="OdstavecASR"/>
        <w:rPr>
          <w:color w:val="000000" w:themeColor="text1"/>
        </w:rPr>
      </w:pPr>
      <w:r w:rsidRPr="00033A3F">
        <w:rPr>
          <w:color w:val="000000" w:themeColor="text1"/>
        </w:rPr>
        <w:t>Zajímavým a velmi důležitým statistickým údajem je složení agendy z hlediska způsobu řešení úpadku. Proto tyto statistiky uvádíme každoročně. V následující tabulce uvádíme podíl počtu věcí dosud v řízení podle jednotlivých způsobů řešení úpadku a podle krajských soudů ke konci roku 2024.</w:t>
      </w:r>
    </w:p>
    <w:p w14:paraId="1897EF26" w14:textId="77777777" w:rsidR="00660E8C" w:rsidRDefault="00660E8C">
      <w:pPr>
        <w:spacing w:after="160" w:line="259" w:lineRule="auto"/>
        <w:jc w:val="left"/>
        <w:rPr>
          <w:color w:val="000000" w:themeColor="text1"/>
        </w:rPr>
      </w:pPr>
      <w:r>
        <w:rPr>
          <w:color w:val="000000" w:themeColor="text1"/>
        </w:rPr>
        <w:br w:type="page"/>
      </w:r>
    </w:p>
    <w:p w14:paraId="5BDD67C9" w14:textId="09240304" w:rsidR="00AE739E" w:rsidRPr="00033A3F" w:rsidRDefault="00AE739E" w:rsidP="00AE739E">
      <w:pPr>
        <w:pStyle w:val="Podnadpis"/>
        <w:numPr>
          <w:ilvl w:val="0"/>
          <w:numId w:val="0"/>
        </w:numPr>
        <w:rPr>
          <w:color w:val="000000" w:themeColor="text1"/>
        </w:rPr>
      </w:pPr>
      <w:bookmarkStart w:id="1857" w:name="_Toc43931246"/>
      <w:bookmarkStart w:id="1858" w:name="_Toc75952379"/>
      <w:bookmarkStart w:id="1859" w:name="_Toc106106832"/>
      <w:bookmarkStart w:id="1860" w:name="_Toc109802155"/>
      <w:bookmarkStart w:id="1861" w:name="_Toc144104314"/>
      <w:bookmarkStart w:id="1862" w:name="_Toc169251128"/>
      <w:bookmarkStart w:id="1863" w:name="_Toc174080814"/>
      <w:bookmarkStart w:id="1864" w:name="_Toc193530940"/>
      <w:bookmarkStart w:id="1865" w:name="_Toc194045637"/>
      <w:bookmarkStart w:id="1866" w:name="_Toc199495047"/>
      <w:bookmarkStart w:id="1867" w:name="_Toc203033108"/>
      <w:bookmarkStart w:id="1868" w:name="_Toc203033186"/>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66</w:t>
      </w:r>
      <w:r w:rsidRPr="00033A3F">
        <w:rPr>
          <w:noProof/>
          <w:color w:val="000000" w:themeColor="text1"/>
        </w:rPr>
        <w:fldChar w:fldCharType="end"/>
      </w:r>
      <w:r w:rsidRPr="00033A3F">
        <w:rPr>
          <w:color w:val="000000" w:themeColor="text1"/>
        </w:rPr>
        <w:t>: KS – podíl jednotlivých způsobů řešení úpadku</w:t>
      </w:r>
      <w:bookmarkEnd w:id="1857"/>
      <w:bookmarkEnd w:id="1858"/>
      <w:r w:rsidRPr="00033A3F">
        <w:rPr>
          <w:color w:val="000000" w:themeColor="text1"/>
        </w:rPr>
        <w:t xml:space="preserve"> v %</w:t>
      </w:r>
      <w:bookmarkEnd w:id="1859"/>
      <w:bookmarkEnd w:id="1860"/>
      <w:bookmarkEnd w:id="1861"/>
      <w:r w:rsidRPr="00033A3F">
        <w:rPr>
          <w:color w:val="000000" w:themeColor="text1"/>
        </w:rPr>
        <w:t>, 202</w:t>
      </w:r>
      <w:bookmarkEnd w:id="1862"/>
      <w:bookmarkEnd w:id="1863"/>
      <w:r w:rsidRPr="00033A3F">
        <w:rPr>
          <w:color w:val="000000" w:themeColor="text1"/>
        </w:rPr>
        <w:t>4</w:t>
      </w:r>
      <w:bookmarkEnd w:id="1864"/>
      <w:bookmarkEnd w:id="1865"/>
      <w:bookmarkEnd w:id="1866"/>
      <w:bookmarkEnd w:id="1867"/>
      <w:bookmarkEnd w:id="1868"/>
    </w:p>
    <w:tbl>
      <w:tblPr>
        <w:tblW w:w="7520" w:type="dxa"/>
        <w:tblCellMar>
          <w:left w:w="70" w:type="dxa"/>
          <w:right w:w="70" w:type="dxa"/>
        </w:tblCellMar>
        <w:tblLook w:val="04A0" w:firstRow="1" w:lastRow="0" w:firstColumn="1" w:lastColumn="0" w:noHBand="0" w:noVBand="1"/>
      </w:tblPr>
      <w:tblGrid>
        <w:gridCol w:w="2480"/>
        <w:gridCol w:w="1578"/>
        <w:gridCol w:w="1771"/>
        <w:gridCol w:w="1691"/>
      </w:tblGrid>
      <w:tr w:rsidR="00033A3F" w:rsidRPr="00033A3F" w14:paraId="7A9FBD9E" w14:textId="77777777" w:rsidTr="00AE739E">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3B56F0C"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3"/>
            <w:tcBorders>
              <w:top w:val="double" w:sz="6" w:space="0" w:color="auto"/>
              <w:left w:val="nil"/>
              <w:bottom w:val="nil"/>
              <w:right w:val="nil"/>
            </w:tcBorders>
            <w:shd w:val="clear" w:color="auto" w:fill="auto"/>
            <w:noWrap/>
            <w:vAlign w:val="center"/>
            <w:hideMark/>
          </w:tcPr>
          <w:p w14:paraId="52720111"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Způsob řešení úpadku</w:t>
            </w:r>
          </w:p>
        </w:tc>
      </w:tr>
      <w:tr w:rsidR="00033A3F" w:rsidRPr="00033A3F" w14:paraId="71083ED9" w14:textId="77777777" w:rsidTr="00AE739E">
        <w:trPr>
          <w:trHeight w:val="330"/>
        </w:trPr>
        <w:tc>
          <w:tcPr>
            <w:tcW w:w="2480" w:type="dxa"/>
            <w:vMerge/>
            <w:tcBorders>
              <w:top w:val="double" w:sz="6" w:space="0" w:color="auto"/>
              <w:left w:val="nil"/>
              <w:bottom w:val="double" w:sz="6" w:space="0" w:color="000000"/>
              <w:right w:val="nil"/>
            </w:tcBorders>
            <w:vAlign w:val="center"/>
            <w:hideMark/>
          </w:tcPr>
          <w:p w14:paraId="5D3A4B6F" w14:textId="77777777" w:rsidR="00AE739E" w:rsidRPr="00033A3F" w:rsidRDefault="00AE739E" w:rsidP="00AE739E">
            <w:pPr>
              <w:spacing w:line="240" w:lineRule="auto"/>
              <w:jc w:val="left"/>
              <w:rPr>
                <w:rFonts w:eastAsia="Times New Roman"/>
                <w:b/>
                <w:bCs/>
                <w:color w:val="000000" w:themeColor="text1"/>
                <w:szCs w:val="24"/>
                <w:lang w:eastAsia="cs-CZ"/>
              </w:rPr>
            </w:pPr>
          </w:p>
        </w:tc>
        <w:tc>
          <w:tcPr>
            <w:tcW w:w="1578" w:type="dxa"/>
            <w:tcBorders>
              <w:top w:val="nil"/>
              <w:left w:val="nil"/>
              <w:bottom w:val="double" w:sz="6" w:space="0" w:color="auto"/>
              <w:right w:val="nil"/>
            </w:tcBorders>
            <w:shd w:val="clear" w:color="auto" w:fill="auto"/>
            <w:noWrap/>
            <w:vAlign w:val="center"/>
            <w:hideMark/>
          </w:tcPr>
          <w:p w14:paraId="206CD70A"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Konkurzem</w:t>
            </w:r>
          </w:p>
        </w:tc>
        <w:tc>
          <w:tcPr>
            <w:tcW w:w="1771" w:type="dxa"/>
            <w:tcBorders>
              <w:top w:val="nil"/>
              <w:left w:val="nil"/>
              <w:bottom w:val="double" w:sz="6" w:space="0" w:color="auto"/>
              <w:right w:val="nil"/>
            </w:tcBorders>
            <w:shd w:val="clear" w:color="auto" w:fill="auto"/>
            <w:noWrap/>
            <w:vAlign w:val="center"/>
            <w:hideMark/>
          </w:tcPr>
          <w:p w14:paraId="0A825BD3"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Reorganizací</w:t>
            </w:r>
          </w:p>
        </w:tc>
        <w:tc>
          <w:tcPr>
            <w:tcW w:w="1691" w:type="dxa"/>
            <w:tcBorders>
              <w:top w:val="nil"/>
              <w:left w:val="nil"/>
              <w:bottom w:val="double" w:sz="6" w:space="0" w:color="auto"/>
              <w:right w:val="nil"/>
            </w:tcBorders>
            <w:shd w:val="clear" w:color="auto" w:fill="auto"/>
            <w:noWrap/>
            <w:vAlign w:val="center"/>
            <w:hideMark/>
          </w:tcPr>
          <w:p w14:paraId="4609622D"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Oddlužením</w:t>
            </w:r>
          </w:p>
        </w:tc>
      </w:tr>
      <w:tr w:rsidR="00033A3F" w:rsidRPr="00033A3F" w14:paraId="223C26D6" w14:textId="77777777" w:rsidTr="00AE739E">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45FF740"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578" w:type="dxa"/>
            <w:tcBorders>
              <w:top w:val="single" w:sz="4" w:space="0" w:color="auto"/>
              <w:left w:val="nil"/>
              <w:bottom w:val="single" w:sz="4" w:space="0" w:color="auto"/>
              <w:right w:val="nil"/>
            </w:tcBorders>
            <w:shd w:val="clear" w:color="auto" w:fill="auto"/>
            <w:noWrap/>
            <w:vAlign w:val="bottom"/>
            <w:hideMark/>
          </w:tcPr>
          <w:p w14:paraId="509D4C28" w14:textId="6CF79454"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13,67</w:t>
            </w:r>
          </w:p>
        </w:tc>
        <w:tc>
          <w:tcPr>
            <w:tcW w:w="1771" w:type="dxa"/>
            <w:tcBorders>
              <w:top w:val="single" w:sz="4" w:space="0" w:color="auto"/>
              <w:left w:val="nil"/>
              <w:bottom w:val="single" w:sz="4" w:space="0" w:color="auto"/>
              <w:right w:val="nil"/>
            </w:tcBorders>
            <w:shd w:val="clear" w:color="auto" w:fill="auto"/>
            <w:noWrap/>
            <w:vAlign w:val="bottom"/>
            <w:hideMark/>
          </w:tcPr>
          <w:p w14:paraId="3D7F88AD" w14:textId="017C00BD"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0,21</w:t>
            </w:r>
          </w:p>
        </w:tc>
        <w:tc>
          <w:tcPr>
            <w:tcW w:w="1691" w:type="dxa"/>
            <w:tcBorders>
              <w:top w:val="single" w:sz="4" w:space="0" w:color="auto"/>
              <w:left w:val="nil"/>
              <w:bottom w:val="single" w:sz="4" w:space="0" w:color="auto"/>
              <w:right w:val="nil"/>
            </w:tcBorders>
            <w:shd w:val="clear" w:color="auto" w:fill="auto"/>
            <w:noWrap/>
            <w:vAlign w:val="bottom"/>
            <w:hideMark/>
          </w:tcPr>
          <w:p w14:paraId="60AB2F22" w14:textId="4336E10C"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86,12</w:t>
            </w:r>
          </w:p>
        </w:tc>
      </w:tr>
      <w:tr w:rsidR="00033A3F" w:rsidRPr="00033A3F" w14:paraId="72F2EC23"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78AAA067"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578" w:type="dxa"/>
            <w:tcBorders>
              <w:top w:val="nil"/>
              <w:left w:val="nil"/>
              <w:bottom w:val="single" w:sz="4" w:space="0" w:color="auto"/>
              <w:right w:val="nil"/>
            </w:tcBorders>
            <w:shd w:val="clear" w:color="auto" w:fill="auto"/>
            <w:noWrap/>
            <w:vAlign w:val="bottom"/>
            <w:hideMark/>
          </w:tcPr>
          <w:p w14:paraId="44D88641" w14:textId="45AFF821"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2,63</w:t>
            </w:r>
          </w:p>
        </w:tc>
        <w:tc>
          <w:tcPr>
            <w:tcW w:w="1771" w:type="dxa"/>
            <w:tcBorders>
              <w:top w:val="nil"/>
              <w:left w:val="nil"/>
              <w:bottom w:val="single" w:sz="4" w:space="0" w:color="auto"/>
              <w:right w:val="nil"/>
            </w:tcBorders>
            <w:shd w:val="clear" w:color="auto" w:fill="auto"/>
            <w:noWrap/>
            <w:vAlign w:val="bottom"/>
            <w:hideMark/>
          </w:tcPr>
          <w:p w14:paraId="41A348C0" w14:textId="3D15988D"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0,02</w:t>
            </w:r>
          </w:p>
        </w:tc>
        <w:tc>
          <w:tcPr>
            <w:tcW w:w="1691" w:type="dxa"/>
            <w:tcBorders>
              <w:top w:val="nil"/>
              <w:left w:val="nil"/>
              <w:bottom w:val="single" w:sz="4" w:space="0" w:color="auto"/>
              <w:right w:val="nil"/>
            </w:tcBorders>
            <w:shd w:val="clear" w:color="auto" w:fill="auto"/>
            <w:noWrap/>
            <w:vAlign w:val="bottom"/>
            <w:hideMark/>
          </w:tcPr>
          <w:p w14:paraId="302ABF20" w14:textId="50E6FDB5"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97,35</w:t>
            </w:r>
          </w:p>
        </w:tc>
      </w:tr>
      <w:tr w:rsidR="00033A3F" w:rsidRPr="00033A3F" w14:paraId="41BBCE6E"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6C59FFC9"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578" w:type="dxa"/>
            <w:tcBorders>
              <w:top w:val="nil"/>
              <w:left w:val="nil"/>
              <w:bottom w:val="single" w:sz="4" w:space="0" w:color="auto"/>
              <w:right w:val="nil"/>
            </w:tcBorders>
            <w:shd w:val="clear" w:color="auto" w:fill="auto"/>
            <w:noWrap/>
            <w:vAlign w:val="bottom"/>
            <w:hideMark/>
          </w:tcPr>
          <w:p w14:paraId="53B6B2A3" w14:textId="3ABEA798"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2,72</w:t>
            </w:r>
          </w:p>
        </w:tc>
        <w:tc>
          <w:tcPr>
            <w:tcW w:w="1771" w:type="dxa"/>
            <w:tcBorders>
              <w:top w:val="nil"/>
              <w:left w:val="nil"/>
              <w:bottom w:val="single" w:sz="4" w:space="0" w:color="auto"/>
              <w:right w:val="nil"/>
            </w:tcBorders>
            <w:shd w:val="clear" w:color="auto" w:fill="auto"/>
            <w:noWrap/>
            <w:vAlign w:val="bottom"/>
            <w:hideMark/>
          </w:tcPr>
          <w:p w14:paraId="22EFF15B" w14:textId="3A27D587"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0,04</w:t>
            </w:r>
          </w:p>
        </w:tc>
        <w:tc>
          <w:tcPr>
            <w:tcW w:w="1691" w:type="dxa"/>
            <w:tcBorders>
              <w:top w:val="nil"/>
              <w:left w:val="nil"/>
              <w:bottom w:val="single" w:sz="4" w:space="0" w:color="auto"/>
              <w:right w:val="nil"/>
            </w:tcBorders>
            <w:shd w:val="clear" w:color="auto" w:fill="auto"/>
            <w:noWrap/>
            <w:vAlign w:val="bottom"/>
            <w:hideMark/>
          </w:tcPr>
          <w:p w14:paraId="6A0AF73D" w14:textId="5B8712B6"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97,24</w:t>
            </w:r>
          </w:p>
        </w:tc>
      </w:tr>
      <w:tr w:rsidR="00033A3F" w:rsidRPr="00033A3F" w14:paraId="3440F953"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5CEB21AF"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578" w:type="dxa"/>
            <w:tcBorders>
              <w:top w:val="nil"/>
              <w:left w:val="nil"/>
              <w:bottom w:val="single" w:sz="4" w:space="0" w:color="auto"/>
              <w:right w:val="nil"/>
            </w:tcBorders>
            <w:shd w:val="clear" w:color="auto" w:fill="auto"/>
            <w:noWrap/>
            <w:vAlign w:val="bottom"/>
            <w:hideMark/>
          </w:tcPr>
          <w:p w14:paraId="43781A9B" w14:textId="742865F8"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2,53</w:t>
            </w:r>
          </w:p>
        </w:tc>
        <w:tc>
          <w:tcPr>
            <w:tcW w:w="1771" w:type="dxa"/>
            <w:tcBorders>
              <w:top w:val="nil"/>
              <w:left w:val="nil"/>
              <w:bottom w:val="single" w:sz="4" w:space="0" w:color="auto"/>
              <w:right w:val="nil"/>
            </w:tcBorders>
            <w:shd w:val="clear" w:color="auto" w:fill="auto"/>
            <w:noWrap/>
            <w:vAlign w:val="bottom"/>
            <w:hideMark/>
          </w:tcPr>
          <w:p w14:paraId="71A17297" w14:textId="4FE423A2"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0,00</w:t>
            </w:r>
          </w:p>
        </w:tc>
        <w:tc>
          <w:tcPr>
            <w:tcW w:w="1691" w:type="dxa"/>
            <w:tcBorders>
              <w:top w:val="nil"/>
              <w:left w:val="nil"/>
              <w:bottom w:val="single" w:sz="4" w:space="0" w:color="auto"/>
              <w:right w:val="nil"/>
            </w:tcBorders>
            <w:shd w:val="clear" w:color="auto" w:fill="auto"/>
            <w:noWrap/>
            <w:vAlign w:val="bottom"/>
            <w:hideMark/>
          </w:tcPr>
          <w:p w14:paraId="59B5F33B" w14:textId="41F27519"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97,47</w:t>
            </w:r>
          </w:p>
        </w:tc>
      </w:tr>
      <w:tr w:rsidR="00033A3F" w:rsidRPr="00033A3F" w14:paraId="6F069E3D"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3BA9A54B"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578" w:type="dxa"/>
            <w:tcBorders>
              <w:top w:val="nil"/>
              <w:left w:val="nil"/>
              <w:bottom w:val="single" w:sz="4" w:space="0" w:color="auto"/>
              <w:right w:val="nil"/>
            </w:tcBorders>
            <w:shd w:val="clear" w:color="auto" w:fill="auto"/>
            <w:noWrap/>
            <w:vAlign w:val="bottom"/>
            <w:hideMark/>
          </w:tcPr>
          <w:p w14:paraId="7636F44D" w14:textId="7A88F8C3"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w:t>
            </w:r>
          </w:p>
        </w:tc>
        <w:tc>
          <w:tcPr>
            <w:tcW w:w="1771" w:type="dxa"/>
            <w:tcBorders>
              <w:top w:val="nil"/>
              <w:left w:val="nil"/>
              <w:bottom w:val="single" w:sz="4" w:space="0" w:color="auto"/>
              <w:right w:val="nil"/>
            </w:tcBorders>
            <w:shd w:val="clear" w:color="auto" w:fill="auto"/>
            <w:noWrap/>
            <w:vAlign w:val="bottom"/>
            <w:hideMark/>
          </w:tcPr>
          <w:p w14:paraId="354727CF" w14:textId="1C554F89"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0,00</w:t>
            </w:r>
          </w:p>
        </w:tc>
        <w:tc>
          <w:tcPr>
            <w:tcW w:w="1691" w:type="dxa"/>
            <w:tcBorders>
              <w:top w:val="nil"/>
              <w:left w:val="nil"/>
              <w:bottom w:val="single" w:sz="4" w:space="0" w:color="auto"/>
              <w:right w:val="nil"/>
            </w:tcBorders>
            <w:shd w:val="clear" w:color="auto" w:fill="auto"/>
            <w:noWrap/>
            <w:vAlign w:val="bottom"/>
            <w:hideMark/>
          </w:tcPr>
          <w:p w14:paraId="05CEF12A" w14:textId="136913D5"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98,06</w:t>
            </w:r>
          </w:p>
        </w:tc>
      </w:tr>
      <w:tr w:rsidR="00033A3F" w:rsidRPr="00033A3F" w14:paraId="770EAA08"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6BF17D06"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578" w:type="dxa"/>
            <w:tcBorders>
              <w:top w:val="nil"/>
              <w:left w:val="nil"/>
              <w:bottom w:val="single" w:sz="4" w:space="0" w:color="auto"/>
              <w:right w:val="nil"/>
            </w:tcBorders>
            <w:shd w:val="clear" w:color="auto" w:fill="auto"/>
            <w:noWrap/>
            <w:vAlign w:val="bottom"/>
            <w:hideMark/>
          </w:tcPr>
          <w:p w14:paraId="2A563A8E" w14:textId="1A21146B"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2,44</w:t>
            </w:r>
          </w:p>
        </w:tc>
        <w:tc>
          <w:tcPr>
            <w:tcW w:w="1771" w:type="dxa"/>
            <w:tcBorders>
              <w:top w:val="nil"/>
              <w:left w:val="nil"/>
              <w:bottom w:val="single" w:sz="4" w:space="0" w:color="auto"/>
              <w:right w:val="nil"/>
            </w:tcBorders>
            <w:shd w:val="clear" w:color="auto" w:fill="auto"/>
            <w:noWrap/>
            <w:vAlign w:val="bottom"/>
            <w:hideMark/>
          </w:tcPr>
          <w:p w14:paraId="4911184D" w14:textId="176B02C3"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0,04</w:t>
            </w:r>
          </w:p>
        </w:tc>
        <w:tc>
          <w:tcPr>
            <w:tcW w:w="1691" w:type="dxa"/>
            <w:tcBorders>
              <w:top w:val="nil"/>
              <w:left w:val="nil"/>
              <w:bottom w:val="single" w:sz="4" w:space="0" w:color="auto"/>
              <w:right w:val="nil"/>
            </w:tcBorders>
            <w:shd w:val="clear" w:color="auto" w:fill="auto"/>
            <w:noWrap/>
            <w:vAlign w:val="bottom"/>
            <w:hideMark/>
          </w:tcPr>
          <w:p w14:paraId="2FDE1D16" w14:textId="142516BE"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97,51</w:t>
            </w:r>
          </w:p>
        </w:tc>
      </w:tr>
      <w:tr w:rsidR="00033A3F" w:rsidRPr="00033A3F" w14:paraId="35262297"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089DFB55"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578" w:type="dxa"/>
            <w:tcBorders>
              <w:top w:val="nil"/>
              <w:left w:val="nil"/>
              <w:bottom w:val="single" w:sz="4" w:space="0" w:color="auto"/>
              <w:right w:val="nil"/>
            </w:tcBorders>
            <w:shd w:val="clear" w:color="auto" w:fill="auto"/>
            <w:noWrap/>
            <w:vAlign w:val="bottom"/>
            <w:hideMark/>
          </w:tcPr>
          <w:p w14:paraId="2FBF9A43" w14:textId="31BFC4C2"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4,84</w:t>
            </w:r>
          </w:p>
        </w:tc>
        <w:tc>
          <w:tcPr>
            <w:tcW w:w="1771" w:type="dxa"/>
            <w:tcBorders>
              <w:top w:val="nil"/>
              <w:left w:val="nil"/>
              <w:bottom w:val="single" w:sz="4" w:space="0" w:color="auto"/>
              <w:right w:val="nil"/>
            </w:tcBorders>
            <w:shd w:val="clear" w:color="auto" w:fill="auto"/>
            <w:noWrap/>
            <w:vAlign w:val="bottom"/>
            <w:hideMark/>
          </w:tcPr>
          <w:p w14:paraId="648DC086" w14:textId="126F8BCA"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0,05</w:t>
            </w:r>
          </w:p>
        </w:tc>
        <w:tc>
          <w:tcPr>
            <w:tcW w:w="1691" w:type="dxa"/>
            <w:tcBorders>
              <w:top w:val="nil"/>
              <w:left w:val="nil"/>
              <w:bottom w:val="single" w:sz="4" w:space="0" w:color="auto"/>
              <w:right w:val="nil"/>
            </w:tcBorders>
            <w:shd w:val="clear" w:color="auto" w:fill="auto"/>
            <w:noWrap/>
            <w:vAlign w:val="bottom"/>
            <w:hideMark/>
          </w:tcPr>
          <w:p w14:paraId="2D1FB9C2" w14:textId="6442B3C8"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95,11</w:t>
            </w:r>
          </w:p>
        </w:tc>
      </w:tr>
      <w:tr w:rsidR="00033A3F" w:rsidRPr="00033A3F" w14:paraId="16FB9A47" w14:textId="77777777" w:rsidTr="00AE739E">
        <w:trPr>
          <w:trHeight w:val="330"/>
        </w:trPr>
        <w:tc>
          <w:tcPr>
            <w:tcW w:w="2480" w:type="dxa"/>
            <w:tcBorders>
              <w:top w:val="nil"/>
              <w:left w:val="nil"/>
              <w:bottom w:val="double" w:sz="6" w:space="0" w:color="auto"/>
              <w:right w:val="nil"/>
            </w:tcBorders>
            <w:shd w:val="clear" w:color="auto" w:fill="auto"/>
            <w:noWrap/>
            <w:vAlign w:val="bottom"/>
            <w:hideMark/>
          </w:tcPr>
          <w:p w14:paraId="1309CFE7"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578" w:type="dxa"/>
            <w:tcBorders>
              <w:top w:val="nil"/>
              <w:left w:val="nil"/>
              <w:bottom w:val="double" w:sz="6" w:space="0" w:color="auto"/>
              <w:right w:val="nil"/>
            </w:tcBorders>
            <w:shd w:val="clear" w:color="auto" w:fill="auto"/>
            <w:noWrap/>
            <w:vAlign w:val="bottom"/>
            <w:hideMark/>
          </w:tcPr>
          <w:p w14:paraId="7A798A9C" w14:textId="58822D41"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2,58</w:t>
            </w:r>
          </w:p>
        </w:tc>
        <w:tc>
          <w:tcPr>
            <w:tcW w:w="1771" w:type="dxa"/>
            <w:tcBorders>
              <w:top w:val="nil"/>
              <w:left w:val="nil"/>
              <w:bottom w:val="double" w:sz="6" w:space="0" w:color="auto"/>
              <w:right w:val="nil"/>
            </w:tcBorders>
            <w:shd w:val="clear" w:color="auto" w:fill="auto"/>
            <w:noWrap/>
            <w:vAlign w:val="bottom"/>
            <w:hideMark/>
          </w:tcPr>
          <w:p w14:paraId="23C77DA2" w14:textId="7D363540"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0,01</w:t>
            </w:r>
          </w:p>
        </w:tc>
        <w:tc>
          <w:tcPr>
            <w:tcW w:w="1691" w:type="dxa"/>
            <w:tcBorders>
              <w:top w:val="nil"/>
              <w:left w:val="nil"/>
              <w:bottom w:val="double" w:sz="6" w:space="0" w:color="auto"/>
              <w:right w:val="nil"/>
            </w:tcBorders>
            <w:shd w:val="clear" w:color="auto" w:fill="auto"/>
            <w:noWrap/>
            <w:vAlign w:val="bottom"/>
            <w:hideMark/>
          </w:tcPr>
          <w:p w14:paraId="372B662D" w14:textId="2E3F56F0"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97,41</w:t>
            </w:r>
          </w:p>
        </w:tc>
      </w:tr>
      <w:tr w:rsidR="00033A3F" w:rsidRPr="00033A3F" w14:paraId="1F7C8152" w14:textId="77777777" w:rsidTr="00AE739E">
        <w:trPr>
          <w:trHeight w:val="345"/>
        </w:trPr>
        <w:tc>
          <w:tcPr>
            <w:tcW w:w="2480" w:type="dxa"/>
            <w:tcBorders>
              <w:top w:val="nil"/>
              <w:left w:val="nil"/>
              <w:bottom w:val="double" w:sz="6" w:space="0" w:color="auto"/>
              <w:right w:val="nil"/>
            </w:tcBorders>
            <w:shd w:val="clear" w:color="auto" w:fill="auto"/>
            <w:noWrap/>
            <w:vAlign w:val="bottom"/>
            <w:hideMark/>
          </w:tcPr>
          <w:p w14:paraId="4D5A45AC" w14:textId="77777777" w:rsidR="00AE739E" w:rsidRPr="00033A3F" w:rsidRDefault="00AE739E" w:rsidP="00AE739E">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578" w:type="dxa"/>
            <w:tcBorders>
              <w:top w:val="nil"/>
              <w:left w:val="nil"/>
              <w:bottom w:val="double" w:sz="6" w:space="0" w:color="auto"/>
              <w:right w:val="nil"/>
            </w:tcBorders>
            <w:shd w:val="clear" w:color="auto" w:fill="auto"/>
            <w:noWrap/>
            <w:vAlign w:val="bottom"/>
            <w:hideMark/>
          </w:tcPr>
          <w:p w14:paraId="1B2FB3F3" w14:textId="75B2409A"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3,90</w:t>
            </w:r>
          </w:p>
        </w:tc>
        <w:tc>
          <w:tcPr>
            <w:tcW w:w="1771" w:type="dxa"/>
            <w:tcBorders>
              <w:top w:val="nil"/>
              <w:left w:val="nil"/>
              <w:bottom w:val="double" w:sz="6" w:space="0" w:color="auto"/>
              <w:right w:val="nil"/>
            </w:tcBorders>
            <w:shd w:val="clear" w:color="auto" w:fill="auto"/>
            <w:noWrap/>
            <w:vAlign w:val="bottom"/>
            <w:hideMark/>
          </w:tcPr>
          <w:p w14:paraId="10172A4D" w14:textId="1309B6C3"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0,04</w:t>
            </w:r>
          </w:p>
        </w:tc>
        <w:tc>
          <w:tcPr>
            <w:tcW w:w="1691" w:type="dxa"/>
            <w:tcBorders>
              <w:top w:val="nil"/>
              <w:left w:val="nil"/>
              <w:bottom w:val="double" w:sz="6" w:space="0" w:color="auto"/>
              <w:right w:val="nil"/>
            </w:tcBorders>
            <w:shd w:val="clear" w:color="auto" w:fill="auto"/>
            <w:noWrap/>
            <w:vAlign w:val="bottom"/>
            <w:hideMark/>
          </w:tcPr>
          <w:p w14:paraId="63BE8837" w14:textId="19E3BC6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96,06</w:t>
            </w:r>
          </w:p>
        </w:tc>
      </w:tr>
      <w:tr w:rsidR="00033A3F" w:rsidRPr="00033A3F" w14:paraId="4C35BC8C" w14:textId="77777777" w:rsidTr="00AE739E">
        <w:trPr>
          <w:trHeight w:val="330"/>
        </w:trPr>
        <w:tc>
          <w:tcPr>
            <w:tcW w:w="2480" w:type="dxa"/>
            <w:tcBorders>
              <w:top w:val="nil"/>
              <w:left w:val="nil"/>
              <w:bottom w:val="nil"/>
              <w:right w:val="nil"/>
            </w:tcBorders>
            <w:shd w:val="clear" w:color="auto" w:fill="auto"/>
            <w:noWrap/>
            <w:vAlign w:val="bottom"/>
            <w:hideMark/>
          </w:tcPr>
          <w:p w14:paraId="0679EA61" w14:textId="77777777" w:rsidR="00AE739E" w:rsidRPr="00033A3F" w:rsidRDefault="00AE739E" w:rsidP="00AE739E">
            <w:pPr>
              <w:spacing w:line="240" w:lineRule="auto"/>
              <w:jc w:val="center"/>
              <w:rPr>
                <w:rFonts w:eastAsia="Times New Roman"/>
                <w:b/>
                <w:bCs/>
                <w:color w:val="000000" w:themeColor="text1"/>
                <w:szCs w:val="24"/>
                <w:lang w:eastAsia="cs-CZ"/>
              </w:rPr>
            </w:pPr>
          </w:p>
        </w:tc>
        <w:tc>
          <w:tcPr>
            <w:tcW w:w="1578" w:type="dxa"/>
            <w:tcBorders>
              <w:top w:val="nil"/>
              <w:left w:val="nil"/>
              <w:bottom w:val="nil"/>
              <w:right w:val="nil"/>
            </w:tcBorders>
            <w:shd w:val="clear" w:color="auto" w:fill="auto"/>
            <w:noWrap/>
            <w:vAlign w:val="bottom"/>
            <w:hideMark/>
          </w:tcPr>
          <w:p w14:paraId="0E213893" w14:textId="77777777" w:rsidR="00AE739E" w:rsidRPr="00033A3F" w:rsidRDefault="00AE739E" w:rsidP="00AE739E">
            <w:pPr>
              <w:spacing w:line="240" w:lineRule="auto"/>
              <w:jc w:val="left"/>
              <w:rPr>
                <w:rFonts w:ascii="Times New Roman" w:eastAsia="Times New Roman" w:hAnsi="Times New Roman"/>
                <w:color w:val="000000" w:themeColor="text1"/>
                <w:sz w:val="20"/>
                <w:szCs w:val="20"/>
                <w:lang w:eastAsia="cs-CZ"/>
              </w:rPr>
            </w:pPr>
          </w:p>
        </w:tc>
        <w:tc>
          <w:tcPr>
            <w:tcW w:w="1771" w:type="dxa"/>
            <w:tcBorders>
              <w:top w:val="nil"/>
              <w:left w:val="nil"/>
              <w:bottom w:val="nil"/>
              <w:right w:val="nil"/>
            </w:tcBorders>
            <w:shd w:val="clear" w:color="auto" w:fill="auto"/>
            <w:noWrap/>
            <w:vAlign w:val="bottom"/>
            <w:hideMark/>
          </w:tcPr>
          <w:p w14:paraId="2B840EC2" w14:textId="77777777" w:rsidR="00AE739E" w:rsidRPr="00033A3F" w:rsidRDefault="00AE739E" w:rsidP="00AE739E">
            <w:pPr>
              <w:spacing w:line="240" w:lineRule="auto"/>
              <w:jc w:val="left"/>
              <w:rPr>
                <w:rFonts w:ascii="Times New Roman" w:eastAsia="Times New Roman" w:hAnsi="Times New Roman"/>
                <w:color w:val="000000" w:themeColor="text1"/>
                <w:sz w:val="20"/>
                <w:szCs w:val="20"/>
                <w:lang w:eastAsia="cs-CZ"/>
              </w:rPr>
            </w:pPr>
          </w:p>
        </w:tc>
        <w:tc>
          <w:tcPr>
            <w:tcW w:w="1691" w:type="dxa"/>
            <w:tcBorders>
              <w:top w:val="nil"/>
              <w:left w:val="nil"/>
              <w:bottom w:val="nil"/>
              <w:right w:val="nil"/>
            </w:tcBorders>
            <w:shd w:val="clear" w:color="auto" w:fill="auto"/>
            <w:noWrap/>
            <w:vAlign w:val="bottom"/>
            <w:hideMark/>
          </w:tcPr>
          <w:p w14:paraId="0436FA87" w14:textId="77777777" w:rsidR="00AE739E" w:rsidRPr="00033A3F" w:rsidRDefault="00AE739E" w:rsidP="00AE739E">
            <w:pPr>
              <w:spacing w:line="240" w:lineRule="auto"/>
              <w:jc w:val="left"/>
              <w:rPr>
                <w:rFonts w:ascii="Times New Roman" w:eastAsia="Times New Roman" w:hAnsi="Times New Roman"/>
                <w:color w:val="000000" w:themeColor="text1"/>
                <w:sz w:val="20"/>
                <w:szCs w:val="20"/>
                <w:lang w:eastAsia="cs-CZ"/>
              </w:rPr>
            </w:pPr>
          </w:p>
        </w:tc>
      </w:tr>
    </w:tbl>
    <w:p w14:paraId="13661BB4" w14:textId="4BC16685" w:rsidR="00BA120B" w:rsidRPr="00033A3F" w:rsidRDefault="00AE739E" w:rsidP="004C0D35">
      <w:pPr>
        <w:pStyle w:val="OdstavecASR"/>
        <w:rPr>
          <w:color w:val="000000" w:themeColor="text1"/>
        </w:rPr>
      </w:pPr>
      <w:r w:rsidRPr="00033A3F">
        <w:rPr>
          <w:color w:val="000000" w:themeColor="text1"/>
        </w:rPr>
        <w:t>Naprosté minimum věcí se řeší reorganizací a pouze necelých 4 % věcí se řeší konkursem (ve většině případů se jedná o řešení úpadku právnických osob).</w:t>
      </w:r>
      <w:r w:rsidR="00BA120B" w:rsidRPr="00033A3F">
        <w:rPr>
          <w:color w:val="000000" w:themeColor="text1"/>
        </w:rPr>
        <w:t xml:space="preserve"> Podíl úpadků řešených konkurzem klesal šest let v kuse a zastavil se až v roce 2023.</w:t>
      </w:r>
    </w:p>
    <w:p w14:paraId="40E1FFC6" w14:textId="017229C3" w:rsidR="00787E98" w:rsidRPr="00033A3F" w:rsidRDefault="00787E98" w:rsidP="004C0D35">
      <w:pPr>
        <w:pStyle w:val="OdstavecASR"/>
        <w:rPr>
          <w:color w:val="000000" w:themeColor="text1"/>
        </w:rPr>
      </w:pPr>
      <w:r w:rsidRPr="00033A3F">
        <w:rPr>
          <w:color w:val="000000" w:themeColor="text1"/>
        </w:rPr>
        <w:t>Velmi zajímavé jsou rozdíly mezi jednotlivými soudy. Největší podíl úpadků řešených konkursem má suverénně Praha (asi třikrát více než je celorepublikový průměr), nejmenší naopak KS Ústí nad Labem a KS Ostrava. To je dáno zejména tím, že v Praze sídlí velké množství společností a</w:t>
      </w:r>
      <w:r w:rsidR="00542EE2">
        <w:rPr>
          <w:color w:val="000000" w:themeColor="text1"/>
        </w:rPr>
        <w:t> </w:t>
      </w:r>
      <w:r w:rsidRPr="00033A3F">
        <w:rPr>
          <w:color w:val="000000" w:themeColor="text1"/>
        </w:rPr>
        <w:t>koncentrují se zde tedy podnikatelské úpadky, a zároveň je zde naopak oproti ekonomicky slabším regionům relativně menší množství spotřebitelů ohrožených insolvencí.</w:t>
      </w:r>
    </w:p>
    <w:p w14:paraId="7D26A201" w14:textId="4A273688" w:rsidR="001B2BB9" w:rsidRDefault="001B2BB9">
      <w:pPr>
        <w:spacing w:after="160" w:line="259" w:lineRule="auto"/>
        <w:jc w:val="left"/>
        <w:rPr>
          <w:color w:val="000000" w:themeColor="text1"/>
        </w:rPr>
      </w:pPr>
      <w:r>
        <w:rPr>
          <w:color w:val="000000" w:themeColor="text1"/>
        </w:rPr>
        <w:br w:type="page"/>
      </w:r>
    </w:p>
    <w:p w14:paraId="49865EAE" w14:textId="73924D43" w:rsidR="008430BD" w:rsidRPr="00033A3F" w:rsidRDefault="008430BD" w:rsidP="008430BD">
      <w:pPr>
        <w:pStyle w:val="Nadpis2"/>
        <w:numPr>
          <w:ilvl w:val="1"/>
          <w:numId w:val="1"/>
        </w:numPr>
        <w:spacing w:before="120"/>
      </w:pPr>
      <w:bookmarkStart w:id="1869" w:name="_Toc106092784"/>
      <w:bookmarkStart w:id="1870" w:name="_Toc169250860"/>
      <w:bookmarkStart w:id="1871" w:name="_Toc193531022"/>
      <w:bookmarkStart w:id="1872" w:name="_Toc193957080"/>
      <w:bookmarkStart w:id="1873" w:name="_Toc203032768"/>
      <w:r w:rsidRPr="00033A3F">
        <w:lastRenderedPageBreak/>
        <w:t>Incidenční spory</w:t>
      </w:r>
      <w:bookmarkEnd w:id="1869"/>
      <w:bookmarkEnd w:id="1870"/>
      <w:bookmarkEnd w:id="1871"/>
      <w:bookmarkEnd w:id="1872"/>
      <w:bookmarkEnd w:id="1873"/>
    </w:p>
    <w:p w14:paraId="33DD00B0" w14:textId="78367913" w:rsidR="004A0273" w:rsidRPr="00033A3F" w:rsidRDefault="004A0273" w:rsidP="004A0273">
      <w:pPr>
        <w:pStyle w:val="OdstavecASR"/>
        <w:rPr>
          <w:color w:val="000000" w:themeColor="text1"/>
        </w:rPr>
      </w:pPr>
      <w:r w:rsidRPr="00033A3F">
        <w:rPr>
          <w:color w:val="000000" w:themeColor="text1"/>
        </w:rPr>
        <w:t xml:space="preserve">Od roku 2019 </w:t>
      </w:r>
      <w:r w:rsidR="009B6B37" w:rsidRPr="00033A3F">
        <w:rPr>
          <w:color w:val="000000" w:themeColor="text1"/>
        </w:rPr>
        <w:t xml:space="preserve">se </w:t>
      </w:r>
      <w:r w:rsidRPr="00033A3F">
        <w:rPr>
          <w:color w:val="000000" w:themeColor="text1"/>
        </w:rPr>
        <w:t>výroční statistick</w:t>
      </w:r>
      <w:r w:rsidR="009B6B37" w:rsidRPr="00033A3F">
        <w:rPr>
          <w:color w:val="000000" w:themeColor="text1"/>
        </w:rPr>
        <w:t>á</w:t>
      </w:r>
      <w:r w:rsidRPr="00033A3F">
        <w:rPr>
          <w:color w:val="000000" w:themeColor="text1"/>
        </w:rPr>
        <w:t xml:space="preserve"> zpráv</w:t>
      </w:r>
      <w:r w:rsidR="009B6B37" w:rsidRPr="00033A3F">
        <w:rPr>
          <w:color w:val="000000" w:themeColor="text1"/>
        </w:rPr>
        <w:t>a</w:t>
      </w:r>
      <w:r w:rsidRPr="00033A3F">
        <w:rPr>
          <w:color w:val="000000" w:themeColor="text1"/>
        </w:rPr>
        <w:t xml:space="preserve"> </w:t>
      </w:r>
      <w:r w:rsidR="009B6B37" w:rsidRPr="00033A3F">
        <w:rPr>
          <w:color w:val="000000" w:themeColor="text1"/>
        </w:rPr>
        <w:t xml:space="preserve">zabývá i </w:t>
      </w:r>
      <w:r w:rsidRPr="00033A3F">
        <w:rPr>
          <w:color w:val="000000" w:themeColor="text1"/>
        </w:rPr>
        <w:t>tzv. incidenční</w:t>
      </w:r>
      <w:r w:rsidR="009B6B37" w:rsidRPr="00033A3F">
        <w:rPr>
          <w:color w:val="000000" w:themeColor="text1"/>
        </w:rPr>
        <w:t>mi</w:t>
      </w:r>
      <w:r w:rsidRPr="00033A3F">
        <w:rPr>
          <w:color w:val="000000" w:themeColor="text1"/>
        </w:rPr>
        <w:t xml:space="preserve"> spory. Jedná se o spory vyvolané insolvenčním řízením a projednávané v jeho rámci. Incidenční spory jsou definovány v insolvenčním zákoně (zákon č. 182/2006 Sb.) a jsou jimi například:</w:t>
      </w:r>
    </w:p>
    <w:p w14:paraId="40701C68" w14:textId="77777777" w:rsidR="004A0273" w:rsidRPr="00033A3F" w:rsidRDefault="004A0273" w:rsidP="004A0273">
      <w:pPr>
        <w:pStyle w:val="Odstavecseseznamem"/>
        <w:numPr>
          <w:ilvl w:val="0"/>
          <w:numId w:val="15"/>
        </w:numPr>
        <w:spacing w:before="60" w:after="120"/>
        <w:ind w:left="714" w:hanging="357"/>
        <w:rPr>
          <w:color w:val="000000" w:themeColor="text1"/>
        </w:rPr>
      </w:pPr>
      <w:r w:rsidRPr="00033A3F">
        <w:rPr>
          <w:color w:val="000000" w:themeColor="text1"/>
        </w:rPr>
        <w:t>spory o pravost, výši nebo pořadí přihlášených pohledávek,</w:t>
      </w:r>
    </w:p>
    <w:p w14:paraId="27FE8BAA" w14:textId="77777777" w:rsidR="004A0273" w:rsidRPr="00033A3F" w:rsidRDefault="004A0273" w:rsidP="004A0273">
      <w:pPr>
        <w:pStyle w:val="Odstavecseseznamem"/>
        <w:numPr>
          <w:ilvl w:val="0"/>
          <w:numId w:val="15"/>
        </w:numPr>
        <w:spacing w:before="60" w:after="120"/>
        <w:ind w:left="714" w:hanging="357"/>
        <w:rPr>
          <w:color w:val="000000" w:themeColor="text1"/>
        </w:rPr>
      </w:pPr>
      <w:r w:rsidRPr="00033A3F">
        <w:rPr>
          <w:color w:val="000000" w:themeColor="text1"/>
        </w:rPr>
        <w:t>spory o vypořádání společného jmění dlužníka a jeho manžela,</w:t>
      </w:r>
    </w:p>
    <w:p w14:paraId="6B40AFFA" w14:textId="77777777" w:rsidR="004A0273" w:rsidRPr="00033A3F" w:rsidRDefault="004A0273" w:rsidP="004A0273">
      <w:pPr>
        <w:pStyle w:val="Odstavecseseznamem"/>
        <w:numPr>
          <w:ilvl w:val="0"/>
          <w:numId w:val="15"/>
        </w:numPr>
        <w:spacing w:before="60" w:after="120"/>
        <w:ind w:left="714" w:hanging="357"/>
        <w:rPr>
          <w:color w:val="000000" w:themeColor="text1"/>
        </w:rPr>
      </w:pPr>
      <w:r w:rsidRPr="00033A3F">
        <w:rPr>
          <w:color w:val="000000" w:themeColor="text1"/>
        </w:rPr>
        <w:t>spory o platnost smluv, kterými došlo ke zpeněžení majetkové podstaty prodejem mimo dražbu.</w:t>
      </w:r>
    </w:p>
    <w:p w14:paraId="2BAC0501" w14:textId="77777777" w:rsidR="004A0273" w:rsidRPr="00033A3F" w:rsidRDefault="004A0273" w:rsidP="004A0273">
      <w:pPr>
        <w:pStyle w:val="OdstavecASR"/>
        <w:rPr>
          <w:color w:val="000000" w:themeColor="text1"/>
        </w:rPr>
      </w:pPr>
      <w:r w:rsidRPr="00033A3F">
        <w:rPr>
          <w:color w:val="000000" w:themeColor="text1"/>
        </w:rPr>
        <w:t>Incidenční spory se svou podstatou nacházejí na pomezí insolvenčních a obchodních sporů a jsou rozhodovány insolvenčními odděleními na obchodních úsecích soudů. Vedeny jsou od roku 2010 v rejstříku ICm; v dalším průběhu let nedošlo k žádným výrazným změnám ve vedení statistik. Dříve byly zapisovány do rejstříku Cm.</w:t>
      </w:r>
    </w:p>
    <w:p w14:paraId="3BFCD4CB" w14:textId="60FDFF1E" w:rsidR="002D2A9D" w:rsidRPr="00033A3F" w:rsidRDefault="002D2A9D" w:rsidP="00A727D3">
      <w:pPr>
        <w:pStyle w:val="Nadpis3"/>
        <w:numPr>
          <w:ilvl w:val="2"/>
          <w:numId w:val="1"/>
        </w:numPr>
        <w:rPr>
          <w:color w:val="000000" w:themeColor="text1"/>
        </w:rPr>
      </w:pPr>
      <w:bookmarkStart w:id="1874" w:name="_Toc109801396"/>
      <w:bookmarkStart w:id="1875" w:name="_Toc169250861"/>
      <w:bookmarkStart w:id="1876" w:name="_Toc193531023"/>
      <w:bookmarkStart w:id="1877" w:name="_Toc193957081"/>
      <w:bookmarkStart w:id="1878" w:name="_Toc203032769"/>
      <w:r w:rsidRPr="00033A3F">
        <w:rPr>
          <w:color w:val="000000" w:themeColor="text1"/>
        </w:rPr>
        <w:t>Délka řízení</w:t>
      </w:r>
      <w:bookmarkEnd w:id="1874"/>
      <w:bookmarkEnd w:id="1875"/>
      <w:bookmarkEnd w:id="1876"/>
      <w:bookmarkEnd w:id="1877"/>
      <w:bookmarkEnd w:id="1878"/>
    </w:p>
    <w:p w14:paraId="7FAA5FA7" w14:textId="1320E821" w:rsidR="002D2A9D" w:rsidRPr="00033A3F" w:rsidRDefault="002D2A9D" w:rsidP="004C0D35">
      <w:pPr>
        <w:pStyle w:val="OdstavecASR"/>
        <w:rPr>
          <w:color w:val="000000" w:themeColor="text1"/>
        </w:rPr>
      </w:pPr>
      <w:r w:rsidRPr="00033A3F">
        <w:rPr>
          <w:color w:val="000000" w:themeColor="text1"/>
        </w:rPr>
        <w:t>Uvádíme délky řízení v kalendářních dnech ode dne nápadu do dne konečného vyřízení soudem I. stupně zjištěné ze statistických listů</w:t>
      </w:r>
      <w:r w:rsidR="00787E98" w:rsidRPr="00033A3F">
        <w:rPr>
          <w:color w:val="000000" w:themeColor="text1"/>
        </w:rPr>
        <w:t>., tedy již pravomocně ukončených incidenčních sporů</w:t>
      </w:r>
      <w:r w:rsidR="002645B1" w:rsidRPr="00033A3F">
        <w:rPr>
          <w:color w:val="000000" w:themeColor="text1"/>
        </w:rPr>
        <w:t>.</w:t>
      </w:r>
    </w:p>
    <w:p w14:paraId="094396FF" w14:textId="555C29CF" w:rsidR="00A727D3" w:rsidRPr="00033A3F" w:rsidRDefault="00A727D3" w:rsidP="00A727D3">
      <w:pPr>
        <w:pStyle w:val="Podnadpis"/>
        <w:numPr>
          <w:ilvl w:val="0"/>
          <w:numId w:val="0"/>
        </w:numPr>
        <w:rPr>
          <w:color w:val="000000" w:themeColor="text1"/>
        </w:rPr>
      </w:pPr>
      <w:bookmarkStart w:id="1879" w:name="_Toc75952258"/>
      <w:bookmarkStart w:id="1880" w:name="_Toc106106715"/>
      <w:bookmarkStart w:id="1881" w:name="_Toc109802039"/>
      <w:bookmarkStart w:id="1882" w:name="_Toc144104189"/>
      <w:bookmarkStart w:id="1883" w:name="_Toc169251002"/>
      <w:bookmarkStart w:id="1884" w:name="_Toc174080688"/>
      <w:bookmarkStart w:id="1885" w:name="_Toc193530842"/>
      <w:bookmarkStart w:id="1886" w:name="_Toc193634116"/>
      <w:bookmarkStart w:id="1887" w:name="_Toc20303291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87</w:t>
      </w:r>
      <w:r w:rsidRPr="00033A3F">
        <w:rPr>
          <w:color w:val="000000" w:themeColor="text1"/>
        </w:rPr>
        <w:fldChar w:fldCharType="end"/>
      </w:r>
      <w:r w:rsidRPr="00033A3F">
        <w:rPr>
          <w:color w:val="000000" w:themeColor="text1"/>
        </w:rPr>
        <w:t>: KS – délka incidenčních sporů v letech 2015–202</w:t>
      </w:r>
      <w:bookmarkEnd w:id="1879"/>
      <w:bookmarkEnd w:id="1880"/>
      <w:bookmarkEnd w:id="1881"/>
      <w:bookmarkEnd w:id="1882"/>
      <w:bookmarkEnd w:id="1883"/>
      <w:bookmarkEnd w:id="1884"/>
      <w:r w:rsidRPr="00033A3F">
        <w:rPr>
          <w:color w:val="000000" w:themeColor="text1"/>
        </w:rPr>
        <w:t>4</w:t>
      </w:r>
      <w:bookmarkEnd w:id="1885"/>
      <w:bookmarkEnd w:id="1886"/>
      <w:bookmarkEnd w:id="1887"/>
    </w:p>
    <w:p w14:paraId="111A2A7F" w14:textId="31AD8DA9" w:rsidR="004A0273" w:rsidRPr="00033A3F" w:rsidRDefault="002D2A9D" w:rsidP="004A0273">
      <w:pPr>
        <w:rPr>
          <w:color w:val="000000" w:themeColor="text1"/>
        </w:rPr>
      </w:pPr>
      <w:r w:rsidRPr="00033A3F">
        <w:rPr>
          <w:noProof/>
          <w:color w:val="000000" w:themeColor="text1"/>
          <w:lang w:eastAsia="cs-CZ"/>
        </w:rPr>
        <w:drawing>
          <wp:inline distT="0" distB="0" distL="0" distR="0" wp14:anchorId="2226191D" wp14:editId="67C493CF">
            <wp:extent cx="5029200" cy="3657600"/>
            <wp:effectExtent l="0" t="0" r="0" b="0"/>
            <wp:docPr id="1239607112"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27ACFBA" w14:textId="6A32C37F" w:rsidR="000064ED" w:rsidRPr="00033A3F" w:rsidRDefault="000064ED" w:rsidP="000064ED">
      <w:pPr>
        <w:pStyle w:val="OdstavecASR"/>
        <w:rPr>
          <w:color w:val="000000" w:themeColor="text1"/>
        </w:rPr>
      </w:pPr>
      <w:r w:rsidRPr="00033A3F">
        <w:rPr>
          <w:color w:val="000000" w:themeColor="text1"/>
        </w:rPr>
        <w:t xml:space="preserve">Graf ukazuje, že medián délky řízení byl v letech 2015 až 2018 poměrně stabilní, zatímco průměr a percentil 90 rostly. Zvětšoval se tak rozdíl mezi hodnotami percentilu 90 a mediánem. Jinými slovy se zvětšoval rozdíl mezi věcí s „běžnou“ délkou řízení a věcí trvající dlouho. Následně se průměr a percentil 90 stabilizovaly a medián klesl. V letech 2021 až 2023 se tak medián držel na úrovni asi o měsíc nižší než v letech 2014 až 2019. V roce 2024 došlo k poklesu mediánu, průměru </w:t>
      </w:r>
      <w:r w:rsidR="009B6B37" w:rsidRPr="00033A3F">
        <w:rPr>
          <w:color w:val="000000" w:themeColor="text1"/>
        </w:rPr>
        <w:t>i</w:t>
      </w:r>
      <w:r w:rsidRPr="00033A3F">
        <w:rPr>
          <w:color w:val="000000" w:themeColor="text1"/>
        </w:rPr>
        <w:t xml:space="preserve"> percentilu 90.</w:t>
      </w:r>
    </w:p>
    <w:p w14:paraId="5F8427B4" w14:textId="77777777" w:rsidR="000064ED" w:rsidRPr="00033A3F" w:rsidRDefault="000064ED" w:rsidP="000064ED">
      <w:pPr>
        <w:pStyle w:val="OdstavecASR"/>
        <w:rPr>
          <w:color w:val="000000" w:themeColor="text1"/>
        </w:rPr>
      </w:pPr>
      <w:r w:rsidRPr="00033A3F">
        <w:rPr>
          <w:color w:val="000000" w:themeColor="text1"/>
        </w:rPr>
        <w:lastRenderedPageBreak/>
        <w:t>Obecné závěry o trendech vyřizování v této agendě můžeme vyvodit až poté, co prozkoumáme další data (vyřizování věcí, disposition time). Z absolutních hodnot délek řízení je nicméně patrné, že agenda je nelehká a vyřízení zabírá soudům mnoho času.</w:t>
      </w:r>
    </w:p>
    <w:p w14:paraId="6BF40D23" w14:textId="57F84EDB" w:rsidR="000064ED" w:rsidRPr="00033A3F" w:rsidRDefault="000064ED" w:rsidP="000064ED">
      <w:pPr>
        <w:pStyle w:val="Podnadpis"/>
        <w:rPr>
          <w:color w:val="000000" w:themeColor="text1"/>
        </w:rPr>
      </w:pPr>
      <w:bookmarkStart w:id="1888" w:name="_Toc43931247"/>
      <w:bookmarkStart w:id="1889" w:name="_Toc75952380"/>
      <w:bookmarkStart w:id="1890" w:name="_Toc106106833"/>
      <w:bookmarkStart w:id="1891" w:name="_Toc109802156"/>
      <w:bookmarkStart w:id="1892" w:name="_Toc144104315"/>
      <w:bookmarkStart w:id="1893" w:name="_Toc169251129"/>
      <w:bookmarkStart w:id="1894" w:name="_Toc174080815"/>
      <w:bookmarkStart w:id="1895" w:name="_Toc193530941"/>
      <w:bookmarkStart w:id="1896" w:name="_Toc194045638"/>
      <w:bookmarkStart w:id="1897" w:name="_Toc199495048"/>
      <w:bookmarkStart w:id="1898" w:name="_Toc203033109"/>
      <w:bookmarkStart w:id="1899" w:name="_Toc203033187"/>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67</w:t>
      </w:r>
      <w:r w:rsidRPr="00033A3F">
        <w:rPr>
          <w:noProof/>
          <w:color w:val="000000" w:themeColor="text1"/>
        </w:rPr>
        <w:fldChar w:fldCharType="end"/>
      </w:r>
      <w:r w:rsidRPr="00033A3F">
        <w:rPr>
          <w:color w:val="000000" w:themeColor="text1"/>
        </w:rPr>
        <w:t>: KS – délky incidenčních sporů dle soudů</w:t>
      </w:r>
      <w:bookmarkEnd w:id="1888"/>
      <w:bookmarkEnd w:id="1889"/>
      <w:bookmarkEnd w:id="1890"/>
      <w:bookmarkEnd w:id="1891"/>
      <w:bookmarkEnd w:id="1892"/>
      <w:r w:rsidRPr="00033A3F">
        <w:rPr>
          <w:color w:val="000000" w:themeColor="text1"/>
        </w:rPr>
        <w:t xml:space="preserve">, </w:t>
      </w:r>
      <w:bookmarkEnd w:id="1893"/>
      <w:bookmarkEnd w:id="1894"/>
      <w:r w:rsidR="00936B01" w:rsidRPr="00033A3F">
        <w:rPr>
          <w:color w:val="000000" w:themeColor="text1"/>
        </w:rPr>
        <w:t>2024</w:t>
      </w:r>
      <w:bookmarkEnd w:id="1895"/>
      <w:bookmarkEnd w:id="1896"/>
      <w:bookmarkEnd w:id="1897"/>
      <w:bookmarkEnd w:id="1898"/>
      <w:bookmarkEnd w:id="1899"/>
    </w:p>
    <w:tbl>
      <w:tblPr>
        <w:tblW w:w="8960" w:type="dxa"/>
        <w:tblLayout w:type="fixed"/>
        <w:tblCellMar>
          <w:left w:w="70" w:type="dxa"/>
          <w:right w:w="70" w:type="dxa"/>
        </w:tblCellMar>
        <w:tblLook w:val="04A0" w:firstRow="1" w:lastRow="0" w:firstColumn="1" w:lastColumn="0" w:noHBand="0" w:noVBand="1"/>
      </w:tblPr>
      <w:tblGrid>
        <w:gridCol w:w="2480"/>
        <w:gridCol w:w="1206"/>
        <w:gridCol w:w="954"/>
        <w:gridCol w:w="1172"/>
        <w:gridCol w:w="988"/>
        <w:gridCol w:w="1138"/>
        <w:gridCol w:w="1022"/>
      </w:tblGrid>
      <w:tr w:rsidR="000064ED" w:rsidRPr="00033A3F" w14:paraId="1FA4F188"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94C1B58"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6480" w:type="dxa"/>
            <w:gridSpan w:val="6"/>
            <w:tcBorders>
              <w:top w:val="double" w:sz="6" w:space="0" w:color="auto"/>
              <w:left w:val="nil"/>
              <w:bottom w:val="nil"/>
              <w:right w:val="nil"/>
            </w:tcBorders>
            <w:shd w:val="clear" w:color="auto" w:fill="auto"/>
            <w:noWrap/>
            <w:vAlign w:val="center"/>
            <w:hideMark/>
          </w:tcPr>
          <w:p w14:paraId="37C1C4BA"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BF0CC3" w:rsidRPr="00033A3F" w14:paraId="5BBB3B11" w14:textId="77777777" w:rsidTr="00371086">
        <w:trPr>
          <w:trHeight w:val="330"/>
        </w:trPr>
        <w:tc>
          <w:tcPr>
            <w:tcW w:w="2480" w:type="dxa"/>
            <w:vMerge/>
            <w:tcBorders>
              <w:top w:val="double" w:sz="6" w:space="0" w:color="auto"/>
              <w:left w:val="nil"/>
              <w:bottom w:val="double" w:sz="6" w:space="0" w:color="000000"/>
              <w:right w:val="nil"/>
            </w:tcBorders>
            <w:vAlign w:val="center"/>
            <w:hideMark/>
          </w:tcPr>
          <w:p w14:paraId="15D2BFB5" w14:textId="77777777" w:rsidR="000064ED" w:rsidRPr="00033A3F" w:rsidRDefault="000064ED" w:rsidP="000064ED">
            <w:pPr>
              <w:spacing w:line="240" w:lineRule="auto"/>
              <w:jc w:val="left"/>
              <w:rPr>
                <w:rFonts w:eastAsia="Times New Roman"/>
                <w:b/>
                <w:bCs/>
                <w:color w:val="000000" w:themeColor="text1"/>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14:paraId="5111394D"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CD021CE"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2160" w:type="dxa"/>
            <w:gridSpan w:val="2"/>
            <w:tcBorders>
              <w:top w:val="nil"/>
              <w:left w:val="nil"/>
              <w:bottom w:val="double" w:sz="6" w:space="0" w:color="auto"/>
              <w:right w:val="nil"/>
            </w:tcBorders>
            <w:shd w:val="clear" w:color="auto" w:fill="auto"/>
            <w:noWrap/>
            <w:vAlign w:val="center"/>
            <w:hideMark/>
          </w:tcPr>
          <w:p w14:paraId="77ADA5B6"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BF0CC3" w:rsidRPr="00033A3F" w14:paraId="52CD252D" w14:textId="77777777" w:rsidTr="00371086">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8D5D012"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06" w:type="dxa"/>
            <w:tcBorders>
              <w:top w:val="single" w:sz="4" w:space="0" w:color="auto"/>
              <w:left w:val="nil"/>
              <w:bottom w:val="single" w:sz="4" w:space="0" w:color="auto"/>
              <w:right w:val="nil"/>
            </w:tcBorders>
            <w:shd w:val="clear" w:color="auto" w:fill="auto"/>
            <w:noWrap/>
            <w:vAlign w:val="bottom"/>
            <w:hideMark/>
          </w:tcPr>
          <w:p w14:paraId="7D9C14A8"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511</w:t>
            </w:r>
          </w:p>
        </w:tc>
        <w:tc>
          <w:tcPr>
            <w:tcW w:w="954" w:type="dxa"/>
            <w:tcBorders>
              <w:top w:val="single" w:sz="4" w:space="0" w:color="auto"/>
              <w:left w:val="nil"/>
              <w:bottom w:val="single" w:sz="4" w:space="0" w:color="auto"/>
              <w:right w:val="nil"/>
            </w:tcBorders>
            <w:shd w:val="clear" w:color="auto" w:fill="auto"/>
            <w:noWrap/>
            <w:vAlign w:val="center"/>
            <w:hideMark/>
          </w:tcPr>
          <w:p w14:paraId="67D1743B" w14:textId="341B8ABE"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72" w:type="dxa"/>
            <w:tcBorders>
              <w:top w:val="nil"/>
              <w:left w:val="single" w:sz="4" w:space="0" w:color="auto"/>
              <w:bottom w:val="single" w:sz="4" w:space="0" w:color="auto"/>
              <w:right w:val="nil"/>
            </w:tcBorders>
            <w:shd w:val="clear" w:color="auto" w:fill="auto"/>
            <w:noWrap/>
            <w:vAlign w:val="bottom"/>
            <w:hideMark/>
          </w:tcPr>
          <w:p w14:paraId="6964D75E"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362</w:t>
            </w:r>
          </w:p>
        </w:tc>
        <w:tc>
          <w:tcPr>
            <w:tcW w:w="988" w:type="dxa"/>
            <w:tcBorders>
              <w:top w:val="nil"/>
              <w:left w:val="nil"/>
              <w:bottom w:val="single" w:sz="4" w:space="0" w:color="auto"/>
              <w:right w:val="single" w:sz="4" w:space="0" w:color="auto"/>
            </w:tcBorders>
            <w:shd w:val="clear" w:color="auto" w:fill="auto"/>
            <w:noWrap/>
            <w:vAlign w:val="center"/>
            <w:hideMark/>
          </w:tcPr>
          <w:p w14:paraId="5CA72C7B" w14:textId="1FA661AF"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38" w:type="dxa"/>
            <w:tcBorders>
              <w:top w:val="single" w:sz="4" w:space="0" w:color="auto"/>
              <w:left w:val="nil"/>
              <w:bottom w:val="single" w:sz="4" w:space="0" w:color="auto"/>
              <w:right w:val="nil"/>
            </w:tcBorders>
            <w:shd w:val="clear" w:color="auto" w:fill="auto"/>
            <w:noWrap/>
            <w:vAlign w:val="bottom"/>
            <w:hideMark/>
          </w:tcPr>
          <w:p w14:paraId="146243C7"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1 059</w:t>
            </w:r>
          </w:p>
        </w:tc>
        <w:tc>
          <w:tcPr>
            <w:tcW w:w="1022" w:type="dxa"/>
            <w:tcBorders>
              <w:top w:val="single" w:sz="4" w:space="0" w:color="auto"/>
              <w:left w:val="nil"/>
              <w:bottom w:val="single" w:sz="4" w:space="0" w:color="auto"/>
              <w:right w:val="nil"/>
            </w:tcBorders>
            <w:shd w:val="clear" w:color="auto" w:fill="auto"/>
            <w:noWrap/>
            <w:vAlign w:val="center"/>
            <w:hideMark/>
          </w:tcPr>
          <w:p w14:paraId="18CEDBA6" w14:textId="4CFE3510" w:rsidR="000064ED" w:rsidRPr="00033A3F" w:rsidRDefault="000064ED" w:rsidP="000064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BF0CC3" w:rsidRPr="00033A3F" w14:paraId="718B1DBC"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23182031"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06" w:type="dxa"/>
            <w:tcBorders>
              <w:top w:val="nil"/>
              <w:left w:val="nil"/>
              <w:bottom w:val="single" w:sz="4" w:space="0" w:color="auto"/>
              <w:right w:val="nil"/>
            </w:tcBorders>
            <w:shd w:val="clear" w:color="auto" w:fill="auto"/>
            <w:noWrap/>
            <w:vAlign w:val="bottom"/>
            <w:hideMark/>
          </w:tcPr>
          <w:p w14:paraId="6F97C067"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402</w:t>
            </w:r>
          </w:p>
        </w:tc>
        <w:tc>
          <w:tcPr>
            <w:tcW w:w="954" w:type="dxa"/>
            <w:tcBorders>
              <w:top w:val="nil"/>
              <w:left w:val="nil"/>
              <w:bottom w:val="single" w:sz="4" w:space="0" w:color="auto"/>
              <w:right w:val="nil"/>
            </w:tcBorders>
            <w:shd w:val="clear" w:color="auto" w:fill="auto"/>
            <w:noWrap/>
            <w:vAlign w:val="center"/>
            <w:hideMark/>
          </w:tcPr>
          <w:p w14:paraId="2BBD2FFF" w14:textId="4F469362"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172" w:type="dxa"/>
            <w:tcBorders>
              <w:top w:val="nil"/>
              <w:left w:val="single" w:sz="4" w:space="0" w:color="auto"/>
              <w:bottom w:val="single" w:sz="4" w:space="0" w:color="auto"/>
              <w:right w:val="nil"/>
            </w:tcBorders>
            <w:shd w:val="clear" w:color="auto" w:fill="auto"/>
            <w:noWrap/>
            <w:vAlign w:val="bottom"/>
            <w:hideMark/>
          </w:tcPr>
          <w:p w14:paraId="13E717CA"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180</w:t>
            </w:r>
          </w:p>
        </w:tc>
        <w:tc>
          <w:tcPr>
            <w:tcW w:w="988" w:type="dxa"/>
            <w:tcBorders>
              <w:top w:val="nil"/>
              <w:left w:val="nil"/>
              <w:bottom w:val="single" w:sz="4" w:space="0" w:color="auto"/>
              <w:right w:val="single" w:sz="4" w:space="0" w:color="auto"/>
            </w:tcBorders>
            <w:shd w:val="clear" w:color="auto" w:fill="auto"/>
            <w:noWrap/>
            <w:vAlign w:val="center"/>
            <w:hideMark/>
          </w:tcPr>
          <w:p w14:paraId="2388652B" w14:textId="6190F802"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138" w:type="dxa"/>
            <w:tcBorders>
              <w:top w:val="nil"/>
              <w:left w:val="nil"/>
              <w:bottom w:val="single" w:sz="4" w:space="0" w:color="auto"/>
              <w:right w:val="nil"/>
            </w:tcBorders>
            <w:shd w:val="clear" w:color="auto" w:fill="auto"/>
            <w:noWrap/>
            <w:vAlign w:val="bottom"/>
            <w:hideMark/>
          </w:tcPr>
          <w:p w14:paraId="429DF2B8"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938</w:t>
            </w:r>
          </w:p>
        </w:tc>
        <w:tc>
          <w:tcPr>
            <w:tcW w:w="1022" w:type="dxa"/>
            <w:tcBorders>
              <w:top w:val="nil"/>
              <w:left w:val="nil"/>
              <w:bottom w:val="single" w:sz="4" w:space="0" w:color="auto"/>
              <w:right w:val="nil"/>
            </w:tcBorders>
            <w:shd w:val="clear" w:color="auto" w:fill="auto"/>
            <w:noWrap/>
            <w:vAlign w:val="center"/>
            <w:hideMark/>
          </w:tcPr>
          <w:p w14:paraId="40755D5A" w14:textId="68737531"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BF0CC3" w:rsidRPr="00033A3F" w14:paraId="2F517224"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01009F8D"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06" w:type="dxa"/>
            <w:tcBorders>
              <w:top w:val="nil"/>
              <w:left w:val="nil"/>
              <w:bottom w:val="single" w:sz="4" w:space="0" w:color="auto"/>
              <w:right w:val="nil"/>
            </w:tcBorders>
            <w:shd w:val="clear" w:color="auto" w:fill="auto"/>
            <w:noWrap/>
            <w:vAlign w:val="bottom"/>
            <w:hideMark/>
          </w:tcPr>
          <w:p w14:paraId="0FF58738"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234</w:t>
            </w:r>
          </w:p>
        </w:tc>
        <w:tc>
          <w:tcPr>
            <w:tcW w:w="954" w:type="dxa"/>
            <w:tcBorders>
              <w:top w:val="nil"/>
              <w:left w:val="nil"/>
              <w:bottom w:val="single" w:sz="4" w:space="0" w:color="auto"/>
              <w:right w:val="nil"/>
            </w:tcBorders>
            <w:shd w:val="clear" w:color="auto" w:fill="auto"/>
            <w:noWrap/>
            <w:vAlign w:val="center"/>
            <w:hideMark/>
          </w:tcPr>
          <w:p w14:paraId="59511C27" w14:textId="3063CF6A"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72" w:type="dxa"/>
            <w:tcBorders>
              <w:top w:val="nil"/>
              <w:left w:val="single" w:sz="4" w:space="0" w:color="auto"/>
              <w:bottom w:val="single" w:sz="4" w:space="0" w:color="auto"/>
              <w:right w:val="nil"/>
            </w:tcBorders>
            <w:shd w:val="clear" w:color="auto" w:fill="auto"/>
            <w:noWrap/>
            <w:vAlign w:val="bottom"/>
            <w:hideMark/>
          </w:tcPr>
          <w:p w14:paraId="17B1DAFA"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w:t>
            </w:r>
          </w:p>
        </w:tc>
        <w:tc>
          <w:tcPr>
            <w:tcW w:w="988" w:type="dxa"/>
            <w:tcBorders>
              <w:top w:val="nil"/>
              <w:left w:val="nil"/>
              <w:bottom w:val="single" w:sz="4" w:space="0" w:color="auto"/>
              <w:right w:val="single" w:sz="4" w:space="0" w:color="auto"/>
            </w:tcBorders>
            <w:shd w:val="clear" w:color="auto" w:fill="auto"/>
            <w:noWrap/>
            <w:vAlign w:val="center"/>
            <w:hideMark/>
          </w:tcPr>
          <w:p w14:paraId="1D2A59AD" w14:textId="0018DD98"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c>
          <w:tcPr>
            <w:tcW w:w="1138" w:type="dxa"/>
            <w:tcBorders>
              <w:top w:val="nil"/>
              <w:left w:val="nil"/>
              <w:bottom w:val="single" w:sz="4" w:space="0" w:color="auto"/>
              <w:right w:val="nil"/>
            </w:tcBorders>
            <w:shd w:val="clear" w:color="auto" w:fill="auto"/>
            <w:noWrap/>
            <w:vAlign w:val="bottom"/>
            <w:hideMark/>
          </w:tcPr>
          <w:p w14:paraId="7CBF05CE"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556</w:t>
            </w:r>
          </w:p>
        </w:tc>
        <w:tc>
          <w:tcPr>
            <w:tcW w:w="1022" w:type="dxa"/>
            <w:tcBorders>
              <w:top w:val="nil"/>
              <w:left w:val="nil"/>
              <w:bottom w:val="single" w:sz="4" w:space="0" w:color="auto"/>
              <w:right w:val="nil"/>
            </w:tcBorders>
            <w:shd w:val="clear" w:color="auto" w:fill="auto"/>
            <w:noWrap/>
            <w:vAlign w:val="center"/>
            <w:hideMark/>
          </w:tcPr>
          <w:p w14:paraId="474EA65F" w14:textId="54F9B9A7"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BF0CC3" w:rsidRPr="00033A3F" w14:paraId="0582CF9D"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62948A92"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06" w:type="dxa"/>
            <w:tcBorders>
              <w:top w:val="nil"/>
              <w:left w:val="nil"/>
              <w:bottom w:val="single" w:sz="4" w:space="0" w:color="auto"/>
              <w:right w:val="nil"/>
            </w:tcBorders>
            <w:shd w:val="clear" w:color="auto" w:fill="auto"/>
            <w:noWrap/>
            <w:vAlign w:val="bottom"/>
            <w:hideMark/>
          </w:tcPr>
          <w:p w14:paraId="7794E56B"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452</w:t>
            </w:r>
          </w:p>
        </w:tc>
        <w:tc>
          <w:tcPr>
            <w:tcW w:w="954" w:type="dxa"/>
            <w:tcBorders>
              <w:top w:val="nil"/>
              <w:left w:val="nil"/>
              <w:bottom w:val="single" w:sz="4" w:space="0" w:color="auto"/>
              <w:right w:val="nil"/>
            </w:tcBorders>
            <w:shd w:val="clear" w:color="auto" w:fill="auto"/>
            <w:noWrap/>
            <w:vAlign w:val="center"/>
            <w:hideMark/>
          </w:tcPr>
          <w:p w14:paraId="263226AB" w14:textId="0B5426AC"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1172" w:type="dxa"/>
            <w:tcBorders>
              <w:top w:val="nil"/>
              <w:left w:val="single" w:sz="4" w:space="0" w:color="auto"/>
              <w:bottom w:val="single" w:sz="4" w:space="0" w:color="auto"/>
              <w:right w:val="nil"/>
            </w:tcBorders>
            <w:shd w:val="clear" w:color="auto" w:fill="auto"/>
            <w:noWrap/>
            <w:vAlign w:val="bottom"/>
            <w:hideMark/>
          </w:tcPr>
          <w:p w14:paraId="6D023E11"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210</w:t>
            </w:r>
          </w:p>
        </w:tc>
        <w:tc>
          <w:tcPr>
            <w:tcW w:w="988" w:type="dxa"/>
            <w:tcBorders>
              <w:top w:val="nil"/>
              <w:left w:val="nil"/>
              <w:bottom w:val="single" w:sz="4" w:space="0" w:color="auto"/>
              <w:right w:val="single" w:sz="4" w:space="0" w:color="auto"/>
            </w:tcBorders>
            <w:shd w:val="clear" w:color="auto" w:fill="auto"/>
            <w:noWrap/>
            <w:vAlign w:val="center"/>
            <w:hideMark/>
          </w:tcPr>
          <w:p w14:paraId="0A140B1D" w14:textId="365C3DEC"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138" w:type="dxa"/>
            <w:tcBorders>
              <w:top w:val="nil"/>
              <w:left w:val="nil"/>
              <w:bottom w:val="single" w:sz="4" w:space="0" w:color="auto"/>
              <w:right w:val="nil"/>
            </w:tcBorders>
            <w:shd w:val="clear" w:color="auto" w:fill="auto"/>
            <w:noWrap/>
            <w:vAlign w:val="bottom"/>
            <w:hideMark/>
          </w:tcPr>
          <w:p w14:paraId="3DFB119B"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1 207</w:t>
            </w:r>
          </w:p>
        </w:tc>
        <w:tc>
          <w:tcPr>
            <w:tcW w:w="1022" w:type="dxa"/>
            <w:tcBorders>
              <w:top w:val="nil"/>
              <w:left w:val="nil"/>
              <w:bottom w:val="single" w:sz="4" w:space="0" w:color="auto"/>
              <w:right w:val="nil"/>
            </w:tcBorders>
            <w:shd w:val="clear" w:color="auto" w:fill="auto"/>
            <w:noWrap/>
            <w:vAlign w:val="center"/>
            <w:hideMark/>
          </w:tcPr>
          <w:p w14:paraId="63DF3861" w14:textId="0BC04B5F"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r>
      <w:tr w:rsidR="00BF0CC3" w:rsidRPr="00033A3F" w14:paraId="3C7D409C"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06635C82"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06" w:type="dxa"/>
            <w:tcBorders>
              <w:top w:val="nil"/>
              <w:left w:val="nil"/>
              <w:bottom w:val="single" w:sz="4" w:space="0" w:color="auto"/>
              <w:right w:val="nil"/>
            </w:tcBorders>
            <w:shd w:val="clear" w:color="auto" w:fill="auto"/>
            <w:noWrap/>
            <w:vAlign w:val="bottom"/>
            <w:hideMark/>
          </w:tcPr>
          <w:p w14:paraId="2CE0899F"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388</w:t>
            </w:r>
          </w:p>
        </w:tc>
        <w:tc>
          <w:tcPr>
            <w:tcW w:w="954" w:type="dxa"/>
            <w:tcBorders>
              <w:top w:val="nil"/>
              <w:left w:val="nil"/>
              <w:bottom w:val="single" w:sz="4" w:space="0" w:color="auto"/>
              <w:right w:val="nil"/>
            </w:tcBorders>
            <w:shd w:val="clear" w:color="auto" w:fill="auto"/>
            <w:noWrap/>
            <w:vAlign w:val="center"/>
            <w:hideMark/>
          </w:tcPr>
          <w:p w14:paraId="3D0C5A8D" w14:textId="6B183DAC"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172" w:type="dxa"/>
            <w:tcBorders>
              <w:top w:val="nil"/>
              <w:left w:val="single" w:sz="4" w:space="0" w:color="auto"/>
              <w:bottom w:val="single" w:sz="4" w:space="0" w:color="auto"/>
              <w:right w:val="nil"/>
            </w:tcBorders>
            <w:shd w:val="clear" w:color="auto" w:fill="auto"/>
            <w:noWrap/>
            <w:vAlign w:val="bottom"/>
            <w:hideMark/>
          </w:tcPr>
          <w:p w14:paraId="1DFA9922"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211</w:t>
            </w:r>
          </w:p>
        </w:tc>
        <w:tc>
          <w:tcPr>
            <w:tcW w:w="988" w:type="dxa"/>
            <w:tcBorders>
              <w:top w:val="nil"/>
              <w:left w:val="nil"/>
              <w:bottom w:val="single" w:sz="4" w:space="0" w:color="auto"/>
              <w:right w:val="single" w:sz="4" w:space="0" w:color="auto"/>
            </w:tcBorders>
            <w:shd w:val="clear" w:color="auto" w:fill="auto"/>
            <w:noWrap/>
            <w:vAlign w:val="center"/>
            <w:hideMark/>
          </w:tcPr>
          <w:p w14:paraId="31D172E3" w14:textId="1C02D83D"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1138" w:type="dxa"/>
            <w:tcBorders>
              <w:top w:val="nil"/>
              <w:left w:val="nil"/>
              <w:bottom w:val="single" w:sz="4" w:space="0" w:color="auto"/>
              <w:right w:val="nil"/>
            </w:tcBorders>
            <w:shd w:val="clear" w:color="auto" w:fill="auto"/>
            <w:noWrap/>
            <w:vAlign w:val="bottom"/>
            <w:hideMark/>
          </w:tcPr>
          <w:p w14:paraId="4B313785"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1 113</w:t>
            </w:r>
          </w:p>
        </w:tc>
        <w:tc>
          <w:tcPr>
            <w:tcW w:w="1022" w:type="dxa"/>
            <w:tcBorders>
              <w:top w:val="nil"/>
              <w:left w:val="nil"/>
              <w:bottom w:val="single" w:sz="4" w:space="0" w:color="auto"/>
              <w:right w:val="nil"/>
            </w:tcBorders>
            <w:shd w:val="clear" w:color="auto" w:fill="auto"/>
            <w:noWrap/>
            <w:vAlign w:val="center"/>
            <w:hideMark/>
          </w:tcPr>
          <w:p w14:paraId="3A2BC6FA" w14:textId="342E4D3D" w:rsidR="000064ED" w:rsidRPr="00033A3F" w:rsidRDefault="000064ED" w:rsidP="000064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BF0CC3" w:rsidRPr="00033A3F" w14:paraId="5EDE1B74"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2C2467B5"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06" w:type="dxa"/>
            <w:tcBorders>
              <w:top w:val="nil"/>
              <w:left w:val="nil"/>
              <w:bottom w:val="single" w:sz="4" w:space="0" w:color="auto"/>
              <w:right w:val="nil"/>
            </w:tcBorders>
            <w:shd w:val="clear" w:color="auto" w:fill="auto"/>
            <w:noWrap/>
            <w:vAlign w:val="bottom"/>
            <w:hideMark/>
          </w:tcPr>
          <w:p w14:paraId="0BAB45BA"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397</w:t>
            </w:r>
          </w:p>
        </w:tc>
        <w:tc>
          <w:tcPr>
            <w:tcW w:w="954" w:type="dxa"/>
            <w:tcBorders>
              <w:top w:val="nil"/>
              <w:left w:val="nil"/>
              <w:bottom w:val="single" w:sz="4" w:space="0" w:color="auto"/>
              <w:right w:val="nil"/>
            </w:tcBorders>
            <w:shd w:val="clear" w:color="auto" w:fill="auto"/>
            <w:noWrap/>
            <w:vAlign w:val="center"/>
            <w:hideMark/>
          </w:tcPr>
          <w:p w14:paraId="449EA22C" w14:textId="6F55F606"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172" w:type="dxa"/>
            <w:tcBorders>
              <w:top w:val="nil"/>
              <w:left w:val="single" w:sz="4" w:space="0" w:color="auto"/>
              <w:bottom w:val="single" w:sz="4" w:space="0" w:color="auto"/>
              <w:right w:val="nil"/>
            </w:tcBorders>
            <w:shd w:val="clear" w:color="auto" w:fill="auto"/>
            <w:noWrap/>
            <w:vAlign w:val="bottom"/>
            <w:hideMark/>
          </w:tcPr>
          <w:p w14:paraId="14C05544"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208</w:t>
            </w:r>
          </w:p>
        </w:tc>
        <w:tc>
          <w:tcPr>
            <w:tcW w:w="988" w:type="dxa"/>
            <w:tcBorders>
              <w:top w:val="nil"/>
              <w:left w:val="nil"/>
              <w:bottom w:val="single" w:sz="4" w:space="0" w:color="auto"/>
              <w:right w:val="single" w:sz="4" w:space="0" w:color="auto"/>
            </w:tcBorders>
            <w:shd w:val="clear" w:color="auto" w:fill="auto"/>
            <w:noWrap/>
            <w:vAlign w:val="center"/>
            <w:hideMark/>
          </w:tcPr>
          <w:p w14:paraId="3193DF08" w14:textId="4FCC2E5A"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1138" w:type="dxa"/>
            <w:tcBorders>
              <w:top w:val="nil"/>
              <w:left w:val="nil"/>
              <w:bottom w:val="single" w:sz="4" w:space="0" w:color="auto"/>
              <w:right w:val="nil"/>
            </w:tcBorders>
            <w:shd w:val="clear" w:color="auto" w:fill="auto"/>
            <w:noWrap/>
            <w:vAlign w:val="bottom"/>
            <w:hideMark/>
          </w:tcPr>
          <w:p w14:paraId="10DFFAC5"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966</w:t>
            </w:r>
          </w:p>
        </w:tc>
        <w:tc>
          <w:tcPr>
            <w:tcW w:w="1022" w:type="dxa"/>
            <w:tcBorders>
              <w:top w:val="nil"/>
              <w:left w:val="nil"/>
              <w:bottom w:val="single" w:sz="4" w:space="0" w:color="auto"/>
              <w:right w:val="nil"/>
            </w:tcBorders>
            <w:shd w:val="clear" w:color="auto" w:fill="auto"/>
            <w:noWrap/>
            <w:vAlign w:val="center"/>
            <w:hideMark/>
          </w:tcPr>
          <w:p w14:paraId="7BA40844" w14:textId="671B1B5E"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BF0CC3" w:rsidRPr="00033A3F" w14:paraId="4B6300C9"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09D009A2"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06" w:type="dxa"/>
            <w:tcBorders>
              <w:top w:val="nil"/>
              <w:left w:val="nil"/>
              <w:bottom w:val="single" w:sz="4" w:space="0" w:color="auto"/>
              <w:right w:val="nil"/>
            </w:tcBorders>
            <w:shd w:val="clear" w:color="auto" w:fill="auto"/>
            <w:noWrap/>
            <w:vAlign w:val="bottom"/>
            <w:hideMark/>
          </w:tcPr>
          <w:p w14:paraId="0D0E5330"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633</w:t>
            </w:r>
          </w:p>
        </w:tc>
        <w:tc>
          <w:tcPr>
            <w:tcW w:w="954" w:type="dxa"/>
            <w:tcBorders>
              <w:top w:val="nil"/>
              <w:left w:val="nil"/>
              <w:bottom w:val="single" w:sz="4" w:space="0" w:color="auto"/>
              <w:right w:val="nil"/>
            </w:tcBorders>
            <w:shd w:val="clear" w:color="auto" w:fill="auto"/>
            <w:noWrap/>
            <w:vAlign w:val="center"/>
            <w:hideMark/>
          </w:tcPr>
          <w:p w14:paraId="799A08EA" w14:textId="15F5DBD6"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72" w:type="dxa"/>
            <w:tcBorders>
              <w:top w:val="nil"/>
              <w:left w:val="single" w:sz="4" w:space="0" w:color="auto"/>
              <w:bottom w:val="single" w:sz="4" w:space="0" w:color="auto"/>
              <w:right w:val="nil"/>
            </w:tcBorders>
            <w:shd w:val="clear" w:color="auto" w:fill="auto"/>
            <w:noWrap/>
            <w:vAlign w:val="bottom"/>
            <w:hideMark/>
          </w:tcPr>
          <w:p w14:paraId="2554E6DB"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539</w:t>
            </w:r>
          </w:p>
        </w:tc>
        <w:tc>
          <w:tcPr>
            <w:tcW w:w="988" w:type="dxa"/>
            <w:tcBorders>
              <w:top w:val="nil"/>
              <w:left w:val="nil"/>
              <w:bottom w:val="single" w:sz="4" w:space="0" w:color="auto"/>
              <w:right w:val="single" w:sz="4" w:space="0" w:color="auto"/>
            </w:tcBorders>
            <w:shd w:val="clear" w:color="auto" w:fill="auto"/>
            <w:noWrap/>
            <w:vAlign w:val="center"/>
            <w:hideMark/>
          </w:tcPr>
          <w:p w14:paraId="45291E20" w14:textId="13FF6FCB"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c>
          <w:tcPr>
            <w:tcW w:w="1138" w:type="dxa"/>
            <w:tcBorders>
              <w:top w:val="nil"/>
              <w:left w:val="nil"/>
              <w:bottom w:val="single" w:sz="4" w:space="0" w:color="auto"/>
              <w:right w:val="nil"/>
            </w:tcBorders>
            <w:shd w:val="clear" w:color="auto" w:fill="auto"/>
            <w:noWrap/>
            <w:vAlign w:val="bottom"/>
            <w:hideMark/>
          </w:tcPr>
          <w:p w14:paraId="55757ECD"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1 252</w:t>
            </w:r>
          </w:p>
        </w:tc>
        <w:tc>
          <w:tcPr>
            <w:tcW w:w="1022" w:type="dxa"/>
            <w:tcBorders>
              <w:top w:val="nil"/>
              <w:left w:val="nil"/>
              <w:bottom w:val="single" w:sz="4" w:space="0" w:color="auto"/>
              <w:right w:val="nil"/>
            </w:tcBorders>
            <w:shd w:val="clear" w:color="auto" w:fill="auto"/>
            <w:noWrap/>
            <w:vAlign w:val="center"/>
            <w:hideMark/>
          </w:tcPr>
          <w:p w14:paraId="178E5BC3" w14:textId="49708A6C"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BF0CC3" w:rsidRPr="00033A3F" w14:paraId="7BFDB19B" w14:textId="77777777" w:rsidTr="00371086">
        <w:trPr>
          <w:trHeight w:val="330"/>
        </w:trPr>
        <w:tc>
          <w:tcPr>
            <w:tcW w:w="2480" w:type="dxa"/>
            <w:tcBorders>
              <w:top w:val="nil"/>
              <w:left w:val="nil"/>
              <w:bottom w:val="double" w:sz="6" w:space="0" w:color="auto"/>
              <w:right w:val="nil"/>
            </w:tcBorders>
            <w:shd w:val="clear" w:color="auto" w:fill="auto"/>
            <w:noWrap/>
            <w:vAlign w:val="bottom"/>
            <w:hideMark/>
          </w:tcPr>
          <w:p w14:paraId="3021FAA8"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06" w:type="dxa"/>
            <w:tcBorders>
              <w:top w:val="nil"/>
              <w:left w:val="nil"/>
              <w:bottom w:val="double" w:sz="6" w:space="0" w:color="auto"/>
              <w:right w:val="nil"/>
            </w:tcBorders>
            <w:shd w:val="clear" w:color="auto" w:fill="auto"/>
            <w:noWrap/>
            <w:vAlign w:val="bottom"/>
            <w:hideMark/>
          </w:tcPr>
          <w:p w14:paraId="2299DE7E"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428</w:t>
            </w:r>
          </w:p>
        </w:tc>
        <w:tc>
          <w:tcPr>
            <w:tcW w:w="954" w:type="dxa"/>
            <w:tcBorders>
              <w:top w:val="nil"/>
              <w:left w:val="nil"/>
              <w:bottom w:val="double" w:sz="6" w:space="0" w:color="auto"/>
              <w:right w:val="nil"/>
            </w:tcBorders>
            <w:shd w:val="clear" w:color="auto" w:fill="auto"/>
            <w:noWrap/>
            <w:vAlign w:val="center"/>
            <w:hideMark/>
          </w:tcPr>
          <w:p w14:paraId="03F94AFD" w14:textId="7D7B3C9A"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172" w:type="dxa"/>
            <w:tcBorders>
              <w:top w:val="nil"/>
              <w:left w:val="single" w:sz="4" w:space="0" w:color="auto"/>
              <w:bottom w:val="double" w:sz="6" w:space="0" w:color="auto"/>
              <w:right w:val="nil"/>
            </w:tcBorders>
            <w:shd w:val="clear" w:color="auto" w:fill="auto"/>
            <w:noWrap/>
            <w:vAlign w:val="bottom"/>
            <w:hideMark/>
          </w:tcPr>
          <w:p w14:paraId="0DBE7CC4"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208</w:t>
            </w:r>
          </w:p>
        </w:tc>
        <w:tc>
          <w:tcPr>
            <w:tcW w:w="988" w:type="dxa"/>
            <w:tcBorders>
              <w:top w:val="nil"/>
              <w:left w:val="nil"/>
              <w:bottom w:val="double" w:sz="6" w:space="0" w:color="auto"/>
              <w:right w:val="single" w:sz="4" w:space="0" w:color="auto"/>
            </w:tcBorders>
            <w:shd w:val="clear" w:color="auto" w:fill="auto"/>
            <w:noWrap/>
            <w:vAlign w:val="center"/>
            <w:hideMark/>
          </w:tcPr>
          <w:p w14:paraId="5FC52F29" w14:textId="7BD0EB4F"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138" w:type="dxa"/>
            <w:tcBorders>
              <w:top w:val="nil"/>
              <w:left w:val="nil"/>
              <w:bottom w:val="double" w:sz="6" w:space="0" w:color="auto"/>
              <w:right w:val="nil"/>
            </w:tcBorders>
            <w:shd w:val="clear" w:color="auto" w:fill="auto"/>
            <w:noWrap/>
            <w:vAlign w:val="bottom"/>
            <w:hideMark/>
          </w:tcPr>
          <w:p w14:paraId="2AAF2E6F"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1 252</w:t>
            </w:r>
          </w:p>
        </w:tc>
        <w:tc>
          <w:tcPr>
            <w:tcW w:w="1022" w:type="dxa"/>
            <w:tcBorders>
              <w:top w:val="nil"/>
              <w:left w:val="nil"/>
              <w:bottom w:val="double" w:sz="6" w:space="0" w:color="auto"/>
              <w:right w:val="nil"/>
            </w:tcBorders>
            <w:shd w:val="clear" w:color="auto" w:fill="auto"/>
            <w:noWrap/>
            <w:vAlign w:val="center"/>
            <w:hideMark/>
          </w:tcPr>
          <w:p w14:paraId="1D951970" w14:textId="18E03036"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BF0CC3" w:rsidRPr="00033A3F" w14:paraId="18CDEE75" w14:textId="77777777" w:rsidTr="00371086">
        <w:trPr>
          <w:trHeight w:val="345"/>
        </w:trPr>
        <w:tc>
          <w:tcPr>
            <w:tcW w:w="2480" w:type="dxa"/>
            <w:tcBorders>
              <w:top w:val="nil"/>
              <w:left w:val="nil"/>
              <w:bottom w:val="double" w:sz="6" w:space="0" w:color="auto"/>
              <w:right w:val="nil"/>
            </w:tcBorders>
            <w:shd w:val="clear" w:color="auto" w:fill="auto"/>
            <w:noWrap/>
            <w:vAlign w:val="bottom"/>
            <w:hideMark/>
          </w:tcPr>
          <w:p w14:paraId="4E9371EE" w14:textId="77777777" w:rsidR="000064ED" w:rsidRPr="00033A3F" w:rsidRDefault="000064ED" w:rsidP="000064E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06" w:type="dxa"/>
            <w:tcBorders>
              <w:top w:val="nil"/>
              <w:left w:val="nil"/>
              <w:bottom w:val="double" w:sz="6" w:space="0" w:color="auto"/>
              <w:right w:val="nil"/>
            </w:tcBorders>
            <w:shd w:val="clear" w:color="auto" w:fill="auto"/>
            <w:noWrap/>
            <w:vAlign w:val="bottom"/>
            <w:hideMark/>
          </w:tcPr>
          <w:p w14:paraId="0986A396"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467</w:t>
            </w:r>
          </w:p>
        </w:tc>
        <w:tc>
          <w:tcPr>
            <w:tcW w:w="954" w:type="dxa"/>
            <w:tcBorders>
              <w:top w:val="nil"/>
              <w:left w:val="nil"/>
              <w:bottom w:val="double" w:sz="6" w:space="0" w:color="auto"/>
              <w:right w:val="nil"/>
            </w:tcBorders>
            <w:shd w:val="clear" w:color="auto" w:fill="auto"/>
            <w:noWrap/>
            <w:vAlign w:val="center"/>
            <w:hideMark/>
          </w:tcPr>
          <w:p w14:paraId="0D3E6918" w14:textId="6BA63A7E" w:rsidR="000064ED" w:rsidRPr="00033A3F" w:rsidRDefault="000064ED"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c>
          <w:tcPr>
            <w:tcW w:w="1172" w:type="dxa"/>
            <w:tcBorders>
              <w:top w:val="nil"/>
              <w:left w:val="single" w:sz="4" w:space="0" w:color="auto"/>
              <w:bottom w:val="double" w:sz="6" w:space="0" w:color="auto"/>
              <w:right w:val="nil"/>
            </w:tcBorders>
            <w:shd w:val="clear" w:color="auto" w:fill="auto"/>
            <w:noWrap/>
            <w:vAlign w:val="bottom"/>
            <w:hideMark/>
          </w:tcPr>
          <w:p w14:paraId="2E5268A7"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265</w:t>
            </w:r>
          </w:p>
        </w:tc>
        <w:tc>
          <w:tcPr>
            <w:tcW w:w="988" w:type="dxa"/>
            <w:tcBorders>
              <w:top w:val="nil"/>
              <w:left w:val="nil"/>
              <w:bottom w:val="double" w:sz="6" w:space="0" w:color="auto"/>
              <w:right w:val="single" w:sz="4" w:space="0" w:color="auto"/>
            </w:tcBorders>
            <w:shd w:val="clear" w:color="auto" w:fill="auto"/>
            <w:noWrap/>
            <w:vAlign w:val="center"/>
            <w:hideMark/>
          </w:tcPr>
          <w:p w14:paraId="2A85AB95" w14:textId="631EDA6C" w:rsidR="000064ED" w:rsidRPr="00033A3F" w:rsidRDefault="000064ED"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-12 %</w:t>
            </w:r>
          </w:p>
        </w:tc>
        <w:tc>
          <w:tcPr>
            <w:tcW w:w="1138" w:type="dxa"/>
            <w:tcBorders>
              <w:top w:val="nil"/>
              <w:left w:val="nil"/>
              <w:bottom w:val="double" w:sz="6" w:space="0" w:color="auto"/>
              <w:right w:val="nil"/>
            </w:tcBorders>
            <w:shd w:val="clear" w:color="auto" w:fill="auto"/>
            <w:noWrap/>
            <w:vAlign w:val="bottom"/>
            <w:hideMark/>
          </w:tcPr>
          <w:p w14:paraId="65142F98"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1 116</w:t>
            </w:r>
          </w:p>
        </w:tc>
        <w:tc>
          <w:tcPr>
            <w:tcW w:w="1022" w:type="dxa"/>
            <w:tcBorders>
              <w:top w:val="nil"/>
              <w:left w:val="nil"/>
              <w:bottom w:val="double" w:sz="6" w:space="0" w:color="auto"/>
              <w:right w:val="nil"/>
            </w:tcBorders>
            <w:shd w:val="clear" w:color="auto" w:fill="auto"/>
            <w:noWrap/>
            <w:vAlign w:val="center"/>
            <w:hideMark/>
          </w:tcPr>
          <w:p w14:paraId="5272CA76" w14:textId="31AE5BBE" w:rsidR="000064ED" w:rsidRPr="00033A3F" w:rsidRDefault="000064ED"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r>
      <w:tr w:rsidR="00BF0CC3" w:rsidRPr="00033A3F" w14:paraId="0BA5FA27" w14:textId="77777777" w:rsidTr="00371086">
        <w:trPr>
          <w:trHeight w:val="330"/>
        </w:trPr>
        <w:tc>
          <w:tcPr>
            <w:tcW w:w="2480" w:type="dxa"/>
            <w:tcBorders>
              <w:top w:val="nil"/>
              <w:left w:val="nil"/>
              <w:bottom w:val="nil"/>
              <w:right w:val="nil"/>
            </w:tcBorders>
            <w:shd w:val="clear" w:color="auto" w:fill="auto"/>
            <w:noWrap/>
            <w:vAlign w:val="bottom"/>
            <w:hideMark/>
          </w:tcPr>
          <w:p w14:paraId="2F41ACF6" w14:textId="77777777" w:rsidR="000064ED" w:rsidRPr="00033A3F" w:rsidRDefault="000064ED" w:rsidP="000064ED">
            <w:pPr>
              <w:spacing w:line="240" w:lineRule="auto"/>
              <w:jc w:val="center"/>
              <w:rPr>
                <w:rFonts w:eastAsia="Times New Roman"/>
                <w:b/>
                <w:bCs/>
                <w:color w:val="000000" w:themeColor="text1"/>
                <w:sz w:val="20"/>
                <w:szCs w:val="20"/>
                <w:lang w:eastAsia="cs-CZ"/>
              </w:rPr>
            </w:pPr>
          </w:p>
        </w:tc>
        <w:tc>
          <w:tcPr>
            <w:tcW w:w="1206" w:type="dxa"/>
            <w:tcBorders>
              <w:top w:val="nil"/>
              <w:left w:val="nil"/>
              <w:bottom w:val="nil"/>
              <w:right w:val="nil"/>
            </w:tcBorders>
            <w:shd w:val="clear" w:color="auto" w:fill="auto"/>
            <w:noWrap/>
            <w:vAlign w:val="bottom"/>
            <w:hideMark/>
          </w:tcPr>
          <w:p w14:paraId="05952486"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954" w:type="dxa"/>
            <w:tcBorders>
              <w:top w:val="nil"/>
              <w:left w:val="nil"/>
              <w:bottom w:val="nil"/>
              <w:right w:val="nil"/>
            </w:tcBorders>
            <w:shd w:val="clear" w:color="auto" w:fill="auto"/>
            <w:noWrap/>
            <w:vAlign w:val="bottom"/>
            <w:hideMark/>
          </w:tcPr>
          <w:p w14:paraId="45A6E346"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1172" w:type="dxa"/>
            <w:tcBorders>
              <w:top w:val="nil"/>
              <w:left w:val="nil"/>
              <w:bottom w:val="nil"/>
              <w:right w:val="nil"/>
            </w:tcBorders>
            <w:shd w:val="clear" w:color="auto" w:fill="auto"/>
            <w:noWrap/>
            <w:vAlign w:val="bottom"/>
            <w:hideMark/>
          </w:tcPr>
          <w:p w14:paraId="2E69CFEB"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988" w:type="dxa"/>
            <w:tcBorders>
              <w:top w:val="nil"/>
              <w:left w:val="nil"/>
              <w:bottom w:val="nil"/>
              <w:right w:val="nil"/>
            </w:tcBorders>
            <w:shd w:val="clear" w:color="auto" w:fill="auto"/>
            <w:noWrap/>
            <w:vAlign w:val="bottom"/>
            <w:hideMark/>
          </w:tcPr>
          <w:p w14:paraId="2C5A3BE5"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1138" w:type="dxa"/>
            <w:tcBorders>
              <w:top w:val="nil"/>
              <w:left w:val="nil"/>
              <w:bottom w:val="nil"/>
              <w:right w:val="nil"/>
            </w:tcBorders>
            <w:shd w:val="clear" w:color="auto" w:fill="auto"/>
            <w:noWrap/>
            <w:vAlign w:val="bottom"/>
            <w:hideMark/>
          </w:tcPr>
          <w:p w14:paraId="1CB88BA6"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1022" w:type="dxa"/>
            <w:tcBorders>
              <w:top w:val="nil"/>
              <w:left w:val="nil"/>
              <w:bottom w:val="nil"/>
              <w:right w:val="nil"/>
            </w:tcBorders>
            <w:shd w:val="clear" w:color="auto" w:fill="auto"/>
            <w:noWrap/>
            <w:vAlign w:val="bottom"/>
            <w:hideMark/>
          </w:tcPr>
          <w:p w14:paraId="6ED20F68"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r>
    </w:tbl>
    <w:p w14:paraId="7C6A91F2" w14:textId="77777777" w:rsidR="000064ED" w:rsidRPr="00033A3F" w:rsidRDefault="000064ED" w:rsidP="000064ED">
      <w:pPr>
        <w:pStyle w:val="OdstavecASR"/>
        <w:rPr>
          <w:color w:val="000000" w:themeColor="text1"/>
        </w:rPr>
      </w:pPr>
      <w:r w:rsidRPr="00033A3F">
        <w:rPr>
          <w:color w:val="000000" w:themeColor="text1"/>
        </w:rPr>
        <w:t>Vidíme, že již několik let zdaleka nejdelší délky řízení vykazuje KS Brno a MS Praha, nejkratší naopak KS České Budějovice.</w:t>
      </w:r>
    </w:p>
    <w:p w14:paraId="1F6DFBFC" w14:textId="37F45F35" w:rsidR="000064ED" w:rsidRPr="00033A3F" w:rsidRDefault="000064ED" w:rsidP="000064ED">
      <w:pPr>
        <w:pStyle w:val="OdstavecASR"/>
        <w:rPr>
          <w:color w:val="000000" w:themeColor="text1"/>
        </w:rPr>
      </w:pPr>
      <w:r w:rsidRPr="00033A3F">
        <w:rPr>
          <w:color w:val="000000" w:themeColor="text1"/>
        </w:rPr>
        <w:t>Na</w:t>
      </w:r>
      <w:r w:rsidR="009B6B37" w:rsidRPr="00033A3F">
        <w:rPr>
          <w:color w:val="000000" w:themeColor="text1"/>
        </w:rPr>
        <w:t xml:space="preserve"> závěr této podkapitoly </w:t>
      </w:r>
      <w:r w:rsidRPr="00033A3F">
        <w:rPr>
          <w:color w:val="000000" w:themeColor="text1"/>
        </w:rPr>
        <w:t>délky řízení zobrazíme pomocí histogramu. Šířka jednoho sloupce je 50 dnů a poslední sloupec reprezentuje všechny hodnoty nad 1 500 dnů.</w:t>
      </w:r>
    </w:p>
    <w:p w14:paraId="5968AAD1" w14:textId="1FF94B2F" w:rsidR="000064ED" w:rsidRPr="00033A3F" w:rsidRDefault="000064ED" w:rsidP="000064ED">
      <w:pPr>
        <w:pStyle w:val="Podnadpis"/>
        <w:rPr>
          <w:color w:val="000000" w:themeColor="text1"/>
        </w:rPr>
      </w:pPr>
      <w:bookmarkStart w:id="1900" w:name="_Toc43841456"/>
      <w:bookmarkStart w:id="1901" w:name="_Toc75952259"/>
      <w:bookmarkStart w:id="1902" w:name="_Toc106106716"/>
      <w:bookmarkStart w:id="1903" w:name="_Toc109802040"/>
      <w:bookmarkStart w:id="1904" w:name="_Toc144104190"/>
      <w:bookmarkStart w:id="1905" w:name="_Toc169251003"/>
      <w:bookmarkStart w:id="1906" w:name="_Toc174080689"/>
      <w:bookmarkStart w:id="1907" w:name="_Toc193530843"/>
      <w:bookmarkStart w:id="1908" w:name="_Toc193634117"/>
      <w:bookmarkStart w:id="1909" w:name="_Toc20303291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88</w:t>
      </w:r>
      <w:r w:rsidRPr="00033A3F">
        <w:rPr>
          <w:color w:val="000000" w:themeColor="text1"/>
        </w:rPr>
        <w:fldChar w:fldCharType="end"/>
      </w:r>
      <w:r w:rsidRPr="00033A3F">
        <w:rPr>
          <w:color w:val="000000" w:themeColor="text1"/>
        </w:rPr>
        <w:t>: KS – distribuce délek incidenčních sporů</w:t>
      </w:r>
      <w:bookmarkEnd w:id="1900"/>
      <w:bookmarkEnd w:id="1901"/>
      <w:bookmarkEnd w:id="1902"/>
      <w:bookmarkEnd w:id="1903"/>
      <w:bookmarkEnd w:id="1904"/>
      <w:bookmarkEnd w:id="1905"/>
      <w:bookmarkEnd w:id="1906"/>
      <w:bookmarkEnd w:id="1907"/>
      <w:bookmarkEnd w:id="1908"/>
      <w:bookmarkEnd w:id="1909"/>
    </w:p>
    <w:p w14:paraId="022E3A2F" w14:textId="4230F0AF" w:rsidR="000064ED" w:rsidRPr="00033A3F" w:rsidRDefault="000064ED" w:rsidP="004A0273">
      <w:pPr>
        <w:rPr>
          <w:color w:val="000000" w:themeColor="text1"/>
        </w:rPr>
      </w:pPr>
      <w:r w:rsidRPr="00033A3F">
        <w:rPr>
          <w:noProof/>
          <w:color w:val="000000" w:themeColor="text1"/>
          <w:lang w:eastAsia="cs-CZ"/>
        </w:rPr>
        <w:drawing>
          <wp:inline distT="0" distB="0" distL="0" distR="0" wp14:anchorId="0C139EAA" wp14:editId="0C93B2BA">
            <wp:extent cx="5029200" cy="3657600"/>
            <wp:effectExtent l="0" t="0" r="0" b="0"/>
            <wp:docPr id="89008738"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99B899" w14:textId="29B96F53" w:rsidR="008430BD" w:rsidRPr="00033A3F" w:rsidRDefault="008430BD" w:rsidP="008430BD">
      <w:pPr>
        <w:pStyle w:val="Nadpis3"/>
        <w:numPr>
          <w:ilvl w:val="2"/>
          <w:numId w:val="1"/>
        </w:numPr>
        <w:rPr>
          <w:color w:val="000000" w:themeColor="text1"/>
        </w:rPr>
      </w:pPr>
      <w:bookmarkStart w:id="1910" w:name="_Toc41059000"/>
      <w:bookmarkStart w:id="1911" w:name="_Toc41060948"/>
      <w:bookmarkStart w:id="1912" w:name="_Toc106092786"/>
      <w:bookmarkStart w:id="1913" w:name="_Toc169250862"/>
      <w:bookmarkStart w:id="1914" w:name="_Toc193531024"/>
      <w:bookmarkStart w:id="1915" w:name="_Toc193957082"/>
      <w:bookmarkStart w:id="1916" w:name="_Toc203032770"/>
      <w:bookmarkEnd w:id="1910"/>
      <w:bookmarkEnd w:id="1911"/>
      <w:r w:rsidRPr="00033A3F">
        <w:rPr>
          <w:color w:val="000000" w:themeColor="text1"/>
        </w:rPr>
        <w:lastRenderedPageBreak/>
        <w:t>Vyřizování věcí</w:t>
      </w:r>
      <w:bookmarkEnd w:id="1912"/>
      <w:bookmarkEnd w:id="1913"/>
      <w:bookmarkEnd w:id="1914"/>
      <w:bookmarkEnd w:id="1915"/>
      <w:bookmarkEnd w:id="1916"/>
    </w:p>
    <w:p w14:paraId="3D9CA51A" w14:textId="74A8FE42" w:rsidR="000064ED" w:rsidRPr="00033A3F" w:rsidRDefault="000064ED" w:rsidP="004C0D35">
      <w:pPr>
        <w:pStyle w:val="OdstavecASR"/>
        <w:rPr>
          <w:color w:val="000000" w:themeColor="text1"/>
        </w:rPr>
      </w:pPr>
      <w:r w:rsidRPr="00033A3F">
        <w:rPr>
          <w:color w:val="000000" w:themeColor="text1"/>
        </w:rPr>
        <w:t xml:space="preserve">Celá insolvenční agenda je </w:t>
      </w:r>
      <w:r w:rsidR="009B6B37" w:rsidRPr="00033A3F">
        <w:rPr>
          <w:color w:val="000000" w:themeColor="text1"/>
        </w:rPr>
        <w:t xml:space="preserve">ve srovnání s „tradičními“ soudními agendami </w:t>
      </w:r>
      <w:r w:rsidRPr="00033A3F">
        <w:rPr>
          <w:color w:val="000000" w:themeColor="text1"/>
        </w:rPr>
        <w:t xml:space="preserve">poměrně nová a incidenční spory na ni „navazují“. Proto byl v prvních letech nápad incidenčních </w:t>
      </w:r>
      <w:r w:rsidR="009B6B37" w:rsidRPr="00033A3F">
        <w:rPr>
          <w:color w:val="000000" w:themeColor="text1"/>
        </w:rPr>
        <w:t>věcí</w:t>
      </w:r>
      <w:r w:rsidR="00896602" w:rsidRPr="00033A3F">
        <w:rPr>
          <w:color w:val="000000" w:themeColor="text1"/>
        </w:rPr>
        <w:t xml:space="preserve"> </w:t>
      </w:r>
      <w:r w:rsidRPr="00033A3F">
        <w:rPr>
          <w:color w:val="000000" w:themeColor="text1"/>
        </w:rPr>
        <w:t>nízký, ale postupně narůstal až do roku 2017. V těchto letech převyšoval počet příchozích věcí počet věcí vyřízených, a to ze začátku poměrně výrazně; počet vyřízených věcí se ale velmi rychle zvyšoval. Nahromadilo se poměrně velké množství nevyřízených věcí. Do určité míry nápad celkem logicky kopíruje růst nápadu v insolvenční agendě, nicméně s určitým zpožděním.</w:t>
      </w:r>
    </w:p>
    <w:p w14:paraId="3D76A472" w14:textId="77777777" w:rsidR="000064ED" w:rsidRPr="00033A3F" w:rsidRDefault="000064ED" w:rsidP="000064ED">
      <w:pPr>
        <w:pStyle w:val="OdstavecASR"/>
        <w:rPr>
          <w:color w:val="000000" w:themeColor="text1"/>
        </w:rPr>
      </w:pPr>
      <w:r w:rsidRPr="00033A3F">
        <w:rPr>
          <w:color w:val="000000" w:themeColor="text1"/>
        </w:rPr>
        <w:t>V roce 2018 došlo k značnému poklesu v počtu příchozích věcí. Nejvyšší pokles byl zaznamenán u obou moravských krajských soudů, konkrétně u KS v Brně o 662 věcí (snížení o 56,7 %) a v Ostravě o 329 věcí (pokles o 67,3 %). U krajských soudů v Čechách se snížení příchozích věcí pohybovalo mezi 30 až 40 %. Tento náhlý pokles z roku 2018 lze připisovat snížení počtu nových úpadků obchodních společností, a to zřejmě díky příznivé ekonomické situaci toho období. Výše zmíněný pokles v počtu příchozích věcí pak vedl k velmi výraznému poklesu počtu věcí nevyřízených.</w:t>
      </w:r>
    </w:p>
    <w:p w14:paraId="0B8F86A1" w14:textId="63D8A08B" w:rsidR="000064ED" w:rsidRPr="00033A3F" w:rsidRDefault="000064ED" w:rsidP="004C0D35">
      <w:pPr>
        <w:pStyle w:val="OdstavecASR"/>
        <w:rPr>
          <w:color w:val="000000" w:themeColor="text1"/>
        </w:rPr>
      </w:pPr>
      <w:r w:rsidRPr="00033A3F">
        <w:rPr>
          <w:color w:val="000000" w:themeColor="text1"/>
        </w:rPr>
        <w:t xml:space="preserve">Po roce 2018 již v počtu příchozích věcí není vidět žádný jasný trend. V roce 2021 ale došlo v porovnání s rokem 2020 k dalšímu poklesu. Pro rok 2021 bylo důležité to, že také došlo ke značnému poklesu v počtu nevyřízených věcí. V roce 2022 opět výrazně poklesl počet nevyřízených věcí. V roce 2023 ale počet příchozích věcí narostl, zatímco počet vyřízených věcí poklesl. Došlo k růstu v počtu nevyřízených věcí. Počet nevyřízených věcí rostl i v roce 2024 </w:t>
      </w:r>
      <w:r w:rsidR="00496257" w:rsidRPr="00033A3F">
        <w:rPr>
          <w:color w:val="000000" w:themeColor="text1"/>
        </w:rPr>
        <w:t>a </w:t>
      </w:r>
      <w:r w:rsidRPr="00033A3F">
        <w:rPr>
          <w:color w:val="000000" w:themeColor="text1"/>
        </w:rPr>
        <w:t>pomalu se dostává na úroveň let 2019 a 2020.</w:t>
      </w:r>
    </w:p>
    <w:p w14:paraId="1C2C8078" w14:textId="0C951374" w:rsidR="000064ED" w:rsidRPr="00033A3F" w:rsidRDefault="000064ED" w:rsidP="000064ED">
      <w:pPr>
        <w:pStyle w:val="Podnadpis"/>
        <w:numPr>
          <w:ilvl w:val="0"/>
          <w:numId w:val="0"/>
        </w:numPr>
        <w:rPr>
          <w:color w:val="000000" w:themeColor="text1"/>
        </w:rPr>
      </w:pPr>
      <w:bookmarkStart w:id="1917" w:name="_Toc43841457"/>
      <w:bookmarkStart w:id="1918" w:name="_Toc75952260"/>
      <w:bookmarkStart w:id="1919" w:name="_Toc106106717"/>
      <w:bookmarkStart w:id="1920" w:name="_Toc109802041"/>
      <w:bookmarkStart w:id="1921" w:name="_Toc144104191"/>
      <w:bookmarkStart w:id="1922" w:name="_Toc169251004"/>
      <w:bookmarkStart w:id="1923" w:name="_Toc174080690"/>
      <w:bookmarkStart w:id="1924" w:name="_Toc193530844"/>
      <w:bookmarkStart w:id="1925" w:name="_Toc193634118"/>
      <w:bookmarkStart w:id="1926" w:name="_Toc20303291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89</w:t>
      </w:r>
      <w:r w:rsidRPr="00033A3F">
        <w:rPr>
          <w:color w:val="000000" w:themeColor="text1"/>
        </w:rPr>
        <w:fldChar w:fldCharType="end"/>
      </w:r>
      <w:r w:rsidRPr="00033A3F">
        <w:rPr>
          <w:color w:val="000000" w:themeColor="text1"/>
        </w:rPr>
        <w:t>: KS – vyřizování incidenčních sporů v letech 2015–20</w:t>
      </w:r>
      <w:bookmarkEnd w:id="1917"/>
      <w:r w:rsidRPr="00033A3F">
        <w:rPr>
          <w:color w:val="000000" w:themeColor="text1"/>
        </w:rPr>
        <w:t>2</w:t>
      </w:r>
      <w:bookmarkEnd w:id="1918"/>
      <w:bookmarkEnd w:id="1919"/>
      <w:bookmarkEnd w:id="1920"/>
      <w:bookmarkEnd w:id="1921"/>
      <w:bookmarkEnd w:id="1922"/>
      <w:bookmarkEnd w:id="1923"/>
      <w:r w:rsidRPr="00033A3F">
        <w:rPr>
          <w:color w:val="000000" w:themeColor="text1"/>
        </w:rPr>
        <w:t>4</w:t>
      </w:r>
      <w:bookmarkEnd w:id="1924"/>
      <w:bookmarkEnd w:id="1925"/>
      <w:bookmarkEnd w:id="1926"/>
    </w:p>
    <w:p w14:paraId="59F24061" w14:textId="0893DAA1" w:rsidR="000064ED" w:rsidRDefault="000064ED" w:rsidP="000064ED">
      <w:pPr>
        <w:rPr>
          <w:color w:val="000000" w:themeColor="text1"/>
        </w:rPr>
      </w:pPr>
      <w:r w:rsidRPr="00033A3F">
        <w:rPr>
          <w:noProof/>
          <w:color w:val="000000" w:themeColor="text1"/>
          <w:lang w:eastAsia="cs-CZ"/>
        </w:rPr>
        <w:drawing>
          <wp:inline distT="0" distB="0" distL="0" distR="0" wp14:anchorId="74216F6C" wp14:editId="5C25B1B4">
            <wp:extent cx="5029200" cy="3657600"/>
            <wp:effectExtent l="0" t="0" r="0" b="0"/>
            <wp:docPr id="567049539"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7715004" w14:textId="5F05754C" w:rsidR="001B2BB9" w:rsidRDefault="001B2BB9">
      <w:pPr>
        <w:spacing w:after="160" w:line="259" w:lineRule="auto"/>
        <w:jc w:val="left"/>
        <w:rPr>
          <w:color w:val="000000" w:themeColor="text1"/>
        </w:rPr>
      </w:pPr>
      <w:r>
        <w:rPr>
          <w:color w:val="000000" w:themeColor="text1"/>
        </w:rPr>
        <w:br w:type="page"/>
      </w:r>
    </w:p>
    <w:p w14:paraId="4193C34B" w14:textId="5CAD4594" w:rsidR="000064ED" w:rsidRPr="00033A3F" w:rsidRDefault="000064ED" w:rsidP="000064ED">
      <w:pPr>
        <w:pStyle w:val="Podnadpis"/>
        <w:rPr>
          <w:color w:val="000000" w:themeColor="text1"/>
        </w:rPr>
      </w:pPr>
      <w:bookmarkStart w:id="1927" w:name="_Toc43931248"/>
      <w:bookmarkStart w:id="1928" w:name="_Toc75952381"/>
      <w:bookmarkStart w:id="1929" w:name="_Toc106106834"/>
      <w:bookmarkStart w:id="1930" w:name="_Toc109802157"/>
      <w:bookmarkStart w:id="1931" w:name="_Toc144104316"/>
      <w:bookmarkStart w:id="1932" w:name="_Toc169251130"/>
      <w:bookmarkStart w:id="1933" w:name="_Toc174080816"/>
      <w:bookmarkStart w:id="1934" w:name="_Toc193530942"/>
      <w:bookmarkStart w:id="1935" w:name="_Toc194045639"/>
      <w:bookmarkStart w:id="1936" w:name="_Toc199495049"/>
      <w:bookmarkStart w:id="1937" w:name="_Toc203033110"/>
      <w:bookmarkStart w:id="1938" w:name="_Toc203033188"/>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68</w:t>
      </w:r>
      <w:r w:rsidRPr="00033A3F">
        <w:rPr>
          <w:noProof/>
          <w:color w:val="000000" w:themeColor="text1"/>
        </w:rPr>
        <w:fldChar w:fldCharType="end"/>
      </w:r>
      <w:r w:rsidRPr="00033A3F">
        <w:rPr>
          <w:color w:val="000000" w:themeColor="text1"/>
        </w:rPr>
        <w:t>: KS – vyřizování incidenčních sporů dle soudů</w:t>
      </w:r>
      <w:bookmarkEnd w:id="1927"/>
      <w:bookmarkEnd w:id="1928"/>
      <w:bookmarkEnd w:id="1929"/>
      <w:bookmarkEnd w:id="1930"/>
      <w:bookmarkEnd w:id="1931"/>
      <w:bookmarkEnd w:id="1932"/>
      <w:bookmarkEnd w:id="1933"/>
      <w:bookmarkEnd w:id="1934"/>
      <w:bookmarkEnd w:id="1935"/>
      <w:bookmarkEnd w:id="1936"/>
      <w:bookmarkEnd w:id="1937"/>
      <w:bookmarkEnd w:id="1938"/>
    </w:p>
    <w:tbl>
      <w:tblPr>
        <w:tblW w:w="9072" w:type="dxa"/>
        <w:tblLayout w:type="fixed"/>
        <w:tblCellMar>
          <w:left w:w="70" w:type="dxa"/>
          <w:right w:w="70" w:type="dxa"/>
        </w:tblCellMar>
        <w:tblLook w:val="04A0" w:firstRow="1" w:lastRow="0" w:firstColumn="1" w:lastColumn="0" w:noHBand="0" w:noVBand="1"/>
      </w:tblPr>
      <w:tblGrid>
        <w:gridCol w:w="1980"/>
        <w:gridCol w:w="997"/>
        <w:gridCol w:w="903"/>
        <w:gridCol w:w="1082"/>
        <w:gridCol w:w="818"/>
        <w:gridCol w:w="1024"/>
        <w:gridCol w:w="876"/>
        <w:gridCol w:w="1392"/>
      </w:tblGrid>
      <w:tr w:rsidR="00BF0CC3" w:rsidRPr="00033A3F" w14:paraId="52FD71A1" w14:textId="77777777" w:rsidTr="00371086">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4D75E78C"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700" w:type="dxa"/>
            <w:gridSpan w:val="6"/>
            <w:tcBorders>
              <w:top w:val="double" w:sz="6" w:space="0" w:color="auto"/>
              <w:left w:val="nil"/>
              <w:bottom w:val="nil"/>
              <w:right w:val="single" w:sz="4" w:space="0" w:color="000000"/>
            </w:tcBorders>
            <w:shd w:val="clear" w:color="auto" w:fill="auto"/>
            <w:noWrap/>
            <w:vAlign w:val="center"/>
            <w:hideMark/>
          </w:tcPr>
          <w:p w14:paraId="3F40B5F5"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392" w:type="dxa"/>
            <w:vMerge w:val="restart"/>
            <w:tcBorders>
              <w:top w:val="double" w:sz="6" w:space="0" w:color="auto"/>
              <w:left w:val="single" w:sz="4" w:space="0" w:color="auto"/>
              <w:bottom w:val="double" w:sz="6" w:space="0" w:color="000000"/>
              <w:right w:val="nil"/>
            </w:tcBorders>
            <w:shd w:val="clear" w:color="auto" w:fill="auto"/>
            <w:vAlign w:val="center"/>
            <w:hideMark/>
          </w:tcPr>
          <w:p w14:paraId="30915883" w14:textId="31C76BDA"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 v</w:t>
            </w:r>
            <w:r w:rsidR="009F094C" w:rsidRPr="00033A3F">
              <w:rPr>
                <w:rFonts w:eastAsia="Times New Roman"/>
                <w:b/>
                <w:bCs/>
                <w:color w:val="000000" w:themeColor="text1"/>
                <w:szCs w:val="24"/>
                <w:lang w:eastAsia="cs-CZ"/>
              </w:rPr>
              <w:t> </w:t>
            </w:r>
            <w:r w:rsidRPr="00033A3F">
              <w:rPr>
                <w:rFonts w:eastAsia="Times New Roman"/>
                <w:b/>
                <w:bCs/>
                <w:color w:val="000000" w:themeColor="text1"/>
                <w:szCs w:val="24"/>
                <w:lang w:eastAsia="cs-CZ"/>
              </w:rPr>
              <w:t>%</w:t>
            </w:r>
          </w:p>
        </w:tc>
      </w:tr>
      <w:tr w:rsidR="00BF0CC3" w:rsidRPr="00033A3F" w14:paraId="4A938A27" w14:textId="77777777" w:rsidTr="00371086">
        <w:trPr>
          <w:trHeight w:val="330"/>
        </w:trPr>
        <w:tc>
          <w:tcPr>
            <w:tcW w:w="1980" w:type="dxa"/>
            <w:vMerge/>
            <w:tcBorders>
              <w:top w:val="double" w:sz="6" w:space="0" w:color="auto"/>
              <w:left w:val="nil"/>
              <w:bottom w:val="double" w:sz="6" w:space="0" w:color="000000"/>
              <w:right w:val="nil"/>
            </w:tcBorders>
            <w:vAlign w:val="center"/>
            <w:hideMark/>
          </w:tcPr>
          <w:p w14:paraId="5FFD17BC" w14:textId="77777777" w:rsidR="00E34E51" w:rsidRPr="00033A3F" w:rsidRDefault="00E34E51" w:rsidP="00E34E51">
            <w:pPr>
              <w:spacing w:line="240" w:lineRule="auto"/>
              <w:jc w:val="left"/>
              <w:rPr>
                <w:rFonts w:eastAsia="Times New Roman"/>
                <w:b/>
                <w:bCs/>
                <w:color w:val="000000" w:themeColor="text1"/>
                <w:szCs w:val="24"/>
                <w:lang w:eastAsia="cs-CZ"/>
              </w:rPr>
            </w:pPr>
          </w:p>
        </w:tc>
        <w:tc>
          <w:tcPr>
            <w:tcW w:w="1900" w:type="dxa"/>
            <w:gridSpan w:val="2"/>
            <w:tcBorders>
              <w:top w:val="nil"/>
              <w:left w:val="nil"/>
              <w:bottom w:val="double" w:sz="6" w:space="0" w:color="auto"/>
              <w:right w:val="single" w:sz="4" w:space="0" w:color="000000"/>
            </w:tcBorders>
            <w:shd w:val="clear" w:color="auto" w:fill="auto"/>
            <w:vAlign w:val="center"/>
            <w:hideMark/>
          </w:tcPr>
          <w:p w14:paraId="0B8476DE"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00" w:type="dxa"/>
            <w:gridSpan w:val="2"/>
            <w:tcBorders>
              <w:top w:val="nil"/>
              <w:left w:val="nil"/>
              <w:bottom w:val="double" w:sz="6" w:space="0" w:color="auto"/>
              <w:right w:val="single" w:sz="4" w:space="0" w:color="000000"/>
            </w:tcBorders>
            <w:shd w:val="clear" w:color="auto" w:fill="auto"/>
            <w:noWrap/>
            <w:vAlign w:val="center"/>
            <w:hideMark/>
          </w:tcPr>
          <w:p w14:paraId="73D0E7E1"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00" w:type="dxa"/>
            <w:gridSpan w:val="2"/>
            <w:tcBorders>
              <w:top w:val="nil"/>
              <w:left w:val="nil"/>
              <w:bottom w:val="double" w:sz="6" w:space="0" w:color="auto"/>
              <w:right w:val="single" w:sz="4" w:space="0" w:color="000000"/>
            </w:tcBorders>
            <w:shd w:val="clear" w:color="auto" w:fill="auto"/>
            <w:noWrap/>
            <w:vAlign w:val="center"/>
            <w:hideMark/>
          </w:tcPr>
          <w:p w14:paraId="305C9CA6"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392" w:type="dxa"/>
            <w:vMerge/>
            <w:tcBorders>
              <w:top w:val="double" w:sz="6" w:space="0" w:color="auto"/>
              <w:left w:val="single" w:sz="4" w:space="0" w:color="auto"/>
              <w:bottom w:val="double" w:sz="6" w:space="0" w:color="000000"/>
              <w:right w:val="nil"/>
            </w:tcBorders>
            <w:vAlign w:val="center"/>
            <w:hideMark/>
          </w:tcPr>
          <w:p w14:paraId="6BF25429" w14:textId="77777777" w:rsidR="00E34E51" w:rsidRPr="00033A3F" w:rsidRDefault="00E34E51" w:rsidP="00E34E51">
            <w:pPr>
              <w:spacing w:line="240" w:lineRule="auto"/>
              <w:jc w:val="left"/>
              <w:rPr>
                <w:rFonts w:eastAsia="Times New Roman"/>
                <w:b/>
                <w:bCs/>
                <w:color w:val="000000" w:themeColor="text1"/>
                <w:szCs w:val="24"/>
                <w:lang w:eastAsia="cs-CZ"/>
              </w:rPr>
            </w:pPr>
          </w:p>
        </w:tc>
      </w:tr>
      <w:tr w:rsidR="00BF0CC3" w:rsidRPr="00033A3F" w14:paraId="4392A922" w14:textId="77777777" w:rsidTr="00371086">
        <w:trPr>
          <w:trHeight w:val="330"/>
        </w:trPr>
        <w:tc>
          <w:tcPr>
            <w:tcW w:w="1980" w:type="dxa"/>
            <w:tcBorders>
              <w:top w:val="single" w:sz="4" w:space="0" w:color="auto"/>
              <w:left w:val="nil"/>
              <w:bottom w:val="single" w:sz="4" w:space="0" w:color="auto"/>
              <w:right w:val="nil"/>
            </w:tcBorders>
            <w:shd w:val="clear" w:color="auto" w:fill="auto"/>
            <w:noWrap/>
            <w:vAlign w:val="bottom"/>
            <w:hideMark/>
          </w:tcPr>
          <w:p w14:paraId="1927CB51"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97" w:type="dxa"/>
            <w:tcBorders>
              <w:top w:val="single" w:sz="4" w:space="0" w:color="auto"/>
              <w:left w:val="nil"/>
              <w:bottom w:val="single" w:sz="4" w:space="0" w:color="auto"/>
              <w:right w:val="nil"/>
            </w:tcBorders>
            <w:shd w:val="clear" w:color="auto" w:fill="auto"/>
            <w:noWrap/>
            <w:vAlign w:val="bottom"/>
            <w:hideMark/>
          </w:tcPr>
          <w:p w14:paraId="26AFB167"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1 736</w:t>
            </w:r>
          </w:p>
        </w:tc>
        <w:tc>
          <w:tcPr>
            <w:tcW w:w="903" w:type="dxa"/>
            <w:tcBorders>
              <w:top w:val="single" w:sz="4" w:space="0" w:color="auto"/>
              <w:left w:val="nil"/>
              <w:bottom w:val="single" w:sz="4" w:space="0" w:color="auto"/>
              <w:right w:val="nil"/>
            </w:tcBorders>
            <w:shd w:val="clear" w:color="auto" w:fill="auto"/>
            <w:noWrap/>
            <w:vAlign w:val="center"/>
            <w:hideMark/>
          </w:tcPr>
          <w:p w14:paraId="3D358121" w14:textId="4A814F5B"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+45 %</w:t>
            </w:r>
          </w:p>
        </w:tc>
        <w:tc>
          <w:tcPr>
            <w:tcW w:w="1082" w:type="dxa"/>
            <w:tcBorders>
              <w:top w:val="single" w:sz="4" w:space="0" w:color="auto"/>
              <w:left w:val="single" w:sz="4" w:space="0" w:color="auto"/>
              <w:bottom w:val="single" w:sz="4" w:space="0" w:color="auto"/>
              <w:right w:val="nil"/>
            </w:tcBorders>
            <w:shd w:val="clear" w:color="auto" w:fill="auto"/>
            <w:noWrap/>
            <w:vAlign w:val="bottom"/>
            <w:hideMark/>
          </w:tcPr>
          <w:p w14:paraId="48A7981E"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1 116</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14:paraId="60839B87" w14:textId="5DCE22A2"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024" w:type="dxa"/>
            <w:tcBorders>
              <w:top w:val="single" w:sz="4" w:space="0" w:color="auto"/>
              <w:left w:val="nil"/>
              <w:bottom w:val="single" w:sz="4" w:space="0" w:color="auto"/>
              <w:right w:val="nil"/>
            </w:tcBorders>
            <w:shd w:val="clear" w:color="auto" w:fill="auto"/>
            <w:noWrap/>
            <w:vAlign w:val="bottom"/>
            <w:hideMark/>
          </w:tcPr>
          <w:p w14:paraId="33F261B6"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2 207</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749B4A85" w14:textId="4813931E"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+39 %</w:t>
            </w:r>
          </w:p>
        </w:tc>
        <w:tc>
          <w:tcPr>
            <w:tcW w:w="1392" w:type="dxa"/>
            <w:tcBorders>
              <w:top w:val="single" w:sz="4" w:space="0" w:color="auto"/>
              <w:left w:val="nil"/>
              <w:bottom w:val="single" w:sz="4" w:space="0" w:color="auto"/>
              <w:right w:val="nil"/>
            </w:tcBorders>
            <w:shd w:val="clear" w:color="auto" w:fill="auto"/>
            <w:noWrap/>
            <w:vAlign w:val="bottom"/>
            <w:hideMark/>
          </w:tcPr>
          <w:p w14:paraId="0486D47E" w14:textId="4C913DF0"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64,29</w:t>
            </w:r>
          </w:p>
        </w:tc>
      </w:tr>
      <w:tr w:rsidR="00BF0CC3" w:rsidRPr="00033A3F" w14:paraId="2A8E1DBD"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6C6F6281"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97" w:type="dxa"/>
            <w:tcBorders>
              <w:top w:val="nil"/>
              <w:left w:val="nil"/>
              <w:bottom w:val="single" w:sz="4" w:space="0" w:color="auto"/>
              <w:right w:val="nil"/>
            </w:tcBorders>
            <w:shd w:val="clear" w:color="auto" w:fill="auto"/>
            <w:noWrap/>
            <w:vAlign w:val="bottom"/>
            <w:hideMark/>
          </w:tcPr>
          <w:p w14:paraId="0822D0F3"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399</w:t>
            </w:r>
          </w:p>
        </w:tc>
        <w:tc>
          <w:tcPr>
            <w:tcW w:w="903" w:type="dxa"/>
            <w:tcBorders>
              <w:top w:val="nil"/>
              <w:left w:val="nil"/>
              <w:bottom w:val="single" w:sz="4" w:space="0" w:color="auto"/>
              <w:right w:val="nil"/>
            </w:tcBorders>
            <w:shd w:val="clear" w:color="auto" w:fill="auto"/>
            <w:noWrap/>
            <w:vAlign w:val="center"/>
            <w:hideMark/>
          </w:tcPr>
          <w:p w14:paraId="3AB6A4EA" w14:textId="31FFBFD0"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82" w:type="dxa"/>
            <w:tcBorders>
              <w:top w:val="nil"/>
              <w:left w:val="single" w:sz="4" w:space="0" w:color="auto"/>
              <w:bottom w:val="single" w:sz="4" w:space="0" w:color="auto"/>
              <w:right w:val="nil"/>
            </w:tcBorders>
            <w:shd w:val="clear" w:color="auto" w:fill="auto"/>
            <w:noWrap/>
            <w:vAlign w:val="bottom"/>
            <w:hideMark/>
          </w:tcPr>
          <w:p w14:paraId="0BE1660D"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439</w:t>
            </w:r>
          </w:p>
        </w:tc>
        <w:tc>
          <w:tcPr>
            <w:tcW w:w="818" w:type="dxa"/>
            <w:tcBorders>
              <w:top w:val="nil"/>
              <w:left w:val="nil"/>
              <w:bottom w:val="single" w:sz="4" w:space="0" w:color="auto"/>
              <w:right w:val="single" w:sz="4" w:space="0" w:color="auto"/>
            </w:tcBorders>
            <w:shd w:val="clear" w:color="auto" w:fill="auto"/>
            <w:noWrap/>
            <w:vAlign w:val="center"/>
            <w:hideMark/>
          </w:tcPr>
          <w:p w14:paraId="6114A74F" w14:textId="0D2A331E"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24" w:type="dxa"/>
            <w:tcBorders>
              <w:top w:val="nil"/>
              <w:left w:val="nil"/>
              <w:bottom w:val="single" w:sz="4" w:space="0" w:color="auto"/>
              <w:right w:val="nil"/>
            </w:tcBorders>
            <w:shd w:val="clear" w:color="auto" w:fill="auto"/>
            <w:noWrap/>
            <w:vAlign w:val="bottom"/>
            <w:hideMark/>
          </w:tcPr>
          <w:p w14:paraId="70637071"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193</w:t>
            </w:r>
          </w:p>
        </w:tc>
        <w:tc>
          <w:tcPr>
            <w:tcW w:w="876" w:type="dxa"/>
            <w:tcBorders>
              <w:top w:val="nil"/>
              <w:left w:val="nil"/>
              <w:bottom w:val="single" w:sz="4" w:space="0" w:color="auto"/>
              <w:right w:val="single" w:sz="4" w:space="0" w:color="auto"/>
            </w:tcBorders>
            <w:shd w:val="clear" w:color="auto" w:fill="auto"/>
            <w:noWrap/>
            <w:vAlign w:val="center"/>
            <w:hideMark/>
          </w:tcPr>
          <w:p w14:paraId="31DD8AB9" w14:textId="26F7CE48"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392" w:type="dxa"/>
            <w:tcBorders>
              <w:top w:val="nil"/>
              <w:left w:val="nil"/>
              <w:bottom w:val="single" w:sz="4" w:space="0" w:color="auto"/>
              <w:right w:val="nil"/>
            </w:tcBorders>
            <w:shd w:val="clear" w:color="auto" w:fill="auto"/>
            <w:noWrap/>
            <w:vAlign w:val="bottom"/>
            <w:hideMark/>
          </w:tcPr>
          <w:p w14:paraId="1B1FB5CC" w14:textId="17F5784B"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110,03</w:t>
            </w:r>
          </w:p>
        </w:tc>
      </w:tr>
      <w:tr w:rsidR="00BF0CC3" w:rsidRPr="00033A3F" w14:paraId="3412E31E"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2917B234"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97" w:type="dxa"/>
            <w:tcBorders>
              <w:top w:val="nil"/>
              <w:left w:val="nil"/>
              <w:bottom w:val="single" w:sz="4" w:space="0" w:color="auto"/>
              <w:right w:val="nil"/>
            </w:tcBorders>
            <w:shd w:val="clear" w:color="auto" w:fill="auto"/>
            <w:noWrap/>
            <w:vAlign w:val="bottom"/>
            <w:hideMark/>
          </w:tcPr>
          <w:p w14:paraId="0D1C46DE"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238</w:t>
            </w:r>
          </w:p>
        </w:tc>
        <w:tc>
          <w:tcPr>
            <w:tcW w:w="903" w:type="dxa"/>
            <w:tcBorders>
              <w:top w:val="nil"/>
              <w:left w:val="nil"/>
              <w:bottom w:val="single" w:sz="4" w:space="0" w:color="auto"/>
              <w:right w:val="nil"/>
            </w:tcBorders>
            <w:shd w:val="clear" w:color="auto" w:fill="auto"/>
            <w:noWrap/>
            <w:vAlign w:val="center"/>
            <w:hideMark/>
          </w:tcPr>
          <w:p w14:paraId="10D75B30" w14:textId="0BB16578"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+87 %</w:t>
            </w:r>
          </w:p>
        </w:tc>
        <w:tc>
          <w:tcPr>
            <w:tcW w:w="1082" w:type="dxa"/>
            <w:tcBorders>
              <w:top w:val="nil"/>
              <w:left w:val="single" w:sz="4" w:space="0" w:color="auto"/>
              <w:bottom w:val="single" w:sz="4" w:space="0" w:color="auto"/>
              <w:right w:val="nil"/>
            </w:tcBorders>
            <w:shd w:val="clear" w:color="auto" w:fill="auto"/>
            <w:noWrap/>
            <w:vAlign w:val="bottom"/>
            <w:hideMark/>
          </w:tcPr>
          <w:p w14:paraId="30D1FE2E"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171</w:t>
            </w:r>
          </w:p>
        </w:tc>
        <w:tc>
          <w:tcPr>
            <w:tcW w:w="818" w:type="dxa"/>
            <w:tcBorders>
              <w:top w:val="nil"/>
              <w:left w:val="nil"/>
              <w:bottom w:val="single" w:sz="4" w:space="0" w:color="auto"/>
              <w:right w:val="single" w:sz="4" w:space="0" w:color="auto"/>
            </w:tcBorders>
            <w:shd w:val="clear" w:color="auto" w:fill="auto"/>
            <w:noWrap/>
            <w:vAlign w:val="center"/>
            <w:hideMark/>
          </w:tcPr>
          <w:p w14:paraId="0310F7F7" w14:textId="2F8E60BF"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1024" w:type="dxa"/>
            <w:tcBorders>
              <w:top w:val="nil"/>
              <w:left w:val="nil"/>
              <w:bottom w:val="single" w:sz="4" w:space="0" w:color="auto"/>
              <w:right w:val="nil"/>
            </w:tcBorders>
            <w:shd w:val="clear" w:color="auto" w:fill="auto"/>
            <w:noWrap/>
            <w:vAlign w:val="bottom"/>
            <w:hideMark/>
          </w:tcPr>
          <w:p w14:paraId="3D057C9F"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146</w:t>
            </w:r>
          </w:p>
        </w:tc>
        <w:tc>
          <w:tcPr>
            <w:tcW w:w="876" w:type="dxa"/>
            <w:tcBorders>
              <w:top w:val="nil"/>
              <w:left w:val="nil"/>
              <w:bottom w:val="single" w:sz="4" w:space="0" w:color="auto"/>
              <w:right w:val="single" w:sz="4" w:space="0" w:color="auto"/>
            </w:tcBorders>
            <w:shd w:val="clear" w:color="auto" w:fill="auto"/>
            <w:noWrap/>
            <w:vAlign w:val="center"/>
            <w:hideMark/>
          </w:tcPr>
          <w:p w14:paraId="168ABAF4" w14:textId="0422430D"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+85 %</w:t>
            </w:r>
          </w:p>
        </w:tc>
        <w:tc>
          <w:tcPr>
            <w:tcW w:w="1392" w:type="dxa"/>
            <w:tcBorders>
              <w:top w:val="nil"/>
              <w:left w:val="nil"/>
              <w:bottom w:val="single" w:sz="4" w:space="0" w:color="auto"/>
              <w:right w:val="nil"/>
            </w:tcBorders>
            <w:shd w:val="clear" w:color="auto" w:fill="auto"/>
            <w:noWrap/>
            <w:vAlign w:val="bottom"/>
            <w:hideMark/>
          </w:tcPr>
          <w:p w14:paraId="6332EF4A" w14:textId="127A6B1F"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71,85</w:t>
            </w:r>
          </w:p>
        </w:tc>
      </w:tr>
      <w:tr w:rsidR="00BF0CC3" w:rsidRPr="00033A3F" w14:paraId="54F06934"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539FCBB1"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97" w:type="dxa"/>
            <w:tcBorders>
              <w:top w:val="nil"/>
              <w:left w:val="nil"/>
              <w:bottom w:val="single" w:sz="4" w:space="0" w:color="auto"/>
              <w:right w:val="nil"/>
            </w:tcBorders>
            <w:shd w:val="clear" w:color="auto" w:fill="auto"/>
            <w:noWrap/>
            <w:vAlign w:val="bottom"/>
            <w:hideMark/>
          </w:tcPr>
          <w:p w14:paraId="34561E51"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172</w:t>
            </w:r>
          </w:p>
        </w:tc>
        <w:tc>
          <w:tcPr>
            <w:tcW w:w="903" w:type="dxa"/>
            <w:tcBorders>
              <w:top w:val="nil"/>
              <w:left w:val="nil"/>
              <w:bottom w:val="single" w:sz="4" w:space="0" w:color="auto"/>
              <w:right w:val="nil"/>
            </w:tcBorders>
            <w:shd w:val="clear" w:color="auto" w:fill="auto"/>
            <w:noWrap/>
            <w:vAlign w:val="center"/>
            <w:hideMark/>
          </w:tcPr>
          <w:p w14:paraId="66D5DB2C" w14:textId="3172FE06"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2" w:type="dxa"/>
            <w:tcBorders>
              <w:top w:val="nil"/>
              <w:left w:val="single" w:sz="4" w:space="0" w:color="auto"/>
              <w:bottom w:val="single" w:sz="4" w:space="0" w:color="auto"/>
              <w:right w:val="nil"/>
            </w:tcBorders>
            <w:shd w:val="clear" w:color="auto" w:fill="auto"/>
            <w:noWrap/>
            <w:vAlign w:val="bottom"/>
            <w:hideMark/>
          </w:tcPr>
          <w:p w14:paraId="35460758"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197</w:t>
            </w:r>
          </w:p>
        </w:tc>
        <w:tc>
          <w:tcPr>
            <w:tcW w:w="818" w:type="dxa"/>
            <w:tcBorders>
              <w:top w:val="nil"/>
              <w:left w:val="nil"/>
              <w:bottom w:val="single" w:sz="4" w:space="0" w:color="auto"/>
              <w:right w:val="single" w:sz="4" w:space="0" w:color="auto"/>
            </w:tcBorders>
            <w:shd w:val="clear" w:color="auto" w:fill="auto"/>
            <w:noWrap/>
            <w:vAlign w:val="center"/>
            <w:hideMark/>
          </w:tcPr>
          <w:p w14:paraId="5A948512" w14:textId="2387FDC7"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24" w:type="dxa"/>
            <w:tcBorders>
              <w:top w:val="nil"/>
              <w:left w:val="nil"/>
              <w:bottom w:val="single" w:sz="4" w:space="0" w:color="auto"/>
              <w:right w:val="nil"/>
            </w:tcBorders>
            <w:shd w:val="clear" w:color="auto" w:fill="auto"/>
            <w:noWrap/>
            <w:vAlign w:val="bottom"/>
            <w:hideMark/>
          </w:tcPr>
          <w:p w14:paraId="0EC1F608"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141</w:t>
            </w:r>
          </w:p>
        </w:tc>
        <w:tc>
          <w:tcPr>
            <w:tcW w:w="876" w:type="dxa"/>
            <w:tcBorders>
              <w:top w:val="nil"/>
              <w:left w:val="nil"/>
              <w:bottom w:val="single" w:sz="4" w:space="0" w:color="auto"/>
              <w:right w:val="single" w:sz="4" w:space="0" w:color="auto"/>
            </w:tcBorders>
            <w:shd w:val="clear" w:color="auto" w:fill="auto"/>
            <w:noWrap/>
            <w:vAlign w:val="center"/>
            <w:hideMark/>
          </w:tcPr>
          <w:p w14:paraId="4208595D" w14:textId="331F8DB7"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392" w:type="dxa"/>
            <w:tcBorders>
              <w:top w:val="nil"/>
              <w:left w:val="nil"/>
              <w:bottom w:val="single" w:sz="4" w:space="0" w:color="auto"/>
              <w:right w:val="nil"/>
            </w:tcBorders>
            <w:shd w:val="clear" w:color="auto" w:fill="auto"/>
            <w:noWrap/>
            <w:vAlign w:val="bottom"/>
            <w:hideMark/>
          </w:tcPr>
          <w:p w14:paraId="55591110" w14:textId="3EC23B61"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114,53</w:t>
            </w:r>
          </w:p>
        </w:tc>
      </w:tr>
      <w:tr w:rsidR="00BF0CC3" w:rsidRPr="00033A3F" w14:paraId="4DF4CC59"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2600DA4A"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97" w:type="dxa"/>
            <w:tcBorders>
              <w:top w:val="nil"/>
              <w:left w:val="nil"/>
              <w:bottom w:val="single" w:sz="4" w:space="0" w:color="auto"/>
              <w:right w:val="nil"/>
            </w:tcBorders>
            <w:shd w:val="clear" w:color="auto" w:fill="auto"/>
            <w:noWrap/>
            <w:vAlign w:val="bottom"/>
            <w:hideMark/>
          </w:tcPr>
          <w:p w14:paraId="09C32007"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334</w:t>
            </w:r>
          </w:p>
        </w:tc>
        <w:tc>
          <w:tcPr>
            <w:tcW w:w="903" w:type="dxa"/>
            <w:tcBorders>
              <w:top w:val="nil"/>
              <w:left w:val="nil"/>
              <w:bottom w:val="single" w:sz="4" w:space="0" w:color="auto"/>
              <w:right w:val="nil"/>
            </w:tcBorders>
            <w:shd w:val="clear" w:color="auto" w:fill="auto"/>
            <w:noWrap/>
            <w:vAlign w:val="center"/>
            <w:hideMark/>
          </w:tcPr>
          <w:p w14:paraId="1DB06989" w14:textId="5C8C77D3"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-49 %</w:t>
            </w:r>
          </w:p>
        </w:tc>
        <w:tc>
          <w:tcPr>
            <w:tcW w:w="1082" w:type="dxa"/>
            <w:tcBorders>
              <w:top w:val="nil"/>
              <w:left w:val="single" w:sz="4" w:space="0" w:color="auto"/>
              <w:bottom w:val="single" w:sz="4" w:space="0" w:color="auto"/>
              <w:right w:val="nil"/>
            </w:tcBorders>
            <w:shd w:val="clear" w:color="auto" w:fill="auto"/>
            <w:noWrap/>
            <w:vAlign w:val="bottom"/>
            <w:hideMark/>
          </w:tcPr>
          <w:p w14:paraId="13CD8111"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373</w:t>
            </w:r>
          </w:p>
        </w:tc>
        <w:tc>
          <w:tcPr>
            <w:tcW w:w="818" w:type="dxa"/>
            <w:tcBorders>
              <w:top w:val="nil"/>
              <w:left w:val="nil"/>
              <w:bottom w:val="single" w:sz="4" w:space="0" w:color="auto"/>
              <w:right w:val="single" w:sz="4" w:space="0" w:color="auto"/>
            </w:tcBorders>
            <w:shd w:val="clear" w:color="auto" w:fill="auto"/>
            <w:noWrap/>
            <w:vAlign w:val="center"/>
            <w:hideMark/>
          </w:tcPr>
          <w:p w14:paraId="4DDD29EA" w14:textId="13DDCB66"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024" w:type="dxa"/>
            <w:tcBorders>
              <w:top w:val="nil"/>
              <w:left w:val="nil"/>
              <w:bottom w:val="single" w:sz="4" w:space="0" w:color="auto"/>
              <w:right w:val="nil"/>
            </w:tcBorders>
            <w:shd w:val="clear" w:color="auto" w:fill="auto"/>
            <w:noWrap/>
            <w:vAlign w:val="bottom"/>
            <w:hideMark/>
          </w:tcPr>
          <w:p w14:paraId="389DCD73"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634</w:t>
            </w:r>
          </w:p>
        </w:tc>
        <w:tc>
          <w:tcPr>
            <w:tcW w:w="876" w:type="dxa"/>
            <w:tcBorders>
              <w:top w:val="nil"/>
              <w:left w:val="nil"/>
              <w:bottom w:val="single" w:sz="4" w:space="0" w:color="auto"/>
              <w:right w:val="single" w:sz="4" w:space="0" w:color="auto"/>
            </w:tcBorders>
            <w:shd w:val="clear" w:color="auto" w:fill="auto"/>
            <w:noWrap/>
            <w:vAlign w:val="center"/>
            <w:hideMark/>
          </w:tcPr>
          <w:p w14:paraId="18DF8DA5" w14:textId="3ED0B131"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392" w:type="dxa"/>
            <w:tcBorders>
              <w:top w:val="nil"/>
              <w:left w:val="nil"/>
              <w:bottom w:val="single" w:sz="4" w:space="0" w:color="auto"/>
              <w:right w:val="nil"/>
            </w:tcBorders>
            <w:shd w:val="clear" w:color="auto" w:fill="auto"/>
            <w:noWrap/>
            <w:vAlign w:val="bottom"/>
            <w:hideMark/>
          </w:tcPr>
          <w:p w14:paraId="5349B6C0" w14:textId="367C12A9"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111,68</w:t>
            </w:r>
          </w:p>
        </w:tc>
      </w:tr>
      <w:tr w:rsidR="00BF0CC3" w:rsidRPr="00033A3F" w14:paraId="6F65539D"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4350620D"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97" w:type="dxa"/>
            <w:tcBorders>
              <w:top w:val="nil"/>
              <w:left w:val="nil"/>
              <w:bottom w:val="single" w:sz="4" w:space="0" w:color="auto"/>
              <w:right w:val="nil"/>
            </w:tcBorders>
            <w:shd w:val="clear" w:color="auto" w:fill="auto"/>
            <w:noWrap/>
            <w:vAlign w:val="bottom"/>
            <w:hideMark/>
          </w:tcPr>
          <w:p w14:paraId="7DCE5FE4"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293</w:t>
            </w:r>
          </w:p>
        </w:tc>
        <w:tc>
          <w:tcPr>
            <w:tcW w:w="903" w:type="dxa"/>
            <w:tcBorders>
              <w:top w:val="nil"/>
              <w:left w:val="nil"/>
              <w:bottom w:val="single" w:sz="4" w:space="0" w:color="auto"/>
              <w:right w:val="nil"/>
            </w:tcBorders>
            <w:shd w:val="clear" w:color="auto" w:fill="auto"/>
            <w:noWrap/>
            <w:vAlign w:val="center"/>
            <w:hideMark/>
          </w:tcPr>
          <w:p w14:paraId="71419F7E" w14:textId="672A73EC"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82" w:type="dxa"/>
            <w:tcBorders>
              <w:top w:val="nil"/>
              <w:left w:val="single" w:sz="4" w:space="0" w:color="auto"/>
              <w:bottom w:val="single" w:sz="4" w:space="0" w:color="auto"/>
              <w:right w:val="nil"/>
            </w:tcBorders>
            <w:shd w:val="clear" w:color="auto" w:fill="auto"/>
            <w:noWrap/>
            <w:vAlign w:val="bottom"/>
            <w:hideMark/>
          </w:tcPr>
          <w:p w14:paraId="7D9093BD"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248</w:t>
            </w:r>
          </w:p>
        </w:tc>
        <w:tc>
          <w:tcPr>
            <w:tcW w:w="818" w:type="dxa"/>
            <w:tcBorders>
              <w:top w:val="nil"/>
              <w:left w:val="nil"/>
              <w:bottom w:val="single" w:sz="4" w:space="0" w:color="auto"/>
              <w:right w:val="single" w:sz="4" w:space="0" w:color="auto"/>
            </w:tcBorders>
            <w:shd w:val="clear" w:color="auto" w:fill="auto"/>
            <w:noWrap/>
            <w:vAlign w:val="center"/>
            <w:hideMark/>
          </w:tcPr>
          <w:p w14:paraId="2E80BA50" w14:textId="62AE1DBE"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024" w:type="dxa"/>
            <w:tcBorders>
              <w:top w:val="nil"/>
              <w:left w:val="nil"/>
              <w:bottom w:val="single" w:sz="4" w:space="0" w:color="auto"/>
              <w:right w:val="nil"/>
            </w:tcBorders>
            <w:shd w:val="clear" w:color="auto" w:fill="auto"/>
            <w:noWrap/>
            <w:vAlign w:val="bottom"/>
            <w:hideMark/>
          </w:tcPr>
          <w:p w14:paraId="1B786442"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274</w:t>
            </w:r>
          </w:p>
        </w:tc>
        <w:tc>
          <w:tcPr>
            <w:tcW w:w="876" w:type="dxa"/>
            <w:tcBorders>
              <w:top w:val="nil"/>
              <w:left w:val="nil"/>
              <w:bottom w:val="single" w:sz="4" w:space="0" w:color="auto"/>
              <w:right w:val="single" w:sz="4" w:space="0" w:color="auto"/>
            </w:tcBorders>
            <w:shd w:val="clear" w:color="auto" w:fill="auto"/>
            <w:noWrap/>
            <w:vAlign w:val="center"/>
            <w:hideMark/>
          </w:tcPr>
          <w:p w14:paraId="74AAFF9B" w14:textId="4CB7E946"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+20 %</w:t>
            </w:r>
          </w:p>
        </w:tc>
        <w:tc>
          <w:tcPr>
            <w:tcW w:w="1392" w:type="dxa"/>
            <w:tcBorders>
              <w:top w:val="nil"/>
              <w:left w:val="nil"/>
              <w:bottom w:val="single" w:sz="4" w:space="0" w:color="auto"/>
              <w:right w:val="nil"/>
            </w:tcBorders>
            <w:shd w:val="clear" w:color="auto" w:fill="auto"/>
            <w:noWrap/>
            <w:vAlign w:val="bottom"/>
            <w:hideMark/>
          </w:tcPr>
          <w:p w14:paraId="5F1CD006" w14:textId="71FD02F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84,64</w:t>
            </w:r>
          </w:p>
        </w:tc>
      </w:tr>
      <w:tr w:rsidR="00BF0CC3" w:rsidRPr="00033A3F" w14:paraId="2453375B"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1D459B48"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97" w:type="dxa"/>
            <w:tcBorders>
              <w:top w:val="nil"/>
              <w:left w:val="nil"/>
              <w:bottom w:val="single" w:sz="4" w:space="0" w:color="auto"/>
              <w:right w:val="nil"/>
            </w:tcBorders>
            <w:shd w:val="clear" w:color="auto" w:fill="auto"/>
            <w:noWrap/>
            <w:vAlign w:val="bottom"/>
            <w:hideMark/>
          </w:tcPr>
          <w:p w14:paraId="1262ECB4"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590</w:t>
            </w:r>
          </w:p>
        </w:tc>
        <w:tc>
          <w:tcPr>
            <w:tcW w:w="903" w:type="dxa"/>
            <w:tcBorders>
              <w:top w:val="nil"/>
              <w:left w:val="nil"/>
              <w:bottom w:val="single" w:sz="4" w:space="0" w:color="auto"/>
              <w:right w:val="nil"/>
            </w:tcBorders>
            <w:shd w:val="clear" w:color="auto" w:fill="auto"/>
            <w:noWrap/>
            <w:vAlign w:val="center"/>
            <w:hideMark/>
          </w:tcPr>
          <w:p w14:paraId="781F7D2B" w14:textId="467D07CF"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082" w:type="dxa"/>
            <w:tcBorders>
              <w:top w:val="nil"/>
              <w:left w:val="single" w:sz="4" w:space="0" w:color="auto"/>
              <w:bottom w:val="single" w:sz="4" w:space="0" w:color="auto"/>
              <w:right w:val="nil"/>
            </w:tcBorders>
            <w:shd w:val="clear" w:color="auto" w:fill="auto"/>
            <w:noWrap/>
            <w:vAlign w:val="bottom"/>
            <w:hideMark/>
          </w:tcPr>
          <w:p w14:paraId="6B11DB45"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581</w:t>
            </w:r>
          </w:p>
        </w:tc>
        <w:tc>
          <w:tcPr>
            <w:tcW w:w="818" w:type="dxa"/>
            <w:tcBorders>
              <w:top w:val="nil"/>
              <w:left w:val="nil"/>
              <w:bottom w:val="single" w:sz="4" w:space="0" w:color="auto"/>
              <w:right w:val="single" w:sz="4" w:space="0" w:color="auto"/>
            </w:tcBorders>
            <w:shd w:val="clear" w:color="auto" w:fill="auto"/>
            <w:noWrap/>
            <w:vAlign w:val="center"/>
            <w:hideMark/>
          </w:tcPr>
          <w:p w14:paraId="2715E1A0" w14:textId="45A160D2"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24" w:type="dxa"/>
            <w:tcBorders>
              <w:top w:val="nil"/>
              <w:left w:val="nil"/>
              <w:bottom w:val="single" w:sz="4" w:space="0" w:color="auto"/>
              <w:right w:val="nil"/>
            </w:tcBorders>
            <w:shd w:val="clear" w:color="auto" w:fill="auto"/>
            <w:noWrap/>
            <w:vAlign w:val="bottom"/>
            <w:hideMark/>
          </w:tcPr>
          <w:p w14:paraId="0D7D7ED6"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721</w:t>
            </w:r>
          </w:p>
        </w:tc>
        <w:tc>
          <w:tcPr>
            <w:tcW w:w="876" w:type="dxa"/>
            <w:tcBorders>
              <w:top w:val="nil"/>
              <w:left w:val="nil"/>
              <w:bottom w:val="single" w:sz="4" w:space="0" w:color="auto"/>
              <w:right w:val="single" w:sz="4" w:space="0" w:color="auto"/>
            </w:tcBorders>
            <w:shd w:val="clear" w:color="auto" w:fill="auto"/>
            <w:noWrap/>
            <w:vAlign w:val="center"/>
            <w:hideMark/>
          </w:tcPr>
          <w:p w14:paraId="227784B4" w14:textId="5B0C4336"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392" w:type="dxa"/>
            <w:tcBorders>
              <w:top w:val="nil"/>
              <w:left w:val="nil"/>
              <w:bottom w:val="single" w:sz="4" w:space="0" w:color="auto"/>
              <w:right w:val="nil"/>
            </w:tcBorders>
            <w:shd w:val="clear" w:color="auto" w:fill="auto"/>
            <w:noWrap/>
            <w:vAlign w:val="bottom"/>
            <w:hideMark/>
          </w:tcPr>
          <w:p w14:paraId="5E2AA044" w14:textId="2F89DB9C"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98,47</w:t>
            </w:r>
          </w:p>
        </w:tc>
      </w:tr>
      <w:tr w:rsidR="00BF0CC3" w:rsidRPr="00033A3F" w14:paraId="6F0737D7" w14:textId="77777777" w:rsidTr="00371086">
        <w:trPr>
          <w:trHeight w:val="330"/>
        </w:trPr>
        <w:tc>
          <w:tcPr>
            <w:tcW w:w="1980" w:type="dxa"/>
            <w:tcBorders>
              <w:top w:val="nil"/>
              <w:left w:val="nil"/>
              <w:bottom w:val="double" w:sz="6" w:space="0" w:color="auto"/>
              <w:right w:val="nil"/>
            </w:tcBorders>
            <w:shd w:val="clear" w:color="auto" w:fill="auto"/>
            <w:noWrap/>
            <w:vAlign w:val="bottom"/>
            <w:hideMark/>
          </w:tcPr>
          <w:p w14:paraId="277F720E"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97" w:type="dxa"/>
            <w:tcBorders>
              <w:top w:val="nil"/>
              <w:left w:val="nil"/>
              <w:bottom w:val="double" w:sz="6" w:space="0" w:color="auto"/>
              <w:right w:val="nil"/>
            </w:tcBorders>
            <w:shd w:val="clear" w:color="auto" w:fill="auto"/>
            <w:noWrap/>
            <w:vAlign w:val="bottom"/>
            <w:hideMark/>
          </w:tcPr>
          <w:p w14:paraId="5F474E50"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547</w:t>
            </w:r>
          </w:p>
        </w:tc>
        <w:tc>
          <w:tcPr>
            <w:tcW w:w="903" w:type="dxa"/>
            <w:tcBorders>
              <w:top w:val="nil"/>
              <w:left w:val="nil"/>
              <w:bottom w:val="double" w:sz="6" w:space="0" w:color="auto"/>
              <w:right w:val="nil"/>
            </w:tcBorders>
            <w:shd w:val="clear" w:color="auto" w:fill="auto"/>
            <w:noWrap/>
            <w:vAlign w:val="center"/>
            <w:hideMark/>
          </w:tcPr>
          <w:p w14:paraId="4D943AFD" w14:textId="007B502E"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-42 %</w:t>
            </w:r>
          </w:p>
        </w:tc>
        <w:tc>
          <w:tcPr>
            <w:tcW w:w="1082" w:type="dxa"/>
            <w:tcBorders>
              <w:top w:val="nil"/>
              <w:left w:val="single" w:sz="4" w:space="0" w:color="auto"/>
              <w:bottom w:val="double" w:sz="6" w:space="0" w:color="auto"/>
              <w:right w:val="nil"/>
            </w:tcBorders>
            <w:shd w:val="clear" w:color="auto" w:fill="auto"/>
            <w:noWrap/>
            <w:vAlign w:val="bottom"/>
            <w:hideMark/>
          </w:tcPr>
          <w:p w14:paraId="4AA7D347"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771</w:t>
            </w:r>
          </w:p>
        </w:tc>
        <w:tc>
          <w:tcPr>
            <w:tcW w:w="818" w:type="dxa"/>
            <w:tcBorders>
              <w:top w:val="nil"/>
              <w:left w:val="nil"/>
              <w:bottom w:val="double" w:sz="6" w:space="0" w:color="auto"/>
              <w:right w:val="single" w:sz="4" w:space="0" w:color="auto"/>
            </w:tcBorders>
            <w:shd w:val="clear" w:color="auto" w:fill="auto"/>
            <w:noWrap/>
            <w:vAlign w:val="center"/>
            <w:hideMark/>
          </w:tcPr>
          <w:p w14:paraId="23611CB1" w14:textId="15BF94DC"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24" w:type="dxa"/>
            <w:tcBorders>
              <w:top w:val="nil"/>
              <w:left w:val="nil"/>
              <w:bottom w:val="double" w:sz="6" w:space="0" w:color="auto"/>
              <w:right w:val="nil"/>
            </w:tcBorders>
            <w:shd w:val="clear" w:color="auto" w:fill="auto"/>
            <w:noWrap/>
            <w:vAlign w:val="bottom"/>
            <w:hideMark/>
          </w:tcPr>
          <w:p w14:paraId="5F967A3B"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567</w:t>
            </w:r>
          </w:p>
        </w:tc>
        <w:tc>
          <w:tcPr>
            <w:tcW w:w="876" w:type="dxa"/>
            <w:tcBorders>
              <w:top w:val="nil"/>
              <w:left w:val="nil"/>
              <w:bottom w:val="double" w:sz="6" w:space="0" w:color="auto"/>
              <w:right w:val="single" w:sz="4" w:space="0" w:color="auto"/>
            </w:tcBorders>
            <w:shd w:val="clear" w:color="auto" w:fill="auto"/>
            <w:noWrap/>
            <w:vAlign w:val="center"/>
            <w:hideMark/>
          </w:tcPr>
          <w:p w14:paraId="2ADC11A9" w14:textId="71BE6C79"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c>
          <w:tcPr>
            <w:tcW w:w="1392" w:type="dxa"/>
            <w:tcBorders>
              <w:top w:val="nil"/>
              <w:left w:val="nil"/>
              <w:bottom w:val="double" w:sz="6" w:space="0" w:color="auto"/>
              <w:right w:val="nil"/>
            </w:tcBorders>
            <w:shd w:val="clear" w:color="auto" w:fill="auto"/>
            <w:noWrap/>
            <w:vAlign w:val="bottom"/>
            <w:hideMark/>
          </w:tcPr>
          <w:p w14:paraId="579E4D45" w14:textId="53E33A04"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140,95</w:t>
            </w:r>
          </w:p>
        </w:tc>
      </w:tr>
      <w:tr w:rsidR="00BF0CC3" w:rsidRPr="00033A3F" w14:paraId="45592B71" w14:textId="77777777" w:rsidTr="00371086">
        <w:trPr>
          <w:trHeight w:val="345"/>
        </w:trPr>
        <w:tc>
          <w:tcPr>
            <w:tcW w:w="1980" w:type="dxa"/>
            <w:tcBorders>
              <w:top w:val="nil"/>
              <w:left w:val="nil"/>
              <w:bottom w:val="double" w:sz="6" w:space="0" w:color="auto"/>
              <w:right w:val="nil"/>
            </w:tcBorders>
            <w:shd w:val="clear" w:color="auto" w:fill="auto"/>
            <w:noWrap/>
            <w:vAlign w:val="bottom"/>
            <w:hideMark/>
          </w:tcPr>
          <w:p w14:paraId="02F622E7" w14:textId="77777777" w:rsidR="00E34E51" w:rsidRPr="00033A3F" w:rsidRDefault="00E34E51" w:rsidP="00E34E5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97" w:type="dxa"/>
            <w:tcBorders>
              <w:top w:val="nil"/>
              <w:left w:val="nil"/>
              <w:bottom w:val="double" w:sz="6" w:space="0" w:color="auto"/>
              <w:right w:val="nil"/>
            </w:tcBorders>
            <w:shd w:val="clear" w:color="auto" w:fill="auto"/>
            <w:noWrap/>
            <w:vAlign w:val="bottom"/>
            <w:hideMark/>
          </w:tcPr>
          <w:p w14:paraId="37A5ABB2" w14:textId="0DCAF458"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4 309</w:t>
            </w:r>
          </w:p>
        </w:tc>
        <w:tc>
          <w:tcPr>
            <w:tcW w:w="903" w:type="dxa"/>
            <w:tcBorders>
              <w:top w:val="nil"/>
              <w:left w:val="nil"/>
              <w:bottom w:val="double" w:sz="6" w:space="0" w:color="auto"/>
              <w:right w:val="nil"/>
            </w:tcBorders>
            <w:shd w:val="clear" w:color="auto" w:fill="auto"/>
            <w:noWrap/>
            <w:vAlign w:val="center"/>
            <w:hideMark/>
          </w:tcPr>
          <w:p w14:paraId="69B892D9" w14:textId="31545E46" w:rsidR="00E34E51" w:rsidRPr="00033A3F" w:rsidRDefault="00E34E51"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082" w:type="dxa"/>
            <w:tcBorders>
              <w:top w:val="nil"/>
              <w:left w:val="single" w:sz="4" w:space="0" w:color="auto"/>
              <w:bottom w:val="double" w:sz="6" w:space="0" w:color="auto"/>
              <w:right w:val="nil"/>
            </w:tcBorders>
            <w:shd w:val="clear" w:color="auto" w:fill="auto"/>
            <w:noWrap/>
            <w:vAlign w:val="bottom"/>
            <w:hideMark/>
          </w:tcPr>
          <w:p w14:paraId="68E66EBD" w14:textId="3E0C80B4"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3 896</w:t>
            </w:r>
          </w:p>
        </w:tc>
        <w:tc>
          <w:tcPr>
            <w:tcW w:w="818" w:type="dxa"/>
            <w:tcBorders>
              <w:top w:val="nil"/>
              <w:left w:val="nil"/>
              <w:bottom w:val="double" w:sz="6" w:space="0" w:color="auto"/>
              <w:right w:val="single" w:sz="4" w:space="0" w:color="auto"/>
            </w:tcBorders>
            <w:shd w:val="clear" w:color="auto" w:fill="auto"/>
            <w:noWrap/>
            <w:vAlign w:val="center"/>
            <w:hideMark/>
          </w:tcPr>
          <w:p w14:paraId="6B3335AE" w14:textId="0CB16C7D" w:rsidR="00E34E51" w:rsidRPr="00033A3F" w:rsidRDefault="00E34E51"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+5 %</w:t>
            </w:r>
          </w:p>
        </w:tc>
        <w:tc>
          <w:tcPr>
            <w:tcW w:w="1024" w:type="dxa"/>
            <w:tcBorders>
              <w:top w:val="nil"/>
              <w:left w:val="nil"/>
              <w:bottom w:val="double" w:sz="6" w:space="0" w:color="auto"/>
              <w:right w:val="nil"/>
            </w:tcBorders>
            <w:shd w:val="clear" w:color="auto" w:fill="auto"/>
            <w:noWrap/>
            <w:vAlign w:val="bottom"/>
            <w:hideMark/>
          </w:tcPr>
          <w:p w14:paraId="269F3911" w14:textId="00B23DBB"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4 883</w:t>
            </w:r>
          </w:p>
        </w:tc>
        <w:tc>
          <w:tcPr>
            <w:tcW w:w="876" w:type="dxa"/>
            <w:tcBorders>
              <w:top w:val="nil"/>
              <w:left w:val="nil"/>
              <w:bottom w:val="double" w:sz="6" w:space="0" w:color="auto"/>
              <w:right w:val="single" w:sz="4" w:space="0" w:color="auto"/>
            </w:tcBorders>
            <w:shd w:val="clear" w:color="auto" w:fill="auto"/>
            <w:noWrap/>
            <w:vAlign w:val="center"/>
            <w:hideMark/>
          </w:tcPr>
          <w:p w14:paraId="455D0789" w14:textId="0D9BAEB6" w:rsidR="00E34E51" w:rsidRPr="00033A3F" w:rsidRDefault="00E34E51"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c>
          <w:tcPr>
            <w:tcW w:w="1392" w:type="dxa"/>
            <w:tcBorders>
              <w:top w:val="nil"/>
              <w:left w:val="nil"/>
              <w:bottom w:val="double" w:sz="6" w:space="0" w:color="auto"/>
              <w:right w:val="nil"/>
            </w:tcBorders>
            <w:shd w:val="clear" w:color="auto" w:fill="auto"/>
            <w:noWrap/>
            <w:vAlign w:val="bottom"/>
            <w:hideMark/>
          </w:tcPr>
          <w:p w14:paraId="1CF6DBC1" w14:textId="536CBE3C"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90,42</w:t>
            </w:r>
          </w:p>
        </w:tc>
      </w:tr>
      <w:tr w:rsidR="00BF0CC3" w:rsidRPr="00033A3F" w14:paraId="2D013071" w14:textId="77777777" w:rsidTr="00371086">
        <w:trPr>
          <w:trHeight w:val="330"/>
        </w:trPr>
        <w:tc>
          <w:tcPr>
            <w:tcW w:w="1980" w:type="dxa"/>
            <w:tcBorders>
              <w:top w:val="nil"/>
              <w:left w:val="nil"/>
              <w:bottom w:val="nil"/>
              <w:right w:val="nil"/>
            </w:tcBorders>
            <w:shd w:val="clear" w:color="auto" w:fill="auto"/>
            <w:noWrap/>
            <w:vAlign w:val="bottom"/>
            <w:hideMark/>
          </w:tcPr>
          <w:p w14:paraId="08E46DF6" w14:textId="77777777" w:rsidR="00E34E51" w:rsidRPr="00033A3F" w:rsidRDefault="00E34E51" w:rsidP="00E34E51">
            <w:pPr>
              <w:spacing w:line="240" w:lineRule="auto"/>
              <w:jc w:val="center"/>
              <w:rPr>
                <w:rFonts w:eastAsia="Times New Roman"/>
                <w:b/>
                <w:bCs/>
                <w:color w:val="000000" w:themeColor="text1"/>
                <w:szCs w:val="24"/>
                <w:lang w:eastAsia="cs-CZ"/>
              </w:rPr>
            </w:pPr>
          </w:p>
        </w:tc>
        <w:tc>
          <w:tcPr>
            <w:tcW w:w="997" w:type="dxa"/>
            <w:tcBorders>
              <w:top w:val="nil"/>
              <w:left w:val="nil"/>
              <w:bottom w:val="nil"/>
              <w:right w:val="nil"/>
            </w:tcBorders>
            <w:shd w:val="clear" w:color="auto" w:fill="auto"/>
            <w:noWrap/>
            <w:vAlign w:val="bottom"/>
            <w:hideMark/>
          </w:tcPr>
          <w:p w14:paraId="3E5B3D06"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903" w:type="dxa"/>
            <w:tcBorders>
              <w:top w:val="nil"/>
              <w:left w:val="nil"/>
              <w:bottom w:val="nil"/>
              <w:right w:val="nil"/>
            </w:tcBorders>
            <w:shd w:val="clear" w:color="auto" w:fill="auto"/>
            <w:noWrap/>
            <w:vAlign w:val="bottom"/>
            <w:hideMark/>
          </w:tcPr>
          <w:p w14:paraId="4D40F408"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1082" w:type="dxa"/>
            <w:tcBorders>
              <w:top w:val="nil"/>
              <w:left w:val="nil"/>
              <w:bottom w:val="nil"/>
              <w:right w:val="nil"/>
            </w:tcBorders>
            <w:shd w:val="clear" w:color="auto" w:fill="auto"/>
            <w:noWrap/>
            <w:vAlign w:val="bottom"/>
            <w:hideMark/>
          </w:tcPr>
          <w:p w14:paraId="4FDEC37A"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818" w:type="dxa"/>
            <w:tcBorders>
              <w:top w:val="nil"/>
              <w:left w:val="nil"/>
              <w:bottom w:val="nil"/>
              <w:right w:val="nil"/>
            </w:tcBorders>
            <w:shd w:val="clear" w:color="auto" w:fill="auto"/>
            <w:noWrap/>
            <w:vAlign w:val="bottom"/>
            <w:hideMark/>
          </w:tcPr>
          <w:p w14:paraId="2FFE00BA"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1024" w:type="dxa"/>
            <w:tcBorders>
              <w:top w:val="nil"/>
              <w:left w:val="nil"/>
              <w:bottom w:val="nil"/>
              <w:right w:val="nil"/>
            </w:tcBorders>
            <w:shd w:val="clear" w:color="auto" w:fill="auto"/>
            <w:noWrap/>
            <w:vAlign w:val="bottom"/>
            <w:hideMark/>
          </w:tcPr>
          <w:p w14:paraId="3E6EBE81"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876" w:type="dxa"/>
            <w:tcBorders>
              <w:top w:val="nil"/>
              <w:left w:val="nil"/>
              <w:bottom w:val="nil"/>
              <w:right w:val="nil"/>
            </w:tcBorders>
            <w:shd w:val="clear" w:color="auto" w:fill="auto"/>
            <w:noWrap/>
            <w:vAlign w:val="bottom"/>
            <w:hideMark/>
          </w:tcPr>
          <w:p w14:paraId="398F3A06"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1392" w:type="dxa"/>
            <w:tcBorders>
              <w:top w:val="nil"/>
              <w:left w:val="nil"/>
              <w:bottom w:val="nil"/>
              <w:right w:val="nil"/>
            </w:tcBorders>
            <w:shd w:val="clear" w:color="auto" w:fill="auto"/>
            <w:noWrap/>
            <w:vAlign w:val="bottom"/>
            <w:hideMark/>
          </w:tcPr>
          <w:p w14:paraId="46B1C5E1"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r>
    </w:tbl>
    <w:p w14:paraId="3C6A1DAE" w14:textId="3E6F933F" w:rsidR="00E34E51" w:rsidRPr="00033A3F" w:rsidRDefault="00E34E51" w:rsidP="004C0D35">
      <w:pPr>
        <w:pStyle w:val="OdstavecASR"/>
        <w:rPr>
          <w:color w:val="000000" w:themeColor="text1"/>
        </w:rPr>
      </w:pPr>
      <w:r w:rsidRPr="00033A3F">
        <w:rPr>
          <w:color w:val="000000" w:themeColor="text1"/>
        </w:rPr>
        <w:t xml:space="preserve">Vidíme, že počet nevyřízených věcí je </w:t>
      </w:r>
      <w:r w:rsidR="004B6F7B" w:rsidRPr="00033A3F">
        <w:rPr>
          <w:color w:val="000000" w:themeColor="text1"/>
        </w:rPr>
        <w:t xml:space="preserve">již druhý rok po sobě </w:t>
      </w:r>
      <w:r w:rsidRPr="00033A3F">
        <w:rPr>
          <w:color w:val="000000" w:themeColor="text1"/>
        </w:rPr>
        <w:t xml:space="preserve">výrazně </w:t>
      </w:r>
      <w:r w:rsidR="004B6F7B" w:rsidRPr="00033A3F">
        <w:rPr>
          <w:color w:val="000000" w:themeColor="text1"/>
        </w:rPr>
        <w:t>vyšší než počet věcí vyřízených a je</w:t>
      </w:r>
      <w:r w:rsidRPr="00033A3F">
        <w:rPr>
          <w:color w:val="000000" w:themeColor="text1"/>
        </w:rPr>
        <w:t xml:space="preserve"> ovlivněn nárůstem u tří soudů – MS Praha, KS České Budějovice a KS Hradec Králové. MS Praha má stejně jako v minulých letech poměrně vysoký počet příchozích </w:t>
      </w:r>
      <w:r w:rsidR="00F529A1" w:rsidRPr="00033A3F">
        <w:rPr>
          <w:color w:val="000000" w:themeColor="text1"/>
        </w:rPr>
        <w:t>věcí,</w:t>
      </w:r>
      <w:r w:rsidRPr="00033A3F">
        <w:rPr>
          <w:color w:val="000000" w:themeColor="text1"/>
        </w:rPr>
        <w:t xml:space="preserve"> a </w:t>
      </w:r>
      <w:r w:rsidR="009B0C28" w:rsidRPr="00033A3F">
        <w:rPr>
          <w:color w:val="000000" w:themeColor="text1"/>
        </w:rPr>
        <w:t xml:space="preserve">i přes nárůst počtu věcí vyřízených </w:t>
      </w:r>
      <w:r w:rsidRPr="00033A3F">
        <w:rPr>
          <w:color w:val="000000" w:themeColor="text1"/>
        </w:rPr>
        <w:t xml:space="preserve">ho </w:t>
      </w:r>
      <w:r w:rsidR="009B0C28" w:rsidRPr="00033A3F">
        <w:rPr>
          <w:color w:val="000000" w:themeColor="text1"/>
        </w:rPr>
        <w:t>nestíhá</w:t>
      </w:r>
      <w:r w:rsidRPr="00033A3F">
        <w:rPr>
          <w:color w:val="000000" w:themeColor="text1"/>
        </w:rPr>
        <w:t xml:space="preserve"> vyřídit. U KS </w:t>
      </w:r>
      <w:r w:rsidR="00CF1BF3" w:rsidRPr="00033A3F">
        <w:rPr>
          <w:color w:val="000000" w:themeColor="text1"/>
        </w:rPr>
        <w:t>České Budějovice</w:t>
      </w:r>
      <w:r w:rsidRPr="00033A3F">
        <w:rPr>
          <w:color w:val="000000" w:themeColor="text1"/>
        </w:rPr>
        <w:t xml:space="preserve"> došlo k extrémnímu nárůstu v nápadu. </w:t>
      </w:r>
      <w:r w:rsidR="00CF1BF3" w:rsidRPr="00033A3F">
        <w:rPr>
          <w:color w:val="000000" w:themeColor="text1"/>
        </w:rPr>
        <w:t xml:space="preserve">Ve vývoji nápadu u jednotlivých KS se </w:t>
      </w:r>
      <w:r w:rsidR="004B6F7B" w:rsidRPr="00033A3F">
        <w:rPr>
          <w:color w:val="000000" w:themeColor="text1"/>
        </w:rPr>
        <w:t xml:space="preserve">ale </w:t>
      </w:r>
      <w:r w:rsidR="00CF1BF3" w:rsidRPr="00033A3F">
        <w:rPr>
          <w:color w:val="000000" w:themeColor="text1"/>
        </w:rPr>
        <w:t>jen obtížně hledá nějaký trend – tentýž soud může mít jeden rok výrazný nárůst a další rok výrazný propad nápadu</w:t>
      </w:r>
      <w:r w:rsidR="00B3479A" w:rsidRPr="00033A3F">
        <w:rPr>
          <w:color w:val="000000" w:themeColor="text1"/>
        </w:rPr>
        <w:t>.</w:t>
      </w:r>
    </w:p>
    <w:p w14:paraId="4E01730D" w14:textId="13B37056" w:rsidR="00E34E51" w:rsidRPr="00033A3F" w:rsidRDefault="00E34E51" w:rsidP="004C0D35">
      <w:pPr>
        <w:pStyle w:val="OdstavecASR"/>
        <w:rPr>
          <w:color w:val="000000" w:themeColor="text1"/>
        </w:rPr>
      </w:pPr>
      <w:r w:rsidRPr="00033A3F">
        <w:rPr>
          <w:color w:val="000000" w:themeColor="text1"/>
        </w:rPr>
        <w:t xml:space="preserve">Náhlé nárůsty nápadu v řádu vysokých desítek procent, jaké nejen v roce 2024 zaznamenaly některé soudy, jsou </w:t>
      </w:r>
      <w:r w:rsidR="0012740D" w:rsidRPr="00033A3F">
        <w:rPr>
          <w:color w:val="000000" w:themeColor="text1"/>
        </w:rPr>
        <w:t xml:space="preserve">však </w:t>
      </w:r>
      <w:r w:rsidRPr="00033A3F">
        <w:rPr>
          <w:color w:val="000000" w:themeColor="text1"/>
        </w:rPr>
        <w:t xml:space="preserve">pro incidenční agendu typické a potýkají se s ním střídavě prakticky všechny krajské soudy. </w:t>
      </w:r>
      <w:r w:rsidR="009B0C28" w:rsidRPr="00033A3F">
        <w:rPr>
          <w:color w:val="000000" w:themeColor="text1"/>
        </w:rPr>
        <w:t>Obvykle</w:t>
      </w:r>
      <w:r w:rsidRPr="00033A3F">
        <w:rPr>
          <w:color w:val="000000" w:themeColor="text1"/>
        </w:rPr>
        <w:t xml:space="preserve"> k nim dochází, když je v obvodu působnosti krajského soudu prohlášen rozsáhlý konkurs na právnickou osobu, z nějž vyplyne velké množství incidenčních sporů. Tyto zásadní fluktuace nápadu bohužel nelze předvídat a vedení soudů se na ně nemůže připravit například zvýšením počtu soudců, což činí incidenční agendu mimořádně náročnou z hlediska řízení výkonnosti a plynulosti vyřizování věcí.</w:t>
      </w:r>
    </w:p>
    <w:p w14:paraId="745DE654" w14:textId="4AF02E4C" w:rsidR="0012740D" w:rsidRPr="00033A3F" w:rsidRDefault="0012740D" w:rsidP="004C0D35">
      <w:pPr>
        <w:pStyle w:val="OdstavecASR"/>
        <w:rPr>
          <w:color w:val="000000" w:themeColor="text1"/>
        </w:rPr>
      </w:pPr>
      <w:r w:rsidRPr="00033A3F">
        <w:rPr>
          <w:color w:val="000000" w:themeColor="text1"/>
        </w:rPr>
        <w:t xml:space="preserve">Rozdíly v míře vyřizování jsou </w:t>
      </w:r>
      <w:r w:rsidR="004B6F7B" w:rsidRPr="00033A3F">
        <w:rPr>
          <w:color w:val="000000" w:themeColor="text1"/>
        </w:rPr>
        <w:t xml:space="preserve">také </w:t>
      </w:r>
      <w:r w:rsidRPr="00033A3F">
        <w:rPr>
          <w:color w:val="000000" w:themeColor="text1"/>
        </w:rPr>
        <w:t>opravdu značné: od 64,29 % u MS v Praze až po 140,95 u KS v Ostravě.</w:t>
      </w:r>
    </w:p>
    <w:p w14:paraId="3EA428E7" w14:textId="5D260E96" w:rsidR="001A527D" w:rsidRPr="00033A3F" w:rsidRDefault="001A527D" w:rsidP="001A527D">
      <w:pPr>
        <w:pStyle w:val="Nadpis3"/>
        <w:numPr>
          <w:ilvl w:val="2"/>
          <w:numId w:val="1"/>
        </w:numPr>
        <w:rPr>
          <w:color w:val="000000" w:themeColor="text1"/>
        </w:rPr>
      </w:pPr>
      <w:bookmarkStart w:id="1939" w:name="_Toc106092787"/>
      <w:bookmarkStart w:id="1940" w:name="_Toc169250863"/>
      <w:bookmarkStart w:id="1941" w:name="_Toc193531025"/>
      <w:bookmarkStart w:id="1942" w:name="_Toc193957083"/>
      <w:bookmarkStart w:id="1943" w:name="_Toc203032771"/>
      <w:r w:rsidRPr="00033A3F">
        <w:rPr>
          <w:color w:val="000000" w:themeColor="text1"/>
        </w:rPr>
        <w:t>Vyřizování věcí v přepočtu na soudce</w:t>
      </w:r>
      <w:bookmarkEnd w:id="1939"/>
      <w:bookmarkEnd w:id="1940"/>
      <w:bookmarkEnd w:id="1941"/>
      <w:bookmarkEnd w:id="1942"/>
      <w:bookmarkEnd w:id="1943"/>
    </w:p>
    <w:p w14:paraId="7B2EDCC9" w14:textId="235C58FA" w:rsidR="001B2BB9" w:rsidRDefault="00E34E51" w:rsidP="00E34E51">
      <w:pPr>
        <w:pStyle w:val="OdstavecASR"/>
        <w:rPr>
          <w:color w:val="000000" w:themeColor="text1"/>
        </w:rPr>
      </w:pPr>
      <w:r w:rsidRPr="00033A3F">
        <w:rPr>
          <w:color w:val="000000" w:themeColor="text1"/>
        </w:rPr>
        <w:t>Přepočet na skutečný úvazek soudce je uveden níže.</w:t>
      </w:r>
    </w:p>
    <w:p w14:paraId="28CE22F9" w14:textId="77777777" w:rsidR="001B2BB9" w:rsidRDefault="001B2BB9">
      <w:pPr>
        <w:spacing w:after="160" w:line="259" w:lineRule="auto"/>
        <w:jc w:val="left"/>
        <w:rPr>
          <w:color w:val="000000" w:themeColor="text1"/>
        </w:rPr>
      </w:pPr>
      <w:r>
        <w:rPr>
          <w:color w:val="000000" w:themeColor="text1"/>
        </w:rPr>
        <w:br w:type="page"/>
      </w:r>
    </w:p>
    <w:p w14:paraId="4FD8F677" w14:textId="1DAAEB50" w:rsidR="00E34E51" w:rsidRPr="00033A3F" w:rsidRDefault="00E34E51" w:rsidP="00E34E51">
      <w:pPr>
        <w:pStyle w:val="Podnadpis"/>
        <w:numPr>
          <w:ilvl w:val="0"/>
          <w:numId w:val="0"/>
        </w:numPr>
        <w:rPr>
          <w:color w:val="000000" w:themeColor="text1"/>
        </w:rPr>
      </w:pPr>
      <w:bookmarkStart w:id="1944" w:name="_Toc75952382"/>
      <w:bookmarkStart w:id="1945" w:name="_Toc106106835"/>
      <w:bookmarkStart w:id="1946" w:name="_Toc109802158"/>
      <w:bookmarkStart w:id="1947" w:name="_Toc144104317"/>
      <w:bookmarkStart w:id="1948" w:name="_Toc169251131"/>
      <w:bookmarkStart w:id="1949" w:name="_Toc174080817"/>
      <w:bookmarkStart w:id="1950" w:name="_Toc193530943"/>
      <w:bookmarkStart w:id="1951" w:name="_Toc194045640"/>
      <w:bookmarkStart w:id="1952" w:name="_Toc199495050"/>
      <w:bookmarkStart w:id="1953" w:name="_Toc203033111"/>
      <w:bookmarkStart w:id="1954" w:name="_Toc203033189"/>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69</w:t>
      </w:r>
      <w:r w:rsidRPr="00033A3F">
        <w:rPr>
          <w:noProof/>
          <w:color w:val="000000" w:themeColor="text1"/>
        </w:rPr>
        <w:fldChar w:fldCharType="end"/>
      </w:r>
      <w:r w:rsidRPr="00033A3F">
        <w:rPr>
          <w:color w:val="000000" w:themeColor="text1"/>
        </w:rPr>
        <w:t>: KS – vyřizování incidenčních sporů na skutečný úvazek dle soudů</w:t>
      </w:r>
      <w:bookmarkEnd w:id="1944"/>
      <w:bookmarkEnd w:id="1945"/>
      <w:bookmarkEnd w:id="1946"/>
      <w:bookmarkEnd w:id="1947"/>
      <w:bookmarkEnd w:id="1948"/>
      <w:bookmarkEnd w:id="1949"/>
      <w:bookmarkEnd w:id="1950"/>
      <w:bookmarkEnd w:id="1951"/>
      <w:bookmarkEnd w:id="1952"/>
      <w:bookmarkEnd w:id="1953"/>
      <w:bookmarkEnd w:id="1954"/>
    </w:p>
    <w:tbl>
      <w:tblPr>
        <w:tblW w:w="9140" w:type="dxa"/>
        <w:tblCellMar>
          <w:left w:w="70" w:type="dxa"/>
          <w:right w:w="70" w:type="dxa"/>
        </w:tblCellMar>
        <w:tblLook w:val="04A0" w:firstRow="1" w:lastRow="0" w:firstColumn="1" w:lastColumn="0" w:noHBand="0" w:noVBand="1"/>
      </w:tblPr>
      <w:tblGrid>
        <w:gridCol w:w="2020"/>
        <w:gridCol w:w="1015"/>
        <w:gridCol w:w="1084"/>
        <w:gridCol w:w="1109"/>
        <w:gridCol w:w="1003"/>
        <w:gridCol w:w="880"/>
        <w:gridCol w:w="1003"/>
        <w:gridCol w:w="1026"/>
      </w:tblGrid>
      <w:tr w:rsidR="00C86226" w:rsidRPr="00C86226" w14:paraId="6F9430B3" w14:textId="77777777" w:rsidTr="00C86226">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10D6F81C" w14:textId="77777777" w:rsidR="00C86226" w:rsidRPr="00C86226" w:rsidRDefault="00C86226" w:rsidP="00C86226">
            <w:pPr>
              <w:spacing w:line="240" w:lineRule="auto"/>
              <w:jc w:val="center"/>
              <w:rPr>
                <w:rFonts w:eastAsia="Times New Roman"/>
                <w:b/>
                <w:bCs/>
                <w:color w:val="000000"/>
                <w:szCs w:val="24"/>
                <w:lang w:eastAsia="cs-CZ"/>
              </w:rPr>
            </w:pPr>
            <w:bookmarkStart w:id="1955" w:name="_Toc515871277"/>
            <w:bookmarkStart w:id="1956" w:name="_Toc106092789"/>
            <w:bookmarkStart w:id="1957" w:name="_Toc169250865"/>
            <w:r w:rsidRPr="00C86226">
              <w:rPr>
                <w:rFonts w:eastAsia="Times New Roman"/>
                <w:b/>
                <w:bCs/>
                <w:color w:val="000000"/>
                <w:szCs w:val="24"/>
                <w:lang w:eastAsia="cs-CZ"/>
              </w:rPr>
              <w:t>Soud</w:t>
            </w:r>
          </w:p>
        </w:tc>
        <w:tc>
          <w:tcPr>
            <w:tcW w:w="1015" w:type="dxa"/>
            <w:vMerge w:val="restart"/>
            <w:tcBorders>
              <w:top w:val="double" w:sz="6" w:space="0" w:color="auto"/>
              <w:left w:val="nil"/>
              <w:bottom w:val="double" w:sz="6" w:space="0" w:color="000000"/>
              <w:right w:val="nil"/>
            </w:tcBorders>
            <w:shd w:val="clear" w:color="auto" w:fill="auto"/>
            <w:vAlign w:val="center"/>
            <w:hideMark/>
          </w:tcPr>
          <w:p w14:paraId="21F90DC2"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Počet úvazků</w:t>
            </w:r>
          </w:p>
        </w:tc>
        <w:tc>
          <w:tcPr>
            <w:tcW w:w="6105" w:type="dxa"/>
            <w:gridSpan w:val="6"/>
            <w:tcBorders>
              <w:top w:val="double" w:sz="6" w:space="0" w:color="auto"/>
              <w:left w:val="nil"/>
              <w:bottom w:val="nil"/>
              <w:right w:val="nil"/>
            </w:tcBorders>
            <w:shd w:val="clear" w:color="auto" w:fill="auto"/>
            <w:noWrap/>
            <w:vAlign w:val="center"/>
            <w:hideMark/>
          </w:tcPr>
          <w:p w14:paraId="6A919F2B"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Počet věcí</w:t>
            </w:r>
          </w:p>
        </w:tc>
      </w:tr>
      <w:tr w:rsidR="00C86226" w:rsidRPr="00C86226" w14:paraId="27022FBA" w14:textId="77777777" w:rsidTr="00C86226">
        <w:trPr>
          <w:trHeight w:val="330"/>
        </w:trPr>
        <w:tc>
          <w:tcPr>
            <w:tcW w:w="2020" w:type="dxa"/>
            <w:vMerge/>
            <w:tcBorders>
              <w:top w:val="double" w:sz="6" w:space="0" w:color="auto"/>
              <w:left w:val="nil"/>
              <w:bottom w:val="double" w:sz="6" w:space="0" w:color="000000"/>
              <w:right w:val="nil"/>
            </w:tcBorders>
            <w:vAlign w:val="center"/>
            <w:hideMark/>
          </w:tcPr>
          <w:p w14:paraId="231D3B70" w14:textId="77777777" w:rsidR="00C86226" w:rsidRPr="00C86226" w:rsidRDefault="00C86226" w:rsidP="00C86226">
            <w:pPr>
              <w:spacing w:line="240" w:lineRule="auto"/>
              <w:jc w:val="left"/>
              <w:rPr>
                <w:rFonts w:eastAsia="Times New Roman"/>
                <w:b/>
                <w:bCs/>
                <w:color w:val="000000"/>
                <w:szCs w:val="24"/>
                <w:lang w:eastAsia="cs-CZ"/>
              </w:rPr>
            </w:pPr>
          </w:p>
        </w:tc>
        <w:tc>
          <w:tcPr>
            <w:tcW w:w="1015" w:type="dxa"/>
            <w:vMerge/>
            <w:tcBorders>
              <w:top w:val="double" w:sz="6" w:space="0" w:color="auto"/>
              <w:left w:val="nil"/>
              <w:bottom w:val="double" w:sz="6" w:space="0" w:color="000000"/>
              <w:right w:val="nil"/>
            </w:tcBorders>
            <w:vAlign w:val="center"/>
            <w:hideMark/>
          </w:tcPr>
          <w:p w14:paraId="337E0DA2" w14:textId="77777777" w:rsidR="00C86226" w:rsidRPr="00C86226" w:rsidRDefault="00C86226" w:rsidP="00C86226">
            <w:pPr>
              <w:spacing w:line="240" w:lineRule="auto"/>
              <w:jc w:val="left"/>
              <w:rPr>
                <w:rFonts w:eastAsia="Times New Roman"/>
                <w:b/>
                <w:bCs/>
                <w:color w:val="000000"/>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05DDC072"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Nápad + obživlé věci</w:t>
            </w:r>
          </w:p>
        </w:tc>
        <w:tc>
          <w:tcPr>
            <w:tcW w:w="188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72C788F"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Vyřízeno</w:t>
            </w:r>
          </w:p>
        </w:tc>
        <w:tc>
          <w:tcPr>
            <w:tcW w:w="2029" w:type="dxa"/>
            <w:gridSpan w:val="2"/>
            <w:tcBorders>
              <w:top w:val="nil"/>
              <w:left w:val="nil"/>
              <w:bottom w:val="double" w:sz="6" w:space="0" w:color="auto"/>
              <w:right w:val="nil"/>
            </w:tcBorders>
            <w:shd w:val="clear" w:color="auto" w:fill="auto"/>
            <w:noWrap/>
            <w:vAlign w:val="center"/>
            <w:hideMark/>
          </w:tcPr>
          <w:p w14:paraId="7019C0B1"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Nevyřízeno</w:t>
            </w:r>
          </w:p>
        </w:tc>
      </w:tr>
      <w:tr w:rsidR="00C86226" w:rsidRPr="00C86226" w14:paraId="38BC6EF1" w14:textId="77777777" w:rsidTr="00C86226">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9EDBBEE"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MS Praha</w:t>
            </w:r>
          </w:p>
        </w:tc>
        <w:tc>
          <w:tcPr>
            <w:tcW w:w="1015" w:type="dxa"/>
            <w:tcBorders>
              <w:top w:val="single" w:sz="4" w:space="0" w:color="auto"/>
              <w:left w:val="nil"/>
              <w:bottom w:val="single" w:sz="4" w:space="0" w:color="auto"/>
              <w:right w:val="nil"/>
            </w:tcBorders>
            <w:shd w:val="clear" w:color="auto" w:fill="auto"/>
            <w:noWrap/>
            <w:vAlign w:val="bottom"/>
            <w:hideMark/>
          </w:tcPr>
          <w:p w14:paraId="504F4644"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8.3</w:t>
            </w:r>
          </w:p>
        </w:tc>
        <w:tc>
          <w:tcPr>
            <w:tcW w:w="1084" w:type="dxa"/>
            <w:tcBorders>
              <w:top w:val="single" w:sz="4" w:space="0" w:color="auto"/>
              <w:left w:val="nil"/>
              <w:bottom w:val="single" w:sz="4" w:space="0" w:color="auto"/>
              <w:right w:val="nil"/>
            </w:tcBorders>
            <w:shd w:val="clear" w:color="auto" w:fill="auto"/>
            <w:noWrap/>
            <w:vAlign w:val="bottom"/>
            <w:hideMark/>
          </w:tcPr>
          <w:p w14:paraId="0C47905F"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209.16</w:t>
            </w:r>
          </w:p>
        </w:tc>
        <w:tc>
          <w:tcPr>
            <w:tcW w:w="1109" w:type="dxa"/>
            <w:tcBorders>
              <w:top w:val="single" w:sz="4" w:space="0" w:color="auto"/>
              <w:left w:val="nil"/>
              <w:bottom w:val="single" w:sz="4" w:space="0" w:color="auto"/>
              <w:right w:val="nil"/>
            </w:tcBorders>
            <w:shd w:val="clear" w:color="auto" w:fill="auto"/>
            <w:noWrap/>
            <w:vAlign w:val="center"/>
            <w:hideMark/>
          </w:tcPr>
          <w:p w14:paraId="307A550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+22 %  </w:t>
            </w:r>
          </w:p>
        </w:tc>
        <w:tc>
          <w:tcPr>
            <w:tcW w:w="1003" w:type="dxa"/>
            <w:tcBorders>
              <w:top w:val="single" w:sz="4" w:space="0" w:color="auto"/>
              <w:left w:val="single" w:sz="4" w:space="0" w:color="auto"/>
              <w:bottom w:val="single" w:sz="4" w:space="0" w:color="auto"/>
              <w:right w:val="nil"/>
            </w:tcBorders>
            <w:shd w:val="clear" w:color="auto" w:fill="auto"/>
            <w:noWrap/>
            <w:vAlign w:val="bottom"/>
            <w:hideMark/>
          </w:tcPr>
          <w:p w14:paraId="601D5A3D"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134.46</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611BCEC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-8 %  </w:t>
            </w:r>
          </w:p>
        </w:tc>
        <w:tc>
          <w:tcPr>
            <w:tcW w:w="1003" w:type="dxa"/>
            <w:tcBorders>
              <w:top w:val="single" w:sz="4" w:space="0" w:color="auto"/>
              <w:left w:val="nil"/>
              <w:bottom w:val="single" w:sz="4" w:space="0" w:color="auto"/>
              <w:right w:val="nil"/>
            </w:tcBorders>
            <w:shd w:val="clear" w:color="auto" w:fill="auto"/>
            <w:noWrap/>
            <w:vAlign w:val="bottom"/>
            <w:hideMark/>
          </w:tcPr>
          <w:p w14:paraId="02D92C86"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265.90</w:t>
            </w:r>
          </w:p>
        </w:tc>
        <w:tc>
          <w:tcPr>
            <w:tcW w:w="1026" w:type="dxa"/>
            <w:tcBorders>
              <w:top w:val="single" w:sz="4" w:space="0" w:color="auto"/>
              <w:left w:val="nil"/>
              <w:bottom w:val="single" w:sz="4" w:space="0" w:color="auto"/>
              <w:right w:val="nil"/>
            </w:tcBorders>
            <w:shd w:val="clear" w:color="auto" w:fill="auto"/>
            <w:noWrap/>
            <w:vAlign w:val="center"/>
            <w:hideMark/>
          </w:tcPr>
          <w:p w14:paraId="608DBDEF"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+17 %  </w:t>
            </w:r>
          </w:p>
        </w:tc>
      </w:tr>
      <w:tr w:rsidR="00C86226" w:rsidRPr="00C86226" w14:paraId="688669E3"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2FF8DA5C"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Praha</w:t>
            </w:r>
          </w:p>
        </w:tc>
        <w:tc>
          <w:tcPr>
            <w:tcW w:w="1015" w:type="dxa"/>
            <w:tcBorders>
              <w:top w:val="nil"/>
              <w:left w:val="nil"/>
              <w:bottom w:val="single" w:sz="4" w:space="0" w:color="auto"/>
              <w:right w:val="nil"/>
            </w:tcBorders>
            <w:shd w:val="clear" w:color="auto" w:fill="auto"/>
            <w:noWrap/>
            <w:vAlign w:val="bottom"/>
            <w:hideMark/>
          </w:tcPr>
          <w:p w14:paraId="78DDC7D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2.8</w:t>
            </w:r>
          </w:p>
        </w:tc>
        <w:tc>
          <w:tcPr>
            <w:tcW w:w="1084" w:type="dxa"/>
            <w:tcBorders>
              <w:top w:val="nil"/>
              <w:left w:val="nil"/>
              <w:bottom w:val="single" w:sz="4" w:space="0" w:color="auto"/>
              <w:right w:val="nil"/>
            </w:tcBorders>
            <w:shd w:val="clear" w:color="auto" w:fill="auto"/>
            <w:noWrap/>
            <w:vAlign w:val="bottom"/>
            <w:hideMark/>
          </w:tcPr>
          <w:p w14:paraId="6F48B429"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142.50</w:t>
            </w:r>
          </w:p>
        </w:tc>
        <w:tc>
          <w:tcPr>
            <w:tcW w:w="1109" w:type="dxa"/>
            <w:tcBorders>
              <w:top w:val="nil"/>
              <w:left w:val="nil"/>
              <w:bottom w:val="single" w:sz="4" w:space="0" w:color="auto"/>
              <w:right w:val="nil"/>
            </w:tcBorders>
            <w:shd w:val="clear" w:color="auto" w:fill="auto"/>
            <w:noWrap/>
            <w:vAlign w:val="center"/>
            <w:hideMark/>
          </w:tcPr>
          <w:p w14:paraId="53346B20"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+1 %  </w:t>
            </w:r>
          </w:p>
        </w:tc>
        <w:tc>
          <w:tcPr>
            <w:tcW w:w="1003" w:type="dxa"/>
            <w:tcBorders>
              <w:top w:val="nil"/>
              <w:left w:val="single" w:sz="4" w:space="0" w:color="auto"/>
              <w:bottom w:val="single" w:sz="4" w:space="0" w:color="auto"/>
              <w:right w:val="nil"/>
            </w:tcBorders>
            <w:shd w:val="clear" w:color="auto" w:fill="auto"/>
            <w:noWrap/>
            <w:vAlign w:val="bottom"/>
            <w:hideMark/>
          </w:tcPr>
          <w:p w14:paraId="1CFE8990"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156.79</w:t>
            </w:r>
          </w:p>
        </w:tc>
        <w:tc>
          <w:tcPr>
            <w:tcW w:w="880" w:type="dxa"/>
            <w:tcBorders>
              <w:top w:val="nil"/>
              <w:left w:val="nil"/>
              <w:bottom w:val="single" w:sz="4" w:space="0" w:color="auto"/>
              <w:right w:val="single" w:sz="4" w:space="0" w:color="auto"/>
            </w:tcBorders>
            <w:shd w:val="clear" w:color="auto" w:fill="auto"/>
            <w:noWrap/>
            <w:vAlign w:val="center"/>
            <w:hideMark/>
          </w:tcPr>
          <w:p w14:paraId="6BF0121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-3 %  </w:t>
            </w:r>
          </w:p>
        </w:tc>
        <w:tc>
          <w:tcPr>
            <w:tcW w:w="1003" w:type="dxa"/>
            <w:tcBorders>
              <w:top w:val="nil"/>
              <w:left w:val="nil"/>
              <w:bottom w:val="single" w:sz="4" w:space="0" w:color="auto"/>
              <w:right w:val="nil"/>
            </w:tcBorders>
            <w:shd w:val="clear" w:color="auto" w:fill="auto"/>
            <w:noWrap/>
            <w:vAlign w:val="bottom"/>
            <w:hideMark/>
          </w:tcPr>
          <w:p w14:paraId="73F389DF"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68.93</w:t>
            </w:r>
          </w:p>
        </w:tc>
        <w:tc>
          <w:tcPr>
            <w:tcW w:w="1026" w:type="dxa"/>
            <w:tcBorders>
              <w:top w:val="nil"/>
              <w:left w:val="nil"/>
              <w:bottom w:val="single" w:sz="4" w:space="0" w:color="auto"/>
              <w:right w:val="nil"/>
            </w:tcBorders>
            <w:shd w:val="clear" w:color="auto" w:fill="auto"/>
            <w:noWrap/>
            <w:vAlign w:val="center"/>
            <w:hideMark/>
          </w:tcPr>
          <w:p w14:paraId="60FD17C9"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-24 %  </w:t>
            </w:r>
          </w:p>
        </w:tc>
      </w:tr>
      <w:tr w:rsidR="00C86226" w:rsidRPr="00C86226" w14:paraId="2360BADF"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07990A93"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Č. Budějovice</w:t>
            </w:r>
          </w:p>
        </w:tc>
        <w:tc>
          <w:tcPr>
            <w:tcW w:w="1015" w:type="dxa"/>
            <w:tcBorders>
              <w:top w:val="nil"/>
              <w:left w:val="nil"/>
              <w:bottom w:val="single" w:sz="4" w:space="0" w:color="auto"/>
              <w:right w:val="nil"/>
            </w:tcBorders>
            <w:shd w:val="clear" w:color="auto" w:fill="auto"/>
            <w:noWrap/>
            <w:vAlign w:val="bottom"/>
            <w:hideMark/>
          </w:tcPr>
          <w:p w14:paraId="15376C77"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w:t>
            </w:r>
          </w:p>
        </w:tc>
        <w:tc>
          <w:tcPr>
            <w:tcW w:w="1084" w:type="dxa"/>
            <w:tcBorders>
              <w:top w:val="nil"/>
              <w:left w:val="nil"/>
              <w:bottom w:val="single" w:sz="4" w:space="0" w:color="auto"/>
              <w:right w:val="nil"/>
            </w:tcBorders>
            <w:shd w:val="clear" w:color="auto" w:fill="auto"/>
            <w:noWrap/>
            <w:vAlign w:val="bottom"/>
            <w:hideMark/>
          </w:tcPr>
          <w:p w14:paraId="0A48DA84"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119.00</w:t>
            </w:r>
          </w:p>
        </w:tc>
        <w:tc>
          <w:tcPr>
            <w:tcW w:w="1109" w:type="dxa"/>
            <w:tcBorders>
              <w:top w:val="nil"/>
              <w:left w:val="nil"/>
              <w:bottom w:val="single" w:sz="4" w:space="0" w:color="auto"/>
              <w:right w:val="nil"/>
            </w:tcBorders>
            <w:shd w:val="clear" w:color="auto" w:fill="auto"/>
            <w:noWrap/>
            <w:vAlign w:val="center"/>
            <w:hideMark/>
          </w:tcPr>
          <w:p w14:paraId="27F39FC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+134 %  </w:t>
            </w:r>
          </w:p>
        </w:tc>
        <w:tc>
          <w:tcPr>
            <w:tcW w:w="1003" w:type="dxa"/>
            <w:tcBorders>
              <w:top w:val="nil"/>
              <w:left w:val="single" w:sz="4" w:space="0" w:color="auto"/>
              <w:bottom w:val="single" w:sz="4" w:space="0" w:color="auto"/>
              <w:right w:val="nil"/>
            </w:tcBorders>
            <w:shd w:val="clear" w:color="auto" w:fill="auto"/>
            <w:noWrap/>
            <w:vAlign w:val="bottom"/>
            <w:hideMark/>
          </w:tcPr>
          <w:p w14:paraId="4845FE2B"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85.50</w:t>
            </w:r>
          </w:p>
        </w:tc>
        <w:tc>
          <w:tcPr>
            <w:tcW w:w="880" w:type="dxa"/>
            <w:tcBorders>
              <w:top w:val="nil"/>
              <w:left w:val="nil"/>
              <w:bottom w:val="single" w:sz="4" w:space="0" w:color="auto"/>
              <w:right w:val="single" w:sz="4" w:space="0" w:color="auto"/>
            </w:tcBorders>
            <w:shd w:val="clear" w:color="auto" w:fill="auto"/>
            <w:noWrap/>
            <w:vAlign w:val="center"/>
            <w:hideMark/>
          </w:tcPr>
          <w:p w14:paraId="4034A624"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+67 %  </w:t>
            </w:r>
          </w:p>
        </w:tc>
        <w:tc>
          <w:tcPr>
            <w:tcW w:w="1003" w:type="dxa"/>
            <w:tcBorders>
              <w:top w:val="nil"/>
              <w:left w:val="nil"/>
              <w:bottom w:val="single" w:sz="4" w:space="0" w:color="auto"/>
              <w:right w:val="nil"/>
            </w:tcBorders>
            <w:shd w:val="clear" w:color="auto" w:fill="auto"/>
            <w:noWrap/>
            <w:vAlign w:val="bottom"/>
            <w:hideMark/>
          </w:tcPr>
          <w:p w14:paraId="3ED689D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73.00</w:t>
            </w:r>
          </w:p>
        </w:tc>
        <w:tc>
          <w:tcPr>
            <w:tcW w:w="1026" w:type="dxa"/>
            <w:tcBorders>
              <w:top w:val="nil"/>
              <w:left w:val="nil"/>
              <w:bottom w:val="single" w:sz="4" w:space="0" w:color="auto"/>
              <w:right w:val="nil"/>
            </w:tcBorders>
            <w:shd w:val="clear" w:color="auto" w:fill="auto"/>
            <w:noWrap/>
            <w:vAlign w:val="center"/>
            <w:hideMark/>
          </w:tcPr>
          <w:p w14:paraId="47730A58"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+131 %  </w:t>
            </w:r>
          </w:p>
        </w:tc>
      </w:tr>
      <w:tr w:rsidR="00C86226" w:rsidRPr="00C86226" w14:paraId="560DAC4E"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50EDBBE0"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Plzeň</w:t>
            </w:r>
          </w:p>
        </w:tc>
        <w:tc>
          <w:tcPr>
            <w:tcW w:w="1015" w:type="dxa"/>
            <w:tcBorders>
              <w:top w:val="nil"/>
              <w:left w:val="nil"/>
              <w:bottom w:val="single" w:sz="4" w:space="0" w:color="auto"/>
              <w:right w:val="nil"/>
            </w:tcBorders>
            <w:shd w:val="clear" w:color="auto" w:fill="auto"/>
            <w:noWrap/>
            <w:vAlign w:val="bottom"/>
            <w:hideMark/>
          </w:tcPr>
          <w:p w14:paraId="4B4D696D"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5.35</w:t>
            </w:r>
          </w:p>
        </w:tc>
        <w:tc>
          <w:tcPr>
            <w:tcW w:w="1084" w:type="dxa"/>
            <w:tcBorders>
              <w:top w:val="nil"/>
              <w:left w:val="nil"/>
              <w:bottom w:val="single" w:sz="4" w:space="0" w:color="auto"/>
              <w:right w:val="nil"/>
            </w:tcBorders>
            <w:shd w:val="clear" w:color="auto" w:fill="auto"/>
            <w:noWrap/>
            <w:vAlign w:val="bottom"/>
            <w:hideMark/>
          </w:tcPr>
          <w:p w14:paraId="73D24765"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32.15</w:t>
            </w:r>
          </w:p>
        </w:tc>
        <w:tc>
          <w:tcPr>
            <w:tcW w:w="1109" w:type="dxa"/>
            <w:tcBorders>
              <w:top w:val="nil"/>
              <w:left w:val="nil"/>
              <w:bottom w:val="single" w:sz="4" w:space="0" w:color="auto"/>
              <w:right w:val="nil"/>
            </w:tcBorders>
            <w:shd w:val="clear" w:color="auto" w:fill="auto"/>
            <w:noWrap/>
            <w:vAlign w:val="center"/>
            <w:hideMark/>
          </w:tcPr>
          <w:p w14:paraId="6509F4DC"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-61 %  </w:t>
            </w:r>
          </w:p>
        </w:tc>
        <w:tc>
          <w:tcPr>
            <w:tcW w:w="1003" w:type="dxa"/>
            <w:tcBorders>
              <w:top w:val="nil"/>
              <w:left w:val="single" w:sz="4" w:space="0" w:color="auto"/>
              <w:bottom w:val="single" w:sz="4" w:space="0" w:color="auto"/>
              <w:right w:val="nil"/>
            </w:tcBorders>
            <w:shd w:val="clear" w:color="auto" w:fill="auto"/>
            <w:noWrap/>
            <w:vAlign w:val="bottom"/>
            <w:hideMark/>
          </w:tcPr>
          <w:p w14:paraId="4A038FD6"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36.82</w:t>
            </w:r>
          </w:p>
        </w:tc>
        <w:tc>
          <w:tcPr>
            <w:tcW w:w="880" w:type="dxa"/>
            <w:tcBorders>
              <w:top w:val="nil"/>
              <w:left w:val="nil"/>
              <w:bottom w:val="single" w:sz="4" w:space="0" w:color="auto"/>
              <w:right w:val="single" w:sz="4" w:space="0" w:color="auto"/>
            </w:tcBorders>
            <w:shd w:val="clear" w:color="auto" w:fill="auto"/>
            <w:noWrap/>
            <w:vAlign w:val="center"/>
            <w:hideMark/>
          </w:tcPr>
          <w:p w14:paraId="05B1DE83"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-55 %  </w:t>
            </w:r>
          </w:p>
        </w:tc>
        <w:tc>
          <w:tcPr>
            <w:tcW w:w="1003" w:type="dxa"/>
            <w:tcBorders>
              <w:top w:val="nil"/>
              <w:left w:val="nil"/>
              <w:bottom w:val="single" w:sz="4" w:space="0" w:color="auto"/>
              <w:right w:val="nil"/>
            </w:tcBorders>
            <w:shd w:val="clear" w:color="auto" w:fill="auto"/>
            <w:noWrap/>
            <w:vAlign w:val="bottom"/>
            <w:hideMark/>
          </w:tcPr>
          <w:p w14:paraId="13B1EBEF"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26.36</w:t>
            </w:r>
          </w:p>
        </w:tc>
        <w:tc>
          <w:tcPr>
            <w:tcW w:w="1026" w:type="dxa"/>
            <w:tcBorders>
              <w:top w:val="nil"/>
              <w:left w:val="nil"/>
              <w:bottom w:val="single" w:sz="4" w:space="0" w:color="auto"/>
              <w:right w:val="nil"/>
            </w:tcBorders>
            <w:shd w:val="clear" w:color="auto" w:fill="auto"/>
            <w:noWrap/>
            <w:vAlign w:val="center"/>
            <w:hideMark/>
          </w:tcPr>
          <w:p w14:paraId="2BB4E6F9"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-67 %  </w:t>
            </w:r>
          </w:p>
        </w:tc>
      </w:tr>
      <w:tr w:rsidR="00C86226" w:rsidRPr="00C86226" w14:paraId="6D690F9C"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659821F9"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Ústí n. Labem</w:t>
            </w:r>
          </w:p>
        </w:tc>
        <w:tc>
          <w:tcPr>
            <w:tcW w:w="1015" w:type="dxa"/>
            <w:tcBorders>
              <w:top w:val="nil"/>
              <w:left w:val="nil"/>
              <w:bottom w:val="single" w:sz="4" w:space="0" w:color="auto"/>
              <w:right w:val="nil"/>
            </w:tcBorders>
            <w:shd w:val="clear" w:color="auto" w:fill="auto"/>
            <w:noWrap/>
            <w:vAlign w:val="bottom"/>
            <w:hideMark/>
          </w:tcPr>
          <w:p w14:paraId="185C2E0B"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4.53</w:t>
            </w:r>
          </w:p>
        </w:tc>
        <w:tc>
          <w:tcPr>
            <w:tcW w:w="1084" w:type="dxa"/>
            <w:tcBorders>
              <w:top w:val="nil"/>
              <w:left w:val="nil"/>
              <w:bottom w:val="single" w:sz="4" w:space="0" w:color="auto"/>
              <w:right w:val="nil"/>
            </w:tcBorders>
            <w:shd w:val="clear" w:color="auto" w:fill="auto"/>
            <w:noWrap/>
            <w:vAlign w:val="bottom"/>
            <w:hideMark/>
          </w:tcPr>
          <w:p w14:paraId="235F14A5"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73.73</w:t>
            </w:r>
          </w:p>
        </w:tc>
        <w:tc>
          <w:tcPr>
            <w:tcW w:w="1109" w:type="dxa"/>
            <w:tcBorders>
              <w:top w:val="nil"/>
              <w:left w:val="nil"/>
              <w:bottom w:val="single" w:sz="4" w:space="0" w:color="auto"/>
              <w:right w:val="nil"/>
            </w:tcBorders>
            <w:shd w:val="clear" w:color="auto" w:fill="auto"/>
            <w:noWrap/>
            <w:vAlign w:val="center"/>
            <w:hideMark/>
          </w:tcPr>
          <w:p w14:paraId="11A7BDB5"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-61 %  </w:t>
            </w:r>
          </w:p>
        </w:tc>
        <w:tc>
          <w:tcPr>
            <w:tcW w:w="1003" w:type="dxa"/>
            <w:tcBorders>
              <w:top w:val="nil"/>
              <w:left w:val="single" w:sz="4" w:space="0" w:color="auto"/>
              <w:bottom w:val="single" w:sz="4" w:space="0" w:color="auto"/>
              <w:right w:val="nil"/>
            </w:tcBorders>
            <w:shd w:val="clear" w:color="auto" w:fill="auto"/>
            <w:noWrap/>
            <w:vAlign w:val="bottom"/>
            <w:hideMark/>
          </w:tcPr>
          <w:p w14:paraId="6B259255"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82.34</w:t>
            </w:r>
          </w:p>
        </w:tc>
        <w:tc>
          <w:tcPr>
            <w:tcW w:w="880" w:type="dxa"/>
            <w:tcBorders>
              <w:top w:val="nil"/>
              <w:left w:val="nil"/>
              <w:bottom w:val="single" w:sz="4" w:space="0" w:color="auto"/>
              <w:right w:val="single" w:sz="4" w:space="0" w:color="auto"/>
            </w:tcBorders>
            <w:shd w:val="clear" w:color="auto" w:fill="auto"/>
            <w:noWrap/>
            <w:vAlign w:val="center"/>
            <w:hideMark/>
          </w:tcPr>
          <w:p w14:paraId="1B6BAEF5"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-17 %  </w:t>
            </w:r>
          </w:p>
        </w:tc>
        <w:tc>
          <w:tcPr>
            <w:tcW w:w="1003" w:type="dxa"/>
            <w:tcBorders>
              <w:top w:val="nil"/>
              <w:left w:val="nil"/>
              <w:bottom w:val="single" w:sz="4" w:space="0" w:color="auto"/>
              <w:right w:val="nil"/>
            </w:tcBorders>
            <w:shd w:val="clear" w:color="auto" w:fill="auto"/>
            <w:noWrap/>
            <w:vAlign w:val="bottom"/>
            <w:hideMark/>
          </w:tcPr>
          <w:p w14:paraId="0D23AC06"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139.96</w:t>
            </w:r>
          </w:p>
        </w:tc>
        <w:tc>
          <w:tcPr>
            <w:tcW w:w="1026" w:type="dxa"/>
            <w:tcBorders>
              <w:top w:val="nil"/>
              <w:left w:val="nil"/>
              <w:bottom w:val="single" w:sz="4" w:space="0" w:color="auto"/>
              <w:right w:val="nil"/>
            </w:tcBorders>
            <w:shd w:val="clear" w:color="auto" w:fill="auto"/>
            <w:noWrap/>
            <w:vAlign w:val="center"/>
            <w:hideMark/>
          </w:tcPr>
          <w:p w14:paraId="2C8B0C71"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-27 %  </w:t>
            </w:r>
          </w:p>
        </w:tc>
      </w:tr>
      <w:tr w:rsidR="00C86226" w:rsidRPr="00C86226" w14:paraId="071A5314"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7288B53A"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Hr. Králové</w:t>
            </w:r>
          </w:p>
        </w:tc>
        <w:tc>
          <w:tcPr>
            <w:tcW w:w="1015" w:type="dxa"/>
            <w:tcBorders>
              <w:top w:val="nil"/>
              <w:left w:val="nil"/>
              <w:bottom w:val="single" w:sz="4" w:space="0" w:color="auto"/>
              <w:right w:val="nil"/>
            </w:tcBorders>
            <w:shd w:val="clear" w:color="auto" w:fill="auto"/>
            <w:noWrap/>
            <w:vAlign w:val="bottom"/>
            <w:hideMark/>
          </w:tcPr>
          <w:p w14:paraId="019D5F1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2.2</w:t>
            </w:r>
          </w:p>
        </w:tc>
        <w:tc>
          <w:tcPr>
            <w:tcW w:w="1084" w:type="dxa"/>
            <w:tcBorders>
              <w:top w:val="nil"/>
              <w:left w:val="nil"/>
              <w:bottom w:val="single" w:sz="4" w:space="0" w:color="auto"/>
              <w:right w:val="nil"/>
            </w:tcBorders>
            <w:shd w:val="clear" w:color="auto" w:fill="auto"/>
            <w:noWrap/>
            <w:vAlign w:val="bottom"/>
            <w:hideMark/>
          </w:tcPr>
          <w:p w14:paraId="0D55DA4A"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133.18</w:t>
            </w:r>
          </w:p>
        </w:tc>
        <w:tc>
          <w:tcPr>
            <w:tcW w:w="1109" w:type="dxa"/>
            <w:tcBorders>
              <w:top w:val="nil"/>
              <w:left w:val="nil"/>
              <w:bottom w:val="single" w:sz="4" w:space="0" w:color="auto"/>
              <w:right w:val="nil"/>
            </w:tcBorders>
            <w:shd w:val="clear" w:color="auto" w:fill="auto"/>
            <w:noWrap/>
            <w:vAlign w:val="center"/>
            <w:hideMark/>
          </w:tcPr>
          <w:p w14:paraId="31A3EFB3"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+31 %  </w:t>
            </w:r>
          </w:p>
        </w:tc>
        <w:tc>
          <w:tcPr>
            <w:tcW w:w="1003" w:type="dxa"/>
            <w:tcBorders>
              <w:top w:val="nil"/>
              <w:left w:val="single" w:sz="4" w:space="0" w:color="auto"/>
              <w:bottom w:val="single" w:sz="4" w:space="0" w:color="auto"/>
              <w:right w:val="nil"/>
            </w:tcBorders>
            <w:shd w:val="clear" w:color="auto" w:fill="auto"/>
            <w:noWrap/>
            <w:vAlign w:val="bottom"/>
            <w:hideMark/>
          </w:tcPr>
          <w:p w14:paraId="792F6873"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112.73</w:t>
            </w:r>
          </w:p>
        </w:tc>
        <w:tc>
          <w:tcPr>
            <w:tcW w:w="880" w:type="dxa"/>
            <w:tcBorders>
              <w:top w:val="nil"/>
              <w:left w:val="nil"/>
              <w:bottom w:val="single" w:sz="4" w:space="0" w:color="auto"/>
              <w:right w:val="single" w:sz="4" w:space="0" w:color="auto"/>
            </w:tcBorders>
            <w:shd w:val="clear" w:color="auto" w:fill="auto"/>
            <w:noWrap/>
            <w:vAlign w:val="center"/>
            <w:hideMark/>
          </w:tcPr>
          <w:p w14:paraId="2AC6F1BC"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+9 %  </w:t>
            </w:r>
          </w:p>
        </w:tc>
        <w:tc>
          <w:tcPr>
            <w:tcW w:w="1003" w:type="dxa"/>
            <w:tcBorders>
              <w:top w:val="nil"/>
              <w:left w:val="nil"/>
              <w:bottom w:val="single" w:sz="4" w:space="0" w:color="auto"/>
              <w:right w:val="nil"/>
            </w:tcBorders>
            <w:shd w:val="clear" w:color="auto" w:fill="auto"/>
            <w:noWrap/>
            <w:vAlign w:val="bottom"/>
            <w:hideMark/>
          </w:tcPr>
          <w:p w14:paraId="2D349563"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124.55</w:t>
            </w:r>
          </w:p>
        </w:tc>
        <w:tc>
          <w:tcPr>
            <w:tcW w:w="1026" w:type="dxa"/>
            <w:tcBorders>
              <w:top w:val="nil"/>
              <w:left w:val="nil"/>
              <w:bottom w:val="single" w:sz="4" w:space="0" w:color="auto"/>
              <w:right w:val="nil"/>
            </w:tcBorders>
            <w:shd w:val="clear" w:color="auto" w:fill="auto"/>
            <w:noWrap/>
            <w:vAlign w:val="center"/>
            <w:hideMark/>
          </w:tcPr>
          <w:p w14:paraId="5553B382"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+58 %  </w:t>
            </w:r>
          </w:p>
        </w:tc>
      </w:tr>
      <w:tr w:rsidR="00C86226" w:rsidRPr="00C86226" w14:paraId="481A87ED"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17F1D95F"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Brno</w:t>
            </w:r>
          </w:p>
        </w:tc>
        <w:tc>
          <w:tcPr>
            <w:tcW w:w="1015" w:type="dxa"/>
            <w:tcBorders>
              <w:top w:val="nil"/>
              <w:left w:val="nil"/>
              <w:bottom w:val="single" w:sz="4" w:space="0" w:color="auto"/>
              <w:right w:val="nil"/>
            </w:tcBorders>
            <w:shd w:val="clear" w:color="auto" w:fill="auto"/>
            <w:noWrap/>
            <w:vAlign w:val="bottom"/>
            <w:hideMark/>
          </w:tcPr>
          <w:p w14:paraId="342CC05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5</w:t>
            </w:r>
          </w:p>
        </w:tc>
        <w:tc>
          <w:tcPr>
            <w:tcW w:w="1084" w:type="dxa"/>
            <w:tcBorders>
              <w:top w:val="nil"/>
              <w:left w:val="nil"/>
              <w:bottom w:val="single" w:sz="4" w:space="0" w:color="auto"/>
              <w:right w:val="nil"/>
            </w:tcBorders>
            <w:shd w:val="clear" w:color="auto" w:fill="auto"/>
            <w:noWrap/>
            <w:vAlign w:val="bottom"/>
            <w:hideMark/>
          </w:tcPr>
          <w:p w14:paraId="33DBB79A"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118.00</w:t>
            </w:r>
          </w:p>
        </w:tc>
        <w:tc>
          <w:tcPr>
            <w:tcW w:w="1109" w:type="dxa"/>
            <w:tcBorders>
              <w:top w:val="nil"/>
              <w:left w:val="nil"/>
              <w:bottom w:val="single" w:sz="4" w:space="0" w:color="auto"/>
              <w:right w:val="nil"/>
            </w:tcBorders>
            <w:shd w:val="clear" w:color="auto" w:fill="auto"/>
            <w:noWrap/>
            <w:vAlign w:val="center"/>
            <w:hideMark/>
          </w:tcPr>
          <w:p w14:paraId="0F1F5B4D"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+42 %  </w:t>
            </w:r>
          </w:p>
        </w:tc>
        <w:tc>
          <w:tcPr>
            <w:tcW w:w="1003" w:type="dxa"/>
            <w:tcBorders>
              <w:top w:val="nil"/>
              <w:left w:val="single" w:sz="4" w:space="0" w:color="auto"/>
              <w:bottom w:val="single" w:sz="4" w:space="0" w:color="auto"/>
              <w:right w:val="nil"/>
            </w:tcBorders>
            <w:shd w:val="clear" w:color="auto" w:fill="auto"/>
            <w:noWrap/>
            <w:vAlign w:val="bottom"/>
            <w:hideMark/>
          </w:tcPr>
          <w:p w14:paraId="40FE4FF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116.20</w:t>
            </w:r>
          </w:p>
        </w:tc>
        <w:tc>
          <w:tcPr>
            <w:tcW w:w="880" w:type="dxa"/>
            <w:tcBorders>
              <w:top w:val="nil"/>
              <w:left w:val="nil"/>
              <w:bottom w:val="single" w:sz="4" w:space="0" w:color="auto"/>
              <w:right w:val="single" w:sz="4" w:space="0" w:color="auto"/>
            </w:tcBorders>
            <w:shd w:val="clear" w:color="auto" w:fill="auto"/>
            <w:noWrap/>
            <w:vAlign w:val="center"/>
            <w:hideMark/>
          </w:tcPr>
          <w:p w14:paraId="774EC35E"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+13 %  </w:t>
            </w:r>
          </w:p>
        </w:tc>
        <w:tc>
          <w:tcPr>
            <w:tcW w:w="1003" w:type="dxa"/>
            <w:tcBorders>
              <w:top w:val="nil"/>
              <w:left w:val="nil"/>
              <w:bottom w:val="single" w:sz="4" w:space="0" w:color="auto"/>
              <w:right w:val="nil"/>
            </w:tcBorders>
            <w:shd w:val="clear" w:color="auto" w:fill="auto"/>
            <w:noWrap/>
            <w:vAlign w:val="bottom"/>
            <w:hideMark/>
          </w:tcPr>
          <w:p w14:paraId="23A9EB0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144.20</w:t>
            </w:r>
          </w:p>
        </w:tc>
        <w:tc>
          <w:tcPr>
            <w:tcW w:w="1026" w:type="dxa"/>
            <w:tcBorders>
              <w:top w:val="nil"/>
              <w:left w:val="nil"/>
              <w:bottom w:val="single" w:sz="4" w:space="0" w:color="auto"/>
              <w:right w:val="nil"/>
            </w:tcBorders>
            <w:shd w:val="clear" w:color="auto" w:fill="auto"/>
            <w:noWrap/>
            <w:vAlign w:val="center"/>
            <w:hideMark/>
          </w:tcPr>
          <w:p w14:paraId="48AA4B60"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+22 %  </w:t>
            </w:r>
          </w:p>
        </w:tc>
      </w:tr>
      <w:tr w:rsidR="00C86226" w:rsidRPr="00C86226" w14:paraId="4A919686" w14:textId="77777777" w:rsidTr="00C86226">
        <w:trPr>
          <w:trHeight w:val="330"/>
        </w:trPr>
        <w:tc>
          <w:tcPr>
            <w:tcW w:w="2020" w:type="dxa"/>
            <w:tcBorders>
              <w:top w:val="nil"/>
              <w:left w:val="nil"/>
              <w:bottom w:val="double" w:sz="6" w:space="0" w:color="auto"/>
              <w:right w:val="nil"/>
            </w:tcBorders>
            <w:shd w:val="clear" w:color="auto" w:fill="auto"/>
            <w:noWrap/>
            <w:vAlign w:val="bottom"/>
            <w:hideMark/>
          </w:tcPr>
          <w:p w14:paraId="3CDD7813"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Ostrava</w:t>
            </w:r>
          </w:p>
        </w:tc>
        <w:tc>
          <w:tcPr>
            <w:tcW w:w="1015" w:type="dxa"/>
            <w:tcBorders>
              <w:top w:val="nil"/>
              <w:left w:val="nil"/>
              <w:bottom w:val="double" w:sz="6" w:space="0" w:color="auto"/>
              <w:right w:val="nil"/>
            </w:tcBorders>
            <w:shd w:val="clear" w:color="auto" w:fill="auto"/>
            <w:noWrap/>
            <w:vAlign w:val="bottom"/>
            <w:hideMark/>
          </w:tcPr>
          <w:p w14:paraId="175436BD"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8.5</w:t>
            </w:r>
          </w:p>
        </w:tc>
        <w:tc>
          <w:tcPr>
            <w:tcW w:w="1084" w:type="dxa"/>
            <w:tcBorders>
              <w:top w:val="nil"/>
              <w:left w:val="nil"/>
              <w:bottom w:val="double" w:sz="6" w:space="0" w:color="auto"/>
              <w:right w:val="nil"/>
            </w:tcBorders>
            <w:shd w:val="clear" w:color="auto" w:fill="auto"/>
            <w:noWrap/>
            <w:vAlign w:val="bottom"/>
            <w:hideMark/>
          </w:tcPr>
          <w:p w14:paraId="14C4AF3A"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64.35</w:t>
            </w:r>
          </w:p>
        </w:tc>
        <w:tc>
          <w:tcPr>
            <w:tcW w:w="1109" w:type="dxa"/>
            <w:tcBorders>
              <w:top w:val="nil"/>
              <w:left w:val="nil"/>
              <w:bottom w:val="double" w:sz="6" w:space="0" w:color="auto"/>
              <w:right w:val="nil"/>
            </w:tcBorders>
            <w:shd w:val="clear" w:color="auto" w:fill="auto"/>
            <w:noWrap/>
            <w:vAlign w:val="center"/>
            <w:hideMark/>
          </w:tcPr>
          <w:p w14:paraId="5883113F"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-28 %  </w:t>
            </w:r>
          </w:p>
        </w:tc>
        <w:tc>
          <w:tcPr>
            <w:tcW w:w="1003" w:type="dxa"/>
            <w:tcBorders>
              <w:top w:val="nil"/>
              <w:left w:val="single" w:sz="4" w:space="0" w:color="auto"/>
              <w:bottom w:val="double" w:sz="6" w:space="0" w:color="auto"/>
              <w:right w:val="nil"/>
            </w:tcBorders>
            <w:shd w:val="clear" w:color="auto" w:fill="auto"/>
            <w:noWrap/>
            <w:vAlign w:val="bottom"/>
            <w:hideMark/>
          </w:tcPr>
          <w:p w14:paraId="37397B2C"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90.71</w:t>
            </w:r>
          </w:p>
        </w:tc>
        <w:tc>
          <w:tcPr>
            <w:tcW w:w="880" w:type="dxa"/>
            <w:tcBorders>
              <w:top w:val="nil"/>
              <w:left w:val="nil"/>
              <w:bottom w:val="double" w:sz="6" w:space="0" w:color="auto"/>
              <w:right w:val="single" w:sz="4" w:space="0" w:color="auto"/>
            </w:tcBorders>
            <w:shd w:val="clear" w:color="auto" w:fill="auto"/>
            <w:noWrap/>
            <w:vAlign w:val="center"/>
            <w:hideMark/>
          </w:tcPr>
          <w:p w14:paraId="3337264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+37 %  </w:t>
            </w:r>
          </w:p>
        </w:tc>
        <w:tc>
          <w:tcPr>
            <w:tcW w:w="1003" w:type="dxa"/>
            <w:tcBorders>
              <w:top w:val="nil"/>
              <w:left w:val="nil"/>
              <w:bottom w:val="double" w:sz="6" w:space="0" w:color="auto"/>
              <w:right w:val="nil"/>
            </w:tcBorders>
            <w:shd w:val="clear" w:color="auto" w:fill="auto"/>
            <w:noWrap/>
            <w:vAlign w:val="bottom"/>
            <w:hideMark/>
          </w:tcPr>
          <w:p w14:paraId="65C4E6E2"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66.71</w:t>
            </w:r>
          </w:p>
        </w:tc>
        <w:tc>
          <w:tcPr>
            <w:tcW w:w="1026" w:type="dxa"/>
            <w:tcBorders>
              <w:top w:val="nil"/>
              <w:left w:val="nil"/>
              <w:bottom w:val="double" w:sz="6" w:space="0" w:color="auto"/>
              <w:right w:val="nil"/>
            </w:tcBorders>
            <w:shd w:val="clear" w:color="auto" w:fill="auto"/>
            <w:noWrap/>
            <w:vAlign w:val="center"/>
            <w:hideMark/>
          </w:tcPr>
          <w:p w14:paraId="4DDA4B8F"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-11 %  </w:t>
            </w:r>
          </w:p>
        </w:tc>
      </w:tr>
      <w:tr w:rsidR="00C86226" w:rsidRPr="00C86226" w14:paraId="45B0D125" w14:textId="77777777" w:rsidTr="00C86226">
        <w:trPr>
          <w:trHeight w:val="345"/>
        </w:trPr>
        <w:tc>
          <w:tcPr>
            <w:tcW w:w="2020" w:type="dxa"/>
            <w:tcBorders>
              <w:top w:val="nil"/>
              <w:left w:val="nil"/>
              <w:bottom w:val="double" w:sz="6" w:space="0" w:color="auto"/>
              <w:right w:val="nil"/>
            </w:tcBorders>
            <w:shd w:val="clear" w:color="auto" w:fill="auto"/>
            <w:noWrap/>
            <w:vAlign w:val="bottom"/>
            <w:hideMark/>
          </w:tcPr>
          <w:p w14:paraId="4E4869E5" w14:textId="77777777" w:rsidR="00C86226" w:rsidRPr="00C86226" w:rsidRDefault="00C86226" w:rsidP="00C86226">
            <w:pPr>
              <w:spacing w:line="240" w:lineRule="auto"/>
              <w:jc w:val="left"/>
              <w:rPr>
                <w:rFonts w:eastAsia="Times New Roman"/>
                <w:b/>
                <w:bCs/>
                <w:color w:val="000000"/>
                <w:szCs w:val="24"/>
                <w:lang w:eastAsia="cs-CZ"/>
              </w:rPr>
            </w:pPr>
            <w:r w:rsidRPr="00C86226">
              <w:rPr>
                <w:rFonts w:eastAsia="Times New Roman"/>
                <w:b/>
                <w:bCs/>
                <w:color w:val="000000"/>
                <w:szCs w:val="24"/>
                <w:lang w:eastAsia="cs-CZ"/>
              </w:rPr>
              <w:t>Celkem ČR</w:t>
            </w:r>
          </w:p>
        </w:tc>
        <w:tc>
          <w:tcPr>
            <w:tcW w:w="1015" w:type="dxa"/>
            <w:tcBorders>
              <w:top w:val="nil"/>
              <w:left w:val="nil"/>
              <w:bottom w:val="double" w:sz="6" w:space="0" w:color="auto"/>
              <w:right w:val="nil"/>
            </w:tcBorders>
            <w:shd w:val="clear" w:color="auto" w:fill="auto"/>
            <w:noWrap/>
            <w:vAlign w:val="bottom"/>
            <w:hideMark/>
          </w:tcPr>
          <w:p w14:paraId="4B136084"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38.68</w:t>
            </w:r>
          </w:p>
        </w:tc>
        <w:tc>
          <w:tcPr>
            <w:tcW w:w="1084" w:type="dxa"/>
            <w:tcBorders>
              <w:top w:val="nil"/>
              <w:left w:val="nil"/>
              <w:bottom w:val="double" w:sz="6" w:space="0" w:color="auto"/>
              <w:right w:val="nil"/>
            </w:tcBorders>
            <w:shd w:val="clear" w:color="auto" w:fill="auto"/>
            <w:noWrap/>
            <w:vAlign w:val="bottom"/>
            <w:hideMark/>
          </w:tcPr>
          <w:p w14:paraId="416A7820"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111.40</w:t>
            </w:r>
          </w:p>
        </w:tc>
        <w:tc>
          <w:tcPr>
            <w:tcW w:w="1109" w:type="dxa"/>
            <w:tcBorders>
              <w:top w:val="nil"/>
              <w:left w:val="nil"/>
              <w:bottom w:val="double" w:sz="6" w:space="0" w:color="auto"/>
              <w:right w:val="nil"/>
            </w:tcBorders>
            <w:shd w:val="clear" w:color="auto" w:fill="auto"/>
            <w:noWrap/>
            <w:vAlign w:val="center"/>
            <w:hideMark/>
          </w:tcPr>
          <w:p w14:paraId="2C8F4B1A" w14:textId="77777777" w:rsidR="00C86226" w:rsidRPr="00C86226" w:rsidRDefault="00C86226" w:rsidP="00C86226">
            <w:pPr>
              <w:spacing w:line="240" w:lineRule="auto"/>
              <w:jc w:val="center"/>
              <w:rPr>
                <w:rFonts w:eastAsia="Times New Roman"/>
                <w:b/>
                <w:bCs/>
                <w:color w:val="000000"/>
                <w:sz w:val="20"/>
                <w:szCs w:val="20"/>
                <w:lang w:eastAsia="cs-CZ"/>
              </w:rPr>
            </w:pPr>
            <w:r w:rsidRPr="00C86226">
              <w:rPr>
                <w:rFonts w:eastAsia="Times New Roman"/>
                <w:b/>
                <w:bCs/>
                <w:color w:val="000000"/>
                <w:sz w:val="20"/>
                <w:szCs w:val="20"/>
                <w:lang w:eastAsia="cs-CZ"/>
              </w:rPr>
              <w:t xml:space="preserve">-3 %  </w:t>
            </w:r>
          </w:p>
        </w:tc>
        <w:tc>
          <w:tcPr>
            <w:tcW w:w="1003" w:type="dxa"/>
            <w:tcBorders>
              <w:top w:val="nil"/>
              <w:left w:val="single" w:sz="4" w:space="0" w:color="auto"/>
              <w:bottom w:val="double" w:sz="6" w:space="0" w:color="auto"/>
              <w:right w:val="nil"/>
            </w:tcBorders>
            <w:shd w:val="clear" w:color="auto" w:fill="auto"/>
            <w:noWrap/>
            <w:vAlign w:val="bottom"/>
            <w:hideMark/>
          </w:tcPr>
          <w:p w14:paraId="1040F85E"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100.72</w:t>
            </w:r>
          </w:p>
        </w:tc>
        <w:tc>
          <w:tcPr>
            <w:tcW w:w="880" w:type="dxa"/>
            <w:tcBorders>
              <w:top w:val="nil"/>
              <w:left w:val="nil"/>
              <w:bottom w:val="double" w:sz="6" w:space="0" w:color="auto"/>
              <w:right w:val="single" w:sz="4" w:space="0" w:color="auto"/>
            </w:tcBorders>
            <w:shd w:val="clear" w:color="auto" w:fill="auto"/>
            <w:noWrap/>
            <w:vAlign w:val="center"/>
            <w:hideMark/>
          </w:tcPr>
          <w:p w14:paraId="2784F269" w14:textId="77777777" w:rsidR="00C86226" w:rsidRPr="00C86226" w:rsidRDefault="00C86226" w:rsidP="00C86226">
            <w:pPr>
              <w:spacing w:line="240" w:lineRule="auto"/>
              <w:jc w:val="center"/>
              <w:rPr>
                <w:rFonts w:eastAsia="Times New Roman"/>
                <w:b/>
                <w:bCs/>
                <w:color w:val="000000"/>
                <w:sz w:val="20"/>
                <w:szCs w:val="20"/>
                <w:lang w:eastAsia="cs-CZ"/>
              </w:rPr>
            </w:pPr>
            <w:r w:rsidRPr="00C86226">
              <w:rPr>
                <w:rFonts w:eastAsia="Times New Roman"/>
                <w:b/>
                <w:bCs/>
                <w:color w:val="000000"/>
                <w:sz w:val="20"/>
                <w:szCs w:val="20"/>
                <w:lang w:eastAsia="cs-CZ"/>
              </w:rPr>
              <w:t xml:space="preserve">+1 %  </w:t>
            </w:r>
          </w:p>
        </w:tc>
        <w:tc>
          <w:tcPr>
            <w:tcW w:w="1003" w:type="dxa"/>
            <w:tcBorders>
              <w:top w:val="nil"/>
              <w:left w:val="nil"/>
              <w:bottom w:val="double" w:sz="6" w:space="0" w:color="auto"/>
              <w:right w:val="nil"/>
            </w:tcBorders>
            <w:shd w:val="clear" w:color="auto" w:fill="auto"/>
            <w:noWrap/>
            <w:vAlign w:val="bottom"/>
            <w:hideMark/>
          </w:tcPr>
          <w:p w14:paraId="32546BD4"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126.24</w:t>
            </w:r>
          </w:p>
        </w:tc>
        <w:tc>
          <w:tcPr>
            <w:tcW w:w="1026" w:type="dxa"/>
            <w:tcBorders>
              <w:top w:val="nil"/>
              <w:left w:val="nil"/>
              <w:bottom w:val="double" w:sz="6" w:space="0" w:color="auto"/>
              <w:right w:val="nil"/>
            </w:tcBorders>
            <w:shd w:val="clear" w:color="auto" w:fill="auto"/>
            <w:noWrap/>
            <w:vAlign w:val="center"/>
            <w:hideMark/>
          </w:tcPr>
          <w:p w14:paraId="6BB97B01" w14:textId="77777777" w:rsidR="00C86226" w:rsidRPr="00C86226" w:rsidRDefault="00C86226" w:rsidP="00C86226">
            <w:pPr>
              <w:spacing w:line="240" w:lineRule="auto"/>
              <w:jc w:val="center"/>
              <w:rPr>
                <w:rFonts w:eastAsia="Times New Roman"/>
                <w:b/>
                <w:bCs/>
                <w:color w:val="000000"/>
                <w:sz w:val="20"/>
                <w:szCs w:val="20"/>
                <w:lang w:eastAsia="cs-CZ"/>
              </w:rPr>
            </w:pPr>
            <w:r w:rsidRPr="00C86226">
              <w:rPr>
                <w:rFonts w:eastAsia="Times New Roman"/>
                <w:b/>
                <w:bCs/>
                <w:color w:val="000000"/>
                <w:sz w:val="20"/>
                <w:szCs w:val="20"/>
                <w:lang w:eastAsia="cs-CZ"/>
              </w:rPr>
              <w:t xml:space="preserve">+5 %  </w:t>
            </w:r>
          </w:p>
        </w:tc>
      </w:tr>
      <w:tr w:rsidR="00C86226" w:rsidRPr="00C86226" w14:paraId="1397946E" w14:textId="77777777" w:rsidTr="00C86226">
        <w:trPr>
          <w:trHeight w:val="330"/>
        </w:trPr>
        <w:tc>
          <w:tcPr>
            <w:tcW w:w="2020" w:type="dxa"/>
            <w:tcBorders>
              <w:top w:val="nil"/>
              <w:left w:val="nil"/>
              <w:bottom w:val="nil"/>
              <w:right w:val="nil"/>
            </w:tcBorders>
            <w:shd w:val="clear" w:color="auto" w:fill="auto"/>
            <w:noWrap/>
            <w:vAlign w:val="bottom"/>
            <w:hideMark/>
          </w:tcPr>
          <w:p w14:paraId="2B5454FB" w14:textId="77777777" w:rsidR="00C86226" w:rsidRPr="00C86226" w:rsidRDefault="00C86226" w:rsidP="00C86226">
            <w:pPr>
              <w:spacing w:line="240" w:lineRule="auto"/>
              <w:jc w:val="center"/>
              <w:rPr>
                <w:rFonts w:eastAsia="Times New Roman"/>
                <w:b/>
                <w:bCs/>
                <w:color w:val="000000"/>
                <w:sz w:val="20"/>
                <w:szCs w:val="20"/>
                <w:lang w:eastAsia="cs-CZ"/>
              </w:rPr>
            </w:pPr>
          </w:p>
        </w:tc>
        <w:tc>
          <w:tcPr>
            <w:tcW w:w="1015" w:type="dxa"/>
            <w:tcBorders>
              <w:top w:val="nil"/>
              <w:left w:val="nil"/>
              <w:bottom w:val="nil"/>
              <w:right w:val="nil"/>
            </w:tcBorders>
            <w:shd w:val="clear" w:color="auto" w:fill="auto"/>
            <w:noWrap/>
            <w:vAlign w:val="bottom"/>
            <w:hideMark/>
          </w:tcPr>
          <w:p w14:paraId="5D4CE12C"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084" w:type="dxa"/>
            <w:tcBorders>
              <w:top w:val="nil"/>
              <w:left w:val="nil"/>
              <w:bottom w:val="nil"/>
              <w:right w:val="nil"/>
            </w:tcBorders>
            <w:shd w:val="clear" w:color="auto" w:fill="auto"/>
            <w:noWrap/>
            <w:vAlign w:val="bottom"/>
            <w:hideMark/>
          </w:tcPr>
          <w:p w14:paraId="69673377"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109" w:type="dxa"/>
            <w:tcBorders>
              <w:top w:val="nil"/>
              <w:left w:val="nil"/>
              <w:bottom w:val="nil"/>
              <w:right w:val="nil"/>
            </w:tcBorders>
            <w:shd w:val="clear" w:color="auto" w:fill="auto"/>
            <w:noWrap/>
            <w:vAlign w:val="bottom"/>
            <w:hideMark/>
          </w:tcPr>
          <w:p w14:paraId="372E5E4F"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003" w:type="dxa"/>
            <w:tcBorders>
              <w:top w:val="nil"/>
              <w:left w:val="nil"/>
              <w:bottom w:val="nil"/>
              <w:right w:val="nil"/>
            </w:tcBorders>
            <w:shd w:val="clear" w:color="auto" w:fill="auto"/>
            <w:noWrap/>
            <w:vAlign w:val="bottom"/>
            <w:hideMark/>
          </w:tcPr>
          <w:p w14:paraId="08E4BCC4"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880" w:type="dxa"/>
            <w:tcBorders>
              <w:top w:val="nil"/>
              <w:left w:val="nil"/>
              <w:bottom w:val="nil"/>
              <w:right w:val="nil"/>
            </w:tcBorders>
            <w:shd w:val="clear" w:color="auto" w:fill="auto"/>
            <w:noWrap/>
            <w:vAlign w:val="bottom"/>
            <w:hideMark/>
          </w:tcPr>
          <w:p w14:paraId="4A2A6A4B"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003" w:type="dxa"/>
            <w:tcBorders>
              <w:top w:val="nil"/>
              <w:left w:val="nil"/>
              <w:bottom w:val="nil"/>
              <w:right w:val="nil"/>
            </w:tcBorders>
            <w:shd w:val="clear" w:color="auto" w:fill="auto"/>
            <w:noWrap/>
            <w:vAlign w:val="bottom"/>
            <w:hideMark/>
          </w:tcPr>
          <w:p w14:paraId="583C96D6"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026" w:type="dxa"/>
            <w:tcBorders>
              <w:top w:val="nil"/>
              <w:left w:val="nil"/>
              <w:bottom w:val="nil"/>
              <w:right w:val="nil"/>
            </w:tcBorders>
            <w:shd w:val="clear" w:color="auto" w:fill="auto"/>
            <w:noWrap/>
            <w:vAlign w:val="bottom"/>
            <w:hideMark/>
          </w:tcPr>
          <w:p w14:paraId="2773768C"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r>
    </w:tbl>
    <w:p w14:paraId="71991283" w14:textId="4F1E20FE" w:rsidR="00E34E51" w:rsidRPr="00033A3F" w:rsidRDefault="00E34E51" w:rsidP="00E34E51">
      <w:pPr>
        <w:pStyle w:val="OdstavecASR"/>
        <w:rPr>
          <w:color w:val="000000" w:themeColor="text1"/>
        </w:rPr>
      </w:pPr>
      <w:r w:rsidRPr="00033A3F">
        <w:rPr>
          <w:color w:val="000000" w:themeColor="text1"/>
        </w:rPr>
        <w:t xml:space="preserve">Dlouhodobě nejvíce nevyřízených věcí na soudce vykazuje MS Praha. Tento soud má také vysoké délky řízení a data naznačují, že </w:t>
      </w:r>
      <w:r w:rsidR="009B0C28" w:rsidRPr="00033A3F">
        <w:rPr>
          <w:color w:val="000000" w:themeColor="text1"/>
        </w:rPr>
        <w:t>má</w:t>
      </w:r>
      <w:r w:rsidRPr="00033A3F">
        <w:rPr>
          <w:color w:val="000000" w:themeColor="text1"/>
        </w:rPr>
        <w:t xml:space="preserve"> problémy s vyřizováním incidenčních sporů.</w:t>
      </w:r>
    </w:p>
    <w:p w14:paraId="186820C8" w14:textId="47B1EDF0" w:rsidR="00E34E51" w:rsidRPr="00033A3F" w:rsidRDefault="00E34E51" w:rsidP="00E34E51">
      <w:pPr>
        <w:pStyle w:val="OdstavecASR"/>
        <w:rPr>
          <w:color w:val="000000" w:themeColor="text1"/>
        </w:rPr>
      </w:pPr>
      <w:r w:rsidRPr="00033A3F">
        <w:rPr>
          <w:color w:val="000000" w:themeColor="text1"/>
        </w:rPr>
        <w:t xml:space="preserve">Obrovský nárůst ve vyřízených, příchozích a nevyřízených věcí </w:t>
      </w:r>
      <w:r w:rsidR="0012740D" w:rsidRPr="00033A3F">
        <w:rPr>
          <w:color w:val="000000" w:themeColor="text1"/>
        </w:rPr>
        <w:t xml:space="preserve">v roce 2024 </w:t>
      </w:r>
      <w:r w:rsidRPr="00033A3F">
        <w:rPr>
          <w:color w:val="000000" w:themeColor="text1"/>
        </w:rPr>
        <w:t>vykázal KS České Budějovice. Zde je ovšem třeba poznamenat, že počet soudců, kteří vyřizují incidenční spory, je relativně malý, a tedy i malé změny v počtu soudců ovlivní konečný přepočet. To se také stalo teď, kdy počet úvazků klesl o 0,5</w:t>
      </w:r>
      <w:r w:rsidR="0012740D" w:rsidRPr="00033A3F">
        <w:rPr>
          <w:color w:val="000000" w:themeColor="text1"/>
        </w:rPr>
        <w:t>, zatímco nápad vzrost o 87</w:t>
      </w:r>
      <w:r w:rsidR="00B3479A" w:rsidRPr="00033A3F">
        <w:rPr>
          <w:color w:val="000000" w:themeColor="text1"/>
        </w:rPr>
        <w:t xml:space="preserve"> </w:t>
      </w:r>
      <w:r w:rsidR="0012740D" w:rsidRPr="00033A3F">
        <w:rPr>
          <w:color w:val="000000" w:themeColor="text1"/>
        </w:rPr>
        <w:t>%</w:t>
      </w:r>
      <w:r w:rsidRPr="00033A3F">
        <w:rPr>
          <w:color w:val="000000" w:themeColor="text1"/>
        </w:rPr>
        <w:t>.</w:t>
      </w:r>
    </w:p>
    <w:p w14:paraId="6DBE4F6D" w14:textId="77777777" w:rsidR="00E34E51" w:rsidRPr="00033A3F" w:rsidRDefault="00E34E51" w:rsidP="00E34E51">
      <w:pPr>
        <w:pStyle w:val="OdstavecASR"/>
        <w:rPr>
          <w:color w:val="000000" w:themeColor="text1"/>
        </w:rPr>
      </w:pPr>
      <w:r w:rsidRPr="00033A3F">
        <w:rPr>
          <w:color w:val="000000" w:themeColor="text1"/>
        </w:rPr>
        <w:t>Nakonec je ještě třeba upozornit na srovnání s obchodní a civilní agendou. Počet příchozích a vyřízených věcí na soudce je u incidenčních sporů výrazně nižší, což opět ukazuje na složitost této agendy.</w:t>
      </w:r>
    </w:p>
    <w:p w14:paraId="1024CCDF" w14:textId="77777777" w:rsidR="00E34E51" w:rsidRPr="00033A3F" w:rsidRDefault="00E34E51" w:rsidP="00E34E51">
      <w:pPr>
        <w:pStyle w:val="Nadpis3"/>
        <w:numPr>
          <w:ilvl w:val="2"/>
          <w:numId w:val="1"/>
        </w:numPr>
        <w:rPr>
          <w:color w:val="000000" w:themeColor="text1"/>
        </w:rPr>
      </w:pPr>
      <w:bookmarkStart w:id="1958" w:name="_Toc106092788"/>
      <w:bookmarkStart w:id="1959" w:name="_Toc169250864"/>
      <w:bookmarkStart w:id="1960" w:name="_Toc174080900"/>
      <w:bookmarkStart w:id="1961" w:name="_Toc193531026"/>
      <w:bookmarkStart w:id="1962" w:name="_Toc193957084"/>
      <w:bookmarkStart w:id="1963" w:name="_Toc203032772"/>
      <w:r w:rsidRPr="00033A3F">
        <w:rPr>
          <w:color w:val="000000" w:themeColor="text1"/>
        </w:rPr>
        <w:t>Disposition time (dispoziční čas)</w:t>
      </w:r>
      <w:bookmarkEnd w:id="1958"/>
      <w:bookmarkEnd w:id="1959"/>
      <w:bookmarkEnd w:id="1960"/>
      <w:bookmarkEnd w:id="1961"/>
      <w:bookmarkEnd w:id="1962"/>
      <w:bookmarkEnd w:id="1963"/>
    </w:p>
    <w:p w14:paraId="6ED444DD" w14:textId="6761D17D" w:rsidR="00E34E51" w:rsidRPr="00033A3F" w:rsidRDefault="00E34E51" w:rsidP="00E34E51">
      <w:pPr>
        <w:pStyle w:val="OdstavecASR"/>
        <w:rPr>
          <w:color w:val="000000" w:themeColor="text1"/>
        </w:rPr>
      </w:pPr>
      <w:r w:rsidRPr="00033A3F">
        <w:rPr>
          <w:color w:val="000000" w:themeColor="text1"/>
        </w:rPr>
        <w:t>Disposition time a jeho výše vyplývá z údajů v podkapitole 3.8.2. Díky rostoucímu počtu vyřízených věcí a také díky úbytku nevyřízených věcí DT postupně klesal, a to především mezi roky 2015 až 2018. V roce 2020 došlo poprvé od roku 2015 k nárůstu v DT, což plyne především z nárůstu počtu nevyřízených věcí. V letech 2021 a 2022 opět došlo k poklesu, což plyne z poklesu v počtu nevyřízených věcí. V roce 2023 DT narostl poměrně výrazně. To bylo dáno jak růstem v počtu nevyřízených věcí, tak i poklesem v počtu věcí vyřízených. V roce 2024 DT opět mírně narostl kvůli růstu v počtu nevyřízených věcí. Incide</w:t>
      </w:r>
      <w:r w:rsidR="00FC40F0" w:rsidRPr="00033A3F">
        <w:rPr>
          <w:color w:val="000000" w:themeColor="text1"/>
        </w:rPr>
        <w:t>n</w:t>
      </w:r>
      <w:r w:rsidRPr="00033A3F">
        <w:rPr>
          <w:color w:val="000000" w:themeColor="text1"/>
        </w:rPr>
        <w:t>ční spory jsou v současnosti jediná agenda, kde je DT vyšší než 365.</w:t>
      </w:r>
    </w:p>
    <w:p w14:paraId="6062BD2B" w14:textId="17603284" w:rsidR="00E34E51" w:rsidRPr="00033A3F" w:rsidRDefault="00E34E51" w:rsidP="00E34E51">
      <w:pPr>
        <w:pStyle w:val="Podnadpis"/>
        <w:numPr>
          <w:ilvl w:val="0"/>
          <w:numId w:val="0"/>
        </w:numPr>
        <w:rPr>
          <w:color w:val="000000" w:themeColor="text1"/>
        </w:rPr>
      </w:pPr>
      <w:bookmarkStart w:id="1964" w:name="_Toc43841458"/>
      <w:bookmarkStart w:id="1965" w:name="_Toc75952261"/>
      <w:bookmarkStart w:id="1966" w:name="_Toc106106718"/>
      <w:bookmarkStart w:id="1967" w:name="_Toc109802042"/>
      <w:bookmarkStart w:id="1968" w:name="_Toc144104192"/>
      <w:bookmarkStart w:id="1969" w:name="_Toc169251005"/>
      <w:bookmarkStart w:id="1970" w:name="_Toc174080691"/>
      <w:bookmarkStart w:id="1971" w:name="_Toc193530845"/>
      <w:bookmarkStart w:id="1972" w:name="_Toc193634119"/>
      <w:bookmarkStart w:id="1973" w:name="_Toc203032917"/>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90</w:t>
      </w:r>
      <w:r w:rsidRPr="00033A3F">
        <w:rPr>
          <w:color w:val="000000" w:themeColor="text1"/>
        </w:rPr>
        <w:fldChar w:fldCharType="end"/>
      </w:r>
      <w:r w:rsidRPr="00033A3F">
        <w:rPr>
          <w:color w:val="000000" w:themeColor="text1"/>
        </w:rPr>
        <w:t>: KS – DT incidenčních sporů v letech 2015–20</w:t>
      </w:r>
      <w:bookmarkEnd w:id="1964"/>
      <w:r w:rsidRPr="00033A3F">
        <w:rPr>
          <w:color w:val="000000" w:themeColor="text1"/>
        </w:rPr>
        <w:t>2</w:t>
      </w:r>
      <w:bookmarkEnd w:id="1965"/>
      <w:bookmarkEnd w:id="1966"/>
      <w:bookmarkEnd w:id="1967"/>
      <w:bookmarkEnd w:id="1968"/>
      <w:bookmarkEnd w:id="1969"/>
      <w:bookmarkEnd w:id="1970"/>
      <w:r w:rsidRPr="00033A3F">
        <w:rPr>
          <w:color w:val="000000" w:themeColor="text1"/>
        </w:rPr>
        <w:t>4</w:t>
      </w:r>
      <w:bookmarkEnd w:id="1971"/>
      <w:bookmarkEnd w:id="1972"/>
      <w:bookmarkEnd w:id="1973"/>
    </w:p>
    <w:p w14:paraId="19EC0FBF" w14:textId="2399990C" w:rsidR="00E34E51" w:rsidRPr="00033A3F" w:rsidRDefault="00E34E51" w:rsidP="00E34E51">
      <w:pPr>
        <w:pStyle w:val="OdstavecASR"/>
        <w:rPr>
          <w:color w:val="000000" w:themeColor="text1"/>
        </w:rPr>
      </w:pPr>
      <w:r w:rsidRPr="00033A3F">
        <w:rPr>
          <w:noProof/>
          <w:color w:val="000000" w:themeColor="text1"/>
          <w:lang w:eastAsia="cs-CZ"/>
        </w:rPr>
        <w:drawing>
          <wp:inline distT="0" distB="0" distL="0" distR="0" wp14:anchorId="56D86447" wp14:editId="2A13E31F">
            <wp:extent cx="5029200" cy="3657600"/>
            <wp:effectExtent l="0" t="0" r="0" b="0"/>
            <wp:docPr id="2139289340"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D38C5E0" w14:textId="595F4337" w:rsidR="00E34E51" w:rsidRPr="00033A3F" w:rsidRDefault="00E34E51" w:rsidP="00E34E51">
      <w:pPr>
        <w:pStyle w:val="OdstavecASR"/>
        <w:rPr>
          <w:color w:val="000000" w:themeColor="text1"/>
        </w:rPr>
      </w:pPr>
      <w:r w:rsidRPr="00033A3F">
        <w:rPr>
          <w:color w:val="000000" w:themeColor="text1"/>
        </w:rPr>
        <w:t>Mezi jednotlivými soudy existují velké rozdíly, což opět plyne z počtu vyřízených a nevyřízených věcí. Absolutně nejvyšší DT měl v roce 2024 MS Praha. Nejnižší DT má naopak KS České Budějovice (asi čtvrtinový oproti MS Praha).</w:t>
      </w:r>
    </w:p>
    <w:p w14:paraId="660C1038" w14:textId="07BBF3D7" w:rsidR="00E34E51" w:rsidRPr="00033A3F" w:rsidRDefault="00E34E51" w:rsidP="00E34E51">
      <w:pPr>
        <w:pStyle w:val="Podnadpis"/>
        <w:rPr>
          <w:color w:val="000000" w:themeColor="text1"/>
        </w:rPr>
      </w:pPr>
      <w:bookmarkStart w:id="1974" w:name="_Toc75952383"/>
      <w:bookmarkStart w:id="1975" w:name="_Toc106106836"/>
      <w:bookmarkStart w:id="1976" w:name="_Toc109802159"/>
      <w:bookmarkStart w:id="1977" w:name="_Toc144104318"/>
      <w:bookmarkStart w:id="1978" w:name="_Toc169251132"/>
      <w:bookmarkStart w:id="1979" w:name="_Toc174080818"/>
      <w:bookmarkStart w:id="1980" w:name="_Toc193530944"/>
      <w:bookmarkStart w:id="1981" w:name="_Toc194045641"/>
      <w:bookmarkStart w:id="1982" w:name="_Toc199495051"/>
      <w:bookmarkStart w:id="1983" w:name="_Toc203033112"/>
      <w:bookmarkStart w:id="1984" w:name="_Toc203033190"/>
      <w:r w:rsidRPr="00033A3F">
        <w:rPr>
          <w:color w:val="000000" w:themeColor="text1"/>
        </w:rPr>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70</w:t>
      </w:r>
      <w:r w:rsidRPr="00033A3F">
        <w:rPr>
          <w:color w:val="000000" w:themeColor="text1"/>
        </w:rPr>
        <w:fldChar w:fldCharType="end"/>
      </w:r>
      <w:r w:rsidRPr="00033A3F">
        <w:rPr>
          <w:color w:val="000000" w:themeColor="text1"/>
        </w:rPr>
        <w:t>: KS – DT incidenčních sporů dle soudů</w:t>
      </w:r>
      <w:bookmarkEnd w:id="1974"/>
      <w:bookmarkEnd w:id="1975"/>
      <w:bookmarkEnd w:id="1976"/>
      <w:bookmarkEnd w:id="1977"/>
      <w:bookmarkEnd w:id="1978"/>
      <w:bookmarkEnd w:id="1979"/>
      <w:bookmarkEnd w:id="1980"/>
      <w:bookmarkEnd w:id="1981"/>
      <w:bookmarkEnd w:id="1982"/>
      <w:bookmarkEnd w:id="1983"/>
      <w:bookmarkEnd w:id="1984"/>
    </w:p>
    <w:tbl>
      <w:tblPr>
        <w:tblW w:w="5245" w:type="dxa"/>
        <w:tblCellMar>
          <w:left w:w="70" w:type="dxa"/>
          <w:right w:w="70" w:type="dxa"/>
        </w:tblCellMar>
        <w:tblLook w:val="04A0" w:firstRow="1" w:lastRow="0" w:firstColumn="1" w:lastColumn="0" w:noHBand="0" w:noVBand="1"/>
      </w:tblPr>
      <w:tblGrid>
        <w:gridCol w:w="2127"/>
        <w:gridCol w:w="1134"/>
        <w:gridCol w:w="1984"/>
      </w:tblGrid>
      <w:tr w:rsidR="00033A3F" w:rsidRPr="00033A3F" w14:paraId="61D9424E" w14:textId="77777777" w:rsidTr="004C0D35">
        <w:trPr>
          <w:trHeight w:val="345"/>
        </w:trPr>
        <w:tc>
          <w:tcPr>
            <w:tcW w:w="2127" w:type="dxa"/>
            <w:tcBorders>
              <w:top w:val="double" w:sz="6" w:space="0" w:color="auto"/>
              <w:left w:val="nil"/>
              <w:bottom w:val="double" w:sz="6" w:space="0" w:color="auto"/>
              <w:right w:val="nil"/>
            </w:tcBorders>
            <w:shd w:val="clear" w:color="auto" w:fill="auto"/>
            <w:noWrap/>
            <w:vAlign w:val="center"/>
            <w:hideMark/>
          </w:tcPr>
          <w:p w14:paraId="78A82A66"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18" w:type="dxa"/>
            <w:gridSpan w:val="2"/>
            <w:tcBorders>
              <w:top w:val="double" w:sz="6" w:space="0" w:color="auto"/>
              <w:left w:val="nil"/>
              <w:bottom w:val="double" w:sz="6" w:space="0" w:color="auto"/>
              <w:right w:val="nil"/>
            </w:tcBorders>
            <w:shd w:val="clear" w:color="auto" w:fill="auto"/>
            <w:noWrap/>
            <w:vAlign w:val="center"/>
            <w:hideMark/>
          </w:tcPr>
          <w:p w14:paraId="666F95F8"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Disposition time</w:t>
            </w:r>
          </w:p>
        </w:tc>
      </w:tr>
      <w:tr w:rsidR="00033A3F" w:rsidRPr="00033A3F" w14:paraId="04216778" w14:textId="77777777" w:rsidTr="004C0D35">
        <w:trPr>
          <w:trHeight w:val="330"/>
        </w:trPr>
        <w:tc>
          <w:tcPr>
            <w:tcW w:w="2127" w:type="dxa"/>
            <w:tcBorders>
              <w:top w:val="nil"/>
              <w:left w:val="nil"/>
              <w:bottom w:val="single" w:sz="4" w:space="0" w:color="auto"/>
              <w:right w:val="nil"/>
            </w:tcBorders>
            <w:shd w:val="clear" w:color="auto" w:fill="auto"/>
            <w:noWrap/>
            <w:vAlign w:val="bottom"/>
            <w:hideMark/>
          </w:tcPr>
          <w:p w14:paraId="66D183CC"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134" w:type="dxa"/>
            <w:tcBorders>
              <w:top w:val="nil"/>
              <w:left w:val="nil"/>
              <w:bottom w:val="single" w:sz="4" w:space="0" w:color="auto"/>
              <w:right w:val="nil"/>
            </w:tcBorders>
            <w:shd w:val="clear" w:color="auto" w:fill="auto"/>
            <w:noWrap/>
            <w:vAlign w:val="bottom"/>
            <w:hideMark/>
          </w:tcPr>
          <w:p w14:paraId="0EBA24AB"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722</w:t>
            </w:r>
          </w:p>
        </w:tc>
        <w:tc>
          <w:tcPr>
            <w:tcW w:w="1984" w:type="dxa"/>
            <w:tcBorders>
              <w:top w:val="nil"/>
              <w:left w:val="nil"/>
              <w:bottom w:val="single" w:sz="4" w:space="0" w:color="auto"/>
              <w:right w:val="nil"/>
            </w:tcBorders>
            <w:shd w:val="clear" w:color="auto" w:fill="auto"/>
            <w:noWrap/>
            <w:vAlign w:val="center"/>
            <w:hideMark/>
          </w:tcPr>
          <w:p w14:paraId="161D7BC1" w14:textId="6F1FE1CE"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r>
      <w:tr w:rsidR="00033A3F" w:rsidRPr="00033A3F" w14:paraId="451B877B"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108B1D98"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134" w:type="dxa"/>
            <w:tcBorders>
              <w:top w:val="nil"/>
              <w:left w:val="nil"/>
              <w:bottom w:val="single" w:sz="4" w:space="0" w:color="auto"/>
              <w:right w:val="nil"/>
            </w:tcBorders>
            <w:shd w:val="clear" w:color="auto" w:fill="auto"/>
            <w:noWrap/>
            <w:vAlign w:val="bottom"/>
            <w:hideMark/>
          </w:tcPr>
          <w:p w14:paraId="43FB1022"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160</w:t>
            </w:r>
          </w:p>
        </w:tc>
        <w:tc>
          <w:tcPr>
            <w:tcW w:w="1984" w:type="dxa"/>
            <w:tcBorders>
              <w:top w:val="nil"/>
              <w:left w:val="nil"/>
              <w:bottom w:val="single" w:sz="4" w:space="0" w:color="auto"/>
              <w:right w:val="nil"/>
            </w:tcBorders>
            <w:shd w:val="clear" w:color="auto" w:fill="auto"/>
            <w:noWrap/>
            <w:vAlign w:val="center"/>
            <w:hideMark/>
          </w:tcPr>
          <w:p w14:paraId="11A6BFDF" w14:textId="352683D6"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55459E44"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4C295FBC"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134" w:type="dxa"/>
            <w:tcBorders>
              <w:top w:val="nil"/>
              <w:left w:val="nil"/>
              <w:bottom w:val="single" w:sz="4" w:space="0" w:color="auto"/>
              <w:right w:val="nil"/>
            </w:tcBorders>
            <w:shd w:val="clear" w:color="auto" w:fill="auto"/>
            <w:noWrap/>
            <w:vAlign w:val="bottom"/>
            <w:hideMark/>
          </w:tcPr>
          <w:p w14:paraId="6A4A9845"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312</w:t>
            </w:r>
          </w:p>
        </w:tc>
        <w:tc>
          <w:tcPr>
            <w:tcW w:w="1984" w:type="dxa"/>
            <w:tcBorders>
              <w:top w:val="nil"/>
              <w:left w:val="nil"/>
              <w:bottom w:val="single" w:sz="4" w:space="0" w:color="auto"/>
              <w:right w:val="nil"/>
            </w:tcBorders>
            <w:shd w:val="clear" w:color="auto" w:fill="auto"/>
            <w:noWrap/>
            <w:vAlign w:val="center"/>
            <w:hideMark/>
          </w:tcPr>
          <w:p w14:paraId="4AC07B43" w14:textId="219C8714"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+38 %</w:t>
            </w:r>
          </w:p>
        </w:tc>
      </w:tr>
      <w:tr w:rsidR="00033A3F" w:rsidRPr="00033A3F" w14:paraId="5E185BBC"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6AD58A3E"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134" w:type="dxa"/>
            <w:tcBorders>
              <w:top w:val="nil"/>
              <w:left w:val="nil"/>
              <w:bottom w:val="single" w:sz="4" w:space="0" w:color="auto"/>
              <w:right w:val="nil"/>
            </w:tcBorders>
            <w:shd w:val="clear" w:color="auto" w:fill="auto"/>
            <w:noWrap/>
            <w:vAlign w:val="bottom"/>
            <w:hideMark/>
          </w:tcPr>
          <w:p w14:paraId="1D2549D0"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261</w:t>
            </w:r>
          </w:p>
        </w:tc>
        <w:tc>
          <w:tcPr>
            <w:tcW w:w="1984" w:type="dxa"/>
            <w:tcBorders>
              <w:top w:val="nil"/>
              <w:left w:val="nil"/>
              <w:bottom w:val="single" w:sz="4" w:space="0" w:color="auto"/>
              <w:right w:val="nil"/>
            </w:tcBorders>
            <w:shd w:val="clear" w:color="auto" w:fill="auto"/>
            <w:noWrap/>
            <w:vAlign w:val="center"/>
            <w:hideMark/>
          </w:tcPr>
          <w:p w14:paraId="3A8D6995" w14:textId="0CF6D80B"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r>
      <w:tr w:rsidR="00033A3F" w:rsidRPr="00033A3F" w14:paraId="5E144156"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678416A2"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134" w:type="dxa"/>
            <w:tcBorders>
              <w:top w:val="nil"/>
              <w:left w:val="nil"/>
              <w:bottom w:val="single" w:sz="4" w:space="0" w:color="auto"/>
              <w:right w:val="nil"/>
            </w:tcBorders>
            <w:shd w:val="clear" w:color="auto" w:fill="auto"/>
            <w:noWrap/>
            <w:vAlign w:val="bottom"/>
            <w:hideMark/>
          </w:tcPr>
          <w:p w14:paraId="51652ECD"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620</w:t>
            </w:r>
          </w:p>
        </w:tc>
        <w:tc>
          <w:tcPr>
            <w:tcW w:w="1984" w:type="dxa"/>
            <w:tcBorders>
              <w:top w:val="nil"/>
              <w:left w:val="nil"/>
              <w:bottom w:val="single" w:sz="4" w:space="0" w:color="auto"/>
              <w:right w:val="nil"/>
            </w:tcBorders>
            <w:shd w:val="clear" w:color="auto" w:fill="auto"/>
            <w:noWrap/>
            <w:vAlign w:val="center"/>
            <w:hideMark/>
          </w:tcPr>
          <w:p w14:paraId="31C1422B" w14:textId="74CAE64D"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240538BE"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4A1B78A7"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134" w:type="dxa"/>
            <w:tcBorders>
              <w:top w:val="nil"/>
              <w:left w:val="nil"/>
              <w:bottom w:val="single" w:sz="4" w:space="0" w:color="auto"/>
              <w:right w:val="nil"/>
            </w:tcBorders>
            <w:shd w:val="clear" w:color="auto" w:fill="auto"/>
            <w:noWrap/>
            <w:vAlign w:val="bottom"/>
            <w:hideMark/>
          </w:tcPr>
          <w:p w14:paraId="1AF0748A"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403</w:t>
            </w:r>
          </w:p>
        </w:tc>
        <w:tc>
          <w:tcPr>
            <w:tcW w:w="1984" w:type="dxa"/>
            <w:tcBorders>
              <w:top w:val="nil"/>
              <w:left w:val="nil"/>
              <w:bottom w:val="single" w:sz="4" w:space="0" w:color="auto"/>
              <w:right w:val="nil"/>
            </w:tcBorders>
            <w:shd w:val="clear" w:color="auto" w:fill="auto"/>
            <w:noWrap/>
            <w:vAlign w:val="center"/>
            <w:hideMark/>
          </w:tcPr>
          <w:p w14:paraId="15B38BC1" w14:textId="26F1FCAE"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+45 %</w:t>
            </w:r>
          </w:p>
        </w:tc>
      </w:tr>
      <w:tr w:rsidR="00033A3F" w:rsidRPr="00033A3F" w14:paraId="677C647F"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775E8B64"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134" w:type="dxa"/>
            <w:tcBorders>
              <w:top w:val="nil"/>
              <w:left w:val="nil"/>
              <w:bottom w:val="single" w:sz="4" w:space="0" w:color="auto"/>
              <w:right w:val="nil"/>
            </w:tcBorders>
            <w:shd w:val="clear" w:color="auto" w:fill="auto"/>
            <w:noWrap/>
            <w:vAlign w:val="bottom"/>
            <w:hideMark/>
          </w:tcPr>
          <w:p w14:paraId="01166847"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453</w:t>
            </w:r>
          </w:p>
        </w:tc>
        <w:tc>
          <w:tcPr>
            <w:tcW w:w="1984" w:type="dxa"/>
            <w:tcBorders>
              <w:top w:val="nil"/>
              <w:left w:val="nil"/>
              <w:bottom w:val="single" w:sz="4" w:space="0" w:color="auto"/>
              <w:right w:val="nil"/>
            </w:tcBorders>
            <w:shd w:val="clear" w:color="auto" w:fill="auto"/>
            <w:noWrap/>
            <w:vAlign w:val="center"/>
            <w:hideMark/>
          </w:tcPr>
          <w:p w14:paraId="53AB2377" w14:textId="2C77577C"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129F25AC" w14:textId="77777777" w:rsidTr="004C0D35">
        <w:trPr>
          <w:trHeight w:val="330"/>
        </w:trPr>
        <w:tc>
          <w:tcPr>
            <w:tcW w:w="2127" w:type="dxa"/>
            <w:tcBorders>
              <w:top w:val="nil"/>
              <w:left w:val="nil"/>
              <w:bottom w:val="double" w:sz="6" w:space="0" w:color="auto"/>
              <w:right w:val="nil"/>
            </w:tcBorders>
            <w:shd w:val="clear" w:color="auto" w:fill="auto"/>
            <w:noWrap/>
            <w:vAlign w:val="bottom"/>
            <w:hideMark/>
          </w:tcPr>
          <w:p w14:paraId="2A284064"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134" w:type="dxa"/>
            <w:tcBorders>
              <w:top w:val="nil"/>
              <w:left w:val="nil"/>
              <w:bottom w:val="double" w:sz="6" w:space="0" w:color="auto"/>
              <w:right w:val="nil"/>
            </w:tcBorders>
            <w:shd w:val="clear" w:color="auto" w:fill="auto"/>
            <w:noWrap/>
            <w:vAlign w:val="bottom"/>
            <w:hideMark/>
          </w:tcPr>
          <w:p w14:paraId="653B1784"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268</w:t>
            </w:r>
          </w:p>
        </w:tc>
        <w:tc>
          <w:tcPr>
            <w:tcW w:w="1984" w:type="dxa"/>
            <w:tcBorders>
              <w:top w:val="nil"/>
              <w:left w:val="nil"/>
              <w:bottom w:val="double" w:sz="6" w:space="0" w:color="auto"/>
              <w:right w:val="nil"/>
            </w:tcBorders>
            <w:shd w:val="clear" w:color="auto" w:fill="auto"/>
            <w:noWrap/>
            <w:vAlign w:val="center"/>
            <w:hideMark/>
          </w:tcPr>
          <w:p w14:paraId="2701FEF8" w14:textId="1403E5D9"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-35 %</w:t>
            </w:r>
          </w:p>
        </w:tc>
      </w:tr>
      <w:tr w:rsidR="00033A3F" w:rsidRPr="00033A3F" w14:paraId="006A851A" w14:textId="77777777" w:rsidTr="004C0D35">
        <w:trPr>
          <w:trHeight w:val="345"/>
        </w:trPr>
        <w:tc>
          <w:tcPr>
            <w:tcW w:w="2127" w:type="dxa"/>
            <w:tcBorders>
              <w:top w:val="nil"/>
              <w:left w:val="nil"/>
              <w:bottom w:val="double" w:sz="6" w:space="0" w:color="auto"/>
              <w:right w:val="nil"/>
            </w:tcBorders>
            <w:shd w:val="clear" w:color="auto" w:fill="auto"/>
            <w:noWrap/>
            <w:vAlign w:val="bottom"/>
            <w:hideMark/>
          </w:tcPr>
          <w:p w14:paraId="7E74E616" w14:textId="77777777" w:rsidR="00E34E51" w:rsidRPr="00033A3F" w:rsidRDefault="00E34E51" w:rsidP="00E34E5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34" w:type="dxa"/>
            <w:tcBorders>
              <w:top w:val="nil"/>
              <w:left w:val="nil"/>
              <w:bottom w:val="double" w:sz="6" w:space="0" w:color="auto"/>
              <w:right w:val="nil"/>
            </w:tcBorders>
            <w:shd w:val="clear" w:color="auto" w:fill="auto"/>
            <w:noWrap/>
            <w:vAlign w:val="bottom"/>
            <w:hideMark/>
          </w:tcPr>
          <w:p w14:paraId="65ABD971"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457</w:t>
            </w:r>
          </w:p>
        </w:tc>
        <w:tc>
          <w:tcPr>
            <w:tcW w:w="1984" w:type="dxa"/>
            <w:tcBorders>
              <w:top w:val="nil"/>
              <w:left w:val="nil"/>
              <w:bottom w:val="double" w:sz="6" w:space="0" w:color="auto"/>
              <w:right w:val="nil"/>
            </w:tcBorders>
            <w:shd w:val="clear" w:color="auto" w:fill="auto"/>
            <w:noWrap/>
            <w:vAlign w:val="center"/>
            <w:hideMark/>
          </w:tcPr>
          <w:p w14:paraId="0CC1C335" w14:textId="74957585" w:rsidR="00E34E51" w:rsidRPr="00033A3F" w:rsidRDefault="00E34E51"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r>
      <w:tr w:rsidR="00033A3F" w:rsidRPr="00033A3F" w14:paraId="6A2DF4A3" w14:textId="77777777" w:rsidTr="004C0D35">
        <w:trPr>
          <w:trHeight w:val="330"/>
        </w:trPr>
        <w:tc>
          <w:tcPr>
            <w:tcW w:w="2127" w:type="dxa"/>
            <w:tcBorders>
              <w:top w:val="nil"/>
              <w:left w:val="nil"/>
              <w:bottom w:val="nil"/>
              <w:right w:val="nil"/>
            </w:tcBorders>
            <w:shd w:val="clear" w:color="auto" w:fill="auto"/>
            <w:noWrap/>
            <w:vAlign w:val="bottom"/>
            <w:hideMark/>
          </w:tcPr>
          <w:p w14:paraId="1180D671" w14:textId="77777777" w:rsidR="00E34E51" w:rsidRPr="00033A3F" w:rsidRDefault="00E34E51" w:rsidP="00E34E51">
            <w:pPr>
              <w:spacing w:line="240" w:lineRule="auto"/>
              <w:jc w:val="center"/>
              <w:rPr>
                <w:rFonts w:eastAsia="Times New Roman"/>
                <w:b/>
                <w:bCs/>
                <w:color w:val="000000" w:themeColor="text1"/>
                <w:sz w:val="20"/>
                <w:szCs w:val="20"/>
                <w:lang w:eastAsia="cs-CZ"/>
              </w:rPr>
            </w:pPr>
          </w:p>
        </w:tc>
        <w:tc>
          <w:tcPr>
            <w:tcW w:w="1134" w:type="dxa"/>
            <w:tcBorders>
              <w:top w:val="nil"/>
              <w:left w:val="nil"/>
              <w:bottom w:val="nil"/>
              <w:right w:val="nil"/>
            </w:tcBorders>
            <w:shd w:val="clear" w:color="auto" w:fill="auto"/>
            <w:noWrap/>
            <w:vAlign w:val="bottom"/>
            <w:hideMark/>
          </w:tcPr>
          <w:p w14:paraId="16AF7609"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1984" w:type="dxa"/>
            <w:tcBorders>
              <w:top w:val="nil"/>
              <w:left w:val="nil"/>
              <w:bottom w:val="nil"/>
              <w:right w:val="nil"/>
            </w:tcBorders>
            <w:shd w:val="clear" w:color="auto" w:fill="auto"/>
            <w:noWrap/>
            <w:vAlign w:val="bottom"/>
            <w:hideMark/>
          </w:tcPr>
          <w:p w14:paraId="644FF319"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r>
    </w:tbl>
    <w:p w14:paraId="0F6B6C82" w14:textId="22DD3E52" w:rsidR="00E34E51" w:rsidRPr="00033A3F" w:rsidRDefault="00E34E51" w:rsidP="00E34E51">
      <w:pPr>
        <w:pStyle w:val="OdstavecASR"/>
        <w:rPr>
          <w:color w:val="000000" w:themeColor="text1"/>
        </w:rPr>
      </w:pPr>
      <w:r w:rsidRPr="00033A3F">
        <w:rPr>
          <w:color w:val="000000" w:themeColor="text1"/>
        </w:rPr>
        <w:t>Celkově je těžké učinit definitivní závěr o rejstříku ICm a o tom, jak tuto agendu jednotlivé soudy vyřizují, protože meziročně dochází k velkým změnám a rovněž náročnost jednotlivých případů se silně liší. Byla by tak potřebná podrobnější analýza, která ale přesahuje účel této zprávy. V krátkosti lze říct, že incidenční spory jsou složitou agendou a největší problémy s jejím vyřizováním zřejmě dlouhodobě m</w:t>
      </w:r>
      <w:r w:rsidR="00030A18" w:rsidRPr="00033A3F">
        <w:rPr>
          <w:color w:val="000000" w:themeColor="text1"/>
        </w:rPr>
        <w:t>á</w:t>
      </w:r>
      <w:r w:rsidRPr="00033A3F">
        <w:rPr>
          <w:color w:val="000000" w:themeColor="text1"/>
        </w:rPr>
        <w:t xml:space="preserve"> MS Praha. Jak ale již bylo zmíněno výše, vzhledem k nepředvídatelnosti nápadu je agenda incidenčních sporů obecně mimořádně náročná z hlediska řízení výkonnosti a plynulosti vyřizování věcí.</w:t>
      </w:r>
    </w:p>
    <w:p w14:paraId="60A936FB" w14:textId="79B0D546" w:rsidR="008430BD" w:rsidRPr="00033A3F" w:rsidRDefault="008430BD" w:rsidP="00217E95">
      <w:pPr>
        <w:pStyle w:val="Nadpis1"/>
        <w:pageBreakBefore/>
        <w:numPr>
          <w:ilvl w:val="0"/>
          <w:numId w:val="1"/>
        </w:numPr>
        <w:spacing w:after="120"/>
        <w:rPr>
          <w:noProof/>
          <w:color w:val="000000" w:themeColor="text1"/>
          <w:lang w:eastAsia="cs-CZ"/>
        </w:rPr>
      </w:pPr>
      <w:bookmarkStart w:id="1985" w:name="_Toc193531027"/>
      <w:bookmarkStart w:id="1986" w:name="_Toc193957085"/>
      <w:bookmarkStart w:id="1987" w:name="_Toc203032773"/>
      <w:r w:rsidRPr="00033A3F">
        <w:rPr>
          <w:noProof/>
          <w:color w:val="000000" w:themeColor="text1"/>
          <w:lang w:eastAsia="cs-CZ"/>
        </w:rPr>
        <w:lastRenderedPageBreak/>
        <w:t>Vrchní soudy</w:t>
      </w:r>
      <w:bookmarkEnd w:id="1955"/>
      <w:bookmarkEnd w:id="1956"/>
      <w:bookmarkEnd w:id="1957"/>
      <w:bookmarkEnd w:id="1985"/>
      <w:bookmarkEnd w:id="1986"/>
      <w:bookmarkEnd w:id="1987"/>
    </w:p>
    <w:p w14:paraId="4C50E080" w14:textId="77777777" w:rsidR="00C903C6" w:rsidRPr="00033A3F" w:rsidRDefault="00C903C6" w:rsidP="00C903C6">
      <w:pPr>
        <w:pStyle w:val="OdstavecASR"/>
        <w:rPr>
          <w:color w:val="000000" w:themeColor="text1"/>
        </w:rPr>
      </w:pPr>
      <w:r w:rsidRPr="00033A3F">
        <w:rPr>
          <w:color w:val="000000" w:themeColor="text1"/>
        </w:rPr>
        <w:t>Tato část výroční zprávy obsahuje data týkající se vrchních soudů (VS) v Praze a v Olomouci. Pod VS v Praze spadají soudní kraje Praha, Západočeský, Středočeský, Východočeský, Severočeský a Jihočeský. Pod Vrchní soud v Olomouci spadají Severomoravský kraj a Jihomoravský kraj.</w:t>
      </w:r>
    </w:p>
    <w:p w14:paraId="55C1602C" w14:textId="77777777" w:rsidR="00C903C6" w:rsidRPr="00033A3F" w:rsidRDefault="00C903C6" w:rsidP="00C903C6">
      <w:pPr>
        <w:pStyle w:val="OdstavecASR"/>
        <w:rPr>
          <w:color w:val="000000" w:themeColor="text1"/>
        </w:rPr>
      </w:pPr>
      <w:r w:rsidRPr="00033A3F">
        <w:rPr>
          <w:color w:val="000000" w:themeColor="text1"/>
        </w:rPr>
        <w:t>Vrchní soudy slouží jako odvolací soudy pro soudy krajské. Jejich hlavními agendami jsou odvolací civilní (občanskoprávní, obchodní) agenda, odvolací insolvenční agenda a odvolací trestní agenda.</w:t>
      </w:r>
    </w:p>
    <w:p w14:paraId="0E07434B" w14:textId="2FF87008" w:rsidR="00C903C6" w:rsidRPr="00033A3F" w:rsidRDefault="00C903C6" w:rsidP="00C903C6">
      <w:pPr>
        <w:pStyle w:val="OdstavecASR"/>
        <w:rPr>
          <w:color w:val="000000" w:themeColor="text1"/>
        </w:rPr>
      </w:pPr>
      <w:r w:rsidRPr="00033A3F">
        <w:rPr>
          <w:color w:val="000000" w:themeColor="text1"/>
        </w:rPr>
        <w:t xml:space="preserve">Vrchní soudy také řeší několik </w:t>
      </w:r>
      <w:r w:rsidR="00A94DB8">
        <w:rPr>
          <w:color w:val="000000" w:themeColor="text1"/>
        </w:rPr>
        <w:t>speciálních</w:t>
      </w:r>
      <w:r w:rsidRPr="00033A3F">
        <w:rPr>
          <w:color w:val="000000" w:themeColor="text1"/>
        </w:rPr>
        <w:t xml:space="preserve"> agend, jako jsou návrhy na přikázání věci jinému soudu nebo návrhy na vyloučení soudců, kterými se však tato zpráva nezabývá</w:t>
      </w:r>
      <w:r w:rsidR="00760022">
        <w:rPr>
          <w:rStyle w:val="Znakapoznpodarou"/>
          <w:color w:val="000000" w:themeColor="text1"/>
        </w:rPr>
        <w:footnoteReference w:id="15"/>
      </w:r>
      <w:r w:rsidRPr="00033A3F">
        <w:rPr>
          <w:color w:val="000000" w:themeColor="text1"/>
        </w:rPr>
        <w:t>. Struktura, obsah a zkoumané ukazatele jsou se dvěma výjimkami podobné jako v předchozích částech. Jednak chybí podkapitoly s dalšími statistickými ukazateli. Ty totiž vychází ze statistických listů a váží se především k prvoinstančnímu řízení. Druhým rozdílem je skutečnost, že sledujeme pouze dva soudy. Data proto zpravidla prezentujeme graficky v časových řadách pro oba soudy.</w:t>
      </w:r>
    </w:p>
    <w:p w14:paraId="6F186C41" w14:textId="64D7907B" w:rsidR="008430BD" w:rsidRPr="00033A3F" w:rsidRDefault="008430BD" w:rsidP="008430BD">
      <w:pPr>
        <w:pStyle w:val="Nadpis2"/>
        <w:numPr>
          <w:ilvl w:val="1"/>
          <w:numId w:val="1"/>
        </w:numPr>
        <w:spacing w:before="120"/>
        <w:rPr>
          <w:lang w:eastAsia="cs-CZ"/>
        </w:rPr>
      </w:pPr>
      <w:bookmarkStart w:id="1988" w:name="_Toc515871278"/>
      <w:bookmarkStart w:id="1989" w:name="_Toc106092790"/>
      <w:bookmarkStart w:id="1990" w:name="_Toc169250866"/>
      <w:bookmarkStart w:id="1991" w:name="_Toc193531028"/>
      <w:bookmarkStart w:id="1992" w:name="_Toc193957086"/>
      <w:bookmarkStart w:id="1993" w:name="_Toc203032774"/>
      <w:r w:rsidRPr="00033A3F">
        <w:rPr>
          <w:lang w:eastAsia="cs-CZ"/>
        </w:rPr>
        <w:t>Personál</w:t>
      </w:r>
      <w:bookmarkEnd w:id="1988"/>
      <w:bookmarkEnd w:id="1989"/>
      <w:bookmarkEnd w:id="1990"/>
      <w:bookmarkEnd w:id="1991"/>
      <w:bookmarkEnd w:id="1992"/>
      <w:bookmarkEnd w:id="1993"/>
    </w:p>
    <w:p w14:paraId="410B5534" w14:textId="0D534A69" w:rsidR="003E4513" w:rsidRPr="00033A3F" w:rsidRDefault="003E4513" w:rsidP="003E4513">
      <w:pPr>
        <w:pStyle w:val="Nadpis3"/>
        <w:numPr>
          <w:ilvl w:val="2"/>
          <w:numId w:val="1"/>
        </w:numPr>
        <w:rPr>
          <w:color w:val="000000" w:themeColor="text1"/>
          <w:lang w:eastAsia="cs-CZ"/>
        </w:rPr>
      </w:pPr>
      <w:bookmarkStart w:id="1994" w:name="_Toc515871279"/>
      <w:bookmarkStart w:id="1995" w:name="_Toc106092791"/>
      <w:bookmarkStart w:id="1996" w:name="_Toc169250867"/>
      <w:bookmarkStart w:id="1997" w:name="_Toc193531029"/>
      <w:bookmarkStart w:id="1998" w:name="_Toc193957087"/>
      <w:bookmarkStart w:id="1999" w:name="_Toc203032775"/>
      <w:r w:rsidRPr="00033A3F">
        <w:rPr>
          <w:color w:val="000000" w:themeColor="text1"/>
          <w:lang w:eastAsia="cs-CZ"/>
        </w:rPr>
        <w:t>Soudci</w:t>
      </w:r>
      <w:bookmarkEnd w:id="1994"/>
      <w:bookmarkEnd w:id="1995"/>
      <w:bookmarkEnd w:id="1996"/>
      <w:bookmarkEnd w:id="1997"/>
      <w:bookmarkEnd w:id="1998"/>
      <w:bookmarkEnd w:id="1999"/>
    </w:p>
    <w:p w14:paraId="06648C9F" w14:textId="77777777" w:rsidR="00C903C6" w:rsidRPr="00033A3F" w:rsidRDefault="00C903C6" w:rsidP="004C0D35">
      <w:pPr>
        <w:pStyle w:val="OdstavecASR"/>
        <w:rPr>
          <w:color w:val="000000" w:themeColor="text1"/>
          <w:lang w:eastAsia="cs-CZ"/>
        </w:rPr>
      </w:pPr>
      <w:r w:rsidRPr="00033A3F">
        <w:rPr>
          <w:color w:val="000000" w:themeColor="text1"/>
          <w:lang w:eastAsia="cs-CZ"/>
        </w:rPr>
        <w:t>Úvodem je třeba říct, že data v této podkapitole se liší od dat o soudcích u okresních a krajských soudů. U vrchních soudů na rozdíl od okresních a krajských soudů nemá aktuálně Ministerstvo spravedlnosti k dispozici údaje o skutečném počtu soudců (úvazků). Prezentovány jsou zde proto jen evidenční a plánované počty soudců v časových řadách od roku 2014.</w:t>
      </w:r>
    </w:p>
    <w:p w14:paraId="5A736B07" w14:textId="4C997DBA" w:rsidR="00C903C6" w:rsidRPr="00033A3F" w:rsidRDefault="00C903C6" w:rsidP="00C903C6">
      <w:pPr>
        <w:pStyle w:val="Podnadpis"/>
        <w:numPr>
          <w:ilvl w:val="0"/>
          <w:numId w:val="0"/>
        </w:numPr>
        <w:rPr>
          <w:color w:val="000000" w:themeColor="text1"/>
        </w:rPr>
      </w:pPr>
      <w:bookmarkStart w:id="2000" w:name="_Toc515871406"/>
      <w:bookmarkStart w:id="2001" w:name="_Toc11135137"/>
      <w:bookmarkStart w:id="2002" w:name="_Toc43841459"/>
      <w:bookmarkStart w:id="2003" w:name="_Toc75952262"/>
      <w:bookmarkStart w:id="2004" w:name="_Toc106106719"/>
      <w:bookmarkStart w:id="2005" w:name="_Toc109802043"/>
      <w:bookmarkStart w:id="2006" w:name="_Toc144104193"/>
      <w:bookmarkStart w:id="2007" w:name="_Toc169251006"/>
      <w:bookmarkStart w:id="2008" w:name="_Toc174080692"/>
      <w:bookmarkStart w:id="2009" w:name="_Toc193530846"/>
      <w:bookmarkStart w:id="2010" w:name="_Toc193634120"/>
      <w:bookmarkStart w:id="2011" w:name="_Toc20303291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91</w:t>
      </w:r>
      <w:r w:rsidRPr="00033A3F">
        <w:rPr>
          <w:color w:val="000000" w:themeColor="text1"/>
        </w:rPr>
        <w:fldChar w:fldCharType="end"/>
      </w:r>
      <w:r w:rsidRPr="00033A3F">
        <w:rPr>
          <w:color w:val="000000" w:themeColor="text1"/>
        </w:rPr>
        <w:t>: VS – počet soudců v letech 201</w:t>
      </w:r>
      <w:r w:rsidR="00365EC4" w:rsidRPr="00033A3F">
        <w:rPr>
          <w:color w:val="000000" w:themeColor="text1"/>
        </w:rPr>
        <w:t>5</w:t>
      </w:r>
      <w:r w:rsidRPr="00033A3F">
        <w:rPr>
          <w:color w:val="000000" w:themeColor="text1"/>
        </w:rPr>
        <w:t>–20</w:t>
      </w:r>
      <w:bookmarkEnd w:id="2000"/>
      <w:bookmarkEnd w:id="2001"/>
      <w:bookmarkEnd w:id="2002"/>
      <w:r w:rsidRPr="00033A3F">
        <w:rPr>
          <w:color w:val="000000" w:themeColor="text1"/>
        </w:rPr>
        <w:t>2</w:t>
      </w:r>
      <w:bookmarkEnd w:id="2003"/>
      <w:bookmarkEnd w:id="2004"/>
      <w:bookmarkEnd w:id="2005"/>
      <w:bookmarkEnd w:id="2006"/>
      <w:bookmarkEnd w:id="2007"/>
      <w:bookmarkEnd w:id="2008"/>
      <w:r w:rsidR="00365EC4" w:rsidRPr="00033A3F">
        <w:rPr>
          <w:color w:val="000000" w:themeColor="text1"/>
        </w:rPr>
        <w:t>4</w:t>
      </w:r>
      <w:bookmarkEnd w:id="2009"/>
      <w:bookmarkEnd w:id="2010"/>
      <w:bookmarkEnd w:id="2011"/>
    </w:p>
    <w:p w14:paraId="02F5801B" w14:textId="24CA584B" w:rsidR="00365EC4" w:rsidRPr="00033A3F" w:rsidRDefault="003E4513" w:rsidP="00365EC4">
      <w:pPr>
        <w:rPr>
          <w:color w:val="000000" w:themeColor="text1"/>
        </w:rPr>
      </w:pPr>
      <w:r w:rsidRPr="00033A3F">
        <w:rPr>
          <w:noProof/>
          <w:color w:val="000000" w:themeColor="text1"/>
          <w:lang w:eastAsia="cs-CZ"/>
        </w:rPr>
        <w:drawing>
          <wp:inline distT="0" distB="0" distL="0" distR="0" wp14:anchorId="457D1F98" wp14:editId="2E9E054A">
            <wp:extent cx="5029200" cy="3657600"/>
            <wp:effectExtent l="0" t="0" r="0" b="0"/>
            <wp:docPr id="1232698230"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32DA0F5" w14:textId="757F2200" w:rsidR="00FE65D7" w:rsidRPr="00033A3F" w:rsidRDefault="00FE65D7" w:rsidP="00FE65D7">
      <w:pPr>
        <w:pStyle w:val="OdstavecASR"/>
        <w:rPr>
          <w:color w:val="000000" w:themeColor="text1"/>
        </w:rPr>
      </w:pPr>
      <w:r w:rsidRPr="00033A3F">
        <w:rPr>
          <w:color w:val="000000" w:themeColor="text1"/>
        </w:rPr>
        <w:lastRenderedPageBreak/>
        <w:t xml:space="preserve">I u vrchních soudů je počet soudců celkem stabilní, a to jak v Praze, tak v Olomouci. V časové řadě může zaujmout pouze pokles </w:t>
      </w:r>
      <w:r w:rsidR="001802E2" w:rsidRPr="00033A3F">
        <w:rPr>
          <w:color w:val="000000" w:themeColor="text1"/>
        </w:rPr>
        <w:t xml:space="preserve">evidenčního počtu </w:t>
      </w:r>
      <w:r w:rsidRPr="00033A3F">
        <w:rPr>
          <w:color w:val="000000" w:themeColor="text1"/>
        </w:rPr>
        <w:t>o pět soudců (soudkyň) u VS v Praze mezi 1. 1. 2015 a 1. 1. 2016. Je způsobený tím, že v roce 2015 dosáhlo pět soudců věku 70 let a z tohoto důvodu skončili ve funkci. V roce 2023 pak u VS v Praze došlo k nárůstu o 6 soudců a evidenční počet soudců tak po dlouhé době byl vyšší než plánovaný počet; důvodem je posílení VS v Praze v souvislosti se začleněním vrchních soudů do obecné systemizace soudní soustavy</w:t>
      </w:r>
      <w:r w:rsidR="001802E2" w:rsidRPr="00033A3F">
        <w:rPr>
          <w:color w:val="000000" w:themeColor="text1"/>
        </w:rPr>
        <w:t>, ke kterému došlo k 1.</w:t>
      </w:r>
      <w:r w:rsidR="002645B1" w:rsidRPr="00033A3F">
        <w:rPr>
          <w:color w:val="000000" w:themeColor="text1"/>
        </w:rPr>
        <w:t xml:space="preserve"> </w:t>
      </w:r>
      <w:r w:rsidR="001802E2" w:rsidRPr="00033A3F">
        <w:rPr>
          <w:color w:val="000000" w:themeColor="text1"/>
        </w:rPr>
        <w:t>1.</w:t>
      </w:r>
      <w:r w:rsidR="002645B1" w:rsidRPr="00033A3F">
        <w:rPr>
          <w:color w:val="000000" w:themeColor="text1"/>
        </w:rPr>
        <w:t xml:space="preserve"> </w:t>
      </w:r>
      <w:r w:rsidR="001802E2" w:rsidRPr="00033A3F">
        <w:rPr>
          <w:color w:val="000000" w:themeColor="text1"/>
        </w:rPr>
        <w:t>2024</w:t>
      </w:r>
      <w:r w:rsidRPr="00033A3F">
        <w:rPr>
          <w:color w:val="000000" w:themeColor="text1"/>
        </w:rPr>
        <w:t>.</w:t>
      </w:r>
      <w:r w:rsidR="00B3479A" w:rsidRPr="00033A3F">
        <w:rPr>
          <w:color w:val="000000" w:themeColor="text1"/>
        </w:rPr>
        <w:t xml:space="preserve"> V roce 2024 pak byl díky zmíněnému začlenění zvýšen i plánovaný počet soudců u VS v Praze o 7. </w:t>
      </w:r>
    </w:p>
    <w:p w14:paraId="172FF2ED" w14:textId="77777777" w:rsidR="00FE65D7" w:rsidRPr="00033A3F" w:rsidRDefault="00FE65D7" w:rsidP="00FE65D7">
      <w:pPr>
        <w:pStyle w:val="OdstavecASR"/>
        <w:rPr>
          <w:color w:val="000000" w:themeColor="text1"/>
        </w:rPr>
      </w:pPr>
      <w:r w:rsidRPr="00033A3F">
        <w:rPr>
          <w:color w:val="000000" w:themeColor="text1"/>
        </w:rPr>
        <w:t xml:space="preserve">U VS, NS nebo NSS jsou </w:t>
      </w:r>
      <w:r w:rsidR="001802E2" w:rsidRPr="00033A3F">
        <w:rPr>
          <w:color w:val="000000" w:themeColor="text1"/>
        </w:rPr>
        <w:t xml:space="preserve">takové </w:t>
      </w:r>
      <w:r w:rsidRPr="00033A3F">
        <w:rPr>
          <w:color w:val="000000" w:themeColor="text1"/>
        </w:rPr>
        <w:t>výkyvy jako v roce 2015 pravděpodobnější, protože soudci jsou v průměru starší než soudci krajských a okresních soudů.</w:t>
      </w:r>
    </w:p>
    <w:p w14:paraId="258729AB" w14:textId="77777777" w:rsidR="00FE65D7" w:rsidRPr="00033A3F" w:rsidRDefault="00FE65D7" w:rsidP="00FE65D7">
      <w:pPr>
        <w:pStyle w:val="OdstavecASR"/>
        <w:rPr>
          <w:color w:val="000000" w:themeColor="text1"/>
        </w:rPr>
      </w:pPr>
      <w:r w:rsidRPr="00033A3F">
        <w:rPr>
          <w:color w:val="000000" w:themeColor="text1"/>
        </w:rPr>
        <w:t>Vidíme rovněž, že VS v Praze je asi dvakrát větší než VS v Olomouci. Tento fakt opět vyplývá z nápadu, který je ovlivněn počtem a velikostí krajských soudů, které spadají pod daný vrchní soud.</w:t>
      </w:r>
    </w:p>
    <w:p w14:paraId="4D56481B" w14:textId="6FF9A60C" w:rsidR="00FE65D7" w:rsidRPr="00033A3F" w:rsidRDefault="00FE65D7" w:rsidP="00FE65D7">
      <w:pPr>
        <w:pStyle w:val="OdstavecASR"/>
        <w:rPr>
          <w:color w:val="000000" w:themeColor="text1"/>
        </w:rPr>
      </w:pPr>
      <w:r w:rsidRPr="00033A3F">
        <w:rPr>
          <w:color w:val="000000" w:themeColor="text1"/>
        </w:rPr>
        <w:t xml:space="preserve">V roce 2019 došlo k mírnému poklesu plánovaného počtu soudců u obou soudů, což bylo vzhledem k rychlému poklesu nápadu v některých agendách (viz dále v kapitole) logické. V zásadě nulový reálný dopad této změny dokládá dlouhodobě nižší evidenční počet soudců oproti počtu plánovanému. V letech 2020 až 2022 k žádné výrazné změně nedošlo. Jak již bylo zmíněno, v roce 2023 narostl evidenční počet soudců u VS Praha. </w:t>
      </w:r>
    </w:p>
    <w:p w14:paraId="2E95193D" w14:textId="68B5F07A" w:rsidR="00FE65D7" w:rsidRPr="00033A3F" w:rsidRDefault="00FE65D7" w:rsidP="00FE65D7">
      <w:pPr>
        <w:pStyle w:val="Podnadpis"/>
        <w:rPr>
          <w:color w:val="000000" w:themeColor="text1"/>
        </w:rPr>
      </w:pPr>
      <w:bookmarkStart w:id="2012" w:name="_Toc43841460"/>
      <w:bookmarkStart w:id="2013" w:name="_Toc75952263"/>
      <w:bookmarkStart w:id="2014" w:name="_Toc106106720"/>
      <w:bookmarkStart w:id="2015" w:name="_Toc109802044"/>
      <w:bookmarkStart w:id="2016" w:name="_Toc144104194"/>
      <w:bookmarkStart w:id="2017" w:name="_Toc169251007"/>
      <w:bookmarkStart w:id="2018" w:name="_Toc174080693"/>
      <w:bookmarkStart w:id="2019" w:name="_Toc193530847"/>
      <w:bookmarkStart w:id="2020" w:name="_Toc193634121"/>
      <w:bookmarkStart w:id="2021" w:name="_Toc20303291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92</w:t>
      </w:r>
      <w:r w:rsidRPr="00033A3F">
        <w:rPr>
          <w:color w:val="000000" w:themeColor="text1"/>
        </w:rPr>
        <w:fldChar w:fldCharType="end"/>
      </w:r>
      <w:r w:rsidRPr="00033A3F">
        <w:rPr>
          <w:color w:val="000000" w:themeColor="text1"/>
        </w:rPr>
        <w:t>: VS – evidenční počet soudců dle soudních úseků v letech 2016–20</w:t>
      </w:r>
      <w:bookmarkEnd w:id="2012"/>
      <w:bookmarkEnd w:id="2013"/>
      <w:r w:rsidRPr="00033A3F">
        <w:rPr>
          <w:color w:val="000000" w:themeColor="text1"/>
        </w:rPr>
        <w:t>2</w:t>
      </w:r>
      <w:bookmarkEnd w:id="2014"/>
      <w:bookmarkEnd w:id="2015"/>
      <w:bookmarkEnd w:id="2016"/>
      <w:bookmarkEnd w:id="2017"/>
      <w:bookmarkEnd w:id="2018"/>
      <w:r w:rsidRPr="00033A3F">
        <w:rPr>
          <w:color w:val="000000" w:themeColor="text1"/>
        </w:rPr>
        <w:t>4</w:t>
      </w:r>
      <w:bookmarkEnd w:id="2019"/>
      <w:bookmarkEnd w:id="2020"/>
      <w:bookmarkEnd w:id="2021"/>
    </w:p>
    <w:p w14:paraId="43405CAB" w14:textId="441F6CB5" w:rsidR="00FE65D7" w:rsidRPr="00033A3F" w:rsidRDefault="003E4513" w:rsidP="00FE65D7">
      <w:pPr>
        <w:pStyle w:val="OdstavecASR"/>
        <w:rPr>
          <w:color w:val="000000" w:themeColor="text1"/>
        </w:rPr>
      </w:pPr>
      <w:r w:rsidRPr="00033A3F">
        <w:rPr>
          <w:noProof/>
          <w:color w:val="000000" w:themeColor="text1"/>
          <w:lang w:eastAsia="cs-CZ"/>
        </w:rPr>
        <w:drawing>
          <wp:inline distT="0" distB="0" distL="0" distR="0" wp14:anchorId="1562099F" wp14:editId="46C70A8F">
            <wp:extent cx="5029200" cy="3657600"/>
            <wp:effectExtent l="0" t="0" r="0" b="0"/>
            <wp:docPr id="1412005594"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6A49520" w14:textId="186E8CE4" w:rsidR="003E4513" w:rsidRPr="00033A3F" w:rsidRDefault="003E4513" w:rsidP="003E4513">
      <w:pPr>
        <w:pStyle w:val="OdstavecASR"/>
        <w:rPr>
          <w:color w:val="000000" w:themeColor="text1"/>
        </w:rPr>
      </w:pPr>
      <w:r w:rsidRPr="00033A3F">
        <w:rPr>
          <w:color w:val="000000" w:themeColor="text1"/>
        </w:rPr>
        <w:t xml:space="preserve">Graf ukazuje, že u VS v Praze je civilní a obchodní úsek větší než úsek trestní, stejně jako tomu je u okresních a krajských soudů. Rozdíl je však tentokrát výrazně menší. Poměr velikostí úseků se v čase mírně měnil. V letech 2015 až 2017 se u VS v Praze zmenšil civilní úsek, načež se ustálil na počtu 50 soudců a soudkyň v letech 2018 až 2020. Od roku 2022 začal civilní úsek opět posilovat a rozdíl mezi civilním a trestním úsekem je nyní 11 soudců. U VS v Olomouci je situace jiná. Trestní úsek postupně posiloval a </w:t>
      </w:r>
      <w:r w:rsidR="00643C83" w:rsidRPr="00033A3F">
        <w:rPr>
          <w:color w:val="000000" w:themeColor="text1"/>
        </w:rPr>
        <w:t xml:space="preserve">civilní oslaboval, takže </w:t>
      </w:r>
      <w:r w:rsidRPr="00033A3F">
        <w:rPr>
          <w:color w:val="000000" w:themeColor="text1"/>
        </w:rPr>
        <w:t>v roce 2024 vykazují oba úseky shodně 21 soudců.</w:t>
      </w:r>
    </w:p>
    <w:p w14:paraId="72F9A066" w14:textId="77777777" w:rsidR="003E4513" w:rsidRPr="00033A3F" w:rsidRDefault="003E4513" w:rsidP="003E4513">
      <w:pPr>
        <w:pStyle w:val="OdstavecASR"/>
        <w:rPr>
          <w:color w:val="000000" w:themeColor="text1"/>
        </w:rPr>
      </w:pPr>
      <w:r w:rsidRPr="00033A3F">
        <w:rPr>
          <w:color w:val="000000" w:themeColor="text1"/>
        </w:rPr>
        <w:lastRenderedPageBreak/>
        <w:t>Další graf zobrazuje složení soudců dle pohlaví a naznačuje, že výše zmíněný pokles počtu soudců u VS v Praze mezi roky 2015 a 2016 byl způsoben tím, že věku 70 let dovršily soudkyně. Pokles počtu soudkyň je tak velmi zřetelný, protože k soudu byli následně přiděleni muži.</w:t>
      </w:r>
    </w:p>
    <w:p w14:paraId="6D8B5699" w14:textId="4F6C6E89" w:rsidR="003E4513" w:rsidRPr="00033A3F" w:rsidRDefault="003E4513" w:rsidP="003E4513">
      <w:pPr>
        <w:pStyle w:val="OdstavecASR"/>
        <w:rPr>
          <w:color w:val="000000" w:themeColor="text1"/>
        </w:rPr>
      </w:pPr>
      <w:r w:rsidRPr="00033A3F">
        <w:rPr>
          <w:color w:val="000000" w:themeColor="text1"/>
        </w:rPr>
        <w:t>V roce 2015 (tedy před výše popsaným odchodem soudkyň) byl podíl žen u VS v Praze i u VS v Olomouci asi 47 %. V roce 2018 dosáhl tento podíl u VS v Praze přibližně 42 % a u VS v Olomouci přibližně 49 %, tedy takřka polovinu. U VS v Praze se podíl od té doby v zásadě nezměnil, až v roce 2023 klesl na 40 %</w:t>
      </w:r>
      <w:r w:rsidR="00C00F59" w:rsidRPr="00033A3F">
        <w:rPr>
          <w:color w:val="000000" w:themeColor="text1"/>
        </w:rPr>
        <w:t>.</w:t>
      </w:r>
      <w:r w:rsidR="00116247" w:rsidRPr="00033A3F">
        <w:rPr>
          <w:color w:val="000000" w:themeColor="text1"/>
        </w:rPr>
        <w:t xml:space="preserve"> V roce 2024 byl podíl žen 41 %.</w:t>
      </w:r>
      <w:r w:rsidRPr="00033A3F">
        <w:rPr>
          <w:color w:val="000000" w:themeColor="text1"/>
        </w:rPr>
        <w:t xml:space="preserve"> U VS v Olomouci podíl žen v posledních letech </w:t>
      </w:r>
      <w:r w:rsidR="00116247" w:rsidRPr="00033A3F">
        <w:rPr>
          <w:color w:val="000000" w:themeColor="text1"/>
        </w:rPr>
        <w:t xml:space="preserve">spíše </w:t>
      </w:r>
      <w:r w:rsidRPr="00033A3F">
        <w:rPr>
          <w:color w:val="000000" w:themeColor="text1"/>
        </w:rPr>
        <w:t>klesal a v roce 202</w:t>
      </w:r>
      <w:r w:rsidR="00116247" w:rsidRPr="00033A3F">
        <w:rPr>
          <w:color w:val="000000" w:themeColor="text1"/>
        </w:rPr>
        <w:t>4</w:t>
      </w:r>
      <w:r w:rsidRPr="00033A3F">
        <w:rPr>
          <w:color w:val="000000" w:themeColor="text1"/>
        </w:rPr>
        <w:t xml:space="preserve"> byl asi 38 %.</w:t>
      </w:r>
    </w:p>
    <w:p w14:paraId="15861B01" w14:textId="77777777" w:rsidR="003E4513" w:rsidRPr="00033A3F" w:rsidRDefault="003E4513" w:rsidP="003E4513">
      <w:pPr>
        <w:pStyle w:val="OdstavecASR"/>
        <w:rPr>
          <w:color w:val="000000" w:themeColor="text1"/>
        </w:rPr>
      </w:pPr>
      <w:r w:rsidRPr="00033A3F">
        <w:rPr>
          <w:color w:val="000000" w:themeColor="text1"/>
        </w:rPr>
        <w:t>Vzhledem k malému počtu osob ovlivní procentuální podíly už i změna o jednoho soudce nebo soudkyni. Na rozdíl od nižších článků soudní soustavy je tedy u vrchních soudů aktuálně více soudců než soudkyň, navíc se jedná o dlouhodobý klesající trend zastoupení žen u obou VS přibližně od roku 2014.</w:t>
      </w:r>
    </w:p>
    <w:p w14:paraId="54C6ACBC" w14:textId="241377A4" w:rsidR="003E4513" w:rsidRPr="00033A3F" w:rsidRDefault="003E4513" w:rsidP="003E4513">
      <w:pPr>
        <w:pStyle w:val="Podnadpis"/>
        <w:rPr>
          <w:color w:val="000000" w:themeColor="text1"/>
        </w:rPr>
      </w:pPr>
      <w:bookmarkStart w:id="2022" w:name="_Toc43841461"/>
      <w:bookmarkStart w:id="2023" w:name="_Toc75952264"/>
      <w:bookmarkStart w:id="2024" w:name="_Toc106106721"/>
      <w:bookmarkStart w:id="2025" w:name="_Toc109802045"/>
      <w:bookmarkStart w:id="2026" w:name="_Toc144104195"/>
      <w:bookmarkStart w:id="2027" w:name="_Toc169251008"/>
      <w:bookmarkStart w:id="2028" w:name="_Toc174080694"/>
      <w:bookmarkStart w:id="2029" w:name="_Toc193530848"/>
      <w:bookmarkStart w:id="2030" w:name="_Toc193634122"/>
      <w:bookmarkStart w:id="2031" w:name="_Toc20303292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93</w:t>
      </w:r>
      <w:r w:rsidRPr="00033A3F">
        <w:rPr>
          <w:color w:val="000000" w:themeColor="text1"/>
        </w:rPr>
        <w:fldChar w:fldCharType="end"/>
      </w:r>
      <w:r w:rsidRPr="00033A3F">
        <w:rPr>
          <w:color w:val="000000" w:themeColor="text1"/>
        </w:rPr>
        <w:t>: VS – evidenční počet soudců dle pohlaví v letech 2015–20</w:t>
      </w:r>
      <w:bookmarkEnd w:id="2022"/>
      <w:r w:rsidRPr="00033A3F">
        <w:rPr>
          <w:color w:val="000000" w:themeColor="text1"/>
        </w:rPr>
        <w:t>2</w:t>
      </w:r>
      <w:bookmarkEnd w:id="2023"/>
      <w:bookmarkEnd w:id="2024"/>
      <w:bookmarkEnd w:id="2025"/>
      <w:bookmarkEnd w:id="2026"/>
      <w:bookmarkEnd w:id="2027"/>
      <w:bookmarkEnd w:id="2028"/>
      <w:r w:rsidR="00116247" w:rsidRPr="00033A3F">
        <w:rPr>
          <w:color w:val="000000" w:themeColor="text1"/>
        </w:rPr>
        <w:t>4</w:t>
      </w:r>
      <w:bookmarkEnd w:id="2029"/>
      <w:bookmarkEnd w:id="2030"/>
      <w:bookmarkEnd w:id="2031"/>
    </w:p>
    <w:p w14:paraId="1BF47271" w14:textId="1232A682" w:rsidR="00C903C6" w:rsidRPr="00033A3F" w:rsidRDefault="003E4513" w:rsidP="00C903C6">
      <w:pPr>
        <w:rPr>
          <w:color w:val="000000" w:themeColor="text1"/>
          <w:lang w:eastAsia="cs-CZ"/>
        </w:rPr>
      </w:pPr>
      <w:r w:rsidRPr="00033A3F">
        <w:rPr>
          <w:noProof/>
          <w:color w:val="000000" w:themeColor="text1"/>
          <w:lang w:eastAsia="cs-CZ"/>
        </w:rPr>
        <w:drawing>
          <wp:inline distT="0" distB="0" distL="0" distR="0" wp14:anchorId="3988D793" wp14:editId="2C6AA03F">
            <wp:extent cx="5029200" cy="3657600"/>
            <wp:effectExtent l="0" t="0" r="0" b="0"/>
            <wp:docPr id="1796050106"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E5FCD2C" w14:textId="77777777" w:rsidR="00116247" w:rsidRPr="00033A3F" w:rsidRDefault="00116247" w:rsidP="00116247">
      <w:pPr>
        <w:pStyle w:val="OdstavecASR"/>
        <w:rPr>
          <w:color w:val="000000" w:themeColor="text1"/>
        </w:rPr>
      </w:pPr>
      <w:r w:rsidRPr="00033A3F">
        <w:rPr>
          <w:color w:val="000000" w:themeColor="text1"/>
        </w:rPr>
        <w:t>Další dva grafy zobrazují věkové složení soudců.</w:t>
      </w:r>
    </w:p>
    <w:p w14:paraId="5C4ECC8D" w14:textId="51887523" w:rsidR="00116247" w:rsidRPr="00033A3F" w:rsidRDefault="00116247" w:rsidP="00116247">
      <w:pPr>
        <w:pStyle w:val="Podnadpis"/>
        <w:rPr>
          <w:color w:val="000000" w:themeColor="text1"/>
        </w:rPr>
      </w:pPr>
      <w:bookmarkStart w:id="2032" w:name="_Toc515871409"/>
      <w:bookmarkStart w:id="2033" w:name="_Toc11135140"/>
      <w:bookmarkStart w:id="2034" w:name="_Toc43841462"/>
      <w:bookmarkStart w:id="2035" w:name="_Toc75952265"/>
      <w:bookmarkStart w:id="2036" w:name="_Toc106106722"/>
      <w:bookmarkStart w:id="2037" w:name="_Toc109802046"/>
      <w:bookmarkStart w:id="2038" w:name="_Toc144104196"/>
      <w:bookmarkStart w:id="2039" w:name="_Toc169251009"/>
      <w:bookmarkStart w:id="2040" w:name="_Toc174080695"/>
      <w:bookmarkStart w:id="2041" w:name="_Toc193530849"/>
      <w:bookmarkStart w:id="2042" w:name="_Toc193634123"/>
      <w:bookmarkStart w:id="2043" w:name="_Toc20303292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94</w:t>
      </w:r>
      <w:r w:rsidRPr="00033A3F">
        <w:rPr>
          <w:color w:val="000000" w:themeColor="text1"/>
        </w:rPr>
        <w:fldChar w:fldCharType="end"/>
      </w:r>
      <w:r w:rsidRPr="00033A3F">
        <w:rPr>
          <w:color w:val="000000" w:themeColor="text1"/>
        </w:rPr>
        <w:t>: VS Praha – věkové složení soudců v letech 2008–20</w:t>
      </w:r>
      <w:bookmarkEnd w:id="2032"/>
      <w:bookmarkEnd w:id="2033"/>
      <w:bookmarkEnd w:id="2034"/>
      <w:r w:rsidRPr="00033A3F">
        <w:rPr>
          <w:color w:val="000000" w:themeColor="text1"/>
        </w:rPr>
        <w:t>2</w:t>
      </w:r>
      <w:bookmarkEnd w:id="2035"/>
      <w:bookmarkEnd w:id="2036"/>
      <w:bookmarkEnd w:id="2037"/>
      <w:bookmarkEnd w:id="2038"/>
      <w:bookmarkEnd w:id="2039"/>
      <w:bookmarkEnd w:id="2040"/>
      <w:r w:rsidRPr="00033A3F">
        <w:rPr>
          <w:color w:val="000000" w:themeColor="text1"/>
        </w:rPr>
        <w:t>4</w:t>
      </w:r>
      <w:bookmarkEnd w:id="2041"/>
      <w:bookmarkEnd w:id="2042"/>
      <w:bookmarkEnd w:id="2043"/>
    </w:p>
    <w:p w14:paraId="259B7329" w14:textId="20F9E449" w:rsidR="00E317F8" w:rsidRPr="00033A3F" w:rsidRDefault="00DA4942" w:rsidP="00A32461">
      <w:pPr>
        <w:rPr>
          <w:color w:val="000000" w:themeColor="text1"/>
          <w:lang w:eastAsia="cs-CZ"/>
        </w:rPr>
      </w:pPr>
      <w:r w:rsidRPr="00033A3F">
        <w:rPr>
          <w:noProof/>
          <w:color w:val="000000" w:themeColor="text1"/>
          <w:lang w:eastAsia="cs-CZ"/>
        </w:rPr>
        <w:drawing>
          <wp:inline distT="0" distB="0" distL="0" distR="0" wp14:anchorId="5A86B6D4" wp14:editId="31803AFC">
            <wp:extent cx="5029200" cy="3657600"/>
            <wp:effectExtent l="0" t="0" r="0" b="0"/>
            <wp:docPr id="1996452797"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8E266A" w14:textId="77777777" w:rsidR="00DA4942" w:rsidRPr="00033A3F" w:rsidRDefault="00DA4942" w:rsidP="00A32461">
      <w:pPr>
        <w:rPr>
          <w:color w:val="000000" w:themeColor="text1"/>
          <w:lang w:eastAsia="cs-CZ"/>
        </w:rPr>
      </w:pPr>
    </w:p>
    <w:p w14:paraId="2AC27057" w14:textId="2FF72E1A" w:rsidR="00DA4942" w:rsidRPr="00033A3F" w:rsidRDefault="00DA4942" w:rsidP="00DA4942">
      <w:pPr>
        <w:pStyle w:val="Podnadpis"/>
        <w:rPr>
          <w:color w:val="000000" w:themeColor="text1"/>
        </w:rPr>
      </w:pPr>
      <w:bookmarkStart w:id="2044" w:name="_Toc169251010"/>
      <w:bookmarkStart w:id="2045" w:name="_Toc174080696"/>
      <w:bookmarkStart w:id="2046" w:name="_Toc193530850"/>
      <w:bookmarkStart w:id="2047" w:name="_Toc193634124"/>
      <w:bookmarkStart w:id="2048" w:name="_Toc20303292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95</w:t>
      </w:r>
      <w:r w:rsidRPr="00033A3F">
        <w:rPr>
          <w:color w:val="000000" w:themeColor="text1"/>
        </w:rPr>
        <w:fldChar w:fldCharType="end"/>
      </w:r>
      <w:r w:rsidRPr="00033A3F">
        <w:rPr>
          <w:color w:val="000000" w:themeColor="text1"/>
        </w:rPr>
        <w:t>: VS Olomouc – věkové složení soudců v letech 2008–202</w:t>
      </w:r>
      <w:bookmarkEnd w:id="2044"/>
      <w:bookmarkEnd w:id="2045"/>
      <w:r w:rsidRPr="00033A3F">
        <w:rPr>
          <w:color w:val="000000" w:themeColor="text1"/>
        </w:rPr>
        <w:t>4</w:t>
      </w:r>
      <w:bookmarkEnd w:id="2046"/>
      <w:bookmarkEnd w:id="2047"/>
      <w:bookmarkEnd w:id="2048"/>
    </w:p>
    <w:p w14:paraId="427556C2" w14:textId="092BEE62" w:rsidR="00DA4942" w:rsidRPr="00033A3F" w:rsidRDefault="00DA4942" w:rsidP="00DA4942">
      <w:pPr>
        <w:rPr>
          <w:color w:val="000000" w:themeColor="text1"/>
        </w:rPr>
      </w:pPr>
      <w:r w:rsidRPr="00033A3F">
        <w:rPr>
          <w:noProof/>
          <w:color w:val="000000" w:themeColor="text1"/>
          <w:lang w:eastAsia="cs-CZ"/>
        </w:rPr>
        <w:drawing>
          <wp:inline distT="0" distB="0" distL="0" distR="0" wp14:anchorId="2306EBE9" wp14:editId="2BE9FCD3">
            <wp:extent cx="5029200" cy="3657600"/>
            <wp:effectExtent l="0" t="0" r="0" b="0"/>
            <wp:docPr id="1563729259"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AD45514" w14:textId="77777777" w:rsidR="00DA4942" w:rsidRPr="00033A3F" w:rsidRDefault="00DA4942">
      <w:pPr>
        <w:spacing w:after="160" w:line="259" w:lineRule="auto"/>
        <w:jc w:val="left"/>
        <w:rPr>
          <w:color w:val="000000" w:themeColor="text1"/>
        </w:rPr>
      </w:pPr>
      <w:r w:rsidRPr="00033A3F">
        <w:rPr>
          <w:color w:val="000000" w:themeColor="text1"/>
        </w:rPr>
        <w:br w:type="page"/>
      </w:r>
    </w:p>
    <w:p w14:paraId="39D1B0B1" w14:textId="77777777" w:rsidR="00DA4942" w:rsidRPr="00033A3F" w:rsidRDefault="00DA4942" w:rsidP="00DA4942">
      <w:pPr>
        <w:pStyle w:val="OdstavecASR"/>
        <w:keepNext/>
        <w:rPr>
          <w:color w:val="000000" w:themeColor="text1"/>
          <w:lang w:eastAsia="cs-CZ"/>
        </w:rPr>
      </w:pPr>
      <w:r w:rsidRPr="00033A3F">
        <w:rPr>
          <w:color w:val="000000" w:themeColor="text1"/>
          <w:lang w:eastAsia="cs-CZ"/>
        </w:rPr>
        <w:lastRenderedPageBreak/>
        <w:t>Z grafů vyplývají následující závěry:</w:t>
      </w:r>
    </w:p>
    <w:p w14:paraId="3C745BD4" w14:textId="77777777" w:rsidR="00DA4942" w:rsidRPr="00033A3F" w:rsidRDefault="00DA4942" w:rsidP="00DA4942">
      <w:pPr>
        <w:pStyle w:val="OdstavecASR"/>
        <w:numPr>
          <w:ilvl w:val="0"/>
          <w:numId w:val="11"/>
        </w:numPr>
        <w:rPr>
          <w:color w:val="000000" w:themeColor="text1"/>
        </w:rPr>
      </w:pPr>
      <w:r w:rsidRPr="00033A3F">
        <w:rPr>
          <w:color w:val="000000" w:themeColor="text1"/>
        </w:rPr>
        <w:t>Soudci u vrchních soudů jsou v průměru starší než soudci u soudů krajských, a tedy i okresních. Stejně jako u rozdílu mezi OS a KS je důvodem tohoto rozdílu kariérní postup soudců. Od roku 2020 již u VS není žádný soudce pod 40 let. V roce 2019 byl jeden u VS v Praze, zřejmě se ale posunul do vyšší věkové skupiny. U VS v Olomouci nebyl žádný soudce ve věkové skupině do 40 let již od roku 2014.</w:t>
      </w:r>
    </w:p>
    <w:p w14:paraId="56F3B293" w14:textId="77777777" w:rsidR="00DA4942" w:rsidRPr="00033A3F" w:rsidRDefault="00DA4942" w:rsidP="00DA4942">
      <w:pPr>
        <w:pStyle w:val="OdstavecASR"/>
        <w:numPr>
          <w:ilvl w:val="0"/>
          <w:numId w:val="11"/>
        </w:numPr>
        <w:rPr>
          <w:color w:val="000000" w:themeColor="text1"/>
        </w:rPr>
      </w:pPr>
      <w:r w:rsidRPr="00033A3F">
        <w:rPr>
          <w:color w:val="000000" w:themeColor="text1"/>
        </w:rPr>
        <w:t>Z porovnání obou soudů vidíme, že u VS v Praze jsou větší věkové rozdíly mezi soudci než u VS v Olomouci. U VS v Olomouci je zdaleka nejpočetnější věková skupina mezi 51 a 60 lety. U VS v Praze je tato věková skupina sice také nejpočetnější, citelné zastoupení zde ale mají i věkové skupiny 41 až 50 let a 61 až 70 let.</w:t>
      </w:r>
    </w:p>
    <w:p w14:paraId="5E169415" w14:textId="77777777" w:rsidR="00DA4942" w:rsidRPr="00033A3F" w:rsidRDefault="00DA4942" w:rsidP="00DA4942">
      <w:pPr>
        <w:pStyle w:val="OdstavecASR"/>
        <w:numPr>
          <w:ilvl w:val="0"/>
          <w:numId w:val="11"/>
        </w:numPr>
        <w:rPr>
          <w:color w:val="000000" w:themeColor="text1"/>
        </w:rPr>
      </w:pPr>
      <w:r w:rsidRPr="00033A3F">
        <w:rPr>
          <w:color w:val="000000" w:themeColor="text1"/>
        </w:rPr>
        <w:t>U VS v Praze došlo v letech 2008 až 2012 k nárůstu podílu soudců ve věku 61 až 70 let. Od té doby se věková struktura příliš nemění. Není zde tedy patrný efekt, který jsme viděli u OS a KS.</w:t>
      </w:r>
    </w:p>
    <w:p w14:paraId="233BCBF0" w14:textId="0943FF7A" w:rsidR="00DA4942" w:rsidRPr="00033A3F" w:rsidRDefault="00DA4942" w:rsidP="00DA4942">
      <w:pPr>
        <w:pStyle w:val="OdstavecASR"/>
        <w:numPr>
          <w:ilvl w:val="0"/>
          <w:numId w:val="11"/>
        </w:numPr>
        <w:rPr>
          <w:color w:val="000000" w:themeColor="text1"/>
        </w:rPr>
      </w:pPr>
      <w:r w:rsidRPr="00033A3F">
        <w:rPr>
          <w:color w:val="000000" w:themeColor="text1"/>
        </w:rPr>
        <w:t xml:space="preserve">U VS v Olomouci je situace jiná. Na grafu je patrný velmi výrazný nárůst ve věku soudců. Zdůvodnění je prakticky stejné jako u okresních soudů. Ve sledovaném období 2008 až 2024 se již celkový počet soudců příliš nemění. Po roce 2000 se počet soudců rychle zvyšoval, počet nově příchozích soudců k VS v Olomouci za rok byl tedy výrazně vyšší než v pozdějším období a nově příchozí soudci byli relativně mladí. Právě tato rozsáhlá generace soudců se ve sledovaném období postupně přesouvá do vyšší věkové skupiny. Průměrný věk příchozích soudců se stále zvyšoval, což opět plyne ze změny věkové struktury u nižších článků soudní soustavy. Teprve v roce 2018 přišli na soud mladší soudci ve věkové skupině 41 až 50 let a </w:t>
      </w:r>
      <w:r w:rsidR="00244337" w:rsidRPr="00033A3F">
        <w:rPr>
          <w:color w:val="000000" w:themeColor="text1"/>
        </w:rPr>
        <w:t xml:space="preserve">až do roku 2022 </w:t>
      </w:r>
      <w:r w:rsidRPr="00033A3F">
        <w:rPr>
          <w:color w:val="000000" w:themeColor="text1"/>
        </w:rPr>
        <w:t>soudcovská populace VS Olomouc pomalu „mlád</w:t>
      </w:r>
      <w:r w:rsidR="00244337" w:rsidRPr="00033A3F">
        <w:rPr>
          <w:color w:val="000000" w:themeColor="text1"/>
        </w:rPr>
        <w:t>nula</w:t>
      </w:r>
      <w:r w:rsidRPr="00033A3F">
        <w:rPr>
          <w:color w:val="000000" w:themeColor="text1"/>
        </w:rPr>
        <w:t>“.</w:t>
      </w:r>
      <w:r w:rsidR="00244337" w:rsidRPr="00033A3F">
        <w:rPr>
          <w:color w:val="000000" w:themeColor="text1"/>
        </w:rPr>
        <w:t xml:space="preserve"> V roce 2023 se tento trend zastavil.</w:t>
      </w:r>
    </w:p>
    <w:p w14:paraId="144A7DF4" w14:textId="77777777" w:rsidR="00DA4942" w:rsidRPr="00033A3F" w:rsidRDefault="00DA4942" w:rsidP="00DA4942">
      <w:pPr>
        <w:rPr>
          <w:color w:val="000000" w:themeColor="text1"/>
        </w:rPr>
      </w:pPr>
    </w:p>
    <w:p w14:paraId="680034E0" w14:textId="3A3D3617" w:rsidR="004F7B79" w:rsidRPr="00033A3F" w:rsidRDefault="008430BD" w:rsidP="008430BD">
      <w:pPr>
        <w:pStyle w:val="Nadpis3"/>
        <w:numPr>
          <w:ilvl w:val="2"/>
          <w:numId w:val="1"/>
        </w:numPr>
        <w:rPr>
          <w:color w:val="000000" w:themeColor="text1"/>
          <w:lang w:eastAsia="cs-CZ"/>
        </w:rPr>
      </w:pPr>
      <w:bookmarkStart w:id="2049" w:name="_Toc515871280"/>
      <w:bookmarkStart w:id="2050" w:name="_Toc106092792"/>
      <w:bookmarkStart w:id="2051" w:name="_Toc169250868"/>
      <w:bookmarkStart w:id="2052" w:name="_Toc193531030"/>
      <w:bookmarkStart w:id="2053" w:name="_Toc193957088"/>
      <w:bookmarkStart w:id="2054" w:name="_Toc203032776"/>
      <w:r w:rsidRPr="00033A3F">
        <w:rPr>
          <w:color w:val="000000" w:themeColor="text1"/>
          <w:lang w:eastAsia="cs-CZ"/>
        </w:rPr>
        <w:t>Zaměstnanci ve výkonu</w:t>
      </w:r>
      <w:bookmarkEnd w:id="2049"/>
      <w:bookmarkEnd w:id="2050"/>
      <w:bookmarkEnd w:id="2051"/>
      <w:bookmarkEnd w:id="2052"/>
      <w:bookmarkEnd w:id="2053"/>
      <w:bookmarkEnd w:id="2054"/>
    </w:p>
    <w:p w14:paraId="56300483" w14:textId="50A1ACCF" w:rsidR="00DA4942" w:rsidRPr="00033A3F" w:rsidRDefault="00DA4942" w:rsidP="00DA4942">
      <w:pPr>
        <w:pStyle w:val="Podnadpis"/>
        <w:numPr>
          <w:ilvl w:val="0"/>
          <w:numId w:val="0"/>
        </w:numPr>
        <w:rPr>
          <w:color w:val="000000" w:themeColor="text1"/>
        </w:rPr>
      </w:pPr>
      <w:bookmarkStart w:id="2055" w:name="_Toc515871502"/>
      <w:bookmarkStart w:id="2056" w:name="_Toc11133268"/>
      <w:bookmarkStart w:id="2057" w:name="_Toc43931250"/>
      <w:bookmarkStart w:id="2058" w:name="_Toc75952384"/>
      <w:bookmarkStart w:id="2059" w:name="_Toc106106837"/>
      <w:bookmarkStart w:id="2060" w:name="_Toc109802160"/>
      <w:bookmarkStart w:id="2061" w:name="_Toc144104319"/>
      <w:bookmarkStart w:id="2062" w:name="_Toc169251133"/>
      <w:bookmarkStart w:id="2063" w:name="_Toc174080819"/>
      <w:bookmarkStart w:id="2064" w:name="_Toc193530945"/>
      <w:bookmarkStart w:id="2065" w:name="_Toc194045642"/>
      <w:bookmarkStart w:id="2066" w:name="_Toc199495052"/>
      <w:bookmarkStart w:id="2067" w:name="_Toc203033113"/>
      <w:bookmarkStart w:id="2068" w:name="_Toc203033191"/>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71</w:t>
      </w:r>
      <w:r w:rsidRPr="00033A3F">
        <w:rPr>
          <w:color w:val="000000" w:themeColor="text1"/>
        </w:rPr>
        <w:fldChar w:fldCharType="end"/>
      </w:r>
      <w:r w:rsidRPr="00033A3F">
        <w:rPr>
          <w:color w:val="000000" w:themeColor="text1"/>
        </w:rPr>
        <w:t>: VS – počet zaměstnanců ve výkonu dle soudů</w:t>
      </w:r>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tbl>
      <w:tblPr>
        <w:tblW w:w="7280" w:type="dxa"/>
        <w:tblCellMar>
          <w:left w:w="70" w:type="dxa"/>
          <w:right w:w="70" w:type="dxa"/>
        </w:tblCellMar>
        <w:tblLook w:val="04A0" w:firstRow="1" w:lastRow="0" w:firstColumn="1" w:lastColumn="0" w:noHBand="0" w:noVBand="1"/>
      </w:tblPr>
      <w:tblGrid>
        <w:gridCol w:w="2080"/>
        <w:gridCol w:w="904"/>
        <w:gridCol w:w="581"/>
        <w:gridCol w:w="466"/>
        <w:gridCol w:w="645"/>
        <w:gridCol w:w="658"/>
        <w:gridCol w:w="466"/>
        <w:gridCol w:w="1480"/>
      </w:tblGrid>
      <w:tr w:rsidR="00033A3F" w:rsidRPr="00033A3F" w14:paraId="14364362" w14:textId="77777777" w:rsidTr="00DA4942">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6DF97DF1"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200" w:type="dxa"/>
            <w:gridSpan w:val="7"/>
            <w:tcBorders>
              <w:top w:val="double" w:sz="6" w:space="0" w:color="auto"/>
              <w:left w:val="nil"/>
              <w:bottom w:val="nil"/>
              <w:right w:val="nil"/>
            </w:tcBorders>
            <w:shd w:val="clear" w:color="auto" w:fill="auto"/>
            <w:noWrap/>
            <w:vAlign w:val="bottom"/>
            <w:hideMark/>
          </w:tcPr>
          <w:p w14:paraId="17618BA0"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0853735C" w14:textId="77777777" w:rsidTr="00DA4942">
        <w:trPr>
          <w:trHeight w:val="330"/>
        </w:trPr>
        <w:tc>
          <w:tcPr>
            <w:tcW w:w="2080" w:type="dxa"/>
            <w:vMerge/>
            <w:tcBorders>
              <w:top w:val="double" w:sz="6" w:space="0" w:color="auto"/>
              <w:left w:val="nil"/>
              <w:bottom w:val="double" w:sz="6" w:space="0" w:color="000000"/>
              <w:right w:val="nil"/>
            </w:tcBorders>
            <w:vAlign w:val="center"/>
            <w:hideMark/>
          </w:tcPr>
          <w:p w14:paraId="00C3BA4E" w14:textId="77777777" w:rsidR="00DA4942" w:rsidRPr="00033A3F" w:rsidRDefault="00DA4942" w:rsidP="00DA4942">
            <w:pPr>
              <w:spacing w:line="240" w:lineRule="auto"/>
              <w:jc w:val="left"/>
              <w:rPr>
                <w:rFonts w:eastAsia="Times New Roman"/>
                <w:b/>
                <w:bCs/>
                <w:color w:val="000000" w:themeColor="text1"/>
                <w:szCs w:val="24"/>
                <w:lang w:eastAsia="cs-CZ"/>
              </w:rPr>
            </w:pPr>
          </w:p>
        </w:tc>
        <w:tc>
          <w:tcPr>
            <w:tcW w:w="904" w:type="dxa"/>
            <w:tcBorders>
              <w:top w:val="nil"/>
              <w:left w:val="nil"/>
              <w:bottom w:val="double" w:sz="6" w:space="0" w:color="auto"/>
              <w:right w:val="nil"/>
            </w:tcBorders>
            <w:shd w:val="clear" w:color="auto" w:fill="auto"/>
            <w:noWrap/>
            <w:vAlign w:val="bottom"/>
            <w:hideMark/>
          </w:tcPr>
          <w:p w14:paraId="6FCF028C"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VSÚ</w:t>
            </w:r>
          </w:p>
        </w:tc>
        <w:tc>
          <w:tcPr>
            <w:tcW w:w="581" w:type="dxa"/>
            <w:tcBorders>
              <w:top w:val="nil"/>
              <w:left w:val="nil"/>
              <w:bottom w:val="double" w:sz="6" w:space="0" w:color="auto"/>
              <w:right w:val="nil"/>
            </w:tcBorders>
            <w:shd w:val="clear" w:color="auto" w:fill="auto"/>
            <w:noWrap/>
            <w:vAlign w:val="bottom"/>
            <w:hideMark/>
          </w:tcPr>
          <w:p w14:paraId="73A1A83F"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ST</w:t>
            </w:r>
          </w:p>
        </w:tc>
        <w:tc>
          <w:tcPr>
            <w:tcW w:w="466" w:type="dxa"/>
            <w:tcBorders>
              <w:top w:val="nil"/>
              <w:left w:val="nil"/>
              <w:bottom w:val="double" w:sz="6" w:space="0" w:color="auto"/>
              <w:right w:val="nil"/>
            </w:tcBorders>
            <w:shd w:val="clear" w:color="auto" w:fill="auto"/>
            <w:noWrap/>
            <w:vAlign w:val="bottom"/>
            <w:hideMark/>
          </w:tcPr>
          <w:p w14:paraId="1BC07A24"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A</w:t>
            </w:r>
          </w:p>
        </w:tc>
        <w:tc>
          <w:tcPr>
            <w:tcW w:w="645" w:type="dxa"/>
            <w:tcBorders>
              <w:top w:val="nil"/>
              <w:left w:val="nil"/>
              <w:bottom w:val="double" w:sz="6" w:space="0" w:color="auto"/>
              <w:right w:val="nil"/>
            </w:tcBorders>
            <w:shd w:val="clear" w:color="auto" w:fill="auto"/>
            <w:noWrap/>
            <w:vAlign w:val="bottom"/>
            <w:hideMark/>
          </w:tcPr>
          <w:p w14:paraId="421A774B"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VK</w:t>
            </w:r>
          </w:p>
        </w:tc>
        <w:tc>
          <w:tcPr>
            <w:tcW w:w="658" w:type="dxa"/>
            <w:tcBorders>
              <w:top w:val="nil"/>
              <w:left w:val="nil"/>
              <w:bottom w:val="double" w:sz="6" w:space="0" w:color="auto"/>
              <w:right w:val="nil"/>
            </w:tcBorders>
            <w:shd w:val="clear" w:color="auto" w:fill="auto"/>
            <w:noWrap/>
            <w:vAlign w:val="bottom"/>
            <w:hideMark/>
          </w:tcPr>
          <w:p w14:paraId="0C5F4547"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PÚ</w:t>
            </w:r>
          </w:p>
        </w:tc>
        <w:tc>
          <w:tcPr>
            <w:tcW w:w="466" w:type="dxa"/>
            <w:tcBorders>
              <w:top w:val="nil"/>
              <w:left w:val="nil"/>
              <w:bottom w:val="double" w:sz="6" w:space="0" w:color="auto"/>
              <w:right w:val="nil"/>
            </w:tcBorders>
            <w:shd w:val="clear" w:color="auto" w:fill="auto"/>
            <w:noWrap/>
            <w:vAlign w:val="bottom"/>
            <w:hideMark/>
          </w:tcPr>
          <w:p w14:paraId="3DF15DC7"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Z</w:t>
            </w:r>
          </w:p>
        </w:tc>
        <w:tc>
          <w:tcPr>
            <w:tcW w:w="1480" w:type="dxa"/>
            <w:tcBorders>
              <w:top w:val="nil"/>
              <w:left w:val="nil"/>
              <w:bottom w:val="double" w:sz="6" w:space="0" w:color="auto"/>
              <w:right w:val="nil"/>
            </w:tcBorders>
            <w:shd w:val="clear" w:color="auto" w:fill="auto"/>
            <w:noWrap/>
            <w:vAlign w:val="bottom"/>
            <w:hideMark/>
          </w:tcPr>
          <w:p w14:paraId="6FA782D7"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r>
      <w:tr w:rsidR="00033A3F" w:rsidRPr="00033A3F" w14:paraId="14C321B5" w14:textId="77777777" w:rsidTr="00DA4942">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047D50A4" w14:textId="77777777" w:rsidR="00DA4942" w:rsidRPr="00033A3F" w:rsidRDefault="00DA4942" w:rsidP="00DA494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Praha</w:t>
            </w:r>
          </w:p>
        </w:tc>
        <w:tc>
          <w:tcPr>
            <w:tcW w:w="904" w:type="dxa"/>
            <w:tcBorders>
              <w:top w:val="single" w:sz="4" w:space="0" w:color="auto"/>
              <w:left w:val="nil"/>
              <w:bottom w:val="single" w:sz="4" w:space="0" w:color="auto"/>
              <w:right w:val="nil"/>
            </w:tcBorders>
            <w:shd w:val="clear" w:color="auto" w:fill="auto"/>
            <w:noWrap/>
            <w:vAlign w:val="bottom"/>
            <w:hideMark/>
          </w:tcPr>
          <w:p w14:paraId="568B4A3D"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581" w:type="dxa"/>
            <w:tcBorders>
              <w:top w:val="single" w:sz="4" w:space="0" w:color="auto"/>
              <w:left w:val="nil"/>
              <w:bottom w:val="single" w:sz="4" w:space="0" w:color="auto"/>
              <w:right w:val="nil"/>
            </w:tcBorders>
            <w:shd w:val="clear" w:color="auto" w:fill="auto"/>
            <w:noWrap/>
            <w:vAlign w:val="bottom"/>
            <w:hideMark/>
          </w:tcPr>
          <w:p w14:paraId="38ABFBE0"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p>
        </w:tc>
        <w:tc>
          <w:tcPr>
            <w:tcW w:w="466" w:type="dxa"/>
            <w:tcBorders>
              <w:top w:val="single" w:sz="4" w:space="0" w:color="auto"/>
              <w:left w:val="nil"/>
              <w:bottom w:val="single" w:sz="4" w:space="0" w:color="auto"/>
              <w:right w:val="nil"/>
            </w:tcBorders>
            <w:shd w:val="clear" w:color="auto" w:fill="auto"/>
            <w:noWrap/>
            <w:vAlign w:val="bottom"/>
            <w:hideMark/>
          </w:tcPr>
          <w:p w14:paraId="38EA8190"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645" w:type="dxa"/>
            <w:tcBorders>
              <w:top w:val="single" w:sz="4" w:space="0" w:color="auto"/>
              <w:left w:val="nil"/>
              <w:bottom w:val="single" w:sz="4" w:space="0" w:color="auto"/>
              <w:right w:val="nil"/>
            </w:tcBorders>
            <w:shd w:val="clear" w:color="auto" w:fill="auto"/>
            <w:noWrap/>
            <w:vAlign w:val="bottom"/>
            <w:hideMark/>
          </w:tcPr>
          <w:p w14:paraId="17794C34"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658" w:type="dxa"/>
            <w:tcBorders>
              <w:top w:val="single" w:sz="4" w:space="0" w:color="auto"/>
              <w:left w:val="nil"/>
              <w:bottom w:val="single" w:sz="4" w:space="0" w:color="auto"/>
              <w:right w:val="nil"/>
            </w:tcBorders>
            <w:shd w:val="clear" w:color="auto" w:fill="auto"/>
            <w:noWrap/>
            <w:vAlign w:val="bottom"/>
            <w:hideMark/>
          </w:tcPr>
          <w:p w14:paraId="236D2708"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466" w:type="dxa"/>
            <w:tcBorders>
              <w:top w:val="single" w:sz="4" w:space="0" w:color="auto"/>
              <w:left w:val="nil"/>
              <w:bottom w:val="single" w:sz="4" w:space="0" w:color="auto"/>
              <w:right w:val="nil"/>
            </w:tcBorders>
            <w:shd w:val="clear" w:color="auto" w:fill="auto"/>
            <w:noWrap/>
            <w:vAlign w:val="bottom"/>
            <w:hideMark/>
          </w:tcPr>
          <w:p w14:paraId="2D7F23F7"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1480" w:type="dxa"/>
            <w:tcBorders>
              <w:top w:val="single" w:sz="4" w:space="0" w:color="auto"/>
              <w:left w:val="nil"/>
              <w:bottom w:val="single" w:sz="4" w:space="0" w:color="auto"/>
              <w:right w:val="nil"/>
            </w:tcBorders>
            <w:shd w:val="clear" w:color="auto" w:fill="auto"/>
            <w:noWrap/>
            <w:vAlign w:val="bottom"/>
            <w:hideMark/>
          </w:tcPr>
          <w:p w14:paraId="01938E34"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99</w:t>
            </w:r>
          </w:p>
        </w:tc>
      </w:tr>
      <w:tr w:rsidR="00033A3F" w:rsidRPr="00033A3F" w14:paraId="46885171" w14:textId="77777777" w:rsidTr="00DA4942">
        <w:trPr>
          <w:trHeight w:val="330"/>
        </w:trPr>
        <w:tc>
          <w:tcPr>
            <w:tcW w:w="2080" w:type="dxa"/>
            <w:tcBorders>
              <w:top w:val="nil"/>
              <w:left w:val="nil"/>
              <w:bottom w:val="nil"/>
              <w:right w:val="nil"/>
            </w:tcBorders>
            <w:shd w:val="clear" w:color="auto" w:fill="auto"/>
            <w:noWrap/>
            <w:vAlign w:val="bottom"/>
            <w:hideMark/>
          </w:tcPr>
          <w:p w14:paraId="1CF0D4CE" w14:textId="77777777" w:rsidR="00DA4942" w:rsidRPr="00033A3F" w:rsidRDefault="00DA4942" w:rsidP="00DA494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Olomouc</w:t>
            </w:r>
          </w:p>
        </w:tc>
        <w:tc>
          <w:tcPr>
            <w:tcW w:w="904" w:type="dxa"/>
            <w:tcBorders>
              <w:top w:val="nil"/>
              <w:left w:val="nil"/>
              <w:bottom w:val="nil"/>
              <w:right w:val="nil"/>
            </w:tcBorders>
            <w:shd w:val="clear" w:color="auto" w:fill="auto"/>
            <w:noWrap/>
            <w:vAlign w:val="bottom"/>
            <w:hideMark/>
          </w:tcPr>
          <w:p w14:paraId="5E209CB7"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581" w:type="dxa"/>
            <w:tcBorders>
              <w:top w:val="nil"/>
              <w:left w:val="nil"/>
              <w:bottom w:val="nil"/>
              <w:right w:val="nil"/>
            </w:tcBorders>
            <w:shd w:val="clear" w:color="auto" w:fill="auto"/>
            <w:noWrap/>
            <w:vAlign w:val="bottom"/>
            <w:hideMark/>
          </w:tcPr>
          <w:p w14:paraId="242911AE"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466" w:type="dxa"/>
            <w:tcBorders>
              <w:top w:val="nil"/>
              <w:left w:val="nil"/>
              <w:bottom w:val="nil"/>
              <w:right w:val="nil"/>
            </w:tcBorders>
            <w:shd w:val="clear" w:color="auto" w:fill="auto"/>
            <w:noWrap/>
            <w:vAlign w:val="bottom"/>
            <w:hideMark/>
          </w:tcPr>
          <w:p w14:paraId="5697FF4D"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c>
          <w:tcPr>
            <w:tcW w:w="645" w:type="dxa"/>
            <w:tcBorders>
              <w:top w:val="nil"/>
              <w:left w:val="nil"/>
              <w:bottom w:val="nil"/>
              <w:right w:val="nil"/>
            </w:tcBorders>
            <w:shd w:val="clear" w:color="auto" w:fill="auto"/>
            <w:noWrap/>
            <w:vAlign w:val="bottom"/>
            <w:hideMark/>
          </w:tcPr>
          <w:p w14:paraId="202A0491"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658" w:type="dxa"/>
            <w:tcBorders>
              <w:top w:val="nil"/>
              <w:left w:val="nil"/>
              <w:bottom w:val="nil"/>
              <w:right w:val="nil"/>
            </w:tcBorders>
            <w:shd w:val="clear" w:color="auto" w:fill="auto"/>
            <w:noWrap/>
            <w:vAlign w:val="bottom"/>
            <w:hideMark/>
          </w:tcPr>
          <w:p w14:paraId="06FDEF1E"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466" w:type="dxa"/>
            <w:tcBorders>
              <w:top w:val="nil"/>
              <w:left w:val="nil"/>
              <w:bottom w:val="nil"/>
              <w:right w:val="nil"/>
            </w:tcBorders>
            <w:shd w:val="clear" w:color="auto" w:fill="auto"/>
            <w:noWrap/>
            <w:vAlign w:val="bottom"/>
            <w:hideMark/>
          </w:tcPr>
          <w:p w14:paraId="56CB0D77"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480" w:type="dxa"/>
            <w:tcBorders>
              <w:top w:val="nil"/>
              <w:left w:val="nil"/>
              <w:bottom w:val="single" w:sz="4" w:space="0" w:color="auto"/>
              <w:right w:val="nil"/>
            </w:tcBorders>
            <w:shd w:val="clear" w:color="auto" w:fill="auto"/>
            <w:noWrap/>
            <w:vAlign w:val="bottom"/>
            <w:hideMark/>
          </w:tcPr>
          <w:p w14:paraId="46D07794"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35</w:t>
            </w:r>
          </w:p>
        </w:tc>
      </w:tr>
      <w:tr w:rsidR="00033A3F" w:rsidRPr="00033A3F" w14:paraId="1130C8A6" w14:textId="77777777" w:rsidTr="00DA4942">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76A92C5F" w14:textId="77777777" w:rsidR="00DA4942" w:rsidRPr="00033A3F" w:rsidRDefault="00DA4942" w:rsidP="00DA494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04" w:type="dxa"/>
            <w:tcBorders>
              <w:top w:val="double" w:sz="6" w:space="0" w:color="auto"/>
              <w:left w:val="nil"/>
              <w:bottom w:val="double" w:sz="6" w:space="0" w:color="auto"/>
              <w:right w:val="nil"/>
            </w:tcBorders>
            <w:shd w:val="clear" w:color="auto" w:fill="auto"/>
            <w:noWrap/>
            <w:vAlign w:val="bottom"/>
            <w:hideMark/>
          </w:tcPr>
          <w:p w14:paraId="53182DEC"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w:t>
            </w:r>
          </w:p>
        </w:tc>
        <w:tc>
          <w:tcPr>
            <w:tcW w:w="581" w:type="dxa"/>
            <w:tcBorders>
              <w:top w:val="double" w:sz="6" w:space="0" w:color="auto"/>
              <w:left w:val="nil"/>
              <w:bottom w:val="double" w:sz="6" w:space="0" w:color="auto"/>
              <w:right w:val="nil"/>
            </w:tcBorders>
            <w:shd w:val="clear" w:color="auto" w:fill="auto"/>
            <w:noWrap/>
            <w:vAlign w:val="bottom"/>
            <w:hideMark/>
          </w:tcPr>
          <w:p w14:paraId="61A6A8D9"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w:t>
            </w:r>
          </w:p>
        </w:tc>
        <w:tc>
          <w:tcPr>
            <w:tcW w:w="466" w:type="dxa"/>
            <w:tcBorders>
              <w:top w:val="double" w:sz="6" w:space="0" w:color="auto"/>
              <w:left w:val="nil"/>
              <w:bottom w:val="double" w:sz="6" w:space="0" w:color="auto"/>
              <w:right w:val="nil"/>
            </w:tcBorders>
            <w:shd w:val="clear" w:color="auto" w:fill="auto"/>
            <w:noWrap/>
            <w:vAlign w:val="bottom"/>
            <w:hideMark/>
          </w:tcPr>
          <w:p w14:paraId="51A87F2C"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56</w:t>
            </w:r>
          </w:p>
        </w:tc>
        <w:tc>
          <w:tcPr>
            <w:tcW w:w="645" w:type="dxa"/>
            <w:tcBorders>
              <w:top w:val="double" w:sz="6" w:space="0" w:color="auto"/>
              <w:left w:val="nil"/>
              <w:bottom w:val="double" w:sz="6" w:space="0" w:color="auto"/>
              <w:right w:val="nil"/>
            </w:tcBorders>
            <w:shd w:val="clear" w:color="auto" w:fill="auto"/>
            <w:noWrap/>
            <w:vAlign w:val="bottom"/>
            <w:hideMark/>
          </w:tcPr>
          <w:p w14:paraId="48239BDE"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w:t>
            </w:r>
          </w:p>
        </w:tc>
        <w:tc>
          <w:tcPr>
            <w:tcW w:w="658" w:type="dxa"/>
            <w:tcBorders>
              <w:top w:val="double" w:sz="6" w:space="0" w:color="auto"/>
              <w:left w:val="nil"/>
              <w:bottom w:val="double" w:sz="6" w:space="0" w:color="auto"/>
              <w:right w:val="nil"/>
            </w:tcBorders>
            <w:shd w:val="clear" w:color="auto" w:fill="auto"/>
            <w:noWrap/>
            <w:vAlign w:val="bottom"/>
            <w:hideMark/>
          </w:tcPr>
          <w:p w14:paraId="191F682C"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w:t>
            </w:r>
          </w:p>
        </w:tc>
        <w:tc>
          <w:tcPr>
            <w:tcW w:w="466" w:type="dxa"/>
            <w:tcBorders>
              <w:top w:val="double" w:sz="6" w:space="0" w:color="auto"/>
              <w:left w:val="nil"/>
              <w:bottom w:val="double" w:sz="6" w:space="0" w:color="auto"/>
              <w:right w:val="nil"/>
            </w:tcBorders>
            <w:shd w:val="clear" w:color="auto" w:fill="auto"/>
            <w:noWrap/>
            <w:vAlign w:val="bottom"/>
            <w:hideMark/>
          </w:tcPr>
          <w:p w14:paraId="64EC0F43"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w:t>
            </w:r>
          </w:p>
        </w:tc>
        <w:tc>
          <w:tcPr>
            <w:tcW w:w="1480" w:type="dxa"/>
            <w:tcBorders>
              <w:top w:val="double" w:sz="6" w:space="0" w:color="auto"/>
              <w:left w:val="nil"/>
              <w:bottom w:val="double" w:sz="6" w:space="0" w:color="auto"/>
              <w:right w:val="nil"/>
            </w:tcBorders>
            <w:shd w:val="clear" w:color="auto" w:fill="auto"/>
            <w:noWrap/>
            <w:vAlign w:val="bottom"/>
            <w:hideMark/>
          </w:tcPr>
          <w:p w14:paraId="4F126EC8"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133</w:t>
            </w:r>
          </w:p>
        </w:tc>
      </w:tr>
      <w:tr w:rsidR="00033A3F" w:rsidRPr="00033A3F" w14:paraId="15683BB7" w14:textId="77777777" w:rsidTr="00DA4942">
        <w:trPr>
          <w:trHeight w:val="330"/>
        </w:trPr>
        <w:tc>
          <w:tcPr>
            <w:tcW w:w="2080" w:type="dxa"/>
            <w:tcBorders>
              <w:top w:val="nil"/>
              <w:left w:val="nil"/>
              <w:bottom w:val="nil"/>
              <w:right w:val="nil"/>
            </w:tcBorders>
            <w:shd w:val="clear" w:color="auto" w:fill="auto"/>
            <w:noWrap/>
            <w:vAlign w:val="bottom"/>
            <w:hideMark/>
          </w:tcPr>
          <w:p w14:paraId="178E418D" w14:textId="77777777" w:rsidR="00DA4942" w:rsidRPr="00033A3F" w:rsidRDefault="00DA4942" w:rsidP="00DA4942">
            <w:pPr>
              <w:spacing w:line="240" w:lineRule="auto"/>
              <w:jc w:val="center"/>
              <w:rPr>
                <w:rFonts w:eastAsia="Times New Roman"/>
                <w:b/>
                <w:bCs/>
                <w:color w:val="000000" w:themeColor="text1"/>
                <w:szCs w:val="24"/>
                <w:lang w:eastAsia="cs-CZ"/>
              </w:rPr>
            </w:pPr>
          </w:p>
        </w:tc>
        <w:tc>
          <w:tcPr>
            <w:tcW w:w="904" w:type="dxa"/>
            <w:tcBorders>
              <w:top w:val="nil"/>
              <w:left w:val="nil"/>
              <w:bottom w:val="nil"/>
              <w:right w:val="nil"/>
            </w:tcBorders>
            <w:shd w:val="clear" w:color="auto" w:fill="auto"/>
            <w:noWrap/>
            <w:vAlign w:val="bottom"/>
            <w:hideMark/>
          </w:tcPr>
          <w:p w14:paraId="47758F5F"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581" w:type="dxa"/>
            <w:tcBorders>
              <w:top w:val="nil"/>
              <w:left w:val="nil"/>
              <w:bottom w:val="nil"/>
              <w:right w:val="nil"/>
            </w:tcBorders>
            <w:shd w:val="clear" w:color="auto" w:fill="auto"/>
            <w:noWrap/>
            <w:vAlign w:val="bottom"/>
            <w:hideMark/>
          </w:tcPr>
          <w:p w14:paraId="0409FE7D"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466" w:type="dxa"/>
            <w:tcBorders>
              <w:top w:val="nil"/>
              <w:left w:val="nil"/>
              <w:bottom w:val="nil"/>
              <w:right w:val="nil"/>
            </w:tcBorders>
            <w:shd w:val="clear" w:color="auto" w:fill="auto"/>
            <w:noWrap/>
            <w:vAlign w:val="bottom"/>
            <w:hideMark/>
          </w:tcPr>
          <w:p w14:paraId="0E74C61F"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645" w:type="dxa"/>
            <w:tcBorders>
              <w:top w:val="nil"/>
              <w:left w:val="nil"/>
              <w:bottom w:val="nil"/>
              <w:right w:val="nil"/>
            </w:tcBorders>
            <w:shd w:val="clear" w:color="auto" w:fill="auto"/>
            <w:noWrap/>
            <w:vAlign w:val="bottom"/>
            <w:hideMark/>
          </w:tcPr>
          <w:p w14:paraId="30E15C65"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658" w:type="dxa"/>
            <w:tcBorders>
              <w:top w:val="nil"/>
              <w:left w:val="nil"/>
              <w:bottom w:val="nil"/>
              <w:right w:val="nil"/>
            </w:tcBorders>
            <w:shd w:val="clear" w:color="auto" w:fill="auto"/>
            <w:noWrap/>
            <w:vAlign w:val="bottom"/>
            <w:hideMark/>
          </w:tcPr>
          <w:p w14:paraId="50A24CF5"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466" w:type="dxa"/>
            <w:tcBorders>
              <w:top w:val="nil"/>
              <w:left w:val="nil"/>
              <w:bottom w:val="nil"/>
              <w:right w:val="nil"/>
            </w:tcBorders>
            <w:shd w:val="clear" w:color="auto" w:fill="auto"/>
            <w:noWrap/>
            <w:vAlign w:val="bottom"/>
            <w:hideMark/>
          </w:tcPr>
          <w:p w14:paraId="7D6F2AAB"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1480" w:type="dxa"/>
            <w:tcBorders>
              <w:top w:val="nil"/>
              <w:left w:val="nil"/>
              <w:bottom w:val="nil"/>
              <w:right w:val="nil"/>
            </w:tcBorders>
            <w:shd w:val="clear" w:color="auto" w:fill="auto"/>
            <w:noWrap/>
            <w:vAlign w:val="bottom"/>
            <w:hideMark/>
          </w:tcPr>
          <w:p w14:paraId="2CC4CFE4"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r>
    </w:tbl>
    <w:p w14:paraId="5950D690" w14:textId="3108220B" w:rsidR="004F7B79" w:rsidRPr="00033A3F" w:rsidRDefault="00DA4942" w:rsidP="00244337">
      <w:pPr>
        <w:pStyle w:val="OdstavecASR"/>
        <w:rPr>
          <w:rFonts w:eastAsia="Times New Roman"/>
          <w:color w:val="000000" w:themeColor="text1"/>
          <w:lang w:eastAsia="cs-CZ"/>
        </w:rPr>
      </w:pPr>
      <w:r w:rsidRPr="00033A3F">
        <w:rPr>
          <w:color w:val="000000" w:themeColor="text1"/>
        </w:rPr>
        <w:t>U vrchních soudů je počet zaměstnanců ve výkonu v poměru k počtu soudců nižší než u krajských soudů, a tedy i nižší než u soudů okresních. To souvisí se složitostí vyřizované agendy a s tím, že vrchní soudy rozhodují pouze v tříčlenných senátech. Ve srovnání s předchozím rokem došlo jen k malým změnám</w:t>
      </w:r>
      <w:r w:rsidR="00FB0E18" w:rsidRPr="00033A3F">
        <w:rPr>
          <w:color w:val="000000" w:themeColor="text1"/>
        </w:rPr>
        <w:t xml:space="preserve">, od roku 2016 se </w:t>
      </w:r>
      <w:r w:rsidR="00107F55" w:rsidRPr="00033A3F">
        <w:rPr>
          <w:color w:val="000000" w:themeColor="text1"/>
        </w:rPr>
        <w:t xml:space="preserve">však </w:t>
      </w:r>
      <w:r w:rsidR="00FB0E18" w:rsidRPr="00033A3F">
        <w:rPr>
          <w:color w:val="000000" w:themeColor="text1"/>
        </w:rPr>
        <w:t>počet zvýšil o 20</w:t>
      </w:r>
      <w:r w:rsidR="00244337" w:rsidRPr="00033A3F">
        <w:rPr>
          <w:color w:val="000000" w:themeColor="text1"/>
        </w:rPr>
        <w:t xml:space="preserve"> osob</w:t>
      </w:r>
      <w:r w:rsidR="00FB0E18" w:rsidRPr="00033A3F">
        <w:rPr>
          <w:color w:val="000000" w:themeColor="text1"/>
        </w:rPr>
        <w:t>, z toho v Praze o 18</w:t>
      </w:r>
      <w:r w:rsidR="00244337" w:rsidRPr="00033A3F">
        <w:rPr>
          <w:color w:val="000000" w:themeColor="text1"/>
        </w:rPr>
        <w:t xml:space="preserve"> </w:t>
      </w:r>
      <w:r w:rsidR="00134471" w:rsidRPr="00033A3F">
        <w:rPr>
          <w:color w:val="000000" w:themeColor="text1"/>
        </w:rPr>
        <w:t xml:space="preserve">– </w:t>
      </w:r>
      <w:r w:rsidR="00137392" w:rsidRPr="00033A3F">
        <w:rPr>
          <w:color w:val="000000" w:themeColor="text1"/>
        </w:rPr>
        <w:t>nárůst byl</w:t>
      </w:r>
      <w:r w:rsidR="00134471" w:rsidRPr="00033A3F">
        <w:rPr>
          <w:color w:val="000000" w:themeColor="text1"/>
        </w:rPr>
        <w:t xml:space="preserve"> prioritně </w:t>
      </w:r>
      <w:r w:rsidR="00137392" w:rsidRPr="00033A3F">
        <w:rPr>
          <w:color w:val="000000" w:themeColor="text1"/>
        </w:rPr>
        <w:t>u</w:t>
      </w:r>
      <w:r w:rsidR="00134471" w:rsidRPr="00033A3F">
        <w:rPr>
          <w:color w:val="000000" w:themeColor="text1"/>
        </w:rPr>
        <w:t xml:space="preserve"> asistentů soudců, jejichž počet se za 8 let zdvojnásobil u obou vrchních soudů</w:t>
      </w:r>
      <w:r w:rsidR="00137392" w:rsidRPr="00033A3F">
        <w:rPr>
          <w:color w:val="000000" w:themeColor="text1"/>
        </w:rPr>
        <w:t xml:space="preserve"> při mírném snížení počtu ostatních zaměstnanců ve výkonu</w:t>
      </w:r>
      <w:r w:rsidRPr="00033A3F">
        <w:rPr>
          <w:color w:val="000000" w:themeColor="text1"/>
        </w:rPr>
        <w:t>.</w:t>
      </w:r>
    </w:p>
    <w:p w14:paraId="27F9D7BB" w14:textId="77777777" w:rsidR="008D7769" w:rsidRPr="00033A3F" w:rsidRDefault="008D7769" w:rsidP="008D7769">
      <w:pPr>
        <w:pStyle w:val="Nadpis2"/>
        <w:numPr>
          <w:ilvl w:val="1"/>
          <w:numId w:val="1"/>
        </w:numPr>
        <w:spacing w:before="120"/>
      </w:pPr>
      <w:bookmarkStart w:id="2069" w:name="_Toc109801404"/>
      <w:bookmarkStart w:id="2070" w:name="_Toc169250869"/>
      <w:bookmarkStart w:id="2071" w:name="_Toc193531031"/>
      <w:bookmarkStart w:id="2072" w:name="_Toc193957089"/>
      <w:bookmarkStart w:id="2073" w:name="_Toc203032777"/>
      <w:r w:rsidRPr="00033A3F">
        <w:lastRenderedPageBreak/>
        <w:t>Civilní a obchodní odvolací agenda</w:t>
      </w:r>
      <w:bookmarkEnd w:id="2069"/>
      <w:bookmarkEnd w:id="2070"/>
      <w:bookmarkEnd w:id="2071"/>
      <w:bookmarkEnd w:id="2072"/>
      <w:bookmarkEnd w:id="2073"/>
    </w:p>
    <w:p w14:paraId="1676B735" w14:textId="77777777" w:rsidR="00793DEB" w:rsidRPr="00033A3F" w:rsidRDefault="00793DEB" w:rsidP="00793DEB">
      <w:pPr>
        <w:pStyle w:val="OdstavecASR"/>
        <w:rPr>
          <w:color w:val="000000" w:themeColor="text1"/>
        </w:rPr>
      </w:pPr>
      <w:r w:rsidRPr="00033A3F">
        <w:rPr>
          <w:color w:val="000000" w:themeColor="text1"/>
        </w:rPr>
        <w:t>Jak již bylo uvedeno, vrchní soudy nevyřizují prvostupňovou civilní a obchodní agendu. Zabývají se agendou odvolací, což jsou rejstříky Co a Cmo. Ve způsobu vedení statistik nedošlo k žádným výrazným změnám.</w:t>
      </w:r>
    </w:p>
    <w:p w14:paraId="3C93DC31" w14:textId="22161C54" w:rsidR="00CF22A1" w:rsidRPr="00033A3F" w:rsidRDefault="00CF22A1" w:rsidP="00CF22A1">
      <w:pPr>
        <w:pStyle w:val="Nadpis3"/>
        <w:numPr>
          <w:ilvl w:val="2"/>
          <w:numId w:val="1"/>
        </w:numPr>
        <w:rPr>
          <w:color w:val="000000" w:themeColor="text1"/>
          <w:lang w:eastAsia="cs-CZ"/>
        </w:rPr>
      </w:pPr>
      <w:bookmarkStart w:id="2074" w:name="_Toc193531032"/>
      <w:bookmarkStart w:id="2075" w:name="_Toc193957090"/>
      <w:bookmarkStart w:id="2076" w:name="_Toc203032778"/>
      <w:r w:rsidRPr="00033A3F">
        <w:rPr>
          <w:color w:val="000000" w:themeColor="text1"/>
          <w:lang w:eastAsia="cs-CZ"/>
        </w:rPr>
        <w:t>Délky řízení</w:t>
      </w:r>
      <w:bookmarkEnd w:id="2074"/>
      <w:bookmarkEnd w:id="2075"/>
      <w:bookmarkEnd w:id="2076"/>
    </w:p>
    <w:p w14:paraId="0DC6A1B6" w14:textId="77777777" w:rsidR="00793DEB" w:rsidRPr="00033A3F" w:rsidRDefault="00793DEB" w:rsidP="00793DEB">
      <w:pPr>
        <w:pStyle w:val="OdstavecASR"/>
        <w:rPr>
          <w:color w:val="000000" w:themeColor="text1"/>
        </w:rPr>
      </w:pPr>
      <w:r w:rsidRPr="00033A3F">
        <w:rPr>
          <w:color w:val="000000" w:themeColor="text1"/>
        </w:rPr>
        <w:t>Délku řízení uvádíme v kalendářních dnech ode dne nápadu u odvolacího soudu do dne vyřízení věci odvolacím soudem. Data použitá pro výpočet délky řízení jsou očištěna stejným způsobem jako u prvostupňového řízení u krajských soudů.</w:t>
      </w:r>
    </w:p>
    <w:p w14:paraId="7FEBA284" w14:textId="0E55E657" w:rsidR="00793DEB" w:rsidRPr="00033A3F" w:rsidRDefault="00793DEB" w:rsidP="00793DEB">
      <w:pPr>
        <w:pStyle w:val="Podnadpis"/>
        <w:numPr>
          <w:ilvl w:val="0"/>
          <w:numId w:val="0"/>
        </w:numPr>
        <w:rPr>
          <w:color w:val="000000" w:themeColor="text1"/>
        </w:rPr>
      </w:pPr>
      <w:bookmarkStart w:id="2077" w:name="_Toc193530851"/>
      <w:bookmarkStart w:id="2078" w:name="_Toc193634125"/>
      <w:bookmarkStart w:id="2079" w:name="_Toc20303292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96</w:t>
      </w:r>
      <w:r w:rsidRPr="00033A3F">
        <w:rPr>
          <w:color w:val="000000" w:themeColor="text1"/>
        </w:rPr>
        <w:fldChar w:fldCharType="end"/>
      </w:r>
      <w:r w:rsidRPr="00033A3F">
        <w:rPr>
          <w:color w:val="000000" w:themeColor="text1"/>
        </w:rPr>
        <w:t>: VS – délka civilního odvolacího řízení u VS v letech 2015–2024</w:t>
      </w:r>
      <w:bookmarkEnd w:id="2077"/>
      <w:bookmarkEnd w:id="2078"/>
      <w:bookmarkEnd w:id="2079"/>
    </w:p>
    <w:p w14:paraId="426F6B80" w14:textId="7ED21B20" w:rsidR="00793DEB" w:rsidRPr="00033A3F" w:rsidRDefault="00793DEB" w:rsidP="00793DEB">
      <w:pPr>
        <w:rPr>
          <w:color w:val="000000" w:themeColor="text1"/>
        </w:rPr>
      </w:pPr>
      <w:r w:rsidRPr="00033A3F">
        <w:rPr>
          <w:noProof/>
          <w:color w:val="000000" w:themeColor="text1"/>
          <w:lang w:eastAsia="cs-CZ"/>
        </w:rPr>
        <w:drawing>
          <wp:inline distT="0" distB="0" distL="0" distR="0" wp14:anchorId="0B61D630" wp14:editId="25DABF45">
            <wp:extent cx="5029200" cy="3657600"/>
            <wp:effectExtent l="0" t="0" r="0" b="0"/>
            <wp:docPr id="1713733381"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10B2F73" w14:textId="77777777" w:rsidR="00793DEB" w:rsidRPr="00033A3F" w:rsidRDefault="00793DEB" w:rsidP="00793DEB">
      <w:pPr>
        <w:rPr>
          <w:color w:val="000000" w:themeColor="text1"/>
        </w:rPr>
      </w:pPr>
    </w:p>
    <w:p w14:paraId="74369693" w14:textId="77777777" w:rsidR="00793DEB" w:rsidRPr="00033A3F" w:rsidRDefault="00793DEB" w:rsidP="00793DEB">
      <w:pPr>
        <w:pStyle w:val="OdstavecASR"/>
        <w:rPr>
          <w:color w:val="000000" w:themeColor="text1"/>
        </w:rPr>
      </w:pPr>
      <w:r w:rsidRPr="00033A3F">
        <w:rPr>
          <w:color w:val="000000" w:themeColor="text1"/>
        </w:rPr>
        <w:t>Z grafu je patrné, že délky řízení u VS Olomouc jsou výrazně nižší než délky řízení u VS Praha. Graf také ukazuje zajímavý jev, kdy medián a 90. percentil u VS v Olomouci jsou celkem stabilní, zatímco průměr kolísá. Tento jev se v extrémní podobě projevil v letech 2021 a 2022, kdy výkyv průměru byl tak velký, že průměr je na úrovni percentilu 90. Tento ze statistického hlediska zajímavý stav je dán přítomností extrémních hodnot. V těchto letech se totiž do statistik promítlo ukončení několika extrémně dlouhých řízení, která byla dlouho přerušena z důvodu konkursu.</w:t>
      </w:r>
    </w:p>
    <w:p w14:paraId="6D3B8873" w14:textId="508CB90B" w:rsidR="00793DEB" w:rsidRPr="00033A3F" w:rsidRDefault="00793DEB" w:rsidP="00353F42">
      <w:pPr>
        <w:pStyle w:val="OdstavecASR"/>
        <w:rPr>
          <w:color w:val="000000" w:themeColor="text1"/>
        </w:rPr>
      </w:pPr>
      <w:r w:rsidRPr="00033A3F">
        <w:rPr>
          <w:color w:val="000000" w:themeColor="text1"/>
        </w:rPr>
        <w:t xml:space="preserve">V roce 2023 oba soudy vykázaly nízké hodnoty v porovnání s předchozími lety. Medián byl u obou dokonce nejnižší za sledované období. U VS v Olomouci délky řízení v roce 2024 narostly, </w:t>
      </w:r>
      <w:r w:rsidR="00471981" w:rsidRPr="00033A3F">
        <w:rPr>
          <w:color w:val="000000" w:themeColor="text1"/>
        </w:rPr>
        <w:t xml:space="preserve">u </w:t>
      </w:r>
      <w:r w:rsidRPr="00033A3F">
        <w:rPr>
          <w:color w:val="000000" w:themeColor="text1"/>
        </w:rPr>
        <w:t xml:space="preserve">VS v Praze </w:t>
      </w:r>
      <w:r w:rsidR="00353F42" w:rsidRPr="00033A3F">
        <w:rPr>
          <w:color w:val="000000" w:themeColor="text1"/>
        </w:rPr>
        <w:t>průměr</w:t>
      </w:r>
      <w:r w:rsidRPr="00033A3F">
        <w:rPr>
          <w:color w:val="000000" w:themeColor="text1"/>
        </w:rPr>
        <w:t xml:space="preserve"> a percentil</w:t>
      </w:r>
      <w:r w:rsidR="00353F42" w:rsidRPr="00033A3F">
        <w:rPr>
          <w:color w:val="000000" w:themeColor="text1"/>
        </w:rPr>
        <w:t xml:space="preserve"> 90</w:t>
      </w:r>
      <w:r w:rsidRPr="00033A3F">
        <w:rPr>
          <w:color w:val="000000" w:themeColor="text1"/>
        </w:rPr>
        <w:t xml:space="preserve"> opět poklesly, již </w:t>
      </w:r>
      <w:r w:rsidR="00471981" w:rsidRPr="00033A3F">
        <w:rPr>
          <w:color w:val="000000" w:themeColor="text1"/>
        </w:rPr>
        <w:t xml:space="preserve">třetí </w:t>
      </w:r>
      <w:r w:rsidRPr="00033A3F">
        <w:rPr>
          <w:color w:val="000000" w:themeColor="text1"/>
        </w:rPr>
        <w:t xml:space="preserve">rok po sobě. </w:t>
      </w:r>
      <w:r w:rsidR="005F0955" w:rsidRPr="00033A3F">
        <w:rPr>
          <w:color w:val="000000" w:themeColor="text1"/>
        </w:rPr>
        <w:t>Zdá se tedy, že délky řízení se u</w:t>
      </w:r>
      <w:r w:rsidR="00471981" w:rsidRPr="00033A3F">
        <w:rPr>
          <w:color w:val="000000" w:themeColor="text1"/>
        </w:rPr>
        <w:t> </w:t>
      </w:r>
      <w:r w:rsidR="005F0955" w:rsidRPr="00033A3F">
        <w:rPr>
          <w:color w:val="000000" w:themeColor="text1"/>
        </w:rPr>
        <w:t>VS v Praze zmenšují</w:t>
      </w:r>
      <w:r w:rsidR="00353F42" w:rsidRPr="00033A3F">
        <w:rPr>
          <w:color w:val="000000" w:themeColor="text1"/>
        </w:rPr>
        <w:t xml:space="preserve"> či se alespoň zmenšují rozdíly v délce jednotlivých řízení.</w:t>
      </w:r>
    </w:p>
    <w:p w14:paraId="5488AAD1" w14:textId="62C92B2D" w:rsidR="005F0955" w:rsidRPr="00033A3F" w:rsidRDefault="00793DEB" w:rsidP="00BF0CC3">
      <w:pPr>
        <w:pStyle w:val="OdstavecASR"/>
        <w:rPr>
          <w:color w:val="000000" w:themeColor="text1"/>
        </w:rPr>
      </w:pPr>
      <w:r w:rsidRPr="00033A3F">
        <w:rPr>
          <w:color w:val="000000" w:themeColor="text1"/>
        </w:rPr>
        <w:t xml:space="preserve">V histogramu níže </w:t>
      </w:r>
      <w:r w:rsidR="00471981" w:rsidRPr="00033A3F">
        <w:rPr>
          <w:color w:val="000000" w:themeColor="text1"/>
        </w:rPr>
        <w:t xml:space="preserve">také </w:t>
      </w:r>
      <w:r w:rsidRPr="00033A3F">
        <w:rPr>
          <w:color w:val="000000" w:themeColor="text1"/>
        </w:rPr>
        <w:t>srovnáváme délky řízení. Opět vidíme rozdíl mezi oběma soudy</w:t>
      </w:r>
      <w:r w:rsidR="00DE5C94" w:rsidRPr="00033A3F">
        <w:rPr>
          <w:color w:val="000000" w:themeColor="text1"/>
        </w:rPr>
        <w:t xml:space="preserve">, který je zjevný </w:t>
      </w:r>
      <w:r w:rsidR="005F0955" w:rsidRPr="00033A3F">
        <w:rPr>
          <w:color w:val="000000" w:themeColor="text1"/>
        </w:rPr>
        <w:t xml:space="preserve">i přes snižování </w:t>
      </w:r>
      <w:r w:rsidR="00DE5C94" w:rsidRPr="00033A3F">
        <w:rPr>
          <w:color w:val="000000" w:themeColor="text1"/>
        </w:rPr>
        <w:t xml:space="preserve">či stabilizaci </w:t>
      </w:r>
      <w:r w:rsidR="005F0955" w:rsidRPr="00033A3F">
        <w:rPr>
          <w:color w:val="000000" w:themeColor="text1"/>
        </w:rPr>
        <w:t xml:space="preserve">délek řízení u VS Praha. </w:t>
      </w:r>
      <w:r w:rsidRPr="00033A3F">
        <w:rPr>
          <w:color w:val="000000" w:themeColor="text1"/>
        </w:rPr>
        <w:t xml:space="preserve">Graf například ukazuje, že podíl věcí vyřízených do </w:t>
      </w:r>
      <w:r w:rsidR="00107F55" w:rsidRPr="00033A3F">
        <w:rPr>
          <w:color w:val="000000" w:themeColor="text1"/>
        </w:rPr>
        <w:t xml:space="preserve">25 dnů je </w:t>
      </w:r>
      <w:r w:rsidR="004A2505" w:rsidRPr="00033A3F">
        <w:rPr>
          <w:color w:val="000000" w:themeColor="text1"/>
        </w:rPr>
        <w:t>u VS v Olomouci</w:t>
      </w:r>
      <w:r w:rsidR="00107F55" w:rsidRPr="00033A3F">
        <w:rPr>
          <w:color w:val="000000" w:themeColor="text1"/>
        </w:rPr>
        <w:t xml:space="preserve"> </w:t>
      </w:r>
      <w:r w:rsidR="009846F0" w:rsidRPr="00033A3F">
        <w:rPr>
          <w:color w:val="000000" w:themeColor="text1"/>
        </w:rPr>
        <w:t xml:space="preserve">více než </w:t>
      </w:r>
      <w:r w:rsidR="00107F55" w:rsidRPr="00033A3F">
        <w:rPr>
          <w:color w:val="000000" w:themeColor="text1"/>
        </w:rPr>
        <w:t>dvojnásobný a mezi 26 až 50 dny dokonce téměř trojnásobný</w:t>
      </w:r>
      <w:r w:rsidRPr="00033A3F">
        <w:rPr>
          <w:color w:val="000000" w:themeColor="text1"/>
        </w:rPr>
        <w:t xml:space="preserve"> ve srovnání s VS v Praze.</w:t>
      </w:r>
    </w:p>
    <w:p w14:paraId="2ECB6FBD" w14:textId="54AC6B36" w:rsidR="005F0955" w:rsidRPr="00033A3F" w:rsidRDefault="005F0955" w:rsidP="005F0955">
      <w:pPr>
        <w:pStyle w:val="Podnadpis"/>
        <w:rPr>
          <w:color w:val="000000" w:themeColor="text1"/>
        </w:rPr>
      </w:pPr>
      <w:bookmarkStart w:id="2080" w:name="_Toc515871412"/>
      <w:bookmarkStart w:id="2081" w:name="_Toc11135143"/>
      <w:bookmarkStart w:id="2082" w:name="_Toc43841465"/>
      <w:bookmarkStart w:id="2083" w:name="_Toc75952268"/>
      <w:bookmarkStart w:id="2084" w:name="_Toc106106725"/>
      <w:bookmarkStart w:id="2085" w:name="_Toc109802049"/>
      <w:bookmarkStart w:id="2086" w:name="_Toc144104199"/>
      <w:bookmarkStart w:id="2087" w:name="_Toc169251012"/>
      <w:bookmarkStart w:id="2088" w:name="_Toc174080698"/>
      <w:bookmarkStart w:id="2089" w:name="_Toc193530852"/>
      <w:bookmarkStart w:id="2090" w:name="_Toc193634126"/>
      <w:bookmarkStart w:id="2091" w:name="_Toc203032924"/>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97</w:t>
      </w:r>
      <w:r w:rsidRPr="00033A3F">
        <w:rPr>
          <w:color w:val="000000" w:themeColor="text1"/>
        </w:rPr>
        <w:fldChar w:fldCharType="end"/>
      </w:r>
      <w:r w:rsidRPr="00033A3F">
        <w:rPr>
          <w:color w:val="000000" w:themeColor="text1"/>
        </w:rPr>
        <w:t>: VS – distribuce délek civilního odvolacího řízení</w:t>
      </w:r>
      <w:bookmarkEnd w:id="2080"/>
      <w:bookmarkEnd w:id="2081"/>
      <w:bookmarkEnd w:id="2082"/>
      <w:bookmarkEnd w:id="2083"/>
      <w:bookmarkEnd w:id="2084"/>
      <w:bookmarkEnd w:id="2085"/>
      <w:bookmarkEnd w:id="2086"/>
      <w:bookmarkEnd w:id="2087"/>
      <w:bookmarkEnd w:id="2088"/>
      <w:bookmarkEnd w:id="2089"/>
      <w:bookmarkEnd w:id="2090"/>
      <w:bookmarkEnd w:id="2091"/>
    </w:p>
    <w:p w14:paraId="24A37BA7" w14:textId="61626AB5" w:rsidR="005F0955" w:rsidRPr="00033A3F" w:rsidRDefault="005F0955" w:rsidP="00793DEB">
      <w:pPr>
        <w:pStyle w:val="OdstavecASR"/>
        <w:rPr>
          <w:color w:val="000000" w:themeColor="text1"/>
        </w:rPr>
      </w:pPr>
      <w:r w:rsidRPr="00033A3F">
        <w:rPr>
          <w:noProof/>
          <w:color w:val="000000" w:themeColor="text1"/>
          <w:lang w:eastAsia="cs-CZ"/>
        </w:rPr>
        <w:drawing>
          <wp:inline distT="0" distB="0" distL="0" distR="0" wp14:anchorId="42DE7706" wp14:editId="454795BF">
            <wp:extent cx="5029200" cy="3657600"/>
            <wp:effectExtent l="0" t="0" r="0" b="0"/>
            <wp:docPr id="1387186470"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B2AFB1C" w14:textId="46A66B72" w:rsidR="00EF2EF8" w:rsidRPr="00033A3F" w:rsidRDefault="00EF2EF8" w:rsidP="00EF2EF8">
      <w:pPr>
        <w:rPr>
          <w:color w:val="000000" w:themeColor="text1"/>
        </w:rPr>
      </w:pPr>
    </w:p>
    <w:p w14:paraId="5837C433" w14:textId="5D6B24F1" w:rsidR="008430BD" w:rsidRPr="00033A3F" w:rsidRDefault="008430BD" w:rsidP="008430BD">
      <w:pPr>
        <w:pStyle w:val="Nadpis3"/>
        <w:numPr>
          <w:ilvl w:val="2"/>
          <w:numId w:val="1"/>
        </w:numPr>
        <w:rPr>
          <w:color w:val="000000" w:themeColor="text1"/>
          <w:lang w:eastAsia="cs-CZ"/>
        </w:rPr>
      </w:pPr>
      <w:bookmarkStart w:id="2092" w:name="_Toc515871283"/>
      <w:bookmarkStart w:id="2093" w:name="_Toc106092795"/>
      <w:bookmarkStart w:id="2094" w:name="_Toc169250871"/>
      <w:bookmarkStart w:id="2095" w:name="_Toc193531033"/>
      <w:bookmarkStart w:id="2096" w:name="_Toc193957091"/>
      <w:bookmarkStart w:id="2097" w:name="_Toc203032779"/>
      <w:r w:rsidRPr="00033A3F">
        <w:rPr>
          <w:color w:val="000000" w:themeColor="text1"/>
          <w:lang w:eastAsia="cs-CZ"/>
        </w:rPr>
        <w:t>Vyřizování věcí</w:t>
      </w:r>
      <w:bookmarkEnd w:id="2092"/>
      <w:bookmarkEnd w:id="2093"/>
      <w:bookmarkEnd w:id="2094"/>
      <w:bookmarkEnd w:id="2095"/>
      <w:bookmarkEnd w:id="2096"/>
      <w:bookmarkEnd w:id="2097"/>
    </w:p>
    <w:p w14:paraId="7D2BB8E2" w14:textId="2E57CE41" w:rsidR="00EF2EF8" w:rsidRPr="00033A3F" w:rsidRDefault="00EF2EF8" w:rsidP="00EF2EF8">
      <w:pPr>
        <w:pStyle w:val="Podnadpis"/>
        <w:numPr>
          <w:ilvl w:val="0"/>
          <w:numId w:val="0"/>
        </w:numPr>
        <w:rPr>
          <w:color w:val="000000" w:themeColor="text1"/>
        </w:rPr>
      </w:pPr>
      <w:bookmarkStart w:id="2098" w:name="_Ref511821018"/>
      <w:bookmarkStart w:id="2099" w:name="_Toc515871413"/>
      <w:bookmarkStart w:id="2100" w:name="_Toc11135144"/>
      <w:bookmarkStart w:id="2101" w:name="_Toc43841466"/>
      <w:bookmarkStart w:id="2102" w:name="_Toc75952269"/>
      <w:bookmarkStart w:id="2103" w:name="_Toc106106726"/>
      <w:bookmarkStart w:id="2104" w:name="_Toc109802050"/>
      <w:bookmarkStart w:id="2105" w:name="_Toc144104200"/>
      <w:bookmarkStart w:id="2106" w:name="_Toc169251013"/>
      <w:bookmarkStart w:id="2107" w:name="_Toc174080699"/>
      <w:bookmarkStart w:id="2108" w:name="_Toc193530853"/>
      <w:bookmarkStart w:id="2109" w:name="_Toc193634127"/>
      <w:bookmarkStart w:id="2110" w:name="_Toc20303292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98</w:t>
      </w:r>
      <w:r w:rsidRPr="00033A3F">
        <w:rPr>
          <w:color w:val="000000" w:themeColor="text1"/>
        </w:rPr>
        <w:fldChar w:fldCharType="end"/>
      </w:r>
      <w:bookmarkEnd w:id="2098"/>
      <w:r w:rsidRPr="00033A3F">
        <w:rPr>
          <w:color w:val="000000" w:themeColor="text1"/>
        </w:rPr>
        <w:t>: VS – vyřizování odvolacích civilních věcí v letech 2015–20</w:t>
      </w:r>
      <w:bookmarkEnd w:id="2099"/>
      <w:bookmarkEnd w:id="2100"/>
      <w:bookmarkEnd w:id="2101"/>
      <w:r w:rsidRPr="00033A3F">
        <w:rPr>
          <w:color w:val="000000" w:themeColor="text1"/>
        </w:rPr>
        <w:t>2</w:t>
      </w:r>
      <w:bookmarkEnd w:id="2102"/>
      <w:bookmarkEnd w:id="2103"/>
      <w:bookmarkEnd w:id="2104"/>
      <w:bookmarkEnd w:id="2105"/>
      <w:bookmarkEnd w:id="2106"/>
      <w:bookmarkEnd w:id="2107"/>
      <w:r w:rsidRPr="00033A3F">
        <w:rPr>
          <w:color w:val="000000" w:themeColor="text1"/>
        </w:rPr>
        <w:t>4</w:t>
      </w:r>
      <w:bookmarkEnd w:id="2108"/>
      <w:bookmarkEnd w:id="2109"/>
      <w:bookmarkEnd w:id="2110"/>
    </w:p>
    <w:p w14:paraId="7451B222" w14:textId="17A4966C" w:rsidR="00EF2EF8" w:rsidRPr="00033A3F" w:rsidRDefault="00EF2EF8" w:rsidP="00EF2EF8">
      <w:pPr>
        <w:rPr>
          <w:color w:val="000000" w:themeColor="text1"/>
          <w:lang w:eastAsia="cs-CZ"/>
        </w:rPr>
      </w:pPr>
      <w:r w:rsidRPr="00033A3F">
        <w:rPr>
          <w:noProof/>
          <w:color w:val="000000" w:themeColor="text1"/>
          <w:lang w:eastAsia="cs-CZ"/>
        </w:rPr>
        <w:drawing>
          <wp:inline distT="0" distB="0" distL="0" distR="0" wp14:anchorId="123BB83A" wp14:editId="181741F2">
            <wp:extent cx="5029200" cy="3657600"/>
            <wp:effectExtent l="0" t="0" r="0" b="0"/>
            <wp:docPr id="1524231392"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BE8576E" w14:textId="576A19C1" w:rsidR="00A27914" w:rsidRPr="00033A3F" w:rsidRDefault="00A27914" w:rsidP="00A27914">
      <w:pPr>
        <w:pStyle w:val="OdstavecASR"/>
        <w:rPr>
          <w:color w:val="000000" w:themeColor="text1"/>
        </w:rPr>
      </w:pPr>
      <w:r w:rsidRPr="00033A3F">
        <w:rPr>
          <w:color w:val="000000" w:themeColor="text1"/>
        </w:rPr>
        <w:t>Na první pohled zaujme jasný pokles nápadu u obou soudů a strmý pokles nevyřízených věcí u</w:t>
      </w:r>
      <w:r w:rsidR="00920889" w:rsidRPr="00033A3F">
        <w:rPr>
          <w:color w:val="000000" w:themeColor="text1"/>
        </w:rPr>
        <w:t> </w:t>
      </w:r>
      <w:r w:rsidRPr="00033A3F">
        <w:rPr>
          <w:color w:val="000000" w:themeColor="text1"/>
        </w:rPr>
        <w:t>VS</w:t>
      </w:r>
      <w:r w:rsidR="00471981" w:rsidRPr="00033A3F">
        <w:rPr>
          <w:color w:val="000000" w:themeColor="text1"/>
        </w:rPr>
        <w:t> </w:t>
      </w:r>
      <w:r w:rsidRPr="00033A3F">
        <w:rPr>
          <w:color w:val="000000" w:themeColor="text1"/>
        </w:rPr>
        <w:t xml:space="preserve">v Praze v celém sledovaném období. Od roku 2014 do roku 2024 klesl počet příchozích věcí </w:t>
      </w:r>
      <w:r w:rsidRPr="00033A3F">
        <w:rPr>
          <w:color w:val="000000" w:themeColor="text1"/>
        </w:rPr>
        <w:lastRenderedPageBreak/>
        <w:t xml:space="preserve">u obou soudů o desítky procent – u VS v Praze o 47 %, u VS v Olomouci dokonce o 64 %. </w:t>
      </w:r>
      <w:r w:rsidR="00920889" w:rsidRPr="00033A3F">
        <w:rPr>
          <w:color w:val="000000" w:themeColor="text1"/>
        </w:rPr>
        <w:t xml:space="preserve">Prvotním impulzem byl </w:t>
      </w:r>
      <w:r w:rsidR="00DE5C94" w:rsidRPr="00033A3F">
        <w:rPr>
          <w:color w:val="000000" w:themeColor="text1"/>
        </w:rPr>
        <w:t>pravděpodobně</w:t>
      </w:r>
      <w:r w:rsidR="00920889" w:rsidRPr="00033A3F">
        <w:rPr>
          <w:color w:val="000000" w:themeColor="text1"/>
        </w:rPr>
        <w:t xml:space="preserve"> přesun prvostupňové obchodní agendy z krajských soudů na soudy okresní v souvislosti se změnou občanského zákoníku, ale pokles pokračoval i v dalších letech. </w:t>
      </w:r>
      <w:r w:rsidRPr="00033A3F">
        <w:rPr>
          <w:color w:val="000000" w:themeColor="text1"/>
        </w:rPr>
        <w:t xml:space="preserve">Je </w:t>
      </w:r>
      <w:r w:rsidR="00920889" w:rsidRPr="00033A3F">
        <w:rPr>
          <w:color w:val="000000" w:themeColor="text1"/>
        </w:rPr>
        <w:t xml:space="preserve">také </w:t>
      </w:r>
      <w:r w:rsidRPr="00033A3F">
        <w:rPr>
          <w:color w:val="000000" w:themeColor="text1"/>
        </w:rPr>
        <w:t>třeba poznamenat, že počty věcí klesaly ještě před sledovaným obdobím (již od roku 2012).</w:t>
      </w:r>
    </w:p>
    <w:p w14:paraId="7411CE1D" w14:textId="6212B3A9" w:rsidR="008430BD" w:rsidRPr="00033A3F" w:rsidRDefault="008430BD" w:rsidP="008430BD">
      <w:pPr>
        <w:pStyle w:val="Nadpis3"/>
        <w:numPr>
          <w:ilvl w:val="2"/>
          <w:numId w:val="1"/>
        </w:numPr>
        <w:rPr>
          <w:color w:val="000000" w:themeColor="text1"/>
          <w:lang w:eastAsia="cs-CZ"/>
        </w:rPr>
      </w:pPr>
      <w:bookmarkStart w:id="2111" w:name="_Toc515871284"/>
      <w:bookmarkStart w:id="2112" w:name="_Toc106092796"/>
      <w:bookmarkStart w:id="2113" w:name="_Toc169250872"/>
      <w:bookmarkStart w:id="2114" w:name="_Toc193531034"/>
      <w:bookmarkStart w:id="2115" w:name="_Toc193957092"/>
      <w:bookmarkStart w:id="2116" w:name="_Toc203032780"/>
      <w:r w:rsidRPr="00033A3F">
        <w:rPr>
          <w:color w:val="000000" w:themeColor="text1"/>
          <w:lang w:eastAsia="cs-CZ"/>
        </w:rPr>
        <w:t>Vyřizování v přepočtu na soudce</w:t>
      </w:r>
      <w:bookmarkEnd w:id="2111"/>
      <w:bookmarkEnd w:id="2112"/>
      <w:bookmarkEnd w:id="2113"/>
      <w:bookmarkEnd w:id="2114"/>
      <w:bookmarkEnd w:id="2115"/>
      <w:bookmarkEnd w:id="2116"/>
    </w:p>
    <w:p w14:paraId="65006469" w14:textId="37B05784" w:rsidR="00353F42" w:rsidRPr="00033A3F" w:rsidRDefault="00353F42" w:rsidP="00353F42">
      <w:pPr>
        <w:rPr>
          <w:color w:val="000000" w:themeColor="text1"/>
          <w:lang w:eastAsia="cs-CZ"/>
        </w:rPr>
      </w:pPr>
      <w:r w:rsidRPr="00033A3F">
        <w:rPr>
          <w:color w:val="000000" w:themeColor="text1"/>
          <w:lang w:eastAsia="cs-CZ"/>
        </w:rPr>
        <w:t xml:space="preserve">U vrchních soudů jsou k dispozici pouze data o evidenčním soudců a </w:t>
      </w:r>
      <w:r w:rsidR="0031160F">
        <w:rPr>
          <w:color w:val="000000" w:themeColor="text1"/>
          <w:lang w:eastAsia="cs-CZ"/>
        </w:rPr>
        <w:t>jsou</w:t>
      </w:r>
      <w:r w:rsidRPr="00033A3F">
        <w:rPr>
          <w:color w:val="000000" w:themeColor="text1"/>
          <w:lang w:eastAsia="cs-CZ"/>
        </w:rPr>
        <w:t xml:space="preserve"> rozdělena</w:t>
      </w:r>
      <w:r w:rsidR="0031160F">
        <w:rPr>
          <w:color w:val="000000" w:themeColor="text1"/>
          <w:lang w:eastAsia="cs-CZ"/>
        </w:rPr>
        <w:t xml:space="preserve"> pouze</w:t>
      </w:r>
      <w:r w:rsidRPr="00033A3F">
        <w:rPr>
          <w:color w:val="000000" w:themeColor="text1"/>
          <w:lang w:eastAsia="cs-CZ"/>
        </w:rPr>
        <w:t xml:space="preserve"> na civilní a trestní úsek. Níže uvedený přepočet je tedy velmi hrubý. Ministerstvo spravedlnosti plánuje do budoucna statistiku rozšířit, aby data byla obdobná datům od okresních a krajských soudů. </w:t>
      </w:r>
    </w:p>
    <w:p w14:paraId="1286C16E" w14:textId="0E1538A4" w:rsidR="00A27914" w:rsidRPr="00033A3F" w:rsidRDefault="00A27914" w:rsidP="00A27914">
      <w:pPr>
        <w:pStyle w:val="OdstavecASR"/>
        <w:rPr>
          <w:color w:val="000000" w:themeColor="text1"/>
        </w:rPr>
      </w:pPr>
      <w:r w:rsidRPr="00033A3F">
        <w:rPr>
          <w:color w:val="000000" w:themeColor="text1"/>
        </w:rPr>
        <w:t xml:space="preserve">Tabulka níže naznačuje, že soudci u VS v Praze jsou zatíženější než soudci u VS v Olomouci. Z vyššího nápadu na soudce logicky plyne více vyřízených věcí na soudce. Je třeba zdůraznit, že se jedná pouze o velmi přibližné srovnání. Na civilním úseku vrchních soudů se vyřizuje i jiná agenda než pouze rejstříky Co a Cmo. Záleží také na zapojení dalších soudních zaměstnanců ve výkonu i na poměru počtu věcí v rejstříku Co k počtu věcí v rejstříku Cmo. Počet nevyřízených věcí na jednoho soudce je ale u VS v Praze zcela bezpochyby vyšší než u soudu v Olomouci, což plyne především z dřívějších let. </w:t>
      </w:r>
      <w:r w:rsidR="00DE5C94" w:rsidRPr="00033A3F">
        <w:rPr>
          <w:color w:val="000000" w:themeColor="text1"/>
        </w:rPr>
        <w:t>U</w:t>
      </w:r>
      <w:r w:rsidRPr="00033A3F">
        <w:rPr>
          <w:color w:val="000000" w:themeColor="text1"/>
        </w:rPr>
        <w:t xml:space="preserve"> VS v Praze </w:t>
      </w:r>
      <w:r w:rsidR="00DE5C94" w:rsidRPr="00033A3F">
        <w:rPr>
          <w:color w:val="000000" w:themeColor="text1"/>
        </w:rPr>
        <w:t>tak</w:t>
      </w:r>
      <w:r w:rsidRPr="00033A3F">
        <w:rPr>
          <w:color w:val="000000" w:themeColor="text1"/>
        </w:rPr>
        <w:t xml:space="preserve"> připadá na soudce asi trojnásobek nevyřízených věcí oproti VS v Olomouci, v předchozích letech to ale bylo výrazně více. Počet nevyřízených věcí na soudce u VS v Praze totiž postupně výrazně klesl, což plyne z poklesu celkového počtu nevyřízených věcí, který (alespoň částečně) zase plyne z poklesu v počtu příchozích věcí.</w:t>
      </w:r>
    </w:p>
    <w:p w14:paraId="7D2310C5" w14:textId="71682AA0" w:rsidR="004B119F" w:rsidRPr="00033A3F" w:rsidRDefault="00A27914" w:rsidP="004B119F">
      <w:pPr>
        <w:pStyle w:val="Podnadpis"/>
        <w:numPr>
          <w:ilvl w:val="0"/>
          <w:numId w:val="0"/>
        </w:numPr>
        <w:rPr>
          <w:color w:val="000000" w:themeColor="text1"/>
        </w:rPr>
      </w:pPr>
      <w:bookmarkStart w:id="2117" w:name="_Toc106106838"/>
      <w:bookmarkStart w:id="2118" w:name="_Toc109802161"/>
      <w:bookmarkStart w:id="2119" w:name="_Toc144104320"/>
      <w:bookmarkStart w:id="2120" w:name="_Toc169251134"/>
      <w:bookmarkStart w:id="2121" w:name="_Toc174080820"/>
      <w:bookmarkStart w:id="2122" w:name="_Toc193530946"/>
      <w:bookmarkStart w:id="2123" w:name="_Toc194045643"/>
      <w:bookmarkStart w:id="2124" w:name="_Toc199495053"/>
      <w:bookmarkStart w:id="2125" w:name="_Toc203033114"/>
      <w:bookmarkStart w:id="2126" w:name="_Toc203033192"/>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72</w:t>
      </w:r>
      <w:r w:rsidRPr="00033A3F">
        <w:rPr>
          <w:color w:val="000000" w:themeColor="text1"/>
        </w:rPr>
        <w:fldChar w:fldCharType="end"/>
      </w:r>
      <w:r w:rsidRPr="00033A3F">
        <w:rPr>
          <w:color w:val="000000" w:themeColor="text1"/>
        </w:rPr>
        <w:t>: VS – vyřizování odvolacích civilních věcí na evidenčního soudce</w:t>
      </w:r>
      <w:bookmarkEnd w:id="2117"/>
      <w:bookmarkEnd w:id="2118"/>
      <w:bookmarkEnd w:id="2119"/>
      <w:bookmarkEnd w:id="2120"/>
      <w:bookmarkEnd w:id="2121"/>
      <w:bookmarkEnd w:id="2122"/>
      <w:bookmarkEnd w:id="2123"/>
      <w:bookmarkEnd w:id="2124"/>
      <w:bookmarkEnd w:id="2125"/>
      <w:bookmarkEnd w:id="2126"/>
    </w:p>
    <w:tbl>
      <w:tblPr>
        <w:tblW w:w="8019" w:type="dxa"/>
        <w:tblCellMar>
          <w:left w:w="70" w:type="dxa"/>
          <w:right w:w="70" w:type="dxa"/>
        </w:tblCellMar>
        <w:tblLook w:val="04A0" w:firstRow="1" w:lastRow="0" w:firstColumn="1" w:lastColumn="0" w:noHBand="0" w:noVBand="1"/>
      </w:tblPr>
      <w:tblGrid>
        <w:gridCol w:w="2020"/>
        <w:gridCol w:w="1161"/>
        <w:gridCol w:w="1032"/>
        <w:gridCol w:w="1002"/>
        <w:gridCol w:w="1064"/>
        <w:gridCol w:w="809"/>
        <w:gridCol w:w="931"/>
      </w:tblGrid>
      <w:tr w:rsidR="00033A3F" w:rsidRPr="00033A3F" w14:paraId="0C4E6222" w14:textId="77777777" w:rsidTr="004B119F">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5247A331" w14:textId="77777777" w:rsidR="00FE2C9B" w:rsidRPr="00033A3F" w:rsidRDefault="00FE2C9B" w:rsidP="00293866">
            <w:pPr>
              <w:spacing w:line="240" w:lineRule="auto"/>
              <w:jc w:val="center"/>
              <w:rPr>
                <w:rFonts w:eastAsia="Times New Roman"/>
                <w:b/>
                <w:bCs/>
                <w:color w:val="000000" w:themeColor="text1"/>
                <w:szCs w:val="24"/>
                <w:lang w:eastAsia="cs-CZ"/>
              </w:rPr>
            </w:pPr>
            <w:bookmarkStart w:id="2127" w:name="_Toc515871285"/>
            <w:bookmarkStart w:id="2128" w:name="_Toc106092797"/>
            <w:bookmarkStart w:id="2129" w:name="_Toc169250873"/>
            <w:bookmarkStart w:id="2130" w:name="_Toc193531035"/>
            <w:bookmarkStart w:id="2131" w:name="_Toc193957093"/>
            <w:r w:rsidRPr="00033A3F">
              <w:rPr>
                <w:rFonts w:eastAsia="Times New Roman"/>
                <w:b/>
                <w:bCs/>
                <w:color w:val="000000" w:themeColor="text1"/>
                <w:szCs w:val="24"/>
                <w:lang w:eastAsia="cs-CZ"/>
              </w:rPr>
              <w:t>Soud</w:t>
            </w:r>
          </w:p>
        </w:tc>
        <w:tc>
          <w:tcPr>
            <w:tcW w:w="5999" w:type="dxa"/>
            <w:gridSpan w:val="6"/>
            <w:tcBorders>
              <w:top w:val="double" w:sz="6" w:space="0" w:color="auto"/>
              <w:left w:val="nil"/>
              <w:bottom w:val="nil"/>
              <w:right w:val="nil"/>
            </w:tcBorders>
            <w:shd w:val="clear" w:color="auto" w:fill="auto"/>
            <w:noWrap/>
            <w:vAlign w:val="center"/>
            <w:hideMark/>
          </w:tcPr>
          <w:p w14:paraId="214C6F16" w14:textId="7777777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r>
      <w:tr w:rsidR="00033A3F" w:rsidRPr="00033A3F" w14:paraId="677B0D8B" w14:textId="77777777" w:rsidTr="004B119F">
        <w:trPr>
          <w:trHeight w:val="330"/>
        </w:trPr>
        <w:tc>
          <w:tcPr>
            <w:tcW w:w="2020" w:type="dxa"/>
            <w:vMerge/>
            <w:tcBorders>
              <w:top w:val="double" w:sz="6" w:space="0" w:color="auto"/>
              <w:left w:val="nil"/>
              <w:bottom w:val="double" w:sz="6" w:space="0" w:color="000000"/>
              <w:right w:val="nil"/>
            </w:tcBorders>
            <w:vAlign w:val="center"/>
            <w:hideMark/>
          </w:tcPr>
          <w:p w14:paraId="36175C3D" w14:textId="77777777" w:rsidR="00FE2C9B" w:rsidRPr="00033A3F" w:rsidRDefault="00FE2C9B" w:rsidP="00293866">
            <w:pPr>
              <w:spacing w:line="240" w:lineRule="auto"/>
              <w:jc w:val="left"/>
              <w:rPr>
                <w:rFonts w:eastAsia="Times New Roman"/>
                <w:b/>
                <w:bCs/>
                <w:color w:val="000000" w:themeColor="text1"/>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393A583E" w14:textId="7777777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206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E581253" w14:textId="7777777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740" w:type="dxa"/>
            <w:gridSpan w:val="2"/>
            <w:tcBorders>
              <w:top w:val="nil"/>
              <w:left w:val="nil"/>
              <w:bottom w:val="double" w:sz="6" w:space="0" w:color="auto"/>
              <w:right w:val="nil"/>
            </w:tcBorders>
            <w:shd w:val="clear" w:color="auto" w:fill="auto"/>
            <w:noWrap/>
            <w:vAlign w:val="center"/>
            <w:hideMark/>
          </w:tcPr>
          <w:p w14:paraId="63C3BEC9" w14:textId="7777777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r>
      <w:tr w:rsidR="00033A3F" w:rsidRPr="00033A3F" w14:paraId="77769FCE" w14:textId="77777777" w:rsidTr="004B119F">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76C3763E" w14:textId="77777777" w:rsidR="00FE2C9B" w:rsidRPr="00033A3F" w:rsidRDefault="00FE2C9B" w:rsidP="00293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Praha</w:t>
            </w:r>
          </w:p>
        </w:tc>
        <w:tc>
          <w:tcPr>
            <w:tcW w:w="1161" w:type="dxa"/>
            <w:tcBorders>
              <w:top w:val="single" w:sz="4" w:space="0" w:color="auto"/>
              <w:left w:val="nil"/>
              <w:bottom w:val="single" w:sz="4" w:space="0" w:color="auto"/>
              <w:right w:val="nil"/>
            </w:tcBorders>
            <w:shd w:val="clear" w:color="auto" w:fill="auto"/>
            <w:noWrap/>
            <w:vAlign w:val="bottom"/>
            <w:hideMark/>
          </w:tcPr>
          <w:p w14:paraId="439C262E" w14:textId="4A936571"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50,25</w:t>
            </w:r>
          </w:p>
        </w:tc>
        <w:tc>
          <w:tcPr>
            <w:tcW w:w="1032" w:type="dxa"/>
            <w:tcBorders>
              <w:top w:val="single" w:sz="4" w:space="0" w:color="auto"/>
              <w:left w:val="nil"/>
              <w:bottom w:val="single" w:sz="4" w:space="0" w:color="auto"/>
              <w:right w:val="nil"/>
            </w:tcBorders>
            <w:shd w:val="clear" w:color="auto" w:fill="auto"/>
            <w:noWrap/>
            <w:vAlign w:val="center"/>
            <w:hideMark/>
          </w:tcPr>
          <w:p w14:paraId="58717DB7" w14:textId="012C3782"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w:t>
            </w:r>
          </w:p>
        </w:tc>
        <w:tc>
          <w:tcPr>
            <w:tcW w:w="1002" w:type="dxa"/>
            <w:tcBorders>
              <w:top w:val="single" w:sz="4" w:space="0" w:color="auto"/>
              <w:left w:val="single" w:sz="4" w:space="0" w:color="auto"/>
              <w:bottom w:val="single" w:sz="4" w:space="0" w:color="auto"/>
              <w:right w:val="nil"/>
            </w:tcBorders>
            <w:shd w:val="clear" w:color="auto" w:fill="auto"/>
            <w:noWrap/>
            <w:vAlign w:val="bottom"/>
            <w:hideMark/>
          </w:tcPr>
          <w:p w14:paraId="14F0A881" w14:textId="34A2367A"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51,57</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6F7D1A3A" w14:textId="0C1C1FFB"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w:t>
            </w:r>
          </w:p>
        </w:tc>
        <w:tc>
          <w:tcPr>
            <w:tcW w:w="809" w:type="dxa"/>
            <w:tcBorders>
              <w:top w:val="single" w:sz="4" w:space="0" w:color="auto"/>
              <w:left w:val="nil"/>
              <w:bottom w:val="single" w:sz="4" w:space="0" w:color="auto"/>
              <w:right w:val="nil"/>
            </w:tcBorders>
            <w:shd w:val="clear" w:color="auto" w:fill="auto"/>
            <w:noWrap/>
            <w:vAlign w:val="bottom"/>
            <w:hideMark/>
          </w:tcPr>
          <w:p w14:paraId="2D641A35" w14:textId="703D465C"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15,96</w:t>
            </w:r>
          </w:p>
        </w:tc>
        <w:tc>
          <w:tcPr>
            <w:tcW w:w="931" w:type="dxa"/>
            <w:tcBorders>
              <w:top w:val="single" w:sz="4" w:space="0" w:color="auto"/>
              <w:left w:val="nil"/>
              <w:bottom w:val="single" w:sz="4" w:space="0" w:color="auto"/>
              <w:right w:val="nil"/>
            </w:tcBorders>
            <w:shd w:val="clear" w:color="auto" w:fill="auto"/>
            <w:noWrap/>
            <w:vAlign w:val="center"/>
          </w:tcPr>
          <w:p w14:paraId="744E35E6" w14:textId="6551D2EA"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w:t>
            </w:r>
          </w:p>
        </w:tc>
      </w:tr>
      <w:tr w:rsidR="00033A3F" w:rsidRPr="00033A3F" w14:paraId="3F365847" w14:textId="77777777" w:rsidTr="004B119F">
        <w:trPr>
          <w:trHeight w:val="330"/>
        </w:trPr>
        <w:tc>
          <w:tcPr>
            <w:tcW w:w="2020" w:type="dxa"/>
            <w:tcBorders>
              <w:top w:val="nil"/>
              <w:left w:val="nil"/>
              <w:bottom w:val="nil"/>
              <w:right w:val="nil"/>
            </w:tcBorders>
            <w:shd w:val="clear" w:color="auto" w:fill="auto"/>
            <w:noWrap/>
            <w:vAlign w:val="bottom"/>
            <w:hideMark/>
          </w:tcPr>
          <w:p w14:paraId="1CDD875E" w14:textId="77777777" w:rsidR="00FE2C9B" w:rsidRPr="00033A3F" w:rsidRDefault="00FE2C9B" w:rsidP="00293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Olomouc</w:t>
            </w:r>
          </w:p>
        </w:tc>
        <w:tc>
          <w:tcPr>
            <w:tcW w:w="1161" w:type="dxa"/>
            <w:tcBorders>
              <w:top w:val="nil"/>
              <w:left w:val="nil"/>
              <w:bottom w:val="nil"/>
              <w:right w:val="nil"/>
            </w:tcBorders>
            <w:shd w:val="clear" w:color="auto" w:fill="auto"/>
            <w:noWrap/>
            <w:vAlign w:val="bottom"/>
            <w:hideMark/>
          </w:tcPr>
          <w:p w14:paraId="799ED96B" w14:textId="4043FEA1"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34,05</w:t>
            </w:r>
          </w:p>
        </w:tc>
        <w:tc>
          <w:tcPr>
            <w:tcW w:w="1032" w:type="dxa"/>
            <w:tcBorders>
              <w:top w:val="nil"/>
              <w:left w:val="nil"/>
              <w:bottom w:val="nil"/>
              <w:right w:val="nil"/>
            </w:tcBorders>
            <w:shd w:val="clear" w:color="auto" w:fill="auto"/>
            <w:noWrap/>
            <w:vAlign w:val="center"/>
            <w:hideMark/>
          </w:tcPr>
          <w:p w14:paraId="5E07C785" w14:textId="283E0DCE"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p>
        </w:tc>
        <w:tc>
          <w:tcPr>
            <w:tcW w:w="1002" w:type="dxa"/>
            <w:tcBorders>
              <w:top w:val="nil"/>
              <w:left w:val="single" w:sz="4" w:space="0" w:color="auto"/>
              <w:bottom w:val="nil"/>
              <w:right w:val="nil"/>
            </w:tcBorders>
            <w:shd w:val="clear" w:color="auto" w:fill="auto"/>
            <w:noWrap/>
            <w:vAlign w:val="bottom"/>
            <w:hideMark/>
          </w:tcPr>
          <w:p w14:paraId="6B7E17A6" w14:textId="22919BB7"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32,86</w:t>
            </w:r>
          </w:p>
        </w:tc>
        <w:tc>
          <w:tcPr>
            <w:tcW w:w="1064" w:type="dxa"/>
            <w:tcBorders>
              <w:top w:val="nil"/>
              <w:left w:val="nil"/>
              <w:bottom w:val="nil"/>
              <w:right w:val="single" w:sz="4" w:space="0" w:color="auto"/>
            </w:tcBorders>
            <w:shd w:val="clear" w:color="auto" w:fill="auto"/>
            <w:noWrap/>
            <w:vAlign w:val="center"/>
          </w:tcPr>
          <w:p w14:paraId="5F5E2F71" w14:textId="5BD53554"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w:t>
            </w:r>
          </w:p>
        </w:tc>
        <w:tc>
          <w:tcPr>
            <w:tcW w:w="809" w:type="dxa"/>
            <w:tcBorders>
              <w:top w:val="nil"/>
              <w:left w:val="nil"/>
              <w:bottom w:val="nil"/>
              <w:right w:val="nil"/>
            </w:tcBorders>
            <w:shd w:val="clear" w:color="auto" w:fill="auto"/>
            <w:noWrap/>
            <w:vAlign w:val="bottom"/>
            <w:hideMark/>
          </w:tcPr>
          <w:p w14:paraId="3B4EF0DF" w14:textId="5AAFFEC9"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5,14</w:t>
            </w:r>
          </w:p>
        </w:tc>
        <w:tc>
          <w:tcPr>
            <w:tcW w:w="931" w:type="dxa"/>
            <w:tcBorders>
              <w:top w:val="nil"/>
              <w:left w:val="nil"/>
              <w:bottom w:val="nil"/>
              <w:right w:val="nil"/>
            </w:tcBorders>
            <w:shd w:val="clear" w:color="auto" w:fill="auto"/>
            <w:noWrap/>
            <w:vAlign w:val="center"/>
          </w:tcPr>
          <w:p w14:paraId="5E7B674A" w14:textId="056AB24C"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w:t>
            </w:r>
          </w:p>
        </w:tc>
      </w:tr>
      <w:tr w:rsidR="00033A3F" w:rsidRPr="00033A3F" w14:paraId="763E4138" w14:textId="77777777" w:rsidTr="004B119F">
        <w:trPr>
          <w:trHeight w:val="345"/>
        </w:trPr>
        <w:tc>
          <w:tcPr>
            <w:tcW w:w="2020" w:type="dxa"/>
            <w:tcBorders>
              <w:top w:val="double" w:sz="6" w:space="0" w:color="auto"/>
              <w:left w:val="nil"/>
              <w:bottom w:val="double" w:sz="6" w:space="0" w:color="auto"/>
              <w:right w:val="nil"/>
            </w:tcBorders>
            <w:shd w:val="clear" w:color="auto" w:fill="auto"/>
            <w:noWrap/>
            <w:vAlign w:val="bottom"/>
            <w:hideMark/>
          </w:tcPr>
          <w:p w14:paraId="22E55FD4" w14:textId="77777777" w:rsidR="00FE2C9B" w:rsidRPr="00033A3F" w:rsidRDefault="00FE2C9B" w:rsidP="0029386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61" w:type="dxa"/>
            <w:tcBorders>
              <w:top w:val="double" w:sz="6" w:space="0" w:color="auto"/>
              <w:left w:val="nil"/>
              <w:bottom w:val="double" w:sz="6" w:space="0" w:color="auto"/>
              <w:right w:val="nil"/>
            </w:tcBorders>
            <w:shd w:val="clear" w:color="auto" w:fill="auto"/>
            <w:noWrap/>
            <w:vAlign w:val="bottom"/>
            <w:hideMark/>
          </w:tcPr>
          <w:p w14:paraId="549A1F28" w14:textId="7EDA8F5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45,65</w:t>
            </w:r>
          </w:p>
        </w:tc>
        <w:tc>
          <w:tcPr>
            <w:tcW w:w="1032" w:type="dxa"/>
            <w:tcBorders>
              <w:top w:val="double" w:sz="6" w:space="0" w:color="auto"/>
              <w:left w:val="nil"/>
              <w:bottom w:val="double" w:sz="6" w:space="0" w:color="auto"/>
              <w:right w:val="nil"/>
            </w:tcBorders>
            <w:shd w:val="clear" w:color="auto" w:fill="auto"/>
            <w:noWrap/>
            <w:vAlign w:val="center"/>
            <w:hideMark/>
          </w:tcPr>
          <w:p w14:paraId="37AA24E3" w14:textId="643AAA81" w:rsidR="00FE2C9B" w:rsidRPr="00033A3F" w:rsidRDefault="00FE2C9B" w:rsidP="00293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w:t>
            </w:r>
          </w:p>
        </w:tc>
        <w:tc>
          <w:tcPr>
            <w:tcW w:w="1002" w:type="dxa"/>
            <w:tcBorders>
              <w:top w:val="double" w:sz="6" w:space="0" w:color="auto"/>
              <w:left w:val="single" w:sz="4" w:space="0" w:color="auto"/>
              <w:bottom w:val="double" w:sz="6" w:space="0" w:color="auto"/>
              <w:right w:val="nil"/>
            </w:tcBorders>
            <w:shd w:val="clear" w:color="auto" w:fill="auto"/>
            <w:noWrap/>
            <w:vAlign w:val="bottom"/>
            <w:hideMark/>
          </w:tcPr>
          <w:p w14:paraId="1555ECC3" w14:textId="084909F3"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46,26</w:t>
            </w:r>
          </w:p>
        </w:tc>
        <w:tc>
          <w:tcPr>
            <w:tcW w:w="1064" w:type="dxa"/>
            <w:tcBorders>
              <w:top w:val="double" w:sz="6" w:space="0" w:color="auto"/>
              <w:left w:val="nil"/>
              <w:bottom w:val="double" w:sz="6" w:space="0" w:color="auto"/>
              <w:right w:val="single" w:sz="4" w:space="0" w:color="auto"/>
            </w:tcBorders>
            <w:shd w:val="clear" w:color="auto" w:fill="auto"/>
            <w:noWrap/>
            <w:vAlign w:val="center"/>
          </w:tcPr>
          <w:p w14:paraId="1C68B595" w14:textId="01A8A828" w:rsidR="00FE2C9B" w:rsidRPr="00033A3F" w:rsidRDefault="00FE2C9B" w:rsidP="00293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-10%</w:t>
            </w:r>
          </w:p>
        </w:tc>
        <w:tc>
          <w:tcPr>
            <w:tcW w:w="809" w:type="dxa"/>
            <w:tcBorders>
              <w:top w:val="double" w:sz="6" w:space="0" w:color="auto"/>
              <w:left w:val="nil"/>
              <w:bottom w:val="double" w:sz="6" w:space="0" w:color="auto"/>
              <w:right w:val="nil"/>
            </w:tcBorders>
            <w:shd w:val="clear" w:color="auto" w:fill="auto"/>
            <w:noWrap/>
            <w:vAlign w:val="bottom"/>
            <w:hideMark/>
          </w:tcPr>
          <w:p w14:paraId="780AC634" w14:textId="20822DF8"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12,89</w:t>
            </w:r>
          </w:p>
        </w:tc>
        <w:tc>
          <w:tcPr>
            <w:tcW w:w="931" w:type="dxa"/>
            <w:tcBorders>
              <w:top w:val="double" w:sz="6" w:space="0" w:color="auto"/>
              <w:left w:val="nil"/>
              <w:bottom w:val="double" w:sz="6" w:space="0" w:color="auto"/>
              <w:right w:val="nil"/>
            </w:tcBorders>
            <w:shd w:val="clear" w:color="auto" w:fill="auto"/>
            <w:noWrap/>
            <w:vAlign w:val="center"/>
          </w:tcPr>
          <w:p w14:paraId="5062B81E" w14:textId="4FB52EB4" w:rsidR="00FE2C9B" w:rsidRPr="00033A3F" w:rsidRDefault="00FE2C9B" w:rsidP="00293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w:t>
            </w:r>
          </w:p>
        </w:tc>
      </w:tr>
      <w:tr w:rsidR="00033A3F" w:rsidRPr="00033A3F" w14:paraId="7EFADF1E" w14:textId="77777777" w:rsidTr="004B119F">
        <w:trPr>
          <w:trHeight w:val="330"/>
        </w:trPr>
        <w:tc>
          <w:tcPr>
            <w:tcW w:w="2020" w:type="dxa"/>
            <w:tcBorders>
              <w:top w:val="nil"/>
              <w:left w:val="nil"/>
              <w:bottom w:val="nil"/>
              <w:right w:val="nil"/>
            </w:tcBorders>
            <w:shd w:val="clear" w:color="auto" w:fill="auto"/>
            <w:noWrap/>
            <w:vAlign w:val="bottom"/>
            <w:hideMark/>
          </w:tcPr>
          <w:p w14:paraId="4D58F7E1" w14:textId="77777777" w:rsidR="00FE2C9B" w:rsidRPr="00033A3F" w:rsidRDefault="00FE2C9B" w:rsidP="00293866">
            <w:pPr>
              <w:spacing w:line="240" w:lineRule="auto"/>
              <w:jc w:val="center"/>
              <w:rPr>
                <w:rFonts w:eastAsia="Times New Roman"/>
                <w:b/>
                <w:bCs/>
                <w:color w:val="000000" w:themeColor="text1"/>
                <w:sz w:val="20"/>
                <w:szCs w:val="20"/>
                <w:lang w:eastAsia="cs-CZ"/>
              </w:rPr>
            </w:pPr>
          </w:p>
        </w:tc>
        <w:tc>
          <w:tcPr>
            <w:tcW w:w="1161" w:type="dxa"/>
            <w:tcBorders>
              <w:top w:val="nil"/>
              <w:left w:val="nil"/>
              <w:bottom w:val="nil"/>
              <w:right w:val="nil"/>
            </w:tcBorders>
            <w:shd w:val="clear" w:color="auto" w:fill="auto"/>
            <w:noWrap/>
            <w:vAlign w:val="bottom"/>
            <w:hideMark/>
          </w:tcPr>
          <w:p w14:paraId="692A5A5D"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1032" w:type="dxa"/>
            <w:tcBorders>
              <w:top w:val="nil"/>
              <w:left w:val="nil"/>
              <w:bottom w:val="nil"/>
              <w:right w:val="nil"/>
            </w:tcBorders>
            <w:shd w:val="clear" w:color="auto" w:fill="auto"/>
            <w:noWrap/>
            <w:vAlign w:val="bottom"/>
            <w:hideMark/>
          </w:tcPr>
          <w:p w14:paraId="18D983A5"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1002" w:type="dxa"/>
            <w:tcBorders>
              <w:top w:val="nil"/>
              <w:left w:val="nil"/>
              <w:bottom w:val="nil"/>
              <w:right w:val="nil"/>
            </w:tcBorders>
            <w:shd w:val="clear" w:color="auto" w:fill="auto"/>
            <w:noWrap/>
            <w:vAlign w:val="bottom"/>
            <w:hideMark/>
          </w:tcPr>
          <w:p w14:paraId="6B9C0CF5"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1064" w:type="dxa"/>
            <w:tcBorders>
              <w:top w:val="nil"/>
              <w:left w:val="nil"/>
              <w:bottom w:val="nil"/>
              <w:right w:val="nil"/>
            </w:tcBorders>
            <w:shd w:val="clear" w:color="auto" w:fill="auto"/>
            <w:noWrap/>
            <w:vAlign w:val="bottom"/>
            <w:hideMark/>
          </w:tcPr>
          <w:p w14:paraId="5CA9FFCC"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809" w:type="dxa"/>
            <w:tcBorders>
              <w:top w:val="nil"/>
              <w:left w:val="nil"/>
              <w:bottom w:val="nil"/>
              <w:right w:val="nil"/>
            </w:tcBorders>
            <w:shd w:val="clear" w:color="auto" w:fill="auto"/>
            <w:noWrap/>
            <w:vAlign w:val="bottom"/>
            <w:hideMark/>
          </w:tcPr>
          <w:p w14:paraId="00C72B6D"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931" w:type="dxa"/>
            <w:tcBorders>
              <w:top w:val="nil"/>
              <w:left w:val="nil"/>
              <w:bottom w:val="nil"/>
              <w:right w:val="nil"/>
            </w:tcBorders>
            <w:shd w:val="clear" w:color="auto" w:fill="auto"/>
            <w:noWrap/>
            <w:vAlign w:val="bottom"/>
            <w:hideMark/>
          </w:tcPr>
          <w:p w14:paraId="73D9A0CD"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r>
    </w:tbl>
    <w:p w14:paraId="0C87721B" w14:textId="10777193" w:rsidR="004E7C84" w:rsidRPr="00033A3F" w:rsidRDefault="004E7C84" w:rsidP="00704418">
      <w:pPr>
        <w:pStyle w:val="Nadpis3"/>
        <w:numPr>
          <w:ilvl w:val="2"/>
          <w:numId w:val="1"/>
        </w:numPr>
        <w:rPr>
          <w:color w:val="000000" w:themeColor="text1"/>
          <w:lang w:eastAsia="cs-CZ"/>
        </w:rPr>
      </w:pPr>
      <w:bookmarkStart w:id="2132" w:name="_Toc203032781"/>
      <w:r w:rsidRPr="00033A3F">
        <w:rPr>
          <w:color w:val="000000" w:themeColor="text1"/>
          <w:lang w:eastAsia="cs-CZ"/>
        </w:rPr>
        <w:t>Disposition time</w:t>
      </w:r>
      <w:bookmarkEnd w:id="2127"/>
      <w:r w:rsidRPr="00033A3F">
        <w:rPr>
          <w:color w:val="000000" w:themeColor="text1"/>
          <w:lang w:eastAsia="cs-CZ"/>
        </w:rPr>
        <w:t xml:space="preserve"> (dispoziční čas)</w:t>
      </w:r>
      <w:bookmarkEnd w:id="2128"/>
      <w:bookmarkEnd w:id="2129"/>
      <w:bookmarkEnd w:id="2130"/>
      <w:bookmarkEnd w:id="2131"/>
      <w:bookmarkEnd w:id="2132"/>
    </w:p>
    <w:p w14:paraId="6F22A6A1" w14:textId="0D29E4F4" w:rsidR="00C633F2" w:rsidRPr="00033A3F" w:rsidRDefault="00C633F2" w:rsidP="00C633F2">
      <w:pPr>
        <w:rPr>
          <w:color w:val="000000" w:themeColor="text1"/>
          <w:lang w:eastAsia="cs-CZ"/>
        </w:rPr>
      </w:pPr>
      <w:r w:rsidRPr="00033A3F">
        <w:rPr>
          <w:color w:val="000000" w:themeColor="text1"/>
          <w:lang w:eastAsia="cs-CZ"/>
        </w:rPr>
        <w:t xml:space="preserve">DT VS v Olomouci dlouhodobě osciluje mezi 40 a 65. DT VS v Praze prudce pokles v roce 2021 a i v následujících letech nadále klesal, i když mnohem pomaleji. </w:t>
      </w:r>
    </w:p>
    <w:p w14:paraId="5AC958EF" w14:textId="22638B5B" w:rsidR="00EF2EF8" w:rsidRPr="00033A3F" w:rsidRDefault="00EF2EF8" w:rsidP="00EF2EF8">
      <w:pPr>
        <w:pStyle w:val="Podnadpis"/>
        <w:numPr>
          <w:ilvl w:val="0"/>
          <w:numId w:val="0"/>
        </w:numPr>
        <w:rPr>
          <w:color w:val="000000" w:themeColor="text1"/>
        </w:rPr>
      </w:pPr>
      <w:bookmarkStart w:id="2133" w:name="_Toc515871414"/>
      <w:bookmarkStart w:id="2134" w:name="_Toc11135145"/>
      <w:bookmarkStart w:id="2135" w:name="_Toc43841467"/>
      <w:bookmarkStart w:id="2136" w:name="_Toc75952270"/>
      <w:bookmarkStart w:id="2137" w:name="_Toc106106727"/>
      <w:bookmarkStart w:id="2138" w:name="_Toc109802051"/>
      <w:bookmarkStart w:id="2139" w:name="_Toc144104201"/>
      <w:bookmarkStart w:id="2140" w:name="_Toc169251014"/>
      <w:bookmarkStart w:id="2141" w:name="_Toc174080700"/>
      <w:bookmarkStart w:id="2142" w:name="_Toc193530854"/>
      <w:bookmarkStart w:id="2143" w:name="_Toc193634128"/>
      <w:bookmarkStart w:id="2144" w:name="_Toc203032926"/>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99</w:t>
      </w:r>
      <w:r w:rsidRPr="00033A3F">
        <w:rPr>
          <w:color w:val="000000" w:themeColor="text1"/>
        </w:rPr>
        <w:fldChar w:fldCharType="end"/>
      </w:r>
      <w:r w:rsidRPr="00033A3F">
        <w:rPr>
          <w:color w:val="000000" w:themeColor="text1"/>
        </w:rPr>
        <w:t xml:space="preserve">: VS – DT civilního odvolacího řízení v letech </w:t>
      </w:r>
      <w:bookmarkEnd w:id="2133"/>
      <w:bookmarkEnd w:id="2134"/>
      <w:bookmarkEnd w:id="2135"/>
      <w:bookmarkEnd w:id="2136"/>
      <w:bookmarkEnd w:id="2137"/>
      <w:bookmarkEnd w:id="2138"/>
      <w:bookmarkEnd w:id="2139"/>
      <w:r w:rsidRPr="00033A3F">
        <w:rPr>
          <w:color w:val="000000" w:themeColor="text1"/>
        </w:rPr>
        <w:t>2015 – 202</w:t>
      </w:r>
      <w:bookmarkEnd w:id="2140"/>
      <w:bookmarkEnd w:id="2141"/>
      <w:r w:rsidRPr="00033A3F">
        <w:rPr>
          <w:color w:val="000000" w:themeColor="text1"/>
        </w:rPr>
        <w:t>4</w:t>
      </w:r>
      <w:bookmarkEnd w:id="2142"/>
      <w:bookmarkEnd w:id="2143"/>
      <w:bookmarkEnd w:id="2144"/>
    </w:p>
    <w:p w14:paraId="6C656392" w14:textId="383BA062" w:rsidR="00F610DB" w:rsidRPr="00033A3F" w:rsidRDefault="00EF2EF8">
      <w:pPr>
        <w:spacing w:after="160" w:line="259" w:lineRule="auto"/>
        <w:jc w:val="left"/>
        <w:rPr>
          <w:color w:val="000000" w:themeColor="text1"/>
          <w:lang w:eastAsia="cs-CZ"/>
        </w:rPr>
      </w:pPr>
      <w:r w:rsidRPr="00033A3F">
        <w:rPr>
          <w:noProof/>
          <w:color w:val="000000" w:themeColor="text1"/>
          <w:lang w:eastAsia="cs-CZ"/>
        </w:rPr>
        <w:drawing>
          <wp:inline distT="0" distB="0" distL="0" distR="0" wp14:anchorId="4A3FEE18" wp14:editId="2E00FA43">
            <wp:extent cx="5029200" cy="3657600"/>
            <wp:effectExtent l="0" t="0" r="0" b="0"/>
            <wp:docPr id="1366635590"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167298A" w14:textId="08A9DA0B" w:rsidR="002922A8" w:rsidRPr="00033A3F" w:rsidRDefault="002922A8">
      <w:pPr>
        <w:spacing w:after="160" w:line="259" w:lineRule="auto"/>
        <w:jc w:val="left"/>
        <w:rPr>
          <w:color w:val="000000" w:themeColor="text1"/>
          <w:lang w:eastAsia="cs-CZ"/>
        </w:rPr>
      </w:pPr>
      <w:r w:rsidRPr="00033A3F">
        <w:rPr>
          <w:color w:val="000000" w:themeColor="text1"/>
          <w:lang w:eastAsia="cs-CZ"/>
        </w:rPr>
        <w:br w:type="page"/>
      </w:r>
    </w:p>
    <w:p w14:paraId="2EBE805F" w14:textId="4080E53F" w:rsidR="008430BD" w:rsidRPr="00033A3F" w:rsidRDefault="008430BD" w:rsidP="008430BD">
      <w:pPr>
        <w:pStyle w:val="Nadpis2"/>
        <w:numPr>
          <w:ilvl w:val="1"/>
          <w:numId w:val="1"/>
        </w:numPr>
        <w:spacing w:before="120"/>
        <w:rPr>
          <w:lang w:eastAsia="cs-CZ"/>
        </w:rPr>
      </w:pPr>
      <w:bookmarkStart w:id="2145" w:name="_Toc515871286"/>
      <w:bookmarkStart w:id="2146" w:name="_Toc106092798"/>
      <w:bookmarkStart w:id="2147" w:name="_Toc169250874"/>
      <w:bookmarkStart w:id="2148" w:name="_Toc193531036"/>
      <w:bookmarkStart w:id="2149" w:name="_Toc193957094"/>
      <w:bookmarkStart w:id="2150" w:name="_Toc203032782"/>
      <w:r w:rsidRPr="00033A3F">
        <w:rPr>
          <w:lang w:eastAsia="cs-CZ"/>
        </w:rPr>
        <w:lastRenderedPageBreak/>
        <w:t>Trestní odvolací agenda</w:t>
      </w:r>
      <w:bookmarkEnd w:id="2145"/>
      <w:bookmarkEnd w:id="2146"/>
      <w:bookmarkEnd w:id="2147"/>
      <w:bookmarkEnd w:id="2148"/>
      <w:bookmarkEnd w:id="2149"/>
      <w:bookmarkEnd w:id="2150"/>
    </w:p>
    <w:p w14:paraId="0F31ADDD" w14:textId="77777777" w:rsidR="00875E6A" w:rsidRPr="00033A3F" w:rsidRDefault="00875E6A" w:rsidP="00875E6A">
      <w:pPr>
        <w:pStyle w:val="OdstavecASR"/>
        <w:rPr>
          <w:color w:val="000000" w:themeColor="text1"/>
        </w:rPr>
      </w:pPr>
      <w:r w:rsidRPr="00033A3F">
        <w:rPr>
          <w:color w:val="000000" w:themeColor="text1"/>
        </w:rPr>
        <w:t>Vrchní soud vyřizuje věci, v nichž bylo podáno odvolání proti rozhodnutí prvostupňového krajského soudu. Jedná se o rejstříky označené jako To a Tmo.</w:t>
      </w:r>
    </w:p>
    <w:p w14:paraId="4F03267E" w14:textId="4435ED20" w:rsidR="008430BD" w:rsidRPr="00033A3F" w:rsidRDefault="008430BD" w:rsidP="008430BD">
      <w:pPr>
        <w:pStyle w:val="Nadpis3"/>
        <w:numPr>
          <w:ilvl w:val="2"/>
          <w:numId w:val="1"/>
        </w:numPr>
        <w:rPr>
          <w:color w:val="000000" w:themeColor="text1"/>
          <w:lang w:eastAsia="cs-CZ"/>
        </w:rPr>
      </w:pPr>
      <w:bookmarkStart w:id="2151" w:name="_Toc515871287"/>
      <w:bookmarkStart w:id="2152" w:name="_Toc106092799"/>
      <w:bookmarkStart w:id="2153" w:name="_Toc169250875"/>
      <w:bookmarkStart w:id="2154" w:name="_Toc193531037"/>
      <w:bookmarkStart w:id="2155" w:name="_Toc193957095"/>
      <w:bookmarkStart w:id="2156" w:name="_Toc203032783"/>
      <w:r w:rsidRPr="00033A3F">
        <w:rPr>
          <w:color w:val="000000" w:themeColor="text1"/>
          <w:lang w:eastAsia="cs-CZ"/>
        </w:rPr>
        <w:t>Délka řízení</w:t>
      </w:r>
      <w:bookmarkEnd w:id="2151"/>
      <w:bookmarkEnd w:id="2152"/>
      <w:bookmarkEnd w:id="2153"/>
      <w:bookmarkEnd w:id="2154"/>
      <w:bookmarkEnd w:id="2155"/>
      <w:bookmarkEnd w:id="2156"/>
    </w:p>
    <w:p w14:paraId="29DACE12" w14:textId="31070759" w:rsidR="000A26CB" w:rsidRPr="00033A3F" w:rsidRDefault="000A26CB" w:rsidP="000A26CB">
      <w:pPr>
        <w:pStyle w:val="OdstavecASR"/>
        <w:rPr>
          <w:color w:val="000000" w:themeColor="text1"/>
        </w:rPr>
      </w:pPr>
      <w:r w:rsidRPr="00033A3F">
        <w:rPr>
          <w:color w:val="000000" w:themeColor="text1"/>
        </w:rPr>
        <w:t>Délka řízení je tentokrát uváděna ode dne nápadu do dne právní moci, protože dnem konečného vyřízení odvolacím soudem se věc stane pravomocnou. V grafu níže vidíme, že délky řízení v trestní agendě jsou mezi soudy mnohem vyrovnanější než v agendě civilní,</w:t>
      </w:r>
      <w:r w:rsidR="00440177" w:rsidRPr="00033A3F">
        <w:rPr>
          <w:color w:val="000000" w:themeColor="text1"/>
        </w:rPr>
        <w:t xml:space="preserve"> což může souviset s menším rozdílem </w:t>
      </w:r>
      <w:r w:rsidR="00705C57" w:rsidRPr="00033A3F">
        <w:rPr>
          <w:color w:val="000000" w:themeColor="text1"/>
        </w:rPr>
        <w:t xml:space="preserve">v </w:t>
      </w:r>
      <w:r w:rsidR="00440177" w:rsidRPr="00033A3F">
        <w:rPr>
          <w:color w:val="000000" w:themeColor="text1"/>
        </w:rPr>
        <w:t>zatížení soudců mezi oběma vrchními soudy v agendě trestní</w:t>
      </w:r>
      <w:r w:rsidRPr="00033A3F">
        <w:rPr>
          <w:color w:val="000000" w:themeColor="text1"/>
        </w:rPr>
        <w:t>. Pozornost může upoutat kolísání devadesátého percentilu především u VS v Olomouci. To je dáno malým počtem pozorování. V roce 2017 tak došlo k náhlému a obrovskému nárůstu devadesátého percentilu, značnému růstu průměru a mírnému zvýšení mediánu. U obou soudů totiž v tomto roce skončilo několik rozsáhlých a dlouhotrvající kauz. To pak ovlivnilo především devadesátý percentil, v menší míře i průměr a medián. Růst délek řízení ale u VS v Olomouci pokračoval v roce 2018. V roce 2019 došlo k nezanedbatelnému poklesu v délkách řízení u obou soudů. Velmi výrazně klesl především percentil 90 u VS v</w:t>
      </w:r>
      <w:r w:rsidR="002F03C6" w:rsidRPr="00033A3F">
        <w:rPr>
          <w:color w:val="000000" w:themeColor="text1"/>
        </w:rPr>
        <w:t> </w:t>
      </w:r>
      <w:r w:rsidRPr="00033A3F">
        <w:rPr>
          <w:color w:val="000000" w:themeColor="text1"/>
        </w:rPr>
        <w:t>Olomouci</w:t>
      </w:r>
      <w:r w:rsidR="002F03C6" w:rsidRPr="00033A3F">
        <w:rPr>
          <w:color w:val="000000" w:themeColor="text1"/>
        </w:rPr>
        <w:t>, když následoval podobný výrazný pokles u VS v Praze o rok dříve</w:t>
      </w:r>
      <w:r w:rsidRPr="00033A3F">
        <w:rPr>
          <w:color w:val="000000" w:themeColor="text1"/>
        </w:rPr>
        <w:t xml:space="preserve">. Po roce 2019 délky řízení u VS v Praze </w:t>
      </w:r>
      <w:r w:rsidR="002F03C6" w:rsidRPr="00033A3F">
        <w:rPr>
          <w:color w:val="000000" w:themeColor="text1"/>
        </w:rPr>
        <w:t xml:space="preserve">stagnovaly </w:t>
      </w:r>
      <w:r w:rsidRPr="00033A3F">
        <w:rPr>
          <w:color w:val="000000" w:themeColor="text1"/>
        </w:rPr>
        <w:t xml:space="preserve">a u VS v Olomouci spíše </w:t>
      </w:r>
      <w:r w:rsidR="002F03C6" w:rsidRPr="00033A3F">
        <w:rPr>
          <w:color w:val="000000" w:themeColor="text1"/>
        </w:rPr>
        <w:t xml:space="preserve">rostly </w:t>
      </w:r>
      <w:r w:rsidR="00B93120" w:rsidRPr="00033A3F">
        <w:rPr>
          <w:color w:val="000000" w:themeColor="text1"/>
        </w:rPr>
        <w:t>a</w:t>
      </w:r>
      <w:r w:rsidR="00542EE2">
        <w:rPr>
          <w:color w:val="000000" w:themeColor="text1"/>
        </w:rPr>
        <w:t> </w:t>
      </w:r>
      <w:r w:rsidR="00B93120" w:rsidRPr="00033A3F">
        <w:rPr>
          <w:color w:val="000000" w:themeColor="text1"/>
        </w:rPr>
        <w:t xml:space="preserve">několik let </w:t>
      </w:r>
      <w:r w:rsidR="002F03C6" w:rsidRPr="00033A3F">
        <w:rPr>
          <w:color w:val="000000" w:themeColor="text1"/>
        </w:rPr>
        <w:t xml:space="preserve">byly </w:t>
      </w:r>
      <w:r w:rsidRPr="00033A3F">
        <w:rPr>
          <w:color w:val="000000" w:themeColor="text1"/>
        </w:rPr>
        <w:t xml:space="preserve">vyšší než u VS v Praze. V roce 2023 se situace opět proměnila – medián </w:t>
      </w:r>
      <w:r w:rsidR="00B93120" w:rsidRPr="00033A3F">
        <w:rPr>
          <w:color w:val="000000" w:themeColor="text1"/>
        </w:rPr>
        <w:t>byl</w:t>
      </w:r>
      <w:r w:rsidRPr="00033A3F">
        <w:rPr>
          <w:color w:val="000000" w:themeColor="text1"/>
        </w:rPr>
        <w:t xml:space="preserve"> podobný, průměr a percentil 90 se </w:t>
      </w:r>
      <w:r w:rsidR="002F03C6" w:rsidRPr="00033A3F">
        <w:rPr>
          <w:color w:val="000000" w:themeColor="text1"/>
        </w:rPr>
        <w:t>lišily</w:t>
      </w:r>
      <w:r w:rsidRPr="00033A3F">
        <w:rPr>
          <w:color w:val="000000" w:themeColor="text1"/>
        </w:rPr>
        <w:t>.</w:t>
      </w:r>
      <w:r w:rsidR="00B93120" w:rsidRPr="00033A3F">
        <w:rPr>
          <w:color w:val="000000" w:themeColor="text1"/>
        </w:rPr>
        <w:t xml:space="preserve"> V roce 2024 </w:t>
      </w:r>
      <w:r w:rsidR="007E7306" w:rsidRPr="00033A3F">
        <w:rPr>
          <w:color w:val="000000" w:themeColor="text1"/>
        </w:rPr>
        <w:t>se délky řízení u obou soudů navzájem příliš nelišily.</w:t>
      </w:r>
    </w:p>
    <w:p w14:paraId="73740E39" w14:textId="51698294" w:rsidR="00875E6A" w:rsidRPr="00033A3F" w:rsidRDefault="000A26CB" w:rsidP="004C0D35">
      <w:pPr>
        <w:pStyle w:val="OdstavecASR"/>
        <w:rPr>
          <w:color w:val="000000" w:themeColor="text1"/>
        </w:rPr>
      </w:pPr>
      <w:r w:rsidRPr="00033A3F">
        <w:rPr>
          <w:color w:val="000000" w:themeColor="text1"/>
        </w:rPr>
        <w:t>Zbývá dodat, že složení agendy u VS je logicky velmi podobné složení prvostupňové agendy u krajských soudů.</w:t>
      </w:r>
    </w:p>
    <w:p w14:paraId="6A3904DF" w14:textId="1A92ADAD" w:rsidR="00875E6A" w:rsidRPr="00033A3F" w:rsidRDefault="00875E6A" w:rsidP="00875E6A">
      <w:pPr>
        <w:pStyle w:val="Podnadpis"/>
        <w:rPr>
          <w:color w:val="000000" w:themeColor="text1"/>
          <w:lang w:eastAsia="cs-CZ"/>
        </w:rPr>
      </w:pPr>
      <w:bookmarkStart w:id="2157" w:name="_Toc515871415"/>
      <w:bookmarkStart w:id="2158" w:name="_Toc11135146"/>
      <w:bookmarkStart w:id="2159" w:name="_Toc43841468"/>
      <w:bookmarkStart w:id="2160" w:name="_Toc75952271"/>
      <w:bookmarkStart w:id="2161" w:name="_Toc106106728"/>
      <w:bookmarkStart w:id="2162" w:name="_Toc109802052"/>
      <w:bookmarkStart w:id="2163" w:name="_Toc144104202"/>
      <w:bookmarkStart w:id="2164" w:name="_Toc169251015"/>
      <w:bookmarkStart w:id="2165" w:name="_Toc174080701"/>
      <w:bookmarkStart w:id="2166" w:name="_Toc193530855"/>
      <w:bookmarkStart w:id="2167" w:name="_Toc193634129"/>
      <w:bookmarkStart w:id="2168" w:name="_Toc203032927"/>
      <w:r w:rsidRPr="00033A3F">
        <w:rPr>
          <w:color w:val="000000" w:themeColor="text1"/>
        </w:rPr>
        <w:t xml:space="preserve">Graf </w:t>
      </w:r>
      <w:r w:rsidR="00BC30BA" w:rsidRPr="00033A3F">
        <w:rPr>
          <w:noProof/>
          <w:color w:val="000000" w:themeColor="text1"/>
        </w:rPr>
        <w:fldChar w:fldCharType="begin"/>
      </w:r>
      <w:r w:rsidR="00BC30BA" w:rsidRPr="00033A3F">
        <w:rPr>
          <w:noProof/>
          <w:color w:val="000000" w:themeColor="text1"/>
        </w:rPr>
        <w:instrText xml:space="preserve"> SEQ Graf \* ARABIC </w:instrText>
      </w:r>
      <w:r w:rsidR="00BC30BA" w:rsidRPr="00033A3F">
        <w:rPr>
          <w:noProof/>
          <w:color w:val="000000" w:themeColor="text1"/>
        </w:rPr>
        <w:fldChar w:fldCharType="separate"/>
      </w:r>
      <w:r w:rsidR="00163B51">
        <w:rPr>
          <w:noProof/>
          <w:color w:val="000000" w:themeColor="text1"/>
        </w:rPr>
        <w:t>100</w:t>
      </w:r>
      <w:r w:rsidR="00BC30BA" w:rsidRPr="00033A3F">
        <w:rPr>
          <w:noProof/>
          <w:color w:val="000000" w:themeColor="text1"/>
        </w:rPr>
        <w:fldChar w:fldCharType="end"/>
      </w:r>
      <w:r w:rsidRPr="00033A3F">
        <w:rPr>
          <w:color w:val="000000" w:themeColor="text1"/>
        </w:rPr>
        <w:t>: VS – délka trestního odvolacího řízení v letech 2015–</w:t>
      </w:r>
      <w:bookmarkEnd w:id="2157"/>
      <w:r w:rsidRPr="00033A3F">
        <w:rPr>
          <w:color w:val="000000" w:themeColor="text1"/>
        </w:rPr>
        <w:t>20</w:t>
      </w:r>
      <w:bookmarkEnd w:id="2158"/>
      <w:bookmarkEnd w:id="2159"/>
      <w:r w:rsidRPr="00033A3F">
        <w:rPr>
          <w:color w:val="000000" w:themeColor="text1"/>
        </w:rPr>
        <w:t>2</w:t>
      </w:r>
      <w:bookmarkEnd w:id="2160"/>
      <w:bookmarkEnd w:id="2161"/>
      <w:bookmarkEnd w:id="2162"/>
      <w:bookmarkEnd w:id="2163"/>
      <w:bookmarkEnd w:id="2164"/>
      <w:bookmarkEnd w:id="2165"/>
      <w:r w:rsidRPr="00033A3F">
        <w:rPr>
          <w:color w:val="000000" w:themeColor="text1"/>
        </w:rPr>
        <w:t>4</w:t>
      </w:r>
      <w:bookmarkEnd w:id="2166"/>
      <w:bookmarkEnd w:id="2167"/>
      <w:bookmarkEnd w:id="2168"/>
    </w:p>
    <w:p w14:paraId="4236CAC6" w14:textId="09538532" w:rsidR="00B4061F" w:rsidRPr="00033A3F" w:rsidRDefault="00875E6A" w:rsidP="00875E6A">
      <w:pPr>
        <w:rPr>
          <w:color w:val="000000" w:themeColor="text1"/>
          <w:lang w:eastAsia="cs-CZ"/>
        </w:rPr>
      </w:pPr>
      <w:r w:rsidRPr="00033A3F">
        <w:rPr>
          <w:noProof/>
          <w:color w:val="000000" w:themeColor="text1"/>
          <w:lang w:eastAsia="cs-CZ"/>
        </w:rPr>
        <w:drawing>
          <wp:inline distT="0" distB="0" distL="0" distR="0" wp14:anchorId="1044E832" wp14:editId="581C2BFC">
            <wp:extent cx="5029200" cy="3657600"/>
            <wp:effectExtent l="0" t="0" r="0" b="0"/>
            <wp:docPr id="55926060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8D1B5D2" w14:textId="77777777" w:rsidR="00B4061F" w:rsidRPr="00033A3F" w:rsidRDefault="00B4061F">
      <w:pPr>
        <w:spacing w:after="160" w:line="259" w:lineRule="auto"/>
        <w:jc w:val="left"/>
        <w:rPr>
          <w:color w:val="000000" w:themeColor="text1"/>
          <w:lang w:eastAsia="cs-CZ"/>
        </w:rPr>
      </w:pPr>
      <w:r w:rsidRPr="00033A3F">
        <w:rPr>
          <w:color w:val="000000" w:themeColor="text1"/>
          <w:lang w:eastAsia="cs-CZ"/>
        </w:rPr>
        <w:br w:type="page"/>
      </w:r>
    </w:p>
    <w:p w14:paraId="60391201" w14:textId="2B88EE30" w:rsidR="00B4061F" w:rsidRPr="00033A3F" w:rsidRDefault="00B4061F" w:rsidP="00B4061F">
      <w:pPr>
        <w:pStyle w:val="Podnadpis"/>
        <w:numPr>
          <w:ilvl w:val="0"/>
          <w:numId w:val="0"/>
        </w:numPr>
        <w:rPr>
          <w:color w:val="000000" w:themeColor="text1"/>
        </w:rPr>
      </w:pPr>
      <w:bookmarkStart w:id="2169" w:name="_Toc515871416"/>
      <w:bookmarkStart w:id="2170" w:name="_Toc11135147"/>
      <w:bookmarkStart w:id="2171" w:name="_Toc43841469"/>
      <w:bookmarkStart w:id="2172" w:name="_Toc75952272"/>
      <w:bookmarkStart w:id="2173" w:name="_Toc106106729"/>
      <w:bookmarkStart w:id="2174" w:name="_Toc109802053"/>
      <w:bookmarkStart w:id="2175" w:name="_Toc144104203"/>
      <w:bookmarkStart w:id="2176" w:name="_Toc169251016"/>
      <w:bookmarkStart w:id="2177" w:name="_Toc174080702"/>
      <w:bookmarkStart w:id="2178" w:name="_Toc193530856"/>
      <w:bookmarkStart w:id="2179" w:name="_Toc193634130"/>
      <w:bookmarkStart w:id="2180" w:name="_Toc203032928"/>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101</w:t>
      </w:r>
      <w:r w:rsidRPr="00033A3F">
        <w:rPr>
          <w:color w:val="000000" w:themeColor="text1"/>
        </w:rPr>
        <w:fldChar w:fldCharType="end"/>
      </w:r>
      <w:r w:rsidRPr="00033A3F">
        <w:rPr>
          <w:color w:val="000000" w:themeColor="text1"/>
        </w:rPr>
        <w:t>: VS – distribuce délek trestního odvolacího řízení</w:t>
      </w:r>
      <w:bookmarkEnd w:id="2169"/>
      <w:bookmarkEnd w:id="2170"/>
      <w:bookmarkEnd w:id="2171"/>
      <w:bookmarkEnd w:id="2172"/>
      <w:bookmarkEnd w:id="2173"/>
      <w:bookmarkEnd w:id="2174"/>
      <w:bookmarkEnd w:id="2175"/>
      <w:bookmarkEnd w:id="2176"/>
      <w:bookmarkEnd w:id="2177"/>
      <w:bookmarkEnd w:id="2178"/>
      <w:bookmarkEnd w:id="2179"/>
      <w:bookmarkEnd w:id="2180"/>
    </w:p>
    <w:p w14:paraId="486CCF0B" w14:textId="532A2381" w:rsidR="00875E6A" w:rsidRPr="00033A3F" w:rsidRDefault="00B4061F" w:rsidP="00875E6A">
      <w:pPr>
        <w:rPr>
          <w:color w:val="000000" w:themeColor="text1"/>
          <w:lang w:eastAsia="cs-CZ"/>
        </w:rPr>
      </w:pPr>
      <w:r w:rsidRPr="00033A3F">
        <w:rPr>
          <w:noProof/>
          <w:color w:val="000000" w:themeColor="text1"/>
          <w:lang w:eastAsia="cs-CZ"/>
        </w:rPr>
        <w:drawing>
          <wp:inline distT="0" distB="0" distL="0" distR="0" wp14:anchorId="782F8B9C" wp14:editId="0A7380F0">
            <wp:extent cx="5029200" cy="3657600"/>
            <wp:effectExtent l="0" t="0" r="0" b="0"/>
            <wp:docPr id="2146326807"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E22BDA1" w14:textId="77777777" w:rsidR="00B93120" w:rsidRPr="00033A3F" w:rsidRDefault="00B93120" w:rsidP="00B93120">
      <w:pPr>
        <w:pStyle w:val="OdstavecASR"/>
        <w:rPr>
          <w:color w:val="000000" w:themeColor="text1"/>
          <w:lang w:eastAsia="cs-CZ"/>
        </w:rPr>
      </w:pPr>
    </w:p>
    <w:p w14:paraId="7021722A" w14:textId="2C757A26" w:rsidR="00B93120" w:rsidRPr="00033A3F" w:rsidRDefault="00B93120" w:rsidP="00B93120">
      <w:pPr>
        <w:pStyle w:val="OdstavecASR"/>
        <w:rPr>
          <w:color w:val="000000" w:themeColor="text1"/>
          <w:lang w:eastAsia="cs-CZ"/>
        </w:rPr>
      </w:pPr>
      <w:r w:rsidRPr="00033A3F">
        <w:rPr>
          <w:color w:val="000000" w:themeColor="text1"/>
          <w:lang w:eastAsia="cs-CZ"/>
        </w:rPr>
        <w:t>Malý počet pozorování se projevuje i v histogramu. Distribuce délek řízení se obvykle liší mezi soudy i mezi jednotlivými roky u stejného soudu; při vyšším počtu pozorování by zřejmě byla podobnější. V roce 2024 má VS v Olomouci asi dvakrát méně věcí s délkou řízení mezi 25 a 50 dny. VS v Praze má ale více extrémních hodnot přes 400 dnů způsobených ukončováním dlouhotrvajících věcí.</w:t>
      </w:r>
    </w:p>
    <w:p w14:paraId="00AFB78E" w14:textId="77777777" w:rsidR="00B93120" w:rsidRPr="00033A3F" w:rsidRDefault="00B93120" w:rsidP="00875E6A">
      <w:pPr>
        <w:rPr>
          <w:color w:val="000000" w:themeColor="text1"/>
          <w:lang w:eastAsia="cs-CZ"/>
        </w:rPr>
      </w:pPr>
    </w:p>
    <w:p w14:paraId="166754EC" w14:textId="1AEEC56A" w:rsidR="008430BD" w:rsidRPr="00033A3F" w:rsidRDefault="008430BD" w:rsidP="008430BD">
      <w:pPr>
        <w:pStyle w:val="Nadpis3"/>
        <w:numPr>
          <w:ilvl w:val="2"/>
          <w:numId w:val="1"/>
        </w:numPr>
        <w:rPr>
          <w:color w:val="000000" w:themeColor="text1"/>
          <w:lang w:eastAsia="cs-CZ"/>
        </w:rPr>
      </w:pPr>
      <w:bookmarkStart w:id="2181" w:name="_Toc515871288"/>
      <w:bookmarkStart w:id="2182" w:name="_Toc106092800"/>
      <w:bookmarkStart w:id="2183" w:name="_Toc169250876"/>
      <w:bookmarkStart w:id="2184" w:name="_Toc193531038"/>
      <w:bookmarkStart w:id="2185" w:name="_Toc193957096"/>
      <w:bookmarkStart w:id="2186" w:name="_Toc203032784"/>
      <w:r w:rsidRPr="00033A3F">
        <w:rPr>
          <w:color w:val="000000" w:themeColor="text1"/>
          <w:lang w:eastAsia="cs-CZ"/>
        </w:rPr>
        <w:t>Vyřizování věcí</w:t>
      </w:r>
      <w:bookmarkEnd w:id="2181"/>
      <w:bookmarkEnd w:id="2182"/>
      <w:bookmarkEnd w:id="2183"/>
      <w:bookmarkEnd w:id="2184"/>
      <w:bookmarkEnd w:id="2185"/>
      <w:bookmarkEnd w:id="2186"/>
    </w:p>
    <w:p w14:paraId="1893FBE2" w14:textId="792AE85C" w:rsidR="00F82B55" w:rsidRPr="00033A3F" w:rsidRDefault="00F82B55" w:rsidP="00F82B55">
      <w:pPr>
        <w:pStyle w:val="OdstavecASR"/>
        <w:rPr>
          <w:color w:val="000000" w:themeColor="text1"/>
        </w:rPr>
      </w:pPr>
      <w:r w:rsidRPr="00033A3F">
        <w:rPr>
          <w:color w:val="000000" w:themeColor="text1"/>
        </w:rPr>
        <w:t>Počet věcí opět ilustruje rozdíl ve velikosti soudů. V nápadu je u VS v Praze vidět dočasný propad v příchozích (a tím pádem i vyřízených věcích) v letech 2019 až 2022. V letech 2023 a 2024 ale počet příchozích věcí opět narostl. U VS v Olomouci je v časové řadě vidět určitý klesající trend.</w:t>
      </w:r>
    </w:p>
    <w:p w14:paraId="0032C873" w14:textId="7F2559EC" w:rsidR="00F82B55" w:rsidRPr="00033A3F" w:rsidRDefault="00F82B55" w:rsidP="00F82B55">
      <w:pPr>
        <w:pStyle w:val="OdstavecASR"/>
        <w:rPr>
          <w:color w:val="000000" w:themeColor="text1"/>
        </w:rPr>
      </w:pPr>
      <w:r w:rsidRPr="00033A3F">
        <w:rPr>
          <w:color w:val="000000" w:themeColor="text1"/>
        </w:rPr>
        <w:t>V roce 2016 došlo k nárůstu v počtu nevyřízených věcí především u VS v Olomouci. Ačkoliv počet nevyřízených věcí vzrostl asi o 50 %, v absolutních číslech rozdíl činí pouze několik desítek věcí a celkový počet nevyřízených věcí je velmi malý.</w:t>
      </w:r>
    </w:p>
    <w:p w14:paraId="374091DC" w14:textId="51B466A7" w:rsidR="00F82B55" w:rsidRPr="00033A3F" w:rsidRDefault="00F82B55" w:rsidP="00F82B55">
      <w:pPr>
        <w:pStyle w:val="OdstavecASR"/>
        <w:rPr>
          <w:color w:val="000000" w:themeColor="text1"/>
        </w:rPr>
      </w:pPr>
      <w:r w:rsidRPr="00033A3F">
        <w:rPr>
          <w:color w:val="000000" w:themeColor="text1"/>
        </w:rPr>
        <w:t xml:space="preserve">Dlouhodobě lze říct, že počet nevyřízených věcí nevykazuje žádný trend. U VS v Praze osciluje kolem </w:t>
      </w:r>
      <w:r w:rsidR="00F26A46" w:rsidRPr="00033A3F">
        <w:rPr>
          <w:color w:val="000000" w:themeColor="text1"/>
        </w:rPr>
        <w:t xml:space="preserve">185 </w:t>
      </w:r>
      <w:r w:rsidRPr="00033A3F">
        <w:rPr>
          <w:color w:val="000000" w:themeColor="text1"/>
        </w:rPr>
        <w:t>věcí, u VS v Olomouci kolem 100 věcí.</w:t>
      </w:r>
    </w:p>
    <w:p w14:paraId="588F9D57" w14:textId="77777777" w:rsidR="00F82B55" w:rsidRPr="00033A3F" w:rsidRDefault="00F82B55" w:rsidP="00F82B55">
      <w:pPr>
        <w:rPr>
          <w:color w:val="000000" w:themeColor="text1"/>
          <w:lang w:eastAsia="cs-CZ"/>
        </w:rPr>
      </w:pPr>
    </w:p>
    <w:p w14:paraId="0B6490A0" w14:textId="5DE898AD" w:rsidR="00070957" w:rsidRPr="00033A3F" w:rsidRDefault="00070957" w:rsidP="00070957">
      <w:pPr>
        <w:pStyle w:val="Podnadpis"/>
        <w:numPr>
          <w:ilvl w:val="0"/>
          <w:numId w:val="0"/>
        </w:numPr>
        <w:rPr>
          <w:color w:val="000000" w:themeColor="text1"/>
        </w:rPr>
      </w:pPr>
      <w:bookmarkStart w:id="2187" w:name="_Toc515871417"/>
      <w:bookmarkStart w:id="2188" w:name="_Toc11135148"/>
      <w:bookmarkStart w:id="2189" w:name="_Toc43841470"/>
      <w:bookmarkStart w:id="2190" w:name="_Toc75952273"/>
      <w:bookmarkStart w:id="2191" w:name="_Toc106106730"/>
      <w:bookmarkStart w:id="2192" w:name="_Toc109802054"/>
      <w:bookmarkStart w:id="2193" w:name="_Toc144104204"/>
      <w:bookmarkStart w:id="2194" w:name="_Toc169251017"/>
      <w:bookmarkStart w:id="2195" w:name="_Toc174080703"/>
      <w:bookmarkStart w:id="2196" w:name="_Toc193530857"/>
      <w:bookmarkStart w:id="2197" w:name="_Toc193634131"/>
      <w:bookmarkStart w:id="2198" w:name="_Toc203032929"/>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102</w:t>
      </w:r>
      <w:r w:rsidRPr="00033A3F">
        <w:rPr>
          <w:color w:val="000000" w:themeColor="text1"/>
        </w:rPr>
        <w:fldChar w:fldCharType="end"/>
      </w:r>
      <w:r w:rsidRPr="00033A3F">
        <w:rPr>
          <w:color w:val="000000" w:themeColor="text1"/>
        </w:rPr>
        <w:t>: VS – vyřizování odvolacích trestních věcí v letech 2015–</w:t>
      </w:r>
      <w:bookmarkEnd w:id="2187"/>
      <w:bookmarkEnd w:id="2188"/>
      <w:bookmarkEnd w:id="2189"/>
      <w:bookmarkEnd w:id="2190"/>
      <w:bookmarkEnd w:id="2191"/>
      <w:bookmarkEnd w:id="2192"/>
      <w:r w:rsidRPr="00033A3F">
        <w:rPr>
          <w:color w:val="000000" w:themeColor="text1"/>
        </w:rPr>
        <w:t>202</w:t>
      </w:r>
      <w:bookmarkEnd w:id="2193"/>
      <w:bookmarkEnd w:id="2194"/>
      <w:bookmarkEnd w:id="2195"/>
      <w:r w:rsidRPr="00033A3F">
        <w:rPr>
          <w:color w:val="000000" w:themeColor="text1"/>
        </w:rPr>
        <w:t>4</w:t>
      </w:r>
      <w:bookmarkEnd w:id="2196"/>
      <w:bookmarkEnd w:id="2197"/>
      <w:bookmarkEnd w:id="2198"/>
    </w:p>
    <w:p w14:paraId="566367A2" w14:textId="56F7A48D" w:rsidR="00070957" w:rsidRPr="00033A3F" w:rsidRDefault="00070957" w:rsidP="00070957">
      <w:pPr>
        <w:rPr>
          <w:color w:val="000000" w:themeColor="text1"/>
        </w:rPr>
      </w:pPr>
      <w:r w:rsidRPr="00033A3F">
        <w:rPr>
          <w:noProof/>
          <w:color w:val="000000" w:themeColor="text1"/>
          <w:lang w:eastAsia="cs-CZ"/>
        </w:rPr>
        <w:drawing>
          <wp:inline distT="0" distB="0" distL="0" distR="0" wp14:anchorId="39366205" wp14:editId="5CAFBA04">
            <wp:extent cx="5029200" cy="3657600"/>
            <wp:effectExtent l="0" t="0" r="0" b="0"/>
            <wp:docPr id="141449142"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0018A69" w14:textId="77777777" w:rsidR="007679E1" w:rsidRPr="00033A3F" w:rsidRDefault="007679E1" w:rsidP="007679E1">
      <w:pPr>
        <w:rPr>
          <w:color w:val="000000" w:themeColor="text1"/>
          <w:lang w:eastAsia="cs-CZ"/>
        </w:rPr>
      </w:pPr>
    </w:p>
    <w:p w14:paraId="3437125F" w14:textId="69C4D0D3" w:rsidR="008430BD" w:rsidRPr="00033A3F" w:rsidRDefault="008430BD" w:rsidP="008430BD">
      <w:pPr>
        <w:pStyle w:val="Nadpis3"/>
        <w:numPr>
          <w:ilvl w:val="2"/>
          <w:numId w:val="1"/>
        </w:numPr>
        <w:rPr>
          <w:color w:val="000000" w:themeColor="text1"/>
          <w:lang w:eastAsia="cs-CZ"/>
        </w:rPr>
      </w:pPr>
      <w:bookmarkStart w:id="2199" w:name="_Toc515871289"/>
      <w:bookmarkStart w:id="2200" w:name="_Toc43903101"/>
      <w:bookmarkStart w:id="2201" w:name="_Toc106092801"/>
      <w:bookmarkStart w:id="2202" w:name="_Toc169250877"/>
      <w:bookmarkStart w:id="2203" w:name="_Toc193531039"/>
      <w:bookmarkStart w:id="2204" w:name="_Toc193957097"/>
      <w:bookmarkStart w:id="2205" w:name="_Toc203032785"/>
      <w:r w:rsidRPr="00033A3F">
        <w:rPr>
          <w:color w:val="000000" w:themeColor="text1"/>
          <w:lang w:eastAsia="cs-CZ"/>
        </w:rPr>
        <w:t>Vyřizování věcí v přepočtu na soudce</w:t>
      </w:r>
      <w:bookmarkEnd w:id="2199"/>
      <w:bookmarkEnd w:id="2200"/>
      <w:bookmarkEnd w:id="2201"/>
      <w:bookmarkEnd w:id="2202"/>
      <w:bookmarkEnd w:id="2203"/>
      <w:bookmarkEnd w:id="2204"/>
      <w:bookmarkEnd w:id="2205"/>
    </w:p>
    <w:p w14:paraId="077D24DA" w14:textId="0FBB9E53" w:rsidR="00EF1FA6" w:rsidRPr="00033A3F" w:rsidRDefault="00EF1FA6" w:rsidP="00EF1FA6">
      <w:pPr>
        <w:pStyle w:val="OdstavecASR"/>
        <w:rPr>
          <w:color w:val="000000" w:themeColor="text1"/>
          <w:lang w:eastAsia="cs-CZ"/>
        </w:rPr>
      </w:pPr>
      <w:r w:rsidRPr="00033A3F">
        <w:rPr>
          <w:color w:val="000000" w:themeColor="text1"/>
          <w:lang w:eastAsia="cs-CZ"/>
        </w:rPr>
        <w:t>Počet příchozích, vyřízených i nevyřízených věcí na soudce vždy byl u obou soudů velmi podobný. To koresponduje s tvrzením založeným na délkách řízení – oba soudy si ve vyřizování trestní odvolací agendy z dlouhodobého hlediska vedou obdobně. Meziročně vždy dochází k určitým výkyvům, což je očekávatelné a plyne nejen z malého počtu věcí. VS v Olomouci má v posledních letech nižší počet příchozích a vyřízených věcí na soudce.</w:t>
      </w:r>
    </w:p>
    <w:p w14:paraId="66FB7FB5" w14:textId="5C3C2344" w:rsidR="00EF1FA6" w:rsidRPr="00033A3F" w:rsidRDefault="00EF1FA6" w:rsidP="00EF1FA6">
      <w:pPr>
        <w:pStyle w:val="Podnadpis"/>
        <w:numPr>
          <w:ilvl w:val="0"/>
          <w:numId w:val="0"/>
        </w:numPr>
        <w:rPr>
          <w:color w:val="000000" w:themeColor="text1"/>
        </w:rPr>
      </w:pPr>
      <w:bookmarkStart w:id="2206" w:name="_Toc515871504"/>
      <w:bookmarkStart w:id="2207" w:name="_Toc11133270"/>
      <w:bookmarkStart w:id="2208" w:name="_Toc43931252"/>
      <w:bookmarkStart w:id="2209" w:name="_Toc75952386"/>
      <w:bookmarkStart w:id="2210" w:name="_Toc106106839"/>
      <w:bookmarkStart w:id="2211" w:name="_Toc109802162"/>
      <w:bookmarkStart w:id="2212" w:name="_Toc144104321"/>
      <w:bookmarkStart w:id="2213" w:name="_Toc169251135"/>
      <w:bookmarkStart w:id="2214" w:name="_Toc174080821"/>
      <w:bookmarkStart w:id="2215" w:name="_Toc193530947"/>
      <w:bookmarkStart w:id="2216" w:name="_Toc194045644"/>
      <w:bookmarkStart w:id="2217" w:name="_Toc199495054"/>
      <w:bookmarkStart w:id="2218" w:name="_Toc203033115"/>
      <w:bookmarkStart w:id="2219" w:name="_Toc20303319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73</w:t>
      </w:r>
      <w:r w:rsidRPr="00033A3F">
        <w:rPr>
          <w:noProof/>
          <w:color w:val="000000" w:themeColor="text1"/>
        </w:rPr>
        <w:fldChar w:fldCharType="end"/>
      </w:r>
      <w:r w:rsidRPr="00033A3F">
        <w:rPr>
          <w:color w:val="000000" w:themeColor="text1"/>
        </w:rPr>
        <w:t>: VS – vyřizování odvolacích trestních věcí na evidenčního soudce</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p>
    <w:tbl>
      <w:tblPr>
        <w:tblW w:w="8019" w:type="dxa"/>
        <w:tblCellMar>
          <w:left w:w="70" w:type="dxa"/>
          <w:right w:w="70" w:type="dxa"/>
        </w:tblCellMar>
        <w:tblLook w:val="04A0" w:firstRow="1" w:lastRow="0" w:firstColumn="1" w:lastColumn="0" w:noHBand="0" w:noVBand="1"/>
      </w:tblPr>
      <w:tblGrid>
        <w:gridCol w:w="2020"/>
        <w:gridCol w:w="1161"/>
        <w:gridCol w:w="1032"/>
        <w:gridCol w:w="1002"/>
        <w:gridCol w:w="1064"/>
        <w:gridCol w:w="809"/>
        <w:gridCol w:w="931"/>
      </w:tblGrid>
      <w:tr w:rsidR="00033A3F" w:rsidRPr="00033A3F" w14:paraId="5728AB1A" w14:textId="77777777" w:rsidTr="00EF1FA6">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62F4B094" w14:textId="75708BC3" w:rsidR="00EF1FA6" w:rsidRPr="00033A3F" w:rsidRDefault="0076608D"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EF1FA6" w:rsidRPr="00033A3F">
              <w:rPr>
                <w:rFonts w:eastAsia="Times New Roman"/>
                <w:b/>
                <w:bCs/>
                <w:color w:val="000000" w:themeColor="text1"/>
                <w:szCs w:val="24"/>
                <w:lang w:eastAsia="cs-CZ"/>
              </w:rPr>
              <w:t>oud</w:t>
            </w:r>
          </w:p>
        </w:tc>
        <w:tc>
          <w:tcPr>
            <w:tcW w:w="5999" w:type="dxa"/>
            <w:gridSpan w:val="6"/>
            <w:tcBorders>
              <w:top w:val="double" w:sz="6" w:space="0" w:color="auto"/>
              <w:left w:val="nil"/>
              <w:bottom w:val="nil"/>
              <w:right w:val="nil"/>
            </w:tcBorders>
            <w:shd w:val="clear" w:color="auto" w:fill="auto"/>
            <w:noWrap/>
            <w:vAlign w:val="center"/>
            <w:hideMark/>
          </w:tcPr>
          <w:p w14:paraId="60271A4B" w14:textId="77777777"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r>
      <w:tr w:rsidR="00033A3F" w:rsidRPr="00033A3F" w14:paraId="7AE36DA2" w14:textId="77777777" w:rsidTr="00EF1FA6">
        <w:trPr>
          <w:trHeight w:val="330"/>
        </w:trPr>
        <w:tc>
          <w:tcPr>
            <w:tcW w:w="2020" w:type="dxa"/>
            <w:vMerge/>
            <w:tcBorders>
              <w:top w:val="double" w:sz="6" w:space="0" w:color="auto"/>
              <w:left w:val="nil"/>
              <w:bottom w:val="double" w:sz="6" w:space="0" w:color="000000"/>
              <w:right w:val="nil"/>
            </w:tcBorders>
            <w:vAlign w:val="center"/>
            <w:hideMark/>
          </w:tcPr>
          <w:p w14:paraId="4E38E7F3" w14:textId="77777777" w:rsidR="00EF1FA6" w:rsidRPr="00033A3F" w:rsidRDefault="00EF1FA6" w:rsidP="00EF1FA6">
            <w:pPr>
              <w:spacing w:line="240" w:lineRule="auto"/>
              <w:jc w:val="left"/>
              <w:rPr>
                <w:rFonts w:eastAsia="Times New Roman"/>
                <w:b/>
                <w:bCs/>
                <w:color w:val="000000" w:themeColor="text1"/>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78273781" w14:textId="77777777"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206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3895517" w14:textId="77777777"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740" w:type="dxa"/>
            <w:gridSpan w:val="2"/>
            <w:tcBorders>
              <w:top w:val="nil"/>
              <w:left w:val="nil"/>
              <w:bottom w:val="double" w:sz="6" w:space="0" w:color="auto"/>
              <w:right w:val="nil"/>
            </w:tcBorders>
            <w:shd w:val="clear" w:color="auto" w:fill="auto"/>
            <w:noWrap/>
            <w:vAlign w:val="center"/>
            <w:hideMark/>
          </w:tcPr>
          <w:p w14:paraId="16920556" w14:textId="77777777"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r>
      <w:tr w:rsidR="00033A3F" w:rsidRPr="00033A3F" w14:paraId="4E72997F" w14:textId="77777777" w:rsidTr="00EF1FA6">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1F1E54E" w14:textId="77777777" w:rsidR="00EF1FA6" w:rsidRPr="00033A3F" w:rsidRDefault="00EF1FA6" w:rsidP="00EF1F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Praha</w:t>
            </w:r>
          </w:p>
        </w:tc>
        <w:tc>
          <w:tcPr>
            <w:tcW w:w="1161" w:type="dxa"/>
            <w:tcBorders>
              <w:top w:val="single" w:sz="4" w:space="0" w:color="auto"/>
              <w:left w:val="nil"/>
              <w:bottom w:val="single" w:sz="4" w:space="0" w:color="auto"/>
              <w:right w:val="nil"/>
            </w:tcBorders>
            <w:shd w:val="clear" w:color="auto" w:fill="auto"/>
            <w:noWrap/>
            <w:vAlign w:val="bottom"/>
            <w:hideMark/>
          </w:tcPr>
          <w:p w14:paraId="37F681C8" w14:textId="4F666019"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34,10</w:t>
            </w:r>
          </w:p>
        </w:tc>
        <w:tc>
          <w:tcPr>
            <w:tcW w:w="1032" w:type="dxa"/>
            <w:tcBorders>
              <w:top w:val="single" w:sz="4" w:space="0" w:color="auto"/>
              <w:left w:val="nil"/>
              <w:bottom w:val="single" w:sz="4" w:space="0" w:color="auto"/>
              <w:right w:val="nil"/>
            </w:tcBorders>
            <w:shd w:val="clear" w:color="auto" w:fill="auto"/>
            <w:noWrap/>
            <w:vAlign w:val="center"/>
            <w:hideMark/>
          </w:tcPr>
          <w:p w14:paraId="06DDA217" w14:textId="0FCBB13C" w:rsidR="00EF1FA6" w:rsidRPr="00033A3F" w:rsidRDefault="00EF1FA6" w:rsidP="00EF1F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002" w:type="dxa"/>
            <w:tcBorders>
              <w:top w:val="single" w:sz="4" w:space="0" w:color="auto"/>
              <w:left w:val="single" w:sz="4" w:space="0" w:color="auto"/>
              <w:bottom w:val="single" w:sz="4" w:space="0" w:color="auto"/>
              <w:right w:val="nil"/>
            </w:tcBorders>
            <w:shd w:val="clear" w:color="auto" w:fill="auto"/>
            <w:noWrap/>
            <w:vAlign w:val="bottom"/>
            <w:hideMark/>
          </w:tcPr>
          <w:p w14:paraId="7F9FFAF5" w14:textId="744D98CA"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34,40</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14:paraId="376B8875" w14:textId="145AF908" w:rsidR="00EF1FA6" w:rsidRPr="00033A3F" w:rsidRDefault="00EF1FA6" w:rsidP="00EF1F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809" w:type="dxa"/>
            <w:tcBorders>
              <w:top w:val="single" w:sz="4" w:space="0" w:color="auto"/>
              <w:left w:val="nil"/>
              <w:bottom w:val="single" w:sz="4" w:space="0" w:color="auto"/>
              <w:right w:val="nil"/>
            </w:tcBorders>
            <w:shd w:val="clear" w:color="auto" w:fill="auto"/>
            <w:noWrap/>
            <w:vAlign w:val="bottom"/>
            <w:hideMark/>
          </w:tcPr>
          <w:p w14:paraId="335EC94C" w14:textId="67605F45"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4,21</w:t>
            </w:r>
          </w:p>
        </w:tc>
        <w:tc>
          <w:tcPr>
            <w:tcW w:w="931" w:type="dxa"/>
            <w:tcBorders>
              <w:top w:val="single" w:sz="4" w:space="0" w:color="auto"/>
              <w:left w:val="nil"/>
              <w:bottom w:val="single" w:sz="4" w:space="0" w:color="auto"/>
              <w:right w:val="nil"/>
            </w:tcBorders>
            <w:shd w:val="clear" w:color="auto" w:fill="auto"/>
            <w:noWrap/>
            <w:vAlign w:val="center"/>
            <w:hideMark/>
          </w:tcPr>
          <w:p w14:paraId="565D2573" w14:textId="01105E29" w:rsidR="00EF1FA6" w:rsidRPr="00033A3F" w:rsidRDefault="00EF1FA6"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-2 % </w:t>
            </w:r>
          </w:p>
        </w:tc>
      </w:tr>
      <w:tr w:rsidR="00033A3F" w:rsidRPr="00033A3F" w14:paraId="535902CA" w14:textId="77777777" w:rsidTr="00EF1FA6">
        <w:trPr>
          <w:trHeight w:val="330"/>
        </w:trPr>
        <w:tc>
          <w:tcPr>
            <w:tcW w:w="2020" w:type="dxa"/>
            <w:tcBorders>
              <w:top w:val="nil"/>
              <w:left w:val="nil"/>
              <w:bottom w:val="nil"/>
              <w:right w:val="nil"/>
            </w:tcBorders>
            <w:shd w:val="clear" w:color="auto" w:fill="auto"/>
            <w:noWrap/>
            <w:vAlign w:val="bottom"/>
            <w:hideMark/>
          </w:tcPr>
          <w:p w14:paraId="1D778C7C" w14:textId="77777777" w:rsidR="00EF1FA6" w:rsidRPr="00033A3F" w:rsidRDefault="00EF1FA6" w:rsidP="00EF1F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Olomouc</w:t>
            </w:r>
          </w:p>
        </w:tc>
        <w:tc>
          <w:tcPr>
            <w:tcW w:w="1161" w:type="dxa"/>
            <w:tcBorders>
              <w:top w:val="nil"/>
              <w:left w:val="nil"/>
              <w:bottom w:val="nil"/>
              <w:right w:val="nil"/>
            </w:tcBorders>
            <w:shd w:val="clear" w:color="auto" w:fill="auto"/>
            <w:noWrap/>
            <w:vAlign w:val="bottom"/>
            <w:hideMark/>
          </w:tcPr>
          <w:p w14:paraId="0E552161" w14:textId="191E93B3"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26,00</w:t>
            </w:r>
          </w:p>
        </w:tc>
        <w:tc>
          <w:tcPr>
            <w:tcW w:w="1032" w:type="dxa"/>
            <w:tcBorders>
              <w:top w:val="nil"/>
              <w:left w:val="nil"/>
              <w:bottom w:val="nil"/>
              <w:right w:val="nil"/>
            </w:tcBorders>
            <w:shd w:val="clear" w:color="auto" w:fill="auto"/>
            <w:noWrap/>
            <w:vAlign w:val="center"/>
            <w:hideMark/>
          </w:tcPr>
          <w:p w14:paraId="72EE3FC8" w14:textId="6BF8EB7C" w:rsidR="00EF1FA6" w:rsidRPr="00033A3F" w:rsidRDefault="00EF1FA6" w:rsidP="00EF1F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02" w:type="dxa"/>
            <w:tcBorders>
              <w:top w:val="nil"/>
              <w:left w:val="single" w:sz="4" w:space="0" w:color="auto"/>
              <w:bottom w:val="nil"/>
              <w:right w:val="nil"/>
            </w:tcBorders>
            <w:shd w:val="clear" w:color="auto" w:fill="auto"/>
            <w:noWrap/>
            <w:vAlign w:val="bottom"/>
            <w:hideMark/>
          </w:tcPr>
          <w:p w14:paraId="3911C8AD" w14:textId="530FCFAF"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26,24</w:t>
            </w:r>
          </w:p>
        </w:tc>
        <w:tc>
          <w:tcPr>
            <w:tcW w:w="1064" w:type="dxa"/>
            <w:tcBorders>
              <w:top w:val="nil"/>
              <w:left w:val="nil"/>
              <w:bottom w:val="nil"/>
              <w:right w:val="single" w:sz="4" w:space="0" w:color="auto"/>
            </w:tcBorders>
            <w:shd w:val="clear" w:color="auto" w:fill="auto"/>
            <w:noWrap/>
            <w:vAlign w:val="center"/>
            <w:hideMark/>
          </w:tcPr>
          <w:p w14:paraId="7A4C79C6" w14:textId="1C72632C" w:rsidR="00EF1FA6" w:rsidRPr="00033A3F" w:rsidRDefault="00EF1FA6" w:rsidP="00EF1F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809" w:type="dxa"/>
            <w:tcBorders>
              <w:top w:val="nil"/>
              <w:left w:val="nil"/>
              <w:bottom w:val="nil"/>
              <w:right w:val="nil"/>
            </w:tcBorders>
            <w:shd w:val="clear" w:color="auto" w:fill="auto"/>
            <w:noWrap/>
            <w:vAlign w:val="bottom"/>
            <w:hideMark/>
          </w:tcPr>
          <w:p w14:paraId="62E89478" w14:textId="1AC19225"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3,57</w:t>
            </w:r>
          </w:p>
        </w:tc>
        <w:tc>
          <w:tcPr>
            <w:tcW w:w="931" w:type="dxa"/>
            <w:tcBorders>
              <w:top w:val="nil"/>
              <w:left w:val="nil"/>
              <w:bottom w:val="nil"/>
              <w:right w:val="nil"/>
            </w:tcBorders>
            <w:shd w:val="clear" w:color="auto" w:fill="auto"/>
            <w:noWrap/>
            <w:vAlign w:val="center"/>
            <w:hideMark/>
          </w:tcPr>
          <w:p w14:paraId="0F949D08" w14:textId="3BF9BB8D" w:rsidR="00EF1FA6" w:rsidRPr="00033A3F" w:rsidRDefault="00EF1FA6"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033A3F" w:rsidRPr="00033A3F" w14:paraId="0E48E897" w14:textId="77777777" w:rsidTr="00EF1FA6">
        <w:trPr>
          <w:trHeight w:val="345"/>
        </w:trPr>
        <w:tc>
          <w:tcPr>
            <w:tcW w:w="2020" w:type="dxa"/>
            <w:tcBorders>
              <w:top w:val="double" w:sz="6" w:space="0" w:color="auto"/>
              <w:left w:val="nil"/>
              <w:bottom w:val="double" w:sz="6" w:space="0" w:color="auto"/>
              <w:right w:val="nil"/>
            </w:tcBorders>
            <w:shd w:val="clear" w:color="auto" w:fill="auto"/>
            <w:noWrap/>
            <w:vAlign w:val="bottom"/>
            <w:hideMark/>
          </w:tcPr>
          <w:p w14:paraId="18CCD2C8" w14:textId="77777777" w:rsidR="00EF1FA6" w:rsidRPr="00033A3F" w:rsidRDefault="00EF1FA6" w:rsidP="00EF1FA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61" w:type="dxa"/>
            <w:tcBorders>
              <w:top w:val="double" w:sz="6" w:space="0" w:color="auto"/>
              <w:left w:val="nil"/>
              <w:bottom w:val="double" w:sz="6" w:space="0" w:color="auto"/>
              <w:right w:val="nil"/>
            </w:tcBorders>
            <w:shd w:val="clear" w:color="auto" w:fill="auto"/>
            <w:noWrap/>
            <w:vAlign w:val="bottom"/>
            <w:hideMark/>
          </w:tcPr>
          <w:p w14:paraId="04BEFC81" w14:textId="02A144D1"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31,40</w:t>
            </w:r>
          </w:p>
        </w:tc>
        <w:tc>
          <w:tcPr>
            <w:tcW w:w="1032" w:type="dxa"/>
            <w:tcBorders>
              <w:top w:val="double" w:sz="6" w:space="0" w:color="auto"/>
              <w:left w:val="nil"/>
              <w:bottom w:val="double" w:sz="6" w:space="0" w:color="auto"/>
              <w:right w:val="nil"/>
            </w:tcBorders>
            <w:shd w:val="clear" w:color="auto" w:fill="auto"/>
            <w:noWrap/>
            <w:vAlign w:val="center"/>
            <w:hideMark/>
          </w:tcPr>
          <w:p w14:paraId="2DE99D08" w14:textId="700CE570" w:rsidR="00EF1FA6" w:rsidRPr="00033A3F" w:rsidRDefault="00EF1FA6" w:rsidP="00EF1FA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002" w:type="dxa"/>
            <w:tcBorders>
              <w:top w:val="double" w:sz="6" w:space="0" w:color="auto"/>
              <w:left w:val="single" w:sz="4" w:space="0" w:color="auto"/>
              <w:bottom w:val="double" w:sz="6" w:space="0" w:color="auto"/>
              <w:right w:val="nil"/>
            </w:tcBorders>
            <w:shd w:val="clear" w:color="auto" w:fill="auto"/>
            <w:noWrap/>
            <w:vAlign w:val="bottom"/>
            <w:hideMark/>
          </w:tcPr>
          <w:p w14:paraId="763A1046" w14:textId="601A6589"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31,68</w:t>
            </w:r>
          </w:p>
        </w:tc>
        <w:tc>
          <w:tcPr>
            <w:tcW w:w="1064" w:type="dxa"/>
            <w:tcBorders>
              <w:top w:val="double" w:sz="6" w:space="0" w:color="auto"/>
              <w:left w:val="nil"/>
              <w:bottom w:val="double" w:sz="6" w:space="0" w:color="auto"/>
              <w:right w:val="single" w:sz="4" w:space="0" w:color="auto"/>
            </w:tcBorders>
            <w:shd w:val="clear" w:color="auto" w:fill="auto"/>
            <w:noWrap/>
            <w:vAlign w:val="center"/>
            <w:hideMark/>
          </w:tcPr>
          <w:p w14:paraId="2C8F3B80" w14:textId="39CAF1FC" w:rsidR="00EF1FA6" w:rsidRPr="00033A3F" w:rsidRDefault="00EF1FA6" w:rsidP="00EF1FA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c>
          <w:tcPr>
            <w:tcW w:w="809" w:type="dxa"/>
            <w:tcBorders>
              <w:top w:val="double" w:sz="6" w:space="0" w:color="auto"/>
              <w:left w:val="nil"/>
              <w:bottom w:val="double" w:sz="6" w:space="0" w:color="auto"/>
              <w:right w:val="nil"/>
            </w:tcBorders>
            <w:shd w:val="clear" w:color="auto" w:fill="auto"/>
            <w:noWrap/>
            <w:vAlign w:val="bottom"/>
            <w:hideMark/>
          </w:tcPr>
          <w:p w14:paraId="0DEA70E6" w14:textId="3BC8C4BC"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4,00</w:t>
            </w:r>
          </w:p>
        </w:tc>
        <w:tc>
          <w:tcPr>
            <w:tcW w:w="931" w:type="dxa"/>
            <w:tcBorders>
              <w:top w:val="double" w:sz="6" w:space="0" w:color="auto"/>
              <w:left w:val="nil"/>
              <w:bottom w:val="double" w:sz="6" w:space="0" w:color="auto"/>
              <w:right w:val="nil"/>
            </w:tcBorders>
            <w:shd w:val="clear" w:color="auto" w:fill="auto"/>
            <w:noWrap/>
            <w:vAlign w:val="center"/>
            <w:hideMark/>
          </w:tcPr>
          <w:p w14:paraId="75F9E165" w14:textId="3F48A5CD" w:rsidR="00EF1FA6" w:rsidRPr="00033A3F" w:rsidRDefault="00EF1FA6"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-7 %</w:t>
            </w:r>
          </w:p>
        </w:tc>
      </w:tr>
      <w:tr w:rsidR="00033A3F" w:rsidRPr="00033A3F" w14:paraId="4D8D98EA" w14:textId="77777777" w:rsidTr="00EF1FA6">
        <w:trPr>
          <w:trHeight w:val="330"/>
        </w:trPr>
        <w:tc>
          <w:tcPr>
            <w:tcW w:w="2020" w:type="dxa"/>
            <w:tcBorders>
              <w:top w:val="nil"/>
              <w:left w:val="nil"/>
              <w:bottom w:val="nil"/>
              <w:right w:val="nil"/>
            </w:tcBorders>
            <w:shd w:val="clear" w:color="auto" w:fill="auto"/>
            <w:noWrap/>
            <w:vAlign w:val="bottom"/>
            <w:hideMark/>
          </w:tcPr>
          <w:p w14:paraId="1E0F96F0" w14:textId="77777777" w:rsidR="00EF1FA6" w:rsidRPr="00033A3F" w:rsidRDefault="00EF1FA6" w:rsidP="00EF1FA6">
            <w:pPr>
              <w:spacing w:line="240" w:lineRule="auto"/>
              <w:jc w:val="center"/>
              <w:rPr>
                <w:rFonts w:eastAsia="Times New Roman"/>
                <w:b/>
                <w:bCs/>
                <w:color w:val="000000" w:themeColor="text1"/>
                <w:sz w:val="20"/>
                <w:szCs w:val="20"/>
                <w:lang w:eastAsia="cs-CZ"/>
              </w:rPr>
            </w:pPr>
          </w:p>
        </w:tc>
        <w:tc>
          <w:tcPr>
            <w:tcW w:w="1161" w:type="dxa"/>
            <w:tcBorders>
              <w:top w:val="nil"/>
              <w:left w:val="nil"/>
              <w:bottom w:val="nil"/>
              <w:right w:val="nil"/>
            </w:tcBorders>
            <w:shd w:val="clear" w:color="auto" w:fill="auto"/>
            <w:noWrap/>
            <w:vAlign w:val="bottom"/>
            <w:hideMark/>
          </w:tcPr>
          <w:p w14:paraId="571E43DC"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1032" w:type="dxa"/>
            <w:tcBorders>
              <w:top w:val="nil"/>
              <w:left w:val="nil"/>
              <w:bottom w:val="nil"/>
              <w:right w:val="nil"/>
            </w:tcBorders>
            <w:shd w:val="clear" w:color="auto" w:fill="auto"/>
            <w:noWrap/>
            <w:vAlign w:val="bottom"/>
            <w:hideMark/>
          </w:tcPr>
          <w:p w14:paraId="3F1E447C"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1002" w:type="dxa"/>
            <w:tcBorders>
              <w:top w:val="nil"/>
              <w:left w:val="nil"/>
              <w:bottom w:val="nil"/>
              <w:right w:val="nil"/>
            </w:tcBorders>
            <w:shd w:val="clear" w:color="auto" w:fill="auto"/>
            <w:noWrap/>
            <w:vAlign w:val="bottom"/>
            <w:hideMark/>
          </w:tcPr>
          <w:p w14:paraId="073622AA"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1064" w:type="dxa"/>
            <w:tcBorders>
              <w:top w:val="nil"/>
              <w:left w:val="nil"/>
              <w:bottom w:val="nil"/>
              <w:right w:val="nil"/>
            </w:tcBorders>
            <w:shd w:val="clear" w:color="auto" w:fill="auto"/>
            <w:noWrap/>
            <w:vAlign w:val="bottom"/>
            <w:hideMark/>
          </w:tcPr>
          <w:p w14:paraId="42DC9086"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809" w:type="dxa"/>
            <w:tcBorders>
              <w:top w:val="nil"/>
              <w:left w:val="nil"/>
              <w:bottom w:val="nil"/>
              <w:right w:val="nil"/>
            </w:tcBorders>
            <w:shd w:val="clear" w:color="auto" w:fill="auto"/>
            <w:noWrap/>
            <w:vAlign w:val="bottom"/>
            <w:hideMark/>
          </w:tcPr>
          <w:p w14:paraId="22A14A6F"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931" w:type="dxa"/>
            <w:tcBorders>
              <w:top w:val="nil"/>
              <w:left w:val="nil"/>
              <w:bottom w:val="nil"/>
              <w:right w:val="nil"/>
            </w:tcBorders>
            <w:shd w:val="clear" w:color="auto" w:fill="auto"/>
            <w:noWrap/>
            <w:vAlign w:val="bottom"/>
            <w:hideMark/>
          </w:tcPr>
          <w:p w14:paraId="20B1516D"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r>
    </w:tbl>
    <w:p w14:paraId="4C9F7AE9" w14:textId="2FBFDEA9" w:rsidR="004F7B79" w:rsidRPr="00033A3F" w:rsidRDefault="00B5164A" w:rsidP="00B5164A">
      <w:pPr>
        <w:pStyle w:val="Nadpis3"/>
        <w:numPr>
          <w:ilvl w:val="2"/>
          <w:numId w:val="1"/>
        </w:numPr>
        <w:rPr>
          <w:color w:val="000000" w:themeColor="text1"/>
          <w:lang w:eastAsia="cs-CZ"/>
        </w:rPr>
      </w:pPr>
      <w:bookmarkStart w:id="2220" w:name="_Toc169250878"/>
      <w:bookmarkStart w:id="2221" w:name="_Toc193531040"/>
      <w:bookmarkStart w:id="2222" w:name="_Toc193957098"/>
      <w:bookmarkStart w:id="2223" w:name="_Toc203032786"/>
      <w:r w:rsidRPr="00033A3F">
        <w:rPr>
          <w:color w:val="000000" w:themeColor="text1"/>
          <w:lang w:eastAsia="cs-CZ"/>
        </w:rPr>
        <w:t>Disposition time</w:t>
      </w:r>
      <w:bookmarkEnd w:id="2220"/>
      <w:bookmarkEnd w:id="2221"/>
      <w:bookmarkEnd w:id="2222"/>
      <w:bookmarkEnd w:id="2223"/>
    </w:p>
    <w:p w14:paraId="53B085B9" w14:textId="610D6F9B" w:rsidR="00EF1FA6" w:rsidRPr="00033A3F" w:rsidRDefault="00EF1FA6" w:rsidP="00EF1FA6">
      <w:pPr>
        <w:pStyle w:val="OdstavecASR"/>
        <w:rPr>
          <w:color w:val="000000" w:themeColor="text1"/>
        </w:rPr>
      </w:pPr>
      <w:bookmarkStart w:id="2224" w:name="_Toc515871290"/>
      <w:r w:rsidRPr="00033A3F">
        <w:rPr>
          <w:color w:val="000000" w:themeColor="text1"/>
          <w:lang w:eastAsia="cs-CZ"/>
        </w:rPr>
        <w:t>Disposition time</w:t>
      </w:r>
      <w:bookmarkEnd w:id="2224"/>
      <w:r w:rsidRPr="00033A3F">
        <w:rPr>
          <w:color w:val="000000" w:themeColor="text1"/>
          <w:lang w:eastAsia="cs-CZ"/>
        </w:rPr>
        <w:t xml:space="preserve"> (dispoziční čas)</w:t>
      </w:r>
      <w:r w:rsidRPr="00033A3F">
        <w:rPr>
          <w:color w:val="000000" w:themeColor="text1"/>
        </w:rPr>
        <w:t xml:space="preserve"> opět potvrzuje to, co ukazují předchozí podkapitoly. Nejdůležitějším závěrem je, že DT je z dlouhodobého hlediska nízký. U VS v Olomouci je pak DT značně nestabilní; zejména nárůst v letech 2016 a 2018 je velmi výrazný, což plyne z dlouhodobě velmi malého počtu nevyřízených věcí. </w:t>
      </w:r>
      <w:r w:rsidR="00E3248F" w:rsidRPr="00033A3F">
        <w:rPr>
          <w:color w:val="000000" w:themeColor="text1"/>
        </w:rPr>
        <w:t xml:space="preserve">Naopak, </w:t>
      </w:r>
      <w:r w:rsidRPr="00033A3F">
        <w:rPr>
          <w:color w:val="000000" w:themeColor="text1"/>
        </w:rPr>
        <w:t>U VS v Praze je DT pozoruhodně vyrovnaný.</w:t>
      </w:r>
    </w:p>
    <w:p w14:paraId="24AB1E27" w14:textId="77777777" w:rsidR="00EF1FA6" w:rsidRPr="00033A3F" w:rsidRDefault="00EF1FA6" w:rsidP="00EF1FA6">
      <w:pPr>
        <w:rPr>
          <w:color w:val="000000" w:themeColor="text1"/>
          <w:lang w:eastAsia="cs-CZ"/>
        </w:rPr>
      </w:pPr>
    </w:p>
    <w:p w14:paraId="7BCF7558" w14:textId="49BBCF51" w:rsidR="00070957" w:rsidRPr="00033A3F" w:rsidRDefault="00070957" w:rsidP="00070957">
      <w:pPr>
        <w:pStyle w:val="Podnadpis"/>
        <w:numPr>
          <w:ilvl w:val="0"/>
          <w:numId w:val="0"/>
        </w:numPr>
        <w:rPr>
          <w:color w:val="000000" w:themeColor="text1"/>
        </w:rPr>
      </w:pPr>
      <w:bookmarkStart w:id="2225" w:name="_Toc43841471"/>
      <w:bookmarkStart w:id="2226" w:name="_Toc75952274"/>
      <w:bookmarkStart w:id="2227" w:name="_Toc106106731"/>
      <w:bookmarkStart w:id="2228" w:name="_Toc109802055"/>
      <w:bookmarkStart w:id="2229" w:name="_Toc144104205"/>
      <w:bookmarkStart w:id="2230" w:name="_Toc169251018"/>
      <w:bookmarkStart w:id="2231" w:name="_Toc174080704"/>
      <w:bookmarkStart w:id="2232" w:name="_Toc193530858"/>
      <w:bookmarkStart w:id="2233" w:name="_Toc193634132"/>
      <w:bookmarkStart w:id="2234" w:name="_Toc203032930"/>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103</w:t>
      </w:r>
      <w:r w:rsidRPr="00033A3F">
        <w:rPr>
          <w:noProof/>
          <w:color w:val="000000" w:themeColor="text1"/>
        </w:rPr>
        <w:fldChar w:fldCharType="end"/>
      </w:r>
      <w:r w:rsidRPr="00033A3F">
        <w:rPr>
          <w:color w:val="000000" w:themeColor="text1"/>
        </w:rPr>
        <w:t>: VS – DT trestního odvolacího řízení v letech 2015–20</w:t>
      </w:r>
      <w:bookmarkEnd w:id="2225"/>
      <w:r w:rsidRPr="00033A3F">
        <w:rPr>
          <w:color w:val="000000" w:themeColor="text1"/>
        </w:rPr>
        <w:t>2</w:t>
      </w:r>
      <w:bookmarkEnd w:id="2226"/>
      <w:bookmarkEnd w:id="2227"/>
      <w:bookmarkEnd w:id="2228"/>
      <w:bookmarkEnd w:id="2229"/>
      <w:bookmarkEnd w:id="2230"/>
      <w:bookmarkEnd w:id="2231"/>
      <w:r w:rsidRPr="00033A3F">
        <w:rPr>
          <w:color w:val="000000" w:themeColor="text1"/>
        </w:rPr>
        <w:t>4</w:t>
      </w:r>
      <w:bookmarkEnd w:id="2232"/>
      <w:bookmarkEnd w:id="2233"/>
      <w:bookmarkEnd w:id="2234"/>
    </w:p>
    <w:p w14:paraId="258829F5" w14:textId="5B7F67BF" w:rsidR="00070957" w:rsidRPr="00033A3F" w:rsidRDefault="00070957" w:rsidP="00070957">
      <w:pPr>
        <w:rPr>
          <w:color w:val="000000" w:themeColor="text1"/>
        </w:rPr>
      </w:pPr>
      <w:r w:rsidRPr="00033A3F">
        <w:rPr>
          <w:noProof/>
          <w:color w:val="000000" w:themeColor="text1"/>
          <w:lang w:eastAsia="cs-CZ"/>
        </w:rPr>
        <w:drawing>
          <wp:inline distT="0" distB="0" distL="0" distR="0" wp14:anchorId="1990480D" wp14:editId="42AE350A">
            <wp:extent cx="5029200" cy="3657600"/>
            <wp:effectExtent l="0" t="0" r="0" b="0"/>
            <wp:docPr id="2016834063"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ECDD7A7" w14:textId="77777777" w:rsidR="004F7B79" w:rsidRPr="00033A3F" w:rsidRDefault="004F7B79">
      <w:pPr>
        <w:spacing w:after="160" w:line="259" w:lineRule="auto"/>
        <w:jc w:val="left"/>
        <w:rPr>
          <w:rFonts w:eastAsia="Times New Roman"/>
          <w:b/>
          <w:bCs/>
          <w:color w:val="000000" w:themeColor="text1"/>
          <w:lang w:eastAsia="cs-CZ"/>
        </w:rPr>
      </w:pPr>
      <w:r w:rsidRPr="00033A3F">
        <w:rPr>
          <w:color w:val="000000" w:themeColor="text1"/>
          <w:lang w:eastAsia="cs-CZ"/>
        </w:rPr>
        <w:br w:type="page"/>
      </w:r>
    </w:p>
    <w:p w14:paraId="47BF655B" w14:textId="1C3BC88A" w:rsidR="008430BD" w:rsidRPr="00033A3F" w:rsidRDefault="008430BD" w:rsidP="008430BD">
      <w:pPr>
        <w:pStyle w:val="Nadpis2"/>
        <w:numPr>
          <w:ilvl w:val="1"/>
          <w:numId w:val="1"/>
        </w:numPr>
        <w:spacing w:before="120"/>
      </w:pPr>
      <w:bookmarkStart w:id="2235" w:name="_Toc106092802"/>
      <w:bookmarkStart w:id="2236" w:name="_Toc487791293"/>
      <w:bookmarkStart w:id="2237" w:name="_Toc515871291"/>
      <w:bookmarkStart w:id="2238" w:name="_Toc169250879"/>
      <w:bookmarkStart w:id="2239" w:name="_Toc193531041"/>
      <w:bookmarkStart w:id="2240" w:name="_Toc193957099"/>
      <w:bookmarkStart w:id="2241" w:name="_Toc203032787"/>
      <w:r w:rsidRPr="00033A3F">
        <w:lastRenderedPageBreak/>
        <w:t xml:space="preserve">Insolvenční agenda – II. </w:t>
      </w:r>
      <w:bookmarkEnd w:id="2235"/>
      <w:r w:rsidR="00695D10" w:rsidRPr="00033A3F">
        <w:t>s</w:t>
      </w:r>
      <w:r w:rsidRPr="00033A3F">
        <w:t>tupeň</w:t>
      </w:r>
      <w:bookmarkEnd w:id="2236"/>
      <w:bookmarkEnd w:id="2237"/>
      <w:bookmarkEnd w:id="2238"/>
      <w:bookmarkEnd w:id="2239"/>
      <w:bookmarkEnd w:id="2240"/>
      <w:bookmarkEnd w:id="2241"/>
    </w:p>
    <w:p w14:paraId="46EB764F" w14:textId="1DA09871" w:rsidR="00E3248F" w:rsidRPr="00033A3F" w:rsidRDefault="00E3248F" w:rsidP="00E3248F">
      <w:pPr>
        <w:pStyle w:val="OdstavecASR"/>
        <w:rPr>
          <w:color w:val="000000" w:themeColor="text1"/>
        </w:rPr>
      </w:pPr>
      <w:r w:rsidRPr="00033A3F">
        <w:rPr>
          <w:color w:val="000000" w:themeColor="text1"/>
        </w:rPr>
        <w:t>Vrchní soudy vyřizují také insolvenční agendu v druhém stupni, to znamená především odvolání podaná proti rozhodnutí prvostupňových krajských insolvenčních soudů v rejstříku INS. Dále jsou do této agendy zahrnuta řízení o podjatosti, řízení o přikázání věci a řízení o příslušnosti vztahující se k insolvenčnímu řízení. Počet napadlých věcí v těchto agendách se však pohybuje v řádech jednotek. V insolvenční agendě nejsou k dispozici délky řízení a nelze ani provést přepočet na jednoho soudce</w:t>
      </w:r>
      <w:r w:rsidRPr="00033A3F">
        <w:rPr>
          <w:rStyle w:val="Znakapoznpodarou"/>
          <w:color w:val="000000" w:themeColor="text1"/>
        </w:rPr>
        <w:footnoteReference w:id="16"/>
      </w:r>
      <w:r w:rsidRPr="00033A3F">
        <w:rPr>
          <w:color w:val="000000" w:themeColor="text1"/>
        </w:rPr>
        <w:t>.</w:t>
      </w:r>
    </w:p>
    <w:p w14:paraId="601641D6" w14:textId="63D1A824" w:rsidR="008430BD" w:rsidRPr="00033A3F" w:rsidRDefault="008430BD" w:rsidP="008430BD">
      <w:pPr>
        <w:pStyle w:val="Nadpis3"/>
        <w:numPr>
          <w:ilvl w:val="2"/>
          <w:numId w:val="1"/>
        </w:numPr>
        <w:rPr>
          <w:color w:val="000000" w:themeColor="text1"/>
          <w:lang w:eastAsia="cs-CZ"/>
        </w:rPr>
      </w:pPr>
      <w:bookmarkStart w:id="2242" w:name="_Toc515871292"/>
      <w:bookmarkStart w:id="2243" w:name="_Toc106092803"/>
      <w:bookmarkStart w:id="2244" w:name="_Toc169250880"/>
      <w:bookmarkStart w:id="2245" w:name="_Toc193531042"/>
      <w:bookmarkStart w:id="2246" w:name="_Toc193957100"/>
      <w:bookmarkStart w:id="2247" w:name="_Toc203032788"/>
      <w:r w:rsidRPr="00033A3F">
        <w:rPr>
          <w:color w:val="000000" w:themeColor="text1"/>
          <w:lang w:eastAsia="cs-CZ"/>
        </w:rPr>
        <w:t>Vyřizování věcí</w:t>
      </w:r>
      <w:bookmarkEnd w:id="2242"/>
      <w:bookmarkEnd w:id="2243"/>
      <w:bookmarkEnd w:id="2244"/>
      <w:bookmarkEnd w:id="2245"/>
      <w:bookmarkEnd w:id="2246"/>
      <w:bookmarkEnd w:id="2247"/>
    </w:p>
    <w:p w14:paraId="4E50EC7B" w14:textId="14592F67" w:rsidR="00E3248F" w:rsidRPr="00033A3F" w:rsidRDefault="004039A1" w:rsidP="004039A1">
      <w:pPr>
        <w:pStyle w:val="OdstavecASR"/>
        <w:rPr>
          <w:color w:val="000000" w:themeColor="text1"/>
          <w:lang w:eastAsia="cs-CZ"/>
        </w:rPr>
      </w:pPr>
      <w:r w:rsidRPr="00033A3F">
        <w:rPr>
          <w:color w:val="000000" w:themeColor="text1"/>
        </w:rPr>
        <w:t>V letech 2015 až 2020</w:t>
      </w:r>
      <w:r w:rsidR="00E3248F" w:rsidRPr="00033A3F">
        <w:rPr>
          <w:color w:val="000000" w:themeColor="text1"/>
        </w:rPr>
        <w:t xml:space="preserve"> panoval</w:t>
      </w:r>
      <w:r w:rsidRPr="00033A3F">
        <w:rPr>
          <w:color w:val="000000" w:themeColor="text1"/>
        </w:rPr>
        <w:t xml:space="preserve"> u soudů klesající trend</w:t>
      </w:r>
      <w:r w:rsidR="00E3248F" w:rsidRPr="00033A3F">
        <w:rPr>
          <w:color w:val="000000" w:themeColor="text1"/>
        </w:rPr>
        <w:t>. Důvody jsou stejné jako v případě insolvenční agendy u prvostupňových soudů, tedy skutečnost, že rejstřík vznikl v roce 2008 a logicky trvá několik let, než se nápad ustálí</w:t>
      </w:r>
      <w:r w:rsidR="009D69C8" w:rsidRPr="00033A3F">
        <w:rPr>
          <w:color w:val="000000" w:themeColor="text1"/>
        </w:rPr>
        <w:t>;</w:t>
      </w:r>
      <w:r w:rsidR="00E3248F" w:rsidRPr="00033A3F">
        <w:rPr>
          <w:color w:val="000000" w:themeColor="text1"/>
        </w:rPr>
        <w:t xml:space="preserve"> </w:t>
      </w:r>
      <w:r w:rsidR="009D69C8" w:rsidRPr="00033A3F">
        <w:rPr>
          <w:color w:val="000000" w:themeColor="text1"/>
        </w:rPr>
        <w:t>u</w:t>
      </w:r>
      <w:r w:rsidR="00E3248F" w:rsidRPr="00033A3F">
        <w:rPr>
          <w:color w:val="000000" w:themeColor="text1"/>
        </w:rPr>
        <w:t xml:space="preserve"> odvolání dojde ke stabilizaci s určitým zpožděním oproti prvostupňové agendě. </w:t>
      </w:r>
      <w:r w:rsidRPr="00033A3F">
        <w:rPr>
          <w:color w:val="000000" w:themeColor="text1"/>
        </w:rPr>
        <w:t>Od roku 2021 pak není možné najít u žádného ze soudů nějaký výraznější trend.</w:t>
      </w:r>
    </w:p>
    <w:p w14:paraId="2937643B" w14:textId="7F8A3CC7" w:rsidR="00070957" w:rsidRPr="00033A3F" w:rsidRDefault="00070957" w:rsidP="00070957">
      <w:pPr>
        <w:pStyle w:val="Podnadpis"/>
        <w:numPr>
          <w:ilvl w:val="0"/>
          <w:numId w:val="0"/>
        </w:numPr>
        <w:rPr>
          <w:color w:val="000000" w:themeColor="text1"/>
        </w:rPr>
      </w:pPr>
      <w:bookmarkStart w:id="2248" w:name="_Ref43837240"/>
      <w:bookmarkStart w:id="2249" w:name="_Ref43837233"/>
      <w:bookmarkStart w:id="2250" w:name="_Toc43841472"/>
      <w:bookmarkStart w:id="2251" w:name="_Toc75952275"/>
      <w:bookmarkStart w:id="2252" w:name="_Toc106106732"/>
      <w:bookmarkStart w:id="2253" w:name="_Toc109802056"/>
      <w:bookmarkStart w:id="2254" w:name="_Toc144104206"/>
      <w:bookmarkStart w:id="2255" w:name="_Toc169251019"/>
      <w:bookmarkStart w:id="2256" w:name="_Toc174080705"/>
      <w:bookmarkStart w:id="2257" w:name="_Toc193530859"/>
      <w:bookmarkStart w:id="2258" w:name="_Toc193634133"/>
      <w:bookmarkStart w:id="2259" w:name="_Toc203032931"/>
      <w:r w:rsidRPr="00033A3F">
        <w:rPr>
          <w:color w:val="000000" w:themeColor="text1"/>
        </w:rPr>
        <w:t xml:space="preserve">Graf </w:t>
      </w:r>
      <w:r w:rsidRPr="00033A3F">
        <w:rPr>
          <w:color w:val="000000" w:themeColor="text1"/>
        </w:rPr>
        <w:fldChar w:fldCharType="begin"/>
      </w:r>
      <w:r w:rsidRPr="00033A3F">
        <w:rPr>
          <w:noProof/>
          <w:color w:val="000000" w:themeColor="text1"/>
        </w:rPr>
        <w:instrText xml:space="preserve"> SEQ Graf \* ARABIC </w:instrText>
      </w:r>
      <w:r w:rsidRPr="00033A3F">
        <w:rPr>
          <w:color w:val="000000" w:themeColor="text1"/>
        </w:rPr>
        <w:fldChar w:fldCharType="separate"/>
      </w:r>
      <w:r w:rsidR="00163B51">
        <w:rPr>
          <w:noProof/>
          <w:color w:val="000000" w:themeColor="text1"/>
        </w:rPr>
        <w:t>104</w:t>
      </w:r>
      <w:r w:rsidRPr="00033A3F">
        <w:rPr>
          <w:color w:val="000000" w:themeColor="text1"/>
        </w:rPr>
        <w:fldChar w:fldCharType="end"/>
      </w:r>
      <w:bookmarkEnd w:id="2248"/>
      <w:r w:rsidRPr="00033A3F">
        <w:rPr>
          <w:color w:val="000000" w:themeColor="text1"/>
        </w:rPr>
        <w:t>: VS – vyřizování insolvenční agendy v letech 2015–20</w:t>
      </w:r>
      <w:bookmarkEnd w:id="2249"/>
      <w:bookmarkEnd w:id="2250"/>
      <w:r w:rsidRPr="00033A3F">
        <w:rPr>
          <w:color w:val="000000" w:themeColor="text1"/>
        </w:rPr>
        <w:t>2</w:t>
      </w:r>
      <w:bookmarkEnd w:id="2251"/>
      <w:bookmarkEnd w:id="2252"/>
      <w:bookmarkEnd w:id="2253"/>
      <w:bookmarkEnd w:id="2254"/>
      <w:bookmarkEnd w:id="2255"/>
      <w:bookmarkEnd w:id="2256"/>
      <w:r w:rsidRPr="00033A3F">
        <w:rPr>
          <w:color w:val="000000" w:themeColor="text1"/>
        </w:rPr>
        <w:t>4</w:t>
      </w:r>
      <w:bookmarkEnd w:id="2257"/>
      <w:bookmarkEnd w:id="2258"/>
      <w:bookmarkEnd w:id="2259"/>
    </w:p>
    <w:p w14:paraId="7E765735" w14:textId="7A72B861" w:rsidR="00070957" w:rsidRPr="00033A3F" w:rsidRDefault="00070957" w:rsidP="00070957">
      <w:pPr>
        <w:rPr>
          <w:color w:val="000000" w:themeColor="text1"/>
        </w:rPr>
      </w:pPr>
      <w:r w:rsidRPr="00033A3F">
        <w:rPr>
          <w:noProof/>
          <w:color w:val="000000" w:themeColor="text1"/>
          <w:lang w:eastAsia="cs-CZ"/>
        </w:rPr>
        <w:drawing>
          <wp:inline distT="0" distB="0" distL="0" distR="0" wp14:anchorId="341CE71A" wp14:editId="32C87A76">
            <wp:extent cx="5029200" cy="3657600"/>
            <wp:effectExtent l="0" t="0" r="0" b="0"/>
            <wp:docPr id="61523601"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FED2F2B" w14:textId="77777777" w:rsidR="00070957" w:rsidRPr="00033A3F" w:rsidRDefault="00070957" w:rsidP="00070957">
      <w:pPr>
        <w:rPr>
          <w:color w:val="000000" w:themeColor="text1"/>
          <w:lang w:eastAsia="cs-CZ"/>
        </w:rPr>
      </w:pPr>
    </w:p>
    <w:p w14:paraId="08E223A8" w14:textId="5B92C49F" w:rsidR="007879E7" w:rsidRPr="00033A3F" w:rsidRDefault="008430BD" w:rsidP="008430BD">
      <w:pPr>
        <w:pStyle w:val="Nadpis3"/>
        <w:numPr>
          <w:ilvl w:val="2"/>
          <w:numId w:val="1"/>
        </w:numPr>
        <w:rPr>
          <w:color w:val="000000" w:themeColor="text1"/>
          <w:lang w:eastAsia="cs-CZ"/>
        </w:rPr>
      </w:pPr>
      <w:bookmarkStart w:id="2260" w:name="_Toc515871293"/>
      <w:bookmarkStart w:id="2261" w:name="_Toc106092804"/>
      <w:bookmarkStart w:id="2262" w:name="_Toc169250881"/>
      <w:bookmarkStart w:id="2263" w:name="_Toc193531043"/>
      <w:bookmarkStart w:id="2264" w:name="_Toc193957101"/>
      <w:bookmarkStart w:id="2265" w:name="_Toc203032789"/>
      <w:r w:rsidRPr="00033A3F">
        <w:rPr>
          <w:color w:val="000000" w:themeColor="text1"/>
          <w:lang w:eastAsia="cs-CZ"/>
        </w:rPr>
        <w:lastRenderedPageBreak/>
        <w:t>Disposition time</w:t>
      </w:r>
      <w:bookmarkEnd w:id="2260"/>
      <w:r w:rsidRPr="00033A3F">
        <w:rPr>
          <w:color w:val="000000" w:themeColor="text1"/>
          <w:lang w:eastAsia="cs-CZ"/>
        </w:rPr>
        <w:t xml:space="preserve"> (dispoziční čas)</w:t>
      </w:r>
      <w:bookmarkEnd w:id="2261"/>
      <w:bookmarkEnd w:id="2262"/>
      <w:bookmarkEnd w:id="2263"/>
      <w:bookmarkEnd w:id="2264"/>
      <w:bookmarkEnd w:id="2265"/>
    </w:p>
    <w:p w14:paraId="09B30582" w14:textId="3CA6D299" w:rsidR="00070957" w:rsidRPr="00033A3F" w:rsidRDefault="00070957" w:rsidP="00070957">
      <w:pPr>
        <w:pStyle w:val="Podnadpis"/>
        <w:numPr>
          <w:ilvl w:val="0"/>
          <w:numId w:val="0"/>
        </w:numPr>
        <w:rPr>
          <w:color w:val="000000" w:themeColor="text1"/>
        </w:rPr>
      </w:pPr>
      <w:bookmarkStart w:id="2266" w:name="_Toc515871420"/>
      <w:bookmarkStart w:id="2267" w:name="_Toc11135151"/>
      <w:bookmarkStart w:id="2268" w:name="_Toc43841473"/>
      <w:bookmarkStart w:id="2269" w:name="_Toc75952276"/>
      <w:bookmarkStart w:id="2270" w:name="_Toc106106733"/>
      <w:bookmarkStart w:id="2271" w:name="_Toc109802057"/>
      <w:bookmarkStart w:id="2272" w:name="_Toc144104207"/>
      <w:bookmarkStart w:id="2273" w:name="_Toc169251020"/>
      <w:bookmarkStart w:id="2274" w:name="_Toc174080706"/>
      <w:bookmarkStart w:id="2275" w:name="_Toc193530860"/>
      <w:bookmarkStart w:id="2276" w:name="_Toc193634134"/>
      <w:bookmarkStart w:id="2277" w:name="_Toc20303293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105</w:t>
      </w:r>
      <w:r w:rsidRPr="00033A3F">
        <w:rPr>
          <w:color w:val="000000" w:themeColor="text1"/>
        </w:rPr>
        <w:fldChar w:fldCharType="end"/>
      </w:r>
      <w:r w:rsidRPr="00033A3F">
        <w:rPr>
          <w:color w:val="000000" w:themeColor="text1"/>
        </w:rPr>
        <w:t>: VS – DT v insolvenční agendě v letech 2015–20</w:t>
      </w:r>
      <w:bookmarkEnd w:id="2266"/>
      <w:bookmarkEnd w:id="2267"/>
      <w:bookmarkEnd w:id="2268"/>
      <w:r w:rsidRPr="00033A3F">
        <w:rPr>
          <w:color w:val="000000" w:themeColor="text1"/>
        </w:rPr>
        <w:t>2</w:t>
      </w:r>
      <w:bookmarkEnd w:id="2269"/>
      <w:bookmarkEnd w:id="2270"/>
      <w:bookmarkEnd w:id="2271"/>
      <w:bookmarkEnd w:id="2272"/>
      <w:bookmarkEnd w:id="2273"/>
      <w:bookmarkEnd w:id="2274"/>
      <w:r w:rsidRPr="00033A3F">
        <w:rPr>
          <w:color w:val="000000" w:themeColor="text1"/>
        </w:rPr>
        <w:t>4</w:t>
      </w:r>
      <w:bookmarkEnd w:id="2275"/>
      <w:bookmarkEnd w:id="2276"/>
      <w:bookmarkEnd w:id="2277"/>
    </w:p>
    <w:p w14:paraId="5CA50B1D" w14:textId="67161812" w:rsidR="00FE1961" w:rsidRPr="00033A3F" w:rsidRDefault="00070957" w:rsidP="003048D9">
      <w:pPr>
        <w:rPr>
          <w:color w:val="000000" w:themeColor="text1"/>
          <w:lang w:eastAsia="cs-CZ"/>
        </w:rPr>
      </w:pPr>
      <w:r w:rsidRPr="00033A3F">
        <w:rPr>
          <w:noProof/>
          <w:color w:val="000000" w:themeColor="text1"/>
          <w:lang w:eastAsia="cs-CZ"/>
        </w:rPr>
        <w:drawing>
          <wp:inline distT="0" distB="0" distL="0" distR="0" wp14:anchorId="3436ED79" wp14:editId="7EC80883">
            <wp:extent cx="5029200" cy="3657600"/>
            <wp:effectExtent l="0" t="0" r="0" b="0"/>
            <wp:docPr id="22353464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C0C8D94" w14:textId="51386674" w:rsidR="00E3248F" w:rsidRPr="00033A3F" w:rsidRDefault="00E3248F" w:rsidP="00E3248F">
      <w:pPr>
        <w:pStyle w:val="OdstavecASR"/>
        <w:rPr>
          <w:color w:val="000000" w:themeColor="text1"/>
        </w:rPr>
      </w:pPr>
      <w:r w:rsidRPr="00033A3F">
        <w:rPr>
          <w:color w:val="000000" w:themeColor="text1"/>
        </w:rPr>
        <w:t>Z dat je patrný zřetelný klesající trend u VS v Praze v letech 2014 až 2017 vyplývající z výše popsaných změn v počtu nevyřízených věcí. U VS v Olomouci došlo také k obrovskému poklesu v DT v roce 2017. Pokles v obou případech plyne z poklesu v počtu nevyřízených věcí a ten zase plyne především ze snížení nápadu. Vzhledem k poměrně velkým změnám v počtu vyřízených a nevyřízených věcí je DT v této agendě proměnlivý.</w:t>
      </w:r>
    </w:p>
    <w:p w14:paraId="28A01FCA" w14:textId="77777777" w:rsidR="00E3248F" w:rsidRPr="00033A3F" w:rsidRDefault="00E3248F" w:rsidP="00E3248F">
      <w:pPr>
        <w:pStyle w:val="OdstavecASR"/>
        <w:rPr>
          <w:color w:val="000000" w:themeColor="text1"/>
        </w:rPr>
      </w:pPr>
      <w:r w:rsidRPr="00033A3F">
        <w:rPr>
          <w:color w:val="000000" w:themeColor="text1"/>
        </w:rPr>
        <w:t>Ačkoliv není pro tuto agendu k dispozici mnoho dat, můžeme dojít k závěru, že z dlouhodobého (statistického) hlediska je vyřizování věcí pro oba soudy bezproblémové, a to i díky výraznému poklesu v počtu příchozích věcí v letech 2017 a 2018.</w:t>
      </w:r>
    </w:p>
    <w:p w14:paraId="7E117B30" w14:textId="0AFE0F0C" w:rsidR="008430BD" w:rsidRPr="00033A3F" w:rsidRDefault="008430BD" w:rsidP="000624CC">
      <w:pPr>
        <w:pStyle w:val="Nadpis2"/>
        <w:pageBreakBefore/>
        <w:numPr>
          <w:ilvl w:val="1"/>
          <w:numId w:val="1"/>
        </w:numPr>
        <w:spacing w:before="120"/>
        <w:ind w:left="578" w:hanging="578"/>
      </w:pPr>
      <w:bookmarkStart w:id="2278" w:name="_Toc106092805"/>
      <w:bookmarkStart w:id="2279" w:name="_Toc169250882"/>
      <w:bookmarkStart w:id="2280" w:name="_Toc193531044"/>
      <w:bookmarkStart w:id="2281" w:name="_Toc193957102"/>
      <w:bookmarkStart w:id="2282" w:name="_Toc203032790"/>
      <w:r w:rsidRPr="00033A3F">
        <w:lastRenderedPageBreak/>
        <w:t xml:space="preserve">Incidenční spory – II. </w:t>
      </w:r>
      <w:r w:rsidR="00695D10" w:rsidRPr="00033A3F">
        <w:t>s</w:t>
      </w:r>
      <w:r w:rsidRPr="00033A3F">
        <w:t>tupeň</w:t>
      </w:r>
      <w:bookmarkEnd w:id="2278"/>
      <w:bookmarkEnd w:id="2279"/>
      <w:bookmarkEnd w:id="2280"/>
      <w:bookmarkEnd w:id="2281"/>
      <w:bookmarkEnd w:id="2282"/>
    </w:p>
    <w:p w14:paraId="64E88A6E" w14:textId="77777777" w:rsidR="00DE0A15" w:rsidRPr="00033A3F" w:rsidRDefault="00DE0A15" w:rsidP="004C0D35">
      <w:pPr>
        <w:pStyle w:val="OdstavecASR"/>
        <w:rPr>
          <w:color w:val="000000" w:themeColor="text1"/>
        </w:rPr>
      </w:pPr>
      <w:r w:rsidRPr="00033A3F">
        <w:rPr>
          <w:color w:val="000000" w:themeColor="text1"/>
        </w:rPr>
        <w:t>Stejně jako ve většině ostatních agend i v incidenčních sporech je možné podat odvolání. Prvostupňovou agendu vyřizují krajské soudy a odvolací (druhostupňová) agenda tedy napadá na soudy vrchní.</w:t>
      </w:r>
    </w:p>
    <w:p w14:paraId="48137E2B" w14:textId="77777777" w:rsidR="00DE0A15" w:rsidRPr="00033A3F" w:rsidRDefault="00DE0A15" w:rsidP="004C0D35">
      <w:pPr>
        <w:pStyle w:val="OdstavecASR"/>
        <w:rPr>
          <w:color w:val="000000" w:themeColor="text1"/>
        </w:rPr>
      </w:pPr>
      <w:r w:rsidRPr="00033A3F">
        <w:rPr>
          <w:color w:val="000000" w:themeColor="text1"/>
        </w:rPr>
        <w:t>Délku řízení je možné zjistit ze statistických listů civilních a vyřizování věcí je opět možno zjistit z výkazů. U této agendy tedy budeme zkoumat délky řízení, vyřizování věcí a disposition time.</w:t>
      </w:r>
    </w:p>
    <w:p w14:paraId="2EDC1A27" w14:textId="77777777" w:rsidR="00DE0A15" w:rsidRPr="00033A3F" w:rsidRDefault="00DE0A15" w:rsidP="00DE0A15">
      <w:pPr>
        <w:pStyle w:val="Nadpis3"/>
        <w:numPr>
          <w:ilvl w:val="2"/>
          <w:numId w:val="1"/>
        </w:numPr>
        <w:rPr>
          <w:color w:val="000000" w:themeColor="text1"/>
        </w:rPr>
      </w:pPr>
      <w:bookmarkStart w:id="2283" w:name="_Toc43903107"/>
      <w:bookmarkStart w:id="2284" w:name="_Toc106092806"/>
      <w:bookmarkStart w:id="2285" w:name="_Toc169250883"/>
      <w:bookmarkStart w:id="2286" w:name="_Toc174080919"/>
      <w:bookmarkStart w:id="2287" w:name="_Toc193531045"/>
      <w:bookmarkStart w:id="2288" w:name="_Toc193957103"/>
      <w:bookmarkStart w:id="2289" w:name="_Toc203032791"/>
      <w:r w:rsidRPr="00033A3F">
        <w:rPr>
          <w:color w:val="000000" w:themeColor="text1"/>
        </w:rPr>
        <w:t>Délka řízení</w:t>
      </w:r>
      <w:bookmarkEnd w:id="2283"/>
      <w:bookmarkEnd w:id="2284"/>
      <w:bookmarkEnd w:id="2285"/>
      <w:bookmarkEnd w:id="2286"/>
      <w:bookmarkEnd w:id="2287"/>
      <w:bookmarkEnd w:id="2288"/>
      <w:bookmarkEnd w:id="2289"/>
    </w:p>
    <w:p w14:paraId="4CE41E89" w14:textId="28F8931E" w:rsidR="00DE0A15" w:rsidRPr="00033A3F" w:rsidRDefault="00DE0A15" w:rsidP="00DE0A15">
      <w:pPr>
        <w:pStyle w:val="Podnadpis"/>
        <w:numPr>
          <w:ilvl w:val="0"/>
          <w:numId w:val="0"/>
        </w:numPr>
        <w:rPr>
          <w:color w:val="000000" w:themeColor="text1"/>
        </w:rPr>
      </w:pPr>
      <w:bookmarkStart w:id="2290" w:name="_Toc43841474"/>
      <w:bookmarkStart w:id="2291" w:name="_Toc75952277"/>
      <w:bookmarkStart w:id="2292" w:name="_Toc106106734"/>
      <w:bookmarkStart w:id="2293" w:name="_Toc109802058"/>
      <w:bookmarkStart w:id="2294" w:name="_Toc144104208"/>
      <w:bookmarkStart w:id="2295" w:name="_Toc169251021"/>
      <w:bookmarkStart w:id="2296" w:name="_Toc174080707"/>
      <w:bookmarkStart w:id="2297" w:name="_Toc193530861"/>
      <w:bookmarkStart w:id="2298" w:name="_Toc193634135"/>
      <w:bookmarkStart w:id="2299" w:name="_Toc20303293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106</w:t>
      </w:r>
      <w:r w:rsidRPr="00033A3F">
        <w:rPr>
          <w:color w:val="000000" w:themeColor="text1"/>
        </w:rPr>
        <w:fldChar w:fldCharType="end"/>
      </w:r>
      <w:r w:rsidRPr="00033A3F">
        <w:rPr>
          <w:color w:val="000000" w:themeColor="text1"/>
        </w:rPr>
        <w:t>: VS – délka odvolacího řízení incidenčních sporů v letech 201</w:t>
      </w:r>
      <w:r w:rsidR="00AD4976" w:rsidRPr="00033A3F">
        <w:rPr>
          <w:color w:val="000000" w:themeColor="text1"/>
        </w:rPr>
        <w:t>5</w:t>
      </w:r>
      <w:r w:rsidRPr="00033A3F">
        <w:rPr>
          <w:color w:val="000000" w:themeColor="text1"/>
        </w:rPr>
        <w:t>–20</w:t>
      </w:r>
      <w:bookmarkEnd w:id="2290"/>
      <w:r w:rsidRPr="00033A3F">
        <w:rPr>
          <w:color w:val="000000" w:themeColor="text1"/>
        </w:rPr>
        <w:t>2</w:t>
      </w:r>
      <w:bookmarkEnd w:id="2291"/>
      <w:bookmarkEnd w:id="2292"/>
      <w:bookmarkEnd w:id="2293"/>
      <w:bookmarkEnd w:id="2294"/>
      <w:bookmarkEnd w:id="2295"/>
      <w:bookmarkEnd w:id="2296"/>
      <w:r w:rsidR="00AD4976" w:rsidRPr="00033A3F">
        <w:rPr>
          <w:color w:val="000000" w:themeColor="text1"/>
        </w:rPr>
        <w:t>4</w:t>
      </w:r>
      <w:bookmarkEnd w:id="2297"/>
      <w:bookmarkEnd w:id="2298"/>
      <w:bookmarkEnd w:id="2299"/>
    </w:p>
    <w:p w14:paraId="2631F09D" w14:textId="25B38D70" w:rsidR="00DE0A15" w:rsidRPr="00033A3F" w:rsidRDefault="00DB6E86" w:rsidP="00DE0A15">
      <w:pPr>
        <w:rPr>
          <w:color w:val="000000" w:themeColor="text1"/>
        </w:rPr>
      </w:pPr>
      <w:r w:rsidRPr="00033A3F">
        <w:rPr>
          <w:noProof/>
          <w:color w:val="000000" w:themeColor="text1"/>
          <w:lang w:eastAsia="cs-CZ"/>
        </w:rPr>
        <w:drawing>
          <wp:inline distT="0" distB="0" distL="0" distR="0" wp14:anchorId="0AC049EE" wp14:editId="4BAE8ED1">
            <wp:extent cx="5029200" cy="3657600"/>
            <wp:effectExtent l="0" t="0" r="0" b="0"/>
            <wp:docPr id="1945948522"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AF770CB" w14:textId="77777777" w:rsidR="00DB6E86" w:rsidRPr="00033A3F" w:rsidRDefault="00DB6E86" w:rsidP="004C0D35">
      <w:pPr>
        <w:pStyle w:val="OdstavecASR"/>
        <w:rPr>
          <w:color w:val="000000" w:themeColor="text1"/>
        </w:rPr>
      </w:pPr>
      <w:r w:rsidRPr="00033A3F">
        <w:rPr>
          <w:color w:val="000000" w:themeColor="text1"/>
        </w:rPr>
        <w:t>Z grafu lze vyčíst následující závěry:</w:t>
      </w:r>
    </w:p>
    <w:p w14:paraId="21AEDD63" w14:textId="77777777" w:rsidR="00DB6E86" w:rsidRPr="00033A3F" w:rsidRDefault="00DB6E86" w:rsidP="00DB6E86">
      <w:pPr>
        <w:pStyle w:val="OdstavecASR"/>
        <w:numPr>
          <w:ilvl w:val="0"/>
          <w:numId w:val="19"/>
        </w:numPr>
        <w:rPr>
          <w:color w:val="000000" w:themeColor="text1"/>
        </w:rPr>
      </w:pPr>
      <w:r w:rsidRPr="00033A3F">
        <w:rPr>
          <w:color w:val="000000" w:themeColor="text1"/>
        </w:rPr>
        <w:t>VS v Praze má výrazně vyšší délky řízení. Rozdíl je ale mnohem větší u průměru a 90. percentilu než u mediánu. To naznačuje, že VS v Olomouci má mnohem méně extrémních hodnot než VS v Praze, tedy velmi dlouhých řízení. Tento závěr potvrzuje i histogram níže. VS v Olomouci téměř nevykazuje řízení s délkou řízení větší než 300 dnů, zatímco VS v Praze taková řízení vykazuje v nemalém množství.</w:t>
      </w:r>
    </w:p>
    <w:p w14:paraId="4C6FD6F0" w14:textId="4A8DD115" w:rsidR="00DB6E86" w:rsidRPr="00033A3F" w:rsidRDefault="00DB6E86" w:rsidP="00DB6E86">
      <w:pPr>
        <w:pStyle w:val="OdstavecASR"/>
        <w:numPr>
          <w:ilvl w:val="0"/>
          <w:numId w:val="19"/>
        </w:numPr>
        <w:rPr>
          <w:color w:val="000000" w:themeColor="text1"/>
        </w:rPr>
      </w:pPr>
      <w:r w:rsidRPr="00033A3F">
        <w:rPr>
          <w:color w:val="000000" w:themeColor="text1"/>
        </w:rPr>
        <w:t>Délka řízení u VS v Olomouci výrazně klesla v roce 2017; u VS v Praze k významnému poklesu došlo v roce 2019. Následoval ale opět růst a další pokles (u průměru a percentilu 90).</w:t>
      </w:r>
    </w:p>
    <w:p w14:paraId="799582F6" w14:textId="77777777" w:rsidR="00DB6E86" w:rsidRPr="00033A3F" w:rsidRDefault="00DB6E86" w:rsidP="00DB6E86">
      <w:pPr>
        <w:pStyle w:val="OdstavecASR"/>
        <w:numPr>
          <w:ilvl w:val="0"/>
          <w:numId w:val="19"/>
        </w:numPr>
        <w:rPr>
          <w:color w:val="000000" w:themeColor="text1"/>
        </w:rPr>
      </w:pPr>
      <w:r w:rsidRPr="00033A3F">
        <w:rPr>
          <w:color w:val="000000" w:themeColor="text1"/>
        </w:rPr>
        <w:t>V absolutních číslech jsou délky řízení nízké podobně jako u ostatních odvolacích agend a jsou tedy výrazně nižší než u agendy prvostupňové.</w:t>
      </w:r>
    </w:p>
    <w:p w14:paraId="77CE0608" w14:textId="7606A6CB" w:rsidR="00B85539" w:rsidRPr="00033A3F" w:rsidRDefault="00DB6E86" w:rsidP="00DB6E86">
      <w:pPr>
        <w:pStyle w:val="OdstavecASR"/>
        <w:numPr>
          <w:ilvl w:val="0"/>
          <w:numId w:val="19"/>
        </w:numPr>
        <w:rPr>
          <w:color w:val="000000" w:themeColor="text1"/>
        </w:rPr>
      </w:pPr>
      <w:r w:rsidRPr="00033A3F">
        <w:rPr>
          <w:color w:val="000000" w:themeColor="text1"/>
        </w:rPr>
        <w:t>Za povšimnutí rovněž stojí fakt, že u VS v Olomouci je velmi vyrovnaná mediánová a průměrná délka řízení. To opět ukazuje na nepřítomnost extrémních hodnot.</w:t>
      </w:r>
    </w:p>
    <w:p w14:paraId="13E201A0" w14:textId="1EA3491D" w:rsidR="00B85539" w:rsidRPr="00033A3F" w:rsidRDefault="00B85539" w:rsidP="00B85539">
      <w:pPr>
        <w:pStyle w:val="Podnadpis"/>
        <w:numPr>
          <w:ilvl w:val="0"/>
          <w:numId w:val="0"/>
        </w:numPr>
        <w:rPr>
          <w:color w:val="000000" w:themeColor="text1"/>
        </w:rPr>
      </w:pPr>
      <w:bookmarkStart w:id="2300" w:name="_Toc43841475"/>
      <w:bookmarkStart w:id="2301" w:name="_Toc75952278"/>
      <w:bookmarkStart w:id="2302" w:name="_Toc106106735"/>
      <w:bookmarkStart w:id="2303" w:name="_Toc109802059"/>
      <w:bookmarkStart w:id="2304" w:name="_Toc144104209"/>
      <w:bookmarkStart w:id="2305" w:name="_Toc169251022"/>
      <w:bookmarkStart w:id="2306" w:name="_Toc174080708"/>
      <w:bookmarkStart w:id="2307" w:name="_Toc193530862"/>
      <w:bookmarkStart w:id="2308" w:name="_Toc193634136"/>
      <w:bookmarkStart w:id="2309" w:name="_Toc203032934"/>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107</w:t>
      </w:r>
      <w:r w:rsidRPr="00033A3F">
        <w:rPr>
          <w:color w:val="000000" w:themeColor="text1"/>
        </w:rPr>
        <w:fldChar w:fldCharType="end"/>
      </w:r>
      <w:r w:rsidRPr="00033A3F">
        <w:rPr>
          <w:color w:val="000000" w:themeColor="text1"/>
        </w:rPr>
        <w:t>: VS – distribuce délek odvolacího řízení v incidenčních sporech</w:t>
      </w:r>
      <w:bookmarkEnd w:id="2300"/>
      <w:bookmarkEnd w:id="2301"/>
      <w:bookmarkEnd w:id="2302"/>
      <w:bookmarkEnd w:id="2303"/>
      <w:bookmarkEnd w:id="2304"/>
      <w:bookmarkEnd w:id="2305"/>
      <w:bookmarkEnd w:id="2306"/>
      <w:bookmarkEnd w:id="2307"/>
      <w:bookmarkEnd w:id="2308"/>
      <w:bookmarkEnd w:id="2309"/>
    </w:p>
    <w:p w14:paraId="4816E3A8" w14:textId="31ED0F2D" w:rsidR="00DB6E86" w:rsidRPr="00033A3F" w:rsidRDefault="00B85539" w:rsidP="00B85539">
      <w:pPr>
        <w:pStyle w:val="OdstavecASR"/>
        <w:rPr>
          <w:color w:val="000000" w:themeColor="text1"/>
        </w:rPr>
      </w:pPr>
      <w:r w:rsidRPr="00033A3F">
        <w:rPr>
          <w:noProof/>
          <w:color w:val="000000" w:themeColor="text1"/>
          <w:lang w:eastAsia="cs-CZ"/>
        </w:rPr>
        <w:drawing>
          <wp:inline distT="0" distB="0" distL="0" distR="0" wp14:anchorId="6CC885A8" wp14:editId="4077F25E">
            <wp:extent cx="5029200" cy="3657600"/>
            <wp:effectExtent l="0" t="0" r="0" b="0"/>
            <wp:docPr id="819788754"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BBEB8A4" w14:textId="77777777" w:rsidR="00DB6E86" w:rsidRPr="00033A3F" w:rsidRDefault="00DB6E86" w:rsidP="00DE0A15">
      <w:pPr>
        <w:rPr>
          <w:color w:val="000000" w:themeColor="text1"/>
        </w:rPr>
      </w:pPr>
    </w:p>
    <w:p w14:paraId="1C940670" w14:textId="77777777" w:rsidR="008430BD" w:rsidRPr="00033A3F" w:rsidRDefault="008430BD" w:rsidP="008430BD">
      <w:pPr>
        <w:pStyle w:val="Nadpis3"/>
        <w:numPr>
          <w:ilvl w:val="2"/>
          <w:numId w:val="1"/>
        </w:numPr>
        <w:rPr>
          <w:color w:val="000000" w:themeColor="text1"/>
          <w:lang w:eastAsia="cs-CZ"/>
        </w:rPr>
      </w:pPr>
      <w:bookmarkStart w:id="2310" w:name="_Toc106092807"/>
      <w:bookmarkStart w:id="2311" w:name="_Toc169250884"/>
      <w:bookmarkStart w:id="2312" w:name="_Toc193531046"/>
      <w:bookmarkStart w:id="2313" w:name="_Toc193957104"/>
      <w:bookmarkStart w:id="2314" w:name="_Toc203032792"/>
      <w:r w:rsidRPr="00033A3F">
        <w:rPr>
          <w:color w:val="000000" w:themeColor="text1"/>
          <w:lang w:eastAsia="cs-CZ"/>
        </w:rPr>
        <w:t>Vyřizování věcí</w:t>
      </w:r>
      <w:bookmarkEnd w:id="2310"/>
      <w:bookmarkEnd w:id="2311"/>
      <w:bookmarkEnd w:id="2312"/>
      <w:bookmarkEnd w:id="2313"/>
      <w:bookmarkEnd w:id="2314"/>
    </w:p>
    <w:p w14:paraId="1C46FA20" w14:textId="02F51EBF" w:rsidR="00A27914" w:rsidRPr="00033A3F" w:rsidRDefault="00A27914" w:rsidP="00A27914">
      <w:pPr>
        <w:pStyle w:val="Podnadpis"/>
        <w:rPr>
          <w:color w:val="000000" w:themeColor="text1"/>
        </w:rPr>
      </w:pPr>
      <w:bookmarkStart w:id="2315" w:name="_Toc43841476"/>
      <w:bookmarkStart w:id="2316" w:name="_Toc75952279"/>
      <w:bookmarkStart w:id="2317" w:name="_Toc106106736"/>
      <w:bookmarkStart w:id="2318" w:name="_Toc109802060"/>
      <w:bookmarkStart w:id="2319" w:name="_Toc144104210"/>
      <w:bookmarkStart w:id="2320" w:name="_Toc169251023"/>
      <w:bookmarkStart w:id="2321" w:name="_Toc174080709"/>
      <w:bookmarkStart w:id="2322" w:name="_Toc193530863"/>
      <w:bookmarkStart w:id="2323" w:name="_Toc193634137"/>
      <w:bookmarkStart w:id="2324" w:name="_Toc203032935"/>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108</w:t>
      </w:r>
      <w:r w:rsidRPr="00033A3F">
        <w:rPr>
          <w:noProof/>
          <w:color w:val="000000" w:themeColor="text1"/>
        </w:rPr>
        <w:fldChar w:fldCharType="end"/>
      </w:r>
      <w:r w:rsidRPr="00033A3F">
        <w:rPr>
          <w:color w:val="000000" w:themeColor="text1"/>
        </w:rPr>
        <w:t>: VS – vyřizování odvolacího řízení v incidenčních sporech</w:t>
      </w:r>
      <w:bookmarkEnd w:id="2315"/>
      <w:bookmarkEnd w:id="2316"/>
      <w:bookmarkEnd w:id="2317"/>
      <w:bookmarkEnd w:id="2318"/>
      <w:bookmarkEnd w:id="2319"/>
      <w:bookmarkEnd w:id="2320"/>
      <w:bookmarkEnd w:id="2321"/>
      <w:bookmarkEnd w:id="2322"/>
      <w:bookmarkEnd w:id="2323"/>
      <w:bookmarkEnd w:id="2324"/>
    </w:p>
    <w:p w14:paraId="627FF69C" w14:textId="6E6C10F4" w:rsidR="00A27914" w:rsidRPr="00033A3F" w:rsidRDefault="00AD4976" w:rsidP="00A27914">
      <w:pPr>
        <w:rPr>
          <w:color w:val="000000" w:themeColor="text1"/>
        </w:rPr>
      </w:pPr>
      <w:r w:rsidRPr="00033A3F">
        <w:rPr>
          <w:noProof/>
          <w:color w:val="000000" w:themeColor="text1"/>
          <w:lang w:eastAsia="cs-CZ"/>
        </w:rPr>
        <w:drawing>
          <wp:inline distT="0" distB="0" distL="0" distR="0" wp14:anchorId="5F44D26F" wp14:editId="7E69B52E">
            <wp:extent cx="5029200" cy="3657600"/>
            <wp:effectExtent l="0" t="0" r="0" b="0"/>
            <wp:docPr id="699791848"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6162BF3" w14:textId="77777777" w:rsidR="00B85539" w:rsidRPr="00033A3F" w:rsidRDefault="00B85539" w:rsidP="00A27914">
      <w:pPr>
        <w:rPr>
          <w:color w:val="000000" w:themeColor="text1"/>
        </w:rPr>
      </w:pPr>
    </w:p>
    <w:p w14:paraId="61B15BC4" w14:textId="300A1269" w:rsidR="00B85539" w:rsidRPr="00033A3F" w:rsidRDefault="00B85539" w:rsidP="00B85539">
      <w:pPr>
        <w:pStyle w:val="OdstavecASR"/>
        <w:rPr>
          <w:color w:val="000000" w:themeColor="text1"/>
        </w:rPr>
      </w:pPr>
      <w:r w:rsidRPr="00033A3F">
        <w:rPr>
          <w:color w:val="000000" w:themeColor="text1"/>
        </w:rPr>
        <w:lastRenderedPageBreak/>
        <w:t xml:space="preserve">U VS v Praze vidíme, že počet příchozích a vyřízených věcí od roku 2015 nevykazuje žádný jasný trend a osciluje přibližně mezi 900 a 1 000 věcí. Počet příchozích věcí někdy převyšuje počet vyřízených, jindy </w:t>
      </w:r>
      <w:r w:rsidR="004439B5" w:rsidRPr="00033A3F">
        <w:rPr>
          <w:color w:val="000000" w:themeColor="text1"/>
        </w:rPr>
        <w:t>tomu bylo</w:t>
      </w:r>
      <w:r w:rsidRPr="00033A3F">
        <w:rPr>
          <w:color w:val="000000" w:themeColor="text1"/>
        </w:rPr>
        <w:t xml:space="preserve"> naopak. Od roku 2022 se soudy nicméně dařilo snižovat počet nevyřízených věcí a ten klesl na nejnižší hodnoty ve sledovaném období.</w:t>
      </w:r>
    </w:p>
    <w:p w14:paraId="6C1A64E4" w14:textId="6BD7835F" w:rsidR="00B85539" w:rsidRPr="00033A3F" w:rsidRDefault="00695D10" w:rsidP="00B85539">
      <w:pPr>
        <w:pStyle w:val="OdstavecASR"/>
        <w:rPr>
          <w:color w:val="000000" w:themeColor="text1"/>
        </w:rPr>
      </w:pPr>
      <w:r w:rsidRPr="00033A3F">
        <w:rPr>
          <w:color w:val="000000" w:themeColor="text1"/>
        </w:rPr>
        <w:t>Z</w:t>
      </w:r>
      <w:r w:rsidR="00B85539" w:rsidRPr="00033A3F">
        <w:rPr>
          <w:color w:val="000000" w:themeColor="text1"/>
        </w:rPr>
        <w:t>ajímavý je vývoj v počtu příchozích věcí u VS v Olomouci, který vzrostl z 315 v roce 2016 na 1 430 v roce 2019. Jde tedy o nárůst asi o 350 % během tří let.</w:t>
      </w:r>
    </w:p>
    <w:p w14:paraId="4B9D64E1" w14:textId="195CB13E" w:rsidR="00B85539" w:rsidRPr="00033A3F" w:rsidRDefault="00B85539" w:rsidP="00B85539">
      <w:pPr>
        <w:pStyle w:val="OdstavecASR"/>
        <w:rPr>
          <w:color w:val="000000" w:themeColor="text1"/>
        </w:rPr>
      </w:pPr>
      <w:r w:rsidRPr="00033A3F">
        <w:rPr>
          <w:color w:val="000000" w:themeColor="text1"/>
        </w:rPr>
        <w:t xml:space="preserve">Za tento nárůst jsou zodpovědné rozsáhlé konkursy velkých společností, které vyřizoval KS v Ostravě, a také úpadky přibližně 50 společností tvořících koncern, které řešil KS v Brně. V těchto věcech napadlo velké množství incidenčních sporů především v letech 2014 až 2019 (a byly vyřízeny cca o rok až dva později). Ve valné většině bylo podáno odvolání a s určitým zpožděním tak tyto spory napadly u VS v Olomouci. </w:t>
      </w:r>
    </w:p>
    <w:p w14:paraId="7033F4DC" w14:textId="77777777" w:rsidR="00B85539" w:rsidRPr="00033A3F" w:rsidRDefault="00B85539" w:rsidP="00B85539">
      <w:pPr>
        <w:pStyle w:val="OdstavecASR"/>
        <w:rPr>
          <w:color w:val="000000" w:themeColor="text1"/>
        </w:rPr>
      </w:pPr>
      <w:r w:rsidRPr="00033A3F">
        <w:rPr>
          <w:color w:val="000000" w:themeColor="text1"/>
        </w:rPr>
        <w:t>Dále vidíme, že i přes obrovský nárůst v nápadu se u VS v Olomouci nezvýšil počet nevyřízených věcí a zároveň výrazně klesla vykázaná délka řízení. To ukazuje, že pro tento soud nebylo složité agendu vyřídit, spíše naopak – vyřízení zabralo méně času než jiné incidenční spory.</w:t>
      </w:r>
    </w:p>
    <w:p w14:paraId="1445960F" w14:textId="331A8332" w:rsidR="00B85539" w:rsidRPr="00033A3F" w:rsidRDefault="00B85539" w:rsidP="00B85539">
      <w:pPr>
        <w:pStyle w:val="OdstavecASR"/>
        <w:rPr>
          <w:color w:val="000000" w:themeColor="text1"/>
        </w:rPr>
      </w:pPr>
      <w:r w:rsidRPr="00033A3F">
        <w:rPr>
          <w:color w:val="000000" w:themeColor="text1"/>
        </w:rPr>
        <w:t>V roce 2020 počet příchozích věcí u VS v Olomouci opět klesl přibližně na úroveň roku 2017. Po vyřízení rozsáhlých konkursů se stav agendy postupně vrátil „do normálu“, kde setrvává doposud.</w:t>
      </w:r>
    </w:p>
    <w:p w14:paraId="2E776948" w14:textId="46DD4EAA" w:rsidR="008430BD" w:rsidRPr="00033A3F" w:rsidRDefault="008430BD" w:rsidP="008430BD">
      <w:pPr>
        <w:pStyle w:val="Nadpis3"/>
        <w:numPr>
          <w:ilvl w:val="2"/>
          <w:numId w:val="1"/>
        </w:numPr>
        <w:rPr>
          <w:color w:val="000000" w:themeColor="text1"/>
          <w:lang w:eastAsia="cs-CZ"/>
        </w:rPr>
      </w:pPr>
      <w:bookmarkStart w:id="2325" w:name="_Toc106092808"/>
      <w:bookmarkStart w:id="2326" w:name="_Toc169250885"/>
      <w:bookmarkStart w:id="2327" w:name="_Toc193531047"/>
      <w:bookmarkStart w:id="2328" w:name="_Toc193957105"/>
      <w:bookmarkStart w:id="2329" w:name="_Toc203032793"/>
      <w:r w:rsidRPr="00033A3F">
        <w:rPr>
          <w:color w:val="000000" w:themeColor="text1"/>
          <w:lang w:eastAsia="cs-CZ"/>
        </w:rPr>
        <w:t>Disposition time (dispoziční čas)</w:t>
      </w:r>
      <w:bookmarkEnd w:id="2325"/>
      <w:bookmarkEnd w:id="2326"/>
      <w:bookmarkEnd w:id="2327"/>
      <w:bookmarkEnd w:id="2328"/>
      <w:bookmarkEnd w:id="2329"/>
    </w:p>
    <w:p w14:paraId="43B01528" w14:textId="6C14A58E" w:rsidR="00A27914" w:rsidRPr="00033A3F" w:rsidRDefault="00A27914" w:rsidP="00A27914">
      <w:pPr>
        <w:pStyle w:val="Podnadpis"/>
        <w:numPr>
          <w:ilvl w:val="0"/>
          <w:numId w:val="0"/>
        </w:numPr>
        <w:rPr>
          <w:color w:val="000000" w:themeColor="text1"/>
        </w:rPr>
      </w:pPr>
      <w:bookmarkStart w:id="2330" w:name="_Toc43841477"/>
      <w:bookmarkStart w:id="2331" w:name="_Toc75952280"/>
      <w:bookmarkStart w:id="2332" w:name="_Toc106106737"/>
      <w:bookmarkStart w:id="2333" w:name="_Toc109802061"/>
      <w:bookmarkStart w:id="2334" w:name="_Toc144104211"/>
      <w:bookmarkStart w:id="2335" w:name="_Toc169251024"/>
      <w:bookmarkStart w:id="2336" w:name="_Toc174080710"/>
      <w:bookmarkStart w:id="2337" w:name="_Toc193530864"/>
      <w:bookmarkStart w:id="2338" w:name="_Toc193634138"/>
      <w:bookmarkStart w:id="2339" w:name="_Toc20303293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109</w:t>
      </w:r>
      <w:r w:rsidRPr="00033A3F">
        <w:rPr>
          <w:color w:val="000000" w:themeColor="text1"/>
        </w:rPr>
        <w:fldChar w:fldCharType="end"/>
      </w:r>
      <w:r w:rsidRPr="00033A3F">
        <w:rPr>
          <w:color w:val="000000" w:themeColor="text1"/>
        </w:rPr>
        <w:t>: VS – DT odvolacího řízení v incidenčních sporech</w:t>
      </w:r>
      <w:bookmarkEnd w:id="2330"/>
      <w:bookmarkEnd w:id="2331"/>
      <w:bookmarkEnd w:id="2332"/>
      <w:bookmarkEnd w:id="2333"/>
      <w:bookmarkEnd w:id="2334"/>
      <w:bookmarkEnd w:id="2335"/>
      <w:bookmarkEnd w:id="2336"/>
      <w:bookmarkEnd w:id="2337"/>
      <w:bookmarkEnd w:id="2338"/>
      <w:bookmarkEnd w:id="2339"/>
    </w:p>
    <w:p w14:paraId="5C1C45D6" w14:textId="1B27DAC6" w:rsidR="00A27914" w:rsidRPr="00033A3F" w:rsidRDefault="00A27914" w:rsidP="00A27914">
      <w:pPr>
        <w:rPr>
          <w:color w:val="000000" w:themeColor="text1"/>
          <w:lang w:eastAsia="cs-CZ"/>
        </w:rPr>
      </w:pPr>
      <w:r w:rsidRPr="00033A3F">
        <w:rPr>
          <w:noProof/>
          <w:color w:val="000000" w:themeColor="text1"/>
          <w:lang w:eastAsia="cs-CZ"/>
        </w:rPr>
        <w:drawing>
          <wp:inline distT="0" distB="0" distL="0" distR="0" wp14:anchorId="00DE7265" wp14:editId="1E346036">
            <wp:extent cx="5029200" cy="3657600"/>
            <wp:effectExtent l="0" t="0" r="0" b="0"/>
            <wp:docPr id="1514417638"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94D80F5" w14:textId="62A5C2A6" w:rsidR="000E3F58" w:rsidRPr="00033A3F" w:rsidRDefault="000E3F58" w:rsidP="004C0D35">
      <w:pPr>
        <w:pStyle w:val="OdstavecASR"/>
        <w:rPr>
          <w:color w:val="000000" w:themeColor="text1"/>
          <w:lang w:eastAsia="cs-CZ"/>
        </w:rPr>
      </w:pPr>
      <w:r w:rsidRPr="00033A3F">
        <w:rPr>
          <w:color w:val="000000" w:themeColor="text1"/>
          <w:lang w:eastAsia="cs-CZ"/>
        </w:rPr>
        <w:t>Disposition time opět odráží výše popsané změny. U VS v Praze dlouhodobě osciloval přibližně mezi 140 a 180</w:t>
      </w:r>
      <w:r w:rsidR="000E1293" w:rsidRPr="00033A3F">
        <w:rPr>
          <w:color w:val="000000" w:themeColor="text1"/>
          <w:lang w:eastAsia="cs-CZ"/>
        </w:rPr>
        <w:t xml:space="preserve"> kal</w:t>
      </w:r>
      <w:r w:rsidR="00695D10" w:rsidRPr="00033A3F">
        <w:rPr>
          <w:color w:val="000000" w:themeColor="text1"/>
          <w:lang w:eastAsia="cs-CZ"/>
        </w:rPr>
        <w:t>endářními</w:t>
      </w:r>
      <w:r w:rsidR="000E1293" w:rsidRPr="00033A3F">
        <w:rPr>
          <w:color w:val="000000" w:themeColor="text1"/>
          <w:lang w:eastAsia="cs-CZ"/>
        </w:rPr>
        <w:t xml:space="preserve"> dny</w:t>
      </w:r>
      <w:r w:rsidRPr="00033A3F">
        <w:rPr>
          <w:color w:val="000000" w:themeColor="text1"/>
          <w:lang w:eastAsia="cs-CZ"/>
        </w:rPr>
        <w:t xml:space="preserve">. </w:t>
      </w:r>
      <w:r w:rsidR="00B57885" w:rsidRPr="00033A3F">
        <w:rPr>
          <w:color w:val="000000" w:themeColor="text1"/>
          <w:lang w:eastAsia="cs-CZ"/>
        </w:rPr>
        <w:t xml:space="preserve">V roce 2023 došlo </w:t>
      </w:r>
      <w:r w:rsidR="00E7507C" w:rsidRPr="00033A3F">
        <w:rPr>
          <w:color w:val="000000" w:themeColor="text1"/>
          <w:lang w:eastAsia="cs-CZ"/>
        </w:rPr>
        <w:t xml:space="preserve">u VS v Praze </w:t>
      </w:r>
      <w:r w:rsidR="00B57885" w:rsidRPr="00033A3F">
        <w:rPr>
          <w:color w:val="000000" w:themeColor="text1"/>
          <w:lang w:eastAsia="cs-CZ"/>
        </w:rPr>
        <w:t>k výraznému snížení</w:t>
      </w:r>
      <w:r w:rsidR="000E1293" w:rsidRPr="00033A3F">
        <w:rPr>
          <w:color w:val="000000" w:themeColor="text1"/>
          <w:lang w:eastAsia="cs-CZ"/>
        </w:rPr>
        <w:t xml:space="preserve"> DT</w:t>
      </w:r>
      <w:r w:rsidR="00B57885" w:rsidRPr="00033A3F">
        <w:rPr>
          <w:color w:val="000000" w:themeColor="text1"/>
          <w:lang w:eastAsia="cs-CZ"/>
        </w:rPr>
        <w:t xml:space="preserve"> díky úbytku </w:t>
      </w:r>
      <w:r w:rsidR="000E1293" w:rsidRPr="00033A3F">
        <w:rPr>
          <w:color w:val="000000" w:themeColor="text1"/>
          <w:lang w:eastAsia="cs-CZ"/>
        </w:rPr>
        <w:t xml:space="preserve">počtu </w:t>
      </w:r>
      <w:r w:rsidR="00B57885" w:rsidRPr="00033A3F">
        <w:rPr>
          <w:color w:val="000000" w:themeColor="text1"/>
          <w:lang w:eastAsia="cs-CZ"/>
        </w:rPr>
        <w:t>nevyřízených věcí a tento trend pokračoval i v roce 2024</w:t>
      </w:r>
      <w:r w:rsidRPr="00033A3F">
        <w:rPr>
          <w:color w:val="000000" w:themeColor="text1"/>
          <w:lang w:eastAsia="cs-CZ"/>
        </w:rPr>
        <w:t>. U VS v Olomouci došlo v letech 2016 až 2018 k obrovskému poklesu z výše diskutovaných důvodů. Nárůst v letech 2021 je dán návratem agendy do běžného stavu, především pokud jde o pokles počtu vyřízených věcí.</w:t>
      </w:r>
    </w:p>
    <w:p w14:paraId="0FBA5FDF" w14:textId="2B4634CF" w:rsidR="008430BD" w:rsidRPr="00033A3F" w:rsidRDefault="008430BD" w:rsidP="008430BD">
      <w:pPr>
        <w:pStyle w:val="Nadpis1"/>
        <w:pageBreakBefore/>
        <w:numPr>
          <w:ilvl w:val="0"/>
          <w:numId w:val="1"/>
        </w:numPr>
        <w:spacing w:after="120"/>
        <w:rPr>
          <w:color w:val="000000" w:themeColor="text1"/>
          <w:lang w:eastAsia="cs-CZ"/>
        </w:rPr>
      </w:pPr>
      <w:bookmarkStart w:id="2340" w:name="_Toc515871294"/>
      <w:bookmarkStart w:id="2341" w:name="_Toc106092809"/>
      <w:bookmarkStart w:id="2342" w:name="_Toc169250886"/>
      <w:bookmarkStart w:id="2343" w:name="_Toc193531048"/>
      <w:bookmarkStart w:id="2344" w:name="_Toc193957106"/>
      <w:bookmarkStart w:id="2345" w:name="_Toc203032794"/>
      <w:r w:rsidRPr="00033A3F">
        <w:rPr>
          <w:color w:val="000000" w:themeColor="text1"/>
          <w:lang w:eastAsia="cs-CZ"/>
        </w:rPr>
        <w:lastRenderedPageBreak/>
        <w:t>Nejvyšší soud</w:t>
      </w:r>
      <w:bookmarkEnd w:id="2340"/>
      <w:bookmarkEnd w:id="2341"/>
      <w:bookmarkEnd w:id="2342"/>
      <w:bookmarkEnd w:id="2343"/>
      <w:bookmarkEnd w:id="2344"/>
      <w:bookmarkEnd w:id="2345"/>
    </w:p>
    <w:p w14:paraId="221ECDDB" w14:textId="77777777" w:rsidR="00121456" w:rsidRPr="00033A3F" w:rsidRDefault="00121456" w:rsidP="00121456">
      <w:pPr>
        <w:pStyle w:val="OdstavecASR"/>
        <w:rPr>
          <w:color w:val="000000" w:themeColor="text1"/>
        </w:rPr>
      </w:pPr>
      <w:r w:rsidRPr="00033A3F">
        <w:rPr>
          <w:color w:val="000000" w:themeColor="text1"/>
        </w:rPr>
        <w:t>Největší část agendy Nejvyššího soudu (NS) ČR, který sídlí v Brně, tvoří věci, v nichž byl podán mimořádný opravný prostředek proti rozhodnutí odvolacích soudů. Jedná se především o dovolání, a to v občanskoprávním řízení (rejstřík Cdo, dříve také rejstřík Odo), trestním řízení (rejstřík Tdo), insolvenčním řízení (rejstřík NSČR) a incidenčních sporech (rejstřík ICdo). V této zprávě sledujeme také agendu stížností pro porušení zákona (rejstřík Tz), což je další mimořádný opravný prostředek v trestním řízení. Stejně jako u ostatních soudů nechybí v této kapitole ani data týkající se personální situace. Nejvyšší soud rozhoduje i v dalších případech stanovených předpisy upravujícími působnost soudů a řízení před soudem.</w:t>
      </w:r>
      <w:r w:rsidRPr="00033A3F">
        <w:rPr>
          <w:rStyle w:val="Znakapoznpodarou"/>
          <w:color w:val="000000" w:themeColor="text1"/>
        </w:rPr>
        <w:footnoteReference w:id="17"/>
      </w:r>
    </w:p>
    <w:p w14:paraId="12CBFF29" w14:textId="77777777" w:rsidR="00121456" w:rsidRPr="00033A3F" w:rsidRDefault="00121456" w:rsidP="00121456">
      <w:pPr>
        <w:pStyle w:val="OdstavecASR"/>
        <w:rPr>
          <w:color w:val="000000" w:themeColor="text1"/>
        </w:rPr>
      </w:pPr>
      <w:r w:rsidRPr="00033A3F">
        <w:rPr>
          <w:color w:val="000000" w:themeColor="text1"/>
        </w:rPr>
        <w:t>V případě Nejvyššího soudu uvádí zpráva méně ukazatelů než u soudů nižších stupňů. Jsou pro to dva důvody. Za prvé, délka řízení a některé další statistické ukazatele nejsou k dispozici. Za druhé, soud je pouze jeden a není ho tedy s čím statisticky srovnávat. Přepočet vyřizování na jednoho soudce či výpočet disposition time zde tedy mají mnohem menší smysl než u ostatních soudů.</w:t>
      </w:r>
    </w:p>
    <w:p w14:paraId="37088F01" w14:textId="77777777" w:rsidR="00121456" w:rsidRPr="00033A3F" w:rsidRDefault="00121456" w:rsidP="00121456">
      <w:pPr>
        <w:pStyle w:val="OdstavecASR"/>
        <w:rPr>
          <w:color w:val="000000" w:themeColor="text1"/>
        </w:rPr>
      </w:pPr>
      <w:r w:rsidRPr="00033A3F">
        <w:rPr>
          <w:color w:val="000000" w:themeColor="text1"/>
        </w:rPr>
        <w:t>V této zprávě uvádíme základní statistické informace. Další údaje a informace o činnosti NS s rozsáhlým komentářem jsou dostupné v Ročence Nejvyššího soudu.</w:t>
      </w:r>
      <w:r w:rsidRPr="00033A3F">
        <w:rPr>
          <w:rStyle w:val="Znakapoznpodarou"/>
          <w:color w:val="000000" w:themeColor="text1"/>
        </w:rPr>
        <w:footnoteReference w:id="18"/>
      </w:r>
    </w:p>
    <w:p w14:paraId="4896EE65" w14:textId="3ED238AD" w:rsidR="008430BD" w:rsidRPr="00033A3F" w:rsidRDefault="008430BD" w:rsidP="008430BD">
      <w:pPr>
        <w:pStyle w:val="Nadpis2"/>
        <w:keepNext w:val="0"/>
        <w:numPr>
          <w:ilvl w:val="1"/>
          <w:numId w:val="1"/>
        </w:numPr>
        <w:spacing w:before="120"/>
        <w:rPr>
          <w:lang w:eastAsia="cs-CZ"/>
        </w:rPr>
      </w:pPr>
      <w:bookmarkStart w:id="2346" w:name="_Toc515871295"/>
      <w:bookmarkStart w:id="2347" w:name="_Toc106092810"/>
      <w:bookmarkStart w:id="2348" w:name="_Toc169250887"/>
      <w:bookmarkStart w:id="2349" w:name="_Toc193531049"/>
      <w:bookmarkStart w:id="2350" w:name="_Toc193957107"/>
      <w:bookmarkStart w:id="2351" w:name="_Toc203032795"/>
      <w:r w:rsidRPr="00033A3F">
        <w:rPr>
          <w:lang w:eastAsia="cs-CZ"/>
        </w:rPr>
        <w:t>Personál</w:t>
      </w:r>
      <w:bookmarkEnd w:id="2346"/>
      <w:bookmarkEnd w:id="2347"/>
      <w:bookmarkEnd w:id="2348"/>
      <w:bookmarkEnd w:id="2349"/>
      <w:bookmarkEnd w:id="2350"/>
      <w:bookmarkEnd w:id="2351"/>
    </w:p>
    <w:p w14:paraId="4AB538F5" w14:textId="77777777" w:rsidR="00121456" w:rsidRPr="00033A3F" w:rsidRDefault="00121456" w:rsidP="00121456">
      <w:pPr>
        <w:pStyle w:val="Nadpis3"/>
        <w:keepNext w:val="0"/>
        <w:numPr>
          <w:ilvl w:val="2"/>
          <w:numId w:val="1"/>
        </w:numPr>
        <w:rPr>
          <w:color w:val="000000" w:themeColor="text1"/>
          <w:lang w:eastAsia="cs-CZ"/>
        </w:rPr>
      </w:pPr>
      <w:bookmarkStart w:id="2352" w:name="_Toc174080924"/>
      <w:bookmarkStart w:id="2353" w:name="_Toc193531050"/>
      <w:bookmarkStart w:id="2354" w:name="_Toc193957108"/>
      <w:bookmarkStart w:id="2355" w:name="_Toc203032796"/>
      <w:r w:rsidRPr="00033A3F">
        <w:rPr>
          <w:color w:val="000000" w:themeColor="text1"/>
          <w:lang w:eastAsia="cs-CZ"/>
        </w:rPr>
        <w:t>Soudci</w:t>
      </w:r>
      <w:bookmarkEnd w:id="2352"/>
      <w:bookmarkEnd w:id="2353"/>
      <w:bookmarkEnd w:id="2354"/>
      <w:bookmarkEnd w:id="2355"/>
    </w:p>
    <w:p w14:paraId="2556DBF5" w14:textId="0E73BBDB" w:rsidR="00121456" w:rsidRPr="00033A3F" w:rsidRDefault="00121456" w:rsidP="00121456">
      <w:pPr>
        <w:pStyle w:val="Podnadpis"/>
        <w:rPr>
          <w:color w:val="000000" w:themeColor="text1"/>
        </w:rPr>
      </w:pPr>
      <w:bookmarkStart w:id="2356" w:name="_Toc515871421"/>
      <w:bookmarkStart w:id="2357" w:name="_Toc11135152"/>
      <w:bookmarkStart w:id="2358" w:name="_Toc43841478"/>
      <w:bookmarkStart w:id="2359" w:name="_Toc75952281"/>
      <w:bookmarkStart w:id="2360" w:name="_Toc106106738"/>
      <w:bookmarkStart w:id="2361" w:name="_Toc109802062"/>
      <w:bookmarkStart w:id="2362" w:name="_Toc144104212"/>
      <w:bookmarkStart w:id="2363" w:name="_Toc169251025"/>
      <w:bookmarkStart w:id="2364" w:name="_Toc174080711"/>
      <w:bookmarkStart w:id="2365" w:name="_Toc193530865"/>
      <w:bookmarkStart w:id="2366" w:name="_Toc193634139"/>
      <w:bookmarkStart w:id="2367" w:name="_Toc20303293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110</w:t>
      </w:r>
      <w:r w:rsidRPr="00033A3F">
        <w:rPr>
          <w:color w:val="000000" w:themeColor="text1"/>
        </w:rPr>
        <w:fldChar w:fldCharType="end"/>
      </w:r>
      <w:r w:rsidRPr="00033A3F">
        <w:rPr>
          <w:color w:val="000000" w:themeColor="text1"/>
        </w:rPr>
        <w:t>: NS – počet soudců v letech 201</w:t>
      </w:r>
      <w:r w:rsidR="00860BFA" w:rsidRPr="00033A3F">
        <w:rPr>
          <w:color w:val="000000" w:themeColor="text1"/>
        </w:rPr>
        <w:t>5</w:t>
      </w:r>
      <w:r w:rsidRPr="00033A3F">
        <w:rPr>
          <w:color w:val="000000" w:themeColor="text1"/>
        </w:rPr>
        <w:t>–20</w:t>
      </w:r>
      <w:bookmarkEnd w:id="2356"/>
      <w:bookmarkEnd w:id="2357"/>
      <w:bookmarkEnd w:id="2358"/>
      <w:r w:rsidRPr="00033A3F">
        <w:rPr>
          <w:color w:val="000000" w:themeColor="text1"/>
        </w:rPr>
        <w:t>2</w:t>
      </w:r>
      <w:bookmarkEnd w:id="2359"/>
      <w:bookmarkEnd w:id="2360"/>
      <w:bookmarkEnd w:id="2361"/>
      <w:bookmarkEnd w:id="2362"/>
      <w:bookmarkEnd w:id="2363"/>
      <w:bookmarkEnd w:id="2364"/>
      <w:r w:rsidRPr="00033A3F">
        <w:rPr>
          <w:color w:val="000000" w:themeColor="text1"/>
        </w:rPr>
        <w:t>4</w:t>
      </w:r>
      <w:bookmarkEnd w:id="2365"/>
      <w:bookmarkEnd w:id="2366"/>
      <w:bookmarkEnd w:id="2367"/>
    </w:p>
    <w:p w14:paraId="3AAA7C36" w14:textId="458145AC" w:rsidR="00121456" w:rsidRPr="00033A3F" w:rsidRDefault="00860BFA" w:rsidP="00121456">
      <w:pPr>
        <w:rPr>
          <w:color w:val="000000" w:themeColor="text1"/>
        </w:rPr>
      </w:pPr>
      <w:r w:rsidRPr="00033A3F">
        <w:rPr>
          <w:noProof/>
          <w:color w:val="000000" w:themeColor="text1"/>
          <w:lang w:eastAsia="cs-CZ"/>
        </w:rPr>
        <w:drawing>
          <wp:inline distT="0" distB="0" distL="0" distR="0" wp14:anchorId="7D629661" wp14:editId="1953C8C0">
            <wp:extent cx="5029200" cy="3657600"/>
            <wp:effectExtent l="0" t="0" r="0" b="0"/>
            <wp:docPr id="1690235137"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11A2044" w14:textId="453B87AF" w:rsidR="00860BFA" w:rsidRPr="00033A3F" w:rsidRDefault="00860BFA" w:rsidP="00860BFA">
      <w:pPr>
        <w:pStyle w:val="OdstavecASR"/>
        <w:rPr>
          <w:color w:val="000000" w:themeColor="text1"/>
        </w:rPr>
      </w:pPr>
      <w:r w:rsidRPr="00033A3F">
        <w:rPr>
          <w:color w:val="000000" w:themeColor="text1"/>
        </w:rPr>
        <w:lastRenderedPageBreak/>
        <w:t>Od zvýšení plánovaného počtu v roce 2019 evidenční počet osciloval kolem 70, v předchozích letech byl v průměru cca o tři soudce nižší. V roce 2024 klesl na 66. Ke změnám dochází prakticky každoročně, byť s různou intenzitou, což nasvědčuje určité generační obměně. Soud je také dlouhodobě posilován o stážisty z nižších soudů (k 1</w:t>
      </w:r>
      <w:r w:rsidR="00343C49" w:rsidRPr="00033A3F">
        <w:rPr>
          <w:color w:val="000000" w:themeColor="text1"/>
        </w:rPr>
        <w:t>4</w:t>
      </w:r>
      <w:r w:rsidRPr="00033A3F">
        <w:rPr>
          <w:color w:val="000000" w:themeColor="text1"/>
        </w:rPr>
        <w:t xml:space="preserve">. </w:t>
      </w:r>
      <w:r w:rsidR="00343C49" w:rsidRPr="00033A3F">
        <w:rPr>
          <w:color w:val="000000" w:themeColor="text1"/>
        </w:rPr>
        <w:t>5</w:t>
      </w:r>
      <w:r w:rsidRPr="00033A3F">
        <w:rPr>
          <w:color w:val="000000" w:themeColor="text1"/>
        </w:rPr>
        <w:t>. 202</w:t>
      </w:r>
      <w:r w:rsidR="00343C49" w:rsidRPr="00033A3F">
        <w:rPr>
          <w:color w:val="000000" w:themeColor="text1"/>
        </w:rPr>
        <w:t>5</w:t>
      </w:r>
      <w:r w:rsidRPr="00033A3F">
        <w:rPr>
          <w:color w:val="000000" w:themeColor="text1"/>
        </w:rPr>
        <w:t xml:space="preserve"> zde působil</w:t>
      </w:r>
      <w:r w:rsidR="00343C49" w:rsidRPr="00033A3F">
        <w:rPr>
          <w:color w:val="000000" w:themeColor="text1"/>
        </w:rPr>
        <w:t>o</w:t>
      </w:r>
      <w:r w:rsidRPr="00033A3F">
        <w:rPr>
          <w:color w:val="000000" w:themeColor="text1"/>
        </w:rPr>
        <w:t xml:space="preserve"> </w:t>
      </w:r>
      <w:r w:rsidR="00343C49" w:rsidRPr="00033A3F">
        <w:rPr>
          <w:color w:val="000000" w:themeColor="text1"/>
        </w:rPr>
        <w:t>sedm soudců</w:t>
      </w:r>
      <w:r w:rsidRPr="00033A3F">
        <w:rPr>
          <w:color w:val="000000" w:themeColor="text1"/>
        </w:rPr>
        <w:t>, pět jakožto soudci občanskoprávního a obchodního kolegia).</w:t>
      </w:r>
    </w:p>
    <w:p w14:paraId="09F5A5FE" w14:textId="2AC54F0A" w:rsidR="00860BFA" w:rsidRPr="00033A3F" w:rsidRDefault="00860BFA" w:rsidP="00860BFA">
      <w:pPr>
        <w:pStyle w:val="Podnadpis"/>
        <w:rPr>
          <w:color w:val="000000" w:themeColor="text1"/>
        </w:rPr>
      </w:pPr>
      <w:bookmarkStart w:id="2368" w:name="_Toc515871422"/>
      <w:bookmarkStart w:id="2369" w:name="_Toc11135153"/>
      <w:bookmarkStart w:id="2370" w:name="_Toc43841479"/>
      <w:bookmarkStart w:id="2371" w:name="_Toc75952282"/>
      <w:bookmarkStart w:id="2372" w:name="_Toc106106739"/>
      <w:bookmarkStart w:id="2373" w:name="_Toc109802063"/>
      <w:bookmarkStart w:id="2374" w:name="_Toc144104213"/>
      <w:bookmarkStart w:id="2375" w:name="_Toc169251026"/>
      <w:bookmarkStart w:id="2376" w:name="_Toc174080712"/>
      <w:bookmarkStart w:id="2377" w:name="_Toc193530866"/>
      <w:bookmarkStart w:id="2378" w:name="_Toc193634140"/>
      <w:bookmarkStart w:id="2379" w:name="_Toc20303293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111</w:t>
      </w:r>
      <w:r w:rsidRPr="00033A3F">
        <w:rPr>
          <w:color w:val="000000" w:themeColor="text1"/>
        </w:rPr>
        <w:fldChar w:fldCharType="end"/>
      </w:r>
      <w:r w:rsidRPr="00033A3F">
        <w:rPr>
          <w:color w:val="000000" w:themeColor="text1"/>
        </w:rPr>
        <w:t>: NS – evidenční počet soudců dle soudních úseků v letech 2014–</w:t>
      </w:r>
      <w:bookmarkEnd w:id="2368"/>
      <w:bookmarkEnd w:id="2369"/>
      <w:bookmarkEnd w:id="2370"/>
      <w:bookmarkEnd w:id="2371"/>
      <w:bookmarkEnd w:id="2372"/>
      <w:bookmarkEnd w:id="2373"/>
      <w:bookmarkEnd w:id="2374"/>
      <w:bookmarkEnd w:id="2375"/>
      <w:bookmarkEnd w:id="2376"/>
      <w:r w:rsidR="005E53E6" w:rsidRPr="00033A3F">
        <w:rPr>
          <w:color w:val="000000" w:themeColor="text1"/>
        </w:rPr>
        <w:t>2024</w:t>
      </w:r>
      <w:bookmarkEnd w:id="2377"/>
      <w:bookmarkEnd w:id="2378"/>
      <w:bookmarkEnd w:id="2379"/>
    </w:p>
    <w:p w14:paraId="7355014E" w14:textId="0CF096E2" w:rsidR="00860BFA" w:rsidRPr="00033A3F" w:rsidRDefault="00860BFA" w:rsidP="00860BFA">
      <w:pPr>
        <w:pStyle w:val="OdstavecASR"/>
        <w:rPr>
          <w:color w:val="000000" w:themeColor="text1"/>
        </w:rPr>
      </w:pPr>
      <w:r w:rsidRPr="00033A3F">
        <w:rPr>
          <w:noProof/>
          <w:color w:val="000000" w:themeColor="text1"/>
          <w:lang w:eastAsia="cs-CZ"/>
        </w:rPr>
        <w:drawing>
          <wp:inline distT="0" distB="0" distL="0" distR="0" wp14:anchorId="1B742042" wp14:editId="32A3DEF0">
            <wp:extent cx="5029200" cy="3657600"/>
            <wp:effectExtent l="0" t="0" r="0" b="0"/>
            <wp:docPr id="1654258114"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C096C5D" w14:textId="12050585" w:rsidR="00916BE1" w:rsidRPr="00033A3F" w:rsidRDefault="00860BFA" w:rsidP="00860BFA">
      <w:pPr>
        <w:pStyle w:val="OdstavecASR"/>
        <w:rPr>
          <w:color w:val="000000" w:themeColor="text1"/>
        </w:rPr>
      </w:pPr>
      <w:r w:rsidRPr="00033A3F">
        <w:rPr>
          <w:color w:val="000000" w:themeColor="text1"/>
        </w:rPr>
        <w:t>Podobně jako u ostatních soudů je civilní úsek větší než úsek trestní, v případě NS přibližně dvakrát. Trestní úsek se po výrazném propadu v roce 2019 postupně stabilizoval na hodnoty odpovídající roku 2018, zatímco civilní úsek výrazněji narostl mezi lety 2018 a 2020 a od té doby jeho velikost poklesla</w:t>
      </w:r>
      <w:r w:rsidR="005C0983" w:rsidRPr="00033A3F">
        <w:rPr>
          <w:color w:val="000000" w:themeColor="text1"/>
        </w:rPr>
        <w:t>.</w:t>
      </w:r>
    </w:p>
    <w:p w14:paraId="7FAAB6DF" w14:textId="79B75212" w:rsidR="00860BFA" w:rsidRPr="00033A3F" w:rsidRDefault="00860BFA" w:rsidP="00860BFA">
      <w:pPr>
        <w:pStyle w:val="OdstavecASR"/>
        <w:rPr>
          <w:color w:val="000000" w:themeColor="text1"/>
        </w:rPr>
      </w:pPr>
      <w:r w:rsidRPr="00033A3F">
        <w:rPr>
          <w:color w:val="000000" w:themeColor="text1"/>
        </w:rPr>
        <w:t>Na dalším grafu je stejně jako u ostatních soudů zobrazen vývoj počtu soudců a soudkyň. Od roku 2009 se počet mužů zvyšoval a v roce 2017 došlo k dalšímu významnému růstu. V roce 2019 se tento trend přerušil a podíl žen dokonce mírně stoupl, ale v roce 2020 bylo k soudu jmenováno dalších 5 mužů a v roce 2022 se nůžky mezi muži a ženami rozevřely nejvíce ve sledovaném období; snížení rozdílu v </w:t>
      </w:r>
      <w:r w:rsidR="00916BE1" w:rsidRPr="00033A3F">
        <w:rPr>
          <w:color w:val="000000" w:themeColor="text1"/>
        </w:rPr>
        <w:t>letech</w:t>
      </w:r>
      <w:r w:rsidRPr="00033A3F">
        <w:rPr>
          <w:color w:val="000000" w:themeColor="text1"/>
        </w:rPr>
        <w:t xml:space="preserve"> 2023</w:t>
      </w:r>
      <w:r w:rsidR="00916BE1" w:rsidRPr="00033A3F">
        <w:rPr>
          <w:color w:val="000000" w:themeColor="text1"/>
        </w:rPr>
        <w:t xml:space="preserve"> a 2024</w:t>
      </w:r>
      <w:r w:rsidRPr="00033A3F">
        <w:rPr>
          <w:color w:val="000000" w:themeColor="text1"/>
        </w:rPr>
        <w:t xml:space="preserve"> je pouze důsledkem snížení počtu mužů.</w:t>
      </w:r>
    </w:p>
    <w:p w14:paraId="53368C6F" w14:textId="54598AB7" w:rsidR="00860BFA" w:rsidRPr="00033A3F" w:rsidRDefault="00860BFA" w:rsidP="00860BFA">
      <w:pPr>
        <w:pStyle w:val="OdstavecASR"/>
        <w:rPr>
          <w:color w:val="000000" w:themeColor="text1"/>
        </w:rPr>
      </w:pPr>
      <w:r w:rsidRPr="00033A3F">
        <w:rPr>
          <w:color w:val="000000" w:themeColor="text1"/>
        </w:rPr>
        <w:t xml:space="preserve">U Nejvyššího soudu tak pokračuje trend snižování podílu soudkyň s každým dalším článkem soudní soustavy. V roce </w:t>
      </w:r>
      <w:r w:rsidR="00DA0E8F" w:rsidRPr="00033A3F">
        <w:rPr>
          <w:color w:val="000000" w:themeColor="text1"/>
        </w:rPr>
        <w:t xml:space="preserve">2024 </w:t>
      </w:r>
      <w:r w:rsidRPr="00033A3F">
        <w:rPr>
          <w:color w:val="000000" w:themeColor="text1"/>
        </w:rPr>
        <w:t>byl podíl soudkyň pouze něco přes 1</w:t>
      </w:r>
      <w:r w:rsidR="003F5950" w:rsidRPr="00033A3F">
        <w:rPr>
          <w:color w:val="000000" w:themeColor="text1"/>
        </w:rPr>
        <w:t>8</w:t>
      </w:r>
      <w:r w:rsidRPr="00033A3F">
        <w:rPr>
          <w:color w:val="000000" w:themeColor="text1"/>
        </w:rPr>
        <w:t> %.</w:t>
      </w:r>
      <w:r w:rsidR="00DA0E8F" w:rsidRPr="00033A3F">
        <w:rPr>
          <w:color w:val="000000" w:themeColor="text1"/>
        </w:rPr>
        <w:t xml:space="preserve"> </w:t>
      </w:r>
      <w:r w:rsidR="00500C1A" w:rsidRPr="00033A3F">
        <w:rPr>
          <w:color w:val="000000" w:themeColor="text1"/>
        </w:rPr>
        <w:t xml:space="preserve">Podíl žen je nízký i v mezinárodním srovnání – jedná se o třetí nejnižší hodnotu v rámci </w:t>
      </w:r>
      <w:r w:rsidR="00DA0E8F" w:rsidRPr="00033A3F">
        <w:rPr>
          <w:color w:val="000000" w:themeColor="text1"/>
        </w:rPr>
        <w:t>EU27</w:t>
      </w:r>
      <w:r w:rsidR="00500C1A" w:rsidRPr="00033A3F">
        <w:rPr>
          <w:color w:val="000000" w:themeColor="text1"/>
        </w:rPr>
        <w:t>;</w:t>
      </w:r>
      <w:r w:rsidR="001B58D4" w:rsidRPr="00033A3F">
        <w:rPr>
          <w:color w:val="000000" w:themeColor="text1"/>
        </w:rPr>
        <w:t xml:space="preserve"> pro srovnání </w:t>
      </w:r>
      <w:r w:rsidR="00500C1A" w:rsidRPr="00033A3F">
        <w:rPr>
          <w:color w:val="000000" w:themeColor="text1"/>
        </w:rPr>
        <w:t xml:space="preserve">na </w:t>
      </w:r>
      <w:r w:rsidR="001B58D4" w:rsidRPr="00033A3F">
        <w:rPr>
          <w:color w:val="000000" w:themeColor="text1"/>
        </w:rPr>
        <w:t>S</w:t>
      </w:r>
      <w:r w:rsidR="00E706C0" w:rsidRPr="00033A3F">
        <w:rPr>
          <w:color w:val="000000" w:themeColor="text1"/>
        </w:rPr>
        <w:t>lovensk</w:t>
      </w:r>
      <w:r w:rsidR="00500C1A" w:rsidRPr="00033A3F">
        <w:rPr>
          <w:color w:val="000000" w:themeColor="text1"/>
        </w:rPr>
        <w:t xml:space="preserve">u činí podíl soudkyň na nejvyšším soudě </w:t>
      </w:r>
      <w:r w:rsidR="00714CE3" w:rsidRPr="00033A3F">
        <w:rPr>
          <w:color w:val="000000" w:themeColor="text1"/>
        </w:rPr>
        <w:t>53 %</w:t>
      </w:r>
      <w:r w:rsidR="00E706C0" w:rsidRPr="00033A3F">
        <w:rPr>
          <w:rStyle w:val="Znakapoznpodarou"/>
          <w:color w:val="000000" w:themeColor="text1"/>
        </w:rPr>
        <w:footnoteReference w:id="19"/>
      </w:r>
      <w:r w:rsidR="00714CE3" w:rsidRPr="00033A3F">
        <w:rPr>
          <w:color w:val="000000" w:themeColor="text1"/>
        </w:rPr>
        <w:t>.</w:t>
      </w:r>
    </w:p>
    <w:p w14:paraId="58BCEE0C" w14:textId="77777777" w:rsidR="00916BE1" w:rsidRPr="00033A3F" w:rsidRDefault="00916BE1">
      <w:pPr>
        <w:spacing w:after="160" w:line="259" w:lineRule="auto"/>
        <w:jc w:val="left"/>
        <w:rPr>
          <w:b/>
          <w:bCs/>
          <w:color w:val="000000" w:themeColor="text1"/>
        </w:rPr>
      </w:pPr>
      <w:r w:rsidRPr="00033A3F">
        <w:rPr>
          <w:b/>
          <w:bCs/>
          <w:color w:val="000000" w:themeColor="text1"/>
        </w:rPr>
        <w:br w:type="page"/>
      </w:r>
    </w:p>
    <w:p w14:paraId="66176236" w14:textId="16F070AD" w:rsidR="00916BE1" w:rsidRPr="00033A3F" w:rsidRDefault="00916BE1" w:rsidP="00916BE1">
      <w:pPr>
        <w:pStyle w:val="Podnadpis"/>
        <w:rPr>
          <w:color w:val="000000" w:themeColor="text1"/>
        </w:rPr>
      </w:pPr>
      <w:bookmarkStart w:id="2380" w:name="_Toc203032939"/>
      <w:r w:rsidRPr="00033A3F">
        <w:rPr>
          <w:color w:val="000000" w:themeColor="text1"/>
        </w:rPr>
        <w:lastRenderedPageBreak/>
        <w:t xml:space="preserve">Graf </w:t>
      </w:r>
      <w:r w:rsidR="00A57EE0" w:rsidRPr="00033A3F">
        <w:rPr>
          <w:color w:val="000000" w:themeColor="text1"/>
        </w:rPr>
        <w:fldChar w:fldCharType="begin"/>
      </w:r>
      <w:r w:rsidR="00A57EE0" w:rsidRPr="00033A3F">
        <w:rPr>
          <w:color w:val="000000" w:themeColor="text1"/>
        </w:rPr>
        <w:instrText xml:space="preserve"> SEQ Graf \* ARABIC </w:instrText>
      </w:r>
      <w:r w:rsidR="00A57EE0" w:rsidRPr="00033A3F">
        <w:rPr>
          <w:color w:val="000000" w:themeColor="text1"/>
        </w:rPr>
        <w:fldChar w:fldCharType="separate"/>
      </w:r>
      <w:r w:rsidR="00163B51">
        <w:rPr>
          <w:noProof/>
          <w:color w:val="000000" w:themeColor="text1"/>
        </w:rPr>
        <w:t>112</w:t>
      </w:r>
      <w:r w:rsidR="00A57EE0" w:rsidRPr="00033A3F">
        <w:rPr>
          <w:color w:val="000000" w:themeColor="text1"/>
        </w:rPr>
        <w:fldChar w:fldCharType="end"/>
      </w:r>
      <w:r w:rsidRPr="00033A3F">
        <w:rPr>
          <w:color w:val="000000" w:themeColor="text1"/>
        </w:rPr>
        <w:t>: NS – evidenční počet soudců dle pohlaví v letech 2015–2024</w:t>
      </w:r>
      <w:bookmarkEnd w:id="2380"/>
    </w:p>
    <w:p w14:paraId="17C3D4BA" w14:textId="61909A1B" w:rsidR="00916BE1" w:rsidRPr="00033A3F" w:rsidRDefault="00916BE1" w:rsidP="00860BFA">
      <w:pPr>
        <w:pStyle w:val="OdstavecASR"/>
        <w:rPr>
          <w:color w:val="000000" w:themeColor="text1"/>
        </w:rPr>
      </w:pPr>
      <w:r w:rsidRPr="00033A3F">
        <w:rPr>
          <w:noProof/>
          <w:color w:val="000000" w:themeColor="text1"/>
          <w:lang w:eastAsia="cs-CZ"/>
        </w:rPr>
        <w:drawing>
          <wp:inline distT="0" distB="0" distL="0" distR="0" wp14:anchorId="4CEF1C10" wp14:editId="16F401EC">
            <wp:extent cx="5029200" cy="3657600"/>
            <wp:effectExtent l="0" t="0" r="3175" b="1905"/>
            <wp:docPr id="1204458448"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25632E0" w14:textId="39F29BEF" w:rsidR="004C1136" w:rsidRPr="00033A3F" w:rsidRDefault="007767F1" w:rsidP="004C1136">
      <w:pPr>
        <w:pStyle w:val="OdstavecASR"/>
        <w:rPr>
          <w:color w:val="000000" w:themeColor="text1"/>
        </w:rPr>
      </w:pPr>
      <w:r w:rsidRPr="00033A3F">
        <w:rPr>
          <w:color w:val="000000" w:themeColor="text1"/>
        </w:rPr>
        <w:t>Pokud jde o v</w:t>
      </w:r>
      <w:r w:rsidR="004C1136" w:rsidRPr="00033A3F">
        <w:rPr>
          <w:color w:val="000000" w:themeColor="text1"/>
        </w:rPr>
        <w:t>ěkovou strukturu</w:t>
      </w:r>
      <w:r w:rsidRPr="00033A3F">
        <w:rPr>
          <w:color w:val="000000" w:themeColor="text1"/>
        </w:rPr>
        <w:t>,</w:t>
      </w:r>
      <w:r w:rsidR="004C1136" w:rsidRPr="00033A3F">
        <w:rPr>
          <w:color w:val="000000" w:themeColor="text1"/>
        </w:rPr>
        <w:t xml:space="preserve"> </w:t>
      </w:r>
      <w:r w:rsidRPr="00033A3F">
        <w:rPr>
          <w:color w:val="000000" w:themeColor="text1"/>
        </w:rPr>
        <w:t>s</w:t>
      </w:r>
      <w:r w:rsidR="004C1136" w:rsidRPr="00033A3F">
        <w:rPr>
          <w:color w:val="000000" w:themeColor="text1"/>
        </w:rPr>
        <w:t xml:space="preserve">oudci u Nejvyššího soudu se </w:t>
      </w:r>
      <w:r w:rsidR="003F40A2" w:rsidRPr="00033A3F">
        <w:rPr>
          <w:color w:val="000000" w:themeColor="text1"/>
        </w:rPr>
        <w:t xml:space="preserve">již </w:t>
      </w:r>
      <w:r w:rsidR="004C1136" w:rsidRPr="00033A3F">
        <w:rPr>
          <w:color w:val="000000" w:themeColor="text1"/>
        </w:rPr>
        <w:t>v průměru nezdají být starší než soudci u vrchních soudů. I zde však došlo během let ke změnám. Zvyšoval se podíl soudců ve věku 61–70 let a snižoval se podíl soudců mezi 51. a 60. rokem věku. V roce 2020 došlo k nárůstu ve věkové kategorii 41 až 50 let (jak bylo zmíněno výše, šlo výlučně o</w:t>
      </w:r>
      <w:r w:rsidR="003F40A2" w:rsidRPr="00033A3F">
        <w:rPr>
          <w:color w:val="000000" w:themeColor="text1"/>
        </w:rPr>
        <w:t> </w:t>
      </w:r>
      <w:r w:rsidR="004C1136" w:rsidRPr="00033A3F">
        <w:rPr>
          <w:color w:val="000000" w:themeColor="text1"/>
        </w:rPr>
        <w:t>muže). V roce 2021 dále narostl podíl soudců ve věkové skupině 41 až 50 let. Lze tedy říct, že se v těchto letech zvýšil podíl mladších soudců. V roce 2022 se tento trend zatím zastavil. V roce 2023 zůstal poměr mezi věkovými skupinami v zásadě neměnný. V roce 2024 došlo k určitému úbytku ve skupině 61 až 70 let a</w:t>
      </w:r>
      <w:r w:rsidR="00542EE2">
        <w:rPr>
          <w:color w:val="000000" w:themeColor="text1"/>
        </w:rPr>
        <w:t> </w:t>
      </w:r>
      <w:r w:rsidR="004C1136" w:rsidRPr="00033A3F">
        <w:rPr>
          <w:color w:val="000000" w:themeColor="text1"/>
        </w:rPr>
        <w:t>přesunu z věkové skupiny 41 až 50 let do skupiny 51 až 60 let.</w:t>
      </w:r>
    </w:p>
    <w:p w14:paraId="625445D5" w14:textId="64A0529A" w:rsidR="004C1136" w:rsidRPr="00033A3F" w:rsidRDefault="004C1136" w:rsidP="004C1136">
      <w:pPr>
        <w:pStyle w:val="Podnadpis"/>
        <w:numPr>
          <w:ilvl w:val="0"/>
          <w:numId w:val="0"/>
        </w:numPr>
        <w:rPr>
          <w:color w:val="000000" w:themeColor="text1"/>
        </w:rPr>
      </w:pPr>
      <w:bookmarkStart w:id="2381" w:name="_Toc515871424"/>
      <w:bookmarkStart w:id="2382" w:name="_Toc11135155"/>
      <w:bookmarkStart w:id="2383" w:name="_Toc43841481"/>
      <w:bookmarkStart w:id="2384" w:name="_Toc75952284"/>
      <w:bookmarkStart w:id="2385" w:name="_Toc106106740"/>
      <w:bookmarkStart w:id="2386" w:name="_Toc109802064"/>
      <w:bookmarkStart w:id="2387" w:name="_Toc144104215"/>
      <w:bookmarkStart w:id="2388" w:name="_Toc169251027"/>
      <w:bookmarkStart w:id="2389" w:name="_Toc174080713"/>
      <w:bookmarkStart w:id="2390" w:name="_Toc193530867"/>
      <w:bookmarkStart w:id="2391" w:name="_Toc193634141"/>
      <w:bookmarkStart w:id="2392" w:name="_Toc203032940"/>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113</w:t>
      </w:r>
      <w:r w:rsidRPr="00033A3F">
        <w:rPr>
          <w:color w:val="000000" w:themeColor="text1"/>
        </w:rPr>
        <w:fldChar w:fldCharType="end"/>
      </w:r>
      <w:r w:rsidRPr="00033A3F">
        <w:rPr>
          <w:color w:val="000000" w:themeColor="text1"/>
        </w:rPr>
        <w:t>: NS – věková struktura soudců v letech 2008–20</w:t>
      </w:r>
      <w:bookmarkEnd w:id="2381"/>
      <w:bookmarkEnd w:id="2382"/>
      <w:bookmarkEnd w:id="2383"/>
      <w:r w:rsidRPr="00033A3F">
        <w:rPr>
          <w:color w:val="000000" w:themeColor="text1"/>
        </w:rPr>
        <w:t>2</w:t>
      </w:r>
      <w:bookmarkEnd w:id="2384"/>
      <w:bookmarkEnd w:id="2385"/>
      <w:bookmarkEnd w:id="2386"/>
      <w:bookmarkEnd w:id="2387"/>
      <w:bookmarkEnd w:id="2388"/>
      <w:bookmarkEnd w:id="2389"/>
      <w:r w:rsidRPr="00033A3F">
        <w:rPr>
          <w:color w:val="000000" w:themeColor="text1"/>
        </w:rPr>
        <w:t>4</w:t>
      </w:r>
      <w:bookmarkEnd w:id="2390"/>
      <w:bookmarkEnd w:id="2391"/>
      <w:bookmarkEnd w:id="2392"/>
    </w:p>
    <w:p w14:paraId="23292D31" w14:textId="2DFB69CA" w:rsidR="004C1136" w:rsidRPr="00033A3F" w:rsidRDefault="004C1136" w:rsidP="004C1136">
      <w:pPr>
        <w:rPr>
          <w:color w:val="000000" w:themeColor="text1"/>
        </w:rPr>
      </w:pPr>
      <w:r w:rsidRPr="00033A3F">
        <w:rPr>
          <w:noProof/>
          <w:color w:val="000000" w:themeColor="text1"/>
          <w:lang w:eastAsia="cs-CZ"/>
        </w:rPr>
        <w:drawing>
          <wp:inline distT="0" distB="0" distL="0" distR="0" wp14:anchorId="00033029" wp14:editId="454CF15E">
            <wp:extent cx="5029200" cy="3657600"/>
            <wp:effectExtent l="0" t="0" r="0" b="0"/>
            <wp:docPr id="73244168"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EBF7773" w14:textId="71F78FDB" w:rsidR="004C1136" w:rsidRPr="00033A3F" w:rsidRDefault="00C717E0" w:rsidP="00860BFA">
      <w:pPr>
        <w:pStyle w:val="Nadpis3"/>
        <w:numPr>
          <w:ilvl w:val="2"/>
          <w:numId w:val="1"/>
        </w:numPr>
        <w:rPr>
          <w:color w:val="000000" w:themeColor="text1"/>
          <w:lang w:eastAsia="cs-CZ"/>
        </w:rPr>
      </w:pPr>
      <w:bookmarkStart w:id="2393" w:name="_Toc515871297"/>
      <w:bookmarkStart w:id="2394" w:name="_Toc106092812"/>
      <w:bookmarkStart w:id="2395" w:name="_Toc109801423"/>
      <w:bookmarkStart w:id="2396" w:name="_Toc169250889"/>
      <w:bookmarkStart w:id="2397" w:name="_Toc193531051"/>
      <w:bookmarkStart w:id="2398" w:name="_Toc193957109"/>
      <w:bookmarkStart w:id="2399" w:name="_Toc203032797"/>
      <w:r w:rsidRPr="00033A3F">
        <w:rPr>
          <w:color w:val="000000" w:themeColor="text1"/>
          <w:lang w:eastAsia="cs-CZ"/>
        </w:rPr>
        <w:t>Zaměstnanci ve výkonu</w:t>
      </w:r>
      <w:bookmarkEnd w:id="2393"/>
      <w:bookmarkEnd w:id="2394"/>
      <w:bookmarkEnd w:id="2395"/>
      <w:bookmarkEnd w:id="2396"/>
      <w:bookmarkEnd w:id="2397"/>
      <w:bookmarkEnd w:id="2398"/>
      <w:bookmarkEnd w:id="2399"/>
    </w:p>
    <w:p w14:paraId="4568058F" w14:textId="1EB208BE" w:rsidR="00C717E0" w:rsidRPr="00033A3F" w:rsidRDefault="00C717E0" w:rsidP="00C717E0">
      <w:pPr>
        <w:pStyle w:val="OdstavecASR"/>
        <w:rPr>
          <w:color w:val="000000" w:themeColor="text1"/>
        </w:rPr>
      </w:pPr>
      <w:r w:rsidRPr="00033A3F">
        <w:rPr>
          <w:color w:val="000000" w:themeColor="text1"/>
        </w:rPr>
        <w:t>Diametrálně odlišná povaha rozhodovací činnosti Nejvyššího soudu oproti soudům nižších stupňů (téměř vždy se rozhoduje bez jednání, řeší se téměř výhradně složité právní otázky) se nutně odráží i ve zcela odlišné struktuře zaměstnanců ve výkonu</w:t>
      </w:r>
      <w:r w:rsidR="0030016A" w:rsidRPr="00033A3F">
        <w:rPr>
          <w:color w:val="000000" w:themeColor="text1"/>
        </w:rPr>
        <w:t>, kdy je u NS výrazně vyšší počet asistentů v poměru k počtu ostatních zaměstnanců ve výkonu.</w:t>
      </w:r>
      <w:r w:rsidRPr="00033A3F">
        <w:rPr>
          <w:color w:val="000000" w:themeColor="text1"/>
        </w:rPr>
        <w:t xml:space="preserve"> Ve srovnání s předchozím rokem </w:t>
      </w:r>
      <w:r w:rsidR="009D57D6" w:rsidRPr="00033A3F">
        <w:rPr>
          <w:color w:val="000000" w:themeColor="text1"/>
        </w:rPr>
        <w:t xml:space="preserve">zde </w:t>
      </w:r>
      <w:r w:rsidRPr="00033A3F">
        <w:rPr>
          <w:color w:val="000000" w:themeColor="text1"/>
        </w:rPr>
        <w:t>došlo k nárůstu o 13</w:t>
      </w:r>
      <w:r w:rsidR="0030016A" w:rsidRPr="00033A3F">
        <w:rPr>
          <w:color w:val="000000" w:themeColor="text1"/>
        </w:rPr>
        <w:t xml:space="preserve"> asistentů</w:t>
      </w:r>
      <w:r w:rsidR="00EE1E80" w:rsidRPr="00033A3F">
        <w:rPr>
          <w:color w:val="000000" w:themeColor="text1"/>
        </w:rPr>
        <w:t>, u ostatních profesí jsou změny jen minimální.</w:t>
      </w:r>
    </w:p>
    <w:p w14:paraId="42AA2441" w14:textId="1074564A" w:rsidR="00C717E0" w:rsidRPr="00033A3F" w:rsidRDefault="00C717E0" w:rsidP="00C717E0">
      <w:pPr>
        <w:pStyle w:val="Podnadpis"/>
        <w:numPr>
          <w:ilvl w:val="0"/>
          <w:numId w:val="0"/>
        </w:numPr>
        <w:rPr>
          <w:color w:val="000000" w:themeColor="text1"/>
        </w:rPr>
      </w:pPr>
      <w:bookmarkStart w:id="2400" w:name="_Toc515871505"/>
      <w:bookmarkStart w:id="2401" w:name="_Toc11133271"/>
      <w:bookmarkStart w:id="2402" w:name="_Toc43931253"/>
      <w:bookmarkStart w:id="2403" w:name="_Toc75952387"/>
      <w:bookmarkStart w:id="2404" w:name="_Toc106106840"/>
      <w:bookmarkStart w:id="2405" w:name="_Toc109802163"/>
      <w:bookmarkStart w:id="2406" w:name="_Toc144104322"/>
      <w:bookmarkStart w:id="2407" w:name="_Toc169251136"/>
      <w:bookmarkStart w:id="2408" w:name="_Toc174080822"/>
      <w:bookmarkStart w:id="2409" w:name="_Toc193530948"/>
      <w:bookmarkStart w:id="2410" w:name="_Toc194045645"/>
      <w:bookmarkStart w:id="2411" w:name="_Toc199495055"/>
      <w:bookmarkStart w:id="2412" w:name="_Toc203033116"/>
      <w:bookmarkStart w:id="2413" w:name="_Toc203033194"/>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74</w:t>
      </w:r>
      <w:r w:rsidRPr="00033A3F">
        <w:rPr>
          <w:color w:val="000000" w:themeColor="text1"/>
        </w:rPr>
        <w:fldChar w:fldCharType="end"/>
      </w:r>
      <w:r w:rsidRPr="00033A3F">
        <w:rPr>
          <w:color w:val="000000" w:themeColor="text1"/>
        </w:rPr>
        <w:t>: NS – počet zaměstnanců ve výkonu</w:t>
      </w:r>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tbl>
      <w:tblPr>
        <w:tblW w:w="5120" w:type="dxa"/>
        <w:tblCellMar>
          <w:left w:w="70" w:type="dxa"/>
          <w:right w:w="70" w:type="dxa"/>
        </w:tblCellMar>
        <w:tblLook w:val="04A0" w:firstRow="1" w:lastRow="0" w:firstColumn="1" w:lastColumn="0" w:noHBand="0" w:noVBand="1"/>
      </w:tblPr>
      <w:tblGrid>
        <w:gridCol w:w="3680"/>
        <w:gridCol w:w="1440"/>
      </w:tblGrid>
      <w:tr w:rsidR="00033A3F" w:rsidRPr="00033A3F" w14:paraId="088D6343" w14:textId="77777777" w:rsidTr="001B1FD3">
        <w:trPr>
          <w:trHeight w:val="345"/>
        </w:trPr>
        <w:tc>
          <w:tcPr>
            <w:tcW w:w="3680" w:type="dxa"/>
            <w:tcBorders>
              <w:top w:val="double" w:sz="6" w:space="0" w:color="auto"/>
              <w:left w:val="nil"/>
              <w:bottom w:val="double" w:sz="6" w:space="0" w:color="auto"/>
              <w:right w:val="nil"/>
            </w:tcBorders>
            <w:shd w:val="clear" w:color="auto" w:fill="auto"/>
            <w:noWrap/>
            <w:vAlign w:val="center"/>
            <w:hideMark/>
          </w:tcPr>
          <w:p w14:paraId="6E2B7FAA" w14:textId="77777777" w:rsidR="00C717E0" w:rsidRPr="00033A3F" w:rsidRDefault="00C717E0" w:rsidP="004C0D3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Funkce</w:t>
            </w:r>
          </w:p>
        </w:tc>
        <w:tc>
          <w:tcPr>
            <w:tcW w:w="1440" w:type="dxa"/>
            <w:tcBorders>
              <w:top w:val="double" w:sz="6" w:space="0" w:color="auto"/>
              <w:left w:val="nil"/>
              <w:bottom w:val="double" w:sz="6" w:space="0" w:color="auto"/>
              <w:right w:val="nil"/>
            </w:tcBorders>
            <w:shd w:val="clear" w:color="auto" w:fill="auto"/>
            <w:noWrap/>
            <w:vAlign w:val="center"/>
            <w:hideMark/>
          </w:tcPr>
          <w:p w14:paraId="15CD85A9" w14:textId="77777777" w:rsidR="00C717E0" w:rsidRPr="00033A3F" w:rsidRDefault="00C717E0" w:rsidP="000567C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43B2C9C7" w14:textId="77777777" w:rsidTr="00C717E0">
        <w:trPr>
          <w:trHeight w:val="330"/>
        </w:trPr>
        <w:tc>
          <w:tcPr>
            <w:tcW w:w="3680" w:type="dxa"/>
            <w:tcBorders>
              <w:top w:val="nil"/>
              <w:left w:val="nil"/>
              <w:bottom w:val="single" w:sz="4" w:space="0" w:color="auto"/>
              <w:right w:val="nil"/>
            </w:tcBorders>
            <w:shd w:val="clear" w:color="auto" w:fill="auto"/>
            <w:noWrap/>
            <w:vAlign w:val="bottom"/>
            <w:hideMark/>
          </w:tcPr>
          <w:p w14:paraId="3325C407" w14:textId="77777777" w:rsidR="00C717E0" w:rsidRPr="00033A3F" w:rsidRDefault="00C717E0" w:rsidP="00C717E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4ADE0D58" w14:textId="77777777" w:rsidR="00C717E0" w:rsidRPr="00033A3F" w:rsidRDefault="00C717E0" w:rsidP="00C717E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163</w:t>
            </w:r>
          </w:p>
        </w:tc>
      </w:tr>
      <w:tr w:rsidR="00033A3F" w:rsidRPr="00033A3F" w14:paraId="4832E480" w14:textId="77777777" w:rsidTr="00C717E0">
        <w:trPr>
          <w:trHeight w:val="315"/>
        </w:trPr>
        <w:tc>
          <w:tcPr>
            <w:tcW w:w="3680" w:type="dxa"/>
            <w:tcBorders>
              <w:top w:val="nil"/>
              <w:left w:val="nil"/>
              <w:bottom w:val="single" w:sz="4" w:space="0" w:color="auto"/>
              <w:right w:val="nil"/>
            </w:tcBorders>
            <w:shd w:val="clear" w:color="auto" w:fill="auto"/>
            <w:noWrap/>
            <w:vAlign w:val="bottom"/>
            <w:hideMark/>
          </w:tcPr>
          <w:p w14:paraId="3CF3A4D8" w14:textId="77777777" w:rsidR="00C717E0" w:rsidRPr="00033A3F" w:rsidRDefault="00C717E0" w:rsidP="00C717E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6A07CC3B" w14:textId="77777777" w:rsidR="00C717E0" w:rsidRPr="00033A3F" w:rsidRDefault="00C717E0" w:rsidP="00C717E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r>
      <w:tr w:rsidR="00033A3F" w:rsidRPr="00033A3F" w14:paraId="66A50CD3" w14:textId="77777777" w:rsidTr="00C717E0">
        <w:trPr>
          <w:trHeight w:val="315"/>
        </w:trPr>
        <w:tc>
          <w:tcPr>
            <w:tcW w:w="3680" w:type="dxa"/>
            <w:tcBorders>
              <w:top w:val="nil"/>
              <w:left w:val="nil"/>
              <w:bottom w:val="single" w:sz="4" w:space="0" w:color="auto"/>
              <w:right w:val="nil"/>
            </w:tcBorders>
            <w:shd w:val="clear" w:color="auto" w:fill="auto"/>
            <w:noWrap/>
            <w:vAlign w:val="bottom"/>
            <w:hideMark/>
          </w:tcPr>
          <w:p w14:paraId="6374E002" w14:textId="77777777" w:rsidR="00C717E0" w:rsidRPr="00033A3F" w:rsidRDefault="00C717E0" w:rsidP="00C717E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15C2A0F1" w14:textId="77777777" w:rsidR="00C717E0" w:rsidRPr="00033A3F" w:rsidRDefault="00C717E0" w:rsidP="00C717E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r>
      <w:tr w:rsidR="00033A3F" w:rsidRPr="00033A3F" w14:paraId="7810A3F6" w14:textId="77777777" w:rsidTr="00C717E0">
        <w:trPr>
          <w:trHeight w:val="330"/>
        </w:trPr>
        <w:tc>
          <w:tcPr>
            <w:tcW w:w="3680" w:type="dxa"/>
            <w:tcBorders>
              <w:top w:val="nil"/>
              <w:left w:val="nil"/>
              <w:bottom w:val="double" w:sz="6" w:space="0" w:color="auto"/>
              <w:right w:val="nil"/>
            </w:tcBorders>
            <w:shd w:val="clear" w:color="auto" w:fill="auto"/>
            <w:noWrap/>
            <w:vAlign w:val="bottom"/>
            <w:hideMark/>
          </w:tcPr>
          <w:p w14:paraId="64E9DB3C" w14:textId="77777777" w:rsidR="00C717E0" w:rsidRPr="00033A3F" w:rsidRDefault="00C717E0" w:rsidP="00C717E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7A8C6BCD" w14:textId="77777777" w:rsidR="00C717E0" w:rsidRPr="00033A3F" w:rsidRDefault="00C717E0" w:rsidP="00C717E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r>
      <w:tr w:rsidR="00033A3F" w:rsidRPr="00033A3F" w14:paraId="4FC304FE" w14:textId="77777777" w:rsidTr="00C717E0">
        <w:trPr>
          <w:trHeight w:val="345"/>
        </w:trPr>
        <w:tc>
          <w:tcPr>
            <w:tcW w:w="3680" w:type="dxa"/>
            <w:tcBorders>
              <w:top w:val="nil"/>
              <w:left w:val="nil"/>
              <w:bottom w:val="double" w:sz="6" w:space="0" w:color="auto"/>
              <w:right w:val="nil"/>
            </w:tcBorders>
            <w:shd w:val="clear" w:color="auto" w:fill="auto"/>
            <w:noWrap/>
            <w:vAlign w:val="bottom"/>
            <w:hideMark/>
          </w:tcPr>
          <w:p w14:paraId="316F0463" w14:textId="77777777" w:rsidR="00C717E0" w:rsidRPr="00033A3F" w:rsidRDefault="00C717E0" w:rsidP="00C717E0">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c>
          <w:tcPr>
            <w:tcW w:w="1440" w:type="dxa"/>
            <w:tcBorders>
              <w:top w:val="nil"/>
              <w:left w:val="nil"/>
              <w:bottom w:val="double" w:sz="6" w:space="0" w:color="auto"/>
              <w:right w:val="nil"/>
            </w:tcBorders>
            <w:shd w:val="clear" w:color="auto" w:fill="auto"/>
            <w:noWrap/>
            <w:vAlign w:val="bottom"/>
            <w:hideMark/>
          </w:tcPr>
          <w:p w14:paraId="0B0812B9" w14:textId="77777777" w:rsidR="00C717E0" w:rsidRPr="00033A3F" w:rsidRDefault="00C717E0" w:rsidP="00C717E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191</w:t>
            </w:r>
          </w:p>
        </w:tc>
      </w:tr>
      <w:tr w:rsidR="00C717E0" w:rsidRPr="00033A3F" w14:paraId="31E19BBF" w14:textId="77777777" w:rsidTr="00C717E0">
        <w:trPr>
          <w:trHeight w:val="330"/>
        </w:trPr>
        <w:tc>
          <w:tcPr>
            <w:tcW w:w="3680" w:type="dxa"/>
            <w:tcBorders>
              <w:top w:val="nil"/>
              <w:left w:val="nil"/>
              <w:bottom w:val="nil"/>
              <w:right w:val="nil"/>
            </w:tcBorders>
            <w:shd w:val="clear" w:color="auto" w:fill="auto"/>
            <w:noWrap/>
            <w:vAlign w:val="bottom"/>
            <w:hideMark/>
          </w:tcPr>
          <w:p w14:paraId="07A3708C" w14:textId="77777777" w:rsidR="00C717E0" w:rsidRPr="00033A3F" w:rsidRDefault="00C717E0" w:rsidP="00C717E0">
            <w:pPr>
              <w:spacing w:line="240" w:lineRule="auto"/>
              <w:jc w:val="center"/>
              <w:rPr>
                <w:rFonts w:eastAsia="Times New Roman"/>
                <w:b/>
                <w:bCs/>
                <w:color w:val="000000" w:themeColor="text1"/>
                <w:szCs w:val="24"/>
                <w:lang w:eastAsia="cs-CZ"/>
              </w:rPr>
            </w:pPr>
          </w:p>
        </w:tc>
        <w:tc>
          <w:tcPr>
            <w:tcW w:w="1440" w:type="dxa"/>
            <w:tcBorders>
              <w:top w:val="nil"/>
              <w:left w:val="nil"/>
              <w:bottom w:val="nil"/>
              <w:right w:val="nil"/>
            </w:tcBorders>
            <w:shd w:val="clear" w:color="auto" w:fill="auto"/>
            <w:noWrap/>
            <w:vAlign w:val="bottom"/>
            <w:hideMark/>
          </w:tcPr>
          <w:p w14:paraId="24217065" w14:textId="77777777" w:rsidR="00C717E0" w:rsidRPr="00033A3F" w:rsidRDefault="00C717E0" w:rsidP="00C717E0">
            <w:pPr>
              <w:spacing w:line="240" w:lineRule="auto"/>
              <w:jc w:val="left"/>
              <w:rPr>
                <w:rFonts w:ascii="Times New Roman" w:eastAsia="Times New Roman" w:hAnsi="Times New Roman"/>
                <w:color w:val="000000" w:themeColor="text1"/>
                <w:sz w:val="20"/>
                <w:szCs w:val="20"/>
                <w:lang w:eastAsia="cs-CZ"/>
              </w:rPr>
            </w:pPr>
          </w:p>
        </w:tc>
      </w:tr>
    </w:tbl>
    <w:p w14:paraId="23B55C82" w14:textId="071D1CD3" w:rsidR="00860BFA" w:rsidRPr="00033A3F" w:rsidRDefault="00860BFA" w:rsidP="00860BFA">
      <w:pPr>
        <w:pStyle w:val="OdstavecASR"/>
        <w:rPr>
          <w:color w:val="000000" w:themeColor="text1"/>
        </w:rPr>
      </w:pPr>
    </w:p>
    <w:p w14:paraId="245406A7" w14:textId="77777777" w:rsidR="009C2F8C" w:rsidRPr="00033A3F" w:rsidRDefault="009C2F8C">
      <w:pPr>
        <w:spacing w:after="160" w:line="259" w:lineRule="auto"/>
        <w:jc w:val="left"/>
        <w:rPr>
          <w:rFonts w:eastAsia="Times New Roman"/>
          <w:b/>
          <w:bCs/>
          <w:color w:val="000000" w:themeColor="text1"/>
          <w:lang w:eastAsia="cs-CZ"/>
        </w:rPr>
      </w:pPr>
      <w:r w:rsidRPr="00033A3F">
        <w:rPr>
          <w:color w:val="000000" w:themeColor="text1"/>
          <w:lang w:eastAsia="cs-CZ"/>
        </w:rPr>
        <w:br w:type="page"/>
      </w:r>
    </w:p>
    <w:p w14:paraId="3F847EC7" w14:textId="20CD94AE" w:rsidR="008430BD" w:rsidRPr="00033A3F" w:rsidRDefault="008430BD" w:rsidP="008430BD">
      <w:pPr>
        <w:pStyle w:val="Nadpis2"/>
        <w:numPr>
          <w:ilvl w:val="1"/>
          <w:numId w:val="1"/>
        </w:numPr>
        <w:spacing w:before="120"/>
        <w:rPr>
          <w:lang w:eastAsia="cs-CZ"/>
        </w:rPr>
      </w:pPr>
      <w:bookmarkStart w:id="2414" w:name="_Toc515871298"/>
      <w:bookmarkStart w:id="2415" w:name="_Toc106092813"/>
      <w:bookmarkStart w:id="2416" w:name="_Toc169250890"/>
      <w:bookmarkStart w:id="2417" w:name="_Toc193531052"/>
      <w:bookmarkStart w:id="2418" w:name="_Toc193957110"/>
      <w:bookmarkStart w:id="2419" w:name="_Toc203032798"/>
      <w:r w:rsidRPr="00033A3F">
        <w:rPr>
          <w:lang w:eastAsia="cs-CZ"/>
        </w:rPr>
        <w:lastRenderedPageBreak/>
        <w:t>Civilní dovolací agenda</w:t>
      </w:r>
      <w:bookmarkEnd w:id="2414"/>
      <w:bookmarkEnd w:id="2415"/>
      <w:bookmarkEnd w:id="2416"/>
      <w:bookmarkEnd w:id="2417"/>
      <w:bookmarkEnd w:id="2418"/>
      <w:bookmarkEnd w:id="2419"/>
    </w:p>
    <w:p w14:paraId="6DDFBB2D" w14:textId="072E7424" w:rsidR="00C717E0" w:rsidRPr="00033A3F" w:rsidRDefault="00C717E0" w:rsidP="00C717E0">
      <w:pPr>
        <w:pStyle w:val="OdstavecASR"/>
        <w:rPr>
          <w:color w:val="000000" w:themeColor="text1"/>
        </w:rPr>
      </w:pPr>
      <w:r w:rsidRPr="00033A3F">
        <w:rPr>
          <w:color w:val="000000" w:themeColor="text1"/>
        </w:rPr>
        <w:t>Již výše jsme uvedli, že se jedná o rejstřík Cdo, dříve též rejstřík Odo.</w:t>
      </w:r>
    </w:p>
    <w:p w14:paraId="4066CDE9" w14:textId="6CE4127C" w:rsidR="001F6075" w:rsidRPr="00033A3F" w:rsidRDefault="008430BD" w:rsidP="00FB2C4D">
      <w:pPr>
        <w:pStyle w:val="Nadpis3"/>
        <w:numPr>
          <w:ilvl w:val="2"/>
          <w:numId w:val="1"/>
        </w:numPr>
        <w:rPr>
          <w:color w:val="000000" w:themeColor="text1"/>
          <w:lang w:eastAsia="cs-CZ"/>
        </w:rPr>
      </w:pPr>
      <w:bookmarkStart w:id="2420" w:name="_Toc515871299"/>
      <w:bookmarkStart w:id="2421" w:name="_Toc41546389"/>
      <w:bookmarkStart w:id="2422" w:name="_Toc106092814"/>
      <w:bookmarkStart w:id="2423" w:name="_Toc169250891"/>
      <w:bookmarkStart w:id="2424" w:name="_Toc193531053"/>
      <w:bookmarkStart w:id="2425" w:name="_Toc193957111"/>
      <w:bookmarkStart w:id="2426" w:name="_Toc203032799"/>
      <w:bookmarkStart w:id="2427" w:name="_Toc515871425"/>
      <w:bookmarkStart w:id="2428" w:name="_Toc11135156"/>
      <w:r w:rsidRPr="00033A3F">
        <w:rPr>
          <w:color w:val="000000" w:themeColor="text1"/>
          <w:lang w:eastAsia="cs-CZ"/>
        </w:rPr>
        <w:t>Vyřizování věcí</w:t>
      </w:r>
      <w:bookmarkEnd w:id="2420"/>
      <w:bookmarkEnd w:id="2421"/>
      <w:bookmarkEnd w:id="2422"/>
      <w:bookmarkEnd w:id="2423"/>
      <w:bookmarkEnd w:id="2424"/>
      <w:bookmarkEnd w:id="2425"/>
      <w:bookmarkEnd w:id="2426"/>
    </w:p>
    <w:p w14:paraId="6D7460DE" w14:textId="38FDF215" w:rsidR="00C717E0" w:rsidRPr="00033A3F" w:rsidRDefault="007767F1" w:rsidP="00C717E0">
      <w:pPr>
        <w:pStyle w:val="OdstavecASR"/>
        <w:rPr>
          <w:color w:val="000000" w:themeColor="text1"/>
        </w:rPr>
      </w:pPr>
      <w:r w:rsidRPr="00033A3F">
        <w:rPr>
          <w:color w:val="000000" w:themeColor="text1"/>
        </w:rPr>
        <w:t xml:space="preserve">V letech </w:t>
      </w:r>
      <w:r w:rsidR="00C717E0" w:rsidRPr="00033A3F">
        <w:rPr>
          <w:color w:val="000000" w:themeColor="text1"/>
        </w:rPr>
        <w:t>2013</w:t>
      </w:r>
      <w:r w:rsidRPr="00033A3F">
        <w:rPr>
          <w:color w:val="000000" w:themeColor="text1"/>
        </w:rPr>
        <w:t>-2017</w:t>
      </w:r>
      <w:r w:rsidR="00C717E0" w:rsidRPr="00033A3F">
        <w:rPr>
          <w:color w:val="000000" w:themeColor="text1"/>
        </w:rPr>
        <w:t xml:space="preserve"> došlo k několikaletému </w:t>
      </w:r>
      <w:r w:rsidRPr="00033A3F">
        <w:rPr>
          <w:color w:val="000000" w:themeColor="text1"/>
        </w:rPr>
        <w:t>ná</w:t>
      </w:r>
      <w:r w:rsidR="00C717E0" w:rsidRPr="00033A3F">
        <w:rPr>
          <w:color w:val="000000" w:themeColor="text1"/>
        </w:rPr>
        <w:t>růstu nápadu. Lze jej přisoudit tomu, že dne 1. 1. 2013 nabyla účinnosti novela (zákon č. 404/2012 Sb.), kterou byla rozšířena objektivní přípustnost dovolání v civilních věcech. Soudu se ale podařilo úspěšně reagovat a výrazně zvýšil počet vyřízených věcí, čímž se mu podařilo zabránit výraznému růstu v počtu nevyřízených věcí. V roce 2017 se rostoucí trend v nápadu téměř zastavil a v letech 2018-2021 došlo k markantnímu poklesu v počtu příchozích věcí. Za tímto enormním poklesem zřejmě stojí velká novela civilního procesního práva (zákon č. 296/2017 Sb.), která nabyla účinnosti dne 30. 9. 2017. Kromě jiných legislativních úprav si tato novela dala za cíl odbřemenit dovolací soud, což se zjevně podařilo.</w:t>
      </w:r>
    </w:p>
    <w:p w14:paraId="24B50FCC" w14:textId="013CECFE" w:rsidR="00C717E0" w:rsidRPr="00033A3F" w:rsidRDefault="00C717E0" w:rsidP="00C717E0">
      <w:pPr>
        <w:pStyle w:val="OdstavecASR"/>
        <w:rPr>
          <w:color w:val="000000" w:themeColor="text1"/>
        </w:rPr>
      </w:pPr>
      <w:r w:rsidRPr="00033A3F">
        <w:rPr>
          <w:color w:val="000000" w:themeColor="text1"/>
        </w:rPr>
        <w:t>Výrazný pokles nápadu se projevil v poklesu v počtu vyřízených věcí (mezi příchozími a vyřízenými věcmi je logicky velmi silná závislost). Počet vyřízených věcí ale v letech 2018 až 2021 převyšoval počet věcí příchozích a došlo tedy k poklesu počtu nevyřízených věcí. Od roku 2017 do roku 2021 tak klesl počet nevyřízených věcí z 2 884 na 1 569, tedy o 46 %. V letech 2022 a 2023 se pokles příchozích (a tedy i vyřízených věcí) zastavil, ale v roce 2024 dále pokračoval. Počet nevyřízených věcí nadále klesá.</w:t>
      </w:r>
    </w:p>
    <w:p w14:paraId="512BD55B" w14:textId="2AB3BF06" w:rsidR="00C717E0" w:rsidRPr="00033A3F" w:rsidRDefault="00C717E0" w:rsidP="00C717E0">
      <w:pPr>
        <w:pStyle w:val="Podnadpis"/>
        <w:numPr>
          <w:ilvl w:val="0"/>
          <w:numId w:val="0"/>
        </w:numPr>
        <w:rPr>
          <w:color w:val="000000" w:themeColor="text1"/>
        </w:rPr>
      </w:pPr>
      <w:bookmarkStart w:id="2429" w:name="_Toc43841482"/>
      <w:bookmarkStart w:id="2430" w:name="_Toc75952285"/>
      <w:bookmarkStart w:id="2431" w:name="_Toc106106741"/>
      <w:bookmarkStart w:id="2432" w:name="_Toc109802065"/>
      <w:bookmarkStart w:id="2433" w:name="_Toc144104216"/>
      <w:bookmarkStart w:id="2434" w:name="_Toc169251028"/>
      <w:bookmarkStart w:id="2435" w:name="_Toc174080714"/>
      <w:bookmarkStart w:id="2436" w:name="_Toc193530868"/>
      <w:bookmarkStart w:id="2437" w:name="_Toc193634142"/>
      <w:bookmarkStart w:id="2438" w:name="_Toc20303294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114</w:t>
      </w:r>
      <w:r w:rsidRPr="00033A3F">
        <w:rPr>
          <w:noProof/>
          <w:color w:val="000000" w:themeColor="text1"/>
        </w:rPr>
        <w:fldChar w:fldCharType="end"/>
      </w:r>
      <w:r w:rsidRPr="00033A3F">
        <w:rPr>
          <w:color w:val="000000" w:themeColor="text1"/>
        </w:rPr>
        <w:t>: NS – vyřizování civilní dovolací agendy v letech 2015–20</w:t>
      </w:r>
      <w:bookmarkEnd w:id="2429"/>
      <w:r w:rsidRPr="00033A3F">
        <w:rPr>
          <w:color w:val="000000" w:themeColor="text1"/>
        </w:rPr>
        <w:t>2</w:t>
      </w:r>
      <w:bookmarkEnd w:id="2430"/>
      <w:bookmarkEnd w:id="2431"/>
      <w:bookmarkEnd w:id="2432"/>
      <w:bookmarkEnd w:id="2433"/>
      <w:bookmarkEnd w:id="2434"/>
      <w:bookmarkEnd w:id="2435"/>
      <w:r w:rsidRPr="00033A3F">
        <w:rPr>
          <w:color w:val="000000" w:themeColor="text1"/>
        </w:rPr>
        <w:t>4</w:t>
      </w:r>
      <w:bookmarkEnd w:id="2436"/>
      <w:bookmarkEnd w:id="2437"/>
      <w:bookmarkEnd w:id="2438"/>
    </w:p>
    <w:p w14:paraId="1B36C733" w14:textId="2A971FDF" w:rsidR="00C717E0" w:rsidRPr="00033A3F" w:rsidRDefault="00C717E0" w:rsidP="00C717E0">
      <w:pPr>
        <w:rPr>
          <w:color w:val="000000" w:themeColor="text1"/>
          <w:lang w:eastAsia="cs-CZ"/>
        </w:rPr>
      </w:pPr>
      <w:r w:rsidRPr="00033A3F">
        <w:rPr>
          <w:noProof/>
          <w:color w:val="000000" w:themeColor="text1"/>
          <w:lang w:eastAsia="cs-CZ"/>
        </w:rPr>
        <w:drawing>
          <wp:inline distT="0" distB="0" distL="0" distR="0" wp14:anchorId="35DC6DBE" wp14:editId="04CEFD8A">
            <wp:extent cx="5029200" cy="3657600"/>
            <wp:effectExtent l="0" t="0" r="0" b="0"/>
            <wp:docPr id="1879702055"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7CD8E8" w14:textId="1A26D300" w:rsidR="008430BD" w:rsidRPr="00033A3F" w:rsidRDefault="008430BD" w:rsidP="008430BD">
      <w:pPr>
        <w:pStyle w:val="Nadpis2"/>
        <w:pageBreakBefore/>
        <w:numPr>
          <w:ilvl w:val="1"/>
          <w:numId w:val="1"/>
        </w:numPr>
        <w:spacing w:before="120"/>
      </w:pPr>
      <w:bookmarkStart w:id="2439" w:name="_Toc515871300"/>
      <w:bookmarkStart w:id="2440" w:name="_Toc106092815"/>
      <w:bookmarkStart w:id="2441" w:name="_Toc169250892"/>
      <w:bookmarkStart w:id="2442" w:name="_Toc193531054"/>
      <w:bookmarkStart w:id="2443" w:name="_Toc193957112"/>
      <w:bookmarkStart w:id="2444" w:name="_Toc203032800"/>
      <w:bookmarkEnd w:id="2427"/>
      <w:bookmarkEnd w:id="2428"/>
      <w:r w:rsidRPr="00033A3F">
        <w:lastRenderedPageBreak/>
        <w:t>Trestní dovolací agenda</w:t>
      </w:r>
      <w:bookmarkEnd w:id="2439"/>
      <w:bookmarkEnd w:id="2440"/>
      <w:bookmarkEnd w:id="2441"/>
      <w:bookmarkEnd w:id="2442"/>
      <w:bookmarkEnd w:id="2443"/>
      <w:bookmarkEnd w:id="2444"/>
    </w:p>
    <w:p w14:paraId="78C78A75" w14:textId="77777777" w:rsidR="00C717E0" w:rsidRPr="00033A3F" w:rsidRDefault="00C717E0" w:rsidP="00C717E0">
      <w:pPr>
        <w:rPr>
          <w:color w:val="000000" w:themeColor="text1"/>
        </w:rPr>
      </w:pPr>
      <w:r w:rsidRPr="00033A3F">
        <w:rPr>
          <w:color w:val="000000" w:themeColor="text1"/>
        </w:rPr>
        <w:t>Jak již bylo řečeno, jedná se o rejstřík Tdo.</w:t>
      </w:r>
    </w:p>
    <w:p w14:paraId="07855AD8" w14:textId="653392A8" w:rsidR="004C0597" w:rsidRPr="00033A3F" w:rsidRDefault="004C0597" w:rsidP="004C0597">
      <w:pPr>
        <w:pStyle w:val="Nadpis3"/>
        <w:numPr>
          <w:ilvl w:val="2"/>
          <w:numId w:val="1"/>
        </w:numPr>
        <w:rPr>
          <w:color w:val="000000" w:themeColor="text1"/>
          <w:lang w:eastAsia="cs-CZ"/>
        </w:rPr>
      </w:pPr>
      <w:bookmarkStart w:id="2445" w:name="_Toc515871301"/>
      <w:bookmarkStart w:id="2446" w:name="_Toc106092816"/>
      <w:bookmarkStart w:id="2447" w:name="_Toc169250893"/>
      <w:bookmarkStart w:id="2448" w:name="_Toc193531055"/>
      <w:bookmarkStart w:id="2449" w:name="_Toc193957113"/>
      <w:bookmarkStart w:id="2450" w:name="_Toc203032801"/>
      <w:r w:rsidRPr="00033A3F">
        <w:rPr>
          <w:color w:val="000000" w:themeColor="text1"/>
          <w:lang w:eastAsia="cs-CZ"/>
        </w:rPr>
        <w:t>Vyřizování věcí</w:t>
      </w:r>
      <w:bookmarkEnd w:id="2445"/>
      <w:bookmarkEnd w:id="2446"/>
      <w:bookmarkEnd w:id="2447"/>
      <w:bookmarkEnd w:id="2448"/>
      <w:bookmarkEnd w:id="2449"/>
      <w:bookmarkEnd w:id="2450"/>
    </w:p>
    <w:p w14:paraId="1DD80C67" w14:textId="346834A2" w:rsidR="00C717E0" w:rsidRPr="00033A3F" w:rsidRDefault="00C717E0" w:rsidP="00C717E0">
      <w:pPr>
        <w:pStyle w:val="Podnadpis"/>
        <w:numPr>
          <w:ilvl w:val="0"/>
          <w:numId w:val="0"/>
        </w:numPr>
        <w:rPr>
          <w:color w:val="000000" w:themeColor="text1"/>
        </w:rPr>
      </w:pPr>
      <w:bookmarkStart w:id="2451" w:name="_Toc515871426"/>
      <w:bookmarkStart w:id="2452" w:name="_Toc11135157"/>
      <w:bookmarkStart w:id="2453" w:name="_Toc43841483"/>
      <w:bookmarkStart w:id="2454" w:name="_Toc75952286"/>
      <w:bookmarkStart w:id="2455" w:name="_Toc106106742"/>
      <w:bookmarkStart w:id="2456" w:name="_Toc109802066"/>
      <w:bookmarkStart w:id="2457" w:name="_Toc144104217"/>
      <w:bookmarkStart w:id="2458" w:name="_Toc169251029"/>
      <w:bookmarkStart w:id="2459" w:name="_Toc174080715"/>
      <w:bookmarkStart w:id="2460" w:name="_Toc193530869"/>
      <w:bookmarkStart w:id="2461" w:name="_Toc193634143"/>
      <w:bookmarkStart w:id="2462" w:name="_Toc203032942"/>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115</w:t>
      </w:r>
      <w:r w:rsidRPr="00033A3F">
        <w:rPr>
          <w:noProof/>
          <w:color w:val="000000" w:themeColor="text1"/>
        </w:rPr>
        <w:fldChar w:fldCharType="end"/>
      </w:r>
      <w:r w:rsidRPr="00033A3F">
        <w:rPr>
          <w:color w:val="000000" w:themeColor="text1"/>
        </w:rPr>
        <w:t>: NS – vyřizování trestní dovolací agendy v letech 2015–20</w:t>
      </w:r>
      <w:bookmarkEnd w:id="2451"/>
      <w:bookmarkEnd w:id="2452"/>
      <w:bookmarkEnd w:id="2453"/>
      <w:r w:rsidRPr="00033A3F">
        <w:rPr>
          <w:color w:val="000000" w:themeColor="text1"/>
        </w:rPr>
        <w:t>2</w:t>
      </w:r>
      <w:bookmarkEnd w:id="2454"/>
      <w:bookmarkEnd w:id="2455"/>
      <w:bookmarkEnd w:id="2456"/>
      <w:bookmarkEnd w:id="2457"/>
      <w:bookmarkEnd w:id="2458"/>
      <w:bookmarkEnd w:id="2459"/>
      <w:r w:rsidRPr="00033A3F">
        <w:rPr>
          <w:color w:val="000000" w:themeColor="text1"/>
        </w:rPr>
        <w:t>4</w:t>
      </w:r>
      <w:bookmarkEnd w:id="2460"/>
      <w:bookmarkEnd w:id="2461"/>
      <w:bookmarkEnd w:id="2462"/>
    </w:p>
    <w:p w14:paraId="6481C4B5" w14:textId="02AE65EA" w:rsidR="00C717E0" w:rsidRPr="00033A3F" w:rsidRDefault="00C717E0" w:rsidP="00C717E0">
      <w:pPr>
        <w:rPr>
          <w:color w:val="000000" w:themeColor="text1"/>
        </w:rPr>
      </w:pPr>
      <w:r w:rsidRPr="00033A3F">
        <w:rPr>
          <w:noProof/>
          <w:color w:val="000000" w:themeColor="text1"/>
          <w:lang w:eastAsia="cs-CZ"/>
        </w:rPr>
        <w:drawing>
          <wp:inline distT="0" distB="0" distL="0" distR="0" wp14:anchorId="0C2895DA" wp14:editId="639812E0">
            <wp:extent cx="5029200" cy="3657600"/>
            <wp:effectExtent l="0" t="0" r="0" b="0"/>
            <wp:docPr id="749746819"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27BFE57" w14:textId="77777777" w:rsidR="00C717E0" w:rsidRPr="00033A3F" w:rsidRDefault="00C717E0" w:rsidP="00C717E0">
      <w:pPr>
        <w:rPr>
          <w:color w:val="000000" w:themeColor="text1"/>
          <w:lang w:eastAsia="cs-CZ"/>
        </w:rPr>
      </w:pPr>
    </w:p>
    <w:p w14:paraId="3D313B51" w14:textId="518A429F" w:rsidR="00C717E0" w:rsidRPr="00033A3F" w:rsidRDefault="00C717E0" w:rsidP="00C717E0">
      <w:pPr>
        <w:pStyle w:val="OdstavecASR"/>
        <w:rPr>
          <w:color w:val="000000" w:themeColor="text1"/>
        </w:rPr>
      </w:pPr>
      <w:r w:rsidRPr="00033A3F">
        <w:rPr>
          <w:color w:val="000000" w:themeColor="text1"/>
        </w:rPr>
        <w:t xml:space="preserve">Trestní kolegium čelí z dlouhodobého hlediska menším změnám v nápadu než kolegium občanskoprávní a obchodní. Přesto </w:t>
      </w:r>
      <w:r w:rsidR="007767F1" w:rsidRPr="00033A3F">
        <w:rPr>
          <w:color w:val="000000" w:themeColor="text1"/>
        </w:rPr>
        <w:t xml:space="preserve">je </w:t>
      </w:r>
      <w:r w:rsidRPr="00033A3F">
        <w:rPr>
          <w:color w:val="000000" w:themeColor="text1"/>
        </w:rPr>
        <w:t xml:space="preserve">vidět jasný klesající trend počtu příchozích věcí. To lze připsat především poklesu </w:t>
      </w:r>
      <w:r w:rsidR="007767F1" w:rsidRPr="00033A3F">
        <w:rPr>
          <w:color w:val="000000" w:themeColor="text1"/>
        </w:rPr>
        <w:t xml:space="preserve">objemu </w:t>
      </w:r>
      <w:r w:rsidRPr="00033A3F">
        <w:rPr>
          <w:color w:val="000000" w:themeColor="text1"/>
        </w:rPr>
        <w:t>druhostupňové trestní agendy u krajských soudů, která zase plyne z poklesu prvostupňové agendy u soudů okresních. Počet nevyřízených věcí je v poměru k nápadu a k vyřízeným věcem stabilní a stále velmi nízký.</w:t>
      </w:r>
    </w:p>
    <w:p w14:paraId="6B8D3152" w14:textId="77777777" w:rsidR="004C0597" w:rsidRPr="00033A3F" w:rsidRDefault="004C0597" w:rsidP="004C0597">
      <w:pPr>
        <w:rPr>
          <w:color w:val="000000" w:themeColor="text1"/>
        </w:rPr>
      </w:pPr>
    </w:p>
    <w:p w14:paraId="431D7EBE" w14:textId="77777777" w:rsidR="004C0597" w:rsidRPr="00033A3F" w:rsidRDefault="004C0597">
      <w:pPr>
        <w:spacing w:after="160" w:line="259" w:lineRule="auto"/>
        <w:jc w:val="left"/>
        <w:rPr>
          <w:rFonts w:eastAsiaTheme="majorEastAsia" w:cstheme="majorBidi"/>
          <w:b/>
          <w:color w:val="000000" w:themeColor="text1"/>
          <w:sz w:val="28"/>
          <w:szCs w:val="26"/>
        </w:rPr>
      </w:pPr>
      <w:bookmarkStart w:id="2463" w:name="_Toc487791304"/>
      <w:bookmarkStart w:id="2464" w:name="_Toc515871302"/>
      <w:bookmarkStart w:id="2465" w:name="_Toc106092817"/>
      <w:r w:rsidRPr="00033A3F">
        <w:rPr>
          <w:color w:val="000000" w:themeColor="text1"/>
        </w:rPr>
        <w:br w:type="page"/>
      </w:r>
    </w:p>
    <w:p w14:paraId="35A390A6" w14:textId="1E050F02" w:rsidR="000D5CA7" w:rsidRPr="00033A3F" w:rsidRDefault="008430BD" w:rsidP="008430BD">
      <w:pPr>
        <w:pStyle w:val="Nadpis2"/>
        <w:numPr>
          <w:ilvl w:val="1"/>
          <w:numId w:val="1"/>
        </w:numPr>
        <w:spacing w:before="120"/>
      </w:pPr>
      <w:bookmarkStart w:id="2466" w:name="_Toc169250894"/>
      <w:bookmarkStart w:id="2467" w:name="_Toc193531056"/>
      <w:bookmarkStart w:id="2468" w:name="_Toc193957114"/>
      <w:bookmarkStart w:id="2469" w:name="_Toc203032802"/>
      <w:r w:rsidRPr="00033A3F">
        <w:lastRenderedPageBreak/>
        <w:t>Stížnosti pro porušení zákona</w:t>
      </w:r>
      <w:bookmarkEnd w:id="2463"/>
      <w:bookmarkEnd w:id="2464"/>
      <w:bookmarkEnd w:id="2465"/>
      <w:bookmarkEnd w:id="2466"/>
      <w:bookmarkEnd w:id="2467"/>
      <w:bookmarkEnd w:id="2468"/>
      <w:bookmarkEnd w:id="2469"/>
    </w:p>
    <w:p w14:paraId="12C27C27" w14:textId="77777777" w:rsidR="00C717E0" w:rsidRPr="00033A3F" w:rsidRDefault="00C717E0" w:rsidP="00C717E0">
      <w:pPr>
        <w:pStyle w:val="OdstavecASR"/>
        <w:rPr>
          <w:color w:val="000000" w:themeColor="text1"/>
        </w:rPr>
      </w:pPr>
      <w:r w:rsidRPr="00033A3F">
        <w:rPr>
          <w:color w:val="000000" w:themeColor="text1"/>
        </w:rPr>
        <w:t>Popis této agendy lze najít v seznamu použitých pojmů (příloha). Jedná se o rejstřík označený jako Tz. Agendu vyřizuje trestní kolegium Nejvyššího soudu.</w:t>
      </w:r>
    </w:p>
    <w:p w14:paraId="73E5EB59" w14:textId="6C9FC96A" w:rsidR="008430BD" w:rsidRPr="00033A3F" w:rsidRDefault="000D5CA7" w:rsidP="000D5CA7">
      <w:pPr>
        <w:pStyle w:val="Nadpis3"/>
        <w:numPr>
          <w:ilvl w:val="2"/>
          <w:numId w:val="1"/>
        </w:numPr>
        <w:rPr>
          <w:color w:val="000000" w:themeColor="text1"/>
          <w:lang w:eastAsia="cs-CZ"/>
        </w:rPr>
      </w:pPr>
      <w:bookmarkStart w:id="2470" w:name="_Toc169250895"/>
      <w:bookmarkStart w:id="2471" w:name="_Toc193531057"/>
      <w:bookmarkStart w:id="2472" w:name="_Toc193957115"/>
      <w:bookmarkStart w:id="2473" w:name="_Toc203032803"/>
      <w:r w:rsidRPr="00033A3F">
        <w:rPr>
          <w:color w:val="000000" w:themeColor="text1"/>
          <w:lang w:eastAsia="cs-CZ"/>
        </w:rPr>
        <w:t>Vyřizování věcí</w:t>
      </w:r>
      <w:bookmarkEnd w:id="2470"/>
      <w:bookmarkEnd w:id="2471"/>
      <w:bookmarkEnd w:id="2472"/>
      <w:bookmarkEnd w:id="2473"/>
    </w:p>
    <w:p w14:paraId="1F639A76" w14:textId="2BBED8A0" w:rsidR="00C717E0" w:rsidRPr="00033A3F" w:rsidRDefault="00C717E0" w:rsidP="00C717E0">
      <w:pPr>
        <w:pStyle w:val="Podnadpis"/>
        <w:numPr>
          <w:ilvl w:val="0"/>
          <w:numId w:val="0"/>
        </w:numPr>
        <w:rPr>
          <w:color w:val="000000" w:themeColor="text1"/>
        </w:rPr>
      </w:pPr>
      <w:bookmarkStart w:id="2474" w:name="_Toc515871427"/>
      <w:bookmarkStart w:id="2475" w:name="_Toc11135158"/>
      <w:bookmarkStart w:id="2476" w:name="_Toc43841484"/>
      <w:bookmarkStart w:id="2477" w:name="_Toc75952287"/>
      <w:bookmarkStart w:id="2478" w:name="_Toc106106743"/>
      <w:bookmarkStart w:id="2479" w:name="_Toc109802067"/>
      <w:bookmarkStart w:id="2480" w:name="_Toc144104218"/>
      <w:bookmarkStart w:id="2481" w:name="_Toc169251030"/>
      <w:bookmarkStart w:id="2482" w:name="_Toc174080716"/>
      <w:bookmarkStart w:id="2483" w:name="_Toc193530870"/>
      <w:bookmarkStart w:id="2484" w:name="_Toc193634144"/>
      <w:bookmarkStart w:id="2485" w:name="_Toc20303294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116</w:t>
      </w:r>
      <w:r w:rsidRPr="00033A3F">
        <w:rPr>
          <w:color w:val="000000" w:themeColor="text1"/>
        </w:rPr>
        <w:fldChar w:fldCharType="end"/>
      </w:r>
      <w:r w:rsidRPr="00033A3F">
        <w:rPr>
          <w:color w:val="000000" w:themeColor="text1"/>
        </w:rPr>
        <w:t>: NS – vyřizování stížností pro porušení zákona v letech 201</w:t>
      </w:r>
      <w:r w:rsidR="004A3C65" w:rsidRPr="00033A3F">
        <w:rPr>
          <w:color w:val="000000" w:themeColor="text1"/>
        </w:rPr>
        <w:t>5</w:t>
      </w:r>
      <w:r w:rsidRPr="00033A3F">
        <w:rPr>
          <w:color w:val="000000" w:themeColor="text1"/>
        </w:rPr>
        <w:t>–20</w:t>
      </w:r>
      <w:bookmarkEnd w:id="2474"/>
      <w:bookmarkEnd w:id="2475"/>
      <w:bookmarkEnd w:id="2476"/>
      <w:r w:rsidRPr="00033A3F">
        <w:rPr>
          <w:color w:val="000000" w:themeColor="text1"/>
        </w:rPr>
        <w:t>2</w:t>
      </w:r>
      <w:bookmarkEnd w:id="2477"/>
      <w:bookmarkEnd w:id="2478"/>
      <w:bookmarkEnd w:id="2479"/>
      <w:bookmarkEnd w:id="2480"/>
      <w:bookmarkEnd w:id="2481"/>
      <w:bookmarkEnd w:id="2482"/>
      <w:r w:rsidR="004A3C65" w:rsidRPr="00033A3F">
        <w:rPr>
          <w:color w:val="000000" w:themeColor="text1"/>
        </w:rPr>
        <w:t>4</w:t>
      </w:r>
      <w:bookmarkEnd w:id="2483"/>
      <w:bookmarkEnd w:id="2484"/>
      <w:bookmarkEnd w:id="2485"/>
    </w:p>
    <w:p w14:paraId="564F3CC6" w14:textId="6BF3B7C5" w:rsidR="004A3C65" w:rsidRPr="00033A3F" w:rsidRDefault="004A3C65">
      <w:pPr>
        <w:spacing w:after="160" w:line="259" w:lineRule="auto"/>
        <w:jc w:val="left"/>
        <w:rPr>
          <w:color w:val="000000" w:themeColor="text1"/>
          <w:lang w:eastAsia="cs-CZ"/>
        </w:rPr>
      </w:pPr>
      <w:r w:rsidRPr="00033A3F">
        <w:rPr>
          <w:noProof/>
          <w:color w:val="000000" w:themeColor="text1"/>
          <w:lang w:eastAsia="cs-CZ"/>
        </w:rPr>
        <w:drawing>
          <wp:inline distT="0" distB="0" distL="0" distR="0" wp14:anchorId="25625383" wp14:editId="3B6250A7">
            <wp:extent cx="5029200" cy="3657600"/>
            <wp:effectExtent l="0" t="0" r="0" b="0"/>
            <wp:docPr id="2100122602"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8DB621B" w14:textId="77777777" w:rsidR="004A3C65" w:rsidRPr="00033A3F" w:rsidRDefault="004A3C65" w:rsidP="004A3C65">
      <w:pPr>
        <w:pStyle w:val="OdstavecASR"/>
        <w:rPr>
          <w:color w:val="000000" w:themeColor="text1"/>
        </w:rPr>
      </w:pPr>
      <w:r w:rsidRPr="00033A3F">
        <w:rPr>
          <w:color w:val="000000" w:themeColor="text1"/>
        </w:rPr>
        <w:t>Oproti agendě dovolání, především dovolání v občanskoprávních a obchodních věcech, je tato agenda velmi malá. Z toho také plyne velká variabilita. U takto malých čísel je možné, aby se v jeden rok „sešlo“ větší množství pravomocných rozhodnutí, proti kterým ministr spravedlnosti považuje za vhodné podat stížnost pro porušení zákona. V absolutních číslech se ale jedná o změny malé. Určité změny mohou také plynout ze střídání ministrů spravedlnosti, kteří mohou klást větší či menší důraz na určitou problematiku. Jak již bylo řečeno, nápad v agendě je značně volatilní. Jak je z grafu patrné, jedná se nicméně o agendu, kterou soud vyřizuje bez jakýchkoliv problémů. Za pozornost stojí prudký nárůst v letech 2021 a 2022, za nímž stojí stížnosti pro porušení zákona odůvodněné nesprávnou právní kvalifikací trestných činů krádeže, k nimž došlo v období vyhlášení nouzového stavu souvisejícího s pandemií onemocnění COVID-19.</w:t>
      </w:r>
    </w:p>
    <w:p w14:paraId="15D62DE8" w14:textId="6192C2FD" w:rsidR="004C0597" w:rsidRPr="00033A3F" w:rsidRDefault="004C0597">
      <w:pPr>
        <w:spacing w:after="160" w:line="259" w:lineRule="auto"/>
        <w:jc w:val="left"/>
        <w:rPr>
          <w:color w:val="000000" w:themeColor="text1"/>
          <w:lang w:eastAsia="cs-CZ"/>
        </w:rPr>
      </w:pPr>
      <w:r w:rsidRPr="00033A3F">
        <w:rPr>
          <w:color w:val="000000" w:themeColor="text1"/>
          <w:lang w:eastAsia="cs-CZ"/>
        </w:rPr>
        <w:br w:type="page"/>
      </w:r>
    </w:p>
    <w:p w14:paraId="7112EA32" w14:textId="592DE151" w:rsidR="008430BD" w:rsidRPr="00033A3F" w:rsidRDefault="008430BD" w:rsidP="008430BD">
      <w:pPr>
        <w:pStyle w:val="Nadpis2"/>
        <w:numPr>
          <w:ilvl w:val="1"/>
          <w:numId w:val="1"/>
        </w:numPr>
        <w:spacing w:before="120"/>
      </w:pPr>
      <w:bookmarkStart w:id="2486" w:name="_Toc515871304"/>
      <w:bookmarkStart w:id="2487" w:name="_Toc106092819"/>
      <w:bookmarkStart w:id="2488" w:name="_Toc169250896"/>
      <w:bookmarkStart w:id="2489" w:name="_Toc193531058"/>
      <w:bookmarkStart w:id="2490" w:name="_Toc193957116"/>
      <w:bookmarkStart w:id="2491" w:name="_Toc203032804"/>
      <w:r w:rsidRPr="00033A3F">
        <w:lastRenderedPageBreak/>
        <w:t>Insolvenční agenda</w:t>
      </w:r>
      <w:bookmarkEnd w:id="2486"/>
      <w:bookmarkEnd w:id="2487"/>
      <w:bookmarkEnd w:id="2488"/>
      <w:bookmarkEnd w:id="2489"/>
      <w:bookmarkEnd w:id="2490"/>
      <w:bookmarkEnd w:id="2491"/>
    </w:p>
    <w:p w14:paraId="3B6DFACC" w14:textId="77777777" w:rsidR="004A3C65" w:rsidRPr="00033A3F" w:rsidRDefault="004A3C65" w:rsidP="004A3C65">
      <w:pPr>
        <w:pStyle w:val="OdstavecASR"/>
        <w:rPr>
          <w:color w:val="000000" w:themeColor="text1"/>
        </w:rPr>
      </w:pPr>
      <w:r w:rsidRPr="00033A3F">
        <w:rPr>
          <w:color w:val="000000" w:themeColor="text1"/>
        </w:rPr>
        <w:t>Jedná se o rejstřík NS ČR – věci předložené soudu k rozhodnutí v insolvenčním řízení (dovolání, příslušnost soudů a vyloučení soudců v insolvenčním řízení). Rejstřík spadá pod civilní úsek Nejvyššího soudu, tedy občanskoprávní a obchodní kolegium.</w:t>
      </w:r>
    </w:p>
    <w:p w14:paraId="0E4BF926" w14:textId="5687DD99" w:rsidR="001D2088" w:rsidRPr="00033A3F" w:rsidRDefault="001D2088" w:rsidP="004C0597">
      <w:pPr>
        <w:pStyle w:val="Nadpis3"/>
        <w:numPr>
          <w:ilvl w:val="2"/>
          <w:numId w:val="1"/>
        </w:numPr>
        <w:rPr>
          <w:color w:val="000000" w:themeColor="text1"/>
          <w:lang w:eastAsia="cs-CZ"/>
        </w:rPr>
      </w:pPr>
      <w:bookmarkStart w:id="2492" w:name="_Toc169250897"/>
      <w:bookmarkStart w:id="2493" w:name="_Toc193531059"/>
      <w:bookmarkStart w:id="2494" w:name="_Toc193957117"/>
      <w:bookmarkStart w:id="2495" w:name="_Toc203032805"/>
      <w:r w:rsidRPr="00033A3F">
        <w:rPr>
          <w:color w:val="000000" w:themeColor="text1"/>
          <w:lang w:eastAsia="cs-CZ"/>
        </w:rPr>
        <w:t>Vyřizování věcí</w:t>
      </w:r>
      <w:bookmarkEnd w:id="2492"/>
      <w:bookmarkEnd w:id="2493"/>
      <w:bookmarkEnd w:id="2494"/>
      <w:bookmarkEnd w:id="2495"/>
    </w:p>
    <w:p w14:paraId="052937CB" w14:textId="2B3F13DA" w:rsidR="00231B48" w:rsidRPr="00033A3F" w:rsidRDefault="00231B48" w:rsidP="00231B48">
      <w:pPr>
        <w:pStyle w:val="Podnadpis"/>
        <w:numPr>
          <w:ilvl w:val="0"/>
          <w:numId w:val="0"/>
        </w:numPr>
        <w:rPr>
          <w:color w:val="000000" w:themeColor="text1"/>
        </w:rPr>
      </w:pPr>
      <w:bookmarkStart w:id="2496" w:name="_Toc515871428"/>
      <w:bookmarkStart w:id="2497" w:name="_Toc11135159"/>
      <w:bookmarkStart w:id="2498" w:name="_Toc43841485"/>
      <w:bookmarkStart w:id="2499" w:name="_Toc75952288"/>
      <w:bookmarkStart w:id="2500" w:name="_Toc106106744"/>
      <w:bookmarkStart w:id="2501" w:name="_Toc109802068"/>
      <w:bookmarkStart w:id="2502" w:name="_Toc144104219"/>
      <w:bookmarkStart w:id="2503" w:name="_Toc169251031"/>
      <w:bookmarkStart w:id="2504" w:name="_Toc174080717"/>
      <w:bookmarkStart w:id="2505" w:name="_Toc193530871"/>
      <w:bookmarkStart w:id="2506" w:name="_Toc193634145"/>
      <w:bookmarkStart w:id="2507" w:name="_Toc203032944"/>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117</w:t>
      </w:r>
      <w:r w:rsidRPr="00033A3F">
        <w:rPr>
          <w:noProof/>
          <w:color w:val="000000" w:themeColor="text1"/>
        </w:rPr>
        <w:fldChar w:fldCharType="end"/>
      </w:r>
      <w:r w:rsidRPr="00033A3F">
        <w:rPr>
          <w:color w:val="000000" w:themeColor="text1"/>
        </w:rPr>
        <w:t>: NS – vyřizování insolvenční dovolací agendy v letech 2015–20</w:t>
      </w:r>
      <w:bookmarkEnd w:id="2496"/>
      <w:bookmarkEnd w:id="2497"/>
      <w:bookmarkEnd w:id="2498"/>
      <w:r w:rsidRPr="00033A3F">
        <w:rPr>
          <w:color w:val="000000" w:themeColor="text1"/>
        </w:rPr>
        <w:t>2</w:t>
      </w:r>
      <w:bookmarkEnd w:id="2499"/>
      <w:bookmarkEnd w:id="2500"/>
      <w:bookmarkEnd w:id="2501"/>
      <w:bookmarkEnd w:id="2502"/>
      <w:bookmarkEnd w:id="2503"/>
      <w:bookmarkEnd w:id="2504"/>
      <w:r w:rsidRPr="00033A3F">
        <w:rPr>
          <w:color w:val="000000" w:themeColor="text1"/>
        </w:rPr>
        <w:t>4</w:t>
      </w:r>
      <w:bookmarkEnd w:id="2505"/>
      <w:bookmarkEnd w:id="2506"/>
      <w:bookmarkEnd w:id="2507"/>
    </w:p>
    <w:p w14:paraId="19BDEB6D" w14:textId="6D473769" w:rsidR="00231B48" w:rsidRPr="00033A3F" w:rsidRDefault="009E1782" w:rsidP="00231B48">
      <w:pPr>
        <w:rPr>
          <w:color w:val="000000" w:themeColor="text1"/>
        </w:rPr>
      </w:pPr>
      <w:r w:rsidRPr="00033A3F">
        <w:rPr>
          <w:noProof/>
          <w:color w:val="000000" w:themeColor="text1"/>
          <w:lang w:eastAsia="cs-CZ"/>
        </w:rPr>
        <w:drawing>
          <wp:inline distT="0" distB="0" distL="0" distR="0" wp14:anchorId="61FB41DA" wp14:editId="5B69050F">
            <wp:extent cx="5029200" cy="3657600"/>
            <wp:effectExtent l="0" t="0" r="0" b="0"/>
            <wp:docPr id="156840848"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113AE6F" w14:textId="631A9177" w:rsidR="009E1782" w:rsidRPr="00033A3F" w:rsidRDefault="009E1782" w:rsidP="009E1782">
      <w:pPr>
        <w:pStyle w:val="OdstavecASR"/>
        <w:rPr>
          <w:color w:val="000000" w:themeColor="text1"/>
        </w:rPr>
      </w:pPr>
      <w:r w:rsidRPr="00033A3F">
        <w:rPr>
          <w:color w:val="000000" w:themeColor="text1"/>
        </w:rPr>
        <w:t>Agenda je velmi malá, ale až do roku 2016 postupně rostla. V roce 2017 poprvé došlo k poklesu v počtu napadlých věcí, který pokračoval i v roce 2018. Růst a následný pokles nápadu v letech 2017 až 2021 plyne především z obdobného vývoje ve vyřizování druhoinstanční insolvenční agendy u vrchních soudů (</w:t>
      </w:r>
      <w:r w:rsidRPr="00033A3F">
        <w:rPr>
          <w:color w:val="000000" w:themeColor="text1"/>
        </w:rPr>
        <w:fldChar w:fldCharType="begin"/>
      </w:r>
      <w:r w:rsidRPr="00033A3F">
        <w:rPr>
          <w:color w:val="000000" w:themeColor="text1"/>
        </w:rPr>
        <w:instrText xml:space="preserve"> REF  _Ref43837240 \h \* Lower  \* MERGEFORMAT </w:instrText>
      </w:r>
      <w:r w:rsidRPr="00033A3F">
        <w:rPr>
          <w:color w:val="000000" w:themeColor="text1"/>
        </w:rPr>
      </w:r>
      <w:r w:rsidRPr="00033A3F">
        <w:rPr>
          <w:color w:val="000000" w:themeColor="text1"/>
        </w:rPr>
        <w:fldChar w:fldCharType="separate"/>
      </w:r>
      <w:r w:rsidR="00163B51" w:rsidRPr="00033A3F">
        <w:rPr>
          <w:color w:val="000000" w:themeColor="text1"/>
        </w:rPr>
        <w:t xml:space="preserve">graf </w:t>
      </w:r>
      <w:r w:rsidR="00163B51">
        <w:rPr>
          <w:noProof/>
          <w:color w:val="000000" w:themeColor="text1"/>
        </w:rPr>
        <w:t>104</w:t>
      </w:r>
      <w:r w:rsidRPr="00033A3F">
        <w:rPr>
          <w:color w:val="000000" w:themeColor="text1"/>
        </w:rPr>
        <w:fldChar w:fldCharType="end"/>
      </w:r>
      <w:r w:rsidRPr="00033A3F">
        <w:rPr>
          <w:color w:val="000000" w:themeColor="text1"/>
        </w:rPr>
        <w:t xml:space="preserve">). V roce 2022 došlo k prudkému růstu v počtu příchozích i vyřízených věcí. V roce 2023 ale opět došlo k poklesu na předchozí úroveň, </w:t>
      </w:r>
      <w:r w:rsidR="00A072F4" w:rsidRPr="00033A3F">
        <w:rPr>
          <w:color w:val="000000" w:themeColor="text1"/>
        </w:rPr>
        <w:t xml:space="preserve">na které </w:t>
      </w:r>
      <w:r w:rsidRPr="00033A3F">
        <w:rPr>
          <w:color w:val="000000" w:themeColor="text1"/>
        </w:rPr>
        <w:t>oba ukazatele zůstaly i v roce 2024.</w:t>
      </w:r>
    </w:p>
    <w:p w14:paraId="2531DE48" w14:textId="77777777" w:rsidR="00231B48" w:rsidRPr="00033A3F" w:rsidRDefault="00231B48" w:rsidP="00231B48">
      <w:pPr>
        <w:rPr>
          <w:color w:val="000000" w:themeColor="text1"/>
          <w:lang w:eastAsia="cs-CZ"/>
        </w:rPr>
      </w:pPr>
    </w:p>
    <w:p w14:paraId="2C666DBD" w14:textId="53C15BD7" w:rsidR="008430BD" w:rsidRPr="00033A3F" w:rsidRDefault="008430BD" w:rsidP="008430BD">
      <w:pPr>
        <w:pStyle w:val="Nadpis1"/>
        <w:pageBreakBefore/>
        <w:numPr>
          <w:ilvl w:val="0"/>
          <w:numId w:val="1"/>
        </w:numPr>
        <w:spacing w:after="120"/>
        <w:rPr>
          <w:color w:val="000000" w:themeColor="text1"/>
          <w:lang w:eastAsia="cs-CZ"/>
        </w:rPr>
      </w:pPr>
      <w:bookmarkStart w:id="2508" w:name="_Toc515871306"/>
      <w:bookmarkStart w:id="2509" w:name="_Toc106092821"/>
      <w:bookmarkStart w:id="2510" w:name="_Toc169250898"/>
      <w:bookmarkStart w:id="2511" w:name="_Toc193531060"/>
      <w:bookmarkStart w:id="2512" w:name="_Toc193957118"/>
      <w:bookmarkStart w:id="2513" w:name="_Toc203032806"/>
      <w:r w:rsidRPr="00033A3F">
        <w:rPr>
          <w:color w:val="000000" w:themeColor="text1"/>
          <w:lang w:eastAsia="cs-CZ"/>
        </w:rPr>
        <w:lastRenderedPageBreak/>
        <w:t>Nejvyšší správní soud</w:t>
      </w:r>
      <w:bookmarkEnd w:id="2508"/>
      <w:bookmarkEnd w:id="2509"/>
      <w:bookmarkEnd w:id="2510"/>
      <w:bookmarkEnd w:id="2511"/>
      <w:bookmarkEnd w:id="2512"/>
      <w:bookmarkEnd w:id="2513"/>
    </w:p>
    <w:p w14:paraId="175C455E" w14:textId="5B861483" w:rsidR="0030016A" w:rsidRPr="00033A3F" w:rsidRDefault="0030016A" w:rsidP="0030016A">
      <w:pPr>
        <w:rPr>
          <w:color w:val="000000" w:themeColor="text1"/>
          <w:lang w:eastAsia="cs-CZ"/>
        </w:rPr>
      </w:pPr>
      <w:r w:rsidRPr="00033A3F">
        <w:rPr>
          <w:color w:val="000000" w:themeColor="text1"/>
          <w:lang w:eastAsia="cs-CZ"/>
        </w:rPr>
        <w:t>Do pravomoci Nejvyššího správního soudu (NSS) ČR, který sídlí v Brně, spadá několik druhů rozhodování, například rozhodování ve věcech volebních, rozhodování ve věcech politických stran a hnutí (rozpuštění, pozastavení nebo znovuobnovení jejich činnosti) nebo řízení ve věcech kárné odpovědnosti soudců, státních zástupců a exekutorů</w:t>
      </w:r>
      <w:bookmarkStart w:id="2514" w:name="_Ref202423720"/>
      <w:r w:rsidR="00476DD1">
        <w:rPr>
          <w:rStyle w:val="Znakapoznpodarou"/>
          <w:color w:val="000000" w:themeColor="text1"/>
          <w:lang w:eastAsia="cs-CZ"/>
        </w:rPr>
        <w:footnoteReference w:id="20"/>
      </w:r>
      <w:bookmarkEnd w:id="2514"/>
      <w:r w:rsidRPr="00033A3F">
        <w:rPr>
          <w:color w:val="000000" w:themeColor="text1"/>
          <w:lang w:eastAsia="cs-CZ"/>
        </w:rPr>
        <w:t>. Tato zpráva se soustředí výhradně na soudy a soudce, proto jsou v této zprávě zachycena data o kárném řízení pouze ve věcech soudců. Zdaleka nejrozsáhlejší agendou NSS je ale rozhodování o kasačních stížnostech. Do agendy kasačních stížností spadá velké množství rejstříků: Azs, Ads, Afs, As, Ans, Aps, A, Aos a Ars. Do některých z těchto rejstříků se již nezapisují nové věci. Věci spadají do jednotlivých rejstříků v závislosti na prvostupňové agendě, do níž směřuje kasační stížnost (finanční, azylová apod.). Stejně jako u NS i</w:t>
      </w:r>
      <w:r w:rsidR="00542EE2">
        <w:rPr>
          <w:color w:val="000000" w:themeColor="text1"/>
          <w:lang w:eastAsia="cs-CZ"/>
        </w:rPr>
        <w:t> </w:t>
      </w:r>
      <w:r w:rsidRPr="00033A3F">
        <w:rPr>
          <w:color w:val="000000" w:themeColor="text1"/>
          <w:lang w:eastAsia="cs-CZ"/>
        </w:rPr>
        <w:t>u NSS zachycuje tato zpráva méně ukazatelů než u ostatních soudů. Důvody jsou stejné: délka řízení a některé další statistické ukazatele nejsou k dispozici a soud je pouze jeden a není ho tedy s</w:t>
      </w:r>
      <w:r w:rsidR="00542EE2">
        <w:rPr>
          <w:color w:val="000000" w:themeColor="text1"/>
          <w:lang w:eastAsia="cs-CZ"/>
        </w:rPr>
        <w:t> </w:t>
      </w:r>
      <w:r w:rsidRPr="00033A3F">
        <w:rPr>
          <w:color w:val="000000" w:themeColor="text1"/>
          <w:lang w:eastAsia="cs-CZ"/>
        </w:rPr>
        <w:t>čím statisticky srovnávat.</w:t>
      </w:r>
    </w:p>
    <w:p w14:paraId="713F4A2E" w14:textId="77777777" w:rsidR="00565B90" w:rsidRPr="00033A3F" w:rsidRDefault="00565B90" w:rsidP="00565B90">
      <w:pPr>
        <w:pStyle w:val="Nadpis2"/>
        <w:numPr>
          <w:ilvl w:val="1"/>
          <w:numId w:val="1"/>
        </w:numPr>
        <w:spacing w:before="120"/>
        <w:rPr>
          <w:lang w:eastAsia="cs-CZ"/>
        </w:rPr>
      </w:pPr>
      <w:bookmarkStart w:id="2515" w:name="_Toc515871307"/>
      <w:bookmarkStart w:id="2516" w:name="_Toc106092822"/>
      <w:bookmarkStart w:id="2517" w:name="_Toc169250899"/>
      <w:bookmarkStart w:id="2518" w:name="_Toc193531061"/>
      <w:bookmarkStart w:id="2519" w:name="_Toc193957119"/>
      <w:bookmarkStart w:id="2520" w:name="_Toc203032807"/>
      <w:r w:rsidRPr="00033A3F">
        <w:rPr>
          <w:lang w:eastAsia="cs-CZ"/>
        </w:rPr>
        <w:t>Personál</w:t>
      </w:r>
      <w:bookmarkEnd w:id="2515"/>
      <w:bookmarkEnd w:id="2516"/>
      <w:bookmarkEnd w:id="2517"/>
      <w:bookmarkEnd w:id="2518"/>
      <w:bookmarkEnd w:id="2519"/>
      <w:bookmarkEnd w:id="2520"/>
    </w:p>
    <w:p w14:paraId="5F6999D4" w14:textId="05DF4E76" w:rsidR="00565B90" w:rsidRPr="00033A3F" w:rsidRDefault="00565B90" w:rsidP="00565B90">
      <w:pPr>
        <w:pStyle w:val="Nadpis3"/>
        <w:numPr>
          <w:ilvl w:val="2"/>
          <w:numId w:val="1"/>
        </w:numPr>
        <w:rPr>
          <w:color w:val="000000" w:themeColor="text1"/>
          <w:lang w:eastAsia="cs-CZ"/>
        </w:rPr>
      </w:pPr>
      <w:bookmarkStart w:id="2521" w:name="_Toc515871308"/>
      <w:bookmarkStart w:id="2522" w:name="_Toc106092823"/>
      <w:bookmarkStart w:id="2523" w:name="_Toc169250900"/>
      <w:bookmarkStart w:id="2524" w:name="_Toc193531062"/>
      <w:bookmarkStart w:id="2525" w:name="_Toc193957120"/>
      <w:bookmarkStart w:id="2526" w:name="_Toc203032808"/>
      <w:r w:rsidRPr="00033A3F">
        <w:rPr>
          <w:color w:val="000000" w:themeColor="text1"/>
          <w:lang w:eastAsia="cs-CZ"/>
        </w:rPr>
        <w:t>Soudci</w:t>
      </w:r>
      <w:bookmarkEnd w:id="2521"/>
      <w:bookmarkEnd w:id="2522"/>
      <w:bookmarkEnd w:id="2523"/>
      <w:bookmarkEnd w:id="2524"/>
      <w:bookmarkEnd w:id="2525"/>
      <w:bookmarkEnd w:id="2526"/>
    </w:p>
    <w:p w14:paraId="4B3771AC" w14:textId="25C2AF50" w:rsidR="003F5950" w:rsidRPr="00033A3F" w:rsidRDefault="003F5950" w:rsidP="003F5950">
      <w:pPr>
        <w:pStyle w:val="OdstavecASR"/>
        <w:rPr>
          <w:color w:val="000000" w:themeColor="text1"/>
        </w:rPr>
      </w:pPr>
      <w:r w:rsidRPr="00033A3F">
        <w:rPr>
          <w:color w:val="000000" w:themeColor="text1"/>
        </w:rPr>
        <w:t>Jak je vidět z grafu níže, evidenční počet soudců Nejvyššího správního soudu se v posledních 10 letech jen zřídkakdy potkal s plánovaným počtem soudců tohoto soudu.</w:t>
      </w:r>
    </w:p>
    <w:p w14:paraId="2910A54F" w14:textId="32F5007D" w:rsidR="003F5950" w:rsidRPr="00033A3F" w:rsidRDefault="003F5950" w:rsidP="003F5950">
      <w:pPr>
        <w:pStyle w:val="OdstavecASR"/>
        <w:rPr>
          <w:color w:val="000000" w:themeColor="text1"/>
        </w:rPr>
      </w:pPr>
      <w:r w:rsidRPr="00033A3F">
        <w:rPr>
          <w:color w:val="000000" w:themeColor="text1"/>
        </w:rPr>
        <w:t>NSS má dlouhodobě vyšší evidenční počet soudců než plánovaný počet soudců, ale nižší skutečný počet soudců. To je dáno tím, že řada jeho soudců byla/je dočasně zproštěna</w:t>
      </w:r>
      <w:r w:rsidR="0069326B" w:rsidRPr="00033A3F">
        <w:rPr>
          <w:color w:val="000000" w:themeColor="text1"/>
        </w:rPr>
        <w:t xml:space="preserve"> výkonu funkce soudce</w:t>
      </w:r>
      <w:r w:rsidRPr="00033A3F">
        <w:rPr>
          <w:color w:val="000000" w:themeColor="text1"/>
        </w:rPr>
        <w:t xml:space="preserve">, protože působí </w:t>
      </w:r>
      <w:r w:rsidR="006E1F5B" w:rsidRPr="00033A3F">
        <w:rPr>
          <w:color w:val="000000" w:themeColor="text1"/>
        </w:rPr>
        <w:t>u </w:t>
      </w:r>
      <w:r w:rsidRPr="00033A3F">
        <w:rPr>
          <w:color w:val="000000" w:themeColor="text1"/>
        </w:rPr>
        <w:t>Ústavního soudu, Evropského soudního dvoru nebo Evropského soudu pro lidská práva.</w:t>
      </w:r>
    </w:p>
    <w:p w14:paraId="7EA288A9" w14:textId="70A86353" w:rsidR="003F5950" w:rsidRPr="00033A3F" w:rsidRDefault="003F5950" w:rsidP="003F5950">
      <w:pPr>
        <w:pStyle w:val="Podnadpis"/>
        <w:numPr>
          <w:ilvl w:val="0"/>
          <w:numId w:val="0"/>
        </w:numPr>
        <w:rPr>
          <w:color w:val="000000" w:themeColor="text1"/>
        </w:rPr>
      </w:pPr>
      <w:bookmarkStart w:id="2527" w:name="_Toc515871429"/>
      <w:bookmarkStart w:id="2528" w:name="_Toc11135160"/>
      <w:bookmarkStart w:id="2529" w:name="_Toc43841486"/>
      <w:bookmarkStart w:id="2530" w:name="_Toc75952289"/>
      <w:bookmarkStart w:id="2531" w:name="_Toc106106745"/>
      <w:bookmarkStart w:id="2532" w:name="_Toc109802069"/>
      <w:bookmarkStart w:id="2533" w:name="_Toc144104220"/>
      <w:bookmarkStart w:id="2534" w:name="_Toc169251032"/>
      <w:bookmarkStart w:id="2535" w:name="_Toc174080718"/>
      <w:bookmarkStart w:id="2536" w:name="_Toc193530872"/>
      <w:bookmarkStart w:id="2537" w:name="_Toc193634146"/>
      <w:bookmarkStart w:id="2538" w:name="_Toc203032945"/>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118</w:t>
      </w:r>
      <w:r w:rsidRPr="00033A3F">
        <w:rPr>
          <w:color w:val="000000" w:themeColor="text1"/>
        </w:rPr>
        <w:fldChar w:fldCharType="end"/>
      </w:r>
      <w:r w:rsidRPr="00033A3F">
        <w:rPr>
          <w:color w:val="000000" w:themeColor="text1"/>
        </w:rPr>
        <w:t>: NSS – počet soudců v letech 2015–20</w:t>
      </w:r>
      <w:bookmarkEnd w:id="2527"/>
      <w:bookmarkEnd w:id="2528"/>
      <w:bookmarkEnd w:id="2529"/>
      <w:r w:rsidRPr="00033A3F">
        <w:rPr>
          <w:color w:val="000000" w:themeColor="text1"/>
        </w:rPr>
        <w:t>2</w:t>
      </w:r>
      <w:bookmarkEnd w:id="2530"/>
      <w:bookmarkEnd w:id="2531"/>
      <w:bookmarkEnd w:id="2532"/>
      <w:bookmarkEnd w:id="2533"/>
      <w:bookmarkEnd w:id="2534"/>
      <w:bookmarkEnd w:id="2535"/>
      <w:r w:rsidRPr="00033A3F">
        <w:rPr>
          <w:color w:val="000000" w:themeColor="text1"/>
        </w:rPr>
        <w:t>4</w:t>
      </w:r>
      <w:bookmarkEnd w:id="2536"/>
      <w:bookmarkEnd w:id="2537"/>
      <w:bookmarkEnd w:id="2538"/>
    </w:p>
    <w:p w14:paraId="3BE531D6" w14:textId="33C70C0D" w:rsidR="00842777" w:rsidRPr="00033A3F" w:rsidRDefault="00476DD1" w:rsidP="00445334">
      <w:pPr>
        <w:rPr>
          <w:color w:val="000000" w:themeColor="text1"/>
        </w:rPr>
      </w:pPr>
      <w:r w:rsidRPr="00476DD1">
        <w:rPr>
          <w:noProof/>
          <w:color w:val="000000" w:themeColor="text1"/>
        </w:rPr>
        <w:drawing>
          <wp:inline distT="0" distB="0" distL="0" distR="0" wp14:anchorId="0947C2FD" wp14:editId="4CFD7D91">
            <wp:extent cx="5029200" cy="3657600"/>
            <wp:effectExtent l="0" t="0" r="0" b="0"/>
            <wp:docPr id="62636357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6D54D48" w14:textId="77777777" w:rsidR="003F5950" w:rsidRPr="00033A3F" w:rsidRDefault="003F5950" w:rsidP="00445334">
      <w:pPr>
        <w:rPr>
          <w:color w:val="000000" w:themeColor="text1"/>
        </w:rPr>
      </w:pPr>
    </w:p>
    <w:p w14:paraId="7ABE175A" w14:textId="2C0D78CD" w:rsidR="006D570B" w:rsidRPr="00033A3F" w:rsidRDefault="006D570B" w:rsidP="00445334">
      <w:pPr>
        <w:rPr>
          <w:color w:val="000000" w:themeColor="text1"/>
        </w:rPr>
      </w:pPr>
      <w:r w:rsidRPr="00033A3F">
        <w:rPr>
          <w:color w:val="000000" w:themeColor="text1"/>
        </w:rPr>
        <w:t>V grafu níže vidíme, že ve složení soudců dle pohlaví dochází k určitým změnám (největším v roce 2020 a 2024). U NSS v roce 2024 tak tvořily ženy cca 32 % soudců, tedy více než u NS, ale méně než u soudů nižších stupňů.</w:t>
      </w:r>
    </w:p>
    <w:p w14:paraId="75A4FFBE" w14:textId="0F594D49" w:rsidR="003F5950" w:rsidRPr="00033A3F" w:rsidRDefault="003F5950" w:rsidP="003F5950">
      <w:pPr>
        <w:pStyle w:val="Podnadpis"/>
        <w:rPr>
          <w:color w:val="000000" w:themeColor="text1"/>
        </w:rPr>
      </w:pPr>
      <w:bookmarkStart w:id="2539" w:name="_Toc515871430"/>
      <w:bookmarkStart w:id="2540" w:name="_Toc11135161"/>
      <w:bookmarkStart w:id="2541" w:name="_Toc43841487"/>
      <w:bookmarkStart w:id="2542" w:name="_Toc75952290"/>
      <w:bookmarkStart w:id="2543" w:name="_Toc106106746"/>
      <w:bookmarkStart w:id="2544" w:name="_Toc109802070"/>
      <w:bookmarkStart w:id="2545" w:name="_Toc144104221"/>
      <w:bookmarkStart w:id="2546" w:name="_Toc169251033"/>
      <w:bookmarkStart w:id="2547" w:name="_Toc174080719"/>
      <w:bookmarkStart w:id="2548" w:name="_Toc193530873"/>
      <w:bookmarkStart w:id="2549" w:name="_Toc193634147"/>
      <w:bookmarkStart w:id="2550" w:name="_Toc203032946"/>
      <w:r w:rsidRPr="00033A3F">
        <w:rPr>
          <w:color w:val="000000" w:themeColor="text1"/>
        </w:rPr>
        <w:t xml:space="preserve">Graf </w:t>
      </w:r>
      <w:r w:rsidRPr="00033A3F">
        <w:rPr>
          <w:color w:val="000000" w:themeColor="text1"/>
        </w:rPr>
        <w:fldChar w:fldCharType="begin"/>
      </w:r>
      <w:r w:rsidRPr="00033A3F">
        <w:rPr>
          <w:noProof/>
          <w:color w:val="000000" w:themeColor="text1"/>
        </w:rPr>
        <w:instrText xml:space="preserve"> SEQ Graf \* ARABIC </w:instrText>
      </w:r>
      <w:r w:rsidRPr="00033A3F">
        <w:rPr>
          <w:color w:val="000000" w:themeColor="text1"/>
        </w:rPr>
        <w:fldChar w:fldCharType="separate"/>
      </w:r>
      <w:r w:rsidR="00163B51">
        <w:rPr>
          <w:noProof/>
          <w:color w:val="000000" w:themeColor="text1"/>
        </w:rPr>
        <w:t>119</w:t>
      </w:r>
      <w:r w:rsidRPr="00033A3F">
        <w:rPr>
          <w:color w:val="000000" w:themeColor="text1"/>
        </w:rPr>
        <w:fldChar w:fldCharType="end"/>
      </w:r>
      <w:r w:rsidRPr="00033A3F">
        <w:rPr>
          <w:color w:val="000000" w:themeColor="text1"/>
        </w:rPr>
        <w:t>: NSS – evidenční počet soudců dle pohlaví v letech 2015–20</w:t>
      </w:r>
      <w:bookmarkEnd w:id="2539"/>
      <w:bookmarkEnd w:id="2540"/>
      <w:bookmarkEnd w:id="2541"/>
      <w:bookmarkEnd w:id="2542"/>
      <w:bookmarkEnd w:id="2543"/>
      <w:bookmarkEnd w:id="2544"/>
      <w:r w:rsidRPr="00033A3F">
        <w:rPr>
          <w:color w:val="000000" w:themeColor="text1"/>
        </w:rPr>
        <w:t>2</w:t>
      </w:r>
      <w:bookmarkEnd w:id="2545"/>
      <w:bookmarkEnd w:id="2546"/>
      <w:bookmarkEnd w:id="2547"/>
      <w:r w:rsidRPr="00033A3F">
        <w:rPr>
          <w:color w:val="000000" w:themeColor="text1"/>
        </w:rPr>
        <w:t>4</w:t>
      </w:r>
      <w:bookmarkEnd w:id="2548"/>
      <w:bookmarkEnd w:id="2549"/>
      <w:bookmarkEnd w:id="2550"/>
    </w:p>
    <w:p w14:paraId="5D92C7AB" w14:textId="1490F688" w:rsidR="003F5950" w:rsidRPr="00033A3F" w:rsidRDefault="003F5950" w:rsidP="00445334">
      <w:pPr>
        <w:rPr>
          <w:color w:val="000000" w:themeColor="text1"/>
        </w:rPr>
      </w:pPr>
      <w:r w:rsidRPr="00033A3F">
        <w:rPr>
          <w:noProof/>
          <w:color w:val="000000" w:themeColor="text1"/>
          <w:lang w:eastAsia="cs-CZ"/>
        </w:rPr>
        <w:drawing>
          <wp:inline distT="0" distB="0" distL="0" distR="0" wp14:anchorId="3F2FE3D2" wp14:editId="2C7EECC4">
            <wp:extent cx="4771800" cy="3470400"/>
            <wp:effectExtent l="0" t="0" r="0" b="0"/>
            <wp:docPr id="128908730"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771800" cy="3470400"/>
                    </a:xfrm>
                    <a:prstGeom prst="rect">
                      <a:avLst/>
                    </a:prstGeom>
                    <a:noFill/>
                    <a:ln>
                      <a:noFill/>
                    </a:ln>
                  </pic:spPr>
                </pic:pic>
              </a:graphicData>
            </a:graphic>
          </wp:inline>
        </w:drawing>
      </w:r>
    </w:p>
    <w:p w14:paraId="3A9DCA35" w14:textId="77777777" w:rsidR="006D570B" w:rsidRPr="00033A3F" w:rsidRDefault="006D570B" w:rsidP="003F5950">
      <w:pPr>
        <w:pStyle w:val="OdstavecASR"/>
        <w:rPr>
          <w:color w:val="000000" w:themeColor="text1"/>
        </w:rPr>
      </w:pPr>
    </w:p>
    <w:p w14:paraId="6EBBD6B0" w14:textId="19828B96" w:rsidR="003F5950" w:rsidRPr="00033A3F" w:rsidRDefault="003F5950" w:rsidP="003F5950">
      <w:pPr>
        <w:pStyle w:val="OdstavecASR"/>
        <w:rPr>
          <w:color w:val="000000" w:themeColor="text1"/>
        </w:rPr>
      </w:pPr>
      <w:r w:rsidRPr="00033A3F">
        <w:rPr>
          <w:color w:val="000000" w:themeColor="text1"/>
        </w:rPr>
        <w:lastRenderedPageBreak/>
        <w:t xml:space="preserve">V dalším grafu je zobrazen stejně jako u ostatních článků soudní soustavy vývoj ve věkové struktuře soudců. Zajímavým poznatkem je, že soudci u NSS jsou výrazně mladší nejen než soudci Nejvyššího soudu </w:t>
      </w:r>
      <w:r w:rsidR="0069326B" w:rsidRPr="00033A3F">
        <w:rPr>
          <w:color w:val="000000" w:themeColor="text1"/>
        </w:rPr>
        <w:t>a</w:t>
      </w:r>
      <w:r w:rsidRPr="00033A3F">
        <w:rPr>
          <w:color w:val="000000" w:themeColor="text1"/>
        </w:rPr>
        <w:t> vrchních soudů, ale dokonce než soudci soudů krajských. Soudci ve věku 41 až 50 let tvoří u NSS téměř dvě třetiny soudcovské populace.</w:t>
      </w:r>
      <w:r w:rsidR="006D570B" w:rsidRPr="00033A3F">
        <w:rPr>
          <w:color w:val="000000" w:themeColor="text1"/>
        </w:rPr>
        <w:t xml:space="preserve"> </w:t>
      </w:r>
      <w:r w:rsidRPr="00033A3F">
        <w:rPr>
          <w:color w:val="000000" w:themeColor="text1"/>
        </w:rPr>
        <w:t>V grafu také vidíme, že ani u NSS od roku 2020 nepůsobí žádní soudci ve věku do 40 let, neboť se posunuli do vyšší věkové skupiny.</w:t>
      </w:r>
    </w:p>
    <w:p w14:paraId="1379C552" w14:textId="6CFB59F6" w:rsidR="005B6B28" w:rsidRPr="00033A3F" w:rsidRDefault="005B6B28" w:rsidP="005B6B28">
      <w:pPr>
        <w:pStyle w:val="Podnadpis"/>
        <w:rPr>
          <w:color w:val="000000" w:themeColor="text1"/>
        </w:rPr>
      </w:pPr>
      <w:bookmarkStart w:id="2551" w:name="_Toc515871431"/>
      <w:bookmarkStart w:id="2552" w:name="_Toc11135162"/>
      <w:bookmarkStart w:id="2553" w:name="_Toc43841488"/>
      <w:bookmarkStart w:id="2554" w:name="_Toc75952291"/>
      <w:bookmarkStart w:id="2555" w:name="_Toc106106747"/>
      <w:bookmarkStart w:id="2556" w:name="_Toc109802071"/>
      <w:bookmarkStart w:id="2557" w:name="_Toc144104222"/>
      <w:bookmarkStart w:id="2558" w:name="_Toc169251034"/>
      <w:bookmarkStart w:id="2559" w:name="_Toc174080720"/>
      <w:bookmarkStart w:id="2560" w:name="_Toc193530874"/>
      <w:bookmarkStart w:id="2561" w:name="_Toc193634148"/>
      <w:bookmarkStart w:id="2562" w:name="_Toc20303294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120</w:t>
      </w:r>
      <w:r w:rsidRPr="00033A3F">
        <w:rPr>
          <w:color w:val="000000" w:themeColor="text1"/>
        </w:rPr>
        <w:fldChar w:fldCharType="end"/>
      </w:r>
      <w:r w:rsidRPr="00033A3F">
        <w:rPr>
          <w:color w:val="000000" w:themeColor="text1"/>
        </w:rPr>
        <w:t>: NSS – věková struktura soudců v letech 2008</w:t>
      </w:r>
      <w:r w:rsidRPr="00033A3F">
        <w:rPr>
          <w:color w:val="000000" w:themeColor="text1"/>
        </w:rPr>
        <w:sym w:font="Symbol" w:char="F02D"/>
      </w:r>
      <w:bookmarkEnd w:id="2551"/>
      <w:bookmarkEnd w:id="2552"/>
      <w:bookmarkEnd w:id="2553"/>
      <w:bookmarkEnd w:id="2554"/>
      <w:bookmarkEnd w:id="2555"/>
      <w:bookmarkEnd w:id="2556"/>
      <w:bookmarkEnd w:id="2557"/>
      <w:bookmarkEnd w:id="2558"/>
      <w:bookmarkEnd w:id="2559"/>
      <w:r w:rsidR="005E53E6" w:rsidRPr="00033A3F">
        <w:rPr>
          <w:color w:val="000000" w:themeColor="text1"/>
        </w:rPr>
        <w:t>2024</w:t>
      </w:r>
      <w:bookmarkEnd w:id="2560"/>
      <w:bookmarkEnd w:id="2561"/>
      <w:bookmarkEnd w:id="2562"/>
    </w:p>
    <w:p w14:paraId="0482B28B" w14:textId="674A081A" w:rsidR="003F5950" w:rsidRPr="00033A3F" w:rsidRDefault="005B6B28" w:rsidP="00445334">
      <w:pPr>
        <w:rPr>
          <w:color w:val="000000" w:themeColor="text1"/>
        </w:rPr>
      </w:pPr>
      <w:r w:rsidRPr="00033A3F">
        <w:rPr>
          <w:noProof/>
          <w:color w:val="000000" w:themeColor="text1"/>
          <w:lang w:eastAsia="cs-CZ"/>
        </w:rPr>
        <w:drawing>
          <wp:inline distT="0" distB="0" distL="0" distR="0" wp14:anchorId="26CDC3FE" wp14:editId="79B60FDB">
            <wp:extent cx="4772025" cy="3470564"/>
            <wp:effectExtent l="0" t="0" r="0" b="0"/>
            <wp:docPr id="701425865"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778921" cy="3475579"/>
                    </a:xfrm>
                    <a:prstGeom prst="rect">
                      <a:avLst/>
                    </a:prstGeom>
                    <a:noFill/>
                    <a:ln>
                      <a:noFill/>
                    </a:ln>
                  </pic:spPr>
                </pic:pic>
              </a:graphicData>
            </a:graphic>
          </wp:inline>
        </w:drawing>
      </w:r>
    </w:p>
    <w:p w14:paraId="61179C5F" w14:textId="77777777" w:rsidR="003F5950" w:rsidRPr="00033A3F" w:rsidRDefault="003F5950" w:rsidP="00445334">
      <w:pPr>
        <w:rPr>
          <w:color w:val="000000" w:themeColor="text1"/>
        </w:rPr>
      </w:pPr>
    </w:p>
    <w:p w14:paraId="7501F59F" w14:textId="7839FEB2" w:rsidR="009C2F8C" w:rsidRPr="00033A3F" w:rsidRDefault="008430BD" w:rsidP="008430BD">
      <w:pPr>
        <w:pStyle w:val="Nadpis3"/>
        <w:numPr>
          <w:ilvl w:val="2"/>
          <w:numId w:val="1"/>
        </w:numPr>
        <w:rPr>
          <w:color w:val="000000" w:themeColor="text1"/>
          <w:lang w:eastAsia="cs-CZ"/>
        </w:rPr>
      </w:pPr>
      <w:bookmarkStart w:id="2563" w:name="_Toc515871309"/>
      <w:bookmarkStart w:id="2564" w:name="_Toc106092824"/>
      <w:bookmarkStart w:id="2565" w:name="_Toc169250901"/>
      <w:bookmarkStart w:id="2566" w:name="_Toc193531063"/>
      <w:bookmarkStart w:id="2567" w:name="_Toc193957121"/>
      <w:bookmarkStart w:id="2568" w:name="_Toc203032809"/>
      <w:r w:rsidRPr="00033A3F">
        <w:rPr>
          <w:color w:val="000000" w:themeColor="text1"/>
          <w:lang w:eastAsia="cs-CZ"/>
        </w:rPr>
        <w:t>Zaměstnanci ve výkonu</w:t>
      </w:r>
      <w:bookmarkEnd w:id="2563"/>
      <w:bookmarkEnd w:id="2564"/>
      <w:bookmarkEnd w:id="2565"/>
      <w:bookmarkEnd w:id="2566"/>
      <w:bookmarkEnd w:id="2567"/>
      <w:bookmarkEnd w:id="2568"/>
    </w:p>
    <w:p w14:paraId="2E237C26" w14:textId="704F7C19" w:rsidR="005B6B28" w:rsidRDefault="005B6B28" w:rsidP="005B6B28">
      <w:pPr>
        <w:pStyle w:val="OdstavecASR"/>
        <w:rPr>
          <w:color w:val="000000" w:themeColor="text1"/>
        </w:rPr>
      </w:pPr>
      <w:r w:rsidRPr="00033A3F">
        <w:rPr>
          <w:color w:val="000000" w:themeColor="text1"/>
        </w:rPr>
        <w:t>U NSS je stejně jako u NS s výjimkou asistentů soudců malé množství zaměstnanců ve výkonu. Personální počty opět plynou ze zvláštní povahy agendy u NSS. Při pohledu na delší časové období je možno říci, že personální obsazení NSS bylo většinou velmi stálé a pokud docházelo k pohybu, dě</w:t>
      </w:r>
      <w:r w:rsidR="0069326B" w:rsidRPr="00033A3F">
        <w:rPr>
          <w:color w:val="000000" w:themeColor="text1"/>
        </w:rPr>
        <w:t>lo</w:t>
      </w:r>
      <w:r w:rsidRPr="00033A3F">
        <w:rPr>
          <w:color w:val="000000" w:themeColor="text1"/>
        </w:rPr>
        <w:t xml:space="preserve"> se tak převážně na pozicích asistentů/asistentek, a to v jednotkách osob (např. v roce 2016 zde pracovalo 63 asistentů vs. 62 asistentů v roce 2022). V roce 2021 tři asistenti přibyli, v roce 2022 naopak dva ubyli. V roce 2023 nicméně došlo k výraznému posílení soudu o 17 asistentů, jehož důvodem </w:t>
      </w:r>
      <w:r w:rsidR="0069326B" w:rsidRPr="00033A3F">
        <w:rPr>
          <w:color w:val="000000" w:themeColor="text1"/>
        </w:rPr>
        <w:t>byla</w:t>
      </w:r>
      <w:r w:rsidRPr="00033A3F">
        <w:rPr>
          <w:color w:val="000000" w:themeColor="text1"/>
        </w:rPr>
        <w:t xml:space="preserve"> snaha napomoci soudu ve zvládání jeho historické případové zátěže.</w:t>
      </w:r>
      <w:r w:rsidR="00116DCA" w:rsidRPr="00033A3F">
        <w:rPr>
          <w:color w:val="000000" w:themeColor="text1"/>
        </w:rPr>
        <w:t xml:space="preserve"> V roce 2024 došlo k dalšímu posílení soudu o 9 asistentů.</w:t>
      </w:r>
      <w:r w:rsidR="00BA4056" w:rsidRPr="00033A3F">
        <w:rPr>
          <w:color w:val="000000" w:themeColor="text1"/>
        </w:rPr>
        <w:t xml:space="preserve"> Během </w:t>
      </w:r>
      <w:r w:rsidR="00C146D3" w:rsidRPr="00033A3F">
        <w:rPr>
          <w:color w:val="000000" w:themeColor="text1"/>
        </w:rPr>
        <w:t>2</w:t>
      </w:r>
      <w:r w:rsidR="00BA4056" w:rsidRPr="00033A3F">
        <w:rPr>
          <w:color w:val="000000" w:themeColor="text1"/>
        </w:rPr>
        <w:t xml:space="preserve"> let se tak počet asistentů zvýšil o více než 40%</w:t>
      </w:r>
      <w:r w:rsidR="00C146D3" w:rsidRPr="00033A3F">
        <w:rPr>
          <w:color w:val="000000" w:themeColor="text1"/>
        </w:rPr>
        <w:t>,</w:t>
      </w:r>
      <w:r w:rsidR="002A0284" w:rsidRPr="00033A3F">
        <w:rPr>
          <w:color w:val="000000" w:themeColor="text1"/>
        </w:rPr>
        <w:t xml:space="preserve"> což se </w:t>
      </w:r>
      <w:r w:rsidR="00EE1E80" w:rsidRPr="00033A3F">
        <w:rPr>
          <w:color w:val="000000" w:themeColor="text1"/>
        </w:rPr>
        <w:t xml:space="preserve">také </w:t>
      </w:r>
      <w:r w:rsidR="002A0284" w:rsidRPr="00033A3F">
        <w:rPr>
          <w:color w:val="000000" w:themeColor="text1"/>
        </w:rPr>
        <w:t>odrazilo v rychlém snižování počtu nevyřízených věcí</w:t>
      </w:r>
      <w:r w:rsidR="00F55808" w:rsidRPr="00033A3F">
        <w:rPr>
          <w:color w:val="000000" w:themeColor="text1"/>
        </w:rPr>
        <w:t xml:space="preserve"> v le</w:t>
      </w:r>
      <w:r w:rsidR="004038CF" w:rsidRPr="00033A3F">
        <w:rPr>
          <w:color w:val="000000" w:themeColor="text1"/>
        </w:rPr>
        <w:t>te</w:t>
      </w:r>
      <w:r w:rsidR="00F55808" w:rsidRPr="00033A3F">
        <w:rPr>
          <w:color w:val="000000" w:themeColor="text1"/>
        </w:rPr>
        <w:t>ch 2023 a 2024, kdy</w:t>
      </w:r>
      <w:r w:rsidR="0041393B" w:rsidRPr="00033A3F">
        <w:rPr>
          <w:color w:val="000000" w:themeColor="text1"/>
        </w:rPr>
        <w:t xml:space="preserve"> se</w:t>
      </w:r>
      <w:r w:rsidR="00F55808" w:rsidRPr="00033A3F">
        <w:rPr>
          <w:color w:val="000000" w:themeColor="text1"/>
        </w:rPr>
        <w:t xml:space="preserve"> vliv nižšího počtu příchozích věcí </w:t>
      </w:r>
      <w:r w:rsidR="0041393B" w:rsidRPr="00033A3F">
        <w:rPr>
          <w:color w:val="000000" w:themeColor="text1"/>
        </w:rPr>
        <w:t>zmírnil</w:t>
      </w:r>
      <w:r w:rsidR="002A0284" w:rsidRPr="00033A3F">
        <w:rPr>
          <w:color w:val="000000" w:themeColor="text1"/>
        </w:rPr>
        <w:t xml:space="preserve"> (viz Graf 121</w:t>
      </w:r>
      <w:r w:rsidR="0069326B" w:rsidRPr="00033A3F">
        <w:rPr>
          <w:color w:val="000000" w:themeColor="text1"/>
        </w:rPr>
        <w:t xml:space="preserve"> níže</w:t>
      </w:r>
      <w:r w:rsidR="002A0284" w:rsidRPr="00033A3F">
        <w:rPr>
          <w:color w:val="000000" w:themeColor="text1"/>
        </w:rPr>
        <w:t>)</w:t>
      </w:r>
      <w:r w:rsidR="00BA4056" w:rsidRPr="00033A3F">
        <w:rPr>
          <w:color w:val="000000" w:themeColor="text1"/>
        </w:rPr>
        <w:t>.</w:t>
      </w:r>
    </w:p>
    <w:p w14:paraId="0CF9535A" w14:textId="53FF6089" w:rsidR="00542EE2" w:rsidRDefault="00542EE2">
      <w:pPr>
        <w:spacing w:after="160" w:line="259" w:lineRule="auto"/>
        <w:jc w:val="left"/>
        <w:rPr>
          <w:color w:val="000000" w:themeColor="text1"/>
        </w:rPr>
      </w:pPr>
      <w:r>
        <w:rPr>
          <w:color w:val="000000" w:themeColor="text1"/>
        </w:rPr>
        <w:br w:type="page"/>
      </w:r>
    </w:p>
    <w:p w14:paraId="225E8D88" w14:textId="6F1E79E5" w:rsidR="005B6B28" w:rsidRPr="00033A3F" w:rsidRDefault="005B6B28" w:rsidP="005B6B28">
      <w:pPr>
        <w:pStyle w:val="Podnadpis"/>
        <w:numPr>
          <w:ilvl w:val="0"/>
          <w:numId w:val="0"/>
        </w:numPr>
        <w:rPr>
          <w:color w:val="000000" w:themeColor="text1"/>
        </w:rPr>
      </w:pPr>
      <w:bookmarkStart w:id="2569" w:name="_Toc515871506"/>
      <w:bookmarkStart w:id="2570" w:name="_Toc11133272"/>
      <w:bookmarkStart w:id="2571" w:name="_Toc43931254"/>
      <w:bookmarkStart w:id="2572" w:name="_Toc75952388"/>
      <w:bookmarkStart w:id="2573" w:name="_Toc106106841"/>
      <w:bookmarkStart w:id="2574" w:name="_Toc109802164"/>
      <w:bookmarkStart w:id="2575" w:name="_Toc144104323"/>
      <w:bookmarkStart w:id="2576" w:name="_Toc169251137"/>
      <w:bookmarkStart w:id="2577" w:name="_Toc174080823"/>
      <w:bookmarkStart w:id="2578" w:name="_Toc193530949"/>
      <w:bookmarkStart w:id="2579" w:name="_Toc194045646"/>
      <w:bookmarkStart w:id="2580" w:name="_Toc199495056"/>
      <w:bookmarkStart w:id="2581" w:name="_Toc203033117"/>
      <w:bookmarkStart w:id="2582" w:name="_Toc203033195"/>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75</w:t>
      </w:r>
      <w:r w:rsidRPr="00033A3F">
        <w:rPr>
          <w:color w:val="000000" w:themeColor="text1"/>
        </w:rPr>
        <w:fldChar w:fldCharType="end"/>
      </w:r>
      <w:r w:rsidRPr="00033A3F">
        <w:rPr>
          <w:color w:val="000000" w:themeColor="text1"/>
        </w:rPr>
        <w:t>: NSS – počet zaměstnanců ve výkonu</w:t>
      </w:r>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p>
    <w:tbl>
      <w:tblPr>
        <w:tblW w:w="5120" w:type="dxa"/>
        <w:tblCellMar>
          <w:left w:w="70" w:type="dxa"/>
          <w:right w:w="70" w:type="dxa"/>
        </w:tblCellMar>
        <w:tblLook w:val="04A0" w:firstRow="1" w:lastRow="0" w:firstColumn="1" w:lastColumn="0" w:noHBand="0" w:noVBand="1"/>
      </w:tblPr>
      <w:tblGrid>
        <w:gridCol w:w="3680"/>
        <w:gridCol w:w="1440"/>
      </w:tblGrid>
      <w:tr w:rsidR="00033A3F" w:rsidRPr="00033A3F" w14:paraId="3B274812" w14:textId="77777777" w:rsidTr="00EE1E80">
        <w:trPr>
          <w:trHeight w:val="345"/>
        </w:trPr>
        <w:tc>
          <w:tcPr>
            <w:tcW w:w="3680" w:type="dxa"/>
            <w:tcBorders>
              <w:top w:val="double" w:sz="6" w:space="0" w:color="auto"/>
              <w:left w:val="nil"/>
              <w:bottom w:val="double" w:sz="6" w:space="0" w:color="auto"/>
              <w:right w:val="nil"/>
            </w:tcBorders>
            <w:shd w:val="clear" w:color="auto" w:fill="auto"/>
            <w:noWrap/>
            <w:vAlign w:val="center"/>
            <w:hideMark/>
          </w:tcPr>
          <w:p w14:paraId="170746E9" w14:textId="77777777" w:rsidR="00BB1E01" w:rsidRPr="00033A3F" w:rsidRDefault="00BB1E01" w:rsidP="004C0D3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Funkce</w:t>
            </w:r>
          </w:p>
        </w:tc>
        <w:tc>
          <w:tcPr>
            <w:tcW w:w="1440" w:type="dxa"/>
            <w:tcBorders>
              <w:top w:val="double" w:sz="6" w:space="0" w:color="auto"/>
              <w:left w:val="nil"/>
              <w:bottom w:val="double" w:sz="6" w:space="0" w:color="auto"/>
              <w:right w:val="nil"/>
            </w:tcBorders>
            <w:shd w:val="clear" w:color="auto" w:fill="auto"/>
            <w:noWrap/>
            <w:vAlign w:val="center"/>
            <w:hideMark/>
          </w:tcPr>
          <w:p w14:paraId="0D38126B" w14:textId="77777777" w:rsidR="00BB1E01" w:rsidRPr="00033A3F" w:rsidRDefault="00BB1E01" w:rsidP="000567C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201D5801" w14:textId="77777777" w:rsidTr="00BB1E01">
        <w:trPr>
          <w:trHeight w:val="330"/>
        </w:trPr>
        <w:tc>
          <w:tcPr>
            <w:tcW w:w="3680" w:type="dxa"/>
            <w:tcBorders>
              <w:top w:val="nil"/>
              <w:left w:val="nil"/>
              <w:bottom w:val="single" w:sz="4" w:space="0" w:color="auto"/>
              <w:right w:val="nil"/>
            </w:tcBorders>
            <w:shd w:val="clear" w:color="auto" w:fill="auto"/>
            <w:noWrap/>
            <w:vAlign w:val="bottom"/>
            <w:hideMark/>
          </w:tcPr>
          <w:p w14:paraId="6D04B307" w14:textId="77777777" w:rsidR="00BB1E01" w:rsidRPr="00033A3F" w:rsidRDefault="00BB1E01" w:rsidP="00BB1E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6855013C" w14:textId="77777777" w:rsidR="00BB1E01" w:rsidRPr="00033A3F" w:rsidRDefault="00BB1E01" w:rsidP="00BB1E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w:t>
            </w:r>
          </w:p>
        </w:tc>
      </w:tr>
      <w:tr w:rsidR="00033A3F" w:rsidRPr="00033A3F" w14:paraId="62EB7A7D" w14:textId="77777777" w:rsidTr="00BB1E01">
        <w:trPr>
          <w:trHeight w:val="315"/>
        </w:trPr>
        <w:tc>
          <w:tcPr>
            <w:tcW w:w="3680" w:type="dxa"/>
            <w:tcBorders>
              <w:top w:val="nil"/>
              <w:left w:val="nil"/>
              <w:bottom w:val="single" w:sz="4" w:space="0" w:color="auto"/>
              <w:right w:val="nil"/>
            </w:tcBorders>
            <w:shd w:val="clear" w:color="auto" w:fill="auto"/>
            <w:noWrap/>
            <w:vAlign w:val="bottom"/>
            <w:hideMark/>
          </w:tcPr>
          <w:p w14:paraId="20C5E5D9" w14:textId="77777777" w:rsidR="00BB1E01" w:rsidRPr="00033A3F" w:rsidRDefault="00BB1E01" w:rsidP="00BB1E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630F743F" w14:textId="77777777" w:rsidR="00BB1E01" w:rsidRPr="00033A3F" w:rsidRDefault="00BB1E01" w:rsidP="00BB1E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p>
        </w:tc>
      </w:tr>
      <w:tr w:rsidR="00033A3F" w:rsidRPr="00033A3F" w14:paraId="3462E538" w14:textId="77777777" w:rsidTr="00BB1E01">
        <w:trPr>
          <w:trHeight w:val="315"/>
        </w:trPr>
        <w:tc>
          <w:tcPr>
            <w:tcW w:w="3680" w:type="dxa"/>
            <w:tcBorders>
              <w:top w:val="nil"/>
              <w:left w:val="nil"/>
              <w:bottom w:val="single" w:sz="4" w:space="0" w:color="auto"/>
              <w:right w:val="nil"/>
            </w:tcBorders>
            <w:shd w:val="clear" w:color="auto" w:fill="auto"/>
            <w:noWrap/>
            <w:vAlign w:val="bottom"/>
            <w:hideMark/>
          </w:tcPr>
          <w:p w14:paraId="7EC6F2EF" w14:textId="77777777" w:rsidR="00BB1E01" w:rsidRPr="00033A3F" w:rsidRDefault="00BB1E01" w:rsidP="00BB1E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3162BFC0" w14:textId="77777777" w:rsidR="00BB1E01" w:rsidRPr="00033A3F" w:rsidRDefault="00BB1E01" w:rsidP="00BB1E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r>
      <w:tr w:rsidR="00033A3F" w:rsidRPr="00033A3F" w14:paraId="5FBC7110" w14:textId="77777777" w:rsidTr="00BB1E01">
        <w:trPr>
          <w:trHeight w:val="330"/>
        </w:trPr>
        <w:tc>
          <w:tcPr>
            <w:tcW w:w="3680" w:type="dxa"/>
            <w:tcBorders>
              <w:top w:val="nil"/>
              <w:left w:val="nil"/>
              <w:bottom w:val="double" w:sz="6" w:space="0" w:color="auto"/>
              <w:right w:val="nil"/>
            </w:tcBorders>
            <w:shd w:val="clear" w:color="auto" w:fill="auto"/>
            <w:noWrap/>
            <w:vAlign w:val="bottom"/>
            <w:hideMark/>
          </w:tcPr>
          <w:p w14:paraId="51005F39" w14:textId="77777777" w:rsidR="00BB1E01" w:rsidRPr="00033A3F" w:rsidRDefault="00BB1E01" w:rsidP="00BB1E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1651EB4C" w14:textId="77777777" w:rsidR="00BB1E01" w:rsidRPr="00033A3F" w:rsidRDefault="00BB1E01" w:rsidP="00BB1E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r>
      <w:tr w:rsidR="00033A3F" w:rsidRPr="00033A3F" w14:paraId="7045BC71" w14:textId="77777777" w:rsidTr="00BB1E01">
        <w:trPr>
          <w:trHeight w:val="345"/>
        </w:trPr>
        <w:tc>
          <w:tcPr>
            <w:tcW w:w="3680" w:type="dxa"/>
            <w:tcBorders>
              <w:top w:val="nil"/>
              <w:left w:val="nil"/>
              <w:bottom w:val="double" w:sz="6" w:space="0" w:color="auto"/>
              <w:right w:val="nil"/>
            </w:tcBorders>
            <w:shd w:val="clear" w:color="auto" w:fill="auto"/>
            <w:noWrap/>
            <w:vAlign w:val="bottom"/>
            <w:hideMark/>
          </w:tcPr>
          <w:p w14:paraId="5B4A6454" w14:textId="77777777" w:rsidR="00BB1E01" w:rsidRPr="00033A3F" w:rsidRDefault="00BB1E01" w:rsidP="00BB1E0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c>
          <w:tcPr>
            <w:tcW w:w="1440" w:type="dxa"/>
            <w:tcBorders>
              <w:top w:val="nil"/>
              <w:left w:val="nil"/>
              <w:bottom w:val="double" w:sz="6" w:space="0" w:color="auto"/>
              <w:right w:val="nil"/>
            </w:tcBorders>
            <w:shd w:val="clear" w:color="auto" w:fill="auto"/>
            <w:noWrap/>
            <w:vAlign w:val="bottom"/>
            <w:hideMark/>
          </w:tcPr>
          <w:p w14:paraId="4FF7CB79" w14:textId="77777777" w:rsidR="00BB1E01" w:rsidRPr="00033A3F" w:rsidRDefault="00BB1E01" w:rsidP="00BB1E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126</w:t>
            </w:r>
          </w:p>
        </w:tc>
      </w:tr>
      <w:tr w:rsidR="00BB1E01" w:rsidRPr="00033A3F" w14:paraId="502C260B" w14:textId="77777777" w:rsidTr="00BB1E01">
        <w:trPr>
          <w:trHeight w:val="330"/>
        </w:trPr>
        <w:tc>
          <w:tcPr>
            <w:tcW w:w="3680" w:type="dxa"/>
            <w:tcBorders>
              <w:top w:val="nil"/>
              <w:left w:val="nil"/>
              <w:bottom w:val="nil"/>
              <w:right w:val="nil"/>
            </w:tcBorders>
            <w:shd w:val="clear" w:color="auto" w:fill="auto"/>
            <w:noWrap/>
            <w:vAlign w:val="bottom"/>
            <w:hideMark/>
          </w:tcPr>
          <w:p w14:paraId="3E5B32F0" w14:textId="77777777" w:rsidR="00BB1E01" w:rsidRPr="00033A3F" w:rsidRDefault="00BB1E01" w:rsidP="00BB1E01">
            <w:pPr>
              <w:spacing w:line="240" w:lineRule="auto"/>
              <w:jc w:val="center"/>
              <w:rPr>
                <w:rFonts w:eastAsia="Times New Roman"/>
                <w:b/>
                <w:bCs/>
                <w:color w:val="000000" w:themeColor="text1"/>
                <w:szCs w:val="24"/>
                <w:lang w:eastAsia="cs-CZ"/>
              </w:rPr>
            </w:pPr>
          </w:p>
        </w:tc>
        <w:tc>
          <w:tcPr>
            <w:tcW w:w="1440" w:type="dxa"/>
            <w:tcBorders>
              <w:top w:val="nil"/>
              <w:left w:val="nil"/>
              <w:bottom w:val="nil"/>
              <w:right w:val="nil"/>
            </w:tcBorders>
            <w:shd w:val="clear" w:color="auto" w:fill="auto"/>
            <w:noWrap/>
            <w:vAlign w:val="bottom"/>
            <w:hideMark/>
          </w:tcPr>
          <w:p w14:paraId="4BBDECA4" w14:textId="77777777" w:rsidR="00BB1E01" w:rsidRPr="00033A3F" w:rsidRDefault="00BB1E01" w:rsidP="00BB1E01">
            <w:pPr>
              <w:spacing w:line="240" w:lineRule="auto"/>
              <w:jc w:val="left"/>
              <w:rPr>
                <w:rFonts w:ascii="Times New Roman" w:eastAsia="Times New Roman" w:hAnsi="Times New Roman"/>
                <w:color w:val="000000" w:themeColor="text1"/>
                <w:sz w:val="20"/>
                <w:szCs w:val="20"/>
                <w:lang w:eastAsia="cs-CZ"/>
              </w:rPr>
            </w:pPr>
          </w:p>
        </w:tc>
      </w:tr>
    </w:tbl>
    <w:p w14:paraId="12DC5B4B" w14:textId="77777777" w:rsidR="005B6B28" w:rsidRPr="00033A3F" w:rsidRDefault="005B6B28" w:rsidP="005B6B28">
      <w:pPr>
        <w:rPr>
          <w:color w:val="000000" w:themeColor="text1"/>
        </w:rPr>
      </w:pPr>
    </w:p>
    <w:p w14:paraId="63ECF99C" w14:textId="77777777" w:rsidR="009C2F8C" w:rsidRPr="00033A3F" w:rsidRDefault="009C2F8C">
      <w:pPr>
        <w:spacing w:after="160" w:line="259" w:lineRule="auto"/>
        <w:jc w:val="left"/>
        <w:rPr>
          <w:rFonts w:eastAsia="Times New Roman"/>
          <w:b/>
          <w:bCs/>
          <w:color w:val="000000" w:themeColor="text1"/>
          <w:lang w:eastAsia="cs-CZ"/>
        </w:rPr>
      </w:pPr>
      <w:r w:rsidRPr="00033A3F">
        <w:rPr>
          <w:color w:val="000000" w:themeColor="text1"/>
          <w:lang w:eastAsia="cs-CZ"/>
        </w:rPr>
        <w:br w:type="page"/>
      </w:r>
    </w:p>
    <w:p w14:paraId="1E9CB7A5" w14:textId="793C409B" w:rsidR="008430BD" w:rsidRPr="00033A3F" w:rsidRDefault="008430BD" w:rsidP="008430BD">
      <w:pPr>
        <w:pStyle w:val="Nadpis2"/>
        <w:numPr>
          <w:ilvl w:val="1"/>
          <w:numId w:val="1"/>
        </w:numPr>
        <w:spacing w:before="120"/>
      </w:pPr>
      <w:bookmarkStart w:id="2583" w:name="_Toc487791312"/>
      <w:bookmarkStart w:id="2584" w:name="_Toc515871310"/>
      <w:bookmarkStart w:id="2585" w:name="_Toc106092825"/>
      <w:bookmarkStart w:id="2586" w:name="_Toc169250902"/>
      <w:bookmarkStart w:id="2587" w:name="_Toc193531064"/>
      <w:bookmarkStart w:id="2588" w:name="_Toc193957122"/>
      <w:bookmarkStart w:id="2589" w:name="_Toc203032810"/>
      <w:r w:rsidRPr="00033A3F">
        <w:lastRenderedPageBreak/>
        <w:t>Řízení o kasačních stížnostech</w:t>
      </w:r>
      <w:bookmarkEnd w:id="2583"/>
      <w:bookmarkEnd w:id="2584"/>
      <w:bookmarkEnd w:id="2585"/>
      <w:bookmarkEnd w:id="2586"/>
      <w:bookmarkEnd w:id="2587"/>
      <w:bookmarkEnd w:id="2588"/>
      <w:bookmarkEnd w:id="2589"/>
    </w:p>
    <w:p w14:paraId="6B2E3BFA" w14:textId="77777777" w:rsidR="005B6B28" w:rsidRPr="00033A3F" w:rsidRDefault="005B6B28" w:rsidP="005B6B28">
      <w:pPr>
        <w:pStyle w:val="OdstavecASR"/>
        <w:rPr>
          <w:color w:val="000000" w:themeColor="text1"/>
        </w:rPr>
      </w:pPr>
      <w:r w:rsidRPr="00033A3F">
        <w:rPr>
          <w:color w:val="000000" w:themeColor="text1"/>
        </w:rPr>
        <w:t>Rejstříky spadající do této agendy jsou popsány v úvodu této části.</w:t>
      </w:r>
    </w:p>
    <w:p w14:paraId="4FAD4D21" w14:textId="1652F0D0" w:rsidR="009C2F8C" w:rsidRPr="00033A3F" w:rsidRDefault="008430BD" w:rsidP="008430BD">
      <w:pPr>
        <w:pStyle w:val="Nadpis3"/>
        <w:numPr>
          <w:ilvl w:val="2"/>
          <w:numId w:val="1"/>
        </w:numPr>
        <w:rPr>
          <w:color w:val="000000" w:themeColor="text1"/>
        </w:rPr>
      </w:pPr>
      <w:bookmarkStart w:id="2590" w:name="_Toc515871311"/>
      <w:bookmarkStart w:id="2591" w:name="_Toc106092826"/>
      <w:bookmarkStart w:id="2592" w:name="_Toc169250903"/>
      <w:bookmarkStart w:id="2593" w:name="_Toc193531065"/>
      <w:bookmarkStart w:id="2594" w:name="_Toc193957123"/>
      <w:bookmarkStart w:id="2595" w:name="_Toc203032811"/>
      <w:r w:rsidRPr="00033A3F">
        <w:rPr>
          <w:color w:val="000000" w:themeColor="text1"/>
        </w:rPr>
        <w:t>Vyřizování věcí</w:t>
      </w:r>
      <w:bookmarkEnd w:id="2590"/>
      <w:bookmarkEnd w:id="2591"/>
      <w:bookmarkEnd w:id="2592"/>
      <w:bookmarkEnd w:id="2593"/>
      <w:bookmarkEnd w:id="2594"/>
      <w:bookmarkEnd w:id="2595"/>
    </w:p>
    <w:p w14:paraId="641DB997" w14:textId="77777777" w:rsidR="00B33298" w:rsidRPr="00033A3F" w:rsidRDefault="00B33298" w:rsidP="00B33298">
      <w:pPr>
        <w:pStyle w:val="OdstavecASR"/>
        <w:rPr>
          <w:color w:val="000000" w:themeColor="text1"/>
        </w:rPr>
      </w:pPr>
      <w:r w:rsidRPr="00033A3F">
        <w:rPr>
          <w:color w:val="000000" w:themeColor="text1"/>
        </w:rPr>
        <w:t>Srovnání nápadu v agendě kasačních stížností a počtu vyřízených věcí u krajských soudů ve správní agendě ukazuje, že průběh obou časových řad vykazuje značnou, i když ne úplnou podobnost. Můžeme tedy logicky dovodit, že nápad u NSS se odvíjí především od počtu pravomocně vyřízených věcí u krajských soudů.</w:t>
      </w:r>
    </w:p>
    <w:p w14:paraId="6365C619" w14:textId="49941ED9" w:rsidR="00B33298" w:rsidRPr="00033A3F" w:rsidRDefault="00B33298" w:rsidP="00B33298">
      <w:pPr>
        <w:pStyle w:val="OdstavecASR"/>
        <w:rPr>
          <w:color w:val="000000" w:themeColor="text1"/>
        </w:rPr>
      </w:pPr>
      <w:r w:rsidRPr="00033A3F">
        <w:rPr>
          <w:color w:val="000000" w:themeColor="text1"/>
        </w:rPr>
        <w:t>Od roku 2014 do roku 2019 pozorujeme trvalý růst nápadu. Od roku 2016 přitom soud již nestíhal vyřizovat svůj nápad, což logicky vyústilo v rychlý růst počtu nevyřízených věcí. V roce 2018 nárůst příchozích věcí zpomalil, ale nezastavil se. Počet příchozích věcí tak výrazně převýšil počet věcí vyřízených, a došlo tak k růstu v počtu nevyřízených věcí. V letech 2019 až 2021 došlo k výraznému růstu v počtu vyřízených věcí a rozdíl mezi věcmi příchozími a vyřízenými se tak zmenšil. Počet napadlých věcí ale stále převyšoval počet věcí vyřízených a dále tak rostl počet věcí nevyřízených. Až v roce 2022 došlo k výraznému poklesu (o 22 %) v počtu příchozích věcí, který byl očekáván s ohledem na pokles v prvostupňové agendě v předchozích letech. Počet vyřízených věcí klesl výrazně méně, a tak se poprvé od roku 2015 soudu podařilo snížit počet nevyřízených věcí. V letech 2023 a 2024 sice k dalšímu poklesu v počtu příchozích věcí nedošlo, ale počet vyřízených věcí převýšil počet věcí příchozích, a došlo k tak značnému poklesu v počtu nevyřízených věcí (asi o</w:t>
      </w:r>
      <w:r w:rsidR="00542EE2">
        <w:rPr>
          <w:color w:val="000000" w:themeColor="text1"/>
        </w:rPr>
        <w:t> </w:t>
      </w:r>
      <w:r w:rsidRPr="00033A3F">
        <w:rPr>
          <w:color w:val="000000" w:themeColor="text1"/>
        </w:rPr>
        <w:t>20 % v roce 2023 i v roce 2024). Počet nevyřízených věcí se tak dostal na úroveň roku 2017.</w:t>
      </w:r>
    </w:p>
    <w:p w14:paraId="526D8AAB" w14:textId="717EA192" w:rsidR="00B33298" w:rsidRPr="00033A3F" w:rsidRDefault="00B33298" w:rsidP="00B33298">
      <w:pPr>
        <w:pStyle w:val="Podnadpis"/>
        <w:numPr>
          <w:ilvl w:val="0"/>
          <w:numId w:val="0"/>
        </w:numPr>
        <w:rPr>
          <w:color w:val="000000" w:themeColor="text1"/>
        </w:rPr>
      </w:pPr>
      <w:bookmarkStart w:id="2596" w:name="_Toc43841489"/>
      <w:bookmarkStart w:id="2597" w:name="_Toc75952292"/>
      <w:bookmarkStart w:id="2598" w:name="_Toc106106748"/>
      <w:bookmarkStart w:id="2599" w:name="_Toc109802072"/>
      <w:bookmarkStart w:id="2600" w:name="_Toc144104223"/>
      <w:bookmarkStart w:id="2601" w:name="_Toc169251035"/>
      <w:bookmarkStart w:id="2602" w:name="_Toc174080721"/>
      <w:bookmarkStart w:id="2603" w:name="_Toc193530875"/>
      <w:bookmarkStart w:id="2604" w:name="_Toc193634149"/>
      <w:bookmarkStart w:id="2605" w:name="_Toc20303294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121</w:t>
      </w:r>
      <w:r w:rsidRPr="00033A3F">
        <w:rPr>
          <w:color w:val="000000" w:themeColor="text1"/>
        </w:rPr>
        <w:fldChar w:fldCharType="end"/>
      </w:r>
      <w:r w:rsidRPr="00033A3F">
        <w:rPr>
          <w:color w:val="000000" w:themeColor="text1"/>
        </w:rPr>
        <w:t>: NSS – vyřizování kasačních věcí v letech 2015–20</w:t>
      </w:r>
      <w:bookmarkEnd w:id="2596"/>
      <w:r w:rsidRPr="00033A3F">
        <w:rPr>
          <w:color w:val="000000" w:themeColor="text1"/>
        </w:rPr>
        <w:t>2</w:t>
      </w:r>
      <w:bookmarkEnd w:id="2597"/>
      <w:bookmarkEnd w:id="2598"/>
      <w:bookmarkEnd w:id="2599"/>
      <w:bookmarkEnd w:id="2600"/>
      <w:bookmarkEnd w:id="2601"/>
      <w:bookmarkEnd w:id="2602"/>
      <w:r w:rsidRPr="00033A3F">
        <w:rPr>
          <w:color w:val="000000" w:themeColor="text1"/>
        </w:rPr>
        <w:t>4</w:t>
      </w:r>
      <w:bookmarkEnd w:id="2603"/>
      <w:bookmarkEnd w:id="2604"/>
      <w:bookmarkEnd w:id="2605"/>
    </w:p>
    <w:p w14:paraId="108C2CD2" w14:textId="6E510FE1" w:rsidR="00496257" w:rsidRPr="00033A3F" w:rsidRDefault="00B33298">
      <w:pPr>
        <w:spacing w:after="160" w:line="259" w:lineRule="auto"/>
        <w:jc w:val="left"/>
        <w:rPr>
          <w:color w:val="000000" w:themeColor="text1"/>
        </w:rPr>
      </w:pPr>
      <w:r w:rsidRPr="00033A3F">
        <w:rPr>
          <w:noProof/>
          <w:color w:val="000000" w:themeColor="text1"/>
          <w:lang w:eastAsia="cs-CZ"/>
        </w:rPr>
        <w:drawing>
          <wp:inline distT="0" distB="0" distL="0" distR="0" wp14:anchorId="57B4192E" wp14:editId="06E68280">
            <wp:extent cx="5029200" cy="3657600"/>
            <wp:effectExtent l="0" t="0" r="0" b="0"/>
            <wp:docPr id="617136302"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6ED06BA" w14:textId="346B3991" w:rsidR="009C2F8C" w:rsidRPr="00033A3F" w:rsidRDefault="009C2F8C">
      <w:pPr>
        <w:spacing w:after="160" w:line="259" w:lineRule="auto"/>
        <w:jc w:val="left"/>
        <w:rPr>
          <w:rFonts w:eastAsia="Times New Roman"/>
          <w:b/>
          <w:bCs/>
          <w:color w:val="000000" w:themeColor="text1"/>
        </w:rPr>
      </w:pPr>
      <w:r w:rsidRPr="00033A3F">
        <w:rPr>
          <w:color w:val="000000" w:themeColor="text1"/>
        </w:rPr>
        <w:br w:type="page"/>
      </w:r>
    </w:p>
    <w:p w14:paraId="5BD9E643" w14:textId="5A49123C" w:rsidR="008430BD" w:rsidRPr="00033A3F" w:rsidRDefault="008430BD" w:rsidP="008430BD">
      <w:pPr>
        <w:pStyle w:val="Nadpis2"/>
        <w:numPr>
          <w:ilvl w:val="1"/>
          <w:numId w:val="1"/>
        </w:numPr>
        <w:spacing w:before="120"/>
        <w:rPr>
          <w:lang w:eastAsia="cs-CZ"/>
        </w:rPr>
      </w:pPr>
      <w:bookmarkStart w:id="2606" w:name="_Toc515871312"/>
      <w:bookmarkStart w:id="2607" w:name="_Toc106092827"/>
      <w:bookmarkStart w:id="2608" w:name="_Toc169250904"/>
      <w:bookmarkStart w:id="2609" w:name="_Toc193531066"/>
      <w:bookmarkStart w:id="2610" w:name="_Toc193957124"/>
      <w:bookmarkStart w:id="2611" w:name="_Toc203032812"/>
      <w:r w:rsidRPr="00033A3F">
        <w:rPr>
          <w:lang w:eastAsia="cs-CZ"/>
        </w:rPr>
        <w:lastRenderedPageBreak/>
        <w:t>Řízení ve věcech soudců</w:t>
      </w:r>
      <w:bookmarkEnd w:id="2606"/>
      <w:bookmarkEnd w:id="2607"/>
      <w:bookmarkEnd w:id="2608"/>
      <w:bookmarkEnd w:id="2609"/>
      <w:bookmarkEnd w:id="2610"/>
      <w:bookmarkEnd w:id="2611"/>
    </w:p>
    <w:p w14:paraId="7555558E" w14:textId="5BA24B95" w:rsidR="002E5743" w:rsidRPr="00033A3F" w:rsidRDefault="002E5743" w:rsidP="002E5743">
      <w:pPr>
        <w:rPr>
          <w:color w:val="000000" w:themeColor="text1"/>
        </w:rPr>
      </w:pPr>
      <w:bookmarkStart w:id="2612" w:name="_Hlk160450540"/>
      <w:r w:rsidRPr="00033A3F">
        <w:rPr>
          <w:color w:val="000000" w:themeColor="text1"/>
          <w:lang w:eastAsia="cs-CZ"/>
        </w:rPr>
        <w:t>Jedná s</w:t>
      </w:r>
      <w:r w:rsidRPr="00033A3F">
        <w:rPr>
          <w:color w:val="000000" w:themeColor="text1"/>
        </w:rPr>
        <w:t>e o řízení ve věcech kárné odpovědnosti soudců a ve věcech nezpůsobilosti soudce podle § 91 zákona o soudech a soudcích</w:t>
      </w:r>
      <w:r w:rsidR="000849C8" w:rsidRPr="000849C8">
        <w:rPr>
          <w:color w:val="000000" w:themeColor="text1"/>
          <w:vertAlign w:val="superscript"/>
        </w:rPr>
        <w:fldChar w:fldCharType="begin"/>
      </w:r>
      <w:r w:rsidR="000849C8" w:rsidRPr="000849C8">
        <w:rPr>
          <w:color w:val="000000" w:themeColor="text1"/>
          <w:vertAlign w:val="superscript"/>
        </w:rPr>
        <w:instrText xml:space="preserve"> NOTEREF _Ref202423720 \h </w:instrText>
      </w:r>
      <w:r w:rsidR="000849C8">
        <w:rPr>
          <w:color w:val="000000" w:themeColor="text1"/>
          <w:vertAlign w:val="superscript"/>
        </w:rPr>
        <w:instrText xml:space="preserve"> \* MERGEFORMAT </w:instrText>
      </w:r>
      <w:r w:rsidR="000849C8" w:rsidRPr="000849C8">
        <w:rPr>
          <w:color w:val="000000" w:themeColor="text1"/>
          <w:vertAlign w:val="superscript"/>
        </w:rPr>
      </w:r>
      <w:r w:rsidR="000849C8" w:rsidRPr="000849C8">
        <w:rPr>
          <w:color w:val="000000" w:themeColor="text1"/>
          <w:vertAlign w:val="superscript"/>
        </w:rPr>
        <w:fldChar w:fldCharType="separate"/>
      </w:r>
      <w:r w:rsidR="00163B51">
        <w:rPr>
          <w:color w:val="000000" w:themeColor="text1"/>
          <w:vertAlign w:val="superscript"/>
        </w:rPr>
        <w:t>19</w:t>
      </w:r>
      <w:r w:rsidR="000849C8" w:rsidRPr="000849C8">
        <w:rPr>
          <w:color w:val="000000" w:themeColor="text1"/>
          <w:vertAlign w:val="superscript"/>
        </w:rPr>
        <w:fldChar w:fldCharType="end"/>
      </w:r>
      <w:r w:rsidRPr="00033A3F">
        <w:rPr>
          <w:color w:val="000000" w:themeColor="text1"/>
        </w:rPr>
        <w:t xml:space="preserve">. </w:t>
      </w:r>
      <w:bookmarkEnd w:id="2612"/>
      <w:r w:rsidRPr="00033A3F">
        <w:rPr>
          <w:color w:val="000000" w:themeColor="text1"/>
        </w:rPr>
        <w:t>Věci jsou zapisovány do rejstříku Kss.</w:t>
      </w:r>
    </w:p>
    <w:p w14:paraId="73253215" w14:textId="27201B5E" w:rsidR="008430BD" w:rsidRPr="00033A3F" w:rsidRDefault="008430BD" w:rsidP="008430BD">
      <w:pPr>
        <w:pStyle w:val="Nadpis3"/>
        <w:numPr>
          <w:ilvl w:val="2"/>
          <w:numId w:val="1"/>
        </w:numPr>
        <w:rPr>
          <w:color w:val="000000" w:themeColor="text1"/>
          <w:lang w:eastAsia="cs-CZ"/>
        </w:rPr>
      </w:pPr>
      <w:bookmarkStart w:id="2613" w:name="_Toc515871313"/>
      <w:bookmarkStart w:id="2614" w:name="_Toc106092828"/>
      <w:bookmarkStart w:id="2615" w:name="_Toc169250905"/>
      <w:bookmarkStart w:id="2616" w:name="_Toc193531067"/>
      <w:bookmarkStart w:id="2617" w:name="_Toc193957125"/>
      <w:bookmarkStart w:id="2618" w:name="_Toc203032813"/>
      <w:r w:rsidRPr="00033A3F">
        <w:rPr>
          <w:color w:val="000000" w:themeColor="text1"/>
          <w:lang w:eastAsia="cs-CZ"/>
        </w:rPr>
        <w:t>Vyřizování věcí</w:t>
      </w:r>
      <w:bookmarkEnd w:id="2613"/>
      <w:bookmarkEnd w:id="2614"/>
      <w:bookmarkEnd w:id="2615"/>
      <w:bookmarkEnd w:id="2616"/>
      <w:bookmarkEnd w:id="2617"/>
      <w:bookmarkEnd w:id="2618"/>
    </w:p>
    <w:p w14:paraId="7DD7D530" w14:textId="3742A261" w:rsidR="00097D58" w:rsidRPr="00033A3F" w:rsidRDefault="00097D58" w:rsidP="00097D58">
      <w:pPr>
        <w:pStyle w:val="Podnadpis"/>
        <w:numPr>
          <w:ilvl w:val="0"/>
          <w:numId w:val="0"/>
        </w:numPr>
        <w:rPr>
          <w:color w:val="000000" w:themeColor="text1"/>
        </w:rPr>
      </w:pPr>
      <w:bookmarkStart w:id="2619" w:name="_Toc193530876"/>
      <w:bookmarkStart w:id="2620" w:name="_Toc193634150"/>
      <w:bookmarkStart w:id="2621" w:name="_Toc20303294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122</w:t>
      </w:r>
      <w:r w:rsidRPr="00033A3F">
        <w:rPr>
          <w:color w:val="000000" w:themeColor="text1"/>
        </w:rPr>
        <w:fldChar w:fldCharType="end"/>
      </w:r>
      <w:r w:rsidRPr="00033A3F">
        <w:rPr>
          <w:color w:val="000000" w:themeColor="text1"/>
        </w:rPr>
        <w:t>: NSS – vyřizování věcí kárné odpovědnosti soudců v letech 2015–2024</w:t>
      </w:r>
      <w:bookmarkEnd w:id="2619"/>
      <w:bookmarkEnd w:id="2620"/>
      <w:bookmarkEnd w:id="2621"/>
    </w:p>
    <w:p w14:paraId="09B11234" w14:textId="3B2CF709" w:rsidR="002E5743" w:rsidRPr="00033A3F" w:rsidRDefault="002E5743" w:rsidP="002E5743">
      <w:pPr>
        <w:rPr>
          <w:color w:val="000000" w:themeColor="text1"/>
          <w:lang w:eastAsia="cs-CZ"/>
        </w:rPr>
      </w:pPr>
      <w:r w:rsidRPr="00033A3F">
        <w:rPr>
          <w:noProof/>
          <w:color w:val="000000" w:themeColor="text1"/>
          <w:lang w:eastAsia="cs-CZ"/>
        </w:rPr>
        <w:drawing>
          <wp:inline distT="0" distB="0" distL="0" distR="0" wp14:anchorId="353BDC00" wp14:editId="373C06FC">
            <wp:extent cx="5029200" cy="3657600"/>
            <wp:effectExtent l="0" t="0" r="0" b="0"/>
            <wp:docPr id="388335413"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C75B4FA" w14:textId="5A585440" w:rsidR="002E5743" w:rsidRPr="00033A3F" w:rsidRDefault="002E5743" w:rsidP="002E5743">
      <w:pPr>
        <w:pStyle w:val="OdstavecASR"/>
        <w:rPr>
          <w:color w:val="000000" w:themeColor="text1"/>
          <w:lang w:eastAsia="cs-CZ"/>
        </w:rPr>
      </w:pPr>
      <w:r w:rsidRPr="00033A3F">
        <w:rPr>
          <w:color w:val="000000" w:themeColor="text1"/>
        </w:rPr>
        <w:t>Oproti agendě kasačních stížností je tato agenda velmi malá. Z toho také plyne velká variabilita. U takto malých čísel je možné, aby se v jeden rok „sešlo“ vyšší množství podaných kárných žalob, případně návrhů na zahájení řízení o způsobilosti soudce. V absolutních číslech se ale jedná o změny malé.</w:t>
      </w:r>
      <w:r w:rsidRPr="00033A3F">
        <w:rPr>
          <w:color w:val="000000" w:themeColor="text1"/>
          <w:lang w:eastAsia="cs-CZ"/>
        </w:rPr>
        <w:t xml:space="preserve"> V následující tabulce jsou zobrazeny podrobnější údaje o výsledku řízení.</w:t>
      </w:r>
    </w:p>
    <w:p w14:paraId="5989AF9D" w14:textId="30C1CF80" w:rsidR="00097D58" w:rsidRPr="00033A3F" w:rsidRDefault="00097D58" w:rsidP="00097D58">
      <w:pPr>
        <w:pStyle w:val="Podnadpis"/>
        <w:numPr>
          <w:ilvl w:val="0"/>
          <w:numId w:val="0"/>
        </w:numPr>
        <w:rPr>
          <w:color w:val="000000" w:themeColor="text1"/>
        </w:rPr>
      </w:pPr>
      <w:bookmarkStart w:id="2622" w:name="_Toc193530950"/>
      <w:bookmarkStart w:id="2623" w:name="_Toc194045647"/>
      <w:bookmarkStart w:id="2624" w:name="_Toc199495057"/>
      <w:bookmarkStart w:id="2625" w:name="_Toc203033118"/>
      <w:bookmarkStart w:id="2626" w:name="_Toc203033196"/>
      <w:bookmarkStart w:id="2627" w:name="_Toc169251037"/>
      <w:bookmarkStart w:id="2628" w:name="_Toc17408072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76</w:t>
      </w:r>
      <w:r w:rsidRPr="00033A3F">
        <w:rPr>
          <w:noProof/>
          <w:color w:val="000000" w:themeColor="text1"/>
        </w:rPr>
        <w:fldChar w:fldCharType="end"/>
      </w:r>
      <w:r w:rsidRPr="00033A3F">
        <w:rPr>
          <w:color w:val="000000" w:themeColor="text1"/>
        </w:rPr>
        <w:t>: NSS – vyřizování věcí kárné odpovědnosti soudců dle výsledku</w:t>
      </w:r>
      <w:bookmarkEnd w:id="2622"/>
      <w:bookmarkEnd w:id="2623"/>
      <w:bookmarkEnd w:id="2624"/>
      <w:bookmarkEnd w:id="2625"/>
      <w:bookmarkEnd w:id="2626"/>
    </w:p>
    <w:tbl>
      <w:tblPr>
        <w:tblW w:w="7800" w:type="dxa"/>
        <w:tblCellMar>
          <w:left w:w="70" w:type="dxa"/>
          <w:right w:w="70" w:type="dxa"/>
        </w:tblCellMar>
        <w:tblLook w:val="04A0" w:firstRow="1" w:lastRow="0" w:firstColumn="1" w:lastColumn="0" w:noHBand="0" w:noVBand="1"/>
      </w:tblPr>
      <w:tblGrid>
        <w:gridCol w:w="1080"/>
        <w:gridCol w:w="1680"/>
        <w:gridCol w:w="1680"/>
        <w:gridCol w:w="1680"/>
        <w:gridCol w:w="1680"/>
      </w:tblGrid>
      <w:tr w:rsidR="00033A3F" w:rsidRPr="00033A3F" w14:paraId="4EFA85ED" w14:textId="77777777" w:rsidTr="004C0D35">
        <w:trPr>
          <w:trHeight w:val="345"/>
        </w:trPr>
        <w:tc>
          <w:tcPr>
            <w:tcW w:w="1080" w:type="dxa"/>
            <w:tcBorders>
              <w:top w:val="double" w:sz="6" w:space="0" w:color="auto"/>
              <w:left w:val="nil"/>
              <w:bottom w:val="double" w:sz="6" w:space="0" w:color="auto"/>
              <w:right w:val="nil"/>
            </w:tcBorders>
            <w:shd w:val="clear" w:color="auto" w:fill="auto"/>
            <w:noWrap/>
            <w:vAlign w:val="center"/>
            <w:hideMark/>
          </w:tcPr>
          <w:p w14:paraId="4B8B71BA" w14:textId="77777777" w:rsidR="002E5743" w:rsidRPr="00033A3F" w:rsidRDefault="002E5743" w:rsidP="002E5743">
            <w:pPr>
              <w:spacing w:line="240" w:lineRule="auto"/>
              <w:jc w:val="center"/>
              <w:rPr>
                <w:b/>
                <w:color w:val="000000" w:themeColor="text1"/>
              </w:rPr>
            </w:pPr>
            <w:r w:rsidRPr="00033A3F">
              <w:rPr>
                <w:b/>
                <w:color w:val="000000" w:themeColor="text1"/>
              </w:rPr>
              <w:t>Rok</w:t>
            </w:r>
          </w:p>
        </w:tc>
        <w:tc>
          <w:tcPr>
            <w:tcW w:w="1680" w:type="dxa"/>
            <w:tcBorders>
              <w:top w:val="double" w:sz="6" w:space="0" w:color="auto"/>
              <w:left w:val="nil"/>
              <w:bottom w:val="double" w:sz="6" w:space="0" w:color="auto"/>
              <w:right w:val="nil"/>
            </w:tcBorders>
            <w:shd w:val="clear" w:color="auto" w:fill="auto"/>
            <w:noWrap/>
            <w:vAlign w:val="center"/>
            <w:hideMark/>
          </w:tcPr>
          <w:p w14:paraId="3F96D146" w14:textId="77777777" w:rsidR="002E5743" w:rsidRPr="00033A3F" w:rsidRDefault="002E5743" w:rsidP="002E5743">
            <w:pPr>
              <w:spacing w:line="240" w:lineRule="auto"/>
              <w:jc w:val="center"/>
              <w:rPr>
                <w:b/>
                <w:color w:val="000000" w:themeColor="text1"/>
              </w:rPr>
            </w:pPr>
            <w:r w:rsidRPr="00033A3F">
              <w:rPr>
                <w:b/>
                <w:color w:val="000000" w:themeColor="text1"/>
              </w:rPr>
              <w:t>Uznáno vinnými</w:t>
            </w:r>
          </w:p>
        </w:tc>
        <w:tc>
          <w:tcPr>
            <w:tcW w:w="1680" w:type="dxa"/>
            <w:tcBorders>
              <w:top w:val="double" w:sz="6" w:space="0" w:color="auto"/>
              <w:left w:val="nil"/>
              <w:bottom w:val="double" w:sz="6" w:space="0" w:color="auto"/>
              <w:right w:val="nil"/>
            </w:tcBorders>
            <w:shd w:val="clear" w:color="auto" w:fill="auto"/>
            <w:noWrap/>
            <w:vAlign w:val="center"/>
            <w:hideMark/>
          </w:tcPr>
          <w:p w14:paraId="17E74911" w14:textId="77777777" w:rsidR="002E5743" w:rsidRPr="00033A3F" w:rsidRDefault="002E5743" w:rsidP="002E5743">
            <w:pPr>
              <w:spacing w:line="240" w:lineRule="auto"/>
              <w:jc w:val="center"/>
              <w:rPr>
                <w:b/>
                <w:color w:val="000000" w:themeColor="text1"/>
              </w:rPr>
            </w:pPr>
            <w:r w:rsidRPr="00033A3F">
              <w:rPr>
                <w:b/>
                <w:color w:val="000000" w:themeColor="text1"/>
              </w:rPr>
              <w:t>Zproštěno</w:t>
            </w:r>
          </w:p>
        </w:tc>
        <w:tc>
          <w:tcPr>
            <w:tcW w:w="1680" w:type="dxa"/>
            <w:tcBorders>
              <w:top w:val="double" w:sz="6" w:space="0" w:color="auto"/>
              <w:left w:val="nil"/>
              <w:bottom w:val="double" w:sz="6" w:space="0" w:color="auto"/>
              <w:right w:val="nil"/>
            </w:tcBorders>
            <w:shd w:val="clear" w:color="auto" w:fill="auto"/>
            <w:noWrap/>
            <w:vAlign w:val="center"/>
            <w:hideMark/>
          </w:tcPr>
          <w:p w14:paraId="1EEAD477" w14:textId="77777777" w:rsidR="002E5743" w:rsidRPr="00033A3F" w:rsidRDefault="002E5743" w:rsidP="002E5743">
            <w:pPr>
              <w:spacing w:line="240" w:lineRule="auto"/>
              <w:jc w:val="center"/>
              <w:rPr>
                <w:b/>
                <w:color w:val="000000" w:themeColor="text1"/>
              </w:rPr>
            </w:pPr>
            <w:r w:rsidRPr="00033A3F">
              <w:rPr>
                <w:b/>
                <w:color w:val="000000" w:themeColor="text1"/>
              </w:rPr>
              <w:t>Zastaveno</w:t>
            </w:r>
          </w:p>
        </w:tc>
        <w:tc>
          <w:tcPr>
            <w:tcW w:w="1680" w:type="dxa"/>
            <w:tcBorders>
              <w:top w:val="double" w:sz="6" w:space="0" w:color="auto"/>
              <w:left w:val="nil"/>
              <w:bottom w:val="double" w:sz="6" w:space="0" w:color="auto"/>
              <w:right w:val="nil"/>
            </w:tcBorders>
            <w:shd w:val="clear" w:color="auto" w:fill="auto"/>
            <w:noWrap/>
            <w:vAlign w:val="center"/>
            <w:hideMark/>
          </w:tcPr>
          <w:p w14:paraId="31E5910E" w14:textId="77777777" w:rsidR="002E5743" w:rsidRPr="00033A3F" w:rsidRDefault="002E5743" w:rsidP="002E5743">
            <w:pPr>
              <w:spacing w:line="240" w:lineRule="auto"/>
              <w:jc w:val="center"/>
              <w:rPr>
                <w:b/>
                <w:color w:val="000000" w:themeColor="text1"/>
              </w:rPr>
            </w:pPr>
            <w:r w:rsidRPr="00033A3F">
              <w:rPr>
                <w:b/>
                <w:color w:val="000000" w:themeColor="text1"/>
              </w:rPr>
              <w:t>Jinak</w:t>
            </w:r>
          </w:p>
        </w:tc>
      </w:tr>
      <w:tr w:rsidR="00033A3F" w:rsidRPr="00033A3F" w14:paraId="27D66133" w14:textId="77777777" w:rsidTr="002E5743">
        <w:trPr>
          <w:trHeight w:val="330"/>
        </w:trPr>
        <w:tc>
          <w:tcPr>
            <w:tcW w:w="1080" w:type="dxa"/>
            <w:tcBorders>
              <w:top w:val="single" w:sz="4" w:space="0" w:color="auto"/>
              <w:left w:val="nil"/>
              <w:bottom w:val="single" w:sz="4" w:space="0" w:color="auto"/>
              <w:right w:val="nil"/>
            </w:tcBorders>
            <w:shd w:val="clear" w:color="auto" w:fill="auto"/>
            <w:noWrap/>
            <w:vAlign w:val="bottom"/>
            <w:hideMark/>
          </w:tcPr>
          <w:p w14:paraId="7BF0A5A4" w14:textId="77777777" w:rsidR="002E5743" w:rsidRPr="00033A3F" w:rsidRDefault="002E5743" w:rsidP="002E5743">
            <w:pPr>
              <w:spacing w:line="240" w:lineRule="auto"/>
              <w:jc w:val="center"/>
              <w:rPr>
                <w:color w:val="000000" w:themeColor="text1"/>
              </w:rPr>
            </w:pPr>
            <w:r w:rsidRPr="00033A3F">
              <w:rPr>
                <w:color w:val="000000" w:themeColor="text1"/>
              </w:rPr>
              <w:t>2015</w:t>
            </w:r>
          </w:p>
        </w:tc>
        <w:tc>
          <w:tcPr>
            <w:tcW w:w="1680" w:type="dxa"/>
            <w:tcBorders>
              <w:top w:val="single" w:sz="4" w:space="0" w:color="auto"/>
              <w:left w:val="nil"/>
              <w:bottom w:val="single" w:sz="4" w:space="0" w:color="auto"/>
              <w:right w:val="nil"/>
            </w:tcBorders>
            <w:shd w:val="clear" w:color="auto" w:fill="auto"/>
            <w:noWrap/>
            <w:vAlign w:val="bottom"/>
            <w:hideMark/>
          </w:tcPr>
          <w:p w14:paraId="5A0F8EE5" w14:textId="77777777" w:rsidR="002E5743" w:rsidRPr="00033A3F" w:rsidRDefault="002E5743" w:rsidP="002E5743">
            <w:pPr>
              <w:spacing w:line="240" w:lineRule="auto"/>
              <w:jc w:val="center"/>
              <w:rPr>
                <w:color w:val="000000" w:themeColor="text1"/>
              </w:rPr>
            </w:pPr>
            <w:r w:rsidRPr="00033A3F">
              <w:rPr>
                <w:color w:val="000000" w:themeColor="text1"/>
              </w:rPr>
              <w:t>12</w:t>
            </w:r>
          </w:p>
        </w:tc>
        <w:tc>
          <w:tcPr>
            <w:tcW w:w="1680" w:type="dxa"/>
            <w:tcBorders>
              <w:top w:val="single" w:sz="4" w:space="0" w:color="auto"/>
              <w:left w:val="nil"/>
              <w:bottom w:val="single" w:sz="4" w:space="0" w:color="auto"/>
              <w:right w:val="nil"/>
            </w:tcBorders>
            <w:shd w:val="clear" w:color="auto" w:fill="auto"/>
            <w:noWrap/>
            <w:vAlign w:val="bottom"/>
            <w:hideMark/>
          </w:tcPr>
          <w:p w14:paraId="21E9CD05"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single" w:sz="4" w:space="0" w:color="auto"/>
              <w:left w:val="nil"/>
              <w:bottom w:val="single" w:sz="4" w:space="0" w:color="auto"/>
              <w:right w:val="nil"/>
            </w:tcBorders>
            <w:shd w:val="clear" w:color="auto" w:fill="auto"/>
            <w:noWrap/>
            <w:vAlign w:val="bottom"/>
            <w:hideMark/>
          </w:tcPr>
          <w:p w14:paraId="216B0CE3"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single" w:sz="4" w:space="0" w:color="auto"/>
              <w:left w:val="nil"/>
              <w:bottom w:val="single" w:sz="4" w:space="0" w:color="auto"/>
              <w:right w:val="nil"/>
            </w:tcBorders>
            <w:shd w:val="clear" w:color="auto" w:fill="auto"/>
            <w:noWrap/>
            <w:vAlign w:val="bottom"/>
            <w:hideMark/>
          </w:tcPr>
          <w:p w14:paraId="22DA32AA" w14:textId="77777777" w:rsidR="002E5743" w:rsidRPr="00033A3F" w:rsidRDefault="002E5743" w:rsidP="002E5743">
            <w:pPr>
              <w:spacing w:line="240" w:lineRule="auto"/>
              <w:jc w:val="center"/>
              <w:rPr>
                <w:color w:val="000000" w:themeColor="text1"/>
              </w:rPr>
            </w:pPr>
            <w:r w:rsidRPr="00033A3F">
              <w:rPr>
                <w:color w:val="000000" w:themeColor="text1"/>
              </w:rPr>
              <w:t>0</w:t>
            </w:r>
          </w:p>
        </w:tc>
      </w:tr>
      <w:tr w:rsidR="00033A3F" w:rsidRPr="00033A3F" w14:paraId="4A9621B9"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665BB944" w14:textId="77777777" w:rsidR="002E5743" w:rsidRPr="00033A3F" w:rsidRDefault="002E5743" w:rsidP="002E5743">
            <w:pPr>
              <w:spacing w:line="240" w:lineRule="auto"/>
              <w:jc w:val="center"/>
              <w:rPr>
                <w:color w:val="000000" w:themeColor="text1"/>
              </w:rPr>
            </w:pPr>
            <w:r w:rsidRPr="00033A3F">
              <w:rPr>
                <w:color w:val="000000" w:themeColor="text1"/>
              </w:rPr>
              <w:t>2016</w:t>
            </w:r>
          </w:p>
        </w:tc>
        <w:tc>
          <w:tcPr>
            <w:tcW w:w="1680" w:type="dxa"/>
            <w:tcBorders>
              <w:top w:val="nil"/>
              <w:left w:val="nil"/>
              <w:bottom w:val="single" w:sz="4" w:space="0" w:color="auto"/>
              <w:right w:val="nil"/>
            </w:tcBorders>
            <w:shd w:val="clear" w:color="auto" w:fill="auto"/>
            <w:noWrap/>
            <w:vAlign w:val="bottom"/>
            <w:hideMark/>
          </w:tcPr>
          <w:p w14:paraId="67DF5A70" w14:textId="77777777" w:rsidR="002E5743" w:rsidRPr="00033A3F" w:rsidRDefault="002E5743" w:rsidP="002E5743">
            <w:pPr>
              <w:spacing w:line="240" w:lineRule="auto"/>
              <w:jc w:val="center"/>
              <w:rPr>
                <w:color w:val="000000" w:themeColor="text1"/>
              </w:rPr>
            </w:pPr>
            <w:r w:rsidRPr="00033A3F">
              <w:rPr>
                <w:color w:val="000000" w:themeColor="text1"/>
              </w:rPr>
              <w:t>9</w:t>
            </w:r>
          </w:p>
        </w:tc>
        <w:tc>
          <w:tcPr>
            <w:tcW w:w="1680" w:type="dxa"/>
            <w:tcBorders>
              <w:top w:val="nil"/>
              <w:left w:val="nil"/>
              <w:bottom w:val="single" w:sz="4" w:space="0" w:color="auto"/>
              <w:right w:val="nil"/>
            </w:tcBorders>
            <w:shd w:val="clear" w:color="auto" w:fill="auto"/>
            <w:noWrap/>
            <w:vAlign w:val="bottom"/>
            <w:hideMark/>
          </w:tcPr>
          <w:p w14:paraId="7E9D7ABD"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nil"/>
              <w:left w:val="nil"/>
              <w:bottom w:val="single" w:sz="4" w:space="0" w:color="auto"/>
              <w:right w:val="nil"/>
            </w:tcBorders>
            <w:shd w:val="clear" w:color="auto" w:fill="auto"/>
            <w:noWrap/>
            <w:vAlign w:val="bottom"/>
            <w:hideMark/>
          </w:tcPr>
          <w:p w14:paraId="7A7A8EC1" w14:textId="77777777" w:rsidR="002E5743" w:rsidRPr="00033A3F" w:rsidRDefault="002E5743" w:rsidP="002E5743">
            <w:pPr>
              <w:spacing w:line="240" w:lineRule="auto"/>
              <w:jc w:val="center"/>
              <w:rPr>
                <w:color w:val="000000" w:themeColor="text1"/>
              </w:rPr>
            </w:pPr>
            <w:r w:rsidRPr="00033A3F">
              <w:rPr>
                <w:color w:val="000000" w:themeColor="text1"/>
              </w:rPr>
              <w:t>8</w:t>
            </w:r>
          </w:p>
        </w:tc>
        <w:tc>
          <w:tcPr>
            <w:tcW w:w="1680" w:type="dxa"/>
            <w:tcBorders>
              <w:top w:val="nil"/>
              <w:left w:val="nil"/>
              <w:bottom w:val="single" w:sz="4" w:space="0" w:color="auto"/>
              <w:right w:val="nil"/>
            </w:tcBorders>
            <w:shd w:val="clear" w:color="auto" w:fill="auto"/>
            <w:noWrap/>
            <w:vAlign w:val="bottom"/>
            <w:hideMark/>
          </w:tcPr>
          <w:p w14:paraId="4AC38A1C" w14:textId="77777777" w:rsidR="002E5743" w:rsidRPr="00033A3F" w:rsidRDefault="002E5743" w:rsidP="002E5743">
            <w:pPr>
              <w:spacing w:line="240" w:lineRule="auto"/>
              <w:jc w:val="center"/>
              <w:rPr>
                <w:color w:val="000000" w:themeColor="text1"/>
              </w:rPr>
            </w:pPr>
            <w:r w:rsidRPr="00033A3F">
              <w:rPr>
                <w:color w:val="000000" w:themeColor="text1"/>
              </w:rPr>
              <w:t>0</w:t>
            </w:r>
          </w:p>
        </w:tc>
      </w:tr>
      <w:tr w:rsidR="00033A3F" w:rsidRPr="00033A3F" w14:paraId="6F702D68"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7C988FF8" w14:textId="77777777" w:rsidR="002E5743" w:rsidRPr="00033A3F" w:rsidRDefault="002E5743" w:rsidP="002E5743">
            <w:pPr>
              <w:spacing w:line="240" w:lineRule="auto"/>
              <w:jc w:val="center"/>
              <w:rPr>
                <w:color w:val="000000" w:themeColor="text1"/>
              </w:rPr>
            </w:pPr>
            <w:r w:rsidRPr="00033A3F">
              <w:rPr>
                <w:color w:val="000000" w:themeColor="text1"/>
              </w:rPr>
              <w:t>2017</w:t>
            </w:r>
          </w:p>
        </w:tc>
        <w:tc>
          <w:tcPr>
            <w:tcW w:w="1680" w:type="dxa"/>
            <w:tcBorders>
              <w:top w:val="single" w:sz="4" w:space="0" w:color="auto"/>
              <w:left w:val="nil"/>
              <w:bottom w:val="single" w:sz="4" w:space="0" w:color="auto"/>
              <w:right w:val="nil"/>
            </w:tcBorders>
            <w:shd w:val="clear" w:color="auto" w:fill="auto"/>
            <w:noWrap/>
            <w:vAlign w:val="bottom"/>
            <w:hideMark/>
          </w:tcPr>
          <w:p w14:paraId="03D80E2A" w14:textId="77777777" w:rsidR="002E5743" w:rsidRPr="00033A3F" w:rsidRDefault="002E5743" w:rsidP="002E5743">
            <w:pPr>
              <w:spacing w:line="240" w:lineRule="auto"/>
              <w:jc w:val="center"/>
              <w:rPr>
                <w:color w:val="000000" w:themeColor="text1"/>
              </w:rPr>
            </w:pPr>
            <w:r w:rsidRPr="00033A3F">
              <w:rPr>
                <w:color w:val="000000" w:themeColor="text1"/>
              </w:rPr>
              <w:t>7</w:t>
            </w:r>
          </w:p>
        </w:tc>
        <w:tc>
          <w:tcPr>
            <w:tcW w:w="1680" w:type="dxa"/>
            <w:tcBorders>
              <w:top w:val="single" w:sz="4" w:space="0" w:color="auto"/>
              <w:left w:val="nil"/>
              <w:bottom w:val="single" w:sz="4" w:space="0" w:color="auto"/>
              <w:right w:val="nil"/>
            </w:tcBorders>
            <w:shd w:val="clear" w:color="auto" w:fill="auto"/>
            <w:noWrap/>
            <w:vAlign w:val="bottom"/>
            <w:hideMark/>
          </w:tcPr>
          <w:p w14:paraId="12A4187C"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single" w:sz="4" w:space="0" w:color="auto"/>
              <w:left w:val="nil"/>
              <w:bottom w:val="single" w:sz="4" w:space="0" w:color="auto"/>
              <w:right w:val="nil"/>
            </w:tcBorders>
            <w:shd w:val="clear" w:color="auto" w:fill="auto"/>
            <w:noWrap/>
            <w:vAlign w:val="bottom"/>
            <w:hideMark/>
          </w:tcPr>
          <w:p w14:paraId="3C4BFB81" w14:textId="77777777" w:rsidR="002E5743" w:rsidRPr="00033A3F" w:rsidRDefault="002E5743" w:rsidP="002E5743">
            <w:pPr>
              <w:spacing w:line="240" w:lineRule="auto"/>
              <w:jc w:val="center"/>
              <w:rPr>
                <w:color w:val="000000" w:themeColor="text1"/>
              </w:rPr>
            </w:pPr>
            <w:r w:rsidRPr="00033A3F">
              <w:rPr>
                <w:color w:val="000000" w:themeColor="text1"/>
              </w:rPr>
              <w:t>6</w:t>
            </w:r>
          </w:p>
        </w:tc>
        <w:tc>
          <w:tcPr>
            <w:tcW w:w="1680" w:type="dxa"/>
            <w:tcBorders>
              <w:top w:val="single" w:sz="4" w:space="0" w:color="auto"/>
              <w:left w:val="nil"/>
              <w:bottom w:val="single" w:sz="4" w:space="0" w:color="auto"/>
              <w:right w:val="nil"/>
            </w:tcBorders>
            <w:shd w:val="clear" w:color="auto" w:fill="auto"/>
            <w:noWrap/>
            <w:vAlign w:val="bottom"/>
            <w:hideMark/>
          </w:tcPr>
          <w:p w14:paraId="49FC4F04" w14:textId="77777777" w:rsidR="002E5743" w:rsidRPr="00033A3F" w:rsidRDefault="002E5743" w:rsidP="002E5743">
            <w:pPr>
              <w:spacing w:line="240" w:lineRule="auto"/>
              <w:jc w:val="center"/>
              <w:rPr>
                <w:color w:val="000000" w:themeColor="text1"/>
              </w:rPr>
            </w:pPr>
            <w:r w:rsidRPr="00033A3F">
              <w:rPr>
                <w:color w:val="000000" w:themeColor="text1"/>
              </w:rPr>
              <w:t>3</w:t>
            </w:r>
          </w:p>
        </w:tc>
      </w:tr>
      <w:tr w:rsidR="00033A3F" w:rsidRPr="00033A3F" w14:paraId="0931BB7D"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3D8AF0A2" w14:textId="77777777" w:rsidR="002E5743" w:rsidRPr="00033A3F" w:rsidRDefault="002E5743" w:rsidP="002E5743">
            <w:pPr>
              <w:spacing w:line="240" w:lineRule="auto"/>
              <w:jc w:val="center"/>
              <w:rPr>
                <w:color w:val="000000" w:themeColor="text1"/>
              </w:rPr>
            </w:pPr>
            <w:r w:rsidRPr="00033A3F">
              <w:rPr>
                <w:color w:val="000000" w:themeColor="text1"/>
              </w:rPr>
              <w:t>2018</w:t>
            </w:r>
          </w:p>
        </w:tc>
        <w:tc>
          <w:tcPr>
            <w:tcW w:w="1680" w:type="dxa"/>
            <w:tcBorders>
              <w:top w:val="nil"/>
              <w:left w:val="nil"/>
              <w:bottom w:val="single" w:sz="4" w:space="0" w:color="auto"/>
              <w:right w:val="nil"/>
            </w:tcBorders>
            <w:shd w:val="clear" w:color="auto" w:fill="auto"/>
            <w:noWrap/>
            <w:vAlign w:val="bottom"/>
            <w:hideMark/>
          </w:tcPr>
          <w:p w14:paraId="163E4874" w14:textId="77777777" w:rsidR="002E5743" w:rsidRPr="00033A3F" w:rsidRDefault="002E5743" w:rsidP="002E5743">
            <w:pPr>
              <w:spacing w:line="240" w:lineRule="auto"/>
              <w:jc w:val="center"/>
              <w:rPr>
                <w:color w:val="000000" w:themeColor="text1"/>
              </w:rPr>
            </w:pPr>
            <w:r w:rsidRPr="00033A3F">
              <w:rPr>
                <w:color w:val="000000" w:themeColor="text1"/>
              </w:rPr>
              <w:t>10</w:t>
            </w:r>
          </w:p>
        </w:tc>
        <w:tc>
          <w:tcPr>
            <w:tcW w:w="1680" w:type="dxa"/>
            <w:tcBorders>
              <w:top w:val="nil"/>
              <w:left w:val="nil"/>
              <w:bottom w:val="single" w:sz="4" w:space="0" w:color="auto"/>
              <w:right w:val="nil"/>
            </w:tcBorders>
            <w:shd w:val="clear" w:color="auto" w:fill="auto"/>
            <w:noWrap/>
            <w:vAlign w:val="bottom"/>
            <w:hideMark/>
          </w:tcPr>
          <w:p w14:paraId="6E6E3632"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nil"/>
              <w:left w:val="nil"/>
              <w:bottom w:val="single" w:sz="4" w:space="0" w:color="auto"/>
              <w:right w:val="nil"/>
            </w:tcBorders>
            <w:shd w:val="clear" w:color="auto" w:fill="auto"/>
            <w:noWrap/>
            <w:vAlign w:val="bottom"/>
            <w:hideMark/>
          </w:tcPr>
          <w:p w14:paraId="152214E0"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nil"/>
              <w:left w:val="nil"/>
              <w:bottom w:val="single" w:sz="4" w:space="0" w:color="auto"/>
              <w:right w:val="nil"/>
            </w:tcBorders>
            <w:shd w:val="clear" w:color="auto" w:fill="auto"/>
            <w:noWrap/>
            <w:vAlign w:val="bottom"/>
            <w:hideMark/>
          </w:tcPr>
          <w:p w14:paraId="5787A0D4" w14:textId="77777777" w:rsidR="002E5743" w:rsidRPr="00033A3F" w:rsidRDefault="002E5743" w:rsidP="002E5743">
            <w:pPr>
              <w:spacing w:line="240" w:lineRule="auto"/>
              <w:jc w:val="center"/>
              <w:rPr>
                <w:color w:val="000000" w:themeColor="text1"/>
              </w:rPr>
            </w:pPr>
            <w:r w:rsidRPr="00033A3F">
              <w:rPr>
                <w:color w:val="000000" w:themeColor="text1"/>
              </w:rPr>
              <w:t>3</w:t>
            </w:r>
          </w:p>
        </w:tc>
      </w:tr>
      <w:tr w:rsidR="00033A3F" w:rsidRPr="00033A3F" w14:paraId="05E1D4B0"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53F24F0D" w14:textId="77777777" w:rsidR="002E5743" w:rsidRPr="00033A3F" w:rsidRDefault="002E5743" w:rsidP="002E5743">
            <w:pPr>
              <w:spacing w:line="240" w:lineRule="auto"/>
              <w:jc w:val="center"/>
              <w:rPr>
                <w:color w:val="000000" w:themeColor="text1"/>
              </w:rPr>
            </w:pPr>
            <w:r w:rsidRPr="00033A3F">
              <w:rPr>
                <w:color w:val="000000" w:themeColor="text1"/>
              </w:rPr>
              <w:t>2019</w:t>
            </w:r>
          </w:p>
        </w:tc>
        <w:tc>
          <w:tcPr>
            <w:tcW w:w="1680" w:type="dxa"/>
            <w:tcBorders>
              <w:top w:val="nil"/>
              <w:left w:val="nil"/>
              <w:bottom w:val="single" w:sz="4" w:space="0" w:color="auto"/>
              <w:right w:val="nil"/>
            </w:tcBorders>
            <w:shd w:val="clear" w:color="auto" w:fill="auto"/>
            <w:noWrap/>
            <w:vAlign w:val="bottom"/>
            <w:hideMark/>
          </w:tcPr>
          <w:p w14:paraId="11CF78BF" w14:textId="77777777" w:rsidR="002E5743" w:rsidRPr="00033A3F" w:rsidRDefault="002E5743" w:rsidP="002E5743">
            <w:pPr>
              <w:spacing w:line="240" w:lineRule="auto"/>
              <w:jc w:val="center"/>
              <w:rPr>
                <w:color w:val="000000" w:themeColor="text1"/>
              </w:rPr>
            </w:pPr>
            <w:r w:rsidRPr="00033A3F">
              <w:rPr>
                <w:color w:val="000000" w:themeColor="text1"/>
              </w:rPr>
              <w:t>20</w:t>
            </w:r>
          </w:p>
        </w:tc>
        <w:tc>
          <w:tcPr>
            <w:tcW w:w="1680" w:type="dxa"/>
            <w:tcBorders>
              <w:top w:val="nil"/>
              <w:left w:val="nil"/>
              <w:bottom w:val="single" w:sz="4" w:space="0" w:color="auto"/>
              <w:right w:val="nil"/>
            </w:tcBorders>
            <w:shd w:val="clear" w:color="auto" w:fill="auto"/>
            <w:noWrap/>
            <w:vAlign w:val="bottom"/>
            <w:hideMark/>
          </w:tcPr>
          <w:p w14:paraId="5F57F4C0" w14:textId="77777777" w:rsidR="002E5743" w:rsidRPr="00033A3F" w:rsidRDefault="002E5743" w:rsidP="002E5743">
            <w:pPr>
              <w:spacing w:line="240" w:lineRule="auto"/>
              <w:jc w:val="center"/>
              <w:rPr>
                <w:color w:val="000000" w:themeColor="text1"/>
              </w:rPr>
            </w:pPr>
            <w:r w:rsidRPr="00033A3F">
              <w:rPr>
                <w:color w:val="000000" w:themeColor="text1"/>
              </w:rPr>
              <w:t>0</w:t>
            </w:r>
          </w:p>
        </w:tc>
        <w:tc>
          <w:tcPr>
            <w:tcW w:w="1680" w:type="dxa"/>
            <w:tcBorders>
              <w:top w:val="nil"/>
              <w:left w:val="nil"/>
              <w:bottom w:val="single" w:sz="4" w:space="0" w:color="auto"/>
              <w:right w:val="nil"/>
            </w:tcBorders>
            <w:shd w:val="clear" w:color="auto" w:fill="auto"/>
            <w:noWrap/>
            <w:vAlign w:val="bottom"/>
            <w:hideMark/>
          </w:tcPr>
          <w:p w14:paraId="4C5560E3"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nil"/>
              <w:left w:val="nil"/>
              <w:bottom w:val="single" w:sz="4" w:space="0" w:color="auto"/>
              <w:right w:val="nil"/>
            </w:tcBorders>
            <w:shd w:val="clear" w:color="auto" w:fill="auto"/>
            <w:noWrap/>
            <w:vAlign w:val="bottom"/>
            <w:hideMark/>
          </w:tcPr>
          <w:p w14:paraId="0272B6F7" w14:textId="77777777" w:rsidR="002E5743" w:rsidRPr="00033A3F" w:rsidRDefault="002E5743" w:rsidP="002E5743">
            <w:pPr>
              <w:spacing w:line="240" w:lineRule="auto"/>
              <w:jc w:val="center"/>
              <w:rPr>
                <w:color w:val="000000" w:themeColor="text1"/>
              </w:rPr>
            </w:pPr>
            <w:r w:rsidRPr="00033A3F">
              <w:rPr>
                <w:color w:val="000000" w:themeColor="text1"/>
              </w:rPr>
              <w:t>3</w:t>
            </w:r>
          </w:p>
        </w:tc>
      </w:tr>
      <w:tr w:rsidR="00033A3F" w:rsidRPr="00033A3F" w14:paraId="7FE5369F"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43A904D5" w14:textId="77777777" w:rsidR="002E5743" w:rsidRPr="00033A3F" w:rsidRDefault="002E5743" w:rsidP="002E5743">
            <w:pPr>
              <w:spacing w:line="240" w:lineRule="auto"/>
              <w:jc w:val="center"/>
              <w:rPr>
                <w:color w:val="000000" w:themeColor="text1"/>
              </w:rPr>
            </w:pPr>
            <w:r w:rsidRPr="00033A3F">
              <w:rPr>
                <w:color w:val="000000" w:themeColor="text1"/>
              </w:rPr>
              <w:t>2020</w:t>
            </w:r>
          </w:p>
        </w:tc>
        <w:tc>
          <w:tcPr>
            <w:tcW w:w="1680" w:type="dxa"/>
            <w:tcBorders>
              <w:top w:val="nil"/>
              <w:left w:val="nil"/>
              <w:bottom w:val="single" w:sz="4" w:space="0" w:color="auto"/>
              <w:right w:val="nil"/>
            </w:tcBorders>
            <w:shd w:val="clear" w:color="auto" w:fill="auto"/>
            <w:noWrap/>
            <w:vAlign w:val="bottom"/>
            <w:hideMark/>
          </w:tcPr>
          <w:p w14:paraId="462B463F" w14:textId="77777777" w:rsidR="002E5743" w:rsidRPr="00033A3F" w:rsidRDefault="002E5743" w:rsidP="002E5743">
            <w:pPr>
              <w:spacing w:line="240" w:lineRule="auto"/>
              <w:jc w:val="center"/>
              <w:rPr>
                <w:color w:val="000000" w:themeColor="text1"/>
              </w:rPr>
            </w:pPr>
            <w:r w:rsidRPr="00033A3F">
              <w:rPr>
                <w:color w:val="000000" w:themeColor="text1"/>
              </w:rPr>
              <w:t>10</w:t>
            </w:r>
          </w:p>
        </w:tc>
        <w:tc>
          <w:tcPr>
            <w:tcW w:w="1680" w:type="dxa"/>
            <w:tcBorders>
              <w:top w:val="nil"/>
              <w:left w:val="nil"/>
              <w:bottom w:val="single" w:sz="4" w:space="0" w:color="auto"/>
              <w:right w:val="nil"/>
            </w:tcBorders>
            <w:shd w:val="clear" w:color="auto" w:fill="auto"/>
            <w:noWrap/>
            <w:vAlign w:val="bottom"/>
            <w:hideMark/>
          </w:tcPr>
          <w:p w14:paraId="0532B881" w14:textId="77777777" w:rsidR="002E5743" w:rsidRPr="00033A3F" w:rsidRDefault="002E5743" w:rsidP="002E5743">
            <w:pPr>
              <w:spacing w:line="240" w:lineRule="auto"/>
              <w:jc w:val="center"/>
              <w:rPr>
                <w:color w:val="000000" w:themeColor="text1"/>
              </w:rPr>
            </w:pPr>
            <w:r w:rsidRPr="00033A3F">
              <w:rPr>
                <w:color w:val="000000" w:themeColor="text1"/>
              </w:rPr>
              <w:t>2</w:t>
            </w:r>
          </w:p>
        </w:tc>
        <w:tc>
          <w:tcPr>
            <w:tcW w:w="1680" w:type="dxa"/>
            <w:tcBorders>
              <w:top w:val="nil"/>
              <w:left w:val="nil"/>
              <w:bottom w:val="single" w:sz="4" w:space="0" w:color="auto"/>
              <w:right w:val="nil"/>
            </w:tcBorders>
            <w:shd w:val="clear" w:color="auto" w:fill="auto"/>
            <w:noWrap/>
            <w:vAlign w:val="bottom"/>
            <w:hideMark/>
          </w:tcPr>
          <w:p w14:paraId="05DCE9A2"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nil"/>
              <w:left w:val="nil"/>
              <w:bottom w:val="single" w:sz="4" w:space="0" w:color="auto"/>
              <w:right w:val="nil"/>
            </w:tcBorders>
            <w:shd w:val="clear" w:color="auto" w:fill="auto"/>
            <w:noWrap/>
            <w:vAlign w:val="bottom"/>
            <w:hideMark/>
          </w:tcPr>
          <w:p w14:paraId="06FBAB3F" w14:textId="77777777" w:rsidR="002E5743" w:rsidRPr="00033A3F" w:rsidRDefault="002E5743" w:rsidP="002E5743">
            <w:pPr>
              <w:spacing w:line="240" w:lineRule="auto"/>
              <w:jc w:val="center"/>
              <w:rPr>
                <w:color w:val="000000" w:themeColor="text1"/>
              </w:rPr>
            </w:pPr>
            <w:r w:rsidRPr="00033A3F">
              <w:rPr>
                <w:color w:val="000000" w:themeColor="text1"/>
              </w:rPr>
              <w:t>4</w:t>
            </w:r>
          </w:p>
        </w:tc>
      </w:tr>
      <w:tr w:rsidR="00033A3F" w:rsidRPr="00033A3F" w14:paraId="4F7B9212"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176D6E72" w14:textId="77777777" w:rsidR="002E5743" w:rsidRPr="00033A3F" w:rsidRDefault="002E5743" w:rsidP="002E5743">
            <w:pPr>
              <w:spacing w:line="240" w:lineRule="auto"/>
              <w:jc w:val="center"/>
              <w:rPr>
                <w:color w:val="000000" w:themeColor="text1"/>
              </w:rPr>
            </w:pPr>
            <w:r w:rsidRPr="00033A3F">
              <w:rPr>
                <w:color w:val="000000" w:themeColor="text1"/>
              </w:rPr>
              <w:t>2021</w:t>
            </w:r>
          </w:p>
        </w:tc>
        <w:tc>
          <w:tcPr>
            <w:tcW w:w="1680" w:type="dxa"/>
            <w:tcBorders>
              <w:top w:val="nil"/>
              <w:left w:val="nil"/>
              <w:bottom w:val="single" w:sz="4" w:space="0" w:color="auto"/>
              <w:right w:val="nil"/>
            </w:tcBorders>
            <w:shd w:val="clear" w:color="auto" w:fill="auto"/>
            <w:noWrap/>
            <w:vAlign w:val="bottom"/>
            <w:hideMark/>
          </w:tcPr>
          <w:p w14:paraId="5C32C87B" w14:textId="77777777" w:rsidR="002E5743" w:rsidRPr="00033A3F" w:rsidRDefault="002E5743" w:rsidP="002E5743">
            <w:pPr>
              <w:spacing w:line="240" w:lineRule="auto"/>
              <w:jc w:val="center"/>
              <w:rPr>
                <w:color w:val="000000" w:themeColor="text1"/>
              </w:rPr>
            </w:pPr>
            <w:r w:rsidRPr="00033A3F">
              <w:rPr>
                <w:color w:val="000000" w:themeColor="text1"/>
              </w:rPr>
              <w:t>11</w:t>
            </w:r>
          </w:p>
        </w:tc>
        <w:tc>
          <w:tcPr>
            <w:tcW w:w="1680" w:type="dxa"/>
            <w:tcBorders>
              <w:top w:val="nil"/>
              <w:left w:val="nil"/>
              <w:bottom w:val="single" w:sz="4" w:space="0" w:color="auto"/>
              <w:right w:val="nil"/>
            </w:tcBorders>
            <w:shd w:val="clear" w:color="auto" w:fill="auto"/>
            <w:noWrap/>
            <w:vAlign w:val="bottom"/>
            <w:hideMark/>
          </w:tcPr>
          <w:p w14:paraId="2341F1F3"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nil"/>
              <w:left w:val="nil"/>
              <w:bottom w:val="single" w:sz="4" w:space="0" w:color="auto"/>
              <w:right w:val="nil"/>
            </w:tcBorders>
            <w:shd w:val="clear" w:color="auto" w:fill="auto"/>
            <w:noWrap/>
            <w:vAlign w:val="bottom"/>
            <w:hideMark/>
          </w:tcPr>
          <w:p w14:paraId="33EBB3E5" w14:textId="77777777" w:rsidR="002E5743" w:rsidRPr="00033A3F" w:rsidRDefault="002E5743" w:rsidP="002E5743">
            <w:pPr>
              <w:spacing w:line="240" w:lineRule="auto"/>
              <w:jc w:val="center"/>
              <w:rPr>
                <w:color w:val="000000" w:themeColor="text1"/>
              </w:rPr>
            </w:pPr>
            <w:r w:rsidRPr="00033A3F">
              <w:rPr>
                <w:color w:val="000000" w:themeColor="text1"/>
              </w:rPr>
              <w:t>5</w:t>
            </w:r>
          </w:p>
        </w:tc>
        <w:tc>
          <w:tcPr>
            <w:tcW w:w="1680" w:type="dxa"/>
            <w:tcBorders>
              <w:top w:val="nil"/>
              <w:left w:val="nil"/>
              <w:bottom w:val="single" w:sz="4" w:space="0" w:color="auto"/>
              <w:right w:val="nil"/>
            </w:tcBorders>
            <w:shd w:val="clear" w:color="auto" w:fill="auto"/>
            <w:noWrap/>
            <w:vAlign w:val="bottom"/>
            <w:hideMark/>
          </w:tcPr>
          <w:p w14:paraId="74613001" w14:textId="77777777" w:rsidR="002E5743" w:rsidRPr="00033A3F" w:rsidRDefault="002E5743" w:rsidP="002E5743">
            <w:pPr>
              <w:spacing w:line="240" w:lineRule="auto"/>
              <w:jc w:val="center"/>
              <w:rPr>
                <w:color w:val="000000" w:themeColor="text1"/>
              </w:rPr>
            </w:pPr>
            <w:r w:rsidRPr="00033A3F">
              <w:rPr>
                <w:color w:val="000000" w:themeColor="text1"/>
              </w:rPr>
              <w:t>1</w:t>
            </w:r>
          </w:p>
        </w:tc>
      </w:tr>
      <w:tr w:rsidR="00033A3F" w:rsidRPr="00033A3F" w14:paraId="0E18C60C"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529F922E" w14:textId="77777777" w:rsidR="002E5743" w:rsidRPr="00033A3F" w:rsidRDefault="002E5743" w:rsidP="002E5743">
            <w:pPr>
              <w:spacing w:line="240" w:lineRule="auto"/>
              <w:jc w:val="center"/>
              <w:rPr>
                <w:color w:val="000000" w:themeColor="text1"/>
              </w:rPr>
            </w:pPr>
            <w:r w:rsidRPr="00033A3F">
              <w:rPr>
                <w:color w:val="000000" w:themeColor="text1"/>
              </w:rPr>
              <w:t>2022</w:t>
            </w:r>
          </w:p>
        </w:tc>
        <w:tc>
          <w:tcPr>
            <w:tcW w:w="1680" w:type="dxa"/>
            <w:tcBorders>
              <w:top w:val="single" w:sz="4" w:space="0" w:color="auto"/>
              <w:left w:val="nil"/>
              <w:bottom w:val="single" w:sz="4" w:space="0" w:color="auto"/>
              <w:right w:val="nil"/>
            </w:tcBorders>
            <w:shd w:val="clear" w:color="auto" w:fill="auto"/>
            <w:noWrap/>
            <w:vAlign w:val="bottom"/>
            <w:hideMark/>
          </w:tcPr>
          <w:p w14:paraId="4EB7E027" w14:textId="77777777" w:rsidR="002E5743" w:rsidRPr="00033A3F" w:rsidRDefault="002E5743" w:rsidP="002E5743">
            <w:pPr>
              <w:spacing w:line="240" w:lineRule="auto"/>
              <w:jc w:val="center"/>
              <w:rPr>
                <w:color w:val="000000" w:themeColor="text1"/>
              </w:rPr>
            </w:pPr>
            <w:r w:rsidRPr="00033A3F">
              <w:rPr>
                <w:color w:val="000000" w:themeColor="text1"/>
              </w:rPr>
              <w:t>15</w:t>
            </w:r>
          </w:p>
        </w:tc>
        <w:tc>
          <w:tcPr>
            <w:tcW w:w="1680" w:type="dxa"/>
            <w:tcBorders>
              <w:top w:val="single" w:sz="4" w:space="0" w:color="auto"/>
              <w:left w:val="nil"/>
              <w:bottom w:val="single" w:sz="4" w:space="0" w:color="auto"/>
              <w:right w:val="nil"/>
            </w:tcBorders>
            <w:shd w:val="clear" w:color="auto" w:fill="auto"/>
            <w:noWrap/>
            <w:vAlign w:val="bottom"/>
            <w:hideMark/>
          </w:tcPr>
          <w:p w14:paraId="7F1F1227"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single" w:sz="4" w:space="0" w:color="auto"/>
              <w:left w:val="nil"/>
              <w:bottom w:val="single" w:sz="4" w:space="0" w:color="auto"/>
              <w:right w:val="nil"/>
            </w:tcBorders>
            <w:shd w:val="clear" w:color="auto" w:fill="auto"/>
            <w:noWrap/>
            <w:vAlign w:val="bottom"/>
            <w:hideMark/>
          </w:tcPr>
          <w:p w14:paraId="66086823"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single" w:sz="4" w:space="0" w:color="auto"/>
              <w:left w:val="nil"/>
              <w:bottom w:val="single" w:sz="4" w:space="0" w:color="auto"/>
              <w:right w:val="nil"/>
            </w:tcBorders>
            <w:shd w:val="clear" w:color="auto" w:fill="auto"/>
            <w:noWrap/>
            <w:vAlign w:val="bottom"/>
            <w:hideMark/>
          </w:tcPr>
          <w:p w14:paraId="6B8FFE39" w14:textId="77777777" w:rsidR="002E5743" w:rsidRPr="00033A3F" w:rsidRDefault="002E5743" w:rsidP="002E5743">
            <w:pPr>
              <w:spacing w:line="240" w:lineRule="auto"/>
              <w:jc w:val="center"/>
              <w:rPr>
                <w:color w:val="000000" w:themeColor="text1"/>
              </w:rPr>
            </w:pPr>
            <w:r w:rsidRPr="00033A3F">
              <w:rPr>
                <w:color w:val="000000" w:themeColor="text1"/>
              </w:rPr>
              <w:t>1</w:t>
            </w:r>
          </w:p>
        </w:tc>
      </w:tr>
      <w:tr w:rsidR="00033A3F" w:rsidRPr="00033A3F" w14:paraId="45156E6B" w14:textId="77777777" w:rsidTr="002E5743">
        <w:trPr>
          <w:trHeight w:val="315"/>
        </w:trPr>
        <w:tc>
          <w:tcPr>
            <w:tcW w:w="1080" w:type="dxa"/>
            <w:tcBorders>
              <w:top w:val="nil"/>
              <w:left w:val="nil"/>
              <w:bottom w:val="nil"/>
              <w:right w:val="nil"/>
            </w:tcBorders>
            <w:shd w:val="clear" w:color="auto" w:fill="auto"/>
            <w:noWrap/>
            <w:vAlign w:val="bottom"/>
            <w:hideMark/>
          </w:tcPr>
          <w:p w14:paraId="67727F37" w14:textId="77777777" w:rsidR="002E5743" w:rsidRPr="00033A3F" w:rsidRDefault="002E5743" w:rsidP="002E5743">
            <w:pPr>
              <w:spacing w:line="240" w:lineRule="auto"/>
              <w:jc w:val="center"/>
              <w:rPr>
                <w:color w:val="000000" w:themeColor="text1"/>
              </w:rPr>
            </w:pPr>
            <w:r w:rsidRPr="00033A3F">
              <w:rPr>
                <w:color w:val="000000" w:themeColor="text1"/>
              </w:rPr>
              <w:t>2023</w:t>
            </w:r>
          </w:p>
        </w:tc>
        <w:tc>
          <w:tcPr>
            <w:tcW w:w="1680" w:type="dxa"/>
            <w:tcBorders>
              <w:top w:val="nil"/>
              <w:left w:val="nil"/>
              <w:bottom w:val="nil"/>
              <w:right w:val="nil"/>
            </w:tcBorders>
            <w:shd w:val="clear" w:color="auto" w:fill="auto"/>
            <w:noWrap/>
            <w:vAlign w:val="bottom"/>
            <w:hideMark/>
          </w:tcPr>
          <w:p w14:paraId="2E875E69" w14:textId="77777777" w:rsidR="002E5743" w:rsidRPr="00033A3F" w:rsidRDefault="002E5743" w:rsidP="002E5743">
            <w:pPr>
              <w:spacing w:line="240" w:lineRule="auto"/>
              <w:jc w:val="center"/>
              <w:rPr>
                <w:color w:val="000000" w:themeColor="text1"/>
              </w:rPr>
            </w:pPr>
            <w:r w:rsidRPr="00033A3F">
              <w:rPr>
                <w:color w:val="000000" w:themeColor="text1"/>
              </w:rPr>
              <w:t>10</w:t>
            </w:r>
          </w:p>
        </w:tc>
        <w:tc>
          <w:tcPr>
            <w:tcW w:w="1680" w:type="dxa"/>
            <w:tcBorders>
              <w:top w:val="nil"/>
              <w:left w:val="nil"/>
              <w:bottom w:val="nil"/>
              <w:right w:val="nil"/>
            </w:tcBorders>
            <w:shd w:val="clear" w:color="auto" w:fill="auto"/>
            <w:noWrap/>
            <w:vAlign w:val="bottom"/>
            <w:hideMark/>
          </w:tcPr>
          <w:p w14:paraId="1A3DBE89" w14:textId="77777777" w:rsidR="002E5743" w:rsidRPr="00033A3F" w:rsidRDefault="002E5743" w:rsidP="002E5743">
            <w:pPr>
              <w:spacing w:line="240" w:lineRule="auto"/>
              <w:jc w:val="center"/>
              <w:rPr>
                <w:color w:val="000000" w:themeColor="text1"/>
              </w:rPr>
            </w:pPr>
            <w:r w:rsidRPr="00033A3F">
              <w:rPr>
                <w:color w:val="000000" w:themeColor="text1"/>
              </w:rPr>
              <w:t>2</w:t>
            </w:r>
          </w:p>
        </w:tc>
        <w:tc>
          <w:tcPr>
            <w:tcW w:w="1680" w:type="dxa"/>
            <w:tcBorders>
              <w:top w:val="nil"/>
              <w:left w:val="nil"/>
              <w:bottom w:val="nil"/>
              <w:right w:val="nil"/>
            </w:tcBorders>
            <w:shd w:val="clear" w:color="auto" w:fill="auto"/>
            <w:noWrap/>
            <w:vAlign w:val="bottom"/>
            <w:hideMark/>
          </w:tcPr>
          <w:p w14:paraId="4DC33FD2" w14:textId="77777777" w:rsidR="002E5743" w:rsidRPr="00033A3F" w:rsidRDefault="002E5743" w:rsidP="002E5743">
            <w:pPr>
              <w:spacing w:line="240" w:lineRule="auto"/>
              <w:jc w:val="center"/>
              <w:rPr>
                <w:color w:val="000000" w:themeColor="text1"/>
              </w:rPr>
            </w:pPr>
            <w:r w:rsidRPr="00033A3F">
              <w:rPr>
                <w:color w:val="000000" w:themeColor="text1"/>
              </w:rPr>
              <w:t>4</w:t>
            </w:r>
          </w:p>
        </w:tc>
        <w:tc>
          <w:tcPr>
            <w:tcW w:w="1680" w:type="dxa"/>
            <w:tcBorders>
              <w:top w:val="nil"/>
              <w:left w:val="nil"/>
              <w:bottom w:val="nil"/>
              <w:right w:val="nil"/>
            </w:tcBorders>
            <w:shd w:val="clear" w:color="auto" w:fill="auto"/>
            <w:noWrap/>
            <w:vAlign w:val="bottom"/>
            <w:hideMark/>
          </w:tcPr>
          <w:p w14:paraId="56744204" w14:textId="77777777" w:rsidR="002E5743" w:rsidRPr="00033A3F" w:rsidRDefault="002E5743" w:rsidP="002E5743">
            <w:pPr>
              <w:spacing w:line="240" w:lineRule="auto"/>
              <w:jc w:val="center"/>
              <w:rPr>
                <w:color w:val="000000" w:themeColor="text1"/>
              </w:rPr>
            </w:pPr>
            <w:r w:rsidRPr="00033A3F">
              <w:rPr>
                <w:color w:val="000000" w:themeColor="text1"/>
              </w:rPr>
              <w:t>3</w:t>
            </w:r>
          </w:p>
        </w:tc>
      </w:tr>
      <w:tr w:rsidR="00033A3F" w:rsidRPr="00033A3F" w14:paraId="15E5E6E4" w14:textId="77777777" w:rsidTr="002E5743">
        <w:trPr>
          <w:trHeight w:val="330"/>
        </w:trPr>
        <w:tc>
          <w:tcPr>
            <w:tcW w:w="1080" w:type="dxa"/>
            <w:tcBorders>
              <w:top w:val="single" w:sz="4" w:space="0" w:color="auto"/>
              <w:left w:val="nil"/>
              <w:bottom w:val="double" w:sz="6" w:space="0" w:color="auto"/>
              <w:right w:val="nil"/>
            </w:tcBorders>
            <w:shd w:val="clear" w:color="auto" w:fill="auto"/>
            <w:noWrap/>
            <w:vAlign w:val="bottom"/>
            <w:hideMark/>
          </w:tcPr>
          <w:p w14:paraId="6239C5FA" w14:textId="77777777" w:rsidR="002E5743" w:rsidRPr="00033A3F" w:rsidRDefault="002E5743" w:rsidP="002E5743">
            <w:pPr>
              <w:spacing w:line="240" w:lineRule="auto"/>
              <w:jc w:val="center"/>
              <w:rPr>
                <w:color w:val="000000" w:themeColor="text1"/>
              </w:rPr>
            </w:pPr>
            <w:r w:rsidRPr="00033A3F">
              <w:rPr>
                <w:color w:val="000000" w:themeColor="text1"/>
              </w:rPr>
              <w:t>2024</w:t>
            </w:r>
          </w:p>
        </w:tc>
        <w:tc>
          <w:tcPr>
            <w:tcW w:w="1680" w:type="dxa"/>
            <w:tcBorders>
              <w:top w:val="single" w:sz="4" w:space="0" w:color="auto"/>
              <w:left w:val="nil"/>
              <w:bottom w:val="double" w:sz="6" w:space="0" w:color="auto"/>
              <w:right w:val="nil"/>
            </w:tcBorders>
            <w:shd w:val="clear" w:color="auto" w:fill="auto"/>
            <w:noWrap/>
            <w:vAlign w:val="bottom"/>
            <w:hideMark/>
          </w:tcPr>
          <w:p w14:paraId="5D6CF01E" w14:textId="77777777" w:rsidR="002E5743" w:rsidRPr="00033A3F" w:rsidRDefault="002E5743" w:rsidP="002E5743">
            <w:pPr>
              <w:spacing w:line="240" w:lineRule="auto"/>
              <w:jc w:val="center"/>
              <w:rPr>
                <w:color w:val="000000" w:themeColor="text1"/>
              </w:rPr>
            </w:pPr>
            <w:r w:rsidRPr="00033A3F">
              <w:rPr>
                <w:color w:val="000000" w:themeColor="text1"/>
              </w:rPr>
              <w:t>10</w:t>
            </w:r>
          </w:p>
        </w:tc>
        <w:tc>
          <w:tcPr>
            <w:tcW w:w="1680" w:type="dxa"/>
            <w:tcBorders>
              <w:top w:val="single" w:sz="4" w:space="0" w:color="auto"/>
              <w:left w:val="nil"/>
              <w:bottom w:val="double" w:sz="6" w:space="0" w:color="auto"/>
              <w:right w:val="nil"/>
            </w:tcBorders>
            <w:shd w:val="clear" w:color="auto" w:fill="auto"/>
            <w:noWrap/>
            <w:vAlign w:val="bottom"/>
            <w:hideMark/>
          </w:tcPr>
          <w:p w14:paraId="3744A91B" w14:textId="77777777" w:rsidR="002E5743" w:rsidRPr="00033A3F" w:rsidRDefault="002E5743" w:rsidP="002E5743">
            <w:pPr>
              <w:spacing w:line="240" w:lineRule="auto"/>
              <w:jc w:val="center"/>
              <w:rPr>
                <w:color w:val="000000" w:themeColor="text1"/>
              </w:rPr>
            </w:pPr>
            <w:r w:rsidRPr="00033A3F">
              <w:rPr>
                <w:color w:val="000000" w:themeColor="text1"/>
              </w:rPr>
              <w:t>0</w:t>
            </w:r>
          </w:p>
        </w:tc>
        <w:tc>
          <w:tcPr>
            <w:tcW w:w="1680" w:type="dxa"/>
            <w:tcBorders>
              <w:top w:val="single" w:sz="4" w:space="0" w:color="auto"/>
              <w:left w:val="nil"/>
              <w:bottom w:val="double" w:sz="6" w:space="0" w:color="auto"/>
              <w:right w:val="nil"/>
            </w:tcBorders>
            <w:shd w:val="clear" w:color="auto" w:fill="auto"/>
            <w:noWrap/>
            <w:vAlign w:val="bottom"/>
            <w:hideMark/>
          </w:tcPr>
          <w:p w14:paraId="60185476" w14:textId="77777777" w:rsidR="002E5743" w:rsidRPr="00033A3F" w:rsidRDefault="002E5743" w:rsidP="002E5743">
            <w:pPr>
              <w:spacing w:line="240" w:lineRule="auto"/>
              <w:jc w:val="center"/>
              <w:rPr>
                <w:color w:val="000000" w:themeColor="text1"/>
              </w:rPr>
            </w:pPr>
            <w:r w:rsidRPr="00033A3F">
              <w:rPr>
                <w:color w:val="000000" w:themeColor="text1"/>
              </w:rPr>
              <w:t>4</w:t>
            </w:r>
          </w:p>
        </w:tc>
        <w:tc>
          <w:tcPr>
            <w:tcW w:w="1680" w:type="dxa"/>
            <w:tcBorders>
              <w:top w:val="single" w:sz="4" w:space="0" w:color="auto"/>
              <w:left w:val="nil"/>
              <w:bottom w:val="double" w:sz="6" w:space="0" w:color="auto"/>
              <w:right w:val="nil"/>
            </w:tcBorders>
            <w:shd w:val="clear" w:color="auto" w:fill="auto"/>
            <w:noWrap/>
            <w:vAlign w:val="bottom"/>
            <w:hideMark/>
          </w:tcPr>
          <w:p w14:paraId="206D2309" w14:textId="77777777" w:rsidR="002E5743" w:rsidRPr="00033A3F" w:rsidRDefault="002E5743" w:rsidP="002E5743">
            <w:pPr>
              <w:spacing w:line="240" w:lineRule="auto"/>
              <w:jc w:val="center"/>
              <w:rPr>
                <w:color w:val="000000" w:themeColor="text1"/>
              </w:rPr>
            </w:pPr>
            <w:r w:rsidRPr="00033A3F">
              <w:rPr>
                <w:color w:val="000000" w:themeColor="text1"/>
              </w:rPr>
              <w:t>0</w:t>
            </w:r>
          </w:p>
        </w:tc>
      </w:tr>
      <w:tr w:rsidR="00033A3F" w:rsidRPr="00033A3F" w14:paraId="4FD3C83A" w14:textId="77777777" w:rsidTr="002E5743">
        <w:trPr>
          <w:trHeight w:val="330"/>
        </w:trPr>
        <w:tc>
          <w:tcPr>
            <w:tcW w:w="1080" w:type="dxa"/>
            <w:tcBorders>
              <w:top w:val="nil"/>
              <w:left w:val="nil"/>
              <w:bottom w:val="nil"/>
              <w:right w:val="nil"/>
            </w:tcBorders>
            <w:shd w:val="clear" w:color="auto" w:fill="auto"/>
            <w:noWrap/>
            <w:vAlign w:val="bottom"/>
            <w:hideMark/>
          </w:tcPr>
          <w:p w14:paraId="2FD76B68" w14:textId="77777777" w:rsidR="002E5743" w:rsidRPr="00033A3F" w:rsidRDefault="002E5743" w:rsidP="002E5743">
            <w:pPr>
              <w:spacing w:line="240" w:lineRule="auto"/>
              <w:jc w:val="center"/>
              <w:rPr>
                <w:color w:val="000000" w:themeColor="text1"/>
              </w:rPr>
            </w:pPr>
          </w:p>
        </w:tc>
        <w:tc>
          <w:tcPr>
            <w:tcW w:w="1680" w:type="dxa"/>
            <w:tcBorders>
              <w:top w:val="nil"/>
              <w:left w:val="nil"/>
              <w:bottom w:val="nil"/>
              <w:right w:val="nil"/>
            </w:tcBorders>
            <w:shd w:val="clear" w:color="auto" w:fill="auto"/>
            <w:noWrap/>
            <w:vAlign w:val="bottom"/>
            <w:hideMark/>
          </w:tcPr>
          <w:p w14:paraId="76403F8F" w14:textId="77777777" w:rsidR="002E5743" w:rsidRPr="00033A3F" w:rsidRDefault="002E5743" w:rsidP="002E5743">
            <w:pPr>
              <w:spacing w:line="240" w:lineRule="auto"/>
              <w:jc w:val="left"/>
              <w:rPr>
                <w:color w:val="000000" w:themeColor="text1"/>
                <w:sz w:val="20"/>
              </w:rPr>
            </w:pPr>
          </w:p>
        </w:tc>
        <w:tc>
          <w:tcPr>
            <w:tcW w:w="1680" w:type="dxa"/>
            <w:tcBorders>
              <w:top w:val="nil"/>
              <w:left w:val="nil"/>
              <w:bottom w:val="nil"/>
              <w:right w:val="nil"/>
            </w:tcBorders>
            <w:shd w:val="clear" w:color="auto" w:fill="auto"/>
            <w:noWrap/>
            <w:vAlign w:val="bottom"/>
            <w:hideMark/>
          </w:tcPr>
          <w:p w14:paraId="19D3356E" w14:textId="77777777" w:rsidR="002E5743" w:rsidRPr="00033A3F" w:rsidRDefault="002E5743" w:rsidP="002E5743">
            <w:pPr>
              <w:spacing w:line="240" w:lineRule="auto"/>
              <w:jc w:val="left"/>
              <w:rPr>
                <w:color w:val="000000" w:themeColor="text1"/>
                <w:sz w:val="20"/>
              </w:rPr>
            </w:pPr>
          </w:p>
        </w:tc>
        <w:tc>
          <w:tcPr>
            <w:tcW w:w="1680" w:type="dxa"/>
            <w:tcBorders>
              <w:top w:val="nil"/>
              <w:left w:val="nil"/>
              <w:bottom w:val="nil"/>
              <w:right w:val="nil"/>
            </w:tcBorders>
            <w:shd w:val="clear" w:color="auto" w:fill="auto"/>
            <w:noWrap/>
            <w:vAlign w:val="bottom"/>
            <w:hideMark/>
          </w:tcPr>
          <w:p w14:paraId="56B586C4" w14:textId="77777777" w:rsidR="002E5743" w:rsidRPr="00033A3F" w:rsidRDefault="002E5743" w:rsidP="002E5743">
            <w:pPr>
              <w:spacing w:line="240" w:lineRule="auto"/>
              <w:jc w:val="left"/>
              <w:rPr>
                <w:color w:val="000000" w:themeColor="text1"/>
                <w:sz w:val="20"/>
              </w:rPr>
            </w:pPr>
          </w:p>
        </w:tc>
        <w:tc>
          <w:tcPr>
            <w:tcW w:w="1680" w:type="dxa"/>
            <w:tcBorders>
              <w:top w:val="nil"/>
              <w:left w:val="nil"/>
              <w:bottom w:val="nil"/>
              <w:right w:val="nil"/>
            </w:tcBorders>
            <w:shd w:val="clear" w:color="auto" w:fill="auto"/>
            <w:noWrap/>
            <w:vAlign w:val="bottom"/>
            <w:hideMark/>
          </w:tcPr>
          <w:p w14:paraId="0CFFE3D3" w14:textId="77777777" w:rsidR="002E5743" w:rsidRPr="00033A3F" w:rsidRDefault="002E5743" w:rsidP="002E5743">
            <w:pPr>
              <w:spacing w:line="240" w:lineRule="auto"/>
              <w:jc w:val="left"/>
              <w:rPr>
                <w:color w:val="000000" w:themeColor="text1"/>
                <w:sz w:val="20"/>
              </w:rPr>
            </w:pPr>
          </w:p>
        </w:tc>
      </w:tr>
    </w:tbl>
    <w:p w14:paraId="57BA4AF9" w14:textId="3474D6AE" w:rsidR="002E5743" w:rsidRPr="00033A3F" w:rsidRDefault="002E5743">
      <w:pPr>
        <w:spacing w:after="160" w:line="259" w:lineRule="auto"/>
        <w:jc w:val="left"/>
        <w:rPr>
          <w:rFonts w:eastAsia="Times New Roman"/>
          <w:b/>
          <w:iCs/>
          <w:color w:val="000000" w:themeColor="text1"/>
          <w:spacing w:val="15"/>
          <w:szCs w:val="24"/>
        </w:rPr>
      </w:pPr>
      <w:r w:rsidRPr="00033A3F">
        <w:rPr>
          <w:color w:val="000000" w:themeColor="text1"/>
        </w:rPr>
        <w:br w:type="page"/>
      </w:r>
    </w:p>
    <w:p w14:paraId="4879228F" w14:textId="34E0E5D1" w:rsidR="00B7165A" w:rsidRPr="00033A3F" w:rsidRDefault="00B7165A" w:rsidP="00B7165A">
      <w:pPr>
        <w:pStyle w:val="Nadpis1"/>
        <w:pageBreakBefore/>
        <w:numPr>
          <w:ilvl w:val="0"/>
          <w:numId w:val="1"/>
        </w:numPr>
        <w:spacing w:after="120"/>
        <w:rPr>
          <w:color w:val="000000" w:themeColor="text1"/>
          <w:lang w:eastAsia="cs-CZ"/>
        </w:rPr>
      </w:pPr>
      <w:bookmarkStart w:id="2629" w:name="_Toc174080942"/>
      <w:bookmarkStart w:id="2630" w:name="_Toc203032814"/>
      <w:bookmarkEnd w:id="2627"/>
      <w:bookmarkEnd w:id="2628"/>
      <w:r w:rsidRPr="00033A3F">
        <w:rPr>
          <w:color w:val="000000" w:themeColor="text1"/>
          <w:lang w:eastAsia="cs-CZ"/>
        </w:rPr>
        <w:lastRenderedPageBreak/>
        <w:t>Mezinárodní srovnání</w:t>
      </w:r>
      <w:bookmarkEnd w:id="2629"/>
      <w:bookmarkEnd w:id="2630"/>
    </w:p>
    <w:p w14:paraId="6A2FAE86" w14:textId="77777777" w:rsidR="00B7165A" w:rsidRPr="00033A3F" w:rsidRDefault="00B7165A" w:rsidP="00B7165A">
      <w:pPr>
        <w:pStyle w:val="OdstavecASR"/>
        <w:rPr>
          <w:color w:val="000000" w:themeColor="text1"/>
        </w:rPr>
      </w:pPr>
      <w:r w:rsidRPr="00033A3F">
        <w:rPr>
          <w:color w:val="000000" w:themeColor="text1"/>
        </w:rPr>
        <w:t xml:space="preserve">Mezinárodní srovnání je nástroj, který má potenciál přispět k lepšímu fungování soudního systému, protože nastavuje příslovečné zrcadlo v oblasti efektivity, nezávislosti nebo například přístupu ke spravedlnosti. </w:t>
      </w:r>
    </w:p>
    <w:p w14:paraId="42473E12" w14:textId="2D17EDAD" w:rsidR="00FE5CA1" w:rsidRPr="00033A3F" w:rsidRDefault="00B7165A" w:rsidP="00FE5CA1">
      <w:pPr>
        <w:pStyle w:val="OdstavecASR"/>
        <w:rPr>
          <w:rFonts w:ascii="Arial" w:hAnsi="Arial" w:cs="Arial"/>
          <w:i/>
          <w:iCs/>
          <w:color w:val="000000" w:themeColor="text1"/>
          <w:sz w:val="20"/>
          <w:szCs w:val="18"/>
        </w:rPr>
      </w:pPr>
      <w:r w:rsidRPr="00033A3F">
        <w:rPr>
          <w:color w:val="000000" w:themeColor="text1"/>
        </w:rPr>
        <w:t>Základním zdrojem prezentovaných dat zůstává publikace Evropské komise „EU Justice Scoreboard 2024“ s daty za rok 2022, kter</w:t>
      </w:r>
      <w:r w:rsidR="004038CF" w:rsidRPr="00033A3F">
        <w:rPr>
          <w:color w:val="000000" w:themeColor="text1"/>
        </w:rPr>
        <w:t>á</w:t>
      </w:r>
      <w:r w:rsidRPr="00033A3F">
        <w:rPr>
          <w:color w:val="000000" w:themeColor="text1"/>
        </w:rPr>
        <w:t xml:space="preserve"> srovnává státy EU z pohledu efektivnosti, kvality a nezávislosti jejich soudních systémů. Vnímanou nezávislost soudů a soudců v EU měří každoročně Eurobarometr. U některých ukazatelů vycházíme také z dat publikace European judicial systems, CEPEJ Evaluation Report 2024</w:t>
      </w:r>
      <w:r w:rsidRPr="00033A3F">
        <w:rPr>
          <w:rStyle w:val="Znakapoznpodarou"/>
          <w:color w:val="000000" w:themeColor="text1"/>
        </w:rPr>
        <w:footnoteReference w:id="21"/>
      </w:r>
      <w:r w:rsidRPr="00033A3F">
        <w:rPr>
          <w:color w:val="000000" w:themeColor="text1"/>
        </w:rPr>
        <w:t xml:space="preserve"> vydané 16.</w:t>
      </w:r>
      <w:r w:rsidR="004038CF" w:rsidRPr="00033A3F">
        <w:rPr>
          <w:color w:val="000000" w:themeColor="text1"/>
        </w:rPr>
        <w:t xml:space="preserve"> </w:t>
      </w:r>
      <w:r w:rsidRPr="00033A3F">
        <w:rPr>
          <w:color w:val="000000" w:themeColor="text1"/>
        </w:rPr>
        <w:t>10.</w:t>
      </w:r>
      <w:r w:rsidR="004038CF" w:rsidRPr="00033A3F">
        <w:rPr>
          <w:color w:val="000000" w:themeColor="text1"/>
        </w:rPr>
        <w:t xml:space="preserve"> </w:t>
      </w:r>
      <w:r w:rsidRPr="00033A3F">
        <w:rPr>
          <w:color w:val="000000" w:themeColor="text1"/>
        </w:rPr>
        <w:t>2024 Evropskou komisí pro efektivitu justice (CEPEJ), ze které čerpá vybraná data také samotný Scoreboard.</w:t>
      </w:r>
    </w:p>
    <w:p w14:paraId="705EAF57" w14:textId="04479D2A" w:rsidR="00B7165A" w:rsidRPr="00033A3F" w:rsidRDefault="00B7165A" w:rsidP="00B7165A">
      <w:pPr>
        <w:pStyle w:val="OdstavecASR"/>
        <w:spacing w:before="240"/>
        <w:rPr>
          <w:color w:val="000000" w:themeColor="text1"/>
        </w:rPr>
      </w:pPr>
      <w:bookmarkStart w:id="2631" w:name="_Hlk106105859"/>
      <w:r w:rsidRPr="00033A3F">
        <w:rPr>
          <w:color w:val="000000" w:themeColor="text1"/>
        </w:rPr>
        <w:t xml:space="preserve">Srovnávací přehled EU o soudnictví (EU Justice Scoreboard) samozřejmě obsahuje podstatně více </w:t>
      </w:r>
      <w:r w:rsidR="00FE5CA1" w:rsidRPr="00033A3F">
        <w:rPr>
          <w:color w:val="000000" w:themeColor="text1"/>
        </w:rPr>
        <w:t>informací,</w:t>
      </w:r>
      <w:r w:rsidRPr="00033A3F">
        <w:rPr>
          <w:color w:val="000000" w:themeColor="text1"/>
        </w:rPr>
        <w:t xml:space="preserve"> než je uvedeno v této kapitole a je ke stažení  na </w:t>
      </w:r>
      <w:hyperlink r:id="rId148" w:history="1">
        <w:r w:rsidRPr="00033A3F">
          <w:rPr>
            <w:rStyle w:val="Hypertextovodkaz"/>
            <w:color w:val="000000" w:themeColor="text1"/>
          </w:rPr>
          <w:t>EU Justice Scoreboard - European Commission</w:t>
        </w:r>
      </w:hyperlink>
      <w:r w:rsidRPr="00033A3F">
        <w:rPr>
          <w:color w:val="000000" w:themeColor="text1"/>
        </w:rPr>
        <w:t>.</w:t>
      </w:r>
    </w:p>
    <w:p w14:paraId="7FA78F3A" w14:textId="77777777" w:rsidR="00B7165A" w:rsidRPr="00033A3F" w:rsidRDefault="00B7165A" w:rsidP="00B7165A">
      <w:pPr>
        <w:pStyle w:val="OdstavecASR"/>
        <w:rPr>
          <w:color w:val="000000" w:themeColor="text1"/>
        </w:rPr>
      </w:pPr>
      <w:r w:rsidRPr="00033A3F">
        <w:rPr>
          <w:color w:val="000000" w:themeColor="text1"/>
        </w:rPr>
        <w:t>Seznam zkratek členských států EU27 používaných v mezinárodním srovnání: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1900"/>
        <w:gridCol w:w="460"/>
        <w:gridCol w:w="580"/>
        <w:gridCol w:w="2396"/>
        <w:gridCol w:w="580"/>
        <w:gridCol w:w="1900"/>
      </w:tblGrid>
      <w:tr w:rsidR="00033A3F" w:rsidRPr="00033A3F" w14:paraId="576543C3" w14:textId="77777777" w:rsidTr="00293866">
        <w:trPr>
          <w:trHeight w:val="285"/>
        </w:trPr>
        <w:tc>
          <w:tcPr>
            <w:tcW w:w="580" w:type="dxa"/>
            <w:noWrap/>
            <w:hideMark/>
          </w:tcPr>
          <w:p w14:paraId="5A2E9DFA" w14:textId="77777777" w:rsidR="00B7165A" w:rsidRPr="00033A3F" w:rsidRDefault="00B7165A" w:rsidP="00293866">
            <w:pPr>
              <w:rPr>
                <w:color w:val="000000" w:themeColor="text1"/>
              </w:rPr>
            </w:pPr>
            <w:r w:rsidRPr="00033A3F">
              <w:rPr>
                <w:color w:val="000000" w:themeColor="text1"/>
              </w:rPr>
              <w:t>AT</w:t>
            </w:r>
          </w:p>
        </w:tc>
        <w:tc>
          <w:tcPr>
            <w:tcW w:w="1900" w:type="dxa"/>
            <w:noWrap/>
            <w:hideMark/>
          </w:tcPr>
          <w:p w14:paraId="496F6E0A" w14:textId="77777777" w:rsidR="00B7165A" w:rsidRPr="00033A3F" w:rsidRDefault="00B7165A" w:rsidP="00293866">
            <w:pPr>
              <w:rPr>
                <w:color w:val="000000" w:themeColor="text1"/>
              </w:rPr>
            </w:pPr>
            <w:r w:rsidRPr="00033A3F">
              <w:rPr>
                <w:color w:val="000000" w:themeColor="text1"/>
              </w:rPr>
              <w:t>Rakousko</w:t>
            </w:r>
          </w:p>
        </w:tc>
        <w:tc>
          <w:tcPr>
            <w:tcW w:w="460" w:type="dxa"/>
            <w:noWrap/>
            <w:hideMark/>
          </w:tcPr>
          <w:p w14:paraId="52DD56E4" w14:textId="77777777" w:rsidR="00B7165A" w:rsidRPr="00033A3F" w:rsidRDefault="00B7165A" w:rsidP="00293866">
            <w:pPr>
              <w:rPr>
                <w:color w:val="000000" w:themeColor="text1"/>
              </w:rPr>
            </w:pPr>
          </w:p>
        </w:tc>
        <w:tc>
          <w:tcPr>
            <w:tcW w:w="580" w:type="dxa"/>
            <w:noWrap/>
            <w:hideMark/>
          </w:tcPr>
          <w:p w14:paraId="105B39D4" w14:textId="77777777" w:rsidR="00B7165A" w:rsidRPr="00033A3F" w:rsidRDefault="00B7165A" w:rsidP="00293866">
            <w:pPr>
              <w:rPr>
                <w:color w:val="000000" w:themeColor="text1"/>
              </w:rPr>
            </w:pPr>
            <w:r w:rsidRPr="00033A3F">
              <w:rPr>
                <w:color w:val="000000" w:themeColor="text1"/>
              </w:rPr>
              <w:t>ES</w:t>
            </w:r>
          </w:p>
        </w:tc>
        <w:tc>
          <w:tcPr>
            <w:tcW w:w="2396" w:type="dxa"/>
            <w:noWrap/>
            <w:hideMark/>
          </w:tcPr>
          <w:p w14:paraId="16C63B0E" w14:textId="77777777" w:rsidR="00B7165A" w:rsidRPr="00033A3F" w:rsidRDefault="00B7165A" w:rsidP="00293866">
            <w:pPr>
              <w:rPr>
                <w:color w:val="000000" w:themeColor="text1"/>
              </w:rPr>
            </w:pPr>
            <w:r w:rsidRPr="00033A3F">
              <w:rPr>
                <w:color w:val="000000" w:themeColor="text1"/>
              </w:rPr>
              <w:t>Španělsko</w:t>
            </w:r>
          </w:p>
        </w:tc>
        <w:tc>
          <w:tcPr>
            <w:tcW w:w="580" w:type="dxa"/>
            <w:noWrap/>
            <w:hideMark/>
          </w:tcPr>
          <w:p w14:paraId="4DD45509" w14:textId="77777777" w:rsidR="00B7165A" w:rsidRPr="00033A3F" w:rsidRDefault="00B7165A" w:rsidP="00293866">
            <w:pPr>
              <w:rPr>
                <w:color w:val="000000" w:themeColor="text1"/>
              </w:rPr>
            </w:pPr>
            <w:r w:rsidRPr="00033A3F">
              <w:rPr>
                <w:color w:val="000000" w:themeColor="text1"/>
              </w:rPr>
              <w:t>LV</w:t>
            </w:r>
          </w:p>
        </w:tc>
        <w:tc>
          <w:tcPr>
            <w:tcW w:w="1900" w:type="dxa"/>
            <w:noWrap/>
            <w:hideMark/>
          </w:tcPr>
          <w:p w14:paraId="65CF2903" w14:textId="77777777" w:rsidR="00B7165A" w:rsidRPr="00033A3F" w:rsidRDefault="00B7165A" w:rsidP="00293866">
            <w:pPr>
              <w:rPr>
                <w:color w:val="000000" w:themeColor="text1"/>
              </w:rPr>
            </w:pPr>
            <w:r w:rsidRPr="00033A3F">
              <w:rPr>
                <w:color w:val="000000" w:themeColor="text1"/>
              </w:rPr>
              <w:t>Lotyšsko</w:t>
            </w:r>
          </w:p>
        </w:tc>
      </w:tr>
      <w:tr w:rsidR="00033A3F" w:rsidRPr="00033A3F" w14:paraId="1E37EF44" w14:textId="77777777" w:rsidTr="00293866">
        <w:trPr>
          <w:trHeight w:val="285"/>
        </w:trPr>
        <w:tc>
          <w:tcPr>
            <w:tcW w:w="580" w:type="dxa"/>
            <w:noWrap/>
            <w:hideMark/>
          </w:tcPr>
          <w:p w14:paraId="62E56A5A" w14:textId="77777777" w:rsidR="00B7165A" w:rsidRPr="00033A3F" w:rsidRDefault="00B7165A" w:rsidP="00293866">
            <w:pPr>
              <w:rPr>
                <w:color w:val="000000" w:themeColor="text1"/>
              </w:rPr>
            </w:pPr>
            <w:r w:rsidRPr="00033A3F">
              <w:rPr>
                <w:color w:val="000000" w:themeColor="text1"/>
              </w:rPr>
              <w:t>BE</w:t>
            </w:r>
          </w:p>
        </w:tc>
        <w:tc>
          <w:tcPr>
            <w:tcW w:w="1900" w:type="dxa"/>
            <w:noWrap/>
            <w:hideMark/>
          </w:tcPr>
          <w:p w14:paraId="162DE8B9" w14:textId="77777777" w:rsidR="00B7165A" w:rsidRPr="00033A3F" w:rsidRDefault="00B7165A" w:rsidP="00293866">
            <w:pPr>
              <w:rPr>
                <w:color w:val="000000" w:themeColor="text1"/>
              </w:rPr>
            </w:pPr>
            <w:r w:rsidRPr="00033A3F">
              <w:rPr>
                <w:color w:val="000000" w:themeColor="text1"/>
              </w:rPr>
              <w:t>Belgie</w:t>
            </w:r>
          </w:p>
        </w:tc>
        <w:tc>
          <w:tcPr>
            <w:tcW w:w="460" w:type="dxa"/>
            <w:noWrap/>
            <w:hideMark/>
          </w:tcPr>
          <w:p w14:paraId="7A45B581" w14:textId="77777777" w:rsidR="00B7165A" w:rsidRPr="00033A3F" w:rsidRDefault="00B7165A" w:rsidP="00293866">
            <w:pPr>
              <w:rPr>
                <w:color w:val="000000" w:themeColor="text1"/>
              </w:rPr>
            </w:pPr>
          </w:p>
        </w:tc>
        <w:tc>
          <w:tcPr>
            <w:tcW w:w="580" w:type="dxa"/>
            <w:noWrap/>
            <w:hideMark/>
          </w:tcPr>
          <w:p w14:paraId="5F510DD2" w14:textId="77777777" w:rsidR="00B7165A" w:rsidRPr="00033A3F" w:rsidRDefault="00B7165A" w:rsidP="00293866">
            <w:pPr>
              <w:rPr>
                <w:color w:val="000000" w:themeColor="text1"/>
              </w:rPr>
            </w:pPr>
            <w:r w:rsidRPr="00033A3F">
              <w:rPr>
                <w:color w:val="000000" w:themeColor="text1"/>
              </w:rPr>
              <w:t>FI</w:t>
            </w:r>
          </w:p>
        </w:tc>
        <w:tc>
          <w:tcPr>
            <w:tcW w:w="2396" w:type="dxa"/>
            <w:noWrap/>
            <w:hideMark/>
          </w:tcPr>
          <w:p w14:paraId="438C2A26" w14:textId="77777777" w:rsidR="00B7165A" w:rsidRPr="00033A3F" w:rsidRDefault="00B7165A" w:rsidP="00293866">
            <w:pPr>
              <w:rPr>
                <w:color w:val="000000" w:themeColor="text1"/>
              </w:rPr>
            </w:pPr>
            <w:r w:rsidRPr="00033A3F">
              <w:rPr>
                <w:color w:val="000000" w:themeColor="text1"/>
              </w:rPr>
              <w:t>Finsko</w:t>
            </w:r>
          </w:p>
        </w:tc>
        <w:tc>
          <w:tcPr>
            <w:tcW w:w="580" w:type="dxa"/>
            <w:noWrap/>
            <w:hideMark/>
          </w:tcPr>
          <w:p w14:paraId="7339CD1E" w14:textId="77777777" w:rsidR="00B7165A" w:rsidRPr="00033A3F" w:rsidRDefault="00B7165A" w:rsidP="00293866">
            <w:pPr>
              <w:rPr>
                <w:color w:val="000000" w:themeColor="text1"/>
              </w:rPr>
            </w:pPr>
            <w:r w:rsidRPr="00033A3F">
              <w:rPr>
                <w:color w:val="000000" w:themeColor="text1"/>
              </w:rPr>
              <w:t>MT</w:t>
            </w:r>
          </w:p>
        </w:tc>
        <w:tc>
          <w:tcPr>
            <w:tcW w:w="1900" w:type="dxa"/>
            <w:noWrap/>
            <w:hideMark/>
          </w:tcPr>
          <w:p w14:paraId="0B7EE586" w14:textId="77777777" w:rsidR="00B7165A" w:rsidRPr="00033A3F" w:rsidRDefault="00B7165A" w:rsidP="00293866">
            <w:pPr>
              <w:rPr>
                <w:color w:val="000000" w:themeColor="text1"/>
              </w:rPr>
            </w:pPr>
            <w:r w:rsidRPr="00033A3F">
              <w:rPr>
                <w:color w:val="000000" w:themeColor="text1"/>
              </w:rPr>
              <w:t>Malta</w:t>
            </w:r>
          </w:p>
        </w:tc>
      </w:tr>
      <w:tr w:rsidR="00033A3F" w:rsidRPr="00033A3F" w14:paraId="1079B945" w14:textId="77777777" w:rsidTr="00293866">
        <w:trPr>
          <w:trHeight w:val="285"/>
        </w:trPr>
        <w:tc>
          <w:tcPr>
            <w:tcW w:w="580" w:type="dxa"/>
            <w:noWrap/>
            <w:hideMark/>
          </w:tcPr>
          <w:p w14:paraId="62E2D646" w14:textId="77777777" w:rsidR="00B7165A" w:rsidRPr="00033A3F" w:rsidRDefault="00B7165A" w:rsidP="00293866">
            <w:pPr>
              <w:rPr>
                <w:color w:val="000000" w:themeColor="text1"/>
              </w:rPr>
            </w:pPr>
            <w:r w:rsidRPr="00033A3F">
              <w:rPr>
                <w:color w:val="000000" w:themeColor="text1"/>
              </w:rPr>
              <w:t>BG</w:t>
            </w:r>
          </w:p>
        </w:tc>
        <w:tc>
          <w:tcPr>
            <w:tcW w:w="1900" w:type="dxa"/>
            <w:noWrap/>
            <w:hideMark/>
          </w:tcPr>
          <w:p w14:paraId="33431BB7" w14:textId="77777777" w:rsidR="00B7165A" w:rsidRPr="00033A3F" w:rsidRDefault="00B7165A" w:rsidP="00293866">
            <w:pPr>
              <w:rPr>
                <w:color w:val="000000" w:themeColor="text1"/>
              </w:rPr>
            </w:pPr>
            <w:r w:rsidRPr="00033A3F">
              <w:rPr>
                <w:color w:val="000000" w:themeColor="text1"/>
              </w:rPr>
              <w:t>Bulharsko</w:t>
            </w:r>
          </w:p>
        </w:tc>
        <w:tc>
          <w:tcPr>
            <w:tcW w:w="460" w:type="dxa"/>
            <w:noWrap/>
            <w:hideMark/>
          </w:tcPr>
          <w:p w14:paraId="308AFE9E" w14:textId="77777777" w:rsidR="00B7165A" w:rsidRPr="00033A3F" w:rsidRDefault="00B7165A" w:rsidP="00293866">
            <w:pPr>
              <w:rPr>
                <w:color w:val="000000" w:themeColor="text1"/>
              </w:rPr>
            </w:pPr>
          </w:p>
        </w:tc>
        <w:tc>
          <w:tcPr>
            <w:tcW w:w="580" w:type="dxa"/>
            <w:noWrap/>
            <w:hideMark/>
          </w:tcPr>
          <w:p w14:paraId="5F56C3A5" w14:textId="77777777" w:rsidR="00B7165A" w:rsidRPr="00033A3F" w:rsidRDefault="00B7165A" w:rsidP="00293866">
            <w:pPr>
              <w:rPr>
                <w:color w:val="000000" w:themeColor="text1"/>
              </w:rPr>
            </w:pPr>
            <w:r w:rsidRPr="00033A3F">
              <w:rPr>
                <w:color w:val="000000" w:themeColor="text1"/>
              </w:rPr>
              <w:t>FR</w:t>
            </w:r>
          </w:p>
        </w:tc>
        <w:tc>
          <w:tcPr>
            <w:tcW w:w="2396" w:type="dxa"/>
            <w:noWrap/>
            <w:hideMark/>
          </w:tcPr>
          <w:p w14:paraId="1E9C7F63" w14:textId="77777777" w:rsidR="00B7165A" w:rsidRPr="00033A3F" w:rsidRDefault="00B7165A" w:rsidP="00293866">
            <w:pPr>
              <w:rPr>
                <w:color w:val="000000" w:themeColor="text1"/>
              </w:rPr>
            </w:pPr>
            <w:r w:rsidRPr="00033A3F">
              <w:rPr>
                <w:color w:val="000000" w:themeColor="text1"/>
              </w:rPr>
              <w:t>Francie</w:t>
            </w:r>
          </w:p>
        </w:tc>
        <w:tc>
          <w:tcPr>
            <w:tcW w:w="580" w:type="dxa"/>
            <w:noWrap/>
            <w:hideMark/>
          </w:tcPr>
          <w:p w14:paraId="74CFC8C3" w14:textId="77777777" w:rsidR="00B7165A" w:rsidRPr="00033A3F" w:rsidRDefault="00B7165A" w:rsidP="00293866">
            <w:pPr>
              <w:rPr>
                <w:color w:val="000000" w:themeColor="text1"/>
              </w:rPr>
            </w:pPr>
            <w:r w:rsidRPr="00033A3F">
              <w:rPr>
                <w:color w:val="000000" w:themeColor="text1"/>
              </w:rPr>
              <w:t>NL</w:t>
            </w:r>
          </w:p>
        </w:tc>
        <w:tc>
          <w:tcPr>
            <w:tcW w:w="1900" w:type="dxa"/>
            <w:noWrap/>
            <w:hideMark/>
          </w:tcPr>
          <w:p w14:paraId="6255CBD6" w14:textId="77777777" w:rsidR="00B7165A" w:rsidRPr="00033A3F" w:rsidRDefault="00B7165A" w:rsidP="00293866">
            <w:pPr>
              <w:rPr>
                <w:color w:val="000000" w:themeColor="text1"/>
              </w:rPr>
            </w:pPr>
            <w:r w:rsidRPr="00033A3F">
              <w:rPr>
                <w:color w:val="000000" w:themeColor="text1"/>
              </w:rPr>
              <w:t>Nizozemsko</w:t>
            </w:r>
          </w:p>
        </w:tc>
      </w:tr>
      <w:tr w:rsidR="00033A3F" w:rsidRPr="00033A3F" w14:paraId="7269B481" w14:textId="77777777" w:rsidTr="00293866">
        <w:trPr>
          <w:trHeight w:val="285"/>
        </w:trPr>
        <w:tc>
          <w:tcPr>
            <w:tcW w:w="580" w:type="dxa"/>
            <w:noWrap/>
            <w:hideMark/>
          </w:tcPr>
          <w:p w14:paraId="28C54E74" w14:textId="77777777" w:rsidR="00B7165A" w:rsidRPr="00033A3F" w:rsidRDefault="00B7165A" w:rsidP="00293866">
            <w:pPr>
              <w:rPr>
                <w:color w:val="000000" w:themeColor="text1"/>
              </w:rPr>
            </w:pPr>
            <w:r w:rsidRPr="00033A3F">
              <w:rPr>
                <w:color w:val="000000" w:themeColor="text1"/>
              </w:rPr>
              <w:t>CY</w:t>
            </w:r>
          </w:p>
        </w:tc>
        <w:tc>
          <w:tcPr>
            <w:tcW w:w="1900" w:type="dxa"/>
            <w:noWrap/>
            <w:hideMark/>
          </w:tcPr>
          <w:p w14:paraId="345F8F6F" w14:textId="77777777" w:rsidR="00B7165A" w:rsidRPr="00033A3F" w:rsidRDefault="00B7165A" w:rsidP="00293866">
            <w:pPr>
              <w:rPr>
                <w:color w:val="000000" w:themeColor="text1"/>
              </w:rPr>
            </w:pPr>
            <w:r w:rsidRPr="00033A3F">
              <w:rPr>
                <w:color w:val="000000" w:themeColor="text1"/>
              </w:rPr>
              <w:t>Kypr</w:t>
            </w:r>
          </w:p>
        </w:tc>
        <w:tc>
          <w:tcPr>
            <w:tcW w:w="460" w:type="dxa"/>
            <w:noWrap/>
            <w:hideMark/>
          </w:tcPr>
          <w:p w14:paraId="510E6040" w14:textId="77777777" w:rsidR="00B7165A" w:rsidRPr="00033A3F" w:rsidRDefault="00B7165A" w:rsidP="00293866">
            <w:pPr>
              <w:rPr>
                <w:color w:val="000000" w:themeColor="text1"/>
              </w:rPr>
            </w:pPr>
          </w:p>
        </w:tc>
        <w:tc>
          <w:tcPr>
            <w:tcW w:w="580" w:type="dxa"/>
            <w:noWrap/>
            <w:hideMark/>
          </w:tcPr>
          <w:p w14:paraId="2F8F69AB" w14:textId="77777777" w:rsidR="00B7165A" w:rsidRPr="00033A3F" w:rsidRDefault="00B7165A" w:rsidP="00293866">
            <w:pPr>
              <w:rPr>
                <w:color w:val="000000" w:themeColor="text1"/>
              </w:rPr>
            </w:pPr>
            <w:r w:rsidRPr="00033A3F">
              <w:rPr>
                <w:color w:val="000000" w:themeColor="text1"/>
              </w:rPr>
              <w:t>HR</w:t>
            </w:r>
          </w:p>
        </w:tc>
        <w:tc>
          <w:tcPr>
            <w:tcW w:w="2396" w:type="dxa"/>
            <w:noWrap/>
            <w:hideMark/>
          </w:tcPr>
          <w:p w14:paraId="2BD5869C" w14:textId="77777777" w:rsidR="00B7165A" w:rsidRPr="00033A3F" w:rsidRDefault="00B7165A" w:rsidP="00293866">
            <w:pPr>
              <w:rPr>
                <w:color w:val="000000" w:themeColor="text1"/>
              </w:rPr>
            </w:pPr>
            <w:r w:rsidRPr="00033A3F">
              <w:rPr>
                <w:color w:val="000000" w:themeColor="text1"/>
              </w:rPr>
              <w:t>Chorvatsko</w:t>
            </w:r>
          </w:p>
        </w:tc>
        <w:tc>
          <w:tcPr>
            <w:tcW w:w="580" w:type="dxa"/>
            <w:noWrap/>
            <w:hideMark/>
          </w:tcPr>
          <w:p w14:paraId="3999DF12" w14:textId="77777777" w:rsidR="00B7165A" w:rsidRPr="00033A3F" w:rsidRDefault="00B7165A" w:rsidP="00293866">
            <w:pPr>
              <w:rPr>
                <w:color w:val="000000" w:themeColor="text1"/>
              </w:rPr>
            </w:pPr>
            <w:r w:rsidRPr="00033A3F">
              <w:rPr>
                <w:color w:val="000000" w:themeColor="text1"/>
              </w:rPr>
              <w:t>PL</w:t>
            </w:r>
          </w:p>
        </w:tc>
        <w:tc>
          <w:tcPr>
            <w:tcW w:w="1900" w:type="dxa"/>
            <w:noWrap/>
            <w:hideMark/>
          </w:tcPr>
          <w:p w14:paraId="5F0F8B8E" w14:textId="77777777" w:rsidR="00B7165A" w:rsidRPr="00033A3F" w:rsidRDefault="00B7165A" w:rsidP="00293866">
            <w:pPr>
              <w:rPr>
                <w:color w:val="000000" w:themeColor="text1"/>
              </w:rPr>
            </w:pPr>
            <w:r w:rsidRPr="00033A3F">
              <w:rPr>
                <w:color w:val="000000" w:themeColor="text1"/>
              </w:rPr>
              <w:t>Polsko</w:t>
            </w:r>
          </w:p>
        </w:tc>
      </w:tr>
      <w:tr w:rsidR="00033A3F" w:rsidRPr="00033A3F" w14:paraId="7223B319" w14:textId="77777777" w:rsidTr="00293866">
        <w:trPr>
          <w:trHeight w:val="285"/>
        </w:trPr>
        <w:tc>
          <w:tcPr>
            <w:tcW w:w="580" w:type="dxa"/>
            <w:noWrap/>
            <w:hideMark/>
          </w:tcPr>
          <w:p w14:paraId="5C3EA49C" w14:textId="77777777" w:rsidR="00B7165A" w:rsidRPr="00033A3F" w:rsidRDefault="00B7165A" w:rsidP="00293866">
            <w:pPr>
              <w:rPr>
                <w:color w:val="000000" w:themeColor="text1"/>
              </w:rPr>
            </w:pPr>
            <w:r w:rsidRPr="00033A3F">
              <w:rPr>
                <w:color w:val="000000" w:themeColor="text1"/>
              </w:rPr>
              <w:t>CZ</w:t>
            </w:r>
          </w:p>
        </w:tc>
        <w:tc>
          <w:tcPr>
            <w:tcW w:w="1900" w:type="dxa"/>
            <w:noWrap/>
            <w:hideMark/>
          </w:tcPr>
          <w:p w14:paraId="6A3DD64D" w14:textId="77777777" w:rsidR="00B7165A" w:rsidRPr="00033A3F" w:rsidRDefault="00B7165A" w:rsidP="00293866">
            <w:pPr>
              <w:rPr>
                <w:color w:val="000000" w:themeColor="text1"/>
              </w:rPr>
            </w:pPr>
            <w:r w:rsidRPr="00033A3F">
              <w:rPr>
                <w:color w:val="000000" w:themeColor="text1"/>
              </w:rPr>
              <w:t>Česká republika</w:t>
            </w:r>
          </w:p>
        </w:tc>
        <w:tc>
          <w:tcPr>
            <w:tcW w:w="460" w:type="dxa"/>
            <w:noWrap/>
            <w:hideMark/>
          </w:tcPr>
          <w:p w14:paraId="61533BCF" w14:textId="77777777" w:rsidR="00B7165A" w:rsidRPr="00033A3F" w:rsidRDefault="00B7165A" w:rsidP="00293866">
            <w:pPr>
              <w:rPr>
                <w:color w:val="000000" w:themeColor="text1"/>
              </w:rPr>
            </w:pPr>
          </w:p>
        </w:tc>
        <w:tc>
          <w:tcPr>
            <w:tcW w:w="580" w:type="dxa"/>
            <w:noWrap/>
            <w:hideMark/>
          </w:tcPr>
          <w:p w14:paraId="512A6D5C" w14:textId="77777777" w:rsidR="00B7165A" w:rsidRPr="00033A3F" w:rsidRDefault="00B7165A" w:rsidP="00293866">
            <w:pPr>
              <w:rPr>
                <w:color w:val="000000" w:themeColor="text1"/>
              </w:rPr>
            </w:pPr>
            <w:r w:rsidRPr="00033A3F">
              <w:rPr>
                <w:color w:val="000000" w:themeColor="text1"/>
              </w:rPr>
              <w:t>HU</w:t>
            </w:r>
          </w:p>
        </w:tc>
        <w:tc>
          <w:tcPr>
            <w:tcW w:w="2396" w:type="dxa"/>
            <w:noWrap/>
            <w:hideMark/>
          </w:tcPr>
          <w:p w14:paraId="63B2313F" w14:textId="77777777" w:rsidR="00B7165A" w:rsidRPr="00033A3F" w:rsidRDefault="00B7165A" w:rsidP="00293866">
            <w:pPr>
              <w:rPr>
                <w:color w:val="000000" w:themeColor="text1"/>
              </w:rPr>
            </w:pPr>
            <w:r w:rsidRPr="00033A3F">
              <w:rPr>
                <w:color w:val="000000" w:themeColor="text1"/>
              </w:rPr>
              <w:t>Maďarsko</w:t>
            </w:r>
          </w:p>
        </w:tc>
        <w:tc>
          <w:tcPr>
            <w:tcW w:w="580" w:type="dxa"/>
            <w:noWrap/>
            <w:hideMark/>
          </w:tcPr>
          <w:p w14:paraId="46181B06" w14:textId="77777777" w:rsidR="00B7165A" w:rsidRPr="00033A3F" w:rsidRDefault="00B7165A" w:rsidP="00293866">
            <w:pPr>
              <w:rPr>
                <w:color w:val="000000" w:themeColor="text1"/>
              </w:rPr>
            </w:pPr>
            <w:r w:rsidRPr="00033A3F">
              <w:rPr>
                <w:color w:val="000000" w:themeColor="text1"/>
              </w:rPr>
              <w:t>PT</w:t>
            </w:r>
          </w:p>
        </w:tc>
        <w:tc>
          <w:tcPr>
            <w:tcW w:w="1900" w:type="dxa"/>
            <w:noWrap/>
            <w:hideMark/>
          </w:tcPr>
          <w:p w14:paraId="25D1868E" w14:textId="77777777" w:rsidR="00B7165A" w:rsidRPr="00033A3F" w:rsidRDefault="00B7165A" w:rsidP="00293866">
            <w:pPr>
              <w:rPr>
                <w:color w:val="000000" w:themeColor="text1"/>
              </w:rPr>
            </w:pPr>
            <w:r w:rsidRPr="00033A3F">
              <w:rPr>
                <w:color w:val="000000" w:themeColor="text1"/>
              </w:rPr>
              <w:t>Portugalsko</w:t>
            </w:r>
          </w:p>
        </w:tc>
      </w:tr>
      <w:tr w:rsidR="00033A3F" w:rsidRPr="00033A3F" w14:paraId="518F8F22" w14:textId="77777777" w:rsidTr="00293866">
        <w:trPr>
          <w:trHeight w:val="285"/>
        </w:trPr>
        <w:tc>
          <w:tcPr>
            <w:tcW w:w="580" w:type="dxa"/>
            <w:noWrap/>
            <w:hideMark/>
          </w:tcPr>
          <w:p w14:paraId="5E9ACB27" w14:textId="77777777" w:rsidR="00B7165A" w:rsidRPr="00033A3F" w:rsidRDefault="00B7165A" w:rsidP="00293866">
            <w:pPr>
              <w:rPr>
                <w:color w:val="000000" w:themeColor="text1"/>
              </w:rPr>
            </w:pPr>
            <w:r w:rsidRPr="00033A3F">
              <w:rPr>
                <w:color w:val="000000" w:themeColor="text1"/>
              </w:rPr>
              <w:t>DE</w:t>
            </w:r>
          </w:p>
        </w:tc>
        <w:tc>
          <w:tcPr>
            <w:tcW w:w="1900" w:type="dxa"/>
            <w:noWrap/>
            <w:hideMark/>
          </w:tcPr>
          <w:p w14:paraId="737087C8" w14:textId="77777777" w:rsidR="00B7165A" w:rsidRPr="00033A3F" w:rsidRDefault="00B7165A" w:rsidP="00293866">
            <w:pPr>
              <w:rPr>
                <w:color w:val="000000" w:themeColor="text1"/>
              </w:rPr>
            </w:pPr>
            <w:r w:rsidRPr="00033A3F">
              <w:rPr>
                <w:color w:val="000000" w:themeColor="text1"/>
              </w:rPr>
              <w:t>Německo</w:t>
            </w:r>
          </w:p>
        </w:tc>
        <w:tc>
          <w:tcPr>
            <w:tcW w:w="460" w:type="dxa"/>
            <w:noWrap/>
            <w:hideMark/>
          </w:tcPr>
          <w:p w14:paraId="3F160415" w14:textId="77777777" w:rsidR="00B7165A" w:rsidRPr="00033A3F" w:rsidRDefault="00B7165A" w:rsidP="00293866">
            <w:pPr>
              <w:rPr>
                <w:color w:val="000000" w:themeColor="text1"/>
              </w:rPr>
            </w:pPr>
          </w:p>
        </w:tc>
        <w:tc>
          <w:tcPr>
            <w:tcW w:w="580" w:type="dxa"/>
            <w:noWrap/>
            <w:hideMark/>
          </w:tcPr>
          <w:p w14:paraId="4AA7805B" w14:textId="77777777" w:rsidR="00B7165A" w:rsidRPr="00033A3F" w:rsidRDefault="00B7165A" w:rsidP="00293866">
            <w:pPr>
              <w:rPr>
                <w:color w:val="000000" w:themeColor="text1"/>
              </w:rPr>
            </w:pPr>
            <w:r w:rsidRPr="00033A3F">
              <w:rPr>
                <w:color w:val="000000" w:themeColor="text1"/>
              </w:rPr>
              <w:t>IE</w:t>
            </w:r>
          </w:p>
        </w:tc>
        <w:tc>
          <w:tcPr>
            <w:tcW w:w="2396" w:type="dxa"/>
            <w:noWrap/>
            <w:hideMark/>
          </w:tcPr>
          <w:p w14:paraId="16F3FE06" w14:textId="77777777" w:rsidR="00B7165A" w:rsidRPr="00033A3F" w:rsidRDefault="00B7165A" w:rsidP="00293866">
            <w:pPr>
              <w:rPr>
                <w:color w:val="000000" w:themeColor="text1"/>
              </w:rPr>
            </w:pPr>
            <w:r w:rsidRPr="00033A3F">
              <w:rPr>
                <w:color w:val="000000" w:themeColor="text1"/>
              </w:rPr>
              <w:t>Irsko</w:t>
            </w:r>
          </w:p>
        </w:tc>
        <w:tc>
          <w:tcPr>
            <w:tcW w:w="580" w:type="dxa"/>
            <w:noWrap/>
            <w:hideMark/>
          </w:tcPr>
          <w:p w14:paraId="2964F34A" w14:textId="77777777" w:rsidR="00B7165A" w:rsidRPr="00033A3F" w:rsidRDefault="00B7165A" w:rsidP="00293866">
            <w:pPr>
              <w:rPr>
                <w:color w:val="000000" w:themeColor="text1"/>
              </w:rPr>
            </w:pPr>
            <w:r w:rsidRPr="00033A3F">
              <w:rPr>
                <w:color w:val="000000" w:themeColor="text1"/>
              </w:rPr>
              <w:t>RO</w:t>
            </w:r>
          </w:p>
        </w:tc>
        <w:tc>
          <w:tcPr>
            <w:tcW w:w="1900" w:type="dxa"/>
            <w:noWrap/>
            <w:hideMark/>
          </w:tcPr>
          <w:p w14:paraId="20D61FD2" w14:textId="77777777" w:rsidR="00B7165A" w:rsidRPr="00033A3F" w:rsidRDefault="00B7165A" w:rsidP="00293866">
            <w:pPr>
              <w:rPr>
                <w:color w:val="000000" w:themeColor="text1"/>
              </w:rPr>
            </w:pPr>
            <w:r w:rsidRPr="00033A3F">
              <w:rPr>
                <w:color w:val="000000" w:themeColor="text1"/>
              </w:rPr>
              <w:t>Rumunsko</w:t>
            </w:r>
          </w:p>
        </w:tc>
      </w:tr>
      <w:tr w:rsidR="00033A3F" w:rsidRPr="00033A3F" w14:paraId="199F763A" w14:textId="77777777" w:rsidTr="00293866">
        <w:trPr>
          <w:trHeight w:val="285"/>
        </w:trPr>
        <w:tc>
          <w:tcPr>
            <w:tcW w:w="580" w:type="dxa"/>
            <w:noWrap/>
            <w:hideMark/>
          </w:tcPr>
          <w:p w14:paraId="0B72EF02" w14:textId="77777777" w:rsidR="00B7165A" w:rsidRPr="00033A3F" w:rsidRDefault="00B7165A" w:rsidP="00293866">
            <w:pPr>
              <w:rPr>
                <w:color w:val="000000" w:themeColor="text1"/>
              </w:rPr>
            </w:pPr>
            <w:r w:rsidRPr="00033A3F">
              <w:rPr>
                <w:color w:val="000000" w:themeColor="text1"/>
              </w:rPr>
              <w:t>DK</w:t>
            </w:r>
          </w:p>
        </w:tc>
        <w:tc>
          <w:tcPr>
            <w:tcW w:w="1900" w:type="dxa"/>
            <w:noWrap/>
            <w:hideMark/>
          </w:tcPr>
          <w:p w14:paraId="5347E988" w14:textId="77777777" w:rsidR="00B7165A" w:rsidRPr="00033A3F" w:rsidRDefault="00B7165A" w:rsidP="00293866">
            <w:pPr>
              <w:rPr>
                <w:color w:val="000000" w:themeColor="text1"/>
              </w:rPr>
            </w:pPr>
            <w:r w:rsidRPr="00033A3F">
              <w:rPr>
                <w:color w:val="000000" w:themeColor="text1"/>
              </w:rPr>
              <w:t>Dánsko</w:t>
            </w:r>
          </w:p>
        </w:tc>
        <w:tc>
          <w:tcPr>
            <w:tcW w:w="460" w:type="dxa"/>
            <w:noWrap/>
            <w:hideMark/>
          </w:tcPr>
          <w:p w14:paraId="08D6DD07" w14:textId="77777777" w:rsidR="00B7165A" w:rsidRPr="00033A3F" w:rsidRDefault="00B7165A" w:rsidP="00293866">
            <w:pPr>
              <w:rPr>
                <w:color w:val="000000" w:themeColor="text1"/>
              </w:rPr>
            </w:pPr>
          </w:p>
        </w:tc>
        <w:tc>
          <w:tcPr>
            <w:tcW w:w="580" w:type="dxa"/>
            <w:noWrap/>
            <w:hideMark/>
          </w:tcPr>
          <w:p w14:paraId="35EA081F" w14:textId="77777777" w:rsidR="00B7165A" w:rsidRPr="00033A3F" w:rsidRDefault="00B7165A" w:rsidP="00293866">
            <w:pPr>
              <w:rPr>
                <w:color w:val="000000" w:themeColor="text1"/>
              </w:rPr>
            </w:pPr>
            <w:r w:rsidRPr="00033A3F">
              <w:rPr>
                <w:color w:val="000000" w:themeColor="text1"/>
              </w:rPr>
              <w:t>IT</w:t>
            </w:r>
          </w:p>
        </w:tc>
        <w:tc>
          <w:tcPr>
            <w:tcW w:w="2396" w:type="dxa"/>
            <w:noWrap/>
            <w:hideMark/>
          </w:tcPr>
          <w:p w14:paraId="6E46580A" w14:textId="77777777" w:rsidR="00B7165A" w:rsidRPr="00033A3F" w:rsidRDefault="00B7165A" w:rsidP="00293866">
            <w:pPr>
              <w:rPr>
                <w:color w:val="000000" w:themeColor="text1"/>
              </w:rPr>
            </w:pPr>
            <w:r w:rsidRPr="00033A3F">
              <w:rPr>
                <w:color w:val="000000" w:themeColor="text1"/>
              </w:rPr>
              <w:t>Itálie</w:t>
            </w:r>
          </w:p>
        </w:tc>
        <w:tc>
          <w:tcPr>
            <w:tcW w:w="580" w:type="dxa"/>
            <w:noWrap/>
            <w:hideMark/>
          </w:tcPr>
          <w:p w14:paraId="1BAC5C1D" w14:textId="77777777" w:rsidR="00B7165A" w:rsidRPr="00033A3F" w:rsidRDefault="00B7165A" w:rsidP="00293866">
            <w:pPr>
              <w:rPr>
                <w:color w:val="000000" w:themeColor="text1"/>
              </w:rPr>
            </w:pPr>
            <w:r w:rsidRPr="00033A3F">
              <w:rPr>
                <w:color w:val="000000" w:themeColor="text1"/>
              </w:rPr>
              <w:t>SE</w:t>
            </w:r>
          </w:p>
        </w:tc>
        <w:tc>
          <w:tcPr>
            <w:tcW w:w="1900" w:type="dxa"/>
            <w:noWrap/>
            <w:hideMark/>
          </w:tcPr>
          <w:p w14:paraId="3E568E57" w14:textId="77777777" w:rsidR="00B7165A" w:rsidRPr="00033A3F" w:rsidRDefault="00B7165A" w:rsidP="00293866">
            <w:pPr>
              <w:rPr>
                <w:color w:val="000000" w:themeColor="text1"/>
              </w:rPr>
            </w:pPr>
            <w:r w:rsidRPr="00033A3F">
              <w:rPr>
                <w:color w:val="000000" w:themeColor="text1"/>
              </w:rPr>
              <w:t>Švédsko</w:t>
            </w:r>
          </w:p>
        </w:tc>
      </w:tr>
      <w:tr w:rsidR="00033A3F" w:rsidRPr="00033A3F" w14:paraId="0171AAD7" w14:textId="77777777" w:rsidTr="00293866">
        <w:trPr>
          <w:trHeight w:val="285"/>
        </w:trPr>
        <w:tc>
          <w:tcPr>
            <w:tcW w:w="580" w:type="dxa"/>
            <w:noWrap/>
            <w:hideMark/>
          </w:tcPr>
          <w:p w14:paraId="158741A6" w14:textId="77777777" w:rsidR="00B7165A" w:rsidRPr="00033A3F" w:rsidRDefault="00B7165A" w:rsidP="00293866">
            <w:pPr>
              <w:rPr>
                <w:color w:val="000000" w:themeColor="text1"/>
              </w:rPr>
            </w:pPr>
            <w:r w:rsidRPr="00033A3F">
              <w:rPr>
                <w:color w:val="000000" w:themeColor="text1"/>
              </w:rPr>
              <w:t>EE</w:t>
            </w:r>
          </w:p>
        </w:tc>
        <w:tc>
          <w:tcPr>
            <w:tcW w:w="1900" w:type="dxa"/>
            <w:noWrap/>
            <w:hideMark/>
          </w:tcPr>
          <w:p w14:paraId="00EE4816" w14:textId="77777777" w:rsidR="00B7165A" w:rsidRPr="00033A3F" w:rsidRDefault="00B7165A" w:rsidP="00293866">
            <w:pPr>
              <w:rPr>
                <w:color w:val="000000" w:themeColor="text1"/>
              </w:rPr>
            </w:pPr>
            <w:r w:rsidRPr="00033A3F">
              <w:rPr>
                <w:color w:val="000000" w:themeColor="text1"/>
              </w:rPr>
              <w:t>Estonsko</w:t>
            </w:r>
          </w:p>
        </w:tc>
        <w:tc>
          <w:tcPr>
            <w:tcW w:w="460" w:type="dxa"/>
            <w:noWrap/>
            <w:hideMark/>
          </w:tcPr>
          <w:p w14:paraId="5050321B" w14:textId="77777777" w:rsidR="00B7165A" w:rsidRPr="00033A3F" w:rsidRDefault="00B7165A" w:rsidP="00293866">
            <w:pPr>
              <w:rPr>
                <w:color w:val="000000" w:themeColor="text1"/>
              </w:rPr>
            </w:pPr>
          </w:p>
        </w:tc>
        <w:tc>
          <w:tcPr>
            <w:tcW w:w="580" w:type="dxa"/>
            <w:noWrap/>
            <w:hideMark/>
          </w:tcPr>
          <w:p w14:paraId="2F9F25E7" w14:textId="77777777" w:rsidR="00B7165A" w:rsidRPr="00033A3F" w:rsidRDefault="00B7165A" w:rsidP="00293866">
            <w:pPr>
              <w:rPr>
                <w:color w:val="000000" w:themeColor="text1"/>
              </w:rPr>
            </w:pPr>
            <w:r w:rsidRPr="00033A3F">
              <w:rPr>
                <w:color w:val="000000" w:themeColor="text1"/>
              </w:rPr>
              <w:t>LT</w:t>
            </w:r>
          </w:p>
        </w:tc>
        <w:tc>
          <w:tcPr>
            <w:tcW w:w="2396" w:type="dxa"/>
            <w:noWrap/>
            <w:hideMark/>
          </w:tcPr>
          <w:p w14:paraId="077DEA09" w14:textId="77777777" w:rsidR="00B7165A" w:rsidRPr="00033A3F" w:rsidRDefault="00B7165A" w:rsidP="00293866">
            <w:pPr>
              <w:rPr>
                <w:color w:val="000000" w:themeColor="text1"/>
              </w:rPr>
            </w:pPr>
            <w:r w:rsidRPr="00033A3F">
              <w:rPr>
                <w:color w:val="000000" w:themeColor="text1"/>
              </w:rPr>
              <w:t>Litva</w:t>
            </w:r>
          </w:p>
        </w:tc>
        <w:tc>
          <w:tcPr>
            <w:tcW w:w="580" w:type="dxa"/>
            <w:noWrap/>
            <w:hideMark/>
          </w:tcPr>
          <w:p w14:paraId="048809F4" w14:textId="77777777" w:rsidR="00B7165A" w:rsidRPr="00033A3F" w:rsidRDefault="00B7165A" w:rsidP="00293866">
            <w:pPr>
              <w:rPr>
                <w:color w:val="000000" w:themeColor="text1"/>
              </w:rPr>
            </w:pPr>
            <w:r w:rsidRPr="00033A3F">
              <w:rPr>
                <w:color w:val="000000" w:themeColor="text1"/>
              </w:rPr>
              <w:t>SK</w:t>
            </w:r>
          </w:p>
        </w:tc>
        <w:tc>
          <w:tcPr>
            <w:tcW w:w="1900" w:type="dxa"/>
            <w:noWrap/>
            <w:hideMark/>
          </w:tcPr>
          <w:p w14:paraId="71F28F55" w14:textId="77777777" w:rsidR="00B7165A" w:rsidRPr="00033A3F" w:rsidRDefault="00B7165A" w:rsidP="00293866">
            <w:pPr>
              <w:rPr>
                <w:color w:val="000000" w:themeColor="text1"/>
              </w:rPr>
            </w:pPr>
            <w:r w:rsidRPr="00033A3F">
              <w:rPr>
                <w:color w:val="000000" w:themeColor="text1"/>
              </w:rPr>
              <w:t>Slovensko</w:t>
            </w:r>
          </w:p>
        </w:tc>
      </w:tr>
      <w:tr w:rsidR="00304907" w:rsidRPr="00033A3F" w14:paraId="2DEB7976" w14:textId="77777777" w:rsidTr="00293866">
        <w:trPr>
          <w:trHeight w:val="285"/>
        </w:trPr>
        <w:tc>
          <w:tcPr>
            <w:tcW w:w="580" w:type="dxa"/>
            <w:noWrap/>
            <w:hideMark/>
          </w:tcPr>
          <w:p w14:paraId="00B3B06F" w14:textId="77777777" w:rsidR="00B7165A" w:rsidRPr="00033A3F" w:rsidRDefault="00B7165A" w:rsidP="00293866">
            <w:pPr>
              <w:rPr>
                <w:color w:val="000000" w:themeColor="text1"/>
              </w:rPr>
            </w:pPr>
            <w:r w:rsidRPr="00033A3F">
              <w:rPr>
                <w:color w:val="000000" w:themeColor="text1"/>
              </w:rPr>
              <w:t>EL</w:t>
            </w:r>
          </w:p>
        </w:tc>
        <w:tc>
          <w:tcPr>
            <w:tcW w:w="1900" w:type="dxa"/>
            <w:noWrap/>
            <w:hideMark/>
          </w:tcPr>
          <w:p w14:paraId="088439E4" w14:textId="77777777" w:rsidR="00B7165A" w:rsidRPr="00033A3F" w:rsidRDefault="00B7165A" w:rsidP="00293866">
            <w:pPr>
              <w:rPr>
                <w:color w:val="000000" w:themeColor="text1"/>
              </w:rPr>
            </w:pPr>
            <w:r w:rsidRPr="00033A3F">
              <w:rPr>
                <w:color w:val="000000" w:themeColor="text1"/>
              </w:rPr>
              <w:t>Řecko</w:t>
            </w:r>
          </w:p>
        </w:tc>
        <w:tc>
          <w:tcPr>
            <w:tcW w:w="460" w:type="dxa"/>
            <w:noWrap/>
            <w:hideMark/>
          </w:tcPr>
          <w:p w14:paraId="53AD9B35" w14:textId="77777777" w:rsidR="00B7165A" w:rsidRPr="00033A3F" w:rsidRDefault="00B7165A" w:rsidP="00293866">
            <w:pPr>
              <w:rPr>
                <w:color w:val="000000" w:themeColor="text1"/>
              </w:rPr>
            </w:pPr>
          </w:p>
        </w:tc>
        <w:tc>
          <w:tcPr>
            <w:tcW w:w="580" w:type="dxa"/>
            <w:noWrap/>
            <w:hideMark/>
          </w:tcPr>
          <w:p w14:paraId="4628145F" w14:textId="77777777" w:rsidR="00B7165A" w:rsidRPr="00033A3F" w:rsidRDefault="00B7165A" w:rsidP="00293866">
            <w:pPr>
              <w:rPr>
                <w:color w:val="000000" w:themeColor="text1"/>
              </w:rPr>
            </w:pPr>
            <w:r w:rsidRPr="00033A3F">
              <w:rPr>
                <w:color w:val="000000" w:themeColor="text1"/>
              </w:rPr>
              <w:t>LU</w:t>
            </w:r>
          </w:p>
        </w:tc>
        <w:tc>
          <w:tcPr>
            <w:tcW w:w="2396" w:type="dxa"/>
            <w:noWrap/>
            <w:hideMark/>
          </w:tcPr>
          <w:p w14:paraId="0AA25243" w14:textId="77777777" w:rsidR="00B7165A" w:rsidRPr="00033A3F" w:rsidRDefault="00B7165A" w:rsidP="00293866">
            <w:pPr>
              <w:rPr>
                <w:color w:val="000000" w:themeColor="text1"/>
              </w:rPr>
            </w:pPr>
            <w:r w:rsidRPr="00033A3F">
              <w:rPr>
                <w:color w:val="000000" w:themeColor="text1"/>
              </w:rPr>
              <w:t>Lucembursko</w:t>
            </w:r>
          </w:p>
        </w:tc>
        <w:tc>
          <w:tcPr>
            <w:tcW w:w="580" w:type="dxa"/>
            <w:noWrap/>
            <w:hideMark/>
          </w:tcPr>
          <w:p w14:paraId="103A8E56" w14:textId="77777777" w:rsidR="00B7165A" w:rsidRPr="00033A3F" w:rsidRDefault="00B7165A" w:rsidP="00293866">
            <w:pPr>
              <w:rPr>
                <w:color w:val="000000" w:themeColor="text1"/>
              </w:rPr>
            </w:pPr>
            <w:r w:rsidRPr="00033A3F">
              <w:rPr>
                <w:color w:val="000000" w:themeColor="text1"/>
              </w:rPr>
              <w:t>SI</w:t>
            </w:r>
          </w:p>
        </w:tc>
        <w:tc>
          <w:tcPr>
            <w:tcW w:w="1900" w:type="dxa"/>
            <w:noWrap/>
            <w:hideMark/>
          </w:tcPr>
          <w:p w14:paraId="31734359" w14:textId="77777777" w:rsidR="00B7165A" w:rsidRPr="00033A3F" w:rsidRDefault="00B7165A" w:rsidP="00293866">
            <w:pPr>
              <w:rPr>
                <w:color w:val="000000" w:themeColor="text1"/>
              </w:rPr>
            </w:pPr>
            <w:r w:rsidRPr="00033A3F">
              <w:rPr>
                <w:color w:val="000000" w:themeColor="text1"/>
              </w:rPr>
              <w:t>Slovinsko</w:t>
            </w:r>
          </w:p>
        </w:tc>
      </w:tr>
      <w:bookmarkEnd w:id="2631"/>
    </w:tbl>
    <w:p w14:paraId="3D9F6C53" w14:textId="77777777" w:rsidR="00B7165A" w:rsidRPr="00033A3F" w:rsidRDefault="00B7165A" w:rsidP="00B7165A">
      <w:pPr>
        <w:pStyle w:val="OdstavecASR"/>
        <w:rPr>
          <w:color w:val="000000" w:themeColor="text1"/>
        </w:rPr>
      </w:pPr>
    </w:p>
    <w:p w14:paraId="280B786E" w14:textId="77777777" w:rsidR="00B7165A" w:rsidRPr="00033A3F" w:rsidRDefault="00B7165A" w:rsidP="00B7165A">
      <w:pPr>
        <w:pStyle w:val="OdstavecASR"/>
        <w:rPr>
          <w:color w:val="000000" w:themeColor="text1"/>
        </w:rPr>
      </w:pPr>
      <w:r w:rsidRPr="00033A3F">
        <w:rPr>
          <w:color w:val="000000" w:themeColor="text1"/>
        </w:rPr>
        <w:t xml:space="preserve">Upozorňujeme, že při studování, hodnocení či interpretaci publikovaných statistických dat je nutné brát v úvahu, že každý stát je unikátní, liší se jejich justiční systémy i způsoby statistického vykazování dat. </w:t>
      </w:r>
    </w:p>
    <w:p w14:paraId="65BE7F05" w14:textId="77777777" w:rsidR="0017337D" w:rsidRPr="00033A3F" w:rsidRDefault="0017337D" w:rsidP="0017337D">
      <w:pPr>
        <w:pStyle w:val="Nadpis3"/>
        <w:pageBreakBefore/>
        <w:numPr>
          <w:ilvl w:val="2"/>
          <w:numId w:val="1"/>
        </w:numPr>
        <w:rPr>
          <w:color w:val="000000" w:themeColor="text1"/>
        </w:rPr>
      </w:pPr>
      <w:bookmarkStart w:id="2632" w:name="_Toc203032815"/>
      <w:r w:rsidRPr="00033A3F">
        <w:rPr>
          <w:color w:val="000000" w:themeColor="text1"/>
          <w:lang w:eastAsia="cs-CZ"/>
        </w:rPr>
        <w:lastRenderedPageBreak/>
        <w:t>Počet soudců a podíl žen</w:t>
      </w:r>
      <w:bookmarkEnd w:id="2632"/>
    </w:p>
    <w:p w14:paraId="581BCCFD" w14:textId="7E3A34E0" w:rsidR="0017337D" w:rsidRPr="00033A3F" w:rsidRDefault="0017337D" w:rsidP="0017337D">
      <w:pPr>
        <w:pStyle w:val="OdstavecASR"/>
        <w:rPr>
          <w:color w:val="000000" w:themeColor="text1"/>
        </w:rPr>
      </w:pPr>
      <w:r w:rsidRPr="00033A3F">
        <w:rPr>
          <w:color w:val="000000" w:themeColor="text1"/>
        </w:rPr>
        <w:t>Jedná se o ukazatel, který je velmi stabilní, mění se jen pozvolna a pořadí států zůstává stálé. Pro širší kontext tedy nabízíme data za všechny členské státy Rady Evropy</w:t>
      </w:r>
      <w:r w:rsidR="002E67F8">
        <w:rPr>
          <w:color w:val="000000" w:themeColor="text1"/>
          <w:vertAlign w:val="superscript"/>
        </w:rPr>
        <w:t>20</w:t>
      </w:r>
      <w:r w:rsidRPr="00033A3F">
        <w:rPr>
          <w:color w:val="000000" w:themeColor="text1"/>
        </w:rPr>
        <w:t>.</w:t>
      </w:r>
    </w:p>
    <w:p w14:paraId="3D93EE83" w14:textId="3E10A035" w:rsidR="0017337D" w:rsidRPr="00033A3F" w:rsidRDefault="0017337D" w:rsidP="0017337D">
      <w:pPr>
        <w:pStyle w:val="Podnadpis"/>
        <w:numPr>
          <w:ilvl w:val="0"/>
          <w:numId w:val="0"/>
        </w:numPr>
        <w:rPr>
          <w:color w:val="000000" w:themeColor="text1"/>
        </w:rPr>
      </w:pPr>
      <w:bookmarkStart w:id="2633" w:name="_Toc144104225"/>
      <w:bookmarkStart w:id="2634" w:name="_Toc169251038"/>
      <w:bookmarkStart w:id="2635" w:name="_Toc174080724"/>
      <w:bookmarkStart w:id="2636" w:name="_Toc20303295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123</w:t>
      </w:r>
      <w:r w:rsidRPr="00033A3F">
        <w:rPr>
          <w:color w:val="000000" w:themeColor="text1"/>
        </w:rPr>
        <w:fldChar w:fldCharType="end"/>
      </w:r>
      <w:r w:rsidRPr="00033A3F">
        <w:rPr>
          <w:color w:val="000000" w:themeColor="text1"/>
        </w:rPr>
        <w:t>: Počet soudců připadající na 100.000 obyvatel v členských státech Rady Evropy</w:t>
      </w:r>
      <w:r w:rsidR="002E67F8">
        <w:rPr>
          <w:color w:val="000000" w:themeColor="text1"/>
          <w:vertAlign w:val="superscript"/>
        </w:rPr>
        <w:t>20</w:t>
      </w:r>
      <w:r w:rsidRPr="00033A3F">
        <w:rPr>
          <w:color w:val="000000" w:themeColor="text1"/>
        </w:rPr>
        <w:t>, 202</w:t>
      </w:r>
      <w:bookmarkEnd w:id="2633"/>
      <w:bookmarkEnd w:id="2634"/>
      <w:bookmarkEnd w:id="2635"/>
      <w:r w:rsidRPr="00033A3F">
        <w:rPr>
          <w:color w:val="000000" w:themeColor="text1"/>
        </w:rPr>
        <w:t>2</w:t>
      </w:r>
      <w:bookmarkEnd w:id="2636"/>
    </w:p>
    <w:p w14:paraId="6F31E0F1" w14:textId="77777777" w:rsidR="0017337D" w:rsidRPr="00033A3F" w:rsidRDefault="0017337D" w:rsidP="0017337D">
      <w:pPr>
        <w:rPr>
          <w:color w:val="000000" w:themeColor="text1"/>
        </w:rPr>
      </w:pPr>
    </w:p>
    <w:p w14:paraId="678F7715" w14:textId="77777777" w:rsidR="0017337D" w:rsidRPr="00033A3F" w:rsidRDefault="0017337D" w:rsidP="0017337D">
      <w:pPr>
        <w:rPr>
          <w:color w:val="000000" w:themeColor="text1"/>
        </w:rPr>
      </w:pPr>
      <w:r w:rsidRPr="00033A3F">
        <w:rPr>
          <w:noProof/>
          <w:color w:val="000000" w:themeColor="text1"/>
        </w:rPr>
        <w:drawing>
          <wp:inline distT="0" distB="0" distL="0" distR="0" wp14:anchorId="0E955599" wp14:editId="1201917F">
            <wp:extent cx="5760720" cy="5292090"/>
            <wp:effectExtent l="0" t="0" r="0" b="3810"/>
            <wp:docPr id="146803740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37406" name=""/>
                    <pic:cNvPicPr/>
                  </pic:nvPicPr>
                  <pic:blipFill>
                    <a:blip r:embed="rId149"/>
                    <a:stretch>
                      <a:fillRect/>
                    </a:stretch>
                  </pic:blipFill>
                  <pic:spPr>
                    <a:xfrm>
                      <a:off x="0" y="0"/>
                      <a:ext cx="5760720" cy="5292090"/>
                    </a:xfrm>
                    <a:prstGeom prst="rect">
                      <a:avLst/>
                    </a:prstGeom>
                  </pic:spPr>
                </pic:pic>
              </a:graphicData>
            </a:graphic>
          </wp:inline>
        </w:drawing>
      </w:r>
    </w:p>
    <w:tbl>
      <w:tblPr>
        <w:tblStyle w:val="Mkatabulky"/>
        <w:tblW w:w="0" w:type="auto"/>
        <w:tblLook w:val="04A0" w:firstRow="1" w:lastRow="0" w:firstColumn="1" w:lastColumn="0" w:noHBand="0" w:noVBand="1"/>
      </w:tblPr>
      <w:tblGrid>
        <w:gridCol w:w="1510"/>
        <w:gridCol w:w="1510"/>
        <w:gridCol w:w="1510"/>
        <w:gridCol w:w="1510"/>
        <w:gridCol w:w="1511"/>
        <w:gridCol w:w="1511"/>
      </w:tblGrid>
      <w:tr w:rsidR="00033A3F" w:rsidRPr="00033A3F" w14:paraId="47BA6F8A" w14:textId="77777777" w:rsidTr="008078DE">
        <w:tc>
          <w:tcPr>
            <w:tcW w:w="1510" w:type="dxa"/>
          </w:tcPr>
          <w:p w14:paraId="05D85273"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Slovinsko 40,7</w:t>
            </w:r>
          </w:p>
        </w:tc>
        <w:tc>
          <w:tcPr>
            <w:tcW w:w="1510" w:type="dxa"/>
          </w:tcPr>
          <w:p w14:paraId="56DFB5E1"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Chorvatsko 42,4</w:t>
            </w:r>
          </w:p>
        </w:tc>
        <w:tc>
          <w:tcPr>
            <w:tcW w:w="1510" w:type="dxa"/>
          </w:tcPr>
          <w:p w14:paraId="5F516A1A"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Černá Hora 42,4</w:t>
            </w:r>
          </w:p>
        </w:tc>
        <w:tc>
          <w:tcPr>
            <w:tcW w:w="1510" w:type="dxa"/>
          </w:tcPr>
          <w:p w14:paraId="516060D4"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Albánie 11,4</w:t>
            </w:r>
          </w:p>
        </w:tc>
        <w:tc>
          <w:tcPr>
            <w:tcW w:w="1511" w:type="dxa"/>
          </w:tcPr>
          <w:p w14:paraId="796F88BE"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Makedonie 22,3</w:t>
            </w:r>
          </w:p>
        </w:tc>
        <w:tc>
          <w:tcPr>
            <w:tcW w:w="1511" w:type="dxa"/>
          </w:tcPr>
          <w:p w14:paraId="46DDD829"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Moldavsko 14,9</w:t>
            </w:r>
          </w:p>
        </w:tc>
      </w:tr>
      <w:tr w:rsidR="00033A3F" w:rsidRPr="00033A3F" w14:paraId="1AFF164A" w14:textId="77777777" w:rsidTr="008078DE">
        <w:tc>
          <w:tcPr>
            <w:tcW w:w="1510" w:type="dxa"/>
          </w:tcPr>
          <w:p w14:paraId="5655E862"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Malta 9,0</w:t>
            </w:r>
          </w:p>
        </w:tc>
        <w:tc>
          <w:tcPr>
            <w:tcW w:w="1510" w:type="dxa"/>
          </w:tcPr>
          <w:p w14:paraId="38C0DCFB"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Kypr 15,0</w:t>
            </w:r>
          </w:p>
        </w:tc>
        <w:tc>
          <w:tcPr>
            <w:tcW w:w="1510" w:type="dxa"/>
          </w:tcPr>
          <w:p w14:paraId="59EA59CE"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Izrael 8,3</w:t>
            </w:r>
          </w:p>
        </w:tc>
        <w:tc>
          <w:tcPr>
            <w:tcW w:w="1510" w:type="dxa"/>
          </w:tcPr>
          <w:p w14:paraId="0E841EC3"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Arménie 10,0</w:t>
            </w:r>
          </w:p>
        </w:tc>
        <w:tc>
          <w:tcPr>
            <w:tcW w:w="1511" w:type="dxa"/>
          </w:tcPr>
          <w:p w14:paraId="7D9CDA08"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Lucembursko  35,1</w:t>
            </w:r>
          </w:p>
        </w:tc>
        <w:tc>
          <w:tcPr>
            <w:tcW w:w="1511" w:type="dxa"/>
          </w:tcPr>
          <w:p w14:paraId="056551C8"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Monako 102,4</w:t>
            </w:r>
          </w:p>
        </w:tc>
      </w:tr>
    </w:tbl>
    <w:p w14:paraId="4706C3F0" w14:textId="77777777" w:rsidR="0017337D" w:rsidRPr="00033A3F" w:rsidRDefault="0017337D" w:rsidP="0017337D">
      <w:pPr>
        <w:pStyle w:val="OdstavecASR"/>
        <w:rPr>
          <w:color w:val="000000" w:themeColor="text1"/>
        </w:rPr>
      </w:pPr>
      <w:r w:rsidRPr="00033A3F">
        <w:rPr>
          <w:i/>
          <w:iCs/>
          <w:color w:val="000000" w:themeColor="text1"/>
          <w:sz w:val="18"/>
          <w:szCs w:val="18"/>
        </w:rPr>
        <w:t xml:space="preserve">Zdroj: </w:t>
      </w:r>
      <w:bookmarkStart w:id="2637" w:name="_Hlk192087611"/>
      <w:r w:rsidRPr="00033A3F">
        <w:rPr>
          <w:i/>
          <w:iCs/>
          <w:color w:val="000000" w:themeColor="text1"/>
          <w:sz w:val="18"/>
          <w:szCs w:val="18"/>
        </w:rPr>
        <w:t>European judicial systems, CEPEJ Evaluation Report 2024</w:t>
      </w:r>
      <w:bookmarkEnd w:id="2637"/>
      <w:r w:rsidRPr="00033A3F">
        <w:rPr>
          <w:i/>
          <w:iCs/>
          <w:color w:val="000000" w:themeColor="text1"/>
          <w:sz w:val="18"/>
          <w:szCs w:val="18"/>
        </w:rPr>
        <w:t xml:space="preserve">, Map 3.1, Průměr = 21,9, Medián = 17,6, Maximum Monako = 102,4, minimum Anglie + Wales = 2,6 (Skotsko = 3,6, Severní Irsko = 3,7), Porovnání s rokem 2012: 24 států = nárůst, 15 států = pokles, 7 států = beze změny, CZ 2012 = 29,1 vs. CZ 2022 = 28,2, zpracování vlastní </w:t>
      </w:r>
    </w:p>
    <w:p w14:paraId="6997AAB9" w14:textId="77777777" w:rsidR="0017337D" w:rsidRPr="00033A3F" w:rsidRDefault="0017337D" w:rsidP="0017337D">
      <w:pPr>
        <w:pStyle w:val="OdstavecASR"/>
        <w:rPr>
          <w:color w:val="000000" w:themeColor="text1"/>
        </w:rPr>
      </w:pPr>
      <w:r w:rsidRPr="00033A3F">
        <w:rPr>
          <w:color w:val="000000" w:themeColor="text1"/>
        </w:rPr>
        <w:t xml:space="preserve">Jak bylo uvedeno i v předchozích vydáních této zprávy, nelze zjednodušeně tvrdit, že státy s nižšími či vyššími počty soudců jsou „lepší“ či „horší“. Některé státy ponechávají rozhodování více na profesionálních soudcích a jiné spoléhají více na neprofesionální soudce a pravděpodobně také na jiné než soudní instituce. Z přehledu se vymykají např. Velká Británie a Irsko, kde velká část drobných civilních a rodinných věcí, případně i drobná trestná činnost, je rozhodována soudy tvořené laickými soudci ( Magistrates’ Courts, Sheriff Courts, Justice of the Peace Courts). </w:t>
      </w:r>
      <w:r w:rsidRPr="00033A3F">
        <w:rPr>
          <w:color w:val="000000" w:themeColor="text1"/>
        </w:rPr>
        <w:lastRenderedPageBreak/>
        <w:t>V trestních věcech zde většinou o vině rozhoduje porota, profesionální soudce má ale také svoji úlohu. Další skupinu se zdají tvořit státy (jiho)západní a severní Evropy, u kterých se počty soudců pohybují většinou pod hodnotou 15. I zde existují v některých zemích soudy tvořené laickými soudci (Francie, Itálie, Španělsko).</w:t>
      </w:r>
    </w:p>
    <w:p w14:paraId="7A7D618E" w14:textId="77777777" w:rsidR="0017337D" w:rsidRPr="00033A3F" w:rsidRDefault="0017337D" w:rsidP="0017337D">
      <w:pPr>
        <w:pStyle w:val="OdstavecASR"/>
        <w:rPr>
          <w:color w:val="000000" w:themeColor="text1"/>
        </w:rPr>
      </w:pPr>
      <w:r w:rsidRPr="00033A3F">
        <w:rPr>
          <w:color w:val="000000" w:themeColor="text1"/>
        </w:rPr>
        <w:t xml:space="preserve">V podobném rozsahu (členské státy Rady Evropy) uveřejňujeme také přehled </w:t>
      </w:r>
      <w:r w:rsidRPr="00033A3F">
        <w:rPr>
          <w:b/>
          <w:bCs/>
          <w:color w:val="000000" w:themeColor="text1"/>
        </w:rPr>
        <w:t xml:space="preserve">zastoupení žen v justičních systémech </w:t>
      </w:r>
      <w:r w:rsidRPr="00033A3F">
        <w:rPr>
          <w:color w:val="000000" w:themeColor="text1"/>
        </w:rPr>
        <w:t>v roce 2022 za všechny stupně celkem. Chybí data pro Německo a Ukrajinu, pro které byla uvedena data pouze pro Nejvyšší soud. Nebyla publikována data pro Izrael. Z prostého vizuálního porovnání obou map se zdá, že v zemích s vysokým počtem profesionálních soudců vzniká i větší prostor pro uplatnění žen, ale neplatí to jako pravidlo.</w:t>
      </w:r>
    </w:p>
    <w:p w14:paraId="3714896F" w14:textId="595358BF" w:rsidR="0017337D" w:rsidRPr="00033A3F" w:rsidRDefault="0017337D" w:rsidP="0017337D">
      <w:pPr>
        <w:pStyle w:val="Podnadpis"/>
        <w:numPr>
          <w:ilvl w:val="0"/>
          <w:numId w:val="0"/>
        </w:numPr>
        <w:rPr>
          <w:color w:val="000000" w:themeColor="text1"/>
        </w:rPr>
      </w:pPr>
      <w:bookmarkStart w:id="2638" w:name="_Toc20303295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124</w:t>
      </w:r>
      <w:r w:rsidRPr="00033A3F">
        <w:rPr>
          <w:color w:val="000000" w:themeColor="text1"/>
        </w:rPr>
        <w:fldChar w:fldCharType="end"/>
      </w:r>
      <w:r w:rsidRPr="00033A3F">
        <w:rPr>
          <w:color w:val="000000" w:themeColor="text1"/>
        </w:rPr>
        <w:t>: Podíl žen v řadách soudců v členských státech Rady Evropy</w:t>
      </w:r>
      <w:r w:rsidR="002E67F8">
        <w:rPr>
          <w:color w:val="000000" w:themeColor="text1"/>
          <w:vertAlign w:val="superscript"/>
        </w:rPr>
        <w:t>20</w:t>
      </w:r>
      <w:r w:rsidRPr="00033A3F">
        <w:rPr>
          <w:color w:val="000000" w:themeColor="text1"/>
        </w:rPr>
        <w:t>, 2022</w:t>
      </w:r>
      <w:bookmarkEnd w:id="2638"/>
    </w:p>
    <w:p w14:paraId="29E9431D"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61377BFB" wp14:editId="289C2F47">
            <wp:extent cx="5760720" cy="4733925"/>
            <wp:effectExtent l="0" t="0" r="0" b="9525"/>
            <wp:docPr id="3930037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03762" name=""/>
                    <pic:cNvPicPr/>
                  </pic:nvPicPr>
                  <pic:blipFill>
                    <a:blip r:embed="rId150"/>
                    <a:stretch>
                      <a:fillRect/>
                    </a:stretch>
                  </pic:blipFill>
                  <pic:spPr>
                    <a:xfrm>
                      <a:off x="0" y="0"/>
                      <a:ext cx="5760720" cy="4733925"/>
                    </a:xfrm>
                    <a:prstGeom prst="rect">
                      <a:avLst/>
                    </a:prstGeom>
                  </pic:spPr>
                </pic:pic>
              </a:graphicData>
            </a:graphic>
          </wp:inline>
        </w:drawing>
      </w:r>
    </w:p>
    <w:tbl>
      <w:tblPr>
        <w:tblStyle w:val="Mkatabulky"/>
        <w:tblW w:w="0" w:type="auto"/>
        <w:tblLook w:val="04A0" w:firstRow="1" w:lastRow="0" w:firstColumn="1" w:lastColumn="0" w:noHBand="0" w:noVBand="1"/>
      </w:tblPr>
      <w:tblGrid>
        <w:gridCol w:w="1510"/>
        <w:gridCol w:w="1510"/>
        <w:gridCol w:w="1510"/>
        <w:gridCol w:w="1510"/>
        <w:gridCol w:w="1511"/>
      </w:tblGrid>
      <w:tr w:rsidR="00033A3F" w:rsidRPr="00033A3F" w14:paraId="1EC65991" w14:textId="77777777" w:rsidTr="008078DE">
        <w:tc>
          <w:tcPr>
            <w:tcW w:w="1510" w:type="dxa"/>
          </w:tcPr>
          <w:p w14:paraId="74C07690"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Slovinsko   81 %</w:t>
            </w:r>
          </w:p>
        </w:tc>
        <w:tc>
          <w:tcPr>
            <w:tcW w:w="1510" w:type="dxa"/>
          </w:tcPr>
          <w:p w14:paraId="16917A03"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Chorvatsko   72 %</w:t>
            </w:r>
          </w:p>
        </w:tc>
        <w:tc>
          <w:tcPr>
            <w:tcW w:w="1510" w:type="dxa"/>
          </w:tcPr>
          <w:p w14:paraId="660276C4"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Černá Hora   57 %</w:t>
            </w:r>
          </w:p>
        </w:tc>
        <w:tc>
          <w:tcPr>
            <w:tcW w:w="1510" w:type="dxa"/>
          </w:tcPr>
          <w:p w14:paraId="07932775"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Albánie   55%</w:t>
            </w:r>
          </w:p>
        </w:tc>
        <w:tc>
          <w:tcPr>
            <w:tcW w:w="1511" w:type="dxa"/>
          </w:tcPr>
          <w:p w14:paraId="335D5659"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Makedonie   62 %</w:t>
            </w:r>
          </w:p>
        </w:tc>
      </w:tr>
      <w:tr w:rsidR="00033A3F" w:rsidRPr="00033A3F" w14:paraId="7C492023" w14:textId="77777777" w:rsidTr="008078DE">
        <w:tc>
          <w:tcPr>
            <w:tcW w:w="1510" w:type="dxa"/>
          </w:tcPr>
          <w:p w14:paraId="3A66E339"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Malta   55 %</w:t>
            </w:r>
          </w:p>
        </w:tc>
        <w:tc>
          <w:tcPr>
            <w:tcW w:w="1510" w:type="dxa"/>
          </w:tcPr>
          <w:p w14:paraId="1827C97E"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Kypr   54 %</w:t>
            </w:r>
          </w:p>
        </w:tc>
        <w:tc>
          <w:tcPr>
            <w:tcW w:w="1510" w:type="dxa"/>
          </w:tcPr>
          <w:p w14:paraId="49699AB3"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Izrael   ---</w:t>
            </w:r>
          </w:p>
        </w:tc>
        <w:tc>
          <w:tcPr>
            <w:tcW w:w="1510" w:type="dxa"/>
          </w:tcPr>
          <w:p w14:paraId="73609A25"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Lucembursko  72 %</w:t>
            </w:r>
          </w:p>
        </w:tc>
        <w:tc>
          <w:tcPr>
            <w:tcW w:w="1511" w:type="dxa"/>
          </w:tcPr>
          <w:p w14:paraId="5C066477"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Monako   45 %</w:t>
            </w:r>
          </w:p>
        </w:tc>
      </w:tr>
    </w:tbl>
    <w:p w14:paraId="1C62E909" w14:textId="73E08B9A" w:rsidR="0017337D" w:rsidRPr="00033A3F" w:rsidRDefault="0017337D" w:rsidP="0017337D">
      <w:pPr>
        <w:pStyle w:val="OdstavecASR"/>
        <w:rPr>
          <w:color w:val="000000" w:themeColor="text1"/>
        </w:rPr>
      </w:pPr>
      <w:r w:rsidRPr="00033A3F">
        <w:rPr>
          <w:i/>
          <w:iCs/>
          <w:color w:val="000000" w:themeColor="text1"/>
          <w:sz w:val="18"/>
          <w:szCs w:val="18"/>
        </w:rPr>
        <w:t xml:space="preserve">Zdroj: Quantitative Data by CEPEJ, data z webové databáze </w:t>
      </w:r>
      <w:hyperlink r:id="rId151" w:history="1">
        <w:r w:rsidRPr="00033A3F">
          <w:rPr>
            <w:rStyle w:val="Hypertextovodkaz"/>
            <w:i/>
            <w:iCs/>
            <w:color w:val="000000" w:themeColor="text1"/>
            <w:sz w:val="18"/>
            <w:szCs w:val="18"/>
          </w:rPr>
          <w:t>Gender Equality EN | Tableau Public</w:t>
        </w:r>
      </w:hyperlink>
      <w:r w:rsidRPr="00033A3F">
        <w:rPr>
          <w:i/>
          <w:iCs/>
          <w:color w:val="000000" w:themeColor="text1"/>
          <w:sz w:val="18"/>
          <w:szCs w:val="18"/>
        </w:rPr>
        <w:t>. Průměr = 57%, Medián = 57%, Maximum Slovinsko = 81%, minimum Ázerbájdžán = 20% Porovnání s rokem 2012: 38 států = nárůst, 2 státy = pokles, 0 států = beze změny, zbylé státy = data nepublikována, CZ 2012 = 61% vs. CZ 2022 = 60%, zpracování vlastní</w:t>
      </w:r>
    </w:p>
    <w:p w14:paraId="1992BDBD" w14:textId="77777777" w:rsidR="0017337D" w:rsidRPr="00033A3F" w:rsidRDefault="0017337D" w:rsidP="0017337D">
      <w:pPr>
        <w:pStyle w:val="OdstavecASR"/>
        <w:rPr>
          <w:color w:val="000000" w:themeColor="text1"/>
        </w:rPr>
      </w:pPr>
      <w:r w:rsidRPr="00033A3F">
        <w:rPr>
          <w:color w:val="000000" w:themeColor="text1"/>
        </w:rPr>
        <w:t>Jak také uvádí publikace CEPEJ, počet nově jmenovaných soudkyň v roce 2022 byl procentuálně vyšší než aktuální podíl žen mezi soudci, což naznačuje, že i v budoucnu se jejich zastoupení bude zvyšovat. Přetrvává však stav, kdy se zastoupení žen snižuje s vyšším stupněm soudu.</w:t>
      </w:r>
    </w:p>
    <w:p w14:paraId="2D85A95E" w14:textId="77777777" w:rsidR="0017337D" w:rsidRPr="00033A3F" w:rsidRDefault="0017337D" w:rsidP="0017337D">
      <w:pPr>
        <w:pStyle w:val="Nadpis3"/>
        <w:numPr>
          <w:ilvl w:val="2"/>
          <w:numId w:val="1"/>
        </w:numPr>
        <w:rPr>
          <w:color w:val="000000" w:themeColor="text1"/>
        </w:rPr>
      </w:pPr>
      <w:bookmarkStart w:id="2639" w:name="_Toc203032816"/>
      <w:r w:rsidRPr="00033A3F">
        <w:rPr>
          <w:color w:val="000000" w:themeColor="text1"/>
          <w:lang w:eastAsia="cs-CZ"/>
        </w:rPr>
        <w:lastRenderedPageBreak/>
        <w:t>Nezávislost a podpora soudního systému</w:t>
      </w:r>
      <w:bookmarkEnd w:id="2639"/>
    </w:p>
    <w:p w14:paraId="7BBF4D57" w14:textId="25E8F375" w:rsidR="0017337D" w:rsidRPr="00033A3F" w:rsidRDefault="0017337D" w:rsidP="0017337D">
      <w:pPr>
        <w:rPr>
          <w:color w:val="000000" w:themeColor="text1"/>
        </w:rPr>
      </w:pPr>
      <w:r w:rsidRPr="00033A3F">
        <w:rPr>
          <w:color w:val="000000" w:themeColor="text1"/>
        </w:rPr>
        <w:t xml:space="preserve">Smyslem nezávislosti soudů a soudců je zajistit právo každé osoby, aby její věc byla rozhodnuta ve spravedlivém procesu, na základě zákona a bez jakéhokoliv </w:t>
      </w:r>
      <w:r w:rsidR="00E20639" w:rsidRPr="00033A3F">
        <w:rPr>
          <w:color w:val="000000" w:themeColor="text1"/>
        </w:rPr>
        <w:t>nežádoucího</w:t>
      </w:r>
      <w:r w:rsidRPr="00033A3F">
        <w:rPr>
          <w:color w:val="000000" w:themeColor="text1"/>
        </w:rPr>
        <w:t xml:space="preserve"> vlivu. Strukturální nezávislostí soudů máme na mysli soubor pravidel zajišťujících neutralitu a neovlivnitelnost soudu ať již ve formě přímých pokynů nebo nepřímého vlivu, které by mohly „usměrňovat“ rozhodnutí soudců. Hovoříme o vnější a vnitřní nezávislost soudů a soudců, efektivnosti soudů, stabilních a dostatečných finančních zdrojích, výběru a kariérním postupu soudců, nepřeložitelnosti soudců, jejich odměňování a vzdělávání. Některé z těchto atributů se pokusíme představit pomocí statistických dat; je přitom ovšem třeba mít na paměti, že srovnávací data a grafy již ze své podstaty podávají zjednodušující pohled a nemohou odrážet složitost a podrobnosti jednotlivých procesů a postupů ani specificity právních kultur.</w:t>
      </w:r>
    </w:p>
    <w:p w14:paraId="75070CC5" w14:textId="7E1460BA" w:rsidR="0017337D" w:rsidRPr="00033A3F" w:rsidRDefault="0017337D" w:rsidP="0017337D">
      <w:pPr>
        <w:pStyle w:val="OdstavecASR"/>
        <w:rPr>
          <w:color w:val="000000" w:themeColor="text1"/>
        </w:rPr>
      </w:pPr>
      <w:r w:rsidRPr="00033A3F">
        <w:rPr>
          <w:color w:val="000000" w:themeColor="text1"/>
        </w:rPr>
        <w:t xml:space="preserve">Nejprve se podíváme, </w:t>
      </w:r>
      <w:r w:rsidRPr="00033A3F">
        <w:rPr>
          <w:b/>
          <w:bCs/>
          <w:color w:val="000000" w:themeColor="text1"/>
        </w:rPr>
        <w:t>jaké požadavky existují pro vstup do soudcovského stavu</w:t>
      </w:r>
      <w:r w:rsidRPr="00033A3F">
        <w:rPr>
          <w:color w:val="000000" w:themeColor="text1"/>
        </w:rPr>
        <w:t>. Jak připomíná např. Doporučení rady ministrů členských států EU č.</w:t>
      </w:r>
      <w:r w:rsidR="008B76E8">
        <w:rPr>
          <w:color w:val="000000" w:themeColor="text1"/>
        </w:rPr>
        <w:t xml:space="preserve"> </w:t>
      </w:r>
      <w:r w:rsidRPr="00033A3F">
        <w:rPr>
          <w:color w:val="000000" w:themeColor="text1"/>
        </w:rPr>
        <w:t>R(2010)12 v kapitole VI, bod 45, požadavky nesmí být diskriminační, přičemž požadavek státní příslušnosti se za diskriminační nepovažuje. Srovnávací přehled tato data nepublikuje, a proto použijeme data CEPEJ za všechny členské státy Rady Evropy. Jednotlivá kritéria řadíme od nejmenší po největší „překážku“ a</w:t>
      </w:r>
      <w:r w:rsidR="00E20639">
        <w:rPr>
          <w:color w:val="000000" w:themeColor="text1"/>
        </w:rPr>
        <w:t> </w:t>
      </w:r>
      <w:r w:rsidRPr="00033A3F">
        <w:rPr>
          <w:color w:val="000000" w:themeColor="text1"/>
        </w:rPr>
        <w:t xml:space="preserve">ponecháváme je v původní anglické verzi. Na tento graf navazuje přehled, na co je kladen největší důraz </w:t>
      </w:r>
      <w:r w:rsidRPr="00033A3F">
        <w:rPr>
          <w:b/>
          <w:bCs/>
          <w:color w:val="000000" w:themeColor="text1"/>
        </w:rPr>
        <w:t>při dalším karierním růstu soudců.</w:t>
      </w:r>
    </w:p>
    <w:p w14:paraId="2A81DFAC" w14:textId="417EC701" w:rsidR="0017337D" w:rsidRPr="00033A3F" w:rsidRDefault="0017337D" w:rsidP="0017337D">
      <w:pPr>
        <w:pStyle w:val="Podnadpis"/>
        <w:numPr>
          <w:ilvl w:val="0"/>
          <w:numId w:val="0"/>
        </w:numPr>
        <w:jc w:val="both"/>
        <w:rPr>
          <w:color w:val="000000" w:themeColor="text1"/>
        </w:rPr>
      </w:pPr>
      <w:bookmarkStart w:id="2640" w:name="_Toc144104227"/>
      <w:bookmarkStart w:id="2641" w:name="_Toc169251039"/>
      <w:bookmarkStart w:id="2642" w:name="_Toc174080725"/>
      <w:bookmarkStart w:id="2643" w:name="_Toc203032952"/>
      <w:bookmarkStart w:id="2644" w:name="_Hlk19215013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125</w:t>
      </w:r>
      <w:r w:rsidRPr="00033A3F">
        <w:rPr>
          <w:color w:val="000000" w:themeColor="text1"/>
        </w:rPr>
        <w:fldChar w:fldCharType="end"/>
      </w:r>
      <w:r w:rsidRPr="00033A3F">
        <w:rPr>
          <w:color w:val="000000" w:themeColor="text1"/>
        </w:rPr>
        <w:t>: Požadavky na jmenování soudců v členských státech Rady Evropy</w:t>
      </w:r>
      <w:r w:rsidR="002E67F8">
        <w:rPr>
          <w:color w:val="000000" w:themeColor="text1"/>
          <w:vertAlign w:val="superscript"/>
        </w:rPr>
        <w:t>20</w:t>
      </w:r>
      <w:r w:rsidRPr="00033A3F">
        <w:rPr>
          <w:color w:val="000000" w:themeColor="text1"/>
        </w:rPr>
        <w:t>,</w:t>
      </w:r>
      <w:bookmarkEnd w:id="2640"/>
      <w:bookmarkEnd w:id="2641"/>
      <w:bookmarkEnd w:id="2642"/>
      <w:r w:rsidRPr="00033A3F">
        <w:rPr>
          <w:color w:val="000000" w:themeColor="text1"/>
        </w:rPr>
        <w:t xml:space="preserve"> % států, 2022</w:t>
      </w:r>
      <w:bookmarkEnd w:id="2643"/>
    </w:p>
    <w:p w14:paraId="536E97EF" w14:textId="77777777" w:rsidR="0017337D" w:rsidRPr="00033A3F" w:rsidRDefault="0017337D" w:rsidP="0017337D">
      <w:pPr>
        <w:rPr>
          <w:color w:val="000000" w:themeColor="text1"/>
        </w:rPr>
      </w:pPr>
      <w:r w:rsidRPr="00033A3F">
        <w:rPr>
          <w:noProof/>
          <w:color w:val="000000" w:themeColor="text1"/>
        </w:rPr>
        <w:drawing>
          <wp:inline distT="0" distB="0" distL="0" distR="0" wp14:anchorId="0ACE85EC" wp14:editId="2FF45B05">
            <wp:extent cx="5760720" cy="2392969"/>
            <wp:effectExtent l="0" t="0" r="0" b="7620"/>
            <wp:docPr id="43327706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77068" name=""/>
                    <pic:cNvPicPr/>
                  </pic:nvPicPr>
                  <pic:blipFill rotWithShape="1">
                    <a:blip r:embed="rId152">
                      <a:extLst>
                        <a:ext uri="{96DAC541-7B7A-43D3-8B79-37D633B846F1}">
                          <asvg:svgBlip xmlns:asvg="http://schemas.microsoft.com/office/drawing/2016/SVG/main" r:embed="rId153"/>
                        </a:ext>
                      </a:extLst>
                    </a:blip>
                    <a:srcRect t="35725"/>
                    <a:stretch/>
                  </pic:blipFill>
                  <pic:spPr bwMode="auto">
                    <a:xfrm>
                      <a:off x="0" y="0"/>
                      <a:ext cx="5760720" cy="2392969"/>
                    </a:xfrm>
                    <a:prstGeom prst="rect">
                      <a:avLst/>
                    </a:prstGeom>
                    <a:ln>
                      <a:noFill/>
                    </a:ln>
                    <a:extLst>
                      <a:ext uri="{53640926-AAD7-44D8-BBD7-CCE9431645EC}">
                        <a14:shadowObscured xmlns:a14="http://schemas.microsoft.com/office/drawing/2010/main"/>
                      </a:ext>
                    </a:extLst>
                  </pic:spPr>
                </pic:pic>
              </a:graphicData>
            </a:graphic>
          </wp:inline>
        </w:drawing>
      </w:r>
      <w:bookmarkEnd w:id="2644"/>
    </w:p>
    <w:p w14:paraId="54C78C7B" w14:textId="77777777" w:rsidR="0017337D" w:rsidRPr="00033A3F" w:rsidRDefault="0017337D" w:rsidP="0017337D">
      <w:pPr>
        <w:rPr>
          <w:i/>
          <w:iCs/>
          <w:color w:val="000000" w:themeColor="text1"/>
          <w:sz w:val="18"/>
          <w:szCs w:val="18"/>
        </w:rPr>
      </w:pPr>
      <w:r w:rsidRPr="00033A3F">
        <w:rPr>
          <w:i/>
          <w:iCs/>
          <w:color w:val="000000" w:themeColor="text1"/>
          <w:sz w:val="18"/>
          <w:szCs w:val="18"/>
        </w:rPr>
        <w:t>Zdroj: European judicial systems, CEPEJ Evaluation Report 2024, Fig. 3.5, zpracování vlastní</w:t>
      </w:r>
    </w:p>
    <w:p w14:paraId="066530AA" w14:textId="77777777" w:rsidR="0017337D" w:rsidRPr="00033A3F" w:rsidRDefault="0017337D" w:rsidP="0017337D">
      <w:pPr>
        <w:rPr>
          <w:i/>
          <w:iCs/>
          <w:color w:val="000000" w:themeColor="text1"/>
          <w:sz w:val="18"/>
          <w:szCs w:val="18"/>
        </w:rPr>
      </w:pPr>
    </w:p>
    <w:p w14:paraId="7308A566" w14:textId="77777777" w:rsidR="0017337D" w:rsidRPr="00033A3F" w:rsidRDefault="0017337D" w:rsidP="0017337D">
      <w:pPr>
        <w:rPr>
          <w:color w:val="000000" w:themeColor="text1"/>
        </w:rPr>
      </w:pPr>
      <w:r w:rsidRPr="00033A3F">
        <w:rPr>
          <w:color w:val="000000" w:themeColor="text1"/>
        </w:rPr>
        <w:t xml:space="preserve">Vedle výše uvedených požadavků však uplatňují jednotlivé státy i další, jako například „zkušební období“ (probationary period), které existuje v 37 % členských států Rady Evropy a jehož délka se pohybuje od 3 měsíců (Dánsko) do 5 let (Bulharsko). </w:t>
      </w:r>
    </w:p>
    <w:p w14:paraId="2DBE2A60" w14:textId="77777777" w:rsidR="0017337D" w:rsidRPr="00033A3F" w:rsidRDefault="0017337D" w:rsidP="0017337D">
      <w:pPr>
        <w:rPr>
          <w:color w:val="000000" w:themeColor="text1"/>
        </w:rPr>
      </w:pPr>
    </w:p>
    <w:p w14:paraId="736C6323" w14:textId="28BBB736" w:rsidR="0017337D" w:rsidRPr="00033A3F" w:rsidRDefault="0017337D" w:rsidP="0017337D">
      <w:pPr>
        <w:pStyle w:val="Podnadpis"/>
        <w:numPr>
          <w:ilvl w:val="0"/>
          <w:numId w:val="0"/>
        </w:numPr>
        <w:jc w:val="both"/>
        <w:rPr>
          <w:i/>
          <w:iCs w:val="0"/>
          <w:color w:val="000000" w:themeColor="text1"/>
          <w:sz w:val="18"/>
          <w:szCs w:val="18"/>
        </w:rPr>
      </w:pPr>
      <w:bookmarkStart w:id="2645" w:name="_Toc203032953"/>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126</w:t>
      </w:r>
      <w:r w:rsidRPr="00033A3F">
        <w:rPr>
          <w:color w:val="000000" w:themeColor="text1"/>
        </w:rPr>
        <w:fldChar w:fldCharType="end"/>
      </w:r>
      <w:r w:rsidRPr="00033A3F">
        <w:rPr>
          <w:color w:val="000000" w:themeColor="text1"/>
        </w:rPr>
        <w:t>: Kritéria kariérního růstu v členských státech Rady Evropy</w:t>
      </w:r>
      <w:r w:rsidR="002E67F8">
        <w:rPr>
          <w:color w:val="000000" w:themeColor="text1"/>
          <w:vertAlign w:val="superscript"/>
        </w:rPr>
        <w:t>20</w:t>
      </w:r>
      <w:r w:rsidRPr="00033A3F">
        <w:rPr>
          <w:color w:val="000000" w:themeColor="text1"/>
        </w:rPr>
        <w:t>, počty států, 2022</w:t>
      </w:r>
      <w:bookmarkEnd w:id="2645"/>
    </w:p>
    <w:p w14:paraId="202433BF" w14:textId="77777777" w:rsidR="0017337D" w:rsidRPr="00033A3F" w:rsidRDefault="0017337D" w:rsidP="0017337D">
      <w:pPr>
        <w:rPr>
          <w:i/>
          <w:iCs/>
          <w:color w:val="000000" w:themeColor="text1"/>
          <w:sz w:val="18"/>
          <w:szCs w:val="18"/>
        </w:rPr>
      </w:pPr>
      <w:r w:rsidRPr="00033A3F">
        <w:rPr>
          <w:noProof/>
          <w:color w:val="000000" w:themeColor="text1"/>
        </w:rPr>
        <w:drawing>
          <wp:inline distT="0" distB="0" distL="0" distR="0" wp14:anchorId="4C548FB4" wp14:editId="6319D1C4">
            <wp:extent cx="5760720" cy="1656211"/>
            <wp:effectExtent l="0" t="0" r="0" b="1270"/>
            <wp:docPr id="1929328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2819" name=""/>
                    <pic:cNvPicPr/>
                  </pic:nvPicPr>
                  <pic:blipFill rotWithShape="1">
                    <a:blip r:embed="rId154">
                      <a:extLst>
                        <a:ext uri="{96DAC541-7B7A-43D3-8B79-37D633B846F1}">
                          <asvg:svgBlip xmlns:asvg="http://schemas.microsoft.com/office/drawing/2016/SVG/main" r:embed="rId155"/>
                        </a:ext>
                      </a:extLst>
                    </a:blip>
                    <a:srcRect t="55514"/>
                    <a:stretch/>
                  </pic:blipFill>
                  <pic:spPr bwMode="auto">
                    <a:xfrm>
                      <a:off x="0" y="0"/>
                      <a:ext cx="5760720" cy="1656211"/>
                    </a:xfrm>
                    <a:prstGeom prst="rect">
                      <a:avLst/>
                    </a:prstGeom>
                    <a:ln>
                      <a:noFill/>
                    </a:ln>
                    <a:extLst>
                      <a:ext uri="{53640926-AAD7-44D8-BBD7-CCE9431645EC}">
                        <a14:shadowObscured xmlns:a14="http://schemas.microsoft.com/office/drawing/2010/main"/>
                      </a:ext>
                    </a:extLst>
                  </pic:spPr>
                </pic:pic>
              </a:graphicData>
            </a:graphic>
          </wp:inline>
        </w:drawing>
      </w:r>
    </w:p>
    <w:p w14:paraId="27E1EDF2" w14:textId="77777777" w:rsidR="0017337D" w:rsidRPr="00033A3F" w:rsidRDefault="0017337D" w:rsidP="0017337D">
      <w:pPr>
        <w:rPr>
          <w:i/>
          <w:iCs/>
          <w:color w:val="000000" w:themeColor="text1"/>
          <w:sz w:val="18"/>
          <w:szCs w:val="18"/>
        </w:rPr>
      </w:pPr>
      <w:r w:rsidRPr="00033A3F">
        <w:rPr>
          <w:i/>
          <w:iCs/>
          <w:color w:val="000000" w:themeColor="text1"/>
          <w:sz w:val="18"/>
          <w:szCs w:val="18"/>
        </w:rPr>
        <w:t>Zdroj: European judicial systems, CEPEJ Evaluation Report 2024, Fig. 3.8, zpracování vlastní</w:t>
      </w:r>
    </w:p>
    <w:p w14:paraId="2172224D" w14:textId="77777777" w:rsidR="0017337D" w:rsidRPr="00033A3F" w:rsidRDefault="0017337D" w:rsidP="0017337D">
      <w:pPr>
        <w:rPr>
          <w:color w:val="000000" w:themeColor="text1"/>
        </w:rPr>
      </w:pPr>
    </w:p>
    <w:p w14:paraId="329A9F18" w14:textId="77777777" w:rsidR="0017337D" w:rsidRPr="00033A3F" w:rsidRDefault="0017337D" w:rsidP="0017337D">
      <w:pPr>
        <w:rPr>
          <w:color w:val="000000" w:themeColor="text1"/>
        </w:rPr>
      </w:pPr>
      <w:r w:rsidRPr="00033A3F">
        <w:rPr>
          <w:color w:val="000000" w:themeColor="text1"/>
        </w:rPr>
        <w:t xml:space="preserve">CEPEJ podotýká, že 89 % států bere v úvahu minimálně zkušenost + kvalitativní nebo kvantitativní kritéria a žádný stát nespoléhá pouze na osobnostní kritéria jako je reputace, osobní integrita apod. </w:t>
      </w:r>
    </w:p>
    <w:p w14:paraId="70D61B41" w14:textId="77777777" w:rsidR="0017337D" w:rsidRPr="00033A3F" w:rsidRDefault="0017337D" w:rsidP="0017337D">
      <w:pPr>
        <w:rPr>
          <w:color w:val="000000" w:themeColor="text1"/>
        </w:rPr>
      </w:pPr>
    </w:p>
    <w:p w14:paraId="60E08E03" w14:textId="77777777" w:rsidR="0017337D" w:rsidRPr="00033A3F" w:rsidRDefault="0017337D" w:rsidP="0017337D">
      <w:pPr>
        <w:rPr>
          <w:color w:val="000000" w:themeColor="text1"/>
        </w:rPr>
      </w:pPr>
      <w:r w:rsidRPr="00033A3F">
        <w:rPr>
          <w:b/>
          <w:bCs/>
          <w:color w:val="000000" w:themeColor="text1"/>
        </w:rPr>
        <w:t>Nemožnost přeložení soudce bez jeho souhlasu</w:t>
      </w:r>
      <w:r w:rsidRPr="00033A3F">
        <w:rPr>
          <w:color w:val="000000" w:themeColor="text1"/>
        </w:rPr>
        <w:t xml:space="preserve"> je v Evropě vnímána jako jedna ze složek nezávislosti soudců a je bez výjimek uplatňována v 22 % státech Rady Evropy (tj. v 10 státech). V ostatních státech je možná pouze za velmi striktních podmínek.</w:t>
      </w:r>
    </w:p>
    <w:p w14:paraId="21B4FD9B" w14:textId="244B7684" w:rsidR="0017337D" w:rsidRPr="00033A3F" w:rsidRDefault="0017337D" w:rsidP="0017337D">
      <w:pPr>
        <w:pStyle w:val="Podnadpis"/>
        <w:numPr>
          <w:ilvl w:val="0"/>
          <w:numId w:val="0"/>
        </w:numPr>
        <w:jc w:val="both"/>
        <w:rPr>
          <w:color w:val="000000" w:themeColor="text1"/>
        </w:rPr>
      </w:pPr>
      <w:bookmarkStart w:id="2646" w:name="_Toc20303295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127</w:t>
      </w:r>
      <w:r w:rsidRPr="00033A3F">
        <w:rPr>
          <w:color w:val="000000" w:themeColor="text1"/>
        </w:rPr>
        <w:fldChar w:fldCharType="end"/>
      </w:r>
      <w:r w:rsidRPr="00033A3F">
        <w:rPr>
          <w:color w:val="000000" w:themeColor="text1"/>
        </w:rPr>
        <w:t>: Povolené důvody přeložení soudců bez jejich souhlasu v členských státech Rady Evropy</w:t>
      </w:r>
      <w:r w:rsidR="002E67F8">
        <w:rPr>
          <w:color w:val="000000" w:themeColor="text1"/>
          <w:vertAlign w:val="superscript"/>
        </w:rPr>
        <w:t>20</w:t>
      </w:r>
      <w:r w:rsidRPr="00033A3F">
        <w:rPr>
          <w:color w:val="000000" w:themeColor="text1"/>
        </w:rPr>
        <w:t>, počty států, 2022</w:t>
      </w:r>
      <w:bookmarkEnd w:id="2646"/>
    </w:p>
    <w:p w14:paraId="3771E818" w14:textId="77777777" w:rsidR="0017337D" w:rsidRPr="00033A3F" w:rsidRDefault="0017337D" w:rsidP="0017337D">
      <w:pPr>
        <w:rPr>
          <w:i/>
          <w:iCs/>
          <w:color w:val="000000" w:themeColor="text1"/>
          <w:sz w:val="18"/>
          <w:szCs w:val="18"/>
        </w:rPr>
      </w:pPr>
    </w:p>
    <w:p w14:paraId="27E1B0D2" w14:textId="77777777" w:rsidR="0017337D" w:rsidRPr="00033A3F" w:rsidRDefault="0017337D" w:rsidP="0017337D">
      <w:pPr>
        <w:rPr>
          <w:i/>
          <w:iCs/>
          <w:color w:val="000000" w:themeColor="text1"/>
          <w:sz w:val="18"/>
          <w:szCs w:val="18"/>
        </w:rPr>
      </w:pPr>
      <w:r w:rsidRPr="00033A3F">
        <w:rPr>
          <w:i/>
          <w:iCs/>
          <w:noProof/>
          <w:color w:val="000000" w:themeColor="text1"/>
          <w:sz w:val="18"/>
          <w:szCs w:val="18"/>
        </w:rPr>
        <w:drawing>
          <wp:inline distT="0" distB="0" distL="0" distR="0" wp14:anchorId="70914330" wp14:editId="0FCB735D">
            <wp:extent cx="5761355" cy="1197610"/>
            <wp:effectExtent l="0" t="0" r="0" b="2540"/>
            <wp:docPr id="927301778"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t="67849"/>
                    <a:stretch/>
                  </pic:blipFill>
                  <pic:spPr bwMode="auto">
                    <a:xfrm>
                      <a:off x="0" y="0"/>
                      <a:ext cx="5761355" cy="1197610"/>
                    </a:xfrm>
                    <a:prstGeom prst="rect">
                      <a:avLst/>
                    </a:prstGeom>
                    <a:noFill/>
                    <a:ln>
                      <a:noFill/>
                    </a:ln>
                    <a:extLst>
                      <a:ext uri="{53640926-AAD7-44D8-BBD7-CCE9431645EC}">
                        <a14:shadowObscured xmlns:a14="http://schemas.microsoft.com/office/drawing/2010/main"/>
                      </a:ext>
                    </a:extLst>
                  </pic:spPr>
                </pic:pic>
              </a:graphicData>
            </a:graphic>
          </wp:inline>
        </w:drawing>
      </w:r>
    </w:p>
    <w:p w14:paraId="18492270" w14:textId="77777777" w:rsidR="0017337D" w:rsidRPr="00033A3F" w:rsidRDefault="0017337D" w:rsidP="0017337D">
      <w:pPr>
        <w:rPr>
          <w:i/>
          <w:iCs/>
          <w:color w:val="000000" w:themeColor="text1"/>
          <w:sz w:val="18"/>
          <w:szCs w:val="18"/>
        </w:rPr>
      </w:pPr>
      <w:r w:rsidRPr="00033A3F">
        <w:rPr>
          <w:i/>
          <w:iCs/>
          <w:color w:val="000000" w:themeColor="text1"/>
          <w:sz w:val="18"/>
          <w:szCs w:val="18"/>
        </w:rPr>
        <w:t>Zdroj: European judicial systems, CEPEJ Evaluation Report 2024, Fig. 3.6, zpracování vlastní</w:t>
      </w:r>
    </w:p>
    <w:p w14:paraId="48BAD45D" w14:textId="77777777" w:rsidR="0017337D" w:rsidRPr="00033A3F" w:rsidRDefault="0017337D" w:rsidP="0017337D">
      <w:pPr>
        <w:rPr>
          <w:color w:val="000000" w:themeColor="text1"/>
          <w:sz w:val="18"/>
          <w:szCs w:val="18"/>
        </w:rPr>
      </w:pPr>
    </w:p>
    <w:p w14:paraId="4271DE09" w14:textId="77777777" w:rsidR="0017337D" w:rsidRPr="00033A3F" w:rsidRDefault="0017337D" w:rsidP="0017337D">
      <w:pPr>
        <w:rPr>
          <w:color w:val="000000" w:themeColor="text1"/>
        </w:rPr>
      </w:pPr>
      <w:r w:rsidRPr="00033A3F">
        <w:rPr>
          <w:color w:val="000000" w:themeColor="text1"/>
        </w:rPr>
        <w:t>Mezi organizačními důvody jsou zmiňovány reorganizace soudů nebo krátkodobý nedostatek soudců u některých soudů.</w:t>
      </w:r>
    </w:p>
    <w:p w14:paraId="255FC87A" w14:textId="77777777" w:rsidR="0017337D" w:rsidRPr="00033A3F" w:rsidRDefault="0017337D" w:rsidP="0017337D">
      <w:pPr>
        <w:rPr>
          <w:color w:val="000000" w:themeColor="text1"/>
        </w:rPr>
      </w:pPr>
    </w:p>
    <w:p w14:paraId="669AB58D" w14:textId="77777777" w:rsidR="0017337D" w:rsidRPr="00033A3F" w:rsidRDefault="0017337D" w:rsidP="0017337D">
      <w:pPr>
        <w:rPr>
          <w:color w:val="000000" w:themeColor="text1"/>
        </w:rPr>
      </w:pPr>
      <w:r w:rsidRPr="00033A3F">
        <w:rPr>
          <w:b/>
          <w:bCs/>
          <w:color w:val="000000" w:themeColor="text1"/>
        </w:rPr>
        <w:t>Dostatečné zdroje a investice do soudní soustavy</w:t>
      </w:r>
      <w:r w:rsidRPr="00033A3F">
        <w:rPr>
          <w:color w:val="000000" w:themeColor="text1"/>
        </w:rPr>
        <w:t>, její finanční stabilita, transparentnost a předvídatelnost zvyšují kvalitu řízení soudní soustavy i kvalitu rozhodování. Hovoříme jak o odpovídajícím vybavení a technické infrastruktuře, tak o dobře vyškolených, kvalifikovaných a odpovídajícím způsobem placených pracovnících všech profesí zajišťujících fungování celého soudního systému, jeho dostupnost, nezávislost a účinnost a tím také ochranu právního státu a demokracie.</w:t>
      </w:r>
    </w:p>
    <w:p w14:paraId="5833DC21" w14:textId="77777777" w:rsidR="0017337D" w:rsidRPr="00033A3F" w:rsidRDefault="0017337D" w:rsidP="0017337D">
      <w:pPr>
        <w:rPr>
          <w:color w:val="000000" w:themeColor="text1"/>
        </w:rPr>
      </w:pPr>
    </w:p>
    <w:p w14:paraId="5890CC22" w14:textId="77777777" w:rsidR="0017337D" w:rsidRPr="00033A3F" w:rsidRDefault="0017337D" w:rsidP="0017337D">
      <w:pPr>
        <w:rPr>
          <w:color w:val="000000" w:themeColor="text1"/>
        </w:rPr>
      </w:pPr>
      <w:r w:rsidRPr="00033A3F">
        <w:rPr>
          <w:color w:val="000000" w:themeColor="text1"/>
        </w:rPr>
        <w:t xml:space="preserve">Celkové finanční vládní výdaje do soudní soustavy přepočtené na obyvatele rostou pravidelně každý rok ve všech státech EU. Jak ale ukazuje graf níže, ve většině států nerostou stejným tempem jako HDP. V případě České republiky výdaje činily dle Srovnávacího přehledu v roce 2020 0,326 % HDP, v roce 2021 0,305 % HDP a v roce 2022 0,297 % HDP. </w:t>
      </w:r>
    </w:p>
    <w:p w14:paraId="45F40EA4" w14:textId="77777777" w:rsidR="0017337D" w:rsidRPr="00033A3F" w:rsidRDefault="0017337D" w:rsidP="0017337D">
      <w:pPr>
        <w:rPr>
          <w:color w:val="000000" w:themeColor="text1"/>
        </w:rPr>
      </w:pPr>
    </w:p>
    <w:p w14:paraId="3EE27EB2" w14:textId="0ADFDD42" w:rsidR="0017337D" w:rsidRPr="00033A3F" w:rsidRDefault="0017337D" w:rsidP="0017337D">
      <w:pPr>
        <w:pStyle w:val="Podnadpis"/>
        <w:rPr>
          <w:color w:val="000000" w:themeColor="text1"/>
        </w:rPr>
      </w:pPr>
      <w:bookmarkStart w:id="2647" w:name="_Toc203032955"/>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128</w:t>
      </w:r>
      <w:r w:rsidRPr="00033A3F">
        <w:rPr>
          <w:color w:val="000000" w:themeColor="text1"/>
        </w:rPr>
        <w:fldChar w:fldCharType="end"/>
      </w:r>
      <w:r w:rsidRPr="00033A3F">
        <w:rPr>
          <w:color w:val="000000" w:themeColor="text1"/>
        </w:rPr>
        <w:t>: Celkové výdaje vládních institucí na soudy jako % HDP v členských státech EU27</w:t>
      </w:r>
      <w:bookmarkEnd w:id="2647"/>
    </w:p>
    <w:p w14:paraId="122359B2" w14:textId="77777777" w:rsidR="0017337D" w:rsidRPr="00033A3F" w:rsidRDefault="0017337D" w:rsidP="0017337D">
      <w:pPr>
        <w:rPr>
          <w:i/>
          <w:iCs/>
          <w:color w:val="000000" w:themeColor="text1"/>
          <w:sz w:val="18"/>
          <w:szCs w:val="18"/>
        </w:rPr>
      </w:pPr>
      <w:r w:rsidRPr="00033A3F">
        <w:rPr>
          <w:i/>
          <w:iCs/>
          <w:noProof/>
          <w:color w:val="000000" w:themeColor="text1"/>
          <w:sz w:val="18"/>
          <w:szCs w:val="18"/>
        </w:rPr>
        <w:drawing>
          <wp:inline distT="0" distB="0" distL="0" distR="0" wp14:anchorId="0B15720F" wp14:editId="50C55090">
            <wp:extent cx="5760720" cy="2612390"/>
            <wp:effectExtent l="0" t="0" r="0" b="0"/>
            <wp:docPr id="10250363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3635" name=""/>
                    <pic:cNvPicPr/>
                  </pic:nvPicPr>
                  <pic:blipFill>
                    <a:blip r:embed="rId157"/>
                    <a:stretch>
                      <a:fillRect/>
                    </a:stretch>
                  </pic:blipFill>
                  <pic:spPr>
                    <a:xfrm>
                      <a:off x="0" y="0"/>
                      <a:ext cx="5760720" cy="2612390"/>
                    </a:xfrm>
                    <a:prstGeom prst="rect">
                      <a:avLst/>
                    </a:prstGeom>
                  </pic:spPr>
                </pic:pic>
              </a:graphicData>
            </a:graphic>
          </wp:inline>
        </w:drawing>
      </w:r>
    </w:p>
    <w:p w14:paraId="7134ABC5"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Zdroj: Evropská komise, Srovnávací přehled EU o soudnictví za rok 2024, Fig.(33), přetištěný graf</w:t>
      </w:r>
    </w:p>
    <w:p w14:paraId="0CAEA7EB" w14:textId="08C45BE7" w:rsidR="0017337D" w:rsidRPr="00033A3F" w:rsidRDefault="0017337D" w:rsidP="0017337D">
      <w:pPr>
        <w:pageBreakBefore/>
        <w:rPr>
          <w:color w:val="000000" w:themeColor="text1"/>
        </w:rPr>
      </w:pPr>
      <w:r w:rsidRPr="00033A3F">
        <w:rPr>
          <w:color w:val="000000" w:themeColor="text1"/>
        </w:rPr>
        <w:lastRenderedPageBreak/>
        <w:t xml:space="preserve">Jak uvedl Soudní dvůr Evropské unie, platové ohodnocení soudců úměrné významu jejich funkcí představuje záruku nezávislosti soudců. Pro údaje o platech soudců vycházíme z </w:t>
      </w:r>
      <w:r w:rsidR="008B76E8">
        <w:rPr>
          <w:color w:val="000000" w:themeColor="text1"/>
        </w:rPr>
        <w:t>dat</w:t>
      </w:r>
      <w:r w:rsidRPr="00033A3F">
        <w:rPr>
          <w:color w:val="000000" w:themeColor="text1"/>
        </w:rPr>
        <w:t xml:space="preserve"> uvedených ve zdrojové publikaci CEPEJ (odkaz pod tabulkou) s použitím indexů pro zachování co nejvyšší srovnatelnosti. Využíváme dostupné údaje o poměru ročního hrubého platu (v originále „gross annual salary“) k průměrnému hrubému platu v dané zemi přepočtené na euro. Porovnáváme soudce na počátku kariéry a na jejím vrcholu:</w:t>
      </w:r>
    </w:p>
    <w:p w14:paraId="236CA5E2" w14:textId="0BE88057" w:rsidR="0017337D" w:rsidRPr="00033A3F" w:rsidRDefault="0017337D" w:rsidP="0017337D">
      <w:pPr>
        <w:pStyle w:val="Podnadpis"/>
        <w:keepNext w:val="0"/>
        <w:widowControl w:val="0"/>
        <w:rPr>
          <w:color w:val="000000" w:themeColor="text1"/>
        </w:rPr>
      </w:pPr>
      <w:bookmarkStart w:id="2648" w:name="_Toc199495058"/>
      <w:bookmarkStart w:id="2649" w:name="_Toc203033119"/>
      <w:bookmarkStart w:id="2650" w:name="_Toc203033197"/>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77</w:t>
      </w:r>
      <w:r w:rsidRPr="00033A3F">
        <w:rPr>
          <w:color w:val="000000" w:themeColor="text1"/>
        </w:rPr>
        <w:fldChar w:fldCharType="end"/>
      </w:r>
      <w:r w:rsidRPr="00033A3F">
        <w:rPr>
          <w:color w:val="000000" w:themeColor="text1"/>
        </w:rPr>
        <w:t>: Index ročních platů soudců k roční průměrné hrubé mzdě v daném státě EU27, 2022 vs. 2020</w:t>
      </w:r>
      <w:bookmarkEnd w:id="2648"/>
      <w:bookmarkEnd w:id="2649"/>
      <w:bookmarkEnd w:id="2650"/>
    </w:p>
    <w:p w14:paraId="1A249BD5" w14:textId="77777777" w:rsidR="0017337D" w:rsidRPr="00033A3F" w:rsidRDefault="0017337D" w:rsidP="0017337D">
      <w:pPr>
        <w:rPr>
          <w:color w:val="000000" w:themeColor="text1"/>
        </w:rPr>
      </w:pPr>
      <w:r w:rsidRPr="00033A3F">
        <w:rPr>
          <w:noProof/>
          <w:color w:val="000000" w:themeColor="text1"/>
        </w:rPr>
        <w:drawing>
          <wp:inline distT="0" distB="0" distL="0" distR="0" wp14:anchorId="3CB0771C" wp14:editId="58D63BFF">
            <wp:extent cx="5760720" cy="5530850"/>
            <wp:effectExtent l="0" t="0" r="0" b="0"/>
            <wp:docPr id="117467293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60720" cy="5530850"/>
                    </a:xfrm>
                    <a:prstGeom prst="rect">
                      <a:avLst/>
                    </a:prstGeom>
                    <a:noFill/>
                    <a:ln>
                      <a:noFill/>
                    </a:ln>
                  </pic:spPr>
                </pic:pic>
              </a:graphicData>
            </a:graphic>
          </wp:inline>
        </w:drawing>
      </w:r>
    </w:p>
    <w:p w14:paraId="097AEDDC" w14:textId="77777777" w:rsidR="0017337D" w:rsidRPr="00033A3F" w:rsidRDefault="0017337D" w:rsidP="0017337D">
      <w:pPr>
        <w:rPr>
          <w:i/>
          <w:iCs/>
          <w:color w:val="000000" w:themeColor="text1"/>
          <w:sz w:val="18"/>
          <w:szCs w:val="20"/>
        </w:rPr>
      </w:pPr>
      <w:r w:rsidRPr="00033A3F">
        <w:rPr>
          <w:i/>
          <w:iCs/>
          <w:color w:val="000000" w:themeColor="text1"/>
          <w:sz w:val="18"/>
          <w:szCs w:val="20"/>
        </w:rPr>
        <w:t xml:space="preserve">Zdroj: Study on the functioning of judicial systems in the EU Member States, Strasburg 29/01/2024, pořadí dle indexu začínajícího soudce v roce 2020, prázdné buňky = data nebyla uvedena. V České republice je plat soudce upraven zákonem č. 236/1995 Sb. </w:t>
      </w:r>
    </w:p>
    <w:p w14:paraId="4C03BC3B" w14:textId="77777777" w:rsidR="0017337D" w:rsidRPr="00033A3F" w:rsidRDefault="0017337D" w:rsidP="0017337D">
      <w:pPr>
        <w:rPr>
          <w:color w:val="000000" w:themeColor="text1"/>
        </w:rPr>
      </w:pPr>
    </w:p>
    <w:p w14:paraId="4658FCD3" w14:textId="77777777" w:rsidR="0017337D" w:rsidRPr="00033A3F" w:rsidRDefault="0017337D" w:rsidP="0017337D">
      <w:pPr>
        <w:rPr>
          <w:color w:val="000000" w:themeColor="text1"/>
        </w:rPr>
      </w:pPr>
      <w:r w:rsidRPr="00033A3F">
        <w:rPr>
          <w:color w:val="000000" w:themeColor="text1"/>
        </w:rPr>
        <w:t>Tabulkový přehled indexů ukazuje, že v naprosté většině států EU došlo v roce 2022 k relativnímu poklesu ročních hrubých platů soudců ve vztahu k průměrnému hrubému ročnímu platu dané země v porovnání s rokem 2020 (tedy nerostly stejným tempem jako průměrná hrubá mzda). K růstu došlo pouze v 5 zemích u začínajících soudců a v 8 zemích u soudců na vrcholu kariéry.</w:t>
      </w:r>
    </w:p>
    <w:p w14:paraId="5EE7F8E0" w14:textId="77777777" w:rsidR="0017337D" w:rsidRPr="00033A3F" w:rsidRDefault="0017337D" w:rsidP="0017337D">
      <w:pPr>
        <w:pStyle w:val="Nadpis3"/>
        <w:numPr>
          <w:ilvl w:val="2"/>
          <w:numId w:val="1"/>
        </w:numPr>
        <w:rPr>
          <w:color w:val="000000" w:themeColor="text1"/>
        </w:rPr>
      </w:pPr>
      <w:bookmarkStart w:id="2651" w:name="_Toc144104446"/>
      <w:bookmarkStart w:id="2652" w:name="_Toc169250908"/>
      <w:bookmarkStart w:id="2653" w:name="_Toc174080944"/>
      <w:bookmarkStart w:id="2654" w:name="_Toc203032817"/>
      <w:r w:rsidRPr="00033A3F">
        <w:rPr>
          <w:color w:val="000000" w:themeColor="text1"/>
          <w:lang w:eastAsia="cs-CZ"/>
        </w:rPr>
        <w:lastRenderedPageBreak/>
        <w:t>Účinnost soudní ochrany</w:t>
      </w:r>
      <w:bookmarkEnd w:id="2651"/>
      <w:bookmarkEnd w:id="2652"/>
      <w:bookmarkEnd w:id="2653"/>
      <w:bookmarkEnd w:id="2654"/>
    </w:p>
    <w:p w14:paraId="04439B7F" w14:textId="3D1D71DA" w:rsidR="0017337D" w:rsidRPr="00033A3F" w:rsidRDefault="0017337D" w:rsidP="0017337D">
      <w:pPr>
        <w:pStyle w:val="OdstavecASR"/>
        <w:rPr>
          <w:color w:val="000000" w:themeColor="text1"/>
        </w:rPr>
      </w:pPr>
      <w:r w:rsidRPr="00033A3F">
        <w:rPr>
          <w:color w:val="000000" w:themeColor="text1"/>
        </w:rPr>
        <w:t xml:space="preserve">Vedle dostupnosti spravedlnosti pro občany je neméně důležité, zda daná země svým občanům zajišťuje také účinnou soudní ochranu, tedy zda občané a podnikatelé svému soudnímu systému důvěřují. K vyjádření důvěry v soudní systém pravidelně přebíráme data Eurobarometru, který začátkem každého roku pro Evropskou komisi provádí agentura Ipsos European Public Affairs ve všech členských státech EU27. Již několik let lze pozorovat spíše menší posuny v hodnocení a je tomu tak i v průzkumu provedeném ve dnech 14. až 27. února 2024. Jako zajímavost proto publikujeme srovnání hodnot EU27 s hodnotami kandidátských zemí vstupu do EU a srovnáváme je i s Českou republikou. </w:t>
      </w:r>
    </w:p>
    <w:p w14:paraId="30B0FCC1" w14:textId="77777777" w:rsidR="0017337D" w:rsidRPr="00033A3F" w:rsidRDefault="0017337D" w:rsidP="0017337D">
      <w:pPr>
        <w:pStyle w:val="OdstavecASR"/>
        <w:rPr>
          <w:color w:val="000000" w:themeColor="text1"/>
        </w:rPr>
      </w:pPr>
    </w:p>
    <w:p w14:paraId="10DD32A3" w14:textId="7A75BEE8" w:rsidR="0017337D" w:rsidRPr="00033A3F" w:rsidRDefault="0017337D" w:rsidP="0017337D">
      <w:pPr>
        <w:pStyle w:val="Podnadpis"/>
        <w:numPr>
          <w:ilvl w:val="0"/>
          <w:numId w:val="0"/>
        </w:numPr>
        <w:rPr>
          <w:color w:val="000000" w:themeColor="text1"/>
        </w:rPr>
      </w:pPr>
      <w:bookmarkStart w:id="2655" w:name="_Toc144104232"/>
      <w:bookmarkStart w:id="2656" w:name="_Toc169251040"/>
      <w:bookmarkStart w:id="2657" w:name="_Toc174080726"/>
      <w:bookmarkStart w:id="2658" w:name="_Toc203032956"/>
      <w:bookmarkStart w:id="2659" w:name="_Hlk16053343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129</w:t>
      </w:r>
      <w:r w:rsidRPr="00033A3F">
        <w:rPr>
          <w:color w:val="000000" w:themeColor="text1"/>
        </w:rPr>
        <w:fldChar w:fldCharType="end"/>
      </w:r>
      <w:r w:rsidRPr="00033A3F">
        <w:rPr>
          <w:color w:val="000000" w:themeColor="text1"/>
        </w:rPr>
        <w:t>: Vnímaná nezávislost soudů a soudců ve státech EU27 celkem, ČR a kandidátských zemích (*), 202</w:t>
      </w:r>
      <w:bookmarkEnd w:id="2655"/>
      <w:bookmarkEnd w:id="2656"/>
      <w:bookmarkEnd w:id="2657"/>
      <w:r w:rsidRPr="00033A3F">
        <w:rPr>
          <w:color w:val="000000" w:themeColor="text1"/>
        </w:rPr>
        <w:t>4</w:t>
      </w:r>
      <w:bookmarkEnd w:id="2658"/>
    </w:p>
    <w:bookmarkEnd w:id="2659"/>
    <w:p w14:paraId="10EC4560"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2DC882C6" wp14:editId="004DB74E">
            <wp:extent cx="5760720" cy="2713957"/>
            <wp:effectExtent l="0" t="0" r="0" b="0"/>
            <wp:docPr id="1484104760"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04760" name=""/>
                    <pic:cNvPicPr/>
                  </pic:nvPicPr>
                  <pic:blipFill rotWithShape="1">
                    <a:blip r:embed="rId159">
                      <a:extLst>
                        <a:ext uri="{96DAC541-7B7A-43D3-8B79-37D633B846F1}">
                          <asvg:svgBlip xmlns:asvg="http://schemas.microsoft.com/office/drawing/2016/SVG/main" r:embed="rId160"/>
                        </a:ext>
                      </a:extLst>
                    </a:blip>
                    <a:srcRect t="17139"/>
                    <a:stretch/>
                  </pic:blipFill>
                  <pic:spPr bwMode="auto">
                    <a:xfrm>
                      <a:off x="0" y="0"/>
                      <a:ext cx="5760720" cy="2713957"/>
                    </a:xfrm>
                    <a:prstGeom prst="rect">
                      <a:avLst/>
                    </a:prstGeom>
                    <a:ln>
                      <a:noFill/>
                    </a:ln>
                    <a:extLst>
                      <a:ext uri="{53640926-AAD7-44D8-BBD7-CCE9431645EC}">
                        <a14:shadowObscured xmlns:a14="http://schemas.microsoft.com/office/drawing/2010/main"/>
                      </a:ext>
                    </a:extLst>
                  </pic:spPr>
                </pic:pic>
              </a:graphicData>
            </a:graphic>
          </wp:inline>
        </w:drawing>
      </w:r>
    </w:p>
    <w:p w14:paraId="532E2327" w14:textId="77777777" w:rsidR="0017337D" w:rsidRPr="00033A3F" w:rsidRDefault="0017337D" w:rsidP="0017337D">
      <w:pPr>
        <w:rPr>
          <w:i/>
          <w:iCs/>
          <w:color w:val="000000" w:themeColor="text1"/>
          <w:sz w:val="18"/>
          <w:szCs w:val="18"/>
        </w:rPr>
      </w:pPr>
      <w:bookmarkStart w:id="2660" w:name="_Toc75952297"/>
      <w:bookmarkStart w:id="2661" w:name="_Toc106106842"/>
      <w:bookmarkStart w:id="2662" w:name="_Toc106194295"/>
      <w:r w:rsidRPr="00033A3F">
        <w:rPr>
          <w:i/>
          <w:iCs/>
          <w:color w:val="000000" w:themeColor="text1"/>
          <w:sz w:val="18"/>
          <w:szCs w:val="18"/>
        </w:rPr>
        <w:t xml:space="preserve">Zdroj: Průzkum Eurobarometr FL540, průměrné hodnoty za EU27 vážené podle velikosti populace ve věku 15+, zpracování vlastní </w:t>
      </w:r>
    </w:p>
    <w:p w14:paraId="2C07809C" w14:textId="77777777" w:rsidR="0017337D" w:rsidRPr="00033A3F" w:rsidRDefault="0017337D" w:rsidP="0017337D">
      <w:pPr>
        <w:rPr>
          <w:i/>
          <w:iCs/>
          <w:color w:val="000000" w:themeColor="text1"/>
          <w:sz w:val="18"/>
          <w:szCs w:val="18"/>
        </w:rPr>
      </w:pPr>
      <w:r w:rsidRPr="00033A3F">
        <w:rPr>
          <w:i/>
          <w:iCs/>
          <w:color w:val="000000" w:themeColor="text1"/>
          <w:sz w:val="18"/>
          <w:szCs w:val="18"/>
        </w:rPr>
        <w:t>(*) Odpověď na otázku: „Jak byste na základě toho, co je vám známo, ohodnotili systém soudnictví (ve vaší zemi), pokud jde o nezávislost soudů a soudců? Řekli byste, že je velmi dobrá, poměrně dobrá, poměrně špatná, nebo velmi špatná?“</w:t>
      </w:r>
    </w:p>
    <w:p w14:paraId="36DDBAA9" w14:textId="77777777" w:rsidR="0017337D" w:rsidRPr="00033A3F" w:rsidRDefault="0017337D" w:rsidP="0017337D">
      <w:pPr>
        <w:pStyle w:val="OdstavecASR"/>
        <w:tabs>
          <w:tab w:val="left" w:pos="3261"/>
          <w:tab w:val="left" w:pos="6379"/>
          <w:tab w:val="left" w:pos="8789"/>
        </w:tabs>
        <w:rPr>
          <w:color w:val="000000" w:themeColor="text1"/>
        </w:rPr>
      </w:pPr>
    </w:p>
    <w:p w14:paraId="734EC500" w14:textId="77777777" w:rsidR="0017337D" w:rsidRPr="00033A3F" w:rsidRDefault="0017337D" w:rsidP="0017337D">
      <w:pPr>
        <w:pStyle w:val="OdstavecASR"/>
        <w:pageBreakBefore/>
        <w:tabs>
          <w:tab w:val="left" w:pos="3261"/>
          <w:tab w:val="left" w:pos="6379"/>
          <w:tab w:val="left" w:pos="8789"/>
        </w:tabs>
        <w:rPr>
          <w:color w:val="000000" w:themeColor="text1"/>
        </w:rPr>
      </w:pPr>
      <w:r w:rsidRPr="00033A3F">
        <w:rPr>
          <w:color w:val="000000" w:themeColor="text1"/>
        </w:rPr>
        <w:lastRenderedPageBreak/>
        <w:t>Při vynesení negativního hodnocení (Very bad + Fairly bad *) do mapy vidíme, v kterých částech Evropy (EU27 + kandidátské země) se nedůvěra ve vlastní soudní systém v únoru 2024 koncentrovala.</w:t>
      </w:r>
    </w:p>
    <w:p w14:paraId="2FE88883" w14:textId="0459DB19" w:rsidR="0017337D" w:rsidRPr="00033A3F" w:rsidRDefault="0017337D" w:rsidP="0017337D">
      <w:pPr>
        <w:pStyle w:val="Podnadpis"/>
        <w:rPr>
          <w:color w:val="000000" w:themeColor="text1"/>
        </w:rPr>
      </w:pPr>
      <w:bookmarkStart w:id="2663" w:name="_Toc20303295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130</w:t>
      </w:r>
      <w:r w:rsidRPr="00033A3F">
        <w:rPr>
          <w:color w:val="000000" w:themeColor="text1"/>
        </w:rPr>
        <w:fldChar w:fldCharType="end"/>
      </w:r>
      <w:r w:rsidRPr="00033A3F">
        <w:rPr>
          <w:color w:val="000000" w:themeColor="text1"/>
        </w:rPr>
        <w:t>: Podíl negativního hodnocení důvěry v soudnictví jako % v členských státech EU27</w:t>
      </w:r>
      <w:bookmarkEnd w:id="2663"/>
    </w:p>
    <w:p w14:paraId="06C9D8A5" w14:textId="77777777" w:rsidR="0017337D" w:rsidRPr="00033A3F" w:rsidRDefault="0017337D" w:rsidP="0017337D">
      <w:pPr>
        <w:pStyle w:val="OdstavecASR"/>
        <w:tabs>
          <w:tab w:val="left" w:pos="3261"/>
          <w:tab w:val="left" w:pos="6379"/>
          <w:tab w:val="left" w:pos="8789"/>
        </w:tabs>
        <w:rPr>
          <w:color w:val="000000" w:themeColor="text1"/>
        </w:rPr>
      </w:pPr>
      <w:r w:rsidRPr="00033A3F">
        <w:rPr>
          <w:noProof/>
          <w:color w:val="000000" w:themeColor="text1"/>
        </w:rPr>
        <w:drawing>
          <wp:inline distT="0" distB="0" distL="0" distR="0" wp14:anchorId="407DE8DA" wp14:editId="395AD1E8">
            <wp:extent cx="5760000" cy="5312556"/>
            <wp:effectExtent l="0" t="0" r="0" b="2540"/>
            <wp:docPr id="473349037"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60000" cy="5312556"/>
                    </a:xfrm>
                    <a:prstGeom prst="rect">
                      <a:avLst/>
                    </a:prstGeom>
                    <a:noFill/>
                  </pic:spPr>
                </pic:pic>
              </a:graphicData>
            </a:graphic>
          </wp:inline>
        </w:drawing>
      </w:r>
    </w:p>
    <w:tbl>
      <w:tblPr>
        <w:tblStyle w:val="Mkatabulky"/>
        <w:tblW w:w="0" w:type="auto"/>
        <w:tblLook w:val="04A0" w:firstRow="1" w:lastRow="0" w:firstColumn="1" w:lastColumn="0" w:noHBand="0" w:noVBand="1"/>
      </w:tblPr>
      <w:tblGrid>
        <w:gridCol w:w="2265"/>
        <w:gridCol w:w="2265"/>
        <w:gridCol w:w="2266"/>
        <w:gridCol w:w="2266"/>
      </w:tblGrid>
      <w:tr w:rsidR="00033A3F" w:rsidRPr="00033A3F" w14:paraId="3286A764" w14:textId="77777777" w:rsidTr="008078DE">
        <w:tc>
          <w:tcPr>
            <w:tcW w:w="2265" w:type="dxa"/>
          </w:tcPr>
          <w:p w14:paraId="0888D742"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Slovinsko 45 %</w:t>
            </w:r>
          </w:p>
        </w:tc>
        <w:tc>
          <w:tcPr>
            <w:tcW w:w="2265" w:type="dxa"/>
          </w:tcPr>
          <w:p w14:paraId="04B6C3FD"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Chorvatsko 69 %</w:t>
            </w:r>
          </w:p>
        </w:tc>
        <w:tc>
          <w:tcPr>
            <w:tcW w:w="2266" w:type="dxa"/>
          </w:tcPr>
          <w:p w14:paraId="72897F8C"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Černá Hora 56 %</w:t>
            </w:r>
          </w:p>
        </w:tc>
        <w:tc>
          <w:tcPr>
            <w:tcW w:w="2266" w:type="dxa"/>
          </w:tcPr>
          <w:p w14:paraId="1FEF185F"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Albánie 41 %</w:t>
            </w:r>
          </w:p>
        </w:tc>
      </w:tr>
      <w:tr w:rsidR="00033A3F" w:rsidRPr="00033A3F" w14:paraId="1D6D98DE" w14:textId="77777777" w:rsidTr="008078DE">
        <w:tc>
          <w:tcPr>
            <w:tcW w:w="2265" w:type="dxa"/>
          </w:tcPr>
          <w:p w14:paraId="72D0679D"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Makedonie 66 %</w:t>
            </w:r>
          </w:p>
        </w:tc>
        <w:tc>
          <w:tcPr>
            <w:tcW w:w="2265" w:type="dxa"/>
          </w:tcPr>
          <w:p w14:paraId="4023EC65"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Malta 31 %</w:t>
            </w:r>
          </w:p>
        </w:tc>
        <w:tc>
          <w:tcPr>
            <w:tcW w:w="2266" w:type="dxa"/>
          </w:tcPr>
          <w:p w14:paraId="3D30A9FF"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Kypr 36 %</w:t>
            </w:r>
          </w:p>
        </w:tc>
        <w:tc>
          <w:tcPr>
            <w:tcW w:w="2266" w:type="dxa"/>
          </w:tcPr>
          <w:p w14:paraId="0EF6642C"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Lucembursko  10 %</w:t>
            </w:r>
          </w:p>
        </w:tc>
      </w:tr>
    </w:tbl>
    <w:p w14:paraId="108E4EEC" w14:textId="77777777" w:rsidR="0017337D" w:rsidRPr="00033A3F" w:rsidRDefault="0017337D" w:rsidP="0017337D">
      <w:pPr>
        <w:pStyle w:val="OdstavecASR"/>
        <w:rPr>
          <w:color w:val="000000" w:themeColor="text1"/>
        </w:rPr>
      </w:pPr>
      <w:r w:rsidRPr="00033A3F">
        <w:rPr>
          <w:i/>
          <w:iCs/>
          <w:color w:val="000000" w:themeColor="text1"/>
          <w:sz w:val="18"/>
          <w:szCs w:val="18"/>
        </w:rPr>
        <w:t>Zdroj: Průzkum Eurobarometr FL540, zpracování vlastní</w:t>
      </w:r>
    </w:p>
    <w:p w14:paraId="3E767825" w14:textId="77777777" w:rsidR="0017337D" w:rsidRPr="00033A3F" w:rsidRDefault="0017337D" w:rsidP="0017337D">
      <w:pPr>
        <w:rPr>
          <w:i/>
          <w:iCs/>
          <w:color w:val="000000" w:themeColor="text1"/>
          <w:sz w:val="18"/>
          <w:szCs w:val="18"/>
        </w:rPr>
      </w:pPr>
      <w:r w:rsidRPr="00033A3F">
        <w:rPr>
          <w:i/>
          <w:iCs/>
          <w:color w:val="000000" w:themeColor="text1"/>
          <w:sz w:val="18"/>
          <w:szCs w:val="18"/>
        </w:rPr>
        <w:t>(*) Odpověď na otázku: „Jak byste na základě toho, co je vám známo, ohodnotili systém soudnictví (ve vaší zemi), pokud jde o nezávislost soudů a soudců? Řekli byste, že je velmi dobrá, poměrně dobrá, poměrně špatná, nebo velmi špatná?“</w:t>
      </w:r>
    </w:p>
    <w:p w14:paraId="61EBF70F" w14:textId="77777777" w:rsidR="0017337D" w:rsidRPr="00033A3F" w:rsidRDefault="0017337D" w:rsidP="0017337D">
      <w:pPr>
        <w:rPr>
          <w:color w:val="000000" w:themeColor="text1"/>
        </w:rPr>
      </w:pPr>
    </w:p>
    <w:p w14:paraId="3471EF90" w14:textId="77777777" w:rsidR="0017337D" w:rsidRPr="00033A3F" w:rsidRDefault="0017337D" w:rsidP="0017337D">
      <w:pPr>
        <w:widowControl w:val="0"/>
        <w:rPr>
          <w:color w:val="000000" w:themeColor="text1"/>
        </w:rPr>
      </w:pPr>
      <w:r w:rsidRPr="00033A3F">
        <w:rPr>
          <w:color w:val="000000" w:themeColor="text1"/>
        </w:rPr>
        <w:t xml:space="preserve">Z detailních dat průzkumu vyplývá, že pokud občané daného členského státu EU27 vnímají vlastní soudní systém negativně (very bad + fairly bad), důvodem je většinou přesvědčení o nepatřičných tlacích ze strany vlády a politiků (51 %).  U kandidátských zemí je to obdobné, ale je to názor vyššího procenta respondentů. Váha důvodů pro hodnocení byla zkoumána zvlášť u skupiny respondentů vnímajících soudní systém vlastní země spíše negativně a zvlášť pro respondenty </w:t>
      </w:r>
      <w:r w:rsidRPr="00033A3F">
        <w:rPr>
          <w:color w:val="000000" w:themeColor="text1"/>
        </w:rPr>
        <w:lastRenderedPageBreak/>
        <w:t>vnímající jej spíše pozitivně a důvody pro jejich hodnocení byly následující.</w:t>
      </w:r>
    </w:p>
    <w:p w14:paraId="12003D7C" w14:textId="43EC71A0" w:rsidR="0017337D" w:rsidRPr="00033A3F" w:rsidRDefault="0017337D" w:rsidP="0017337D">
      <w:pPr>
        <w:pStyle w:val="Podnadpis"/>
        <w:rPr>
          <w:color w:val="000000" w:themeColor="text1"/>
        </w:rPr>
      </w:pPr>
      <w:bookmarkStart w:id="2664" w:name="_Toc20303295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131</w:t>
      </w:r>
      <w:r w:rsidRPr="00033A3F">
        <w:rPr>
          <w:color w:val="000000" w:themeColor="text1"/>
        </w:rPr>
        <w:fldChar w:fldCharType="end"/>
      </w:r>
      <w:r w:rsidRPr="00033A3F">
        <w:rPr>
          <w:color w:val="000000" w:themeColor="text1"/>
        </w:rPr>
        <w:t>: Důvody negativního hodnocení důvěry v soudnictví</w:t>
      </w:r>
      <w:bookmarkEnd w:id="2664"/>
    </w:p>
    <w:p w14:paraId="2E436D2E" w14:textId="77777777" w:rsidR="0017337D" w:rsidRPr="00033A3F" w:rsidRDefault="0017337D" w:rsidP="0017337D">
      <w:pPr>
        <w:rPr>
          <w:color w:val="000000" w:themeColor="text1"/>
        </w:rPr>
      </w:pPr>
      <w:r w:rsidRPr="00033A3F">
        <w:rPr>
          <w:noProof/>
          <w:color w:val="000000" w:themeColor="text1"/>
        </w:rPr>
        <w:drawing>
          <wp:inline distT="0" distB="0" distL="0" distR="0" wp14:anchorId="6C3389EB" wp14:editId="103EF802">
            <wp:extent cx="5760720" cy="1838960"/>
            <wp:effectExtent l="0" t="0" r="0" b="8890"/>
            <wp:docPr id="182809785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t="50538"/>
                    <a:stretch/>
                  </pic:blipFill>
                  <pic:spPr bwMode="auto">
                    <a:xfrm>
                      <a:off x="0" y="0"/>
                      <a:ext cx="5760720" cy="1838960"/>
                    </a:xfrm>
                    <a:prstGeom prst="rect">
                      <a:avLst/>
                    </a:prstGeom>
                    <a:noFill/>
                    <a:ln>
                      <a:noFill/>
                    </a:ln>
                    <a:extLst>
                      <a:ext uri="{53640926-AAD7-44D8-BBD7-CCE9431645EC}">
                        <a14:shadowObscured xmlns:a14="http://schemas.microsoft.com/office/drawing/2010/main"/>
                      </a:ext>
                    </a:extLst>
                  </pic:spPr>
                </pic:pic>
              </a:graphicData>
            </a:graphic>
          </wp:inline>
        </w:drawing>
      </w:r>
    </w:p>
    <w:p w14:paraId="6BC03ADA" w14:textId="77777777" w:rsidR="0017337D" w:rsidRPr="00033A3F" w:rsidRDefault="0017337D" w:rsidP="0017337D">
      <w:pPr>
        <w:rPr>
          <w:color w:val="000000" w:themeColor="text1"/>
        </w:rPr>
      </w:pPr>
    </w:p>
    <w:p w14:paraId="489E9F6D" w14:textId="1DD148FB" w:rsidR="0017337D" w:rsidRPr="00033A3F" w:rsidRDefault="0017337D" w:rsidP="0017337D">
      <w:pPr>
        <w:pStyle w:val="Podnadpis"/>
        <w:rPr>
          <w:color w:val="000000" w:themeColor="text1"/>
        </w:rPr>
      </w:pPr>
      <w:bookmarkStart w:id="2665" w:name="_Toc20303295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132</w:t>
      </w:r>
      <w:r w:rsidRPr="00033A3F">
        <w:rPr>
          <w:color w:val="000000" w:themeColor="text1"/>
        </w:rPr>
        <w:fldChar w:fldCharType="end"/>
      </w:r>
      <w:r w:rsidRPr="00033A3F">
        <w:rPr>
          <w:color w:val="000000" w:themeColor="text1"/>
        </w:rPr>
        <w:t>: Důvody pozitivního hodnocení důvěry v soudnictví</w:t>
      </w:r>
      <w:bookmarkEnd w:id="2665"/>
    </w:p>
    <w:p w14:paraId="0856F789" w14:textId="77777777" w:rsidR="0017337D" w:rsidRPr="00033A3F" w:rsidRDefault="0017337D" w:rsidP="0017337D">
      <w:pPr>
        <w:pStyle w:val="OdstavecASR"/>
        <w:widowControl w:val="0"/>
        <w:rPr>
          <w:color w:val="000000" w:themeColor="text1"/>
        </w:rPr>
      </w:pPr>
      <w:r w:rsidRPr="00033A3F">
        <w:rPr>
          <w:noProof/>
          <w:color w:val="000000" w:themeColor="text1"/>
        </w:rPr>
        <w:drawing>
          <wp:inline distT="0" distB="0" distL="0" distR="0" wp14:anchorId="5ABD0D1D" wp14:editId="21ACE7B4">
            <wp:extent cx="5761355" cy="1960245"/>
            <wp:effectExtent l="0" t="0" r="0" b="1905"/>
            <wp:docPr id="1538252108"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3" cstate="print">
                      <a:extLst>
                        <a:ext uri="{28A0092B-C50C-407E-A947-70E740481C1C}">
                          <a14:useLocalDpi xmlns:a14="http://schemas.microsoft.com/office/drawing/2010/main" val="0"/>
                        </a:ext>
                      </a:extLst>
                    </a:blip>
                    <a:srcRect t="47294"/>
                    <a:stretch/>
                  </pic:blipFill>
                  <pic:spPr bwMode="auto">
                    <a:xfrm>
                      <a:off x="0" y="0"/>
                      <a:ext cx="5761355" cy="1960245"/>
                    </a:xfrm>
                    <a:prstGeom prst="rect">
                      <a:avLst/>
                    </a:prstGeom>
                    <a:noFill/>
                    <a:ln>
                      <a:noFill/>
                    </a:ln>
                    <a:extLst>
                      <a:ext uri="{53640926-AAD7-44D8-BBD7-CCE9431645EC}">
                        <a14:shadowObscured xmlns:a14="http://schemas.microsoft.com/office/drawing/2010/main"/>
                      </a:ext>
                    </a:extLst>
                  </pic:spPr>
                </pic:pic>
              </a:graphicData>
            </a:graphic>
          </wp:inline>
        </w:drawing>
      </w:r>
    </w:p>
    <w:p w14:paraId="0B62FB92" w14:textId="77777777" w:rsidR="0017337D" w:rsidRPr="00033A3F" w:rsidRDefault="0017337D" w:rsidP="0017337D">
      <w:pPr>
        <w:pStyle w:val="OdstavecASR"/>
        <w:widowControl w:val="0"/>
        <w:jc w:val="left"/>
        <w:rPr>
          <w:color w:val="000000" w:themeColor="text1"/>
          <w:u w:val="single"/>
        </w:rPr>
      </w:pPr>
      <w:r w:rsidRPr="00033A3F">
        <w:rPr>
          <w:i/>
          <w:iCs/>
          <w:color w:val="000000" w:themeColor="text1"/>
          <w:sz w:val="18"/>
          <w:szCs w:val="18"/>
        </w:rPr>
        <w:t>Zdroj: Průzkum Eurobarometr FL540, pozitivní hodnocení str. 8, negativní hodnocení str. 18, průměrné hodnoty za EU27 vážené podle velikosti populace ve věku 15+, zpracování vlastní</w:t>
      </w:r>
    </w:p>
    <w:p w14:paraId="6F59B760" w14:textId="77777777" w:rsidR="0017337D" w:rsidRPr="00033A3F" w:rsidRDefault="0017337D" w:rsidP="0017337D">
      <w:pPr>
        <w:rPr>
          <w:i/>
          <w:iCs/>
          <w:color w:val="000000" w:themeColor="text1"/>
          <w:sz w:val="18"/>
          <w:szCs w:val="18"/>
        </w:rPr>
      </w:pPr>
      <w:r w:rsidRPr="00033A3F">
        <w:rPr>
          <w:i/>
          <w:iCs/>
          <w:color w:val="000000" w:themeColor="text1"/>
          <w:sz w:val="18"/>
          <w:szCs w:val="18"/>
        </w:rPr>
        <w:t xml:space="preserve">(*) Odpověď na otázku: „Mohl(a) byste mi říci, do jaké míry každý z následujících důvodů vysvětluje vaše hodnocení nezávislosti soudního systému (ve vaší zemi)? </w:t>
      </w:r>
    </w:p>
    <w:p w14:paraId="5FDCC593" w14:textId="77777777" w:rsidR="0017337D" w:rsidRPr="00033A3F" w:rsidRDefault="0017337D" w:rsidP="0017337D">
      <w:pPr>
        <w:pStyle w:val="OdstavecASR"/>
        <w:widowControl w:val="0"/>
        <w:rPr>
          <w:color w:val="000000" w:themeColor="text1"/>
        </w:rPr>
      </w:pPr>
      <w:r w:rsidRPr="00033A3F">
        <w:rPr>
          <w:color w:val="000000" w:themeColor="text1"/>
        </w:rPr>
        <w:t xml:space="preserve">O nepatřičných tlacích ze strany vlády a politiků (EU27 = 51 %) jsou nejvíce přesvědčeni občané Polska (71 %) a Slovenska (70 %), hodnotící tento tlak jako „velmi“ relevantní důvod pro jejich negativní hodnocení nezávislosti soudů (Česko = 52 % respondentů s negativním hodnocením). </w:t>
      </w:r>
    </w:p>
    <w:p w14:paraId="3394813A" w14:textId="77777777" w:rsidR="0017337D" w:rsidRPr="00033A3F" w:rsidRDefault="0017337D" w:rsidP="0017337D">
      <w:pPr>
        <w:pStyle w:val="Nadpis3"/>
        <w:numPr>
          <w:ilvl w:val="2"/>
          <w:numId w:val="1"/>
        </w:numPr>
        <w:rPr>
          <w:color w:val="000000" w:themeColor="text1"/>
        </w:rPr>
      </w:pPr>
      <w:bookmarkStart w:id="2666" w:name="_Toc144104447"/>
      <w:bookmarkStart w:id="2667" w:name="_Toc169250909"/>
      <w:bookmarkStart w:id="2668" w:name="_Toc174080945"/>
      <w:bookmarkStart w:id="2669" w:name="_Toc203032818"/>
      <w:bookmarkEnd w:id="2660"/>
      <w:bookmarkEnd w:id="2661"/>
      <w:bookmarkEnd w:id="2662"/>
      <w:r w:rsidRPr="00033A3F">
        <w:rPr>
          <w:color w:val="000000" w:themeColor="text1"/>
          <w:lang w:eastAsia="cs-CZ"/>
        </w:rPr>
        <w:t>Efektivnost soudního systému</w:t>
      </w:r>
      <w:bookmarkEnd w:id="2666"/>
      <w:bookmarkEnd w:id="2667"/>
      <w:bookmarkEnd w:id="2668"/>
      <w:bookmarkEnd w:id="2669"/>
    </w:p>
    <w:p w14:paraId="632E6C54" w14:textId="77777777" w:rsidR="0017337D" w:rsidRPr="00033A3F" w:rsidRDefault="0017337D" w:rsidP="0017337D">
      <w:pPr>
        <w:rPr>
          <w:i/>
          <w:iCs/>
          <w:color w:val="000000" w:themeColor="text1"/>
          <w:sz w:val="18"/>
          <w:szCs w:val="18"/>
        </w:rPr>
      </w:pPr>
      <w:r w:rsidRPr="00033A3F">
        <w:rPr>
          <w:color w:val="000000" w:themeColor="text1"/>
        </w:rPr>
        <w:t xml:space="preserve">Efektivnost již tradičně demonstrujeme na datech týkajících se sporných občanských a obchodních věcí, protože se jedná o důležitou agendu, která je celkem dobře srovnatelná mezi státy EU27. Nejprve se však rychle zaměříme na vývoj celkového netrestního nápadu ve státech EU27 v delším časovém období a ve srovnání s Českou republikou. </w:t>
      </w:r>
    </w:p>
    <w:p w14:paraId="06FEBFB1" w14:textId="5F95D629" w:rsidR="0017337D" w:rsidRPr="00033A3F" w:rsidRDefault="0017337D" w:rsidP="0017337D">
      <w:pPr>
        <w:pStyle w:val="Podnadpis"/>
        <w:jc w:val="both"/>
        <w:rPr>
          <w:color w:val="000000" w:themeColor="text1"/>
        </w:rPr>
      </w:pPr>
      <w:bookmarkStart w:id="2670" w:name="_Toc203032960"/>
      <w:bookmarkStart w:id="2671" w:name="_Toc75952298"/>
      <w:bookmarkStart w:id="2672" w:name="_Toc106106754"/>
      <w:bookmarkStart w:id="2673" w:name="_Toc106194415"/>
      <w:bookmarkStart w:id="2674" w:name="_Toc144104328"/>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133</w:t>
      </w:r>
      <w:r w:rsidRPr="00033A3F">
        <w:rPr>
          <w:color w:val="000000" w:themeColor="text1"/>
        </w:rPr>
        <w:fldChar w:fldCharType="end"/>
      </w:r>
      <w:r w:rsidRPr="00033A3F">
        <w:rPr>
          <w:color w:val="000000" w:themeColor="text1"/>
        </w:rPr>
        <w:t>: EU – medián a průměrný nápad občanských, obchodních, správních a jiných věcí na 100 obyvatel v zemích EU, soudy 1. stupně (*)</w:t>
      </w:r>
      <w:bookmarkEnd w:id="2670"/>
    </w:p>
    <w:p w14:paraId="760C8F5D" w14:textId="77777777" w:rsidR="0017337D" w:rsidRPr="00033A3F" w:rsidRDefault="0017337D" w:rsidP="0017337D">
      <w:pPr>
        <w:rPr>
          <w:color w:val="000000" w:themeColor="text1"/>
        </w:rPr>
      </w:pPr>
      <w:r w:rsidRPr="00033A3F">
        <w:rPr>
          <w:noProof/>
          <w:color w:val="000000" w:themeColor="text1"/>
        </w:rPr>
        <w:drawing>
          <wp:inline distT="0" distB="0" distL="0" distR="0" wp14:anchorId="0141B9E3" wp14:editId="5184F69B">
            <wp:extent cx="5760720" cy="2442882"/>
            <wp:effectExtent l="0" t="0" r="0" b="0"/>
            <wp:docPr id="71545461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54618" name=""/>
                    <pic:cNvPicPr/>
                  </pic:nvPicPr>
                  <pic:blipFill rotWithShape="1">
                    <a:blip r:embed="rId164">
                      <a:extLst>
                        <a:ext uri="{96DAC541-7B7A-43D3-8B79-37D633B846F1}">
                          <asvg:svgBlip xmlns:asvg="http://schemas.microsoft.com/office/drawing/2016/SVG/main" r:embed="rId165"/>
                        </a:ext>
                      </a:extLst>
                    </a:blip>
                    <a:srcRect b="34384"/>
                    <a:stretch/>
                  </pic:blipFill>
                  <pic:spPr bwMode="auto">
                    <a:xfrm>
                      <a:off x="0" y="0"/>
                      <a:ext cx="5760720" cy="2442882"/>
                    </a:xfrm>
                    <a:prstGeom prst="rect">
                      <a:avLst/>
                    </a:prstGeom>
                    <a:ln>
                      <a:noFill/>
                    </a:ln>
                    <a:extLst>
                      <a:ext uri="{53640926-AAD7-44D8-BBD7-CCE9431645EC}">
                        <a14:shadowObscured xmlns:a14="http://schemas.microsoft.com/office/drawing/2010/main"/>
                      </a:ext>
                    </a:extLst>
                  </pic:spPr>
                </pic:pic>
              </a:graphicData>
            </a:graphic>
          </wp:inline>
        </w:drawing>
      </w:r>
    </w:p>
    <w:p w14:paraId="5AE4C71D" w14:textId="77777777" w:rsidR="0017337D" w:rsidRPr="00033A3F" w:rsidRDefault="0017337D" w:rsidP="0017337D">
      <w:pPr>
        <w:rPr>
          <w:color w:val="000000" w:themeColor="text1"/>
        </w:rPr>
      </w:pPr>
    </w:p>
    <w:p w14:paraId="15B785C5"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Zdroj: Evropská komise, Srovnávací přehled EU o soudnictví za rok 2024, Fig.(2), zpracování vlastní</w:t>
      </w:r>
    </w:p>
    <w:p w14:paraId="3C938F10"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 Podle metodiky CEPEJ zahrnuje tato kategorie všechny sporné a nesporné občanské a obchodní věci, nesporné věci týkající se katastru nemovitostí a obchodního rejstříku, věci týkající se jiných rejstříků, jiné nesporné věci, věci správního práva a jiné netrestní věci.</w:t>
      </w:r>
    </w:p>
    <w:p w14:paraId="03E43102" w14:textId="77777777" w:rsidR="0017337D" w:rsidRPr="00033A3F" w:rsidRDefault="0017337D" w:rsidP="0017337D">
      <w:pPr>
        <w:pStyle w:val="Podnadpis"/>
        <w:keepNext w:val="0"/>
        <w:spacing w:line="276" w:lineRule="auto"/>
        <w:jc w:val="both"/>
        <w:rPr>
          <w:rFonts w:eastAsia="Calibri"/>
          <w:b w:val="0"/>
          <w:iCs w:val="0"/>
          <w:color w:val="000000" w:themeColor="text1"/>
          <w:spacing w:val="0"/>
          <w:szCs w:val="22"/>
        </w:rPr>
      </w:pPr>
      <w:r w:rsidRPr="00033A3F">
        <w:rPr>
          <w:rFonts w:eastAsia="Calibri"/>
          <w:b w:val="0"/>
          <w:iCs w:val="0"/>
          <w:color w:val="000000" w:themeColor="text1"/>
          <w:spacing w:val="0"/>
          <w:szCs w:val="22"/>
        </w:rPr>
        <w:t xml:space="preserve">V roce 2022 se nápad netrestních věcí na 100 obyvatel u soudů 1. stupně výrazněji snížil pouze ve Slovinsku, Polsku nebo Finsku, u ostatních zemí více méně stagnoval nebo se zvýšil. </w:t>
      </w:r>
    </w:p>
    <w:p w14:paraId="6438C52F" w14:textId="77777777" w:rsidR="0017337D" w:rsidRPr="00033A3F" w:rsidRDefault="0017337D" w:rsidP="0017337D">
      <w:pPr>
        <w:pStyle w:val="OdstavecASR"/>
        <w:rPr>
          <w:color w:val="000000" w:themeColor="text1"/>
        </w:rPr>
      </w:pPr>
      <w:r w:rsidRPr="00033A3F">
        <w:rPr>
          <w:color w:val="000000" w:themeColor="text1"/>
        </w:rPr>
        <w:t xml:space="preserve">Česká republika se pohybuje poblíž mediánu, tedy uprostřed pelotonu členských států EU27; mezi našimi sousedy má nižší nápad pouze Maďarsko. </w:t>
      </w:r>
      <w:r w:rsidRPr="00033A3F">
        <w:rPr>
          <w:bCs/>
          <w:color w:val="000000" w:themeColor="text1"/>
        </w:rPr>
        <w:t>Hodnota celkového netrestního nápadu v Rakousku je mezi státy EU27 stabilně druhá nejvyšší za Dánskem, Polsko je střídavě na třetím či čtvrtém místě s Chorvatskem.</w:t>
      </w:r>
      <w:r w:rsidRPr="00033A3F">
        <w:rPr>
          <w:color w:val="000000" w:themeColor="text1"/>
        </w:rPr>
        <w:t xml:space="preserve"> </w:t>
      </w:r>
    </w:p>
    <w:p w14:paraId="70F18366" w14:textId="77777777" w:rsidR="0017337D" w:rsidRPr="00033A3F" w:rsidRDefault="0017337D" w:rsidP="0017337D">
      <w:pPr>
        <w:pStyle w:val="Podnadpis"/>
        <w:keepNext w:val="0"/>
        <w:spacing w:line="276" w:lineRule="auto"/>
        <w:jc w:val="both"/>
        <w:rPr>
          <w:rFonts w:eastAsia="Calibri"/>
          <w:b w:val="0"/>
          <w:iCs w:val="0"/>
          <w:color w:val="000000" w:themeColor="text1"/>
          <w:spacing w:val="0"/>
          <w:szCs w:val="22"/>
        </w:rPr>
      </w:pPr>
      <w:r w:rsidRPr="00033A3F">
        <w:rPr>
          <w:rFonts w:eastAsia="Calibri"/>
          <w:b w:val="0"/>
          <w:iCs w:val="0"/>
          <w:color w:val="000000" w:themeColor="text1"/>
          <w:spacing w:val="0"/>
          <w:szCs w:val="22"/>
        </w:rPr>
        <w:t>Pokud jde o odhadovanou dobu potřebnou k vyřízení celkem netrestních věcí pro vydání rozhodnutí v 1. stupni podle Disposition time, můžeme konstatovat, že Česká republika nijak nevybočuje (148 kal. dnů) a pohybuje se pod průměrem států EU27 (185 kal. dnů) a nad mediánem (100 kal. dnů) v roce 2022.</w:t>
      </w:r>
    </w:p>
    <w:p w14:paraId="7C4ACC66" w14:textId="77777777" w:rsidR="0017337D" w:rsidRPr="00033A3F" w:rsidRDefault="0017337D" w:rsidP="0017337D">
      <w:pPr>
        <w:pStyle w:val="Podnadpis"/>
        <w:keepNext w:val="0"/>
        <w:spacing w:line="276" w:lineRule="auto"/>
        <w:jc w:val="both"/>
        <w:rPr>
          <w:color w:val="000000" w:themeColor="text1"/>
        </w:rPr>
      </w:pPr>
      <w:r w:rsidRPr="00033A3F">
        <w:rPr>
          <w:rFonts w:eastAsia="Calibri"/>
          <w:b w:val="0"/>
          <w:iCs w:val="0"/>
          <w:color w:val="000000" w:themeColor="text1"/>
          <w:spacing w:val="0"/>
          <w:szCs w:val="22"/>
        </w:rPr>
        <w:t xml:space="preserve"> </w:t>
      </w:r>
    </w:p>
    <w:p w14:paraId="5C905811" w14:textId="77777777" w:rsidR="0017337D" w:rsidRPr="00033A3F" w:rsidRDefault="0017337D" w:rsidP="0017337D">
      <w:pPr>
        <w:rPr>
          <w:color w:val="000000" w:themeColor="text1"/>
        </w:rPr>
      </w:pPr>
      <w:r w:rsidRPr="00033A3F">
        <w:rPr>
          <w:color w:val="000000" w:themeColor="text1"/>
        </w:rPr>
        <w:t xml:space="preserve">Také tradiční pohled na nápad sporných občanských a obchodních věcí a jeho vývoj v čase si v letošní zprávě ukážeme nejprve podle geografického rozložení v roce 2022 (včetně mapy disposition time vyjadřující efektivitu při jeho vyřizování) a následně na zjednodušeném spojnicovém grafu, který zřetelněji ukazuje odlišnou pozici České republiky v rámci států EU27. </w:t>
      </w:r>
    </w:p>
    <w:p w14:paraId="288F7D7D" w14:textId="77777777" w:rsidR="0017337D" w:rsidRPr="00033A3F" w:rsidRDefault="0017337D" w:rsidP="0017337D">
      <w:pPr>
        <w:spacing w:after="160" w:line="259" w:lineRule="auto"/>
        <w:jc w:val="left"/>
        <w:rPr>
          <w:color w:val="000000" w:themeColor="text1"/>
        </w:rPr>
      </w:pPr>
      <w:r w:rsidRPr="00033A3F">
        <w:rPr>
          <w:color w:val="000000" w:themeColor="text1"/>
        </w:rPr>
        <w:br w:type="page"/>
      </w:r>
    </w:p>
    <w:p w14:paraId="23CDDACF" w14:textId="182B62DA" w:rsidR="0017337D" w:rsidRPr="00033A3F" w:rsidRDefault="0017337D" w:rsidP="0017337D">
      <w:pPr>
        <w:pStyle w:val="Podnadpis"/>
        <w:jc w:val="both"/>
        <w:rPr>
          <w:color w:val="000000" w:themeColor="text1"/>
        </w:rPr>
      </w:pPr>
      <w:bookmarkStart w:id="2675" w:name="_Toc20303296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134</w:t>
      </w:r>
      <w:r w:rsidRPr="00033A3F">
        <w:rPr>
          <w:color w:val="000000" w:themeColor="text1"/>
        </w:rPr>
        <w:fldChar w:fldCharType="end"/>
      </w:r>
      <w:r w:rsidRPr="00033A3F">
        <w:rPr>
          <w:color w:val="000000" w:themeColor="text1"/>
        </w:rPr>
        <w:t>: EU – nápad sporných občanských a obchodních věcí na 100 000 obyvatel v zemích EU, soudy 1. stupně (*)</w:t>
      </w:r>
      <w:bookmarkEnd w:id="2675"/>
    </w:p>
    <w:bookmarkEnd w:id="2671"/>
    <w:bookmarkEnd w:id="2672"/>
    <w:bookmarkEnd w:id="2673"/>
    <w:bookmarkEnd w:id="2674"/>
    <w:p w14:paraId="2B500C18" w14:textId="77777777" w:rsidR="0017337D" w:rsidRPr="00033A3F" w:rsidRDefault="0017337D" w:rsidP="0017337D">
      <w:pPr>
        <w:rPr>
          <w:color w:val="000000" w:themeColor="text1"/>
        </w:rPr>
      </w:pPr>
      <w:r w:rsidRPr="00033A3F">
        <w:rPr>
          <w:noProof/>
          <w:color w:val="000000" w:themeColor="text1"/>
        </w:rPr>
        <w:drawing>
          <wp:inline distT="0" distB="0" distL="0" distR="0" wp14:anchorId="74F57A8A" wp14:editId="086AEA76">
            <wp:extent cx="3960000" cy="3648333"/>
            <wp:effectExtent l="0" t="0" r="2540" b="9525"/>
            <wp:docPr id="168939375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93758" name=""/>
                    <pic:cNvPicPr/>
                  </pic:nvPicPr>
                  <pic:blipFill>
                    <a:blip r:embed="rId166"/>
                    <a:stretch>
                      <a:fillRect/>
                    </a:stretch>
                  </pic:blipFill>
                  <pic:spPr>
                    <a:xfrm>
                      <a:off x="0" y="0"/>
                      <a:ext cx="3960000" cy="3648333"/>
                    </a:xfrm>
                    <a:prstGeom prst="rect">
                      <a:avLst/>
                    </a:prstGeom>
                  </pic:spPr>
                </pic:pic>
              </a:graphicData>
            </a:graphic>
          </wp:inline>
        </w:drawing>
      </w:r>
    </w:p>
    <w:p w14:paraId="38ECC6D7" w14:textId="77777777" w:rsidR="0017337D" w:rsidRPr="00033A3F" w:rsidRDefault="0017337D" w:rsidP="0017337D">
      <w:pPr>
        <w:rPr>
          <w:color w:val="000000" w:themeColor="text1"/>
        </w:rPr>
      </w:pPr>
      <w:r w:rsidRPr="00033A3F">
        <w:rPr>
          <w:i/>
          <w:iCs/>
          <w:color w:val="000000" w:themeColor="text1"/>
          <w:sz w:val="18"/>
          <w:szCs w:val="20"/>
        </w:rPr>
        <w:t>Evropská komise, Srovnávací přehled EU o soudnictví za rok 2024, Fig.(3)</w:t>
      </w:r>
    </w:p>
    <w:p w14:paraId="6E9502F0" w14:textId="59841EAF" w:rsidR="0017337D" w:rsidRPr="00033A3F" w:rsidRDefault="0017337D" w:rsidP="0017337D">
      <w:pPr>
        <w:pStyle w:val="Podnadpis"/>
        <w:jc w:val="both"/>
        <w:rPr>
          <w:color w:val="000000" w:themeColor="text1"/>
        </w:rPr>
      </w:pPr>
      <w:bookmarkStart w:id="2676" w:name="_Toc20303296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135</w:t>
      </w:r>
      <w:r w:rsidRPr="00033A3F">
        <w:rPr>
          <w:color w:val="000000" w:themeColor="text1"/>
        </w:rPr>
        <w:fldChar w:fldCharType="end"/>
      </w:r>
      <w:r w:rsidRPr="00033A3F">
        <w:rPr>
          <w:color w:val="000000" w:themeColor="text1"/>
        </w:rPr>
        <w:t>: EU – disposition time sporných občanských a obchodních věcí zemích v EU, soudy 1. stupně (*)</w:t>
      </w:r>
      <w:bookmarkEnd w:id="2676"/>
    </w:p>
    <w:p w14:paraId="659EB369" w14:textId="77777777" w:rsidR="0017337D" w:rsidRPr="00033A3F" w:rsidRDefault="0017337D" w:rsidP="0017337D">
      <w:pPr>
        <w:spacing w:line="240" w:lineRule="auto"/>
        <w:rPr>
          <w:i/>
          <w:iCs/>
          <w:color w:val="000000" w:themeColor="text1"/>
          <w:sz w:val="18"/>
          <w:szCs w:val="20"/>
        </w:rPr>
      </w:pPr>
    </w:p>
    <w:p w14:paraId="1455B7A9" w14:textId="77777777" w:rsidR="0017337D" w:rsidRPr="00033A3F" w:rsidRDefault="0017337D" w:rsidP="0017337D">
      <w:pPr>
        <w:spacing w:line="240" w:lineRule="auto"/>
        <w:rPr>
          <w:i/>
          <w:iCs/>
          <w:color w:val="000000" w:themeColor="text1"/>
          <w:sz w:val="18"/>
          <w:szCs w:val="20"/>
        </w:rPr>
      </w:pPr>
      <w:r w:rsidRPr="00033A3F">
        <w:rPr>
          <w:i/>
          <w:iCs/>
          <w:noProof/>
          <w:color w:val="000000" w:themeColor="text1"/>
          <w:sz w:val="18"/>
          <w:szCs w:val="20"/>
        </w:rPr>
        <w:drawing>
          <wp:inline distT="0" distB="0" distL="0" distR="0" wp14:anchorId="08B15AC1" wp14:editId="16F36632">
            <wp:extent cx="3960000" cy="3725159"/>
            <wp:effectExtent l="0" t="0" r="2540" b="8890"/>
            <wp:docPr id="43433893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38933" name=""/>
                    <pic:cNvPicPr/>
                  </pic:nvPicPr>
                  <pic:blipFill>
                    <a:blip r:embed="rId167"/>
                    <a:stretch>
                      <a:fillRect/>
                    </a:stretch>
                  </pic:blipFill>
                  <pic:spPr>
                    <a:xfrm>
                      <a:off x="0" y="0"/>
                      <a:ext cx="3960000" cy="3725159"/>
                    </a:xfrm>
                    <a:prstGeom prst="rect">
                      <a:avLst/>
                    </a:prstGeom>
                  </pic:spPr>
                </pic:pic>
              </a:graphicData>
            </a:graphic>
          </wp:inline>
        </w:drawing>
      </w:r>
    </w:p>
    <w:p w14:paraId="3773932E"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Zdroj: Evropská komise, Srovnávací přehled EU o soudnictví za rok 2024, Fig(6), zobrazení vlastní</w:t>
      </w:r>
    </w:p>
    <w:p w14:paraId="67E21BCF"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 xml:space="preserve">(*) Sporné občanské/obchodní věci se podle metodiky CEPEJ týkají sporů mezi stranami, například sporů ohledně smluv. Oproti tomu nesporné občanské/obchodní věci se týkají nenapadených řízení, například nenapadených platebních rozkazů. </w:t>
      </w:r>
    </w:p>
    <w:p w14:paraId="6851B4B4" w14:textId="77777777" w:rsidR="0017337D" w:rsidRPr="00033A3F" w:rsidRDefault="0017337D" w:rsidP="0017337D">
      <w:pPr>
        <w:rPr>
          <w:color w:val="000000" w:themeColor="text1"/>
        </w:rPr>
      </w:pPr>
      <w:r w:rsidRPr="00033A3F">
        <w:rPr>
          <w:color w:val="000000" w:themeColor="text1"/>
        </w:rPr>
        <w:lastRenderedPageBreak/>
        <w:t xml:space="preserve">Mapy ukazují, že v roce 2022 měla Česká republika 4. nejvyšší nápad a byla 2. nejefektivnější v jeho vyřizování (viz mapa disposition time). V tomto ohledu si vede velmi dobře například také Rumunsko, na opačném konci se zdá být Řecko nebo Itálie. </w:t>
      </w:r>
    </w:p>
    <w:p w14:paraId="218E5BCC" w14:textId="77777777" w:rsidR="0017337D" w:rsidRPr="00033A3F" w:rsidRDefault="0017337D" w:rsidP="0017337D">
      <w:pPr>
        <w:rPr>
          <w:color w:val="000000" w:themeColor="text1"/>
        </w:rPr>
      </w:pPr>
    </w:p>
    <w:p w14:paraId="6D6464FE" w14:textId="77777777" w:rsidR="0017337D" w:rsidRPr="00033A3F" w:rsidRDefault="0017337D" w:rsidP="0017337D">
      <w:pPr>
        <w:rPr>
          <w:color w:val="000000" w:themeColor="text1"/>
        </w:rPr>
      </w:pPr>
      <w:r w:rsidRPr="00033A3F">
        <w:rPr>
          <w:color w:val="000000" w:themeColor="text1"/>
        </w:rPr>
        <w:t>Dlouhodobý vývoj (viz další graf) ukazuje klesající trend nápadu sporných občanských a obchodních věcí nejen u České republiky, ale také u průměru za všechny státy EU27. Přibližování mediánu hodnotě průměru naznačuje zvyšující se rovnoměrnost rozptylu hodnot.</w:t>
      </w:r>
    </w:p>
    <w:p w14:paraId="3F8353D8" w14:textId="77777777" w:rsidR="0017337D" w:rsidRPr="00033A3F" w:rsidRDefault="0017337D" w:rsidP="0017337D">
      <w:pPr>
        <w:rPr>
          <w:color w:val="000000" w:themeColor="text1"/>
        </w:rPr>
      </w:pPr>
      <w:r w:rsidRPr="00033A3F">
        <w:rPr>
          <w:noProof/>
          <w:color w:val="000000" w:themeColor="text1"/>
        </w:rPr>
        <w:drawing>
          <wp:inline distT="0" distB="0" distL="0" distR="0" wp14:anchorId="12A45BF7" wp14:editId="4668D75D">
            <wp:extent cx="5760720" cy="2380130"/>
            <wp:effectExtent l="0" t="0" r="0" b="1270"/>
            <wp:docPr id="105852907"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2907" name=""/>
                    <pic:cNvPicPr/>
                  </pic:nvPicPr>
                  <pic:blipFill rotWithShape="1">
                    <a:blip r:embed="rId168">
                      <a:extLst>
                        <a:ext uri="{96DAC541-7B7A-43D3-8B79-37D633B846F1}">
                          <asvg:svgBlip xmlns:asvg="http://schemas.microsoft.com/office/drawing/2016/SVG/main" r:embed="rId169"/>
                        </a:ext>
                      </a:extLst>
                    </a:blip>
                    <a:srcRect b="36070"/>
                    <a:stretch/>
                  </pic:blipFill>
                  <pic:spPr bwMode="auto">
                    <a:xfrm>
                      <a:off x="0" y="0"/>
                      <a:ext cx="5760720" cy="2380130"/>
                    </a:xfrm>
                    <a:prstGeom prst="rect">
                      <a:avLst/>
                    </a:prstGeom>
                    <a:ln>
                      <a:noFill/>
                    </a:ln>
                    <a:extLst>
                      <a:ext uri="{53640926-AAD7-44D8-BBD7-CCE9431645EC}">
                        <a14:shadowObscured xmlns:a14="http://schemas.microsoft.com/office/drawing/2010/main"/>
                      </a:ext>
                    </a:extLst>
                  </pic:spPr>
                </pic:pic>
              </a:graphicData>
            </a:graphic>
          </wp:inline>
        </w:drawing>
      </w:r>
    </w:p>
    <w:p w14:paraId="2C344AC7"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Zdroj: Evropská komise, Srovnávací přehled EU o soudnictví za rok 2024, Fig.(3), výpočet průměru a mediánu vlastní, zobrazení vlastní</w:t>
      </w:r>
    </w:p>
    <w:p w14:paraId="6D258ECE" w14:textId="77777777" w:rsidR="0017337D" w:rsidRPr="00033A3F" w:rsidRDefault="0017337D" w:rsidP="0017337D">
      <w:pPr>
        <w:spacing w:line="240" w:lineRule="auto"/>
        <w:rPr>
          <w:i/>
          <w:iCs/>
          <w:color w:val="000000" w:themeColor="text1"/>
          <w:sz w:val="18"/>
          <w:szCs w:val="20"/>
        </w:rPr>
      </w:pPr>
    </w:p>
    <w:p w14:paraId="54E45EDC" w14:textId="77777777" w:rsidR="0017337D" w:rsidRPr="00033A3F" w:rsidRDefault="0017337D" w:rsidP="0017337D">
      <w:pPr>
        <w:pStyle w:val="OdstavecASR"/>
        <w:rPr>
          <w:color w:val="000000" w:themeColor="text1"/>
        </w:rPr>
      </w:pPr>
      <w:r w:rsidRPr="00033A3F">
        <w:rPr>
          <w:color w:val="000000" w:themeColor="text1"/>
        </w:rPr>
        <w:t xml:space="preserve">Také mezi nejbližšími sousedy vykazuje ČR stabilně jednu z nejvyšších hodnot nápadu, což může souviset s relativně snadným přístupem a vysokou důvěrou k soudnímu systému v ČR, ale i s jinými, například socioekonomickými faktory. Na konci křivky je uvedeno pořadí mezi všemi státy EU27 v roce 2022, seřazených od nejvyššího po nejnižší nápad na 100 obyvatel (1. = nejvyšší nápad, 27. = nejnižší nápad). </w:t>
      </w:r>
    </w:p>
    <w:p w14:paraId="5817F8A9"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3F1AF34F" wp14:editId="07F50674">
            <wp:extent cx="5760720" cy="2424430"/>
            <wp:effectExtent l="0" t="0" r="0" b="0"/>
            <wp:docPr id="112260031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16399" name=""/>
                    <pic:cNvPicPr/>
                  </pic:nvPicPr>
                  <pic:blipFill rotWithShape="1">
                    <a:blip r:embed="rId170">
                      <a:extLst>
                        <a:ext uri="{96DAC541-7B7A-43D3-8B79-37D633B846F1}">
                          <asvg:svgBlip xmlns:asvg="http://schemas.microsoft.com/office/drawing/2016/SVG/main" r:embed="rId171"/>
                        </a:ext>
                      </a:extLst>
                    </a:blip>
                    <a:srcRect b="34865"/>
                    <a:stretch/>
                  </pic:blipFill>
                  <pic:spPr bwMode="auto">
                    <a:xfrm>
                      <a:off x="0" y="0"/>
                      <a:ext cx="5760720" cy="2424430"/>
                    </a:xfrm>
                    <a:prstGeom prst="rect">
                      <a:avLst/>
                    </a:prstGeom>
                    <a:ln>
                      <a:noFill/>
                    </a:ln>
                    <a:extLst>
                      <a:ext uri="{53640926-AAD7-44D8-BBD7-CCE9431645EC}">
                        <a14:shadowObscured xmlns:a14="http://schemas.microsoft.com/office/drawing/2010/main"/>
                      </a:ext>
                    </a:extLst>
                  </pic:spPr>
                </pic:pic>
              </a:graphicData>
            </a:graphic>
          </wp:inline>
        </w:drawing>
      </w:r>
    </w:p>
    <w:p w14:paraId="2AAB43F6"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Zdroj: Evropská komise, Srovnávací přehled EU o soudnictví za rok 2024, Fig.(3), , zobrazení vlastní</w:t>
      </w:r>
    </w:p>
    <w:p w14:paraId="075B02AC" w14:textId="77777777" w:rsidR="0017337D" w:rsidRPr="00033A3F" w:rsidRDefault="0017337D" w:rsidP="0017337D">
      <w:pPr>
        <w:pStyle w:val="OdstavecASR"/>
        <w:rPr>
          <w:color w:val="000000" w:themeColor="text1"/>
        </w:rPr>
      </w:pPr>
    </w:p>
    <w:p w14:paraId="49822CD7" w14:textId="66B313AE" w:rsidR="0017337D" w:rsidRPr="00033A3F" w:rsidRDefault="0017337D" w:rsidP="0017337D">
      <w:pPr>
        <w:pStyle w:val="OdstavecASR"/>
        <w:rPr>
          <w:color w:val="000000" w:themeColor="text1"/>
        </w:rPr>
      </w:pPr>
      <w:r w:rsidRPr="00033A3F">
        <w:rPr>
          <w:color w:val="000000" w:themeColor="text1"/>
        </w:rPr>
        <w:t>České soudnictví svůj vysoký nápad řeší stále velmi efektivně, jak již bylo vidět na úvodním kartogramu.  Vývoj efektivity českého soudnictví vyjádřený pomocí disposition time je na 1. stupni následující</w:t>
      </w:r>
      <w:r w:rsidR="002E67F8">
        <w:rPr>
          <w:color w:val="000000" w:themeColor="text1"/>
        </w:rPr>
        <w:t xml:space="preserve"> (kal. dny)</w:t>
      </w:r>
      <w:r w:rsidRPr="00033A3F">
        <w:rPr>
          <w:color w:val="000000" w:themeColor="text1"/>
        </w:rPr>
        <w:t>:</w:t>
      </w:r>
    </w:p>
    <w:p w14:paraId="21FF2254" w14:textId="77777777" w:rsidR="0017337D" w:rsidRPr="00033A3F" w:rsidRDefault="0017337D" w:rsidP="0017337D">
      <w:pPr>
        <w:rPr>
          <w:color w:val="000000" w:themeColor="text1"/>
        </w:rPr>
      </w:pPr>
      <w:r w:rsidRPr="00033A3F">
        <w:rPr>
          <w:noProof/>
          <w:color w:val="000000" w:themeColor="text1"/>
        </w:rPr>
        <w:lastRenderedPageBreak/>
        <w:drawing>
          <wp:inline distT="0" distB="0" distL="0" distR="0" wp14:anchorId="5E054111" wp14:editId="0A9E1A79">
            <wp:extent cx="5760720" cy="2393577"/>
            <wp:effectExtent l="0" t="0" r="0" b="6985"/>
            <wp:docPr id="13262254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22548" name=""/>
                    <pic:cNvPicPr/>
                  </pic:nvPicPr>
                  <pic:blipFill rotWithShape="1">
                    <a:blip r:embed="rId172">
                      <a:extLst>
                        <a:ext uri="{96DAC541-7B7A-43D3-8B79-37D633B846F1}">
                          <asvg:svgBlip xmlns:asvg="http://schemas.microsoft.com/office/drawing/2016/SVG/main" r:embed="rId173"/>
                        </a:ext>
                      </a:extLst>
                    </a:blip>
                    <a:srcRect b="35709"/>
                    <a:stretch/>
                  </pic:blipFill>
                  <pic:spPr bwMode="auto">
                    <a:xfrm>
                      <a:off x="0" y="0"/>
                      <a:ext cx="5760720" cy="2393577"/>
                    </a:xfrm>
                    <a:prstGeom prst="rect">
                      <a:avLst/>
                    </a:prstGeom>
                    <a:ln>
                      <a:noFill/>
                    </a:ln>
                    <a:extLst>
                      <a:ext uri="{53640926-AAD7-44D8-BBD7-CCE9431645EC}">
                        <a14:shadowObscured xmlns:a14="http://schemas.microsoft.com/office/drawing/2010/main"/>
                      </a:ext>
                    </a:extLst>
                  </pic:spPr>
                </pic:pic>
              </a:graphicData>
            </a:graphic>
          </wp:inline>
        </w:drawing>
      </w:r>
    </w:p>
    <w:p w14:paraId="53D4AB69" w14:textId="77777777" w:rsidR="0017337D" w:rsidRPr="00033A3F" w:rsidRDefault="0017337D" w:rsidP="0017337D">
      <w:pPr>
        <w:rPr>
          <w:i/>
          <w:iCs/>
          <w:color w:val="000000" w:themeColor="text1"/>
          <w:sz w:val="18"/>
          <w:szCs w:val="20"/>
        </w:rPr>
      </w:pPr>
      <w:r w:rsidRPr="00033A3F">
        <w:rPr>
          <w:i/>
          <w:iCs/>
          <w:color w:val="000000" w:themeColor="text1"/>
          <w:sz w:val="18"/>
          <w:szCs w:val="20"/>
        </w:rPr>
        <w:t>Zdroj: Evropská komise, Srovnávací přehled EU o soudnictví za rok 2024, Fig.(6), zobrazení vlastní</w:t>
      </w:r>
    </w:p>
    <w:p w14:paraId="20C0AC25" w14:textId="77777777" w:rsidR="0017337D" w:rsidRPr="00033A3F" w:rsidRDefault="0017337D" w:rsidP="0017337D">
      <w:pPr>
        <w:spacing w:line="240" w:lineRule="auto"/>
        <w:rPr>
          <w:i/>
          <w:iCs/>
          <w:color w:val="000000" w:themeColor="text1"/>
          <w:sz w:val="18"/>
          <w:szCs w:val="20"/>
        </w:rPr>
      </w:pPr>
    </w:p>
    <w:p w14:paraId="1A98C87B" w14:textId="77777777" w:rsidR="0017337D" w:rsidRPr="00033A3F" w:rsidRDefault="0017337D" w:rsidP="0017337D">
      <w:pPr>
        <w:pStyle w:val="OdstavecASR"/>
        <w:rPr>
          <w:color w:val="000000" w:themeColor="text1"/>
        </w:rPr>
      </w:pPr>
      <w:r w:rsidRPr="00033A3F">
        <w:rPr>
          <w:color w:val="000000" w:themeColor="text1"/>
        </w:rPr>
        <w:t>Dalším ukazatelem, který používáme při srovnání efektivnosti soudních soustav, je počet nevyřízených sporných občanských a obchodních věcí na 100 obyvatel. Česká republika snižuje pravidelně počet těchto nevyřízených věcí, ale protože totéž se daří i ostatním státům, udržuje si své stálé místo uprostřed, tedy těsně u mediánu.</w:t>
      </w:r>
    </w:p>
    <w:p w14:paraId="724FE3A2" w14:textId="2502AFAC" w:rsidR="0017337D" w:rsidRPr="00033A3F" w:rsidRDefault="0017337D" w:rsidP="0017337D">
      <w:pPr>
        <w:pStyle w:val="Podnadpis"/>
        <w:rPr>
          <w:color w:val="000000" w:themeColor="text1"/>
          <w:sz w:val="20"/>
        </w:rPr>
      </w:pPr>
      <w:bookmarkStart w:id="2677" w:name="_Toc106106756"/>
      <w:bookmarkStart w:id="2678" w:name="_Toc106194417"/>
      <w:bookmarkStart w:id="2679" w:name="_Toc144104236"/>
      <w:bookmarkStart w:id="2680" w:name="_Toc169251043"/>
      <w:bookmarkStart w:id="2681" w:name="_Toc174080729"/>
      <w:bookmarkStart w:id="2682" w:name="_Toc20303296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136</w:t>
      </w:r>
      <w:r w:rsidRPr="00033A3F">
        <w:rPr>
          <w:noProof/>
          <w:color w:val="000000" w:themeColor="text1"/>
        </w:rPr>
        <w:fldChar w:fldCharType="end"/>
      </w:r>
      <w:r w:rsidRPr="00033A3F">
        <w:rPr>
          <w:color w:val="000000" w:themeColor="text1"/>
        </w:rPr>
        <w:t xml:space="preserve">: Počet nevyřízených </w:t>
      </w:r>
      <w:bookmarkStart w:id="2683" w:name="_Hlk92907271"/>
      <w:r w:rsidRPr="00033A3F">
        <w:rPr>
          <w:color w:val="000000" w:themeColor="text1"/>
        </w:rPr>
        <w:t>sporných obč. a obch. věcí</w:t>
      </w:r>
      <w:bookmarkEnd w:id="2683"/>
      <w:r w:rsidRPr="00033A3F">
        <w:rPr>
          <w:color w:val="000000" w:themeColor="text1"/>
        </w:rPr>
        <w:t xml:space="preserve"> na 100 obyvatel</w:t>
      </w:r>
      <w:bookmarkEnd w:id="2677"/>
      <w:bookmarkEnd w:id="2678"/>
      <w:r w:rsidRPr="00033A3F">
        <w:rPr>
          <w:color w:val="000000" w:themeColor="text1"/>
        </w:rPr>
        <w:t>, státy EU27, soudy 1. stupně</w:t>
      </w:r>
      <w:bookmarkEnd w:id="2679"/>
      <w:r w:rsidRPr="00033A3F">
        <w:rPr>
          <w:color w:val="000000" w:themeColor="text1"/>
        </w:rPr>
        <w:t xml:space="preserve"> (*)</w:t>
      </w:r>
      <w:bookmarkEnd w:id="2680"/>
      <w:bookmarkEnd w:id="2681"/>
      <w:bookmarkEnd w:id="2682"/>
    </w:p>
    <w:p w14:paraId="7DDCAC98" w14:textId="77777777" w:rsidR="0017337D" w:rsidRPr="00033A3F" w:rsidRDefault="0017337D" w:rsidP="0017337D">
      <w:pPr>
        <w:keepNext/>
        <w:spacing w:before="120" w:after="120" w:line="240" w:lineRule="auto"/>
        <w:rPr>
          <w:color w:val="000000" w:themeColor="text1"/>
          <w:sz w:val="20"/>
        </w:rPr>
      </w:pPr>
      <w:r w:rsidRPr="00033A3F">
        <w:rPr>
          <w:noProof/>
          <w:color w:val="000000" w:themeColor="text1"/>
          <w:sz w:val="20"/>
        </w:rPr>
        <w:drawing>
          <wp:inline distT="0" distB="0" distL="0" distR="0" wp14:anchorId="6E6A39A5" wp14:editId="7C3256CA">
            <wp:extent cx="5760720" cy="2319655"/>
            <wp:effectExtent l="0" t="0" r="0" b="4445"/>
            <wp:docPr id="4507486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48611" name=""/>
                    <pic:cNvPicPr/>
                  </pic:nvPicPr>
                  <pic:blipFill>
                    <a:blip r:embed="rId174"/>
                    <a:stretch>
                      <a:fillRect/>
                    </a:stretch>
                  </pic:blipFill>
                  <pic:spPr>
                    <a:xfrm>
                      <a:off x="0" y="0"/>
                      <a:ext cx="5760720" cy="2319655"/>
                    </a:xfrm>
                    <a:prstGeom prst="rect">
                      <a:avLst/>
                    </a:prstGeom>
                  </pic:spPr>
                </pic:pic>
              </a:graphicData>
            </a:graphic>
          </wp:inline>
        </w:drawing>
      </w:r>
    </w:p>
    <w:p w14:paraId="15D62F0B" w14:textId="77777777" w:rsidR="0017337D" w:rsidRPr="00033A3F" w:rsidRDefault="0017337D" w:rsidP="0017337D">
      <w:pPr>
        <w:keepNext/>
        <w:spacing w:before="120" w:after="120" w:line="240" w:lineRule="auto"/>
        <w:rPr>
          <w:i/>
          <w:iCs/>
          <w:color w:val="000000" w:themeColor="text1"/>
          <w:sz w:val="18"/>
          <w:szCs w:val="20"/>
        </w:rPr>
      </w:pPr>
      <w:r w:rsidRPr="00033A3F">
        <w:rPr>
          <w:i/>
          <w:iCs/>
          <w:color w:val="000000" w:themeColor="text1"/>
          <w:sz w:val="18"/>
          <w:szCs w:val="20"/>
        </w:rPr>
        <w:t>Zdroj: Evropská komise, Srovnávací přehled EU o soudnictví za rok 2023, Fig.(14), (*) státy jsou seřazeny dle roku 2022 s výjimkou NL, přetisknutý graf</w:t>
      </w:r>
    </w:p>
    <w:p w14:paraId="54D77B28" w14:textId="77777777" w:rsidR="0017337D" w:rsidRPr="00033A3F" w:rsidRDefault="0017337D" w:rsidP="0017337D">
      <w:pPr>
        <w:pStyle w:val="OdstavecASR"/>
        <w:rPr>
          <w:b/>
          <w:bCs/>
          <w:color w:val="000000" w:themeColor="text1"/>
        </w:rPr>
      </w:pPr>
    </w:p>
    <w:p w14:paraId="699C9647" w14:textId="77777777" w:rsidR="0017337D" w:rsidRPr="00033A3F" w:rsidRDefault="0017337D" w:rsidP="0017337D">
      <w:pPr>
        <w:pStyle w:val="OdstavecASR"/>
        <w:rPr>
          <w:color w:val="000000" w:themeColor="text1"/>
        </w:rPr>
      </w:pPr>
      <w:r w:rsidRPr="00033A3F">
        <w:rPr>
          <w:b/>
          <w:bCs/>
          <w:color w:val="000000" w:themeColor="text1"/>
        </w:rPr>
        <w:t>Pokud jde o správní agendu,</w:t>
      </w:r>
      <w:r w:rsidRPr="00033A3F">
        <w:rPr>
          <w:color w:val="000000" w:themeColor="text1"/>
        </w:rPr>
        <w:t xml:space="preserve"> můžeme konstatovat, že kontinuální úsilí posledních let při jejím vyřizování vedlo k tomu, že Česká republika měla v roce 2022 nejnižší počet nevyřízených správních věcí na 100 obyvatel v celé Evropské unii. </w:t>
      </w:r>
    </w:p>
    <w:p w14:paraId="373E1F73" w14:textId="726FC0F0" w:rsidR="0017337D" w:rsidRPr="00033A3F" w:rsidRDefault="0017337D" w:rsidP="0017337D">
      <w:pPr>
        <w:pStyle w:val="Podnadpis"/>
        <w:rPr>
          <w:color w:val="000000" w:themeColor="text1"/>
          <w:sz w:val="20"/>
        </w:rPr>
      </w:pPr>
      <w:bookmarkStart w:id="2684" w:name="_Toc203032964"/>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137</w:t>
      </w:r>
      <w:r w:rsidRPr="00033A3F">
        <w:rPr>
          <w:noProof/>
          <w:color w:val="000000" w:themeColor="text1"/>
        </w:rPr>
        <w:fldChar w:fldCharType="end"/>
      </w:r>
      <w:r w:rsidRPr="00033A3F">
        <w:rPr>
          <w:color w:val="000000" w:themeColor="text1"/>
        </w:rPr>
        <w:t>: Počet nevyřízených správních věcí na 100 obyvatel, státy EU27, soudy 1. stupně (*)</w:t>
      </w:r>
      <w:bookmarkEnd w:id="2684"/>
    </w:p>
    <w:p w14:paraId="654949B4"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32387A4C" wp14:editId="3BB87347">
            <wp:extent cx="5760720" cy="2315845"/>
            <wp:effectExtent l="0" t="0" r="0" b="8255"/>
            <wp:docPr id="124906675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66758" name=""/>
                    <pic:cNvPicPr/>
                  </pic:nvPicPr>
                  <pic:blipFill>
                    <a:blip r:embed="rId175"/>
                    <a:stretch>
                      <a:fillRect/>
                    </a:stretch>
                  </pic:blipFill>
                  <pic:spPr>
                    <a:xfrm>
                      <a:off x="0" y="0"/>
                      <a:ext cx="5760720" cy="2315845"/>
                    </a:xfrm>
                    <a:prstGeom prst="rect">
                      <a:avLst/>
                    </a:prstGeom>
                  </pic:spPr>
                </pic:pic>
              </a:graphicData>
            </a:graphic>
          </wp:inline>
        </w:drawing>
      </w:r>
    </w:p>
    <w:p w14:paraId="479D70CE" w14:textId="77777777" w:rsidR="0017337D" w:rsidRPr="00033A3F" w:rsidRDefault="0017337D" w:rsidP="0017337D">
      <w:pPr>
        <w:keepNext/>
        <w:spacing w:before="120" w:after="120" w:line="240" w:lineRule="auto"/>
        <w:rPr>
          <w:i/>
          <w:iCs/>
          <w:color w:val="000000" w:themeColor="text1"/>
          <w:sz w:val="18"/>
          <w:szCs w:val="20"/>
        </w:rPr>
      </w:pPr>
      <w:r w:rsidRPr="00033A3F">
        <w:rPr>
          <w:i/>
          <w:iCs/>
          <w:color w:val="000000" w:themeColor="text1"/>
          <w:sz w:val="18"/>
          <w:szCs w:val="20"/>
        </w:rPr>
        <w:t>Zdroj: Evropská komise, Srovnávací přehled EU o soudnictví za rok 2023, Fig.(15), přetisknutý graf</w:t>
      </w:r>
    </w:p>
    <w:p w14:paraId="7DFD76AF" w14:textId="20D75CE5" w:rsidR="0017337D" w:rsidRPr="00033A3F" w:rsidRDefault="0017337D" w:rsidP="0017337D">
      <w:pPr>
        <w:pStyle w:val="OdstavecASR"/>
        <w:rPr>
          <w:color w:val="000000" w:themeColor="text1"/>
        </w:rPr>
      </w:pPr>
      <w:r w:rsidRPr="00033A3F">
        <w:rPr>
          <w:color w:val="000000" w:themeColor="text1"/>
        </w:rPr>
        <w:t>Na závěr publikujeme stručný přehled efektivnosti našeho justičního systému vyjádřené pomocí disposition time, a to v porovnání s nejbližšími sousedy a mediánem za všechny státy EU27, jak je prezentována v publikaci Srovnávací přehled 2024</w:t>
      </w:r>
      <w:r w:rsidR="000B7A86">
        <w:rPr>
          <w:color w:val="000000" w:themeColor="text1"/>
        </w:rPr>
        <w:t xml:space="preserve"> (nejnovější data jsou za rok 2022)</w:t>
      </w:r>
      <w:r w:rsidRPr="00033A3F">
        <w:rPr>
          <w:color w:val="000000" w:themeColor="text1"/>
        </w:rPr>
        <w:t>:</w:t>
      </w:r>
    </w:p>
    <w:p w14:paraId="7FBF0E55" w14:textId="2B285D9E" w:rsidR="0017337D" w:rsidRPr="00033A3F" w:rsidRDefault="0017337D" w:rsidP="0017337D">
      <w:pPr>
        <w:pStyle w:val="Podnadpis"/>
        <w:rPr>
          <w:color w:val="000000" w:themeColor="text1"/>
        </w:rPr>
      </w:pPr>
      <w:bookmarkStart w:id="2685" w:name="_Toc199495059"/>
      <w:bookmarkStart w:id="2686" w:name="_Toc203033120"/>
      <w:bookmarkStart w:id="2687" w:name="_Toc203033198"/>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78</w:t>
      </w:r>
      <w:r w:rsidRPr="00033A3F">
        <w:rPr>
          <w:color w:val="000000" w:themeColor="text1"/>
        </w:rPr>
        <w:fldChar w:fldCharType="end"/>
      </w:r>
      <w:r w:rsidRPr="00033A3F">
        <w:rPr>
          <w:color w:val="000000" w:themeColor="text1"/>
        </w:rPr>
        <w:t>: Disposition time v daném státě EU27, kal. dny, 2022</w:t>
      </w:r>
      <w:bookmarkEnd w:id="2685"/>
      <w:bookmarkEnd w:id="2686"/>
      <w:bookmarkEnd w:id="2687"/>
    </w:p>
    <w:p w14:paraId="5F95CF55" w14:textId="77777777" w:rsidR="0017337D" w:rsidRPr="00033A3F" w:rsidRDefault="0017337D" w:rsidP="0017337D">
      <w:pPr>
        <w:rPr>
          <w:i/>
          <w:iCs/>
          <w:color w:val="000000" w:themeColor="text1"/>
          <w:sz w:val="18"/>
          <w:szCs w:val="18"/>
        </w:rPr>
      </w:pPr>
      <w:r w:rsidRPr="00033A3F">
        <w:rPr>
          <w:noProof/>
          <w:color w:val="000000" w:themeColor="text1"/>
        </w:rPr>
        <w:drawing>
          <wp:inline distT="0" distB="0" distL="0" distR="0" wp14:anchorId="2E2B3114" wp14:editId="4A068E47">
            <wp:extent cx="5760720" cy="2230222"/>
            <wp:effectExtent l="0" t="0" r="0" b="0"/>
            <wp:docPr id="154596814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6">
                      <a:extLst>
                        <a:ext uri="{28A0092B-C50C-407E-A947-70E740481C1C}">
                          <a14:useLocalDpi xmlns:a14="http://schemas.microsoft.com/office/drawing/2010/main" val="0"/>
                        </a:ext>
                      </a:extLst>
                    </a:blip>
                    <a:srcRect b="7508"/>
                    <a:stretch/>
                  </pic:blipFill>
                  <pic:spPr bwMode="auto">
                    <a:xfrm>
                      <a:off x="0" y="0"/>
                      <a:ext cx="5760720" cy="2230222"/>
                    </a:xfrm>
                    <a:prstGeom prst="rect">
                      <a:avLst/>
                    </a:prstGeom>
                    <a:noFill/>
                    <a:ln>
                      <a:noFill/>
                    </a:ln>
                    <a:extLst>
                      <a:ext uri="{53640926-AAD7-44D8-BBD7-CCE9431645EC}">
                        <a14:shadowObscured xmlns:a14="http://schemas.microsoft.com/office/drawing/2010/main"/>
                      </a:ext>
                    </a:extLst>
                  </pic:spPr>
                </pic:pic>
              </a:graphicData>
            </a:graphic>
          </wp:inline>
        </w:drawing>
      </w:r>
    </w:p>
    <w:p w14:paraId="113FE4D8" w14:textId="77777777" w:rsidR="0017337D" w:rsidRPr="00033A3F" w:rsidRDefault="0017337D" w:rsidP="0017337D">
      <w:pPr>
        <w:pStyle w:val="OdstavecASR"/>
        <w:rPr>
          <w:color w:val="000000" w:themeColor="text1"/>
        </w:rPr>
      </w:pPr>
      <w:r w:rsidRPr="00033A3F">
        <w:rPr>
          <w:i/>
          <w:iCs/>
          <w:color w:val="000000" w:themeColor="text1"/>
          <w:sz w:val="18"/>
          <w:szCs w:val="18"/>
        </w:rPr>
        <w:t>Zdroj: European judicial systems, CEPEJ Evaluation Report 2024, Part 2- Country profiles, 3. stupeň = nejvyšší stupeň v dané zemi, pro danou agendu, NAP =not aplicable, NA = not available – data nebyla publikována, resp. zaslána daným státem, zpracování vlastní</w:t>
      </w:r>
    </w:p>
    <w:p w14:paraId="5B3AFAB3" w14:textId="77777777" w:rsidR="0017337D" w:rsidRPr="00033A3F" w:rsidRDefault="0017337D" w:rsidP="0017337D">
      <w:pPr>
        <w:pStyle w:val="OdstavecASR"/>
        <w:rPr>
          <w:color w:val="000000" w:themeColor="text1"/>
        </w:rPr>
      </w:pPr>
      <w:r w:rsidRPr="00033A3F">
        <w:rPr>
          <w:color w:val="000000" w:themeColor="text1"/>
        </w:rPr>
        <w:t xml:space="preserve">K výše uvedené tabulce ještě upozorňujeme, že v ní uvedené hodnoty DT pro CZ nelze vždy přímo srovnávat s hodnotami dle jednotlivých agend a článků soudní soustavy analyzovaných ve vnitrostátní části Výroční statistické zprávy (VSZ) – používá se jiná metodika, neboť jsou zahrnuty jiné rejstříky. </w:t>
      </w:r>
      <w:r w:rsidRPr="00033A3F">
        <w:rPr>
          <w:b/>
          <w:bCs/>
          <w:color w:val="000000" w:themeColor="text1"/>
          <w:sz w:val="22"/>
          <w:szCs w:val="20"/>
        </w:rPr>
        <w:t xml:space="preserve">Příklad pro “Trestní“, 1. stupeň, DT = 56 kal. dní </w:t>
      </w:r>
      <w:r w:rsidRPr="00033A3F">
        <w:rPr>
          <w:color w:val="000000" w:themeColor="text1"/>
          <w:sz w:val="22"/>
          <w:szCs w:val="20"/>
        </w:rPr>
        <w:t>(výpočet DT viz vzorec v příloze A)</w:t>
      </w:r>
      <w:r w:rsidRPr="00033A3F">
        <w:rPr>
          <w:b/>
          <w:bCs/>
          <w:color w:val="000000" w:themeColor="text1"/>
          <w:sz w:val="22"/>
          <w:szCs w:val="20"/>
        </w:rPr>
        <w:t>:</w:t>
      </w:r>
    </w:p>
    <w:p w14:paraId="00B082C4"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788D149A" wp14:editId="575C5DD7">
            <wp:extent cx="4695262" cy="965200"/>
            <wp:effectExtent l="0" t="0" r="0" b="0"/>
            <wp:docPr id="193353613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59576" cy="978421"/>
                    </a:xfrm>
                    <a:prstGeom prst="rect">
                      <a:avLst/>
                    </a:prstGeom>
                    <a:noFill/>
                    <a:ln>
                      <a:noFill/>
                    </a:ln>
                  </pic:spPr>
                </pic:pic>
              </a:graphicData>
            </a:graphic>
          </wp:inline>
        </w:drawing>
      </w:r>
    </w:p>
    <w:p w14:paraId="2CBB29B3" w14:textId="77777777" w:rsidR="00950593" w:rsidRPr="00033A3F" w:rsidRDefault="00950593">
      <w:pPr>
        <w:spacing w:after="160" w:line="259" w:lineRule="auto"/>
        <w:jc w:val="left"/>
        <w:rPr>
          <w:rFonts w:eastAsiaTheme="majorEastAsia" w:cstheme="majorBidi"/>
          <w:b/>
          <w:color w:val="000000" w:themeColor="text1"/>
          <w:sz w:val="32"/>
          <w:szCs w:val="32"/>
          <w:lang w:eastAsia="cs-CZ"/>
        </w:rPr>
      </w:pPr>
      <w:r w:rsidRPr="00033A3F">
        <w:rPr>
          <w:color w:val="000000" w:themeColor="text1"/>
          <w:lang w:eastAsia="cs-CZ"/>
        </w:rPr>
        <w:br w:type="page"/>
      </w:r>
    </w:p>
    <w:p w14:paraId="45BF9F08" w14:textId="29AAAA16" w:rsidR="008430BD" w:rsidRPr="00033A3F" w:rsidRDefault="008430BD" w:rsidP="005D25EA">
      <w:pPr>
        <w:pStyle w:val="Nadpis1"/>
        <w:tabs>
          <w:tab w:val="left" w:pos="3105"/>
        </w:tabs>
        <w:rPr>
          <w:color w:val="000000" w:themeColor="text1"/>
        </w:rPr>
      </w:pPr>
      <w:bookmarkStart w:id="2688" w:name="_Toc487791314"/>
      <w:bookmarkStart w:id="2689" w:name="_Toc106092832"/>
      <w:bookmarkStart w:id="2690" w:name="_Toc169250911"/>
      <w:bookmarkStart w:id="2691" w:name="_Toc193531072"/>
      <w:bookmarkStart w:id="2692" w:name="_Toc193957130"/>
      <w:bookmarkStart w:id="2693" w:name="_Toc203032819"/>
      <w:r w:rsidRPr="00033A3F">
        <w:rPr>
          <w:color w:val="000000" w:themeColor="text1"/>
        </w:rPr>
        <w:lastRenderedPageBreak/>
        <w:t>Seznam grafů</w:t>
      </w:r>
      <w:bookmarkEnd w:id="2688"/>
      <w:bookmarkEnd w:id="2689"/>
      <w:bookmarkEnd w:id="2690"/>
      <w:bookmarkEnd w:id="2691"/>
      <w:bookmarkEnd w:id="2692"/>
      <w:bookmarkEnd w:id="2693"/>
    </w:p>
    <w:p w14:paraId="52019436" w14:textId="19501CDC" w:rsidR="00163B51" w:rsidRDefault="00690AF6">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r w:rsidRPr="00033A3F">
        <w:rPr>
          <w:color w:val="000000" w:themeColor="text1"/>
        </w:rPr>
        <w:fldChar w:fldCharType="begin"/>
      </w:r>
      <w:r w:rsidRPr="00033A3F">
        <w:rPr>
          <w:color w:val="000000" w:themeColor="text1"/>
        </w:rPr>
        <w:instrText xml:space="preserve"> TOC \h \z \c "Graf" </w:instrText>
      </w:r>
      <w:r w:rsidRPr="00033A3F">
        <w:rPr>
          <w:color w:val="000000" w:themeColor="text1"/>
        </w:rPr>
        <w:fldChar w:fldCharType="separate"/>
      </w:r>
      <w:hyperlink w:anchor="_Toc203032828" w:history="1">
        <w:r w:rsidR="00163B51" w:rsidRPr="009535BD">
          <w:rPr>
            <w:rStyle w:val="Hypertextovodkaz"/>
            <w:noProof/>
          </w:rPr>
          <w:t>Graf 1: OS – počet soudců v roce 2024</w:t>
        </w:r>
        <w:r w:rsidR="00163B51">
          <w:rPr>
            <w:noProof/>
            <w:webHidden/>
          </w:rPr>
          <w:tab/>
        </w:r>
        <w:r w:rsidR="00163B51">
          <w:rPr>
            <w:noProof/>
            <w:webHidden/>
          </w:rPr>
          <w:fldChar w:fldCharType="begin"/>
        </w:r>
        <w:r w:rsidR="00163B51">
          <w:rPr>
            <w:noProof/>
            <w:webHidden/>
          </w:rPr>
          <w:instrText xml:space="preserve"> PAGEREF _Toc203032828 \h </w:instrText>
        </w:r>
        <w:r w:rsidR="00163B51">
          <w:rPr>
            <w:noProof/>
            <w:webHidden/>
          </w:rPr>
        </w:r>
        <w:r w:rsidR="00163B51">
          <w:rPr>
            <w:noProof/>
            <w:webHidden/>
          </w:rPr>
          <w:fldChar w:fldCharType="separate"/>
        </w:r>
        <w:r w:rsidR="00163B51">
          <w:rPr>
            <w:noProof/>
            <w:webHidden/>
          </w:rPr>
          <w:t>17</w:t>
        </w:r>
        <w:r w:rsidR="00163B51">
          <w:rPr>
            <w:noProof/>
            <w:webHidden/>
          </w:rPr>
          <w:fldChar w:fldCharType="end"/>
        </w:r>
      </w:hyperlink>
    </w:p>
    <w:p w14:paraId="219FBDDA" w14:textId="4407913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29" w:history="1">
        <w:r w:rsidR="00163B51" w:rsidRPr="009535BD">
          <w:rPr>
            <w:rStyle w:val="Hypertextovodkaz"/>
            <w:noProof/>
          </w:rPr>
          <w:t>Graf 2: OS – skutečný počet soudců dle úseků v roce 2024</w:t>
        </w:r>
        <w:r w:rsidR="00163B51">
          <w:rPr>
            <w:noProof/>
            <w:webHidden/>
          </w:rPr>
          <w:tab/>
        </w:r>
        <w:r w:rsidR="00163B51">
          <w:rPr>
            <w:noProof/>
            <w:webHidden/>
          </w:rPr>
          <w:fldChar w:fldCharType="begin"/>
        </w:r>
        <w:r w:rsidR="00163B51">
          <w:rPr>
            <w:noProof/>
            <w:webHidden/>
          </w:rPr>
          <w:instrText xml:space="preserve"> PAGEREF _Toc203032829 \h </w:instrText>
        </w:r>
        <w:r w:rsidR="00163B51">
          <w:rPr>
            <w:noProof/>
            <w:webHidden/>
          </w:rPr>
        </w:r>
        <w:r w:rsidR="00163B51">
          <w:rPr>
            <w:noProof/>
            <w:webHidden/>
          </w:rPr>
          <w:fldChar w:fldCharType="separate"/>
        </w:r>
        <w:r w:rsidR="00163B51">
          <w:rPr>
            <w:noProof/>
            <w:webHidden/>
          </w:rPr>
          <w:t>18</w:t>
        </w:r>
        <w:r w:rsidR="00163B51">
          <w:rPr>
            <w:noProof/>
            <w:webHidden/>
          </w:rPr>
          <w:fldChar w:fldCharType="end"/>
        </w:r>
      </w:hyperlink>
    </w:p>
    <w:p w14:paraId="08430CB2" w14:textId="4D4EEEB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0" w:history="1">
        <w:r w:rsidR="00163B51" w:rsidRPr="009535BD">
          <w:rPr>
            <w:rStyle w:val="Hypertextovodkaz"/>
            <w:noProof/>
          </w:rPr>
          <w:t>Graf 3: OS – skutečný počet soudců u jednotlivých soudů, 2024</w:t>
        </w:r>
        <w:r w:rsidR="00163B51">
          <w:rPr>
            <w:noProof/>
            <w:webHidden/>
          </w:rPr>
          <w:tab/>
        </w:r>
        <w:r w:rsidR="00163B51">
          <w:rPr>
            <w:noProof/>
            <w:webHidden/>
          </w:rPr>
          <w:fldChar w:fldCharType="begin"/>
        </w:r>
        <w:r w:rsidR="00163B51">
          <w:rPr>
            <w:noProof/>
            <w:webHidden/>
          </w:rPr>
          <w:instrText xml:space="preserve"> PAGEREF _Toc203032830 \h </w:instrText>
        </w:r>
        <w:r w:rsidR="00163B51">
          <w:rPr>
            <w:noProof/>
            <w:webHidden/>
          </w:rPr>
        </w:r>
        <w:r w:rsidR="00163B51">
          <w:rPr>
            <w:noProof/>
            <w:webHidden/>
          </w:rPr>
          <w:fldChar w:fldCharType="separate"/>
        </w:r>
        <w:r w:rsidR="00163B51">
          <w:rPr>
            <w:noProof/>
            <w:webHidden/>
          </w:rPr>
          <w:t>19</w:t>
        </w:r>
        <w:r w:rsidR="00163B51">
          <w:rPr>
            <w:noProof/>
            <w:webHidden/>
          </w:rPr>
          <w:fldChar w:fldCharType="end"/>
        </w:r>
      </w:hyperlink>
    </w:p>
    <w:p w14:paraId="0F4ABA7F" w14:textId="37D4295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1" w:history="1">
        <w:r w:rsidR="00163B51" w:rsidRPr="009535BD">
          <w:rPr>
            <w:rStyle w:val="Hypertextovodkaz"/>
            <w:noProof/>
          </w:rPr>
          <w:t>Graf 4: OS – skutečný počet soudců dle pohlaví v roce 2024</w:t>
        </w:r>
        <w:r w:rsidR="00163B51">
          <w:rPr>
            <w:noProof/>
            <w:webHidden/>
          </w:rPr>
          <w:tab/>
        </w:r>
        <w:r w:rsidR="00163B51">
          <w:rPr>
            <w:noProof/>
            <w:webHidden/>
          </w:rPr>
          <w:fldChar w:fldCharType="begin"/>
        </w:r>
        <w:r w:rsidR="00163B51">
          <w:rPr>
            <w:noProof/>
            <w:webHidden/>
          </w:rPr>
          <w:instrText xml:space="preserve"> PAGEREF _Toc203032831 \h </w:instrText>
        </w:r>
        <w:r w:rsidR="00163B51">
          <w:rPr>
            <w:noProof/>
            <w:webHidden/>
          </w:rPr>
        </w:r>
        <w:r w:rsidR="00163B51">
          <w:rPr>
            <w:noProof/>
            <w:webHidden/>
          </w:rPr>
          <w:fldChar w:fldCharType="separate"/>
        </w:r>
        <w:r w:rsidR="00163B51">
          <w:rPr>
            <w:noProof/>
            <w:webHidden/>
          </w:rPr>
          <w:t>20</w:t>
        </w:r>
        <w:r w:rsidR="00163B51">
          <w:rPr>
            <w:noProof/>
            <w:webHidden/>
          </w:rPr>
          <w:fldChar w:fldCharType="end"/>
        </w:r>
      </w:hyperlink>
    </w:p>
    <w:p w14:paraId="40E14598" w14:textId="449DC18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2" w:history="1">
        <w:r w:rsidR="00163B51" w:rsidRPr="009535BD">
          <w:rPr>
            <w:rStyle w:val="Hypertextovodkaz"/>
            <w:noProof/>
          </w:rPr>
          <w:t>Graf 5: OS – věková struktura soudců v letech 2008–2024</w:t>
        </w:r>
        <w:r w:rsidR="00163B51">
          <w:rPr>
            <w:noProof/>
            <w:webHidden/>
          </w:rPr>
          <w:tab/>
        </w:r>
        <w:r w:rsidR="00163B51">
          <w:rPr>
            <w:noProof/>
            <w:webHidden/>
          </w:rPr>
          <w:fldChar w:fldCharType="begin"/>
        </w:r>
        <w:r w:rsidR="00163B51">
          <w:rPr>
            <w:noProof/>
            <w:webHidden/>
          </w:rPr>
          <w:instrText xml:space="preserve"> PAGEREF _Toc203032832 \h </w:instrText>
        </w:r>
        <w:r w:rsidR="00163B51">
          <w:rPr>
            <w:noProof/>
            <w:webHidden/>
          </w:rPr>
        </w:r>
        <w:r w:rsidR="00163B51">
          <w:rPr>
            <w:noProof/>
            <w:webHidden/>
          </w:rPr>
          <w:fldChar w:fldCharType="separate"/>
        </w:r>
        <w:r w:rsidR="00163B51">
          <w:rPr>
            <w:noProof/>
            <w:webHidden/>
          </w:rPr>
          <w:t>21</w:t>
        </w:r>
        <w:r w:rsidR="00163B51">
          <w:rPr>
            <w:noProof/>
            <w:webHidden/>
          </w:rPr>
          <w:fldChar w:fldCharType="end"/>
        </w:r>
      </w:hyperlink>
    </w:p>
    <w:p w14:paraId="1D37BF8C" w14:textId="59E8837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3" w:history="1">
        <w:r w:rsidR="00163B51" w:rsidRPr="009535BD">
          <w:rPr>
            <w:rStyle w:val="Hypertextovodkaz"/>
            <w:noProof/>
          </w:rPr>
          <w:t>Graf 6: OS – věková struktura soudců dle nadřízených soudů v %, 2024</w:t>
        </w:r>
        <w:r w:rsidR="00163B51">
          <w:rPr>
            <w:noProof/>
            <w:webHidden/>
          </w:rPr>
          <w:tab/>
        </w:r>
        <w:r w:rsidR="00163B51">
          <w:rPr>
            <w:noProof/>
            <w:webHidden/>
          </w:rPr>
          <w:fldChar w:fldCharType="begin"/>
        </w:r>
        <w:r w:rsidR="00163B51">
          <w:rPr>
            <w:noProof/>
            <w:webHidden/>
          </w:rPr>
          <w:instrText xml:space="preserve"> PAGEREF _Toc203032833 \h </w:instrText>
        </w:r>
        <w:r w:rsidR="00163B51">
          <w:rPr>
            <w:noProof/>
            <w:webHidden/>
          </w:rPr>
        </w:r>
        <w:r w:rsidR="00163B51">
          <w:rPr>
            <w:noProof/>
            <w:webHidden/>
          </w:rPr>
          <w:fldChar w:fldCharType="separate"/>
        </w:r>
        <w:r w:rsidR="00163B51">
          <w:rPr>
            <w:noProof/>
            <w:webHidden/>
          </w:rPr>
          <w:t>22</w:t>
        </w:r>
        <w:r w:rsidR="00163B51">
          <w:rPr>
            <w:noProof/>
            <w:webHidden/>
          </w:rPr>
          <w:fldChar w:fldCharType="end"/>
        </w:r>
      </w:hyperlink>
    </w:p>
    <w:p w14:paraId="7EBC23D7" w14:textId="38E02FA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4" w:history="1">
        <w:r w:rsidR="00163B51" w:rsidRPr="009535BD">
          <w:rPr>
            <w:rStyle w:val="Hypertextovodkaz"/>
            <w:noProof/>
          </w:rPr>
          <w:t>Graf 7: OS – délka civilního řízení v letech 2014–2024</w:t>
        </w:r>
        <w:r w:rsidR="00163B51">
          <w:rPr>
            <w:noProof/>
            <w:webHidden/>
          </w:rPr>
          <w:tab/>
        </w:r>
        <w:r w:rsidR="00163B51">
          <w:rPr>
            <w:noProof/>
            <w:webHidden/>
          </w:rPr>
          <w:fldChar w:fldCharType="begin"/>
        </w:r>
        <w:r w:rsidR="00163B51">
          <w:rPr>
            <w:noProof/>
            <w:webHidden/>
          </w:rPr>
          <w:instrText xml:space="preserve"> PAGEREF _Toc203032834 \h </w:instrText>
        </w:r>
        <w:r w:rsidR="00163B51">
          <w:rPr>
            <w:noProof/>
            <w:webHidden/>
          </w:rPr>
        </w:r>
        <w:r w:rsidR="00163B51">
          <w:rPr>
            <w:noProof/>
            <w:webHidden/>
          </w:rPr>
          <w:fldChar w:fldCharType="separate"/>
        </w:r>
        <w:r w:rsidR="00163B51">
          <w:rPr>
            <w:noProof/>
            <w:webHidden/>
          </w:rPr>
          <w:t>27</w:t>
        </w:r>
        <w:r w:rsidR="00163B51">
          <w:rPr>
            <w:noProof/>
            <w:webHidden/>
          </w:rPr>
          <w:fldChar w:fldCharType="end"/>
        </w:r>
      </w:hyperlink>
    </w:p>
    <w:p w14:paraId="12B7E1F9" w14:textId="634539F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5" w:history="1">
        <w:r w:rsidR="00163B51" w:rsidRPr="009535BD">
          <w:rPr>
            <w:rStyle w:val="Hypertextovodkaz"/>
            <w:noProof/>
          </w:rPr>
          <w:t>Graf 8: OS – mediánové délky civilního řízení u jednotlivých soudů, 2024</w:t>
        </w:r>
        <w:r w:rsidR="00163B51">
          <w:rPr>
            <w:noProof/>
            <w:webHidden/>
          </w:rPr>
          <w:tab/>
        </w:r>
        <w:r w:rsidR="00163B51">
          <w:rPr>
            <w:noProof/>
            <w:webHidden/>
          </w:rPr>
          <w:fldChar w:fldCharType="begin"/>
        </w:r>
        <w:r w:rsidR="00163B51">
          <w:rPr>
            <w:noProof/>
            <w:webHidden/>
          </w:rPr>
          <w:instrText xml:space="preserve"> PAGEREF _Toc203032835 \h </w:instrText>
        </w:r>
        <w:r w:rsidR="00163B51">
          <w:rPr>
            <w:noProof/>
            <w:webHidden/>
          </w:rPr>
        </w:r>
        <w:r w:rsidR="00163B51">
          <w:rPr>
            <w:noProof/>
            <w:webHidden/>
          </w:rPr>
          <w:fldChar w:fldCharType="separate"/>
        </w:r>
        <w:r w:rsidR="00163B51">
          <w:rPr>
            <w:noProof/>
            <w:webHidden/>
          </w:rPr>
          <w:t>28</w:t>
        </w:r>
        <w:r w:rsidR="00163B51">
          <w:rPr>
            <w:noProof/>
            <w:webHidden/>
          </w:rPr>
          <w:fldChar w:fldCharType="end"/>
        </w:r>
      </w:hyperlink>
    </w:p>
    <w:p w14:paraId="3364D278" w14:textId="55E9F0A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6" w:history="1">
        <w:r w:rsidR="00163B51" w:rsidRPr="009535BD">
          <w:rPr>
            <w:rStyle w:val="Hypertextovodkaz"/>
            <w:noProof/>
          </w:rPr>
          <w:t>Graf 9: OS – krabicové grafy, mediánové délky civilního řízení, 2024</w:t>
        </w:r>
        <w:r w:rsidR="00163B51">
          <w:rPr>
            <w:noProof/>
            <w:webHidden/>
          </w:rPr>
          <w:tab/>
        </w:r>
        <w:r w:rsidR="00163B51">
          <w:rPr>
            <w:noProof/>
            <w:webHidden/>
          </w:rPr>
          <w:fldChar w:fldCharType="begin"/>
        </w:r>
        <w:r w:rsidR="00163B51">
          <w:rPr>
            <w:noProof/>
            <w:webHidden/>
          </w:rPr>
          <w:instrText xml:space="preserve"> PAGEREF _Toc203032836 \h </w:instrText>
        </w:r>
        <w:r w:rsidR="00163B51">
          <w:rPr>
            <w:noProof/>
            <w:webHidden/>
          </w:rPr>
        </w:r>
        <w:r w:rsidR="00163B51">
          <w:rPr>
            <w:noProof/>
            <w:webHidden/>
          </w:rPr>
          <w:fldChar w:fldCharType="separate"/>
        </w:r>
        <w:r w:rsidR="00163B51">
          <w:rPr>
            <w:noProof/>
            <w:webHidden/>
          </w:rPr>
          <w:t>29</w:t>
        </w:r>
        <w:r w:rsidR="00163B51">
          <w:rPr>
            <w:noProof/>
            <w:webHidden/>
          </w:rPr>
          <w:fldChar w:fldCharType="end"/>
        </w:r>
      </w:hyperlink>
    </w:p>
    <w:p w14:paraId="3DEB043C" w14:textId="0D32007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7" w:history="1">
        <w:r w:rsidR="00163B51" w:rsidRPr="009535BD">
          <w:rPr>
            <w:rStyle w:val="Hypertextovodkaz"/>
            <w:noProof/>
          </w:rPr>
          <w:t>Graf 10: OS – distribuce délek civilního řízení</w:t>
        </w:r>
        <w:r w:rsidR="00163B51">
          <w:rPr>
            <w:noProof/>
            <w:webHidden/>
          </w:rPr>
          <w:tab/>
        </w:r>
        <w:r w:rsidR="00163B51">
          <w:rPr>
            <w:noProof/>
            <w:webHidden/>
          </w:rPr>
          <w:fldChar w:fldCharType="begin"/>
        </w:r>
        <w:r w:rsidR="00163B51">
          <w:rPr>
            <w:noProof/>
            <w:webHidden/>
          </w:rPr>
          <w:instrText xml:space="preserve"> PAGEREF _Toc203032837 \h </w:instrText>
        </w:r>
        <w:r w:rsidR="00163B51">
          <w:rPr>
            <w:noProof/>
            <w:webHidden/>
          </w:rPr>
        </w:r>
        <w:r w:rsidR="00163B51">
          <w:rPr>
            <w:noProof/>
            <w:webHidden/>
          </w:rPr>
          <w:fldChar w:fldCharType="separate"/>
        </w:r>
        <w:r w:rsidR="00163B51">
          <w:rPr>
            <w:noProof/>
            <w:webHidden/>
          </w:rPr>
          <w:t>30</w:t>
        </w:r>
        <w:r w:rsidR="00163B51">
          <w:rPr>
            <w:noProof/>
            <w:webHidden/>
          </w:rPr>
          <w:fldChar w:fldCharType="end"/>
        </w:r>
      </w:hyperlink>
    </w:p>
    <w:p w14:paraId="7C0E45F0" w14:textId="5ACF38C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8" w:history="1">
        <w:r w:rsidR="00163B51" w:rsidRPr="009535BD">
          <w:rPr>
            <w:rStyle w:val="Hypertextovodkaz"/>
            <w:noProof/>
          </w:rPr>
          <w:t>Graf 11: OS – vyřizování civilních věcí v letech 2015–2024</w:t>
        </w:r>
        <w:r w:rsidR="00163B51">
          <w:rPr>
            <w:noProof/>
            <w:webHidden/>
          </w:rPr>
          <w:tab/>
        </w:r>
        <w:r w:rsidR="00163B51">
          <w:rPr>
            <w:noProof/>
            <w:webHidden/>
          </w:rPr>
          <w:fldChar w:fldCharType="begin"/>
        </w:r>
        <w:r w:rsidR="00163B51">
          <w:rPr>
            <w:noProof/>
            <w:webHidden/>
          </w:rPr>
          <w:instrText xml:space="preserve"> PAGEREF _Toc203032838 \h </w:instrText>
        </w:r>
        <w:r w:rsidR="00163B51">
          <w:rPr>
            <w:noProof/>
            <w:webHidden/>
          </w:rPr>
        </w:r>
        <w:r w:rsidR="00163B51">
          <w:rPr>
            <w:noProof/>
            <w:webHidden/>
          </w:rPr>
          <w:fldChar w:fldCharType="separate"/>
        </w:r>
        <w:r w:rsidR="00163B51">
          <w:rPr>
            <w:noProof/>
            <w:webHidden/>
          </w:rPr>
          <w:t>31</w:t>
        </w:r>
        <w:r w:rsidR="00163B51">
          <w:rPr>
            <w:noProof/>
            <w:webHidden/>
          </w:rPr>
          <w:fldChar w:fldCharType="end"/>
        </w:r>
      </w:hyperlink>
    </w:p>
    <w:p w14:paraId="4A9E07B7" w14:textId="2BBA000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9" w:history="1">
        <w:r w:rsidR="00163B51" w:rsidRPr="009535BD">
          <w:rPr>
            <w:rStyle w:val="Hypertextovodkaz"/>
            <w:noProof/>
          </w:rPr>
          <w:t>Graf 12: OS – počet nevyř. civilních věcí na úvazek u jednotlivých soudů, 2024</w:t>
        </w:r>
        <w:r w:rsidR="00163B51">
          <w:rPr>
            <w:noProof/>
            <w:webHidden/>
          </w:rPr>
          <w:tab/>
        </w:r>
        <w:r w:rsidR="00163B51">
          <w:rPr>
            <w:noProof/>
            <w:webHidden/>
          </w:rPr>
          <w:fldChar w:fldCharType="begin"/>
        </w:r>
        <w:r w:rsidR="00163B51">
          <w:rPr>
            <w:noProof/>
            <w:webHidden/>
          </w:rPr>
          <w:instrText xml:space="preserve"> PAGEREF _Toc203032839 \h </w:instrText>
        </w:r>
        <w:r w:rsidR="00163B51">
          <w:rPr>
            <w:noProof/>
            <w:webHidden/>
          </w:rPr>
        </w:r>
        <w:r w:rsidR="00163B51">
          <w:rPr>
            <w:noProof/>
            <w:webHidden/>
          </w:rPr>
          <w:fldChar w:fldCharType="separate"/>
        </w:r>
        <w:r w:rsidR="00163B51">
          <w:rPr>
            <w:noProof/>
            <w:webHidden/>
          </w:rPr>
          <w:t>33</w:t>
        </w:r>
        <w:r w:rsidR="00163B51">
          <w:rPr>
            <w:noProof/>
            <w:webHidden/>
          </w:rPr>
          <w:fldChar w:fldCharType="end"/>
        </w:r>
      </w:hyperlink>
    </w:p>
    <w:p w14:paraId="2B9AD751" w14:textId="0028BC6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0" w:history="1">
        <w:r w:rsidR="00163B51" w:rsidRPr="009535BD">
          <w:rPr>
            <w:rStyle w:val="Hypertextovodkaz"/>
            <w:noProof/>
          </w:rPr>
          <w:t>Graf 13: OS – disposition time civilního řízení v letech 2015–2024</w:t>
        </w:r>
        <w:r w:rsidR="00163B51">
          <w:rPr>
            <w:noProof/>
            <w:webHidden/>
          </w:rPr>
          <w:tab/>
        </w:r>
        <w:r w:rsidR="00163B51">
          <w:rPr>
            <w:noProof/>
            <w:webHidden/>
          </w:rPr>
          <w:fldChar w:fldCharType="begin"/>
        </w:r>
        <w:r w:rsidR="00163B51">
          <w:rPr>
            <w:noProof/>
            <w:webHidden/>
          </w:rPr>
          <w:instrText xml:space="preserve"> PAGEREF _Toc203032840 \h </w:instrText>
        </w:r>
        <w:r w:rsidR="00163B51">
          <w:rPr>
            <w:noProof/>
            <w:webHidden/>
          </w:rPr>
        </w:r>
        <w:r w:rsidR="00163B51">
          <w:rPr>
            <w:noProof/>
            <w:webHidden/>
          </w:rPr>
          <w:fldChar w:fldCharType="separate"/>
        </w:r>
        <w:r w:rsidR="00163B51">
          <w:rPr>
            <w:noProof/>
            <w:webHidden/>
          </w:rPr>
          <w:t>35</w:t>
        </w:r>
        <w:r w:rsidR="00163B51">
          <w:rPr>
            <w:noProof/>
            <w:webHidden/>
          </w:rPr>
          <w:fldChar w:fldCharType="end"/>
        </w:r>
      </w:hyperlink>
    </w:p>
    <w:p w14:paraId="6E42FE1D" w14:textId="48A13E8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1" w:history="1">
        <w:r w:rsidR="00163B51" w:rsidRPr="009535BD">
          <w:rPr>
            <w:rStyle w:val="Hypertextovodkaz"/>
            <w:noProof/>
          </w:rPr>
          <w:t>Graf 14: OS – disposition time civilního řízení u jednotlivých soudů, 2024</w:t>
        </w:r>
        <w:r w:rsidR="00163B51">
          <w:rPr>
            <w:noProof/>
            <w:webHidden/>
          </w:rPr>
          <w:tab/>
        </w:r>
        <w:r w:rsidR="00163B51">
          <w:rPr>
            <w:noProof/>
            <w:webHidden/>
          </w:rPr>
          <w:fldChar w:fldCharType="begin"/>
        </w:r>
        <w:r w:rsidR="00163B51">
          <w:rPr>
            <w:noProof/>
            <w:webHidden/>
          </w:rPr>
          <w:instrText xml:space="preserve"> PAGEREF _Toc203032841 \h </w:instrText>
        </w:r>
        <w:r w:rsidR="00163B51">
          <w:rPr>
            <w:noProof/>
            <w:webHidden/>
          </w:rPr>
        </w:r>
        <w:r w:rsidR="00163B51">
          <w:rPr>
            <w:noProof/>
            <w:webHidden/>
          </w:rPr>
          <w:fldChar w:fldCharType="separate"/>
        </w:r>
        <w:r w:rsidR="00163B51">
          <w:rPr>
            <w:noProof/>
            <w:webHidden/>
          </w:rPr>
          <w:t>36</w:t>
        </w:r>
        <w:r w:rsidR="00163B51">
          <w:rPr>
            <w:noProof/>
            <w:webHidden/>
          </w:rPr>
          <w:fldChar w:fldCharType="end"/>
        </w:r>
      </w:hyperlink>
    </w:p>
    <w:p w14:paraId="1B1B8783" w14:textId="4592165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2" w:history="1">
        <w:r w:rsidR="00163B51" w:rsidRPr="009535BD">
          <w:rPr>
            <w:rStyle w:val="Hypertextovodkaz"/>
            <w:noProof/>
          </w:rPr>
          <w:t>Graf 15: OS – krabicové grafy, DT civilního řízením v letech 2014-2024</w:t>
        </w:r>
        <w:r w:rsidR="00163B51">
          <w:rPr>
            <w:noProof/>
            <w:webHidden/>
          </w:rPr>
          <w:tab/>
        </w:r>
        <w:r w:rsidR="00163B51">
          <w:rPr>
            <w:noProof/>
            <w:webHidden/>
          </w:rPr>
          <w:fldChar w:fldCharType="begin"/>
        </w:r>
        <w:r w:rsidR="00163B51">
          <w:rPr>
            <w:noProof/>
            <w:webHidden/>
          </w:rPr>
          <w:instrText xml:space="preserve"> PAGEREF _Toc203032842 \h </w:instrText>
        </w:r>
        <w:r w:rsidR="00163B51">
          <w:rPr>
            <w:noProof/>
            <w:webHidden/>
          </w:rPr>
        </w:r>
        <w:r w:rsidR="00163B51">
          <w:rPr>
            <w:noProof/>
            <w:webHidden/>
          </w:rPr>
          <w:fldChar w:fldCharType="separate"/>
        </w:r>
        <w:r w:rsidR="00163B51">
          <w:rPr>
            <w:noProof/>
            <w:webHidden/>
          </w:rPr>
          <w:t>36</w:t>
        </w:r>
        <w:r w:rsidR="00163B51">
          <w:rPr>
            <w:noProof/>
            <w:webHidden/>
          </w:rPr>
          <w:fldChar w:fldCharType="end"/>
        </w:r>
      </w:hyperlink>
    </w:p>
    <w:p w14:paraId="0A2A7280" w14:textId="2F4557F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3" w:history="1">
        <w:r w:rsidR="00163B51" w:rsidRPr="009535BD">
          <w:rPr>
            <w:rStyle w:val="Hypertextovodkaz"/>
            <w:noProof/>
          </w:rPr>
          <w:t>Graf 16: OS – míra odvolání u jednotlivých soudů v civilním řízení, 2024</w:t>
        </w:r>
        <w:r w:rsidR="00163B51">
          <w:rPr>
            <w:noProof/>
            <w:webHidden/>
          </w:rPr>
          <w:tab/>
        </w:r>
        <w:r w:rsidR="00163B51">
          <w:rPr>
            <w:noProof/>
            <w:webHidden/>
          </w:rPr>
          <w:fldChar w:fldCharType="begin"/>
        </w:r>
        <w:r w:rsidR="00163B51">
          <w:rPr>
            <w:noProof/>
            <w:webHidden/>
          </w:rPr>
          <w:instrText xml:space="preserve"> PAGEREF _Toc203032843 \h </w:instrText>
        </w:r>
        <w:r w:rsidR="00163B51">
          <w:rPr>
            <w:noProof/>
            <w:webHidden/>
          </w:rPr>
        </w:r>
        <w:r w:rsidR="00163B51">
          <w:rPr>
            <w:noProof/>
            <w:webHidden/>
          </w:rPr>
          <w:fldChar w:fldCharType="separate"/>
        </w:r>
        <w:r w:rsidR="00163B51">
          <w:rPr>
            <w:noProof/>
            <w:webHidden/>
          </w:rPr>
          <w:t>38</w:t>
        </w:r>
        <w:r w:rsidR="00163B51">
          <w:rPr>
            <w:noProof/>
            <w:webHidden/>
          </w:rPr>
          <w:fldChar w:fldCharType="end"/>
        </w:r>
      </w:hyperlink>
    </w:p>
    <w:p w14:paraId="19775E09" w14:textId="05007505"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4" w:history="1">
        <w:r w:rsidR="00163B51" w:rsidRPr="009535BD">
          <w:rPr>
            <w:rStyle w:val="Hypertextovodkaz"/>
            <w:noProof/>
          </w:rPr>
          <w:t>Graf 17: OS – míra změny rozsudku u jednotlivých soudů v civilním řízení</w:t>
        </w:r>
        <w:r w:rsidR="00163B51">
          <w:rPr>
            <w:noProof/>
            <w:webHidden/>
          </w:rPr>
          <w:tab/>
        </w:r>
        <w:r w:rsidR="00163B51">
          <w:rPr>
            <w:noProof/>
            <w:webHidden/>
          </w:rPr>
          <w:fldChar w:fldCharType="begin"/>
        </w:r>
        <w:r w:rsidR="00163B51">
          <w:rPr>
            <w:noProof/>
            <w:webHidden/>
          </w:rPr>
          <w:instrText xml:space="preserve"> PAGEREF _Toc203032844 \h </w:instrText>
        </w:r>
        <w:r w:rsidR="00163B51">
          <w:rPr>
            <w:noProof/>
            <w:webHidden/>
          </w:rPr>
        </w:r>
        <w:r w:rsidR="00163B51">
          <w:rPr>
            <w:noProof/>
            <w:webHidden/>
          </w:rPr>
          <w:fldChar w:fldCharType="separate"/>
        </w:r>
        <w:r w:rsidR="00163B51">
          <w:rPr>
            <w:noProof/>
            <w:webHidden/>
          </w:rPr>
          <w:t>39</w:t>
        </w:r>
        <w:r w:rsidR="00163B51">
          <w:rPr>
            <w:noProof/>
            <w:webHidden/>
          </w:rPr>
          <w:fldChar w:fldCharType="end"/>
        </w:r>
      </w:hyperlink>
    </w:p>
    <w:p w14:paraId="135F4854" w14:textId="2A0C4EA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5" w:history="1">
        <w:r w:rsidR="00163B51" w:rsidRPr="009535BD">
          <w:rPr>
            <w:rStyle w:val="Hypertextovodkaz"/>
            <w:noProof/>
          </w:rPr>
          <w:t>Graf 18: OS – návrhy na rozvod za roky 1967 až 2024</w:t>
        </w:r>
        <w:r w:rsidR="00163B51">
          <w:rPr>
            <w:noProof/>
            <w:webHidden/>
          </w:rPr>
          <w:tab/>
        </w:r>
        <w:r w:rsidR="00163B51">
          <w:rPr>
            <w:noProof/>
            <w:webHidden/>
          </w:rPr>
          <w:fldChar w:fldCharType="begin"/>
        </w:r>
        <w:r w:rsidR="00163B51">
          <w:rPr>
            <w:noProof/>
            <w:webHidden/>
          </w:rPr>
          <w:instrText xml:space="preserve"> PAGEREF _Toc203032845 \h </w:instrText>
        </w:r>
        <w:r w:rsidR="00163B51">
          <w:rPr>
            <w:noProof/>
            <w:webHidden/>
          </w:rPr>
        </w:r>
        <w:r w:rsidR="00163B51">
          <w:rPr>
            <w:noProof/>
            <w:webHidden/>
          </w:rPr>
          <w:fldChar w:fldCharType="separate"/>
        </w:r>
        <w:r w:rsidR="00163B51">
          <w:rPr>
            <w:noProof/>
            <w:webHidden/>
          </w:rPr>
          <w:t>40</w:t>
        </w:r>
        <w:r w:rsidR="00163B51">
          <w:rPr>
            <w:noProof/>
            <w:webHidden/>
          </w:rPr>
          <w:fldChar w:fldCharType="end"/>
        </w:r>
      </w:hyperlink>
    </w:p>
    <w:p w14:paraId="496675D0" w14:textId="2F0652C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6" w:history="1">
        <w:r w:rsidR="00163B51" w:rsidRPr="009535BD">
          <w:rPr>
            <w:rStyle w:val="Hypertextovodkaz"/>
            <w:noProof/>
          </w:rPr>
          <w:t>Graf 19: OS – podíl rozvedených manželství s dětmi, 1967 až 2024</w:t>
        </w:r>
        <w:r w:rsidR="00163B51">
          <w:rPr>
            <w:noProof/>
            <w:webHidden/>
          </w:rPr>
          <w:tab/>
        </w:r>
        <w:r w:rsidR="00163B51">
          <w:rPr>
            <w:noProof/>
            <w:webHidden/>
          </w:rPr>
          <w:fldChar w:fldCharType="begin"/>
        </w:r>
        <w:r w:rsidR="00163B51">
          <w:rPr>
            <w:noProof/>
            <w:webHidden/>
          </w:rPr>
          <w:instrText xml:space="preserve"> PAGEREF _Toc203032846 \h </w:instrText>
        </w:r>
        <w:r w:rsidR="00163B51">
          <w:rPr>
            <w:noProof/>
            <w:webHidden/>
          </w:rPr>
        </w:r>
        <w:r w:rsidR="00163B51">
          <w:rPr>
            <w:noProof/>
            <w:webHidden/>
          </w:rPr>
          <w:fldChar w:fldCharType="separate"/>
        </w:r>
        <w:r w:rsidR="00163B51">
          <w:rPr>
            <w:noProof/>
            <w:webHidden/>
          </w:rPr>
          <w:t>41</w:t>
        </w:r>
        <w:r w:rsidR="00163B51">
          <w:rPr>
            <w:noProof/>
            <w:webHidden/>
          </w:rPr>
          <w:fldChar w:fldCharType="end"/>
        </w:r>
      </w:hyperlink>
    </w:p>
    <w:p w14:paraId="7AC28859" w14:textId="32E0619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7" w:history="1">
        <w:r w:rsidR="00163B51" w:rsidRPr="009535BD">
          <w:rPr>
            <w:rStyle w:val="Hypertextovodkaz"/>
            <w:noProof/>
          </w:rPr>
          <w:t>Graf 20: OS – délka civilního el. rozkazního řízení v letech 2015–2024</w:t>
        </w:r>
        <w:r w:rsidR="00163B51">
          <w:rPr>
            <w:noProof/>
            <w:webHidden/>
          </w:rPr>
          <w:tab/>
        </w:r>
        <w:r w:rsidR="00163B51">
          <w:rPr>
            <w:noProof/>
            <w:webHidden/>
          </w:rPr>
          <w:fldChar w:fldCharType="begin"/>
        </w:r>
        <w:r w:rsidR="00163B51">
          <w:rPr>
            <w:noProof/>
            <w:webHidden/>
          </w:rPr>
          <w:instrText xml:space="preserve"> PAGEREF _Toc203032847 \h </w:instrText>
        </w:r>
        <w:r w:rsidR="00163B51">
          <w:rPr>
            <w:noProof/>
            <w:webHidden/>
          </w:rPr>
        </w:r>
        <w:r w:rsidR="00163B51">
          <w:rPr>
            <w:noProof/>
            <w:webHidden/>
          </w:rPr>
          <w:fldChar w:fldCharType="separate"/>
        </w:r>
        <w:r w:rsidR="00163B51">
          <w:rPr>
            <w:noProof/>
            <w:webHidden/>
          </w:rPr>
          <w:t>42</w:t>
        </w:r>
        <w:r w:rsidR="00163B51">
          <w:rPr>
            <w:noProof/>
            <w:webHidden/>
          </w:rPr>
          <w:fldChar w:fldCharType="end"/>
        </w:r>
      </w:hyperlink>
    </w:p>
    <w:p w14:paraId="13F5ABBB" w14:textId="414F2EC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8" w:history="1">
        <w:r w:rsidR="00163B51" w:rsidRPr="009535BD">
          <w:rPr>
            <w:rStyle w:val="Hypertextovodkaz"/>
            <w:noProof/>
          </w:rPr>
          <w:t>Graf 21: OS – vyřizování věcí v rejstříku EPR v letech 2015–2024</w:t>
        </w:r>
        <w:r w:rsidR="00163B51">
          <w:rPr>
            <w:noProof/>
            <w:webHidden/>
          </w:rPr>
          <w:tab/>
        </w:r>
        <w:r w:rsidR="00163B51">
          <w:rPr>
            <w:noProof/>
            <w:webHidden/>
          </w:rPr>
          <w:fldChar w:fldCharType="begin"/>
        </w:r>
        <w:r w:rsidR="00163B51">
          <w:rPr>
            <w:noProof/>
            <w:webHidden/>
          </w:rPr>
          <w:instrText xml:space="preserve"> PAGEREF _Toc203032848 \h </w:instrText>
        </w:r>
        <w:r w:rsidR="00163B51">
          <w:rPr>
            <w:noProof/>
            <w:webHidden/>
          </w:rPr>
        </w:r>
        <w:r w:rsidR="00163B51">
          <w:rPr>
            <w:noProof/>
            <w:webHidden/>
          </w:rPr>
          <w:fldChar w:fldCharType="separate"/>
        </w:r>
        <w:r w:rsidR="00163B51">
          <w:rPr>
            <w:noProof/>
            <w:webHidden/>
          </w:rPr>
          <w:t>44</w:t>
        </w:r>
        <w:r w:rsidR="00163B51">
          <w:rPr>
            <w:noProof/>
            <w:webHidden/>
          </w:rPr>
          <w:fldChar w:fldCharType="end"/>
        </w:r>
      </w:hyperlink>
    </w:p>
    <w:p w14:paraId="52C9DFE7" w14:textId="63FEDF8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9" w:history="1">
        <w:r w:rsidR="00163B51" w:rsidRPr="009535BD">
          <w:rPr>
            <w:rStyle w:val="Hypertextovodkaz"/>
            <w:noProof/>
          </w:rPr>
          <w:t>Graf 22: OS – převedeno z rejstříku EPR v letech 2015–2024</w:t>
        </w:r>
        <w:r w:rsidR="00163B51">
          <w:rPr>
            <w:noProof/>
            <w:webHidden/>
          </w:rPr>
          <w:tab/>
        </w:r>
        <w:r w:rsidR="00163B51">
          <w:rPr>
            <w:noProof/>
            <w:webHidden/>
          </w:rPr>
          <w:fldChar w:fldCharType="begin"/>
        </w:r>
        <w:r w:rsidR="00163B51">
          <w:rPr>
            <w:noProof/>
            <w:webHidden/>
          </w:rPr>
          <w:instrText xml:space="preserve"> PAGEREF _Toc203032849 \h </w:instrText>
        </w:r>
        <w:r w:rsidR="00163B51">
          <w:rPr>
            <w:noProof/>
            <w:webHidden/>
          </w:rPr>
        </w:r>
        <w:r w:rsidR="00163B51">
          <w:rPr>
            <w:noProof/>
            <w:webHidden/>
          </w:rPr>
          <w:fldChar w:fldCharType="separate"/>
        </w:r>
        <w:r w:rsidR="00163B51">
          <w:rPr>
            <w:noProof/>
            <w:webHidden/>
          </w:rPr>
          <w:t>45</w:t>
        </w:r>
        <w:r w:rsidR="00163B51">
          <w:rPr>
            <w:noProof/>
            <w:webHidden/>
          </w:rPr>
          <w:fldChar w:fldCharType="end"/>
        </w:r>
      </w:hyperlink>
    </w:p>
    <w:p w14:paraId="259F78E3" w14:textId="044D5ED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0" w:history="1">
        <w:r w:rsidR="00163B51" w:rsidRPr="009535BD">
          <w:rPr>
            <w:rStyle w:val="Hypertextovodkaz"/>
            <w:noProof/>
          </w:rPr>
          <w:t>Graf 23: OS – délka trestního řízení v letech 2015–2024</w:t>
        </w:r>
        <w:r w:rsidR="00163B51">
          <w:rPr>
            <w:noProof/>
            <w:webHidden/>
          </w:rPr>
          <w:tab/>
        </w:r>
        <w:r w:rsidR="00163B51">
          <w:rPr>
            <w:noProof/>
            <w:webHidden/>
          </w:rPr>
          <w:fldChar w:fldCharType="begin"/>
        </w:r>
        <w:r w:rsidR="00163B51">
          <w:rPr>
            <w:noProof/>
            <w:webHidden/>
          </w:rPr>
          <w:instrText xml:space="preserve"> PAGEREF _Toc203032850 \h </w:instrText>
        </w:r>
        <w:r w:rsidR="00163B51">
          <w:rPr>
            <w:noProof/>
            <w:webHidden/>
          </w:rPr>
        </w:r>
        <w:r w:rsidR="00163B51">
          <w:rPr>
            <w:noProof/>
            <w:webHidden/>
          </w:rPr>
          <w:fldChar w:fldCharType="separate"/>
        </w:r>
        <w:r w:rsidR="00163B51">
          <w:rPr>
            <w:noProof/>
            <w:webHidden/>
          </w:rPr>
          <w:t>47</w:t>
        </w:r>
        <w:r w:rsidR="00163B51">
          <w:rPr>
            <w:noProof/>
            <w:webHidden/>
          </w:rPr>
          <w:fldChar w:fldCharType="end"/>
        </w:r>
      </w:hyperlink>
    </w:p>
    <w:p w14:paraId="71ED5961" w14:textId="6ECE9E5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1" w:history="1">
        <w:r w:rsidR="00163B51" w:rsidRPr="009535BD">
          <w:rPr>
            <w:rStyle w:val="Hypertextovodkaz"/>
            <w:noProof/>
          </w:rPr>
          <w:t>Graf 24: OS – mediánové délky trestního řízení u jednotlivých soudů, 2024</w:t>
        </w:r>
        <w:r w:rsidR="00163B51">
          <w:rPr>
            <w:noProof/>
            <w:webHidden/>
          </w:rPr>
          <w:tab/>
        </w:r>
        <w:r w:rsidR="00163B51">
          <w:rPr>
            <w:noProof/>
            <w:webHidden/>
          </w:rPr>
          <w:fldChar w:fldCharType="begin"/>
        </w:r>
        <w:r w:rsidR="00163B51">
          <w:rPr>
            <w:noProof/>
            <w:webHidden/>
          </w:rPr>
          <w:instrText xml:space="preserve"> PAGEREF _Toc203032851 \h </w:instrText>
        </w:r>
        <w:r w:rsidR="00163B51">
          <w:rPr>
            <w:noProof/>
            <w:webHidden/>
          </w:rPr>
        </w:r>
        <w:r w:rsidR="00163B51">
          <w:rPr>
            <w:noProof/>
            <w:webHidden/>
          </w:rPr>
          <w:fldChar w:fldCharType="separate"/>
        </w:r>
        <w:r w:rsidR="00163B51">
          <w:rPr>
            <w:noProof/>
            <w:webHidden/>
          </w:rPr>
          <w:t>49</w:t>
        </w:r>
        <w:r w:rsidR="00163B51">
          <w:rPr>
            <w:noProof/>
            <w:webHidden/>
          </w:rPr>
          <w:fldChar w:fldCharType="end"/>
        </w:r>
      </w:hyperlink>
    </w:p>
    <w:p w14:paraId="398AD1EE" w14:textId="007449E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2" w:history="1">
        <w:r w:rsidR="00163B51" w:rsidRPr="009535BD">
          <w:rPr>
            <w:rStyle w:val="Hypertextovodkaz"/>
            <w:noProof/>
          </w:rPr>
          <w:t>Graf 25: OS – krabicové grafy, mediánové délky trestního řízení</w:t>
        </w:r>
        <w:r w:rsidR="00163B51">
          <w:rPr>
            <w:noProof/>
            <w:webHidden/>
          </w:rPr>
          <w:tab/>
        </w:r>
        <w:r w:rsidR="00163B51">
          <w:rPr>
            <w:noProof/>
            <w:webHidden/>
          </w:rPr>
          <w:fldChar w:fldCharType="begin"/>
        </w:r>
        <w:r w:rsidR="00163B51">
          <w:rPr>
            <w:noProof/>
            <w:webHidden/>
          </w:rPr>
          <w:instrText xml:space="preserve"> PAGEREF _Toc203032852 \h </w:instrText>
        </w:r>
        <w:r w:rsidR="00163B51">
          <w:rPr>
            <w:noProof/>
            <w:webHidden/>
          </w:rPr>
        </w:r>
        <w:r w:rsidR="00163B51">
          <w:rPr>
            <w:noProof/>
            <w:webHidden/>
          </w:rPr>
          <w:fldChar w:fldCharType="separate"/>
        </w:r>
        <w:r w:rsidR="00163B51">
          <w:rPr>
            <w:noProof/>
            <w:webHidden/>
          </w:rPr>
          <w:t>49</w:t>
        </w:r>
        <w:r w:rsidR="00163B51">
          <w:rPr>
            <w:noProof/>
            <w:webHidden/>
          </w:rPr>
          <w:fldChar w:fldCharType="end"/>
        </w:r>
      </w:hyperlink>
    </w:p>
    <w:p w14:paraId="1DA45C53" w14:textId="09CC648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3" w:history="1">
        <w:r w:rsidR="00163B51" w:rsidRPr="009535BD">
          <w:rPr>
            <w:rStyle w:val="Hypertextovodkaz"/>
            <w:noProof/>
          </w:rPr>
          <w:t>Graf 26: OS – distribuce délek trestního řízení, 2024</w:t>
        </w:r>
        <w:r w:rsidR="00163B51">
          <w:rPr>
            <w:noProof/>
            <w:webHidden/>
          </w:rPr>
          <w:tab/>
        </w:r>
        <w:r w:rsidR="00163B51">
          <w:rPr>
            <w:noProof/>
            <w:webHidden/>
          </w:rPr>
          <w:fldChar w:fldCharType="begin"/>
        </w:r>
        <w:r w:rsidR="00163B51">
          <w:rPr>
            <w:noProof/>
            <w:webHidden/>
          </w:rPr>
          <w:instrText xml:space="preserve"> PAGEREF _Toc203032853 \h </w:instrText>
        </w:r>
        <w:r w:rsidR="00163B51">
          <w:rPr>
            <w:noProof/>
            <w:webHidden/>
          </w:rPr>
        </w:r>
        <w:r w:rsidR="00163B51">
          <w:rPr>
            <w:noProof/>
            <w:webHidden/>
          </w:rPr>
          <w:fldChar w:fldCharType="separate"/>
        </w:r>
        <w:r w:rsidR="00163B51">
          <w:rPr>
            <w:noProof/>
            <w:webHidden/>
          </w:rPr>
          <w:t>50</w:t>
        </w:r>
        <w:r w:rsidR="00163B51">
          <w:rPr>
            <w:noProof/>
            <w:webHidden/>
          </w:rPr>
          <w:fldChar w:fldCharType="end"/>
        </w:r>
      </w:hyperlink>
    </w:p>
    <w:p w14:paraId="45768CDB" w14:textId="1AAC22C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4" w:history="1">
        <w:r w:rsidR="00163B51" w:rsidRPr="009535BD">
          <w:rPr>
            <w:rStyle w:val="Hypertextovodkaz"/>
            <w:noProof/>
          </w:rPr>
          <w:t>Graf 27: OS – vyřizování trestních věcí v letech 2014–2024</w:t>
        </w:r>
        <w:r w:rsidR="00163B51">
          <w:rPr>
            <w:noProof/>
            <w:webHidden/>
          </w:rPr>
          <w:tab/>
        </w:r>
        <w:r w:rsidR="00163B51">
          <w:rPr>
            <w:noProof/>
            <w:webHidden/>
          </w:rPr>
          <w:fldChar w:fldCharType="begin"/>
        </w:r>
        <w:r w:rsidR="00163B51">
          <w:rPr>
            <w:noProof/>
            <w:webHidden/>
          </w:rPr>
          <w:instrText xml:space="preserve"> PAGEREF _Toc203032854 \h </w:instrText>
        </w:r>
        <w:r w:rsidR="00163B51">
          <w:rPr>
            <w:noProof/>
            <w:webHidden/>
          </w:rPr>
        </w:r>
        <w:r w:rsidR="00163B51">
          <w:rPr>
            <w:noProof/>
            <w:webHidden/>
          </w:rPr>
          <w:fldChar w:fldCharType="separate"/>
        </w:r>
        <w:r w:rsidR="00163B51">
          <w:rPr>
            <w:noProof/>
            <w:webHidden/>
          </w:rPr>
          <w:t>51</w:t>
        </w:r>
        <w:r w:rsidR="00163B51">
          <w:rPr>
            <w:noProof/>
            <w:webHidden/>
          </w:rPr>
          <w:fldChar w:fldCharType="end"/>
        </w:r>
      </w:hyperlink>
    </w:p>
    <w:p w14:paraId="700689F1" w14:textId="786EBCF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5" w:history="1">
        <w:r w:rsidR="00163B51" w:rsidRPr="009535BD">
          <w:rPr>
            <w:rStyle w:val="Hypertextovodkaz"/>
            <w:noProof/>
          </w:rPr>
          <w:t>Graf 28: OS – počet nevyř. trestních věcí na úvazek u jednotlivých soudů, 2024</w:t>
        </w:r>
        <w:r w:rsidR="00163B51">
          <w:rPr>
            <w:noProof/>
            <w:webHidden/>
          </w:rPr>
          <w:tab/>
        </w:r>
        <w:r w:rsidR="00163B51">
          <w:rPr>
            <w:noProof/>
            <w:webHidden/>
          </w:rPr>
          <w:fldChar w:fldCharType="begin"/>
        </w:r>
        <w:r w:rsidR="00163B51">
          <w:rPr>
            <w:noProof/>
            <w:webHidden/>
          </w:rPr>
          <w:instrText xml:space="preserve"> PAGEREF _Toc203032855 \h </w:instrText>
        </w:r>
        <w:r w:rsidR="00163B51">
          <w:rPr>
            <w:noProof/>
            <w:webHidden/>
          </w:rPr>
        </w:r>
        <w:r w:rsidR="00163B51">
          <w:rPr>
            <w:noProof/>
            <w:webHidden/>
          </w:rPr>
          <w:fldChar w:fldCharType="separate"/>
        </w:r>
        <w:r w:rsidR="00163B51">
          <w:rPr>
            <w:noProof/>
            <w:webHidden/>
          </w:rPr>
          <w:t>53</w:t>
        </w:r>
        <w:r w:rsidR="00163B51">
          <w:rPr>
            <w:noProof/>
            <w:webHidden/>
          </w:rPr>
          <w:fldChar w:fldCharType="end"/>
        </w:r>
      </w:hyperlink>
    </w:p>
    <w:p w14:paraId="45E6E154" w14:textId="563BB7B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6" w:history="1">
        <w:r w:rsidR="00163B51" w:rsidRPr="009535BD">
          <w:rPr>
            <w:rStyle w:val="Hypertextovodkaz"/>
            <w:noProof/>
          </w:rPr>
          <w:t>Graf 29: OS – disposition time trestního řízení v letech 2015–2024</w:t>
        </w:r>
        <w:r w:rsidR="00163B51">
          <w:rPr>
            <w:noProof/>
            <w:webHidden/>
          </w:rPr>
          <w:tab/>
        </w:r>
        <w:r w:rsidR="00163B51">
          <w:rPr>
            <w:noProof/>
            <w:webHidden/>
          </w:rPr>
          <w:fldChar w:fldCharType="begin"/>
        </w:r>
        <w:r w:rsidR="00163B51">
          <w:rPr>
            <w:noProof/>
            <w:webHidden/>
          </w:rPr>
          <w:instrText xml:space="preserve"> PAGEREF _Toc203032856 \h </w:instrText>
        </w:r>
        <w:r w:rsidR="00163B51">
          <w:rPr>
            <w:noProof/>
            <w:webHidden/>
          </w:rPr>
        </w:r>
        <w:r w:rsidR="00163B51">
          <w:rPr>
            <w:noProof/>
            <w:webHidden/>
          </w:rPr>
          <w:fldChar w:fldCharType="separate"/>
        </w:r>
        <w:r w:rsidR="00163B51">
          <w:rPr>
            <w:noProof/>
            <w:webHidden/>
          </w:rPr>
          <w:t>54</w:t>
        </w:r>
        <w:r w:rsidR="00163B51">
          <w:rPr>
            <w:noProof/>
            <w:webHidden/>
          </w:rPr>
          <w:fldChar w:fldCharType="end"/>
        </w:r>
      </w:hyperlink>
    </w:p>
    <w:p w14:paraId="455F3A3E" w14:textId="5744666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7" w:history="1">
        <w:r w:rsidR="00163B51" w:rsidRPr="009535BD">
          <w:rPr>
            <w:rStyle w:val="Hypertextovodkaz"/>
            <w:noProof/>
          </w:rPr>
          <w:t>Graf 30: OS – disposition time trestního řízení u jednotlivých soudů, 2024</w:t>
        </w:r>
        <w:r w:rsidR="00163B51">
          <w:rPr>
            <w:noProof/>
            <w:webHidden/>
          </w:rPr>
          <w:tab/>
        </w:r>
        <w:r w:rsidR="00163B51">
          <w:rPr>
            <w:noProof/>
            <w:webHidden/>
          </w:rPr>
          <w:fldChar w:fldCharType="begin"/>
        </w:r>
        <w:r w:rsidR="00163B51">
          <w:rPr>
            <w:noProof/>
            <w:webHidden/>
          </w:rPr>
          <w:instrText xml:space="preserve"> PAGEREF _Toc203032857 \h </w:instrText>
        </w:r>
        <w:r w:rsidR="00163B51">
          <w:rPr>
            <w:noProof/>
            <w:webHidden/>
          </w:rPr>
        </w:r>
        <w:r w:rsidR="00163B51">
          <w:rPr>
            <w:noProof/>
            <w:webHidden/>
          </w:rPr>
          <w:fldChar w:fldCharType="separate"/>
        </w:r>
        <w:r w:rsidR="00163B51">
          <w:rPr>
            <w:noProof/>
            <w:webHidden/>
          </w:rPr>
          <w:t>55</w:t>
        </w:r>
        <w:r w:rsidR="00163B51">
          <w:rPr>
            <w:noProof/>
            <w:webHidden/>
          </w:rPr>
          <w:fldChar w:fldCharType="end"/>
        </w:r>
      </w:hyperlink>
    </w:p>
    <w:p w14:paraId="714A377C" w14:textId="0957CC7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8" w:history="1">
        <w:r w:rsidR="00163B51" w:rsidRPr="009535BD">
          <w:rPr>
            <w:rStyle w:val="Hypertextovodkaz"/>
            <w:noProof/>
          </w:rPr>
          <w:t>Graf 31: OS – krabicové grafy, DT trestního řízení</w:t>
        </w:r>
        <w:r w:rsidR="00163B51">
          <w:rPr>
            <w:noProof/>
            <w:webHidden/>
          </w:rPr>
          <w:tab/>
        </w:r>
        <w:r w:rsidR="00163B51">
          <w:rPr>
            <w:noProof/>
            <w:webHidden/>
          </w:rPr>
          <w:fldChar w:fldCharType="begin"/>
        </w:r>
        <w:r w:rsidR="00163B51">
          <w:rPr>
            <w:noProof/>
            <w:webHidden/>
          </w:rPr>
          <w:instrText xml:space="preserve"> PAGEREF _Toc203032858 \h </w:instrText>
        </w:r>
        <w:r w:rsidR="00163B51">
          <w:rPr>
            <w:noProof/>
            <w:webHidden/>
          </w:rPr>
        </w:r>
        <w:r w:rsidR="00163B51">
          <w:rPr>
            <w:noProof/>
            <w:webHidden/>
          </w:rPr>
          <w:fldChar w:fldCharType="separate"/>
        </w:r>
        <w:r w:rsidR="00163B51">
          <w:rPr>
            <w:noProof/>
            <w:webHidden/>
          </w:rPr>
          <w:t>55</w:t>
        </w:r>
        <w:r w:rsidR="00163B51">
          <w:rPr>
            <w:noProof/>
            <w:webHidden/>
          </w:rPr>
          <w:fldChar w:fldCharType="end"/>
        </w:r>
      </w:hyperlink>
    </w:p>
    <w:p w14:paraId="473F7D84" w14:textId="398B113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9" w:history="1">
        <w:r w:rsidR="00163B51" w:rsidRPr="009535BD">
          <w:rPr>
            <w:rStyle w:val="Hypertextovodkaz"/>
            <w:noProof/>
          </w:rPr>
          <w:t>Graf 32: OS – míra odvolání u jednotlivých soudů v trestním řízení, 2024</w:t>
        </w:r>
        <w:r w:rsidR="00163B51">
          <w:rPr>
            <w:noProof/>
            <w:webHidden/>
          </w:rPr>
          <w:tab/>
        </w:r>
        <w:r w:rsidR="00163B51">
          <w:rPr>
            <w:noProof/>
            <w:webHidden/>
          </w:rPr>
          <w:fldChar w:fldCharType="begin"/>
        </w:r>
        <w:r w:rsidR="00163B51">
          <w:rPr>
            <w:noProof/>
            <w:webHidden/>
          </w:rPr>
          <w:instrText xml:space="preserve"> PAGEREF _Toc203032859 \h </w:instrText>
        </w:r>
        <w:r w:rsidR="00163B51">
          <w:rPr>
            <w:noProof/>
            <w:webHidden/>
          </w:rPr>
        </w:r>
        <w:r w:rsidR="00163B51">
          <w:rPr>
            <w:noProof/>
            <w:webHidden/>
          </w:rPr>
          <w:fldChar w:fldCharType="separate"/>
        </w:r>
        <w:r w:rsidR="00163B51">
          <w:rPr>
            <w:noProof/>
            <w:webHidden/>
          </w:rPr>
          <w:t>57</w:t>
        </w:r>
        <w:r w:rsidR="00163B51">
          <w:rPr>
            <w:noProof/>
            <w:webHidden/>
          </w:rPr>
          <w:fldChar w:fldCharType="end"/>
        </w:r>
      </w:hyperlink>
    </w:p>
    <w:p w14:paraId="69BF1953" w14:textId="65D4687A"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0" w:history="1">
        <w:r w:rsidR="00163B51" w:rsidRPr="009535BD">
          <w:rPr>
            <w:rStyle w:val="Hypertextovodkaz"/>
            <w:noProof/>
          </w:rPr>
          <w:t>Graf 33: OS – míra zm. rozsudku u jednotlivých soudů v trestním řízení, 2024</w:t>
        </w:r>
        <w:r w:rsidR="00163B51">
          <w:rPr>
            <w:noProof/>
            <w:webHidden/>
          </w:rPr>
          <w:tab/>
        </w:r>
        <w:r w:rsidR="00163B51">
          <w:rPr>
            <w:noProof/>
            <w:webHidden/>
          </w:rPr>
          <w:fldChar w:fldCharType="begin"/>
        </w:r>
        <w:r w:rsidR="00163B51">
          <w:rPr>
            <w:noProof/>
            <w:webHidden/>
          </w:rPr>
          <w:instrText xml:space="preserve"> PAGEREF _Toc203032860 \h </w:instrText>
        </w:r>
        <w:r w:rsidR="00163B51">
          <w:rPr>
            <w:noProof/>
            <w:webHidden/>
          </w:rPr>
        </w:r>
        <w:r w:rsidR="00163B51">
          <w:rPr>
            <w:noProof/>
            <w:webHidden/>
          </w:rPr>
          <w:fldChar w:fldCharType="separate"/>
        </w:r>
        <w:r w:rsidR="00163B51">
          <w:rPr>
            <w:noProof/>
            <w:webHidden/>
          </w:rPr>
          <w:t>58</w:t>
        </w:r>
        <w:r w:rsidR="00163B51">
          <w:rPr>
            <w:noProof/>
            <w:webHidden/>
          </w:rPr>
          <w:fldChar w:fldCharType="end"/>
        </w:r>
      </w:hyperlink>
    </w:p>
    <w:p w14:paraId="633B8654" w14:textId="594C074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1" w:history="1">
        <w:r w:rsidR="00163B51" w:rsidRPr="009535BD">
          <w:rPr>
            <w:rStyle w:val="Hypertextovodkaz"/>
            <w:noProof/>
          </w:rPr>
          <w:t>Graf 34: OS – suma uložených peněžitých trestů</w:t>
        </w:r>
        <w:r w:rsidR="00163B51">
          <w:rPr>
            <w:noProof/>
            <w:webHidden/>
          </w:rPr>
          <w:tab/>
        </w:r>
        <w:r w:rsidR="00163B51">
          <w:rPr>
            <w:noProof/>
            <w:webHidden/>
          </w:rPr>
          <w:fldChar w:fldCharType="begin"/>
        </w:r>
        <w:r w:rsidR="00163B51">
          <w:rPr>
            <w:noProof/>
            <w:webHidden/>
          </w:rPr>
          <w:instrText xml:space="preserve"> PAGEREF _Toc203032861 \h </w:instrText>
        </w:r>
        <w:r w:rsidR="00163B51">
          <w:rPr>
            <w:noProof/>
            <w:webHidden/>
          </w:rPr>
        </w:r>
        <w:r w:rsidR="00163B51">
          <w:rPr>
            <w:noProof/>
            <w:webHidden/>
          </w:rPr>
          <w:fldChar w:fldCharType="separate"/>
        </w:r>
        <w:r w:rsidR="00163B51">
          <w:rPr>
            <w:noProof/>
            <w:webHidden/>
          </w:rPr>
          <w:t>59</w:t>
        </w:r>
        <w:r w:rsidR="00163B51">
          <w:rPr>
            <w:noProof/>
            <w:webHidden/>
          </w:rPr>
          <w:fldChar w:fldCharType="end"/>
        </w:r>
      </w:hyperlink>
    </w:p>
    <w:p w14:paraId="7D9D240C" w14:textId="0EC4B08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2" w:history="1">
        <w:r w:rsidR="00163B51" w:rsidRPr="009535BD">
          <w:rPr>
            <w:rStyle w:val="Hypertextovodkaz"/>
            <w:noProof/>
          </w:rPr>
          <w:t>Graf 35: OS – počet a průměrná výše uložených peněžitých trestů</w:t>
        </w:r>
        <w:r w:rsidR="00163B51">
          <w:rPr>
            <w:noProof/>
            <w:webHidden/>
          </w:rPr>
          <w:tab/>
        </w:r>
        <w:r w:rsidR="00163B51">
          <w:rPr>
            <w:noProof/>
            <w:webHidden/>
          </w:rPr>
          <w:fldChar w:fldCharType="begin"/>
        </w:r>
        <w:r w:rsidR="00163B51">
          <w:rPr>
            <w:noProof/>
            <w:webHidden/>
          </w:rPr>
          <w:instrText xml:space="preserve"> PAGEREF _Toc203032862 \h </w:instrText>
        </w:r>
        <w:r w:rsidR="00163B51">
          <w:rPr>
            <w:noProof/>
            <w:webHidden/>
          </w:rPr>
        </w:r>
        <w:r w:rsidR="00163B51">
          <w:rPr>
            <w:noProof/>
            <w:webHidden/>
          </w:rPr>
          <w:fldChar w:fldCharType="separate"/>
        </w:r>
        <w:r w:rsidR="00163B51">
          <w:rPr>
            <w:noProof/>
            <w:webHidden/>
          </w:rPr>
          <w:t>60</w:t>
        </w:r>
        <w:r w:rsidR="00163B51">
          <w:rPr>
            <w:noProof/>
            <w:webHidden/>
          </w:rPr>
          <w:fldChar w:fldCharType="end"/>
        </w:r>
      </w:hyperlink>
    </w:p>
    <w:p w14:paraId="107CD0E8" w14:textId="728B02E5"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3" w:history="1">
        <w:r w:rsidR="00163B51" w:rsidRPr="009535BD">
          <w:rPr>
            <w:rStyle w:val="Hypertextovodkaz"/>
            <w:noProof/>
          </w:rPr>
          <w:t>Graf 36: OS – podíl věcí skončených trestním příkazem v letech 2014–2024</w:t>
        </w:r>
        <w:r w:rsidR="00163B51">
          <w:rPr>
            <w:noProof/>
            <w:webHidden/>
          </w:rPr>
          <w:tab/>
        </w:r>
        <w:r w:rsidR="00163B51">
          <w:rPr>
            <w:noProof/>
            <w:webHidden/>
          </w:rPr>
          <w:fldChar w:fldCharType="begin"/>
        </w:r>
        <w:r w:rsidR="00163B51">
          <w:rPr>
            <w:noProof/>
            <w:webHidden/>
          </w:rPr>
          <w:instrText xml:space="preserve"> PAGEREF _Toc203032863 \h </w:instrText>
        </w:r>
        <w:r w:rsidR="00163B51">
          <w:rPr>
            <w:noProof/>
            <w:webHidden/>
          </w:rPr>
        </w:r>
        <w:r w:rsidR="00163B51">
          <w:rPr>
            <w:noProof/>
            <w:webHidden/>
          </w:rPr>
          <w:fldChar w:fldCharType="separate"/>
        </w:r>
        <w:r w:rsidR="00163B51">
          <w:rPr>
            <w:noProof/>
            <w:webHidden/>
          </w:rPr>
          <w:t>62</w:t>
        </w:r>
        <w:r w:rsidR="00163B51">
          <w:rPr>
            <w:noProof/>
            <w:webHidden/>
          </w:rPr>
          <w:fldChar w:fldCharType="end"/>
        </w:r>
      </w:hyperlink>
    </w:p>
    <w:p w14:paraId="1F67012A" w14:textId="21A9339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4" w:history="1">
        <w:r w:rsidR="00163B51" w:rsidRPr="009535BD">
          <w:rPr>
            <w:rStyle w:val="Hypertextovodkaz"/>
            <w:noProof/>
          </w:rPr>
          <w:t>Graf 37: OS – výše uložených NEPO dle délky, 2024</w:t>
        </w:r>
        <w:r w:rsidR="00163B51">
          <w:rPr>
            <w:noProof/>
            <w:webHidden/>
          </w:rPr>
          <w:tab/>
        </w:r>
        <w:r w:rsidR="00163B51">
          <w:rPr>
            <w:noProof/>
            <w:webHidden/>
          </w:rPr>
          <w:fldChar w:fldCharType="begin"/>
        </w:r>
        <w:r w:rsidR="00163B51">
          <w:rPr>
            <w:noProof/>
            <w:webHidden/>
          </w:rPr>
          <w:instrText xml:space="preserve"> PAGEREF _Toc203032864 \h </w:instrText>
        </w:r>
        <w:r w:rsidR="00163B51">
          <w:rPr>
            <w:noProof/>
            <w:webHidden/>
          </w:rPr>
        </w:r>
        <w:r w:rsidR="00163B51">
          <w:rPr>
            <w:noProof/>
            <w:webHidden/>
          </w:rPr>
          <w:fldChar w:fldCharType="separate"/>
        </w:r>
        <w:r w:rsidR="00163B51">
          <w:rPr>
            <w:noProof/>
            <w:webHidden/>
          </w:rPr>
          <w:t>63</w:t>
        </w:r>
        <w:r w:rsidR="00163B51">
          <w:rPr>
            <w:noProof/>
            <w:webHidden/>
          </w:rPr>
          <w:fldChar w:fldCharType="end"/>
        </w:r>
      </w:hyperlink>
    </w:p>
    <w:p w14:paraId="4DA47A87" w14:textId="48B1685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5" w:history="1">
        <w:r w:rsidR="00163B51" w:rsidRPr="009535BD">
          <w:rPr>
            <w:rStyle w:val="Hypertextovodkaz"/>
            <w:noProof/>
          </w:rPr>
          <w:t>Graf 38: OS – délka řízení v opatrovnické agendě v letech 2015–2024</w:t>
        </w:r>
        <w:r w:rsidR="00163B51">
          <w:rPr>
            <w:noProof/>
            <w:webHidden/>
          </w:rPr>
          <w:tab/>
        </w:r>
        <w:r w:rsidR="00163B51">
          <w:rPr>
            <w:noProof/>
            <w:webHidden/>
          </w:rPr>
          <w:fldChar w:fldCharType="begin"/>
        </w:r>
        <w:r w:rsidR="00163B51">
          <w:rPr>
            <w:noProof/>
            <w:webHidden/>
          </w:rPr>
          <w:instrText xml:space="preserve"> PAGEREF _Toc203032865 \h </w:instrText>
        </w:r>
        <w:r w:rsidR="00163B51">
          <w:rPr>
            <w:noProof/>
            <w:webHidden/>
          </w:rPr>
        </w:r>
        <w:r w:rsidR="00163B51">
          <w:rPr>
            <w:noProof/>
            <w:webHidden/>
          </w:rPr>
          <w:fldChar w:fldCharType="separate"/>
        </w:r>
        <w:r w:rsidR="00163B51">
          <w:rPr>
            <w:noProof/>
            <w:webHidden/>
          </w:rPr>
          <w:t>66</w:t>
        </w:r>
        <w:r w:rsidR="00163B51">
          <w:rPr>
            <w:noProof/>
            <w:webHidden/>
          </w:rPr>
          <w:fldChar w:fldCharType="end"/>
        </w:r>
      </w:hyperlink>
    </w:p>
    <w:p w14:paraId="39FD77D1" w14:textId="55C7FCF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6" w:history="1">
        <w:r w:rsidR="00163B51" w:rsidRPr="009535BD">
          <w:rPr>
            <w:rStyle w:val="Hypertextovodkaz"/>
            <w:noProof/>
          </w:rPr>
          <w:t>Graf 39: OS – mediánové délky opatrov. řízení u jednotlivých soudů, 2024</w:t>
        </w:r>
        <w:r w:rsidR="00163B51">
          <w:rPr>
            <w:noProof/>
            <w:webHidden/>
          </w:rPr>
          <w:tab/>
        </w:r>
        <w:r w:rsidR="00163B51">
          <w:rPr>
            <w:noProof/>
            <w:webHidden/>
          </w:rPr>
          <w:fldChar w:fldCharType="begin"/>
        </w:r>
        <w:r w:rsidR="00163B51">
          <w:rPr>
            <w:noProof/>
            <w:webHidden/>
          </w:rPr>
          <w:instrText xml:space="preserve"> PAGEREF _Toc203032866 \h </w:instrText>
        </w:r>
        <w:r w:rsidR="00163B51">
          <w:rPr>
            <w:noProof/>
            <w:webHidden/>
          </w:rPr>
        </w:r>
        <w:r w:rsidR="00163B51">
          <w:rPr>
            <w:noProof/>
            <w:webHidden/>
          </w:rPr>
          <w:fldChar w:fldCharType="separate"/>
        </w:r>
        <w:r w:rsidR="00163B51">
          <w:rPr>
            <w:noProof/>
            <w:webHidden/>
          </w:rPr>
          <w:t>68</w:t>
        </w:r>
        <w:r w:rsidR="00163B51">
          <w:rPr>
            <w:noProof/>
            <w:webHidden/>
          </w:rPr>
          <w:fldChar w:fldCharType="end"/>
        </w:r>
      </w:hyperlink>
    </w:p>
    <w:p w14:paraId="4BEA608C" w14:textId="3695E65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7" w:history="1">
        <w:r w:rsidR="00163B51" w:rsidRPr="009535BD">
          <w:rPr>
            <w:rStyle w:val="Hypertextovodkaz"/>
            <w:noProof/>
          </w:rPr>
          <w:t>Graf 40: OS – krabicové grafy, mediánové délky opatrovnického řízení, 2024</w:t>
        </w:r>
        <w:r w:rsidR="00163B51">
          <w:rPr>
            <w:noProof/>
            <w:webHidden/>
          </w:rPr>
          <w:tab/>
        </w:r>
        <w:r w:rsidR="00163B51">
          <w:rPr>
            <w:noProof/>
            <w:webHidden/>
          </w:rPr>
          <w:fldChar w:fldCharType="begin"/>
        </w:r>
        <w:r w:rsidR="00163B51">
          <w:rPr>
            <w:noProof/>
            <w:webHidden/>
          </w:rPr>
          <w:instrText xml:space="preserve"> PAGEREF _Toc203032867 \h </w:instrText>
        </w:r>
        <w:r w:rsidR="00163B51">
          <w:rPr>
            <w:noProof/>
            <w:webHidden/>
          </w:rPr>
        </w:r>
        <w:r w:rsidR="00163B51">
          <w:rPr>
            <w:noProof/>
            <w:webHidden/>
          </w:rPr>
          <w:fldChar w:fldCharType="separate"/>
        </w:r>
        <w:r w:rsidR="00163B51">
          <w:rPr>
            <w:noProof/>
            <w:webHidden/>
          </w:rPr>
          <w:t>69</w:t>
        </w:r>
        <w:r w:rsidR="00163B51">
          <w:rPr>
            <w:noProof/>
            <w:webHidden/>
          </w:rPr>
          <w:fldChar w:fldCharType="end"/>
        </w:r>
      </w:hyperlink>
    </w:p>
    <w:p w14:paraId="7986A99B" w14:textId="14B1A81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8" w:history="1">
        <w:r w:rsidR="00163B51" w:rsidRPr="009535BD">
          <w:rPr>
            <w:rStyle w:val="Hypertextovodkaz"/>
            <w:noProof/>
          </w:rPr>
          <w:t>Graf 41: OS – distribuce délky opatrovnického řízení, 2024</w:t>
        </w:r>
        <w:r w:rsidR="00163B51">
          <w:rPr>
            <w:noProof/>
            <w:webHidden/>
          </w:rPr>
          <w:tab/>
        </w:r>
        <w:r w:rsidR="00163B51">
          <w:rPr>
            <w:noProof/>
            <w:webHidden/>
          </w:rPr>
          <w:fldChar w:fldCharType="begin"/>
        </w:r>
        <w:r w:rsidR="00163B51">
          <w:rPr>
            <w:noProof/>
            <w:webHidden/>
          </w:rPr>
          <w:instrText xml:space="preserve"> PAGEREF _Toc203032868 \h </w:instrText>
        </w:r>
        <w:r w:rsidR="00163B51">
          <w:rPr>
            <w:noProof/>
            <w:webHidden/>
          </w:rPr>
        </w:r>
        <w:r w:rsidR="00163B51">
          <w:rPr>
            <w:noProof/>
            <w:webHidden/>
          </w:rPr>
          <w:fldChar w:fldCharType="separate"/>
        </w:r>
        <w:r w:rsidR="00163B51">
          <w:rPr>
            <w:noProof/>
            <w:webHidden/>
          </w:rPr>
          <w:t>69</w:t>
        </w:r>
        <w:r w:rsidR="00163B51">
          <w:rPr>
            <w:noProof/>
            <w:webHidden/>
          </w:rPr>
          <w:fldChar w:fldCharType="end"/>
        </w:r>
      </w:hyperlink>
    </w:p>
    <w:p w14:paraId="3E259BD7" w14:textId="39A4666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9" w:history="1">
        <w:r w:rsidR="00163B51" w:rsidRPr="009535BD">
          <w:rPr>
            <w:rStyle w:val="Hypertextovodkaz"/>
            <w:noProof/>
          </w:rPr>
          <w:t>Graf 42: OS – péče o dítě, délka řízení v letech 2015–2024</w:t>
        </w:r>
        <w:r w:rsidR="00163B51">
          <w:rPr>
            <w:noProof/>
            <w:webHidden/>
          </w:rPr>
          <w:tab/>
        </w:r>
        <w:r w:rsidR="00163B51">
          <w:rPr>
            <w:noProof/>
            <w:webHidden/>
          </w:rPr>
          <w:fldChar w:fldCharType="begin"/>
        </w:r>
        <w:r w:rsidR="00163B51">
          <w:rPr>
            <w:noProof/>
            <w:webHidden/>
          </w:rPr>
          <w:instrText xml:space="preserve"> PAGEREF _Toc203032869 \h </w:instrText>
        </w:r>
        <w:r w:rsidR="00163B51">
          <w:rPr>
            <w:noProof/>
            <w:webHidden/>
          </w:rPr>
        </w:r>
        <w:r w:rsidR="00163B51">
          <w:rPr>
            <w:noProof/>
            <w:webHidden/>
          </w:rPr>
          <w:fldChar w:fldCharType="separate"/>
        </w:r>
        <w:r w:rsidR="00163B51">
          <w:rPr>
            <w:noProof/>
            <w:webHidden/>
          </w:rPr>
          <w:t>70</w:t>
        </w:r>
        <w:r w:rsidR="00163B51">
          <w:rPr>
            <w:noProof/>
            <w:webHidden/>
          </w:rPr>
          <w:fldChar w:fldCharType="end"/>
        </w:r>
      </w:hyperlink>
    </w:p>
    <w:p w14:paraId="43D85CC0" w14:textId="7414D8E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0" w:history="1">
        <w:r w:rsidR="00163B51" w:rsidRPr="009535BD">
          <w:rPr>
            <w:rStyle w:val="Hypertextovodkaz"/>
            <w:noProof/>
          </w:rPr>
          <w:t>Graf 43: OS – vyřizování věcí v opatrovnické agendě v letech 2015–2024</w:t>
        </w:r>
        <w:r w:rsidR="00163B51">
          <w:rPr>
            <w:noProof/>
            <w:webHidden/>
          </w:rPr>
          <w:tab/>
        </w:r>
        <w:r w:rsidR="00163B51">
          <w:rPr>
            <w:noProof/>
            <w:webHidden/>
          </w:rPr>
          <w:fldChar w:fldCharType="begin"/>
        </w:r>
        <w:r w:rsidR="00163B51">
          <w:rPr>
            <w:noProof/>
            <w:webHidden/>
          </w:rPr>
          <w:instrText xml:space="preserve"> PAGEREF _Toc203032870 \h </w:instrText>
        </w:r>
        <w:r w:rsidR="00163B51">
          <w:rPr>
            <w:noProof/>
            <w:webHidden/>
          </w:rPr>
        </w:r>
        <w:r w:rsidR="00163B51">
          <w:rPr>
            <w:noProof/>
            <w:webHidden/>
          </w:rPr>
          <w:fldChar w:fldCharType="separate"/>
        </w:r>
        <w:r w:rsidR="00163B51">
          <w:rPr>
            <w:noProof/>
            <w:webHidden/>
          </w:rPr>
          <w:t>71</w:t>
        </w:r>
        <w:r w:rsidR="00163B51">
          <w:rPr>
            <w:noProof/>
            <w:webHidden/>
          </w:rPr>
          <w:fldChar w:fldCharType="end"/>
        </w:r>
      </w:hyperlink>
    </w:p>
    <w:p w14:paraId="5E6AFCD4" w14:textId="17B77D0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1" w:history="1">
        <w:r w:rsidR="00163B51" w:rsidRPr="009535BD">
          <w:rPr>
            <w:rStyle w:val="Hypertextovodkaz"/>
            <w:noProof/>
          </w:rPr>
          <w:t>Graf 44: OS – počet nevyř. opatrov. věcí na úvazek u jednotlivých soudů, 2024</w:t>
        </w:r>
        <w:r w:rsidR="00163B51">
          <w:rPr>
            <w:noProof/>
            <w:webHidden/>
          </w:rPr>
          <w:tab/>
        </w:r>
        <w:r w:rsidR="00163B51">
          <w:rPr>
            <w:noProof/>
            <w:webHidden/>
          </w:rPr>
          <w:fldChar w:fldCharType="begin"/>
        </w:r>
        <w:r w:rsidR="00163B51">
          <w:rPr>
            <w:noProof/>
            <w:webHidden/>
          </w:rPr>
          <w:instrText xml:space="preserve"> PAGEREF _Toc203032871 \h </w:instrText>
        </w:r>
        <w:r w:rsidR="00163B51">
          <w:rPr>
            <w:noProof/>
            <w:webHidden/>
          </w:rPr>
        </w:r>
        <w:r w:rsidR="00163B51">
          <w:rPr>
            <w:noProof/>
            <w:webHidden/>
          </w:rPr>
          <w:fldChar w:fldCharType="separate"/>
        </w:r>
        <w:r w:rsidR="00163B51">
          <w:rPr>
            <w:noProof/>
            <w:webHidden/>
          </w:rPr>
          <w:t>73</w:t>
        </w:r>
        <w:r w:rsidR="00163B51">
          <w:rPr>
            <w:noProof/>
            <w:webHidden/>
          </w:rPr>
          <w:fldChar w:fldCharType="end"/>
        </w:r>
      </w:hyperlink>
    </w:p>
    <w:p w14:paraId="49722B01" w14:textId="7C8826D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2" w:history="1">
        <w:r w:rsidR="00163B51" w:rsidRPr="009535BD">
          <w:rPr>
            <w:rStyle w:val="Hypertextovodkaz"/>
            <w:noProof/>
          </w:rPr>
          <w:t>Graf 45: OS – disposition time v opatrovnické agendě v letech 2014–2024</w:t>
        </w:r>
        <w:r w:rsidR="00163B51">
          <w:rPr>
            <w:noProof/>
            <w:webHidden/>
          </w:rPr>
          <w:tab/>
        </w:r>
        <w:r w:rsidR="00163B51">
          <w:rPr>
            <w:noProof/>
            <w:webHidden/>
          </w:rPr>
          <w:fldChar w:fldCharType="begin"/>
        </w:r>
        <w:r w:rsidR="00163B51">
          <w:rPr>
            <w:noProof/>
            <w:webHidden/>
          </w:rPr>
          <w:instrText xml:space="preserve"> PAGEREF _Toc203032872 \h </w:instrText>
        </w:r>
        <w:r w:rsidR="00163B51">
          <w:rPr>
            <w:noProof/>
            <w:webHidden/>
          </w:rPr>
        </w:r>
        <w:r w:rsidR="00163B51">
          <w:rPr>
            <w:noProof/>
            <w:webHidden/>
          </w:rPr>
          <w:fldChar w:fldCharType="separate"/>
        </w:r>
        <w:r w:rsidR="00163B51">
          <w:rPr>
            <w:noProof/>
            <w:webHidden/>
          </w:rPr>
          <w:t>74</w:t>
        </w:r>
        <w:r w:rsidR="00163B51">
          <w:rPr>
            <w:noProof/>
            <w:webHidden/>
          </w:rPr>
          <w:fldChar w:fldCharType="end"/>
        </w:r>
      </w:hyperlink>
    </w:p>
    <w:p w14:paraId="3BE8A4F9" w14:textId="316DA34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3" w:history="1">
        <w:r w:rsidR="00163B51" w:rsidRPr="009535BD">
          <w:rPr>
            <w:rStyle w:val="Hypertextovodkaz"/>
            <w:noProof/>
          </w:rPr>
          <w:t>Graf 46: OS – disposition time v opatrov. agendě u jednotlivých soudů, 2024</w:t>
        </w:r>
        <w:r w:rsidR="00163B51">
          <w:rPr>
            <w:noProof/>
            <w:webHidden/>
          </w:rPr>
          <w:tab/>
        </w:r>
        <w:r w:rsidR="00163B51">
          <w:rPr>
            <w:noProof/>
            <w:webHidden/>
          </w:rPr>
          <w:fldChar w:fldCharType="begin"/>
        </w:r>
        <w:r w:rsidR="00163B51">
          <w:rPr>
            <w:noProof/>
            <w:webHidden/>
          </w:rPr>
          <w:instrText xml:space="preserve"> PAGEREF _Toc203032873 \h </w:instrText>
        </w:r>
        <w:r w:rsidR="00163B51">
          <w:rPr>
            <w:noProof/>
            <w:webHidden/>
          </w:rPr>
        </w:r>
        <w:r w:rsidR="00163B51">
          <w:rPr>
            <w:noProof/>
            <w:webHidden/>
          </w:rPr>
          <w:fldChar w:fldCharType="separate"/>
        </w:r>
        <w:r w:rsidR="00163B51">
          <w:rPr>
            <w:noProof/>
            <w:webHidden/>
          </w:rPr>
          <w:t>74</w:t>
        </w:r>
        <w:r w:rsidR="00163B51">
          <w:rPr>
            <w:noProof/>
            <w:webHidden/>
          </w:rPr>
          <w:fldChar w:fldCharType="end"/>
        </w:r>
      </w:hyperlink>
    </w:p>
    <w:p w14:paraId="670DB59A" w14:textId="460DFBD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4" w:history="1">
        <w:r w:rsidR="00163B51" w:rsidRPr="009535BD">
          <w:rPr>
            <w:rStyle w:val="Hypertextovodkaz"/>
            <w:noProof/>
          </w:rPr>
          <w:t>Graf 47: OS – krabicové grafy, DT opatrovnické agendy</w:t>
        </w:r>
        <w:r w:rsidR="00163B51">
          <w:rPr>
            <w:noProof/>
            <w:webHidden/>
          </w:rPr>
          <w:tab/>
        </w:r>
        <w:r w:rsidR="00163B51">
          <w:rPr>
            <w:noProof/>
            <w:webHidden/>
          </w:rPr>
          <w:fldChar w:fldCharType="begin"/>
        </w:r>
        <w:r w:rsidR="00163B51">
          <w:rPr>
            <w:noProof/>
            <w:webHidden/>
          </w:rPr>
          <w:instrText xml:space="preserve"> PAGEREF _Toc203032874 \h </w:instrText>
        </w:r>
        <w:r w:rsidR="00163B51">
          <w:rPr>
            <w:noProof/>
            <w:webHidden/>
          </w:rPr>
        </w:r>
        <w:r w:rsidR="00163B51">
          <w:rPr>
            <w:noProof/>
            <w:webHidden/>
          </w:rPr>
          <w:fldChar w:fldCharType="separate"/>
        </w:r>
        <w:r w:rsidR="00163B51">
          <w:rPr>
            <w:noProof/>
            <w:webHidden/>
          </w:rPr>
          <w:t>75</w:t>
        </w:r>
        <w:r w:rsidR="00163B51">
          <w:rPr>
            <w:noProof/>
            <w:webHidden/>
          </w:rPr>
          <w:fldChar w:fldCharType="end"/>
        </w:r>
      </w:hyperlink>
    </w:p>
    <w:p w14:paraId="13FCCA49" w14:textId="4F2477F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5" w:history="1">
        <w:r w:rsidR="00163B51" w:rsidRPr="009535BD">
          <w:rPr>
            <w:rStyle w:val="Hypertextovodkaz"/>
            <w:noProof/>
          </w:rPr>
          <w:t>Graf 48: OS – míra odvolání u jednotlivých soudů v opatrov. řízení, 2024</w:t>
        </w:r>
        <w:r w:rsidR="00163B51">
          <w:rPr>
            <w:noProof/>
            <w:webHidden/>
          </w:rPr>
          <w:tab/>
        </w:r>
        <w:r w:rsidR="00163B51">
          <w:rPr>
            <w:noProof/>
            <w:webHidden/>
          </w:rPr>
          <w:fldChar w:fldCharType="begin"/>
        </w:r>
        <w:r w:rsidR="00163B51">
          <w:rPr>
            <w:noProof/>
            <w:webHidden/>
          </w:rPr>
          <w:instrText xml:space="preserve"> PAGEREF _Toc203032875 \h </w:instrText>
        </w:r>
        <w:r w:rsidR="00163B51">
          <w:rPr>
            <w:noProof/>
            <w:webHidden/>
          </w:rPr>
        </w:r>
        <w:r w:rsidR="00163B51">
          <w:rPr>
            <w:noProof/>
            <w:webHidden/>
          </w:rPr>
          <w:fldChar w:fldCharType="separate"/>
        </w:r>
        <w:r w:rsidR="00163B51">
          <w:rPr>
            <w:noProof/>
            <w:webHidden/>
          </w:rPr>
          <w:t>76</w:t>
        </w:r>
        <w:r w:rsidR="00163B51">
          <w:rPr>
            <w:noProof/>
            <w:webHidden/>
          </w:rPr>
          <w:fldChar w:fldCharType="end"/>
        </w:r>
      </w:hyperlink>
    </w:p>
    <w:p w14:paraId="63E9173A" w14:textId="5A944CC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6" w:history="1">
        <w:r w:rsidR="00163B51" w:rsidRPr="009535BD">
          <w:rPr>
            <w:rStyle w:val="Hypertextovodkaz"/>
            <w:noProof/>
          </w:rPr>
          <w:t>Graf 49: OS – míra změny rozsudku u jednotlivých soudů v opatrov. řízení</w:t>
        </w:r>
        <w:r w:rsidR="00163B51">
          <w:rPr>
            <w:noProof/>
            <w:webHidden/>
          </w:rPr>
          <w:tab/>
        </w:r>
        <w:r w:rsidR="00163B51">
          <w:rPr>
            <w:noProof/>
            <w:webHidden/>
          </w:rPr>
          <w:fldChar w:fldCharType="begin"/>
        </w:r>
        <w:r w:rsidR="00163B51">
          <w:rPr>
            <w:noProof/>
            <w:webHidden/>
          </w:rPr>
          <w:instrText xml:space="preserve"> PAGEREF _Toc203032876 \h </w:instrText>
        </w:r>
        <w:r w:rsidR="00163B51">
          <w:rPr>
            <w:noProof/>
            <w:webHidden/>
          </w:rPr>
        </w:r>
        <w:r w:rsidR="00163B51">
          <w:rPr>
            <w:noProof/>
            <w:webHidden/>
          </w:rPr>
          <w:fldChar w:fldCharType="separate"/>
        </w:r>
        <w:r w:rsidR="00163B51">
          <w:rPr>
            <w:noProof/>
            <w:webHidden/>
          </w:rPr>
          <w:t>77</w:t>
        </w:r>
        <w:r w:rsidR="00163B51">
          <w:rPr>
            <w:noProof/>
            <w:webHidden/>
          </w:rPr>
          <w:fldChar w:fldCharType="end"/>
        </w:r>
      </w:hyperlink>
    </w:p>
    <w:p w14:paraId="002CFB91" w14:textId="43D69C2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7" w:history="1">
        <w:r w:rsidR="00163B51" w:rsidRPr="009535BD">
          <w:rPr>
            <w:rStyle w:val="Hypertextovodkaz"/>
            <w:noProof/>
          </w:rPr>
          <w:t>Graf 50: OS – průměrná výše výživného dle povinné osoby v letech 2015–2024</w:t>
        </w:r>
        <w:r w:rsidR="00163B51">
          <w:rPr>
            <w:noProof/>
            <w:webHidden/>
          </w:rPr>
          <w:tab/>
        </w:r>
        <w:r w:rsidR="00163B51">
          <w:rPr>
            <w:noProof/>
            <w:webHidden/>
          </w:rPr>
          <w:fldChar w:fldCharType="begin"/>
        </w:r>
        <w:r w:rsidR="00163B51">
          <w:rPr>
            <w:noProof/>
            <w:webHidden/>
          </w:rPr>
          <w:instrText xml:space="preserve"> PAGEREF _Toc203032877 \h </w:instrText>
        </w:r>
        <w:r w:rsidR="00163B51">
          <w:rPr>
            <w:noProof/>
            <w:webHidden/>
          </w:rPr>
        </w:r>
        <w:r w:rsidR="00163B51">
          <w:rPr>
            <w:noProof/>
            <w:webHidden/>
          </w:rPr>
          <w:fldChar w:fldCharType="separate"/>
        </w:r>
        <w:r w:rsidR="00163B51">
          <w:rPr>
            <w:noProof/>
            <w:webHidden/>
          </w:rPr>
          <w:t>78</w:t>
        </w:r>
        <w:r w:rsidR="00163B51">
          <w:rPr>
            <w:noProof/>
            <w:webHidden/>
          </w:rPr>
          <w:fldChar w:fldCharType="end"/>
        </w:r>
      </w:hyperlink>
    </w:p>
    <w:p w14:paraId="58BBA7F1" w14:textId="2DF08E4A"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8" w:history="1">
        <w:r w:rsidR="00163B51" w:rsidRPr="009535BD">
          <w:rPr>
            <w:rStyle w:val="Hypertextovodkaz"/>
            <w:noProof/>
          </w:rPr>
          <w:t>Graf 51: OS – podíl na čistém příjmu povinné osoby v letech 2014–2024</w:t>
        </w:r>
        <w:r w:rsidR="00163B51">
          <w:rPr>
            <w:noProof/>
            <w:webHidden/>
          </w:rPr>
          <w:tab/>
        </w:r>
        <w:r w:rsidR="00163B51">
          <w:rPr>
            <w:noProof/>
            <w:webHidden/>
          </w:rPr>
          <w:fldChar w:fldCharType="begin"/>
        </w:r>
        <w:r w:rsidR="00163B51">
          <w:rPr>
            <w:noProof/>
            <w:webHidden/>
          </w:rPr>
          <w:instrText xml:space="preserve"> PAGEREF _Toc203032878 \h </w:instrText>
        </w:r>
        <w:r w:rsidR="00163B51">
          <w:rPr>
            <w:noProof/>
            <w:webHidden/>
          </w:rPr>
        </w:r>
        <w:r w:rsidR="00163B51">
          <w:rPr>
            <w:noProof/>
            <w:webHidden/>
          </w:rPr>
          <w:fldChar w:fldCharType="separate"/>
        </w:r>
        <w:r w:rsidR="00163B51">
          <w:rPr>
            <w:noProof/>
            <w:webHidden/>
          </w:rPr>
          <w:t>79</w:t>
        </w:r>
        <w:r w:rsidR="00163B51">
          <w:rPr>
            <w:noProof/>
            <w:webHidden/>
          </w:rPr>
          <w:fldChar w:fldCharType="end"/>
        </w:r>
      </w:hyperlink>
    </w:p>
    <w:p w14:paraId="3226A038" w14:textId="71A3634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9" w:history="1">
        <w:r w:rsidR="00163B51" w:rsidRPr="009535BD">
          <w:rPr>
            <w:rStyle w:val="Hypertextovodkaz"/>
            <w:noProof/>
          </w:rPr>
          <w:t>Graf 52: OS – svěřování dítěte do péče</w:t>
        </w:r>
        <w:r w:rsidR="00163B51">
          <w:rPr>
            <w:noProof/>
            <w:webHidden/>
          </w:rPr>
          <w:tab/>
        </w:r>
        <w:r w:rsidR="00163B51">
          <w:rPr>
            <w:noProof/>
            <w:webHidden/>
          </w:rPr>
          <w:fldChar w:fldCharType="begin"/>
        </w:r>
        <w:r w:rsidR="00163B51">
          <w:rPr>
            <w:noProof/>
            <w:webHidden/>
          </w:rPr>
          <w:instrText xml:space="preserve"> PAGEREF _Toc203032879 \h </w:instrText>
        </w:r>
        <w:r w:rsidR="00163B51">
          <w:rPr>
            <w:noProof/>
            <w:webHidden/>
          </w:rPr>
        </w:r>
        <w:r w:rsidR="00163B51">
          <w:rPr>
            <w:noProof/>
            <w:webHidden/>
          </w:rPr>
          <w:fldChar w:fldCharType="separate"/>
        </w:r>
        <w:r w:rsidR="00163B51">
          <w:rPr>
            <w:noProof/>
            <w:webHidden/>
          </w:rPr>
          <w:t>81</w:t>
        </w:r>
        <w:r w:rsidR="00163B51">
          <w:rPr>
            <w:noProof/>
            <w:webHidden/>
          </w:rPr>
          <w:fldChar w:fldCharType="end"/>
        </w:r>
      </w:hyperlink>
    </w:p>
    <w:p w14:paraId="0EDD5A24" w14:textId="59217E05"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0" w:history="1">
        <w:r w:rsidR="00163B51" w:rsidRPr="009535BD">
          <w:rPr>
            <w:rStyle w:val="Hypertextovodkaz"/>
            <w:noProof/>
          </w:rPr>
          <w:t>Graf 53: KS – počet soudců v roce 2024</w:t>
        </w:r>
        <w:r w:rsidR="00163B51">
          <w:rPr>
            <w:noProof/>
            <w:webHidden/>
          </w:rPr>
          <w:tab/>
        </w:r>
        <w:r w:rsidR="00163B51">
          <w:rPr>
            <w:noProof/>
            <w:webHidden/>
          </w:rPr>
          <w:fldChar w:fldCharType="begin"/>
        </w:r>
        <w:r w:rsidR="00163B51">
          <w:rPr>
            <w:noProof/>
            <w:webHidden/>
          </w:rPr>
          <w:instrText xml:space="preserve"> PAGEREF _Toc203032880 \h </w:instrText>
        </w:r>
        <w:r w:rsidR="00163B51">
          <w:rPr>
            <w:noProof/>
            <w:webHidden/>
          </w:rPr>
        </w:r>
        <w:r w:rsidR="00163B51">
          <w:rPr>
            <w:noProof/>
            <w:webHidden/>
          </w:rPr>
          <w:fldChar w:fldCharType="separate"/>
        </w:r>
        <w:r w:rsidR="00163B51">
          <w:rPr>
            <w:noProof/>
            <w:webHidden/>
          </w:rPr>
          <w:t>82</w:t>
        </w:r>
        <w:r w:rsidR="00163B51">
          <w:rPr>
            <w:noProof/>
            <w:webHidden/>
          </w:rPr>
          <w:fldChar w:fldCharType="end"/>
        </w:r>
      </w:hyperlink>
    </w:p>
    <w:p w14:paraId="5CD7C9BA" w14:textId="674162E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1" w:history="1">
        <w:r w:rsidR="00163B51" w:rsidRPr="009535BD">
          <w:rPr>
            <w:rStyle w:val="Hypertextovodkaz"/>
            <w:noProof/>
          </w:rPr>
          <w:t>Graf 54: KS – skutečný počet soudců dle úseků v roce 2024</w:t>
        </w:r>
        <w:r w:rsidR="00163B51">
          <w:rPr>
            <w:noProof/>
            <w:webHidden/>
          </w:rPr>
          <w:tab/>
        </w:r>
        <w:r w:rsidR="00163B51">
          <w:rPr>
            <w:noProof/>
            <w:webHidden/>
          </w:rPr>
          <w:fldChar w:fldCharType="begin"/>
        </w:r>
        <w:r w:rsidR="00163B51">
          <w:rPr>
            <w:noProof/>
            <w:webHidden/>
          </w:rPr>
          <w:instrText xml:space="preserve"> PAGEREF _Toc203032881 \h </w:instrText>
        </w:r>
        <w:r w:rsidR="00163B51">
          <w:rPr>
            <w:noProof/>
            <w:webHidden/>
          </w:rPr>
        </w:r>
        <w:r w:rsidR="00163B51">
          <w:rPr>
            <w:noProof/>
            <w:webHidden/>
          </w:rPr>
          <w:fldChar w:fldCharType="separate"/>
        </w:r>
        <w:r w:rsidR="00163B51">
          <w:rPr>
            <w:noProof/>
            <w:webHidden/>
          </w:rPr>
          <w:t>83</w:t>
        </w:r>
        <w:r w:rsidR="00163B51">
          <w:rPr>
            <w:noProof/>
            <w:webHidden/>
          </w:rPr>
          <w:fldChar w:fldCharType="end"/>
        </w:r>
      </w:hyperlink>
    </w:p>
    <w:p w14:paraId="5D62DCAE" w14:textId="2405A28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2" w:history="1">
        <w:r w:rsidR="00163B51" w:rsidRPr="009535BD">
          <w:rPr>
            <w:rStyle w:val="Hypertextovodkaz"/>
            <w:noProof/>
          </w:rPr>
          <w:t>Graf 55: KS – skutečný počet soudců dle pohlaví v roce 2024</w:t>
        </w:r>
        <w:r w:rsidR="00163B51">
          <w:rPr>
            <w:noProof/>
            <w:webHidden/>
          </w:rPr>
          <w:tab/>
        </w:r>
        <w:r w:rsidR="00163B51">
          <w:rPr>
            <w:noProof/>
            <w:webHidden/>
          </w:rPr>
          <w:fldChar w:fldCharType="begin"/>
        </w:r>
        <w:r w:rsidR="00163B51">
          <w:rPr>
            <w:noProof/>
            <w:webHidden/>
          </w:rPr>
          <w:instrText xml:space="preserve"> PAGEREF _Toc203032882 \h </w:instrText>
        </w:r>
        <w:r w:rsidR="00163B51">
          <w:rPr>
            <w:noProof/>
            <w:webHidden/>
          </w:rPr>
        </w:r>
        <w:r w:rsidR="00163B51">
          <w:rPr>
            <w:noProof/>
            <w:webHidden/>
          </w:rPr>
          <w:fldChar w:fldCharType="separate"/>
        </w:r>
        <w:r w:rsidR="00163B51">
          <w:rPr>
            <w:noProof/>
            <w:webHidden/>
          </w:rPr>
          <w:t>85</w:t>
        </w:r>
        <w:r w:rsidR="00163B51">
          <w:rPr>
            <w:noProof/>
            <w:webHidden/>
          </w:rPr>
          <w:fldChar w:fldCharType="end"/>
        </w:r>
      </w:hyperlink>
    </w:p>
    <w:p w14:paraId="34B8DF92" w14:textId="1888657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3" w:history="1">
        <w:r w:rsidR="00163B51" w:rsidRPr="009535BD">
          <w:rPr>
            <w:rStyle w:val="Hypertextovodkaz"/>
            <w:noProof/>
          </w:rPr>
          <w:t>Graf 56: KS – věkové složení soudců v letech 2008–2024</w:t>
        </w:r>
        <w:r w:rsidR="00163B51">
          <w:rPr>
            <w:noProof/>
            <w:webHidden/>
          </w:rPr>
          <w:tab/>
        </w:r>
        <w:r w:rsidR="00163B51">
          <w:rPr>
            <w:noProof/>
            <w:webHidden/>
          </w:rPr>
          <w:fldChar w:fldCharType="begin"/>
        </w:r>
        <w:r w:rsidR="00163B51">
          <w:rPr>
            <w:noProof/>
            <w:webHidden/>
          </w:rPr>
          <w:instrText xml:space="preserve"> PAGEREF _Toc203032883 \h </w:instrText>
        </w:r>
        <w:r w:rsidR="00163B51">
          <w:rPr>
            <w:noProof/>
            <w:webHidden/>
          </w:rPr>
        </w:r>
        <w:r w:rsidR="00163B51">
          <w:rPr>
            <w:noProof/>
            <w:webHidden/>
          </w:rPr>
          <w:fldChar w:fldCharType="separate"/>
        </w:r>
        <w:r w:rsidR="00163B51">
          <w:rPr>
            <w:noProof/>
            <w:webHidden/>
          </w:rPr>
          <w:t>86</w:t>
        </w:r>
        <w:r w:rsidR="00163B51">
          <w:rPr>
            <w:noProof/>
            <w:webHidden/>
          </w:rPr>
          <w:fldChar w:fldCharType="end"/>
        </w:r>
      </w:hyperlink>
    </w:p>
    <w:p w14:paraId="3365AE25" w14:textId="4945EB4A"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4" w:history="1">
        <w:r w:rsidR="00163B51" w:rsidRPr="009535BD">
          <w:rPr>
            <w:rStyle w:val="Hypertextovodkaz"/>
            <w:noProof/>
          </w:rPr>
          <w:t>Graf 57: KS – věková struktura soudců dle soudů v %, 2024</w:t>
        </w:r>
        <w:r w:rsidR="00163B51">
          <w:rPr>
            <w:noProof/>
            <w:webHidden/>
          </w:rPr>
          <w:tab/>
        </w:r>
        <w:r w:rsidR="00163B51">
          <w:rPr>
            <w:noProof/>
            <w:webHidden/>
          </w:rPr>
          <w:fldChar w:fldCharType="begin"/>
        </w:r>
        <w:r w:rsidR="00163B51">
          <w:rPr>
            <w:noProof/>
            <w:webHidden/>
          </w:rPr>
          <w:instrText xml:space="preserve"> PAGEREF _Toc203032884 \h </w:instrText>
        </w:r>
        <w:r w:rsidR="00163B51">
          <w:rPr>
            <w:noProof/>
            <w:webHidden/>
          </w:rPr>
        </w:r>
        <w:r w:rsidR="00163B51">
          <w:rPr>
            <w:noProof/>
            <w:webHidden/>
          </w:rPr>
          <w:fldChar w:fldCharType="separate"/>
        </w:r>
        <w:r w:rsidR="00163B51">
          <w:rPr>
            <w:noProof/>
            <w:webHidden/>
          </w:rPr>
          <w:t>86</w:t>
        </w:r>
        <w:r w:rsidR="00163B51">
          <w:rPr>
            <w:noProof/>
            <w:webHidden/>
          </w:rPr>
          <w:fldChar w:fldCharType="end"/>
        </w:r>
      </w:hyperlink>
    </w:p>
    <w:p w14:paraId="5ED68D91" w14:textId="06E4BC6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5" w:history="1">
        <w:r w:rsidR="00163B51" w:rsidRPr="009535BD">
          <w:rPr>
            <w:rStyle w:val="Hypertextovodkaz"/>
            <w:noProof/>
          </w:rPr>
          <w:t>Graf 58: KS – délka prvostupňového civilního řízení v letech 2015–2024</w:t>
        </w:r>
        <w:r w:rsidR="00163B51">
          <w:rPr>
            <w:noProof/>
            <w:webHidden/>
          </w:rPr>
          <w:tab/>
        </w:r>
        <w:r w:rsidR="00163B51">
          <w:rPr>
            <w:noProof/>
            <w:webHidden/>
          </w:rPr>
          <w:fldChar w:fldCharType="begin"/>
        </w:r>
        <w:r w:rsidR="00163B51">
          <w:rPr>
            <w:noProof/>
            <w:webHidden/>
          </w:rPr>
          <w:instrText xml:space="preserve"> PAGEREF _Toc203032885 \h </w:instrText>
        </w:r>
        <w:r w:rsidR="00163B51">
          <w:rPr>
            <w:noProof/>
            <w:webHidden/>
          </w:rPr>
        </w:r>
        <w:r w:rsidR="00163B51">
          <w:rPr>
            <w:noProof/>
            <w:webHidden/>
          </w:rPr>
          <w:fldChar w:fldCharType="separate"/>
        </w:r>
        <w:r w:rsidR="00163B51">
          <w:rPr>
            <w:noProof/>
            <w:webHidden/>
          </w:rPr>
          <w:t>91</w:t>
        </w:r>
        <w:r w:rsidR="00163B51">
          <w:rPr>
            <w:noProof/>
            <w:webHidden/>
          </w:rPr>
          <w:fldChar w:fldCharType="end"/>
        </w:r>
      </w:hyperlink>
    </w:p>
    <w:p w14:paraId="6801E27E" w14:textId="6ACC600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6" w:history="1">
        <w:r w:rsidR="00163B51" w:rsidRPr="009535BD">
          <w:rPr>
            <w:rStyle w:val="Hypertextovodkaz"/>
            <w:noProof/>
          </w:rPr>
          <w:t>Graf 59: KS – distribuce délek civilního řízení, 2024</w:t>
        </w:r>
        <w:r w:rsidR="00163B51">
          <w:rPr>
            <w:noProof/>
            <w:webHidden/>
          </w:rPr>
          <w:tab/>
        </w:r>
        <w:r w:rsidR="00163B51">
          <w:rPr>
            <w:noProof/>
            <w:webHidden/>
          </w:rPr>
          <w:fldChar w:fldCharType="begin"/>
        </w:r>
        <w:r w:rsidR="00163B51">
          <w:rPr>
            <w:noProof/>
            <w:webHidden/>
          </w:rPr>
          <w:instrText xml:space="preserve"> PAGEREF _Toc203032886 \h </w:instrText>
        </w:r>
        <w:r w:rsidR="00163B51">
          <w:rPr>
            <w:noProof/>
            <w:webHidden/>
          </w:rPr>
        </w:r>
        <w:r w:rsidR="00163B51">
          <w:rPr>
            <w:noProof/>
            <w:webHidden/>
          </w:rPr>
          <w:fldChar w:fldCharType="separate"/>
        </w:r>
        <w:r w:rsidR="00163B51">
          <w:rPr>
            <w:noProof/>
            <w:webHidden/>
          </w:rPr>
          <w:t>92</w:t>
        </w:r>
        <w:r w:rsidR="00163B51">
          <w:rPr>
            <w:noProof/>
            <w:webHidden/>
          </w:rPr>
          <w:fldChar w:fldCharType="end"/>
        </w:r>
      </w:hyperlink>
    </w:p>
    <w:p w14:paraId="2B5AEE6A" w14:textId="1961ADE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7" w:history="1">
        <w:r w:rsidR="00163B51" w:rsidRPr="009535BD">
          <w:rPr>
            <w:rStyle w:val="Hypertextovodkaz"/>
            <w:noProof/>
          </w:rPr>
          <w:t>Graf 60: KS – vyřizování prvostupňových civilních věcí v letech 2015–2024</w:t>
        </w:r>
        <w:r w:rsidR="00163B51">
          <w:rPr>
            <w:noProof/>
            <w:webHidden/>
          </w:rPr>
          <w:tab/>
        </w:r>
        <w:r w:rsidR="00163B51">
          <w:rPr>
            <w:noProof/>
            <w:webHidden/>
          </w:rPr>
          <w:fldChar w:fldCharType="begin"/>
        </w:r>
        <w:r w:rsidR="00163B51">
          <w:rPr>
            <w:noProof/>
            <w:webHidden/>
          </w:rPr>
          <w:instrText xml:space="preserve"> PAGEREF _Toc203032887 \h </w:instrText>
        </w:r>
        <w:r w:rsidR="00163B51">
          <w:rPr>
            <w:noProof/>
            <w:webHidden/>
          </w:rPr>
        </w:r>
        <w:r w:rsidR="00163B51">
          <w:rPr>
            <w:noProof/>
            <w:webHidden/>
          </w:rPr>
          <w:fldChar w:fldCharType="separate"/>
        </w:r>
        <w:r w:rsidR="00163B51">
          <w:rPr>
            <w:noProof/>
            <w:webHidden/>
          </w:rPr>
          <w:t>93</w:t>
        </w:r>
        <w:r w:rsidR="00163B51">
          <w:rPr>
            <w:noProof/>
            <w:webHidden/>
          </w:rPr>
          <w:fldChar w:fldCharType="end"/>
        </w:r>
      </w:hyperlink>
    </w:p>
    <w:p w14:paraId="5A792EE6" w14:textId="718A5F4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8" w:history="1">
        <w:r w:rsidR="00163B51" w:rsidRPr="009535BD">
          <w:rPr>
            <w:rStyle w:val="Hypertextovodkaz"/>
            <w:noProof/>
          </w:rPr>
          <w:t>Graf 61: KS – vyřizování věcí v letech 2014–2024, pouze rejstřík Cm</w:t>
        </w:r>
        <w:r w:rsidR="00163B51">
          <w:rPr>
            <w:noProof/>
            <w:webHidden/>
          </w:rPr>
          <w:tab/>
        </w:r>
        <w:r w:rsidR="00163B51">
          <w:rPr>
            <w:noProof/>
            <w:webHidden/>
          </w:rPr>
          <w:fldChar w:fldCharType="begin"/>
        </w:r>
        <w:r w:rsidR="00163B51">
          <w:rPr>
            <w:noProof/>
            <w:webHidden/>
          </w:rPr>
          <w:instrText xml:space="preserve"> PAGEREF _Toc203032888 \h </w:instrText>
        </w:r>
        <w:r w:rsidR="00163B51">
          <w:rPr>
            <w:noProof/>
            <w:webHidden/>
          </w:rPr>
        </w:r>
        <w:r w:rsidR="00163B51">
          <w:rPr>
            <w:noProof/>
            <w:webHidden/>
          </w:rPr>
          <w:fldChar w:fldCharType="separate"/>
        </w:r>
        <w:r w:rsidR="00163B51">
          <w:rPr>
            <w:noProof/>
            <w:webHidden/>
          </w:rPr>
          <w:t>94</w:t>
        </w:r>
        <w:r w:rsidR="00163B51">
          <w:rPr>
            <w:noProof/>
            <w:webHidden/>
          </w:rPr>
          <w:fldChar w:fldCharType="end"/>
        </w:r>
      </w:hyperlink>
    </w:p>
    <w:p w14:paraId="760917F3" w14:textId="2B4F90A5"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9" w:history="1">
        <w:r w:rsidR="00163B51" w:rsidRPr="009535BD">
          <w:rPr>
            <w:rStyle w:val="Hypertextovodkaz"/>
            <w:noProof/>
          </w:rPr>
          <w:t>Graf 62: KS – DT prvostupňového civilního řízení v letech 2015–2024</w:t>
        </w:r>
        <w:r w:rsidR="00163B51">
          <w:rPr>
            <w:noProof/>
            <w:webHidden/>
          </w:rPr>
          <w:tab/>
        </w:r>
        <w:r w:rsidR="00163B51">
          <w:rPr>
            <w:noProof/>
            <w:webHidden/>
          </w:rPr>
          <w:fldChar w:fldCharType="begin"/>
        </w:r>
        <w:r w:rsidR="00163B51">
          <w:rPr>
            <w:noProof/>
            <w:webHidden/>
          </w:rPr>
          <w:instrText xml:space="preserve"> PAGEREF _Toc203032889 \h </w:instrText>
        </w:r>
        <w:r w:rsidR="00163B51">
          <w:rPr>
            <w:noProof/>
            <w:webHidden/>
          </w:rPr>
        </w:r>
        <w:r w:rsidR="00163B51">
          <w:rPr>
            <w:noProof/>
            <w:webHidden/>
          </w:rPr>
          <w:fldChar w:fldCharType="separate"/>
        </w:r>
        <w:r w:rsidR="00163B51">
          <w:rPr>
            <w:noProof/>
            <w:webHidden/>
          </w:rPr>
          <w:t>96</w:t>
        </w:r>
        <w:r w:rsidR="00163B51">
          <w:rPr>
            <w:noProof/>
            <w:webHidden/>
          </w:rPr>
          <w:fldChar w:fldCharType="end"/>
        </w:r>
      </w:hyperlink>
    </w:p>
    <w:p w14:paraId="55E8C2C8" w14:textId="26BE3DD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0" w:history="1">
        <w:r w:rsidR="00163B51" w:rsidRPr="009535BD">
          <w:rPr>
            <w:rStyle w:val="Hypertextovodkaz"/>
            <w:noProof/>
          </w:rPr>
          <w:t>Graf 63: KS – podíl vybraných předmětů sporu v letech 2015–2024</w:t>
        </w:r>
        <w:r w:rsidR="00163B51">
          <w:rPr>
            <w:noProof/>
            <w:webHidden/>
          </w:rPr>
          <w:tab/>
        </w:r>
        <w:r w:rsidR="00163B51">
          <w:rPr>
            <w:noProof/>
            <w:webHidden/>
          </w:rPr>
          <w:fldChar w:fldCharType="begin"/>
        </w:r>
        <w:r w:rsidR="00163B51">
          <w:rPr>
            <w:noProof/>
            <w:webHidden/>
          </w:rPr>
          <w:instrText xml:space="preserve"> PAGEREF _Toc203032890 \h </w:instrText>
        </w:r>
        <w:r w:rsidR="00163B51">
          <w:rPr>
            <w:noProof/>
            <w:webHidden/>
          </w:rPr>
        </w:r>
        <w:r w:rsidR="00163B51">
          <w:rPr>
            <w:noProof/>
            <w:webHidden/>
          </w:rPr>
          <w:fldChar w:fldCharType="separate"/>
        </w:r>
        <w:r w:rsidR="00163B51">
          <w:rPr>
            <w:noProof/>
            <w:webHidden/>
          </w:rPr>
          <w:t>99</w:t>
        </w:r>
        <w:r w:rsidR="00163B51">
          <w:rPr>
            <w:noProof/>
            <w:webHidden/>
          </w:rPr>
          <w:fldChar w:fldCharType="end"/>
        </w:r>
      </w:hyperlink>
    </w:p>
    <w:p w14:paraId="5D855616" w14:textId="6A5D5ED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1" w:history="1">
        <w:r w:rsidR="00163B51" w:rsidRPr="009535BD">
          <w:rPr>
            <w:rStyle w:val="Hypertextovodkaz"/>
            <w:noProof/>
          </w:rPr>
          <w:t>Graf 64: KS – délka odvolacího civilního řízení v letech 2015–2024 (rejstřík C)</w:t>
        </w:r>
        <w:r w:rsidR="00163B51">
          <w:rPr>
            <w:noProof/>
            <w:webHidden/>
          </w:rPr>
          <w:tab/>
        </w:r>
        <w:r w:rsidR="00163B51">
          <w:rPr>
            <w:noProof/>
            <w:webHidden/>
          </w:rPr>
          <w:fldChar w:fldCharType="begin"/>
        </w:r>
        <w:r w:rsidR="00163B51">
          <w:rPr>
            <w:noProof/>
            <w:webHidden/>
          </w:rPr>
          <w:instrText xml:space="preserve"> PAGEREF _Toc203032891 \h </w:instrText>
        </w:r>
        <w:r w:rsidR="00163B51">
          <w:rPr>
            <w:noProof/>
            <w:webHidden/>
          </w:rPr>
        </w:r>
        <w:r w:rsidR="00163B51">
          <w:rPr>
            <w:noProof/>
            <w:webHidden/>
          </w:rPr>
          <w:fldChar w:fldCharType="separate"/>
        </w:r>
        <w:r w:rsidR="00163B51">
          <w:rPr>
            <w:noProof/>
            <w:webHidden/>
          </w:rPr>
          <w:t>101</w:t>
        </w:r>
        <w:r w:rsidR="00163B51">
          <w:rPr>
            <w:noProof/>
            <w:webHidden/>
          </w:rPr>
          <w:fldChar w:fldCharType="end"/>
        </w:r>
      </w:hyperlink>
    </w:p>
    <w:p w14:paraId="5F446541" w14:textId="39E3ADB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2" w:history="1">
        <w:r w:rsidR="00163B51" w:rsidRPr="009535BD">
          <w:rPr>
            <w:rStyle w:val="Hypertextovodkaz"/>
            <w:noProof/>
          </w:rPr>
          <w:t>Graf 65: KS – distribuce délek odvolacího civilního řízení (rejstřík C)</w:t>
        </w:r>
        <w:r w:rsidR="00163B51">
          <w:rPr>
            <w:noProof/>
            <w:webHidden/>
          </w:rPr>
          <w:tab/>
        </w:r>
        <w:r w:rsidR="00163B51">
          <w:rPr>
            <w:noProof/>
            <w:webHidden/>
          </w:rPr>
          <w:fldChar w:fldCharType="begin"/>
        </w:r>
        <w:r w:rsidR="00163B51">
          <w:rPr>
            <w:noProof/>
            <w:webHidden/>
          </w:rPr>
          <w:instrText xml:space="preserve"> PAGEREF _Toc203032892 \h </w:instrText>
        </w:r>
        <w:r w:rsidR="00163B51">
          <w:rPr>
            <w:noProof/>
            <w:webHidden/>
          </w:rPr>
        </w:r>
        <w:r w:rsidR="00163B51">
          <w:rPr>
            <w:noProof/>
            <w:webHidden/>
          </w:rPr>
          <w:fldChar w:fldCharType="separate"/>
        </w:r>
        <w:r w:rsidR="00163B51">
          <w:rPr>
            <w:noProof/>
            <w:webHidden/>
          </w:rPr>
          <w:t>102</w:t>
        </w:r>
        <w:r w:rsidR="00163B51">
          <w:rPr>
            <w:noProof/>
            <w:webHidden/>
          </w:rPr>
          <w:fldChar w:fldCharType="end"/>
        </w:r>
      </w:hyperlink>
    </w:p>
    <w:p w14:paraId="5DED5198" w14:textId="437DFA2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3" w:history="1">
        <w:r w:rsidR="00163B51" w:rsidRPr="009535BD">
          <w:rPr>
            <w:rStyle w:val="Hypertextovodkaz"/>
            <w:noProof/>
          </w:rPr>
          <w:t>Graf 66: KS – délka odvol. civilního řízení v letech 2015–2024 (rejstřík P a Nc)</w:t>
        </w:r>
        <w:r w:rsidR="00163B51">
          <w:rPr>
            <w:noProof/>
            <w:webHidden/>
          </w:rPr>
          <w:tab/>
        </w:r>
        <w:r w:rsidR="00163B51">
          <w:rPr>
            <w:noProof/>
            <w:webHidden/>
          </w:rPr>
          <w:fldChar w:fldCharType="begin"/>
        </w:r>
        <w:r w:rsidR="00163B51">
          <w:rPr>
            <w:noProof/>
            <w:webHidden/>
          </w:rPr>
          <w:instrText xml:space="preserve"> PAGEREF _Toc203032893 \h </w:instrText>
        </w:r>
        <w:r w:rsidR="00163B51">
          <w:rPr>
            <w:noProof/>
            <w:webHidden/>
          </w:rPr>
        </w:r>
        <w:r w:rsidR="00163B51">
          <w:rPr>
            <w:noProof/>
            <w:webHidden/>
          </w:rPr>
          <w:fldChar w:fldCharType="separate"/>
        </w:r>
        <w:r w:rsidR="00163B51">
          <w:rPr>
            <w:noProof/>
            <w:webHidden/>
          </w:rPr>
          <w:t>103</w:t>
        </w:r>
        <w:r w:rsidR="00163B51">
          <w:rPr>
            <w:noProof/>
            <w:webHidden/>
          </w:rPr>
          <w:fldChar w:fldCharType="end"/>
        </w:r>
      </w:hyperlink>
    </w:p>
    <w:p w14:paraId="74600C08" w14:textId="6046626A"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4" w:history="1">
        <w:r w:rsidR="00163B51" w:rsidRPr="009535BD">
          <w:rPr>
            <w:rStyle w:val="Hypertextovodkaz"/>
            <w:noProof/>
          </w:rPr>
          <w:t>Graf 67: KS – distribuce délek odvolacího civilního řízení (rejstřík P a Nc)</w:t>
        </w:r>
        <w:r w:rsidR="00163B51">
          <w:rPr>
            <w:noProof/>
            <w:webHidden/>
          </w:rPr>
          <w:tab/>
        </w:r>
        <w:r w:rsidR="00163B51">
          <w:rPr>
            <w:noProof/>
            <w:webHidden/>
          </w:rPr>
          <w:fldChar w:fldCharType="begin"/>
        </w:r>
        <w:r w:rsidR="00163B51">
          <w:rPr>
            <w:noProof/>
            <w:webHidden/>
          </w:rPr>
          <w:instrText xml:space="preserve"> PAGEREF _Toc203032894 \h </w:instrText>
        </w:r>
        <w:r w:rsidR="00163B51">
          <w:rPr>
            <w:noProof/>
            <w:webHidden/>
          </w:rPr>
        </w:r>
        <w:r w:rsidR="00163B51">
          <w:rPr>
            <w:noProof/>
            <w:webHidden/>
          </w:rPr>
          <w:fldChar w:fldCharType="separate"/>
        </w:r>
        <w:r w:rsidR="00163B51">
          <w:rPr>
            <w:noProof/>
            <w:webHidden/>
          </w:rPr>
          <w:t>104</w:t>
        </w:r>
        <w:r w:rsidR="00163B51">
          <w:rPr>
            <w:noProof/>
            <w:webHidden/>
          </w:rPr>
          <w:fldChar w:fldCharType="end"/>
        </w:r>
      </w:hyperlink>
    </w:p>
    <w:p w14:paraId="23BA8A9D" w14:textId="45649E0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5" w:history="1">
        <w:r w:rsidR="00163B51" w:rsidRPr="009535BD">
          <w:rPr>
            <w:rStyle w:val="Hypertextovodkaz"/>
            <w:noProof/>
          </w:rPr>
          <w:t>Graf 68: KS – vyřizování odvolacích civilních věcí v letech 2015–2024</w:t>
        </w:r>
        <w:r w:rsidR="00163B51">
          <w:rPr>
            <w:noProof/>
            <w:webHidden/>
          </w:rPr>
          <w:tab/>
        </w:r>
        <w:r w:rsidR="00163B51">
          <w:rPr>
            <w:noProof/>
            <w:webHidden/>
          </w:rPr>
          <w:fldChar w:fldCharType="begin"/>
        </w:r>
        <w:r w:rsidR="00163B51">
          <w:rPr>
            <w:noProof/>
            <w:webHidden/>
          </w:rPr>
          <w:instrText xml:space="preserve"> PAGEREF _Toc203032895 \h </w:instrText>
        </w:r>
        <w:r w:rsidR="00163B51">
          <w:rPr>
            <w:noProof/>
            <w:webHidden/>
          </w:rPr>
        </w:r>
        <w:r w:rsidR="00163B51">
          <w:rPr>
            <w:noProof/>
            <w:webHidden/>
          </w:rPr>
          <w:fldChar w:fldCharType="separate"/>
        </w:r>
        <w:r w:rsidR="00163B51">
          <w:rPr>
            <w:noProof/>
            <w:webHidden/>
          </w:rPr>
          <w:t>105</w:t>
        </w:r>
        <w:r w:rsidR="00163B51">
          <w:rPr>
            <w:noProof/>
            <w:webHidden/>
          </w:rPr>
          <w:fldChar w:fldCharType="end"/>
        </w:r>
      </w:hyperlink>
    </w:p>
    <w:p w14:paraId="46647EAE" w14:textId="68CAE3E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6" w:history="1">
        <w:r w:rsidR="00163B51" w:rsidRPr="009535BD">
          <w:rPr>
            <w:rStyle w:val="Hypertextovodkaz"/>
            <w:noProof/>
          </w:rPr>
          <w:t>Graf 69: KS – vyřizování odvolacích civilních věcí v letech 2015–2024, jen proti rozhodnutí soudu</w:t>
        </w:r>
        <w:r w:rsidR="00163B51">
          <w:rPr>
            <w:noProof/>
            <w:webHidden/>
          </w:rPr>
          <w:tab/>
        </w:r>
        <w:r w:rsidR="00163B51">
          <w:rPr>
            <w:noProof/>
            <w:webHidden/>
          </w:rPr>
          <w:fldChar w:fldCharType="begin"/>
        </w:r>
        <w:r w:rsidR="00163B51">
          <w:rPr>
            <w:noProof/>
            <w:webHidden/>
          </w:rPr>
          <w:instrText xml:space="preserve"> PAGEREF _Toc203032896 \h </w:instrText>
        </w:r>
        <w:r w:rsidR="00163B51">
          <w:rPr>
            <w:noProof/>
            <w:webHidden/>
          </w:rPr>
        </w:r>
        <w:r w:rsidR="00163B51">
          <w:rPr>
            <w:noProof/>
            <w:webHidden/>
          </w:rPr>
          <w:fldChar w:fldCharType="separate"/>
        </w:r>
        <w:r w:rsidR="00163B51">
          <w:rPr>
            <w:noProof/>
            <w:webHidden/>
          </w:rPr>
          <w:t>106</w:t>
        </w:r>
        <w:r w:rsidR="00163B51">
          <w:rPr>
            <w:noProof/>
            <w:webHidden/>
          </w:rPr>
          <w:fldChar w:fldCharType="end"/>
        </w:r>
      </w:hyperlink>
    </w:p>
    <w:p w14:paraId="185CA44B" w14:textId="32C86D4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7" w:history="1">
        <w:r w:rsidR="00163B51" w:rsidRPr="009535BD">
          <w:rPr>
            <w:rStyle w:val="Hypertextovodkaz"/>
            <w:noProof/>
          </w:rPr>
          <w:t>Graf 70: KS – DT odvolacího civilního řízení v letech 2015–2024</w:t>
        </w:r>
        <w:r w:rsidR="00163B51">
          <w:rPr>
            <w:noProof/>
            <w:webHidden/>
          </w:rPr>
          <w:tab/>
        </w:r>
        <w:r w:rsidR="00163B51">
          <w:rPr>
            <w:noProof/>
            <w:webHidden/>
          </w:rPr>
          <w:fldChar w:fldCharType="begin"/>
        </w:r>
        <w:r w:rsidR="00163B51">
          <w:rPr>
            <w:noProof/>
            <w:webHidden/>
          </w:rPr>
          <w:instrText xml:space="preserve"> PAGEREF _Toc203032897 \h </w:instrText>
        </w:r>
        <w:r w:rsidR="00163B51">
          <w:rPr>
            <w:noProof/>
            <w:webHidden/>
          </w:rPr>
        </w:r>
        <w:r w:rsidR="00163B51">
          <w:rPr>
            <w:noProof/>
            <w:webHidden/>
          </w:rPr>
          <w:fldChar w:fldCharType="separate"/>
        </w:r>
        <w:r w:rsidR="00163B51">
          <w:rPr>
            <w:noProof/>
            <w:webHidden/>
          </w:rPr>
          <w:t>108</w:t>
        </w:r>
        <w:r w:rsidR="00163B51">
          <w:rPr>
            <w:noProof/>
            <w:webHidden/>
          </w:rPr>
          <w:fldChar w:fldCharType="end"/>
        </w:r>
      </w:hyperlink>
    </w:p>
    <w:p w14:paraId="351784DF" w14:textId="767016E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8" w:history="1">
        <w:r w:rsidR="00163B51" w:rsidRPr="009535BD">
          <w:rPr>
            <w:rStyle w:val="Hypertextovodkaz"/>
            <w:noProof/>
          </w:rPr>
          <w:t>Graf 71: KS – délka prvostupňového trestního řízení v letech 2015–2024</w:t>
        </w:r>
        <w:r w:rsidR="00163B51">
          <w:rPr>
            <w:noProof/>
            <w:webHidden/>
          </w:rPr>
          <w:tab/>
        </w:r>
        <w:r w:rsidR="00163B51">
          <w:rPr>
            <w:noProof/>
            <w:webHidden/>
          </w:rPr>
          <w:fldChar w:fldCharType="begin"/>
        </w:r>
        <w:r w:rsidR="00163B51">
          <w:rPr>
            <w:noProof/>
            <w:webHidden/>
          </w:rPr>
          <w:instrText xml:space="preserve"> PAGEREF _Toc203032898 \h </w:instrText>
        </w:r>
        <w:r w:rsidR="00163B51">
          <w:rPr>
            <w:noProof/>
            <w:webHidden/>
          </w:rPr>
        </w:r>
        <w:r w:rsidR="00163B51">
          <w:rPr>
            <w:noProof/>
            <w:webHidden/>
          </w:rPr>
          <w:fldChar w:fldCharType="separate"/>
        </w:r>
        <w:r w:rsidR="00163B51">
          <w:rPr>
            <w:noProof/>
            <w:webHidden/>
          </w:rPr>
          <w:t>109</w:t>
        </w:r>
        <w:r w:rsidR="00163B51">
          <w:rPr>
            <w:noProof/>
            <w:webHidden/>
          </w:rPr>
          <w:fldChar w:fldCharType="end"/>
        </w:r>
      </w:hyperlink>
    </w:p>
    <w:p w14:paraId="62513E9E" w14:textId="29EECCF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9" w:history="1">
        <w:r w:rsidR="00163B51" w:rsidRPr="009535BD">
          <w:rPr>
            <w:rStyle w:val="Hypertextovodkaz"/>
            <w:noProof/>
          </w:rPr>
          <w:t>Graf 72: KS – distribuce délek prvostupňového trestního řízení, 2024</w:t>
        </w:r>
        <w:r w:rsidR="00163B51">
          <w:rPr>
            <w:noProof/>
            <w:webHidden/>
          </w:rPr>
          <w:tab/>
        </w:r>
        <w:r w:rsidR="00163B51">
          <w:rPr>
            <w:noProof/>
            <w:webHidden/>
          </w:rPr>
          <w:fldChar w:fldCharType="begin"/>
        </w:r>
        <w:r w:rsidR="00163B51">
          <w:rPr>
            <w:noProof/>
            <w:webHidden/>
          </w:rPr>
          <w:instrText xml:space="preserve"> PAGEREF _Toc203032899 \h </w:instrText>
        </w:r>
        <w:r w:rsidR="00163B51">
          <w:rPr>
            <w:noProof/>
            <w:webHidden/>
          </w:rPr>
        </w:r>
        <w:r w:rsidR="00163B51">
          <w:rPr>
            <w:noProof/>
            <w:webHidden/>
          </w:rPr>
          <w:fldChar w:fldCharType="separate"/>
        </w:r>
        <w:r w:rsidR="00163B51">
          <w:rPr>
            <w:noProof/>
            <w:webHidden/>
          </w:rPr>
          <w:t>110</w:t>
        </w:r>
        <w:r w:rsidR="00163B51">
          <w:rPr>
            <w:noProof/>
            <w:webHidden/>
          </w:rPr>
          <w:fldChar w:fldCharType="end"/>
        </w:r>
      </w:hyperlink>
    </w:p>
    <w:p w14:paraId="61DC2AE8" w14:textId="287BB24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0" w:history="1">
        <w:r w:rsidR="00163B51" w:rsidRPr="009535BD">
          <w:rPr>
            <w:rStyle w:val="Hypertextovodkaz"/>
            <w:noProof/>
          </w:rPr>
          <w:t>Graf 73: KS – vyřizování prvostupňových trestních věcí v letech 2015–2024</w:t>
        </w:r>
        <w:r w:rsidR="00163B51">
          <w:rPr>
            <w:noProof/>
            <w:webHidden/>
          </w:rPr>
          <w:tab/>
        </w:r>
        <w:r w:rsidR="00163B51">
          <w:rPr>
            <w:noProof/>
            <w:webHidden/>
          </w:rPr>
          <w:fldChar w:fldCharType="begin"/>
        </w:r>
        <w:r w:rsidR="00163B51">
          <w:rPr>
            <w:noProof/>
            <w:webHidden/>
          </w:rPr>
          <w:instrText xml:space="preserve"> PAGEREF _Toc203032900 \h </w:instrText>
        </w:r>
        <w:r w:rsidR="00163B51">
          <w:rPr>
            <w:noProof/>
            <w:webHidden/>
          </w:rPr>
        </w:r>
        <w:r w:rsidR="00163B51">
          <w:rPr>
            <w:noProof/>
            <w:webHidden/>
          </w:rPr>
          <w:fldChar w:fldCharType="separate"/>
        </w:r>
        <w:r w:rsidR="00163B51">
          <w:rPr>
            <w:noProof/>
            <w:webHidden/>
          </w:rPr>
          <w:t>111</w:t>
        </w:r>
        <w:r w:rsidR="00163B51">
          <w:rPr>
            <w:noProof/>
            <w:webHidden/>
          </w:rPr>
          <w:fldChar w:fldCharType="end"/>
        </w:r>
      </w:hyperlink>
    </w:p>
    <w:p w14:paraId="5666FB9E" w14:textId="0EC6F05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1" w:history="1">
        <w:r w:rsidR="00163B51" w:rsidRPr="009535BD">
          <w:rPr>
            <w:rStyle w:val="Hypertextovodkaz"/>
            <w:noProof/>
          </w:rPr>
          <w:t>Graf 74: KS – DT prvostupňového trestního řízení v letech 2015–2024</w:t>
        </w:r>
        <w:r w:rsidR="00163B51">
          <w:rPr>
            <w:noProof/>
            <w:webHidden/>
          </w:rPr>
          <w:tab/>
        </w:r>
        <w:r w:rsidR="00163B51">
          <w:rPr>
            <w:noProof/>
            <w:webHidden/>
          </w:rPr>
          <w:fldChar w:fldCharType="begin"/>
        </w:r>
        <w:r w:rsidR="00163B51">
          <w:rPr>
            <w:noProof/>
            <w:webHidden/>
          </w:rPr>
          <w:instrText xml:space="preserve"> PAGEREF _Toc203032901 \h </w:instrText>
        </w:r>
        <w:r w:rsidR="00163B51">
          <w:rPr>
            <w:noProof/>
            <w:webHidden/>
          </w:rPr>
        </w:r>
        <w:r w:rsidR="00163B51">
          <w:rPr>
            <w:noProof/>
            <w:webHidden/>
          </w:rPr>
          <w:fldChar w:fldCharType="separate"/>
        </w:r>
        <w:r w:rsidR="00163B51">
          <w:rPr>
            <w:noProof/>
            <w:webHidden/>
          </w:rPr>
          <w:t>114</w:t>
        </w:r>
        <w:r w:rsidR="00163B51">
          <w:rPr>
            <w:noProof/>
            <w:webHidden/>
          </w:rPr>
          <w:fldChar w:fldCharType="end"/>
        </w:r>
      </w:hyperlink>
    </w:p>
    <w:p w14:paraId="47CFC779" w14:textId="684C4DF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2" w:history="1">
        <w:r w:rsidR="00163B51" w:rsidRPr="009535BD">
          <w:rPr>
            <w:rStyle w:val="Hypertextovodkaz"/>
            <w:noProof/>
          </w:rPr>
          <w:t>Graf 75: OS – výše uložených NEPO dle délky</w:t>
        </w:r>
        <w:r w:rsidR="00163B51">
          <w:rPr>
            <w:noProof/>
            <w:webHidden/>
          </w:rPr>
          <w:tab/>
        </w:r>
        <w:r w:rsidR="00163B51">
          <w:rPr>
            <w:noProof/>
            <w:webHidden/>
          </w:rPr>
          <w:fldChar w:fldCharType="begin"/>
        </w:r>
        <w:r w:rsidR="00163B51">
          <w:rPr>
            <w:noProof/>
            <w:webHidden/>
          </w:rPr>
          <w:instrText xml:space="preserve"> PAGEREF _Toc203032902 \h </w:instrText>
        </w:r>
        <w:r w:rsidR="00163B51">
          <w:rPr>
            <w:noProof/>
            <w:webHidden/>
          </w:rPr>
        </w:r>
        <w:r w:rsidR="00163B51">
          <w:rPr>
            <w:noProof/>
            <w:webHidden/>
          </w:rPr>
          <w:fldChar w:fldCharType="separate"/>
        </w:r>
        <w:r w:rsidR="00163B51">
          <w:rPr>
            <w:noProof/>
            <w:webHidden/>
          </w:rPr>
          <w:t>117</w:t>
        </w:r>
        <w:r w:rsidR="00163B51">
          <w:rPr>
            <w:noProof/>
            <w:webHidden/>
          </w:rPr>
          <w:fldChar w:fldCharType="end"/>
        </w:r>
      </w:hyperlink>
    </w:p>
    <w:p w14:paraId="09243617" w14:textId="0DACD0A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3" w:history="1">
        <w:r w:rsidR="00163B51" w:rsidRPr="009535BD">
          <w:rPr>
            <w:rStyle w:val="Hypertextovodkaz"/>
            <w:noProof/>
          </w:rPr>
          <w:t>Graf 76: KS – délka odvolacího trestního řízení v letech 2015–2024</w:t>
        </w:r>
        <w:r w:rsidR="00163B51">
          <w:rPr>
            <w:noProof/>
            <w:webHidden/>
          </w:rPr>
          <w:tab/>
        </w:r>
        <w:r w:rsidR="00163B51">
          <w:rPr>
            <w:noProof/>
            <w:webHidden/>
          </w:rPr>
          <w:fldChar w:fldCharType="begin"/>
        </w:r>
        <w:r w:rsidR="00163B51">
          <w:rPr>
            <w:noProof/>
            <w:webHidden/>
          </w:rPr>
          <w:instrText xml:space="preserve"> PAGEREF _Toc203032903 \h </w:instrText>
        </w:r>
        <w:r w:rsidR="00163B51">
          <w:rPr>
            <w:noProof/>
            <w:webHidden/>
          </w:rPr>
        </w:r>
        <w:r w:rsidR="00163B51">
          <w:rPr>
            <w:noProof/>
            <w:webHidden/>
          </w:rPr>
          <w:fldChar w:fldCharType="separate"/>
        </w:r>
        <w:r w:rsidR="00163B51">
          <w:rPr>
            <w:noProof/>
            <w:webHidden/>
          </w:rPr>
          <w:t>118</w:t>
        </w:r>
        <w:r w:rsidR="00163B51">
          <w:rPr>
            <w:noProof/>
            <w:webHidden/>
          </w:rPr>
          <w:fldChar w:fldCharType="end"/>
        </w:r>
      </w:hyperlink>
    </w:p>
    <w:p w14:paraId="4D3BCE9F" w14:textId="07C8BD4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4" w:history="1">
        <w:r w:rsidR="00163B51" w:rsidRPr="009535BD">
          <w:rPr>
            <w:rStyle w:val="Hypertextovodkaz"/>
            <w:noProof/>
          </w:rPr>
          <w:t>Graf 77: KS – distribuce délek trestního odvolacího řízení</w:t>
        </w:r>
        <w:r w:rsidR="00163B51">
          <w:rPr>
            <w:noProof/>
            <w:webHidden/>
          </w:rPr>
          <w:tab/>
        </w:r>
        <w:r w:rsidR="00163B51">
          <w:rPr>
            <w:noProof/>
            <w:webHidden/>
          </w:rPr>
          <w:fldChar w:fldCharType="begin"/>
        </w:r>
        <w:r w:rsidR="00163B51">
          <w:rPr>
            <w:noProof/>
            <w:webHidden/>
          </w:rPr>
          <w:instrText xml:space="preserve"> PAGEREF _Toc203032904 \h </w:instrText>
        </w:r>
        <w:r w:rsidR="00163B51">
          <w:rPr>
            <w:noProof/>
            <w:webHidden/>
          </w:rPr>
        </w:r>
        <w:r w:rsidR="00163B51">
          <w:rPr>
            <w:noProof/>
            <w:webHidden/>
          </w:rPr>
          <w:fldChar w:fldCharType="separate"/>
        </w:r>
        <w:r w:rsidR="00163B51">
          <w:rPr>
            <w:noProof/>
            <w:webHidden/>
          </w:rPr>
          <w:t>119</w:t>
        </w:r>
        <w:r w:rsidR="00163B51">
          <w:rPr>
            <w:noProof/>
            <w:webHidden/>
          </w:rPr>
          <w:fldChar w:fldCharType="end"/>
        </w:r>
      </w:hyperlink>
    </w:p>
    <w:p w14:paraId="0A72816E" w14:textId="36ABC385"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5" w:history="1">
        <w:r w:rsidR="00163B51" w:rsidRPr="009535BD">
          <w:rPr>
            <w:rStyle w:val="Hypertextovodkaz"/>
            <w:noProof/>
          </w:rPr>
          <w:t>Graf 78: KS – vyřizování odvolacích trestních věcí v letech 2014–2024</w:t>
        </w:r>
        <w:r w:rsidR="00163B51">
          <w:rPr>
            <w:noProof/>
            <w:webHidden/>
          </w:rPr>
          <w:tab/>
        </w:r>
        <w:r w:rsidR="00163B51">
          <w:rPr>
            <w:noProof/>
            <w:webHidden/>
          </w:rPr>
          <w:fldChar w:fldCharType="begin"/>
        </w:r>
        <w:r w:rsidR="00163B51">
          <w:rPr>
            <w:noProof/>
            <w:webHidden/>
          </w:rPr>
          <w:instrText xml:space="preserve"> PAGEREF _Toc203032905 \h </w:instrText>
        </w:r>
        <w:r w:rsidR="00163B51">
          <w:rPr>
            <w:noProof/>
            <w:webHidden/>
          </w:rPr>
        </w:r>
        <w:r w:rsidR="00163B51">
          <w:rPr>
            <w:noProof/>
            <w:webHidden/>
          </w:rPr>
          <w:fldChar w:fldCharType="separate"/>
        </w:r>
        <w:r w:rsidR="00163B51">
          <w:rPr>
            <w:noProof/>
            <w:webHidden/>
          </w:rPr>
          <w:t>120</w:t>
        </w:r>
        <w:r w:rsidR="00163B51">
          <w:rPr>
            <w:noProof/>
            <w:webHidden/>
          </w:rPr>
          <w:fldChar w:fldCharType="end"/>
        </w:r>
      </w:hyperlink>
    </w:p>
    <w:p w14:paraId="65DC205E" w14:textId="5CEA3B0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6" w:history="1">
        <w:r w:rsidR="00163B51" w:rsidRPr="009535BD">
          <w:rPr>
            <w:rStyle w:val="Hypertextovodkaz"/>
            <w:noProof/>
          </w:rPr>
          <w:t>Graf 79: KS – DT odvolacího trestního řízení v letech 2014–2024</w:t>
        </w:r>
        <w:r w:rsidR="00163B51">
          <w:rPr>
            <w:noProof/>
            <w:webHidden/>
          </w:rPr>
          <w:tab/>
        </w:r>
        <w:r w:rsidR="00163B51">
          <w:rPr>
            <w:noProof/>
            <w:webHidden/>
          </w:rPr>
          <w:fldChar w:fldCharType="begin"/>
        </w:r>
        <w:r w:rsidR="00163B51">
          <w:rPr>
            <w:noProof/>
            <w:webHidden/>
          </w:rPr>
          <w:instrText xml:space="preserve"> PAGEREF _Toc203032906 \h </w:instrText>
        </w:r>
        <w:r w:rsidR="00163B51">
          <w:rPr>
            <w:noProof/>
            <w:webHidden/>
          </w:rPr>
        </w:r>
        <w:r w:rsidR="00163B51">
          <w:rPr>
            <w:noProof/>
            <w:webHidden/>
          </w:rPr>
          <w:fldChar w:fldCharType="separate"/>
        </w:r>
        <w:r w:rsidR="00163B51">
          <w:rPr>
            <w:noProof/>
            <w:webHidden/>
          </w:rPr>
          <w:t>122</w:t>
        </w:r>
        <w:r w:rsidR="00163B51">
          <w:rPr>
            <w:noProof/>
            <w:webHidden/>
          </w:rPr>
          <w:fldChar w:fldCharType="end"/>
        </w:r>
      </w:hyperlink>
    </w:p>
    <w:p w14:paraId="48D293F5" w14:textId="04B939F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7" w:history="1">
        <w:r w:rsidR="00163B51" w:rsidRPr="009535BD">
          <w:rPr>
            <w:rStyle w:val="Hypertextovodkaz"/>
            <w:noProof/>
          </w:rPr>
          <w:t>Graf 80: KS – délka správního řízení u KS v letech 2015–2024</w:t>
        </w:r>
        <w:r w:rsidR="00163B51">
          <w:rPr>
            <w:noProof/>
            <w:webHidden/>
          </w:rPr>
          <w:tab/>
        </w:r>
        <w:r w:rsidR="00163B51">
          <w:rPr>
            <w:noProof/>
            <w:webHidden/>
          </w:rPr>
          <w:fldChar w:fldCharType="begin"/>
        </w:r>
        <w:r w:rsidR="00163B51">
          <w:rPr>
            <w:noProof/>
            <w:webHidden/>
          </w:rPr>
          <w:instrText xml:space="preserve"> PAGEREF _Toc203032907 \h </w:instrText>
        </w:r>
        <w:r w:rsidR="00163B51">
          <w:rPr>
            <w:noProof/>
            <w:webHidden/>
          </w:rPr>
        </w:r>
        <w:r w:rsidR="00163B51">
          <w:rPr>
            <w:noProof/>
            <w:webHidden/>
          </w:rPr>
          <w:fldChar w:fldCharType="separate"/>
        </w:r>
        <w:r w:rsidR="00163B51">
          <w:rPr>
            <w:noProof/>
            <w:webHidden/>
          </w:rPr>
          <w:t>123</w:t>
        </w:r>
        <w:r w:rsidR="00163B51">
          <w:rPr>
            <w:noProof/>
            <w:webHidden/>
          </w:rPr>
          <w:fldChar w:fldCharType="end"/>
        </w:r>
      </w:hyperlink>
    </w:p>
    <w:p w14:paraId="518307BA" w14:textId="3243C80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8" w:history="1">
        <w:r w:rsidR="00163B51" w:rsidRPr="009535BD">
          <w:rPr>
            <w:rStyle w:val="Hypertextovodkaz"/>
            <w:noProof/>
          </w:rPr>
          <w:t>Graf 81: KS – distribuce délek o řízení ve správních věcech, 2023 a 2024</w:t>
        </w:r>
        <w:r w:rsidR="00163B51">
          <w:rPr>
            <w:noProof/>
            <w:webHidden/>
          </w:rPr>
          <w:tab/>
        </w:r>
        <w:r w:rsidR="00163B51">
          <w:rPr>
            <w:noProof/>
            <w:webHidden/>
          </w:rPr>
          <w:fldChar w:fldCharType="begin"/>
        </w:r>
        <w:r w:rsidR="00163B51">
          <w:rPr>
            <w:noProof/>
            <w:webHidden/>
          </w:rPr>
          <w:instrText xml:space="preserve"> PAGEREF _Toc203032908 \h </w:instrText>
        </w:r>
        <w:r w:rsidR="00163B51">
          <w:rPr>
            <w:noProof/>
            <w:webHidden/>
          </w:rPr>
        </w:r>
        <w:r w:rsidR="00163B51">
          <w:rPr>
            <w:noProof/>
            <w:webHidden/>
          </w:rPr>
          <w:fldChar w:fldCharType="separate"/>
        </w:r>
        <w:r w:rsidR="00163B51">
          <w:rPr>
            <w:noProof/>
            <w:webHidden/>
          </w:rPr>
          <w:t>124</w:t>
        </w:r>
        <w:r w:rsidR="00163B51">
          <w:rPr>
            <w:noProof/>
            <w:webHidden/>
          </w:rPr>
          <w:fldChar w:fldCharType="end"/>
        </w:r>
      </w:hyperlink>
    </w:p>
    <w:p w14:paraId="2ACC4FBA" w14:textId="4AE764D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9" w:history="1">
        <w:r w:rsidR="00163B51" w:rsidRPr="009535BD">
          <w:rPr>
            <w:rStyle w:val="Hypertextovodkaz"/>
            <w:noProof/>
          </w:rPr>
          <w:t>Graf 82: KS – vyřizování správních věcí v letech 2015–2024</w:t>
        </w:r>
        <w:r w:rsidR="00163B51">
          <w:rPr>
            <w:noProof/>
            <w:webHidden/>
          </w:rPr>
          <w:tab/>
        </w:r>
        <w:r w:rsidR="00163B51">
          <w:rPr>
            <w:noProof/>
            <w:webHidden/>
          </w:rPr>
          <w:fldChar w:fldCharType="begin"/>
        </w:r>
        <w:r w:rsidR="00163B51">
          <w:rPr>
            <w:noProof/>
            <w:webHidden/>
          </w:rPr>
          <w:instrText xml:space="preserve"> PAGEREF _Toc203032909 \h </w:instrText>
        </w:r>
        <w:r w:rsidR="00163B51">
          <w:rPr>
            <w:noProof/>
            <w:webHidden/>
          </w:rPr>
        </w:r>
        <w:r w:rsidR="00163B51">
          <w:rPr>
            <w:noProof/>
            <w:webHidden/>
          </w:rPr>
          <w:fldChar w:fldCharType="separate"/>
        </w:r>
        <w:r w:rsidR="00163B51">
          <w:rPr>
            <w:noProof/>
            <w:webHidden/>
          </w:rPr>
          <w:t>125</w:t>
        </w:r>
        <w:r w:rsidR="00163B51">
          <w:rPr>
            <w:noProof/>
            <w:webHidden/>
          </w:rPr>
          <w:fldChar w:fldCharType="end"/>
        </w:r>
      </w:hyperlink>
    </w:p>
    <w:p w14:paraId="7B1B4E49" w14:textId="776BFC2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0" w:history="1">
        <w:r w:rsidR="00163B51" w:rsidRPr="009535BD">
          <w:rPr>
            <w:rStyle w:val="Hypertextovodkaz"/>
            <w:noProof/>
          </w:rPr>
          <w:t>Graf 83: KS – podíl nevyříz. věcí druhů agendy správního soudnictví, 2024</w:t>
        </w:r>
        <w:r w:rsidR="00163B51">
          <w:rPr>
            <w:noProof/>
            <w:webHidden/>
          </w:rPr>
          <w:tab/>
        </w:r>
        <w:r w:rsidR="00163B51">
          <w:rPr>
            <w:noProof/>
            <w:webHidden/>
          </w:rPr>
          <w:fldChar w:fldCharType="begin"/>
        </w:r>
        <w:r w:rsidR="00163B51">
          <w:rPr>
            <w:noProof/>
            <w:webHidden/>
          </w:rPr>
          <w:instrText xml:space="preserve"> PAGEREF _Toc203032910 \h </w:instrText>
        </w:r>
        <w:r w:rsidR="00163B51">
          <w:rPr>
            <w:noProof/>
            <w:webHidden/>
          </w:rPr>
        </w:r>
        <w:r w:rsidR="00163B51">
          <w:rPr>
            <w:noProof/>
            <w:webHidden/>
          </w:rPr>
          <w:fldChar w:fldCharType="separate"/>
        </w:r>
        <w:r w:rsidR="00163B51">
          <w:rPr>
            <w:noProof/>
            <w:webHidden/>
          </w:rPr>
          <w:t>126</w:t>
        </w:r>
        <w:r w:rsidR="00163B51">
          <w:rPr>
            <w:noProof/>
            <w:webHidden/>
          </w:rPr>
          <w:fldChar w:fldCharType="end"/>
        </w:r>
      </w:hyperlink>
    </w:p>
    <w:p w14:paraId="61973DCE" w14:textId="0BA613D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1" w:history="1">
        <w:r w:rsidR="00163B51" w:rsidRPr="009535BD">
          <w:rPr>
            <w:rStyle w:val="Hypertextovodkaz"/>
            <w:noProof/>
          </w:rPr>
          <w:t>Graf 84: KS – DT správního řízení v letech 2015–2024</w:t>
        </w:r>
        <w:r w:rsidR="00163B51">
          <w:rPr>
            <w:noProof/>
            <w:webHidden/>
          </w:rPr>
          <w:tab/>
        </w:r>
        <w:r w:rsidR="00163B51">
          <w:rPr>
            <w:noProof/>
            <w:webHidden/>
          </w:rPr>
          <w:fldChar w:fldCharType="begin"/>
        </w:r>
        <w:r w:rsidR="00163B51">
          <w:rPr>
            <w:noProof/>
            <w:webHidden/>
          </w:rPr>
          <w:instrText xml:space="preserve"> PAGEREF _Toc203032911 \h </w:instrText>
        </w:r>
        <w:r w:rsidR="00163B51">
          <w:rPr>
            <w:noProof/>
            <w:webHidden/>
          </w:rPr>
        </w:r>
        <w:r w:rsidR="00163B51">
          <w:rPr>
            <w:noProof/>
            <w:webHidden/>
          </w:rPr>
          <w:fldChar w:fldCharType="separate"/>
        </w:r>
        <w:r w:rsidR="00163B51">
          <w:rPr>
            <w:noProof/>
            <w:webHidden/>
          </w:rPr>
          <w:t>128</w:t>
        </w:r>
        <w:r w:rsidR="00163B51">
          <w:rPr>
            <w:noProof/>
            <w:webHidden/>
          </w:rPr>
          <w:fldChar w:fldCharType="end"/>
        </w:r>
      </w:hyperlink>
    </w:p>
    <w:p w14:paraId="022AE846" w14:textId="738B935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2" w:history="1">
        <w:r w:rsidR="00163B51" w:rsidRPr="009535BD">
          <w:rPr>
            <w:rStyle w:val="Hypertextovodkaz"/>
            <w:noProof/>
          </w:rPr>
          <w:t>Graf 85: KS – délka insolvenčního řízení v letech 2015–2024</w:t>
        </w:r>
        <w:r w:rsidR="00163B51">
          <w:rPr>
            <w:noProof/>
            <w:webHidden/>
          </w:rPr>
          <w:tab/>
        </w:r>
        <w:r w:rsidR="00163B51">
          <w:rPr>
            <w:noProof/>
            <w:webHidden/>
          </w:rPr>
          <w:fldChar w:fldCharType="begin"/>
        </w:r>
        <w:r w:rsidR="00163B51">
          <w:rPr>
            <w:noProof/>
            <w:webHidden/>
          </w:rPr>
          <w:instrText xml:space="preserve"> PAGEREF _Toc203032912 \h </w:instrText>
        </w:r>
        <w:r w:rsidR="00163B51">
          <w:rPr>
            <w:noProof/>
            <w:webHidden/>
          </w:rPr>
        </w:r>
        <w:r w:rsidR="00163B51">
          <w:rPr>
            <w:noProof/>
            <w:webHidden/>
          </w:rPr>
          <w:fldChar w:fldCharType="separate"/>
        </w:r>
        <w:r w:rsidR="00163B51">
          <w:rPr>
            <w:noProof/>
            <w:webHidden/>
          </w:rPr>
          <w:t>130</w:t>
        </w:r>
        <w:r w:rsidR="00163B51">
          <w:rPr>
            <w:noProof/>
            <w:webHidden/>
          </w:rPr>
          <w:fldChar w:fldCharType="end"/>
        </w:r>
      </w:hyperlink>
    </w:p>
    <w:p w14:paraId="431D7024" w14:textId="44C1A56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3" w:history="1">
        <w:r w:rsidR="00163B51" w:rsidRPr="009535BD">
          <w:rPr>
            <w:rStyle w:val="Hypertextovodkaz"/>
            <w:noProof/>
          </w:rPr>
          <w:t>Graf 86: KS – vyřizování insolvenčních věcí v letech 2015–2024</w:t>
        </w:r>
        <w:r w:rsidR="00163B51">
          <w:rPr>
            <w:noProof/>
            <w:webHidden/>
          </w:rPr>
          <w:tab/>
        </w:r>
        <w:r w:rsidR="00163B51">
          <w:rPr>
            <w:noProof/>
            <w:webHidden/>
          </w:rPr>
          <w:fldChar w:fldCharType="begin"/>
        </w:r>
        <w:r w:rsidR="00163B51">
          <w:rPr>
            <w:noProof/>
            <w:webHidden/>
          </w:rPr>
          <w:instrText xml:space="preserve"> PAGEREF _Toc203032913 \h </w:instrText>
        </w:r>
        <w:r w:rsidR="00163B51">
          <w:rPr>
            <w:noProof/>
            <w:webHidden/>
          </w:rPr>
        </w:r>
        <w:r w:rsidR="00163B51">
          <w:rPr>
            <w:noProof/>
            <w:webHidden/>
          </w:rPr>
          <w:fldChar w:fldCharType="separate"/>
        </w:r>
        <w:r w:rsidR="00163B51">
          <w:rPr>
            <w:noProof/>
            <w:webHidden/>
          </w:rPr>
          <w:t>131</w:t>
        </w:r>
        <w:r w:rsidR="00163B51">
          <w:rPr>
            <w:noProof/>
            <w:webHidden/>
          </w:rPr>
          <w:fldChar w:fldCharType="end"/>
        </w:r>
      </w:hyperlink>
    </w:p>
    <w:p w14:paraId="5B63DD16" w14:textId="7978F84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4" w:history="1">
        <w:r w:rsidR="00163B51" w:rsidRPr="009535BD">
          <w:rPr>
            <w:rStyle w:val="Hypertextovodkaz"/>
            <w:noProof/>
          </w:rPr>
          <w:t>Graf 87: KS – délka incidenčních sporů v letech 2015–2024</w:t>
        </w:r>
        <w:r w:rsidR="00163B51">
          <w:rPr>
            <w:noProof/>
            <w:webHidden/>
          </w:rPr>
          <w:tab/>
        </w:r>
        <w:r w:rsidR="00163B51">
          <w:rPr>
            <w:noProof/>
            <w:webHidden/>
          </w:rPr>
          <w:fldChar w:fldCharType="begin"/>
        </w:r>
        <w:r w:rsidR="00163B51">
          <w:rPr>
            <w:noProof/>
            <w:webHidden/>
          </w:rPr>
          <w:instrText xml:space="preserve"> PAGEREF _Toc203032914 \h </w:instrText>
        </w:r>
        <w:r w:rsidR="00163B51">
          <w:rPr>
            <w:noProof/>
            <w:webHidden/>
          </w:rPr>
        </w:r>
        <w:r w:rsidR="00163B51">
          <w:rPr>
            <w:noProof/>
            <w:webHidden/>
          </w:rPr>
          <w:fldChar w:fldCharType="separate"/>
        </w:r>
        <w:r w:rsidR="00163B51">
          <w:rPr>
            <w:noProof/>
            <w:webHidden/>
          </w:rPr>
          <w:t>135</w:t>
        </w:r>
        <w:r w:rsidR="00163B51">
          <w:rPr>
            <w:noProof/>
            <w:webHidden/>
          </w:rPr>
          <w:fldChar w:fldCharType="end"/>
        </w:r>
      </w:hyperlink>
    </w:p>
    <w:p w14:paraId="212574D4" w14:textId="697E5F2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5" w:history="1">
        <w:r w:rsidR="00163B51" w:rsidRPr="009535BD">
          <w:rPr>
            <w:rStyle w:val="Hypertextovodkaz"/>
            <w:noProof/>
          </w:rPr>
          <w:t>Graf 88: KS – distribuce délek incidenčních sporů</w:t>
        </w:r>
        <w:r w:rsidR="00163B51">
          <w:rPr>
            <w:noProof/>
            <w:webHidden/>
          </w:rPr>
          <w:tab/>
        </w:r>
        <w:r w:rsidR="00163B51">
          <w:rPr>
            <w:noProof/>
            <w:webHidden/>
          </w:rPr>
          <w:fldChar w:fldCharType="begin"/>
        </w:r>
        <w:r w:rsidR="00163B51">
          <w:rPr>
            <w:noProof/>
            <w:webHidden/>
          </w:rPr>
          <w:instrText xml:space="preserve"> PAGEREF _Toc203032915 \h </w:instrText>
        </w:r>
        <w:r w:rsidR="00163B51">
          <w:rPr>
            <w:noProof/>
            <w:webHidden/>
          </w:rPr>
        </w:r>
        <w:r w:rsidR="00163B51">
          <w:rPr>
            <w:noProof/>
            <w:webHidden/>
          </w:rPr>
          <w:fldChar w:fldCharType="separate"/>
        </w:r>
        <w:r w:rsidR="00163B51">
          <w:rPr>
            <w:noProof/>
            <w:webHidden/>
          </w:rPr>
          <w:t>136</w:t>
        </w:r>
        <w:r w:rsidR="00163B51">
          <w:rPr>
            <w:noProof/>
            <w:webHidden/>
          </w:rPr>
          <w:fldChar w:fldCharType="end"/>
        </w:r>
      </w:hyperlink>
    </w:p>
    <w:p w14:paraId="34FFA8B5" w14:textId="06715DD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6" w:history="1">
        <w:r w:rsidR="00163B51" w:rsidRPr="009535BD">
          <w:rPr>
            <w:rStyle w:val="Hypertextovodkaz"/>
            <w:noProof/>
          </w:rPr>
          <w:t>Graf 89: KS – vyřizování incidenčních sporů v letech 2015–2024</w:t>
        </w:r>
        <w:r w:rsidR="00163B51">
          <w:rPr>
            <w:noProof/>
            <w:webHidden/>
          </w:rPr>
          <w:tab/>
        </w:r>
        <w:r w:rsidR="00163B51">
          <w:rPr>
            <w:noProof/>
            <w:webHidden/>
          </w:rPr>
          <w:fldChar w:fldCharType="begin"/>
        </w:r>
        <w:r w:rsidR="00163B51">
          <w:rPr>
            <w:noProof/>
            <w:webHidden/>
          </w:rPr>
          <w:instrText xml:space="preserve"> PAGEREF _Toc203032916 \h </w:instrText>
        </w:r>
        <w:r w:rsidR="00163B51">
          <w:rPr>
            <w:noProof/>
            <w:webHidden/>
          </w:rPr>
        </w:r>
        <w:r w:rsidR="00163B51">
          <w:rPr>
            <w:noProof/>
            <w:webHidden/>
          </w:rPr>
          <w:fldChar w:fldCharType="separate"/>
        </w:r>
        <w:r w:rsidR="00163B51">
          <w:rPr>
            <w:noProof/>
            <w:webHidden/>
          </w:rPr>
          <w:t>137</w:t>
        </w:r>
        <w:r w:rsidR="00163B51">
          <w:rPr>
            <w:noProof/>
            <w:webHidden/>
          </w:rPr>
          <w:fldChar w:fldCharType="end"/>
        </w:r>
      </w:hyperlink>
    </w:p>
    <w:p w14:paraId="4EF7EA5D" w14:textId="0DA6742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7" w:history="1">
        <w:r w:rsidR="00163B51" w:rsidRPr="009535BD">
          <w:rPr>
            <w:rStyle w:val="Hypertextovodkaz"/>
            <w:noProof/>
          </w:rPr>
          <w:t>Graf 90: KS – DT incidenčních sporů v letech 2015–2024</w:t>
        </w:r>
        <w:r w:rsidR="00163B51">
          <w:rPr>
            <w:noProof/>
            <w:webHidden/>
          </w:rPr>
          <w:tab/>
        </w:r>
        <w:r w:rsidR="00163B51">
          <w:rPr>
            <w:noProof/>
            <w:webHidden/>
          </w:rPr>
          <w:fldChar w:fldCharType="begin"/>
        </w:r>
        <w:r w:rsidR="00163B51">
          <w:rPr>
            <w:noProof/>
            <w:webHidden/>
          </w:rPr>
          <w:instrText xml:space="preserve"> PAGEREF _Toc203032917 \h </w:instrText>
        </w:r>
        <w:r w:rsidR="00163B51">
          <w:rPr>
            <w:noProof/>
            <w:webHidden/>
          </w:rPr>
        </w:r>
        <w:r w:rsidR="00163B51">
          <w:rPr>
            <w:noProof/>
            <w:webHidden/>
          </w:rPr>
          <w:fldChar w:fldCharType="separate"/>
        </w:r>
        <w:r w:rsidR="00163B51">
          <w:rPr>
            <w:noProof/>
            <w:webHidden/>
          </w:rPr>
          <w:t>140</w:t>
        </w:r>
        <w:r w:rsidR="00163B51">
          <w:rPr>
            <w:noProof/>
            <w:webHidden/>
          </w:rPr>
          <w:fldChar w:fldCharType="end"/>
        </w:r>
      </w:hyperlink>
    </w:p>
    <w:p w14:paraId="17E6DDFC" w14:textId="7B4013C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8" w:history="1">
        <w:r w:rsidR="00163B51" w:rsidRPr="009535BD">
          <w:rPr>
            <w:rStyle w:val="Hypertextovodkaz"/>
            <w:noProof/>
          </w:rPr>
          <w:t>Graf 91: VS – počet soudců v letech 2015–2024</w:t>
        </w:r>
        <w:r w:rsidR="00163B51">
          <w:rPr>
            <w:noProof/>
            <w:webHidden/>
          </w:rPr>
          <w:tab/>
        </w:r>
        <w:r w:rsidR="00163B51">
          <w:rPr>
            <w:noProof/>
            <w:webHidden/>
          </w:rPr>
          <w:fldChar w:fldCharType="begin"/>
        </w:r>
        <w:r w:rsidR="00163B51">
          <w:rPr>
            <w:noProof/>
            <w:webHidden/>
          </w:rPr>
          <w:instrText xml:space="preserve"> PAGEREF _Toc203032918 \h </w:instrText>
        </w:r>
        <w:r w:rsidR="00163B51">
          <w:rPr>
            <w:noProof/>
            <w:webHidden/>
          </w:rPr>
        </w:r>
        <w:r w:rsidR="00163B51">
          <w:rPr>
            <w:noProof/>
            <w:webHidden/>
          </w:rPr>
          <w:fldChar w:fldCharType="separate"/>
        </w:r>
        <w:r w:rsidR="00163B51">
          <w:rPr>
            <w:noProof/>
            <w:webHidden/>
          </w:rPr>
          <w:t>141</w:t>
        </w:r>
        <w:r w:rsidR="00163B51">
          <w:rPr>
            <w:noProof/>
            <w:webHidden/>
          </w:rPr>
          <w:fldChar w:fldCharType="end"/>
        </w:r>
      </w:hyperlink>
    </w:p>
    <w:p w14:paraId="0EDECB1E" w14:textId="125942B5"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9" w:history="1">
        <w:r w:rsidR="00163B51" w:rsidRPr="009535BD">
          <w:rPr>
            <w:rStyle w:val="Hypertextovodkaz"/>
            <w:noProof/>
          </w:rPr>
          <w:t>Graf 92: VS – evidenční počet soudců dle soudních úseků v letech 2016–2024</w:t>
        </w:r>
        <w:r w:rsidR="00163B51">
          <w:rPr>
            <w:noProof/>
            <w:webHidden/>
          </w:rPr>
          <w:tab/>
        </w:r>
        <w:r w:rsidR="00163B51">
          <w:rPr>
            <w:noProof/>
            <w:webHidden/>
          </w:rPr>
          <w:fldChar w:fldCharType="begin"/>
        </w:r>
        <w:r w:rsidR="00163B51">
          <w:rPr>
            <w:noProof/>
            <w:webHidden/>
          </w:rPr>
          <w:instrText xml:space="preserve"> PAGEREF _Toc203032919 \h </w:instrText>
        </w:r>
        <w:r w:rsidR="00163B51">
          <w:rPr>
            <w:noProof/>
            <w:webHidden/>
          </w:rPr>
        </w:r>
        <w:r w:rsidR="00163B51">
          <w:rPr>
            <w:noProof/>
            <w:webHidden/>
          </w:rPr>
          <w:fldChar w:fldCharType="separate"/>
        </w:r>
        <w:r w:rsidR="00163B51">
          <w:rPr>
            <w:noProof/>
            <w:webHidden/>
          </w:rPr>
          <w:t>142</w:t>
        </w:r>
        <w:r w:rsidR="00163B51">
          <w:rPr>
            <w:noProof/>
            <w:webHidden/>
          </w:rPr>
          <w:fldChar w:fldCharType="end"/>
        </w:r>
      </w:hyperlink>
    </w:p>
    <w:p w14:paraId="1422E4B7" w14:textId="0EBD20D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0" w:history="1">
        <w:r w:rsidR="00163B51" w:rsidRPr="009535BD">
          <w:rPr>
            <w:rStyle w:val="Hypertextovodkaz"/>
            <w:noProof/>
          </w:rPr>
          <w:t>Graf 93: VS – evidenční počet soudců dle pohlaví v letech 2015–2024</w:t>
        </w:r>
        <w:r w:rsidR="00163B51">
          <w:rPr>
            <w:noProof/>
            <w:webHidden/>
          </w:rPr>
          <w:tab/>
        </w:r>
        <w:r w:rsidR="00163B51">
          <w:rPr>
            <w:noProof/>
            <w:webHidden/>
          </w:rPr>
          <w:fldChar w:fldCharType="begin"/>
        </w:r>
        <w:r w:rsidR="00163B51">
          <w:rPr>
            <w:noProof/>
            <w:webHidden/>
          </w:rPr>
          <w:instrText xml:space="preserve"> PAGEREF _Toc203032920 \h </w:instrText>
        </w:r>
        <w:r w:rsidR="00163B51">
          <w:rPr>
            <w:noProof/>
            <w:webHidden/>
          </w:rPr>
        </w:r>
        <w:r w:rsidR="00163B51">
          <w:rPr>
            <w:noProof/>
            <w:webHidden/>
          </w:rPr>
          <w:fldChar w:fldCharType="separate"/>
        </w:r>
        <w:r w:rsidR="00163B51">
          <w:rPr>
            <w:noProof/>
            <w:webHidden/>
          </w:rPr>
          <w:t>143</w:t>
        </w:r>
        <w:r w:rsidR="00163B51">
          <w:rPr>
            <w:noProof/>
            <w:webHidden/>
          </w:rPr>
          <w:fldChar w:fldCharType="end"/>
        </w:r>
      </w:hyperlink>
    </w:p>
    <w:p w14:paraId="19ACF768" w14:textId="237FC32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1" w:history="1">
        <w:r w:rsidR="00163B51" w:rsidRPr="009535BD">
          <w:rPr>
            <w:rStyle w:val="Hypertextovodkaz"/>
            <w:noProof/>
          </w:rPr>
          <w:t>Graf 94: VS Praha – věkové složení soudců v letech 2008–2024</w:t>
        </w:r>
        <w:r w:rsidR="00163B51">
          <w:rPr>
            <w:noProof/>
            <w:webHidden/>
          </w:rPr>
          <w:tab/>
        </w:r>
        <w:r w:rsidR="00163B51">
          <w:rPr>
            <w:noProof/>
            <w:webHidden/>
          </w:rPr>
          <w:fldChar w:fldCharType="begin"/>
        </w:r>
        <w:r w:rsidR="00163B51">
          <w:rPr>
            <w:noProof/>
            <w:webHidden/>
          </w:rPr>
          <w:instrText xml:space="preserve"> PAGEREF _Toc203032921 \h </w:instrText>
        </w:r>
        <w:r w:rsidR="00163B51">
          <w:rPr>
            <w:noProof/>
            <w:webHidden/>
          </w:rPr>
        </w:r>
        <w:r w:rsidR="00163B51">
          <w:rPr>
            <w:noProof/>
            <w:webHidden/>
          </w:rPr>
          <w:fldChar w:fldCharType="separate"/>
        </w:r>
        <w:r w:rsidR="00163B51">
          <w:rPr>
            <w:noProof/>
            <w:webHidden/>
          </w:rPr>
          <w:t>144</w:t>
        </w:r>
        <w:r w:rsidR="00163B51">
          <w:rPr>
            <w:noProof/>
            <w:webHidden/>
          </w:rPr>
          <w:fldChar w:fldCharType="end"/>
        </w:r>
      </w:hyperlink>
    </w:p>
    <w:p w14:paraId="1B9C09BB" w14:textId="25F0BE0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2" w:history="1">
        <w:r w:rsidR="00163B51" w:rsidRPr="009535BD">
          <w:rPr>
            <w:rStyle w:val="Hypertextovodkaz"/>
            <w:noProof/>
          </w:rPr>
          <w:t>Graf 95: VS Olomouc – věkové složení soudců v letech 2008–2024</w:t>
        </w:r>
        <w:r w:rsidR="00163B51">
          <w:rPr>
            <w:noProof/>
            <w:webHidden/>
          </w:rPr>
          <w:tab/>
        </w:r>
        <w:r w:rsidR="00163B51">
          <w:rPr>
            <w:noProof/>
            <w:webHidden/>
          </w:rPr>
          <w:fldChar w:fldCharType="begin"/>
        </w:r>
        <w:r w:rsidR="00163B51">
          <w:rPr>
            <w:noProof/>
            <w:webHidden/>
          </w:rPr>
          <w:instrText xml:space="preserve"> PAGEREF _Toc203032922 \h </w:instrText>
        </w:r>
        <w:r w:rsidR="00163B51">
          <w:rPr>
            <w:noProof/>
            <w:webHidden/>
          </w:rPr>
        </w:r>
        <w:r w:rsidR="00163B51">
          <w:rPr>
            <w:noProof/>
            <w:webHidden/>
          </w:rPr>
          <w:fldChar w:fldCharType="separate"/>
        </w:r>
        <w:r w:rsidR="00163B51">
          <w:rPr>
            <w:noProof/>
            <w:webHidden/>
          </w:rPr>
          <w:t>144</w:t>
        </w:r>
        <w:r w:rsidR="00163B51">
          <w:rPr>
            <w:noProof/>
            <w:webHidden/>
          </w:rPr>
          <w:fldChar w:fldCharType="end"/>
        </w:r>
      </w:hyperlink>
    </w:p>
    <w:p w14:paraId="4C2E0035" w14:textId="2153A18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3" w:history="1">
        <w:r w:rsidR="00163B51" w:rsidRPr="009535BD">
          <w:rPr>
            <w:rStyle w:val="Hypertextovodkaz"/>
            <w:noProof/>
          </w:rPr>
          <w:t>Graf 96: VS – délka civilního odvolacího řízení u VS v letech 2015–2024</w:t>
        </w:r>
        <w:r w:rsidR="00163B51">
          <w:rPr>
            <w:noProof/>
            <w:webHidden/>
          </w:rPr>
          <w:tab/>
        </w:r>
        <w:r w:rsidR="00163B51">
          <w:rPr>
            <w:noProof/>
            <w:webHidden/>
          </w:rPr>
          <w:fldChar w:fldCharType="begin"/>
        </w:r>
        <w:r w:rsidR="00163B51">
          <w:rPr>
            <w:noProof/>
            <w:webHidden/>
          </w:rPr>
          <w:instrText xml:space="preserve"> PAGEREF _Toc203032923 \h </w:instrText>
        </w:r>
        <w:r w:rsidR="00163B51">
          <w:rPr>
            <w:noProof/>
            <w:webHidden/>
          </w:rPr>
        </w:r>
        <w:r w:rsidR="00163B51">
          <w:rPr>
            <w:noProof/>
            <w:webHidden/>
          </w:rPr>
          <w:fldChar w:fldCharType="separate"/>
        </w:r>
        <w:r w:rsidR="00163B51">
          <w:rPr>
            <w:noProof/>
            <w:webHidden/>
          </w:rPr>
          <w:t>146</w:t>
        </w:r>
        <w:r w:rsidR="00163B51">
          <w:rPr>
            <w:noProof/>
            <w:webHidden/>
          </w:rPr>
          <w:fldChar w:fldCharType="end"/>
        </w:r>
      </w:hyperlink>
    </w:p>
    <w:p w14:paraId="1BCAD0B7" w14:textId="5B5E747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4" w:history="1">
        <w:r w:rsidR="00163B51" w:rsidRPr="009535BD">
          <w:rPr>
            <w:rStyle w:val="Hypertextovodkaz"/>
            <w:noProof/>
          </w:rPr>
          <w:t>Graf 97: VS – distribuce délek civilního odvolacího řízení</w:t>
        </w:r>
        <w:r w:rsidR="00163B51">
          <w:rPr>
            <w:noProof/>
            <w:webHidden/>
          </w:rPr>
          <w:tab/>
        </w:r>
        <w:r w:rsidR="00163B51">
          <w:rPr>
            <w:noProof/>
            <w:webHidden/>
          </w:rPr>
          <w:fldChar w:fldCharType="begin"/>
        </w:r>
        <w:r w:rsidR="00163B51">
          <w:rPr>
            <w:noProof/>
            <w:webHidden/>
          </w:rPr>
          <w:instrText xml:space="preserve"> PAGEREF _Toc203032924 \h </w:instrText>
        </w:r>
        <w:r w:rsidR="00163B51">
          <w:rPr>
            <w:noProof/>
            <w:webHidden/>
          </w:rPr>
        </w:r>
        <w:r w:rsidR="00163B51">
          <w:rPr>
            <w:noProof/>
            <w:webHidden/>
          </w:rPr>
          <w:fldChar w:fldCharType="separate"/>
        </w:r>
        <w:r w:rsidR="00163B51">
          <w:rPr>
            <w:noProof/>
            <w:webHidden/>
          </w:rPr>
          <w:t>147</w:t>
        </w:r>
        <w:r w:rsidR="00163B51">
          <w:rPr>
            <w:noProof/>
            <w:webHidden/>
          </w:rPr>
          <w:fldChar w:fldCharType="end"/>
        </w:r>
      </w:hyperlink>
    </w:p>
    <w:p w14:paraId="4EB5BFB1" w14:textId="69969BB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5" w:history="1">
        <w:r w:rsidR="00163B51" w:rsidRPr="009535BD">
          <w:rPr>
            <w:rStyle w:val="Hypertextovodkaz"/>
            <w:noProof/>
          </w:rPr>
          <w:t>Graf 98: VS – vyřizování odvolacích civilních věcí v letech 2015–2024</w:t>
        </w:r>
        <w:r w:rsidR="00163B51">
          <w:rPr>
            <w:noProof/>
            <w:webHidden/>
          </w:rPr>
          <w:tab/>
        </w:r>
        <w:r w:rsidR="00163B51">
          <w:rPr>
            <w:noProof/>
            <w:webHidden/>
          </w:rPr>
          <w:fldChar w:fldCharType="begin"/>
        </w:r>
        <w:r w:rsidR="00163B51">
          <w:rPr>
            <w:noProof/>
            <w:webHidden/>
          </w:rPr>
          <w:instrText xml:space="preserve"> PAGEREF _Toc203032925 \h </w:instrText>
        </w:r>
        <w:r w:rsidR="00163B51">
          <w:rPr>
            <w:noProof/>
            <w:webHidden/>
          </w:rPr>
        </w:r>
        <w:r w:rsidR="00163B51">
          <w:rPr>
            <w:noProof/>
            <w:webHidden/>
          </w:rPr>
          <w:fldChar w:fldCharType="separate"/>
        </w:r>
        <w:r w:rsidR="00163B51">
          <w:rPr>
            <w:noProof/>
            <w:webHidden/>
          </w:rPr>
          <w:t>147</w:t>
        </w:r>
        <w:r w:rsidR="00163B51">
          <w:rPr>
            <w:noProof/>
            <w:webHidden/>
          </w:rPr>
          <w:fldChar w:fldCharType="end"/>
        </w:r>
      </w:hyperlink>
    </w:p>
    <w:p w14:paraId="2D87C085" w14:textId="15FE28B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6" w:history="1">
        <w:r w:rsidR="00163B51" w:rsidRPr="009535BD">
          <w:rPr>
            <w:rStyle w:val="Hypertextovodkaz"/>
            <w:noProof/>
          </w:rPr>
          <w:t>Graf 99: VS – DT civilního odvolacího řízení v letech 2015 – 2024</w:t>
        </w:r>
        <w:r w:rsidR="00163B51">
          <w:rPr>
            <w:noProof/>
            <w:webHidden/>
          </w:rPr>
          <w:tab/>
        </w:r>
        <w:r w:rsidR="00163B51">
          <w:rPr>
            <w:noProof/>
            <w:webHidden/>
          </w:rPr>
          <w:fldChar w:fldCharType="begin"/>
        </w:r>
        <w:r w:rsidR="00163B51">
          <w:rPr>
            <w:noProof/>
            <w:webHidden/>
          </w:rPr>
          <w:instrText xml:space="preserve"> PAGEREF _Toc203032926 \h </w:instrText>
        </w:r>
        <w:r w:rsidR="00163B51">
          <w:rPr>
            <w:noProof/>
            <w:webHidden/>
          </w:rPr>
        </w:r>
        <w:r w:rsidR="00163B51">
          <w:rPr>
            <w:noProof/>
            <w:webHidden/>
          </w:rPr>
          <w:fldChar w:fldCharType="separate"/>
        </w:r>
        <w:r w:rsidR="00163B51">
          <w:rPr>
            <w:noProof/>
            <w:webHidden/>
          </w:rPr>
          <w:t>149</w:t>
        </w:r>
        <w:r w:rsidR="00163B51">
          <w:rPr>
            <w:noProof/>
            <w:webHidden/>
          </w:rPr>
          <w:fldChar w:fldCharType="end"/>
        </w:r>
      </w:hyperlink>
    </w:p>
    <w:p w14:paraId="4BF17247" w14:textId="59E4F6BA"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7" w:history="1">
        <w:r w:rsidR="00163B51" w:rsidRPr="009535BD">
          <w:rPr>
            <w:rStyle w:val="Hypertextovodkaz"/>
            <w:noProof/>
          </w:rPr>
          <w:t>Graf 100: VS – délka trestního odvolacího řízení v letech 2015–2024</w:t>
        </w:r>
        <w:r w:rsidR="00163B51">
          <w:rPr>
            <w:noProof/>
            <w:webHidden/>
          </w:rPr>
          <w:tab/>
        </w:r>
        <w:r w:rsidR="00163B51">
          <w:rPr>
            <w:noProof/>
            <w:webHidden/>
          </w:rPr>
          <w:fldChar w:fldCharType="begin"/>
        </w:r>
        <w:r w:rsidR="00163B51">
          <w:rPr>
            <w:noProof/>
            <w:webHidden/>
          </w:rPr>
          <w:instrText xml:space="preserve"> PAGEREF _Toc203032927 \h </w:instrText>
        </w:r>
        <w:r w:rsidR="00163B51">
          <w:rPr>
            <w:noProof/>
            <w:webHidden/>
          </w:rPr>
        </w:r>
        <w:r w:rsidR="00163B51">
          <w:rPr>
            <w:noProof/>
            <w:webHidden/>
          </w:rPr>
          <w:fldChar w:fldCharType="separate"/>
        </w:r>
        <w:r w:rsidR="00163B51">
          <w:rPr>
            <w:noProof/>
            <w:webHidden/>
          </w:rPr>
          <w:t>150</w:t>
        </w:r>
        <w:r w:rsidR="00163B51">
          <w:rPr>
            <w:noProof/>
            <w:webHidden/>
          </w:rPr>
          <w:fldChar w:fldCharType="end"/>
        </w:r>
      </w:hyperlink>
    </w:p>
    <w:p w14:paraId="08B9DDF8" w14:textId="347FDE5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8" w:history="1">
        <w:r w:rsidR="00163B51" w:rsidRPr="009535BD">
          <w:rPr>
            <w:rStyle w:val="Hypertextovodkaz"/>
            <w:noProof/>
          </w:rPr>
          <w:t>Graf 101: VS – distribuce délek trestního odvolacího řízení</w:t>
        </w:r>
        <w:r w:rsidR="00163B51">
          <w:rPr>
            <w:noProof/>
            <w:webHidden/>
          </w:rPr>
          <w:tab/>
        </w:r>
        <w:r w:rsidR="00163B51">
          <w:rPr>
            <w:noProof/>
            <w:webHidden/>
          </w:rPr>
          <w:fldChar w:fldCharType="begin"/>
        </w:r>
        <w:r w:rsidR="00163B51">
          <w:rPr>
            <w:noProof/>
            <w:webHidden/>
          </w:rPr>
          <w:instrText xml:space="preserve"> PAGEREF _Toc203032928 \h </w:instrText>
        </w:r>
        <w:r w:rsidR="00163B51">
          <w:rPr>
            <w:noProof/>
            <w:webHidden/>
          </w:rPr>
        </w:r>
        <w:r w:rsidR="00163B51">
          <w:rPr>
            <w:noProof/>
            <w:webHidden/>
          </w:rPr>
          <w:fldChar w:fldCharType="separate"/>
        </w:r>
        <w:r w:rsidR="00163B51">
          <w:rPr>
            <w:noProof/>
            <w:webHidden/>
          </w:rPr>
          <w:t>151</w:t>
        </w:r>
        <w:r w:rsidR="00163B51">
          <w:rPr>
            <w:noProof/>
            <w:webHidden/>
          </w:rPr>
          <w:fldChar w:fldCharType="end"/>
        </w:r>
      </w:hyperlink>
    </w:p>
    <w:p w14:paraId="5D853434" w14:textId="0284EB4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9" w:history="1">
        <w:r w:rsidR="00163B51" w:rsidRPr="009535BD">
          <w:rPr>
            <w:rStyle w:val="Hypertextovodkaz"/>
            <w:noProof/>
          </w:rPr>
          <w:t>Graf 102: VS – vyřizování odvolacích trestních věcí v letech 2015–2024</w:t>
        </w:r>
        <w:r w:rsidR="00163B51">
          <w:rPr>
            <w:noProof/>
            <w:webHidden/>
          </w:rPr>
          <w:tab/>
        </w:r>
        <w:r w:rsidR="00163B51">
          <w:rPr>
            <w:noProof/>
            <w:webHidden/>
          </w:rPr>
          <w:fldChar w:fldCharType="begin"/>
        </w:r>
        <w:r w:rsidR="00163B51">
          <w:rPr>
            <w:noProof/>
            <w:webHidden/>
          </w:rPr>
          <w:instrText xml:space="preserve"> PAGEREF _Toc203032929 \h </w:instrText>
        </w:r>
        <w:r w:rsidR="00163B51">
          <w:rPr>
            <w:noProof/>
            <w:webHidden/>
          </w:rPr>
        </w:r>
        <w:r w:rsidR="00163B51">
          <w:rPr>
            <w:noProof/>
            <w:webHidden/>
          </w:rPr>
          <w:fldChar w:fldCharType="separate"/>
        </w:r>
        <w:r w:rsidR="00163B51">
          <w:rPr>
            <w:noProof/>
            <w:webHidden/>
          </w:rPr>
          <w:t>152</w:t>
        </w:r>
        <w:r w:rsidR="00163B51">
          <w:rPr>
            <w:noProof/>
            <w:webHidden/>
          </w:rPr>
          <w:fldChar w:fldCharType="end"/>
        </w:r>
      </w:hyperlink>
    </w:p>
    <w:p w14:paraId="5A30A92C" w14:textId="16AE596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0" w:history="1">
        <w:r w:rsidR="00163B51" w:rsidRPr="009535BD">
          <w:rPr>
            <w:rStyle w:val="Hypertextovodkaz"/>
            <w:noProof/>
          </w:rPr>
          <w:t>Graf 103: VS – DT trestního odvolacího řízení v letech 2015–2024</w:t>
        </w:r>
        <w:r w:rsidR="00163B51">
          <w:rPr>
            <w:noProof/>
            <w:webHidden/>
          </w:rPr>
          <w:tab/>
        </w:r>
        <w:r w:rsidR="00163B51">
          <w:rPr>
            <w:noProof/>
            <w:webHidden/>
          </w:rPr>
          <w:fldChar w:fldCharType="begin"/>
        </w:r>
        <w:r w:rsidR="00163B51">
          <w:rPr>
            <w:noProof/>
            <w:webHidden/>
          </w:rPr>
          <w:instrText xml:space="preserve"> PAGEREF _Toc203032930 \h </w:instrText>
        </w:r>
        <w:r w:rsidR="00163B51">
          <w:rPr>
            <w:noProof/>
            <w:webHidden/>
          </w:rPr>
        </w:r>
        <w:r w:rsidR="00163B51">
          <w:rPr>
            <w:noProof/>
            <w:webHidden/>
          </w:rPr>
          <w:fldChar w:fldCharType="separate"/>
        </w:r>
        <w:r w:rsidR="00163B51">
          <w:rPr>
            <w:noProof/>
            <w:webHidden/>
          </w:rPr>
          <w:t>153</w:t>
        </w:r>
        <w:r w:rsidR="00163B51">
          <w:rPr>
            <w:noProof/>
            <w:webHidden/>
          </w:rPr>
          <w:fldChar w:fldCharType="end"/>
        </w:r>
      </w:hyperlink>
    </w:p>
    <w:p w14:paraId="17D6E79C" w14:textId="10C6218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1" w:history="1">
        <w:r w:rsidR="00163B51" w:rsidRPr="009535BD">
          <w:rPr>
            <w:rStyle w:val="Hypertextovodkaz"/>
            <w:noProof/>
          </w:rPr>
          <w:t>Graf 104: VS – vyřizování insolvenční agendy v letech 2015–2024</w:t>
        </w:r>
        <w:r w:rsidR="00163B51">
          <w:rPr>
            <w:noProof/>
            <w:webHidden/>
          </w:rPr>
          <w:tab/>
        </w:r>
        <w:r w:rsidR="00163B51">
          <w:rPr>
            <w:noProof/>
            <w:webHidden/>
          </w:rPr>
          <w:fldChar w:fldCharType="begin"/>
        </w:r>
        <w:r w:rsidR="00163B51">
          <w:rPr>
            <w:noProof/>
            <w:webHidden/>
          </w:rPr>
          <w:instrText xml:space="preserve"> PAGEREF _Toc203032931 \h </w:instrText>
        </w:r>
        <w:r w:rsidR="00163B51">
          <w:rPr>
            <w:noProof/>
            <w:webHidden/>
          </w:rPr>
        </w:r>
        <w:r w:rsidR="00163B51">
          <w:rPr>
            <w:noProof/>
            <w:webHidden/>
          </w:rPr>
          <w:fldChar w:fldCharType="separate"/>
        </w:r>
        <w:r w:rsidR="00163B51">
          <w:rPr>
            <w:noProof/>
            <w:webHidden/>
          </w:rPr>
          <w:t>154</w:t>
        </w:r>
        <w:r w:rsidR="00163B51">
          <w:rPr>
            <w:noProof/>
            <w:webHidden/>
          </w:rPr>
          <w:fldChar w:fldCharType="end"/>
        </w:r>
      </w:hyperlink>
    </w:p>
    <w:p w14:paraId="2A80115B" w14:textId="489A679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2" w:history="1">
        <w:r w:rsidR="00163B51" w:rsidRPr="009535BD">
          <w:rPr>
            <w:rStyle w:val="Hypertextovodkaz"/>
            <w:noProof/>
          </w:rPr>
          <w:t>Graf 105: VS – DT v insolvenční agendě v letech 2015–2024</w:t>
        </w:r>
        <w:r w:rsidR="00163B51">
          <w:rPr>
            <w:noProof/>
            <w:webHidden/>
          </w:rPr>
          <w:tab/>
        </w:r>
        <w:r w:rsidR="00163B51">
          <w:rPr>
            <w:noProof/>
            <w:webHidden/>
          </w:rPr>
          <w:fldChar w:fldCharType="begin"/>
        </w:r>
        <w:r w:rsidR="00163B51">
          <w:rPr>
            <w:noProof/>
            <w:webHidden/>
          </w:rPr>
          <w:instrText xml:space="preserve"> PAGEREF _Toc203032932 \h </w:instrText>
        </w:r>
        <w:r w:rsidR="00163B51">
          <w:rPr>
            <w:noProof/>
            <w:webHidden/>
          </w:rPr>
        </w:r>
        <w:r w:rsidR="00163B51">
          <w:rPr>
            <w:noProof/>
            <w:webHidden/>
          </w:rPr>
          <w:fldChar w:fldCharType="separate"/>
        </w:r>
        <w:r w:rsidR="00163B51">
          <w:rPr>
            <w:noProof/>
            <w:webHidden/>
          </w:rPr>
          <w:t>155</w:t>
        </w:r>
        <w:r w:rsidR="00163B51">
          <w:rPr>
            <w:noProof/>
            <w:webHidden/>
          </w:rPr>
          <w:fldChar w:fldCharType="end"/>
        </w:r>
      </w:hyperlink>
    </w:p>
    <w:p w14:paraId="0E26A70E" w14:textId="27233A8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3" w:history="1">
        <w:r w:rsidR="00163B51" w:rsidRPr="009535BD">
          <w:rPr>
            <w:rStyle w:val="Hypertextovodkaz"/>
            <w:noProof/>
          </w:rPr>
          <w:t>Graf 106: VS – délka odvolacího řízení incidenčních sporů v letech 2015–2024</w:t>
        </w:r>
        <w:r w:rsidR="00163B51">
          <w:rPr>
            <w:noProof/>
            <w:webHidden/>
          </w:rPr>
          <w:tab/>
        </w:r>
        <w:r w:rsidR="00163B51">
          <w:rPr>
            <w:noProof/>
            <w:webHidden/>
          </w:rPr>
          <w:fldChar w:fldCharType="begin"/>
        </w:r>
        <w:r w:rsidR="00163B51">
          <w:rPr>
            <w:noProof/>
            <w:webHidden/>
          </w:rPr>
          <w:instrText xml:space="preserve"> PAGEREF _Toc203032933 \h </w:instrText>
        </w:r>
        <w:r w:rsidR="00163B51">
          <w:rPr>
            <w:noProof/>
            <w:webHidden/>
          </w:rPr>
        </w:r>
        <w:r w:rsidR="00163B51">
          <w:rPr>
            <w:noProof/>
            <w:webHidden/>
          </w:rPr>
          <w:fldChar w:fldCharType="separate"/>
        </w:r>
        <w:r w:rsidR="00163B51">
          <w:rPr>
            <w:noProof/>
            <w:webHidden/>
          </w:rPr>
          <w:t>156</w:t>
        </w:r>
        <w:r w:rsidR="00163B51">
          <w:rPr>
            <w:noProof/>
            <w:webHidden/>
          </w:rPr>
          <w:fldChar w:fldCharType="end"/>
        </w:r>
      </w:hyperlink>
    </w:p>
    <w:p w14:paraId="7BE37323" w14:textId="5093BFF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4" w:history="1">
        <w:r w:rsidR="00163B51" w:rsidRPr="009535BD">
          <w:rPr>
            <w:rStyle w:val="Hypertextovodkaz"/>
            <w:noProof/>
          </w:rPr>
          <w:t>Graf 107: VS – distribuce délek odvolacího řízení v incidenčních sporech</w:t>
        </w:r>
        <w:r w:rsidR="00163B51">
          <w:rPr>
            <w:noProof/>
            <w:webHidden/>
          </w:rPr>
          <w:tab/>
        </w:r>
        <w:r w:rsidR="00163B51">
          <w:rPr>
            <w:noProof/>
            <w:webHidden/>
          </w:rPr>
          <w:fldChar w:fldCharType="begin"/>
        </w:r>
        <w:r w:rsidR="00163B51">
          <w:rPr>
            <w:noProof/>
            <w:webHidden/>
          </w:rPr>
          <w:instrText xml:space="preserve"> PAGEREF _Toc203032934 \h </w:instrText>
        </w:r>
        <w:r w:rsidR="00163B51">
          <w:rPr>
            <w:noProof/>
            <w:webHidden/>
          </w:rPr>
        </w:r>
        <w:r w:rsidR="00163B51">
          <w:rPr>
            <w:noProof/>
            <w:webHidden/>
          </w:rPr>
          <w:fldChar w:fldCharType="separate"/>
        </w:r>
        <w:r w:rsidR="00163B51">
          <w:rPr>
            <w:noProof/>
            <w:webHidden/>
          </w:rPr>
          <w:t>157</w:t>
        </w:r>
        <w:r w:rsidR="00163B51">
          <w:rPr>
            <w:noProof/>
            <w:webHidden/>
          </w:rPr>
          <w:fldChar w:fldCharType="end"/>
        </w:r>
      </w:hyperlink>
    </w:p>
    <w:p w14:paraId="5FC5089D" w14:textId="1FBBFBD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5" w:history="1">
        <w:r w:rsidR="00163B51" w:rsidRPr="009535BD">
          <w:rPr>
            <w:rStyle w:val="Hypertextovodkaz"/>
            <w:noProof/>
          </w:rPr>
          <w:t>Graf 108: VS – vyřizování odvolacího řízení v incidenčních sporech</w:t>
        </w:r>
        <w:r w:rsidR="00163B51">
          <w:rPr>
            <w:noProof/>
            <w:webHidden/>
          </w:rPr>
          <w:tab/>
        </w:r>
        <w:r w:rsidR="00163B51">
          <w:rPr>
            <w:noProof/>
            <w:webHidden/>
          </w:rPr>
          <w:fldChar w:fldCharType="begin"/>
        </w:r>
        <w:r w:rsidR="00163B51">
          <w:rPr>
            <w:noProof/>
            <w:webHidden/>
          </w:rPr>
          <w:instrText xml:space="preserve"> PAGEREF _Toc203032935 \h </w:instrText>
        </w:r>
        <w:r w:rsidR="00163B51">
          <w:rPr>
            <w:noProof/>
            <w:webHidden/>
          </w:rPr>
        </w:r>
        <w:r w:rsidR="00163B51">
          <w:rPr>
            <w:noProof/>
            <w:webHidden/>
          </w:rPr>
          <w:fldChar w:fldCharType="separate"/>
        </w:r>
        <w:r w:rsidR="00163B51">
          <w:rPr>
            <w:noProof/>
            <w:webHidden/>
          </w:rPr>
          <w:t>157</w:t>
        </w:r>
        <w:r w:rsidR="00163B51">
          <w:rPr>
            <w:noProof/>
            <w:webHidden/>
          </w:rPr>
          <w:fldChar w:fldCharType="end"/>
        </w:r>
      </w:hyperlink>
    </w:p>
    <w:p w14:paraId="24E85577" w14:textId="5CEF6BB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6" w:history="1">
        <w:r w:rsidR="00163B51" w:rsidRPr="009535BD">
          <w:rPr>
            <w:rStyle w:val="Hypertextovodkaz"/>
            <w:noProof/>
          </w:rPr>
          <w:t>Graf 109: VS – DT odvolacího řízení v incidenčních sporech</w:t>
        </w:r>
        <w:r w:rsidR="00163B51">
          <w:rPr>
            <w:noProof/>
            <w:webHidden/>
          </w:rPr>
          <w:tab/>
        </w:r>
        <w:r w:rsidR="00163B51">
          <w:rPr>
            <w:noProof/>
            <w:webHidden/>
          </w:rPr>
          <w:fldChar w:fldCharType="begin"/>
        </w:r>
        <w:r w:rsidR="00163B51">
          <w:rPr>
            <w:noProof/>
            <w:webHidden/>
          </w:rPr>
          <w:instrText xml:space="preserve"> PAGEREF _Toc203032936 \h </w:instrText>
        </w:r>
        <w:r w:rsidR="00163B51">
          <w:rPr>
            <w:noProof/>
            <w:webHidden/>
          </w:rPr>
        </w:r>
        <w:r w:rsidR="00163B51">
          <w:rPr>
            <w:noProof/>
            <w:webHidden/>
          </w:rPr>
          <w:fldChar w:fldCharType="separate"/>
        </w:r>
        <w:r w:rsidR="00163B51">
          <w:rPr>
            <w:noProof/>
            <w:webHidden/>
          </w:rPr>
          <w:t>158</w:t>
        </w:r>
        <w:r w:rsidR="00163B51">
          <w:rPr>
            <w:noProof/>
            <w:webHidden/>
          </w:rPr>
          <w:fldChar w:fldCharType="end"/>
        </w:r>
      </w:hyperlink>
    </w:p>
    <w:p w14:paraId="00237553" w14:textId="671A913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7" w:history="1">
        <w:r w:rsidR="00163B51" w:rsidRPr="009535BD">
          <w:rPr>
            <w:rStyle w:val="Hypertextovodkaz"/>
            <w:noProof/>
          </w:rPr>
          <w:t>Graf 110: NS – počet soudců v letech 2015–2024</w:t>
        </w:r>
        <w:r w:rsidR="00163B51">
          <w:rPr>
            <w:noProof/>
            <w:webHidden/>
          </w:rPr>
          <w:tab/>
        </w:r>
        <w:r w:rsidR="00163B51">
          <w:rPr>
            <w:noProof/>
            <w:webHidden/>
          </w:rPr>
          <w:fldChar w:fldCharType="begin"/>
        </w:r>
        <w:r w:rsidR="00163B51">
          <w:rPr>
            <w:noProof/>
            <w:webHidden/>
          </w:rPr>
          <w:instrText xml:space="preserve"> PAGEREF _Toc203032937 \h </w:instrText>
        </w:r>
        <w:r w:rsidR="00163B51">
          <w:rPr>
            <w:noProof/>
            <w:webHidden/>
          </w:rPr>
        </w:r>
        <w:r w:rsidR="00163B51">
          <w:rPr>
            <w:noProof/>
            <w:webHidden/>
          </w:rPr>
          <w:fldChar w:fldCharType="separate"/>
        </w:r>
        <w:r w:rsidR="00163B51">
          <w:rPr>
            <w:noProof/>
            <w:webHidden/>
          </w:rPr>
          <w:t>159</w:t>
        </w:r>
        <w:r w:rsidR="00163B51">
          <w:rPr>
            <w:noProof/>
            <w:webHidden/>
          </w:rPr>
          <w:fldChar w:fldCharType="end"/>
        </w:r>
      </w:hyperlink>
    </w:p>
    <w:p w14:paraId="6B58A261" w14:textId="45353C45"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8" w:history="1">
        <w:r w:rsidR="00163B51" w:rsidRPr="009535BD">
          <w:rPr>
            <w:rStyle w:val="Hypertextovodkaz"/>
            <w:noProof/>
          </w:rPr>
          <w:t>Graf 111: NS – evidenční počet soudců dle soudních úseků v letech 2014–2024</w:t>
        </w:r>
        <w:r w:rsidR="00163B51">
          <w:rPr>
            <w:noProof/>
            <w:webHidden/>
          </w:rPr>
          <w:tab/>
        </w:r>
        <w:r w:rsidR="00163B51">
          <w:rPr>
            <w:noProof/>
            <w:webHidden/>
          </w:rPr>
          <w:fldChar w:fldCharType="begin"/>
        </w:r>
        <w:r w:rsidR="00163B51">
          <w:rPr>
            <w:noProof/>
            <w:webHidden/>
          </w:rPr>
          <w:instrText xml:space="preserve"> PAGEREF _Toc203032938 \h </w:instrText>
        </w:r>
        <w:r w:rsidR="00163B51">
          <w:rPr>
            <w:noProof/>
            <w:webHidden/>
          </w:rPr>
        </w:r>
        <w:r w:rsidR="00163B51">
          <w:rPr>
            <w:noProof/>
            <w:webHidden/>
          </w:rPr>
          <w:fldChar w:fldCharType="separate"/>
        </w:r>
        <w:r w:rsidR="00163B51">
          <w:rPr>
            <w:noProof/>
            <w:webHidden/>
          </w:rPr>
          <w:t>160</w:t>
        </w:r>
        <w:r w:rsidR="00163B51">
          <w:rPr>
            <w:noProof/>
            <w:webHidden/>
          </w:rPr>
          <w:fldChar w:fldCharType="end"/>
        </w:r>
      </w:hyperlink>
    </w:p>
    <w:p w14:paraId="425A4A0B" w14:textId="479A934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9" w:history="1">
        <w:r w:rsidR="00163B51" w:rsidRPr="009535BD">
          <w:rPr>
            <w:rStyle w:val="Hypertextovodkaz"/>
            <w:noProof/>
          </w:rPr>
          <w:t>Graf 112: NS – evidenční počet soudců dle pohlaví v letech 2015–2024</w:t>
        </w:r>
        <w:r w:rsidR="00163B51">
          <w:rPr>
            <w:noProof/>
            <w:webHidden/>
          </w:rPr>
          <w:tab/>
        </w:r>
        <w:r w:rsidR="00163B51">
          <w:rPr>
            <w:noProof/>
            <w:webHidden/>
          </w:rPr>
          <w:fldChar w:fldCharType="begin"/>
        </w:r>
        <w:r w:rsidR="00163B51">
          <w:rPr>
            <w:noProof/>
            <w:webHidden/>
          </w:rPr>
          <w:instrText xml:space="preserve"> PAGEREF _Toc203032939 \h </w:instrText>
        </w:r>
        <w:r w:rsidR="00163B51">
          <w:rPr>
            <w:noProof/>
            <w:webHidden/>
          </w:rPr>
        </w:r>
        <w:r w:rsidR="00163B51">
          <w:rPr>
            <w:noProof/>
            <w:webHidden/>
          </w:rPr>
          <w:fldChar w:fldCharType="separate"/>
        </w:r>
        <w:r w:rsidR="00163B51">
          <w:rPr>
            <w:noProof/>
            <w:webHidden/>
          </w:rPr>
          <w:t>161</w:t>
        </w:r>
        <w:r w:rsidR="00163B51">
          <w:rPr>
            <w:noProof/>
            <w:webHidden/>
          </w:rPr>
          <w:fldChar w:fldCharType="end"/>
        </w:r>
      </w:hyperlink>
    </w:p>
    <w:p w14:paraId="1CD751F4" w14:textId="3D94F1F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0" w:history="1">
        <w:r w:rsidR="00163B51" w:rsidRPr="009535BD">
          <w:rPr>
            <w:rStyle w:val="Hypertextovodkaz"/>
            <w:noProof/>
          </w:rPr>
          <w:t>Graf 113: NS – věková struktura soudců v letech 2008–2024</w:t>
        </w:r>
        <w:r w:rsidR="00163B51">
          <w:rPr>
            <w:noProof/>
            <w:webHidden/>
          </w:rPr>
          <w:tab/>
        </w:r>
        <w:r w:rsidR="00163B51">
          <w:rPr>
            <w:noProof/>
            <w:webHidden/>
          </w:rPr>
          <w:fldChar w:fldCharType="begin"/>
        </w:r>
        <w:r w:rsidR="00163B51">
          <w:rPr>
            <w:noProof/>
            <w:webHidden/>
          </w:rPr>
          <w:instrText xml:space="preserve"> PAGEREF _Toc203032940 \h </w:instrText>
        </w:r>
        <w:r w:rsidR="00163B51">
          <w:rPr>
            <w:noProof/>
            <w:webHidden/>
          </w:rPr>
        </w:r>
        <w:r w:rsidR="00163B51">
          <w:rPr>
            <w:noProof/>
            <w:webHidden/>
          </w:rPr>
          <w:fldChar w:fldCharType="separate"/>
        </w:r>
        <w:r w:rsidR="00163B51">
          <w:rPr>
            <w:noProof/>
            <w:webHidden/>
          </w:rPr>
          <w:t>162</w:t>
        </w:r>
        <w:r w:rsidR="00163B51">
          <w:rPr>
            <w:noProof/>
            <w:webHidden/>
          </w:rPr>
          <w:fldChar w:fldCharType="end"/>
        </w:r>
      </w:hyperlink>
    </w:p>
    <w:p w14:paraId="0B6FBBD6" w14:textId="6B70C6B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1" w:history="1">
        <w:r w:rsidR="00163B51" w:rsidRPr="009535BD">
          <w:rPr>
            <w:rStyle w:val="Hypertextovodkaz"/>
            <w:noProof/>
          </w:rPr>
          <w:t>Graf 114: NS – vyřizování civilní dovolací agendy v letech 2015–2024</w:t>
        </w:r>
        <w:r w:rsidR="00163B51">
          <w:rPr>
            <w:noProof/>
            <w:webHidden/>
          </w:rPr>
          <w:tab/>
        </w:r>
        <w:r w:rsidR="00163B51">
          <w:rPr>
            <w:noProof/>
            <w:webHidden/>
          </w:rPr>
          <w:fldChar w:fldCharType="begin"/>
        </w:r>
        <w:r w:rsidR="00163B51">
          <w:rPr>
            <w:noProof/>
            <w:webHidden/>
          </w:rPr>
          <w:instrText xml:space="preserve"> PAGEREF _Toc203032941 \h </w:instrText>
        </w:r>
        <w:r w:rsidR="00163B51">
          <w:rPr>
            <w:noProof/>
            <w:webHidden/>
          </w:rPr>
        </w:r>
        <w:r w:rsidR="00163B51">
          <w:rPr>
            <w:noProof/>
            <w:webHidden/>
          </w:rPr>
          <w:fldChar w:fldCharType="separate"/>
        </w:r>
        <w:r w:rsidR="00163B51">
          <w:rPr>
            <w:noProof/>
            <w:webHidden/>
          </w:rPr>
          <w:t>163</w:t>
        </w:r>
        <w:r w:rsidR="00163B51">
          <w:rPr>
            <w:noProof/>
            <w:webHidden/>
          </w:rPr>
          <w:fldChar w:fldCharType="end"/>
        </w:r>
      </w:hyperlink>
    </w:p>
    <w:p w14:paraId="5885AB13" w14:textId="1B73F64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2" w:history="1">
        <w:r w:rsidR="00163B51" w:rsidRPr="009535BD">
          <w:rPr>
            <w:rStyle w:val="Hypertextovodkaz"/>
            <w:noProof/>
          </w:rPr>
          <w:t>Graf 115: NS – vyřizování trestní dovolací agendy v letech 2015–2024</w:t>
        </w:r>
        <w:r w:rsidR="00163B51">
          <w:rPr>
            <w:noProof/>
            <w:webHidden/>
          </w:rPr>
          <w:tab/>
        </w:r>
        <w:r w:rsidR="00163B51">
          <w:rPr>
            <w:noProof/>
            <w:webHidden/>
          </w:rPr>
          <w:fldChar w:fldCharType="begin"/>
        </w:r>
        <w:r w:rsidR="00163B51">
          <w:rPr>
            <w:noProof/>
            <w:webHidden/>
          </w:rPr>
          <w:instrText xml:space="preserve"> PAGEREF _Toc203032942 \h </w:instrText>
        </w:r>
        <w:r w:rsidR="00163B51">
          <w:rPr>
            <w:noProof/>
            <w:webHidden/>
          </w:rPr>
        </w:r>
        <w:r w:rsidR="00163B51">
          <w:rPr>
            <w:noProof/>
            <w:webHidden/>
          </w:rPr>
          <w:fldChar w:fldCharType="separate"/>
        </w:r>
        <w:r w:rsidR="00163B51">
          <w:rPr>
            <w:noProof/>
            <w:webHidden/>
          </w:rPr>
          <w:t>164</w:t>
        </w:r>
        <w:r w:rsidR="00163B51">
          <w:rPr>
            <w:noProof/>
            <w:webHidden/>
          </w:rPr>
          <w:fldChar w:fldCharType="end"/>
        </w:r>
      </w:hyperlink>
    </w:p>
    <w:p w14:paraId="1B00E9CC" w14:textId="107CAA5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3" w:history="1">
        <w:r w:rsidR="00163B51" w:rsidRPr="009535BD">
          <w:rPr>
            <w:rStyle w:val="Hypertextovodkaz"/>
            <w:noProof/>
          </w:rPr>
          <w:t>Graf 116: NS – vyřizování stížností pro porušení zákona v letech 2015–2024</w:t>
        </w:r>
        <w:r w:rsidR="00163B51">
          <w:rPr>
            <w:noProof/>
            <w:webHidden/>
          </w:rPr>
          <w:tab/>
        </w:r>
        <w:r w:rsidR="00163B51">
          <w:rPr>
            <w:noProof/>
            <w:webHidden/>
          </w:rPr>
          <w:fldChar w:fldCharType="begin"/>
        </w:r>
        <w:r w:rsidR="00163B51">
          <w:rPr>
            <w:noProof/>
            <w:webHidden/>
          </w:rPr>
          <w:instrText xml:space="preserve"> PAGEREF _Toc203032943 \h </w:instrText>
        </w:r>
        <w:r w:rsidR="00163B51">
          <w:rPr>
            <w:noProof/>
            <w:webHidden/>
          </w:rPr>
        </w:r>
        <w:r w:rsidR="00163B51">
          <w:rPr>
            <w:noProof/>
            <w:webHidden/>
          </w:rPr>
          <w:fldChar w:fldCharType="separate"/>
        </w:r>
        <w:r w:rsidR="00163B51">
          <w:rPr>
            <w:noProof/>
            <w:webHidden/>
          </w:rPr>
          <w:t>165</w:t>
        </w:r>
        <w:r w:rsidR="00163B51">
          <w:rPr>
            <w:noProof/>
            <w:webHidden/>
          </w:rPr>
          <w:fldChar w:fldCharType="end"/>
        </w:r>
      </w:hyperlink>
    </w:p>
    <w:p w14:paraId="0D15EE2F" w14:textId="0AAD993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4" w:history="1">
        <w:r w:rsidR="00163B51" w:rsidRPr="009535BD">
          <w:rPr>
            <w:rStyle w:val="Hypertextovodkaz"/>
            <w:noProof/>
          </w:rPr>
          <w:t>Graf 117: NS – vyřizování insolvenční dovolací agendy v letech 2015–2024</w:t>
        </w:r>
        <w:r w:rsidR="00163B51">
          <w:rPr>
            <w:noProof/>
            <w:webHidden/>
          </w:rPr>
          <w:tab/>
        </w:r>
        <w:r w:rsidR="00163B51">
          <w:rPr>
            <w:noProof/>
            <w:webHidden/>
          </w:rPr>
          <w:fldChar w:fldCharType="begin"/>
        </w:r>
        <w:r w:rsidR="00163B51">
          <w:rPr>
            <w:noProof/>
            <w:webHidden/>
          </w:rPr>
          <w:instrText xml:space="preserve"> PAGEREF _Toc203032944 \h </w:instrText>
        </w:r>
        <w:r w:rsidR="00163B51">
          <w:rPr>
            <w:noProof/>
            <w:webHidden/>
          </w:rPr>
        </w:r>
        <w:r w:rsidR="00163B51">
          <w:rPr>
            <w:noProof/>
            <w:webHidden/>
          </w:rPr>
          <w:fldChar w:fldCharType="separate"/>
        </w:r>
        <w:r w:rsidR="00163B51">
          <w:rPr>
            <w:noProof/>
            <w:webHidden/>
          </w:rPr>
          <w:t>166</w:t>
        </w:r>
        <w:r w:rsidR="00163B51">
          <w:rPr>
            <w:noProof/>
            <w:webHidden/>
          </w:rPr>
          <w:fldChar w:fldCharType="end"/>
        </w:r>
      </w:hyperlink>
    </w:p>
    <w:p w14:paraId="1D5F47F5" w14:textId="108CADF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5" w:history="1">
        <w:r w:rsidR="00163B51" w:rsidRPr="009535BD">
          <w:rPr>
            <w:rStyle w:val="Hypertextovodkaz"/>
            <w:noProof/>
          </w:rPr>
          <w:t>Graf 118: NSS – počet soudců v letech 2015–2024</w:t>
        </w:r>
        <w:r w:rsidR="00163B51">
          <w:rPr>
            <w:noProof/>
            <w:webHidden/>
          </w:rPr>
          <w:tab/>
        </w:r>
        <w:r w:rsidR="00163B51">
          <w:rPr>
            <w:noProof/>
            <w:webHidden/>
          </w:rPr>
          <w:fldChar w:fldCharType="begin"/>
        </w:r>
        <w:r w:rsidR="00163B51">
          <w:rPr>
            <w:noProof/>
            <w:webHidden/>
          </w:rPr>
          <w:instrText xml:space="preserve"> PAGEREF _Toc203032945 \h </w:instrText>
        </w:r>
        <w:r w:rsidR="00163B51">
          <w:rPr>
            <w:noProof/>
            <w:webHidden/>
          </w:rPr>
        </w:r>
        <w:r w:rsidR="00163B51">
          <w:rPr>
            <w:noProof/>
            <w:webHidden/>
          </w:rPr>
          <w:fldChar w:fldCharType="separate"/>
        </w:r>
        <w:r w:rsidR="00163B51">
          <w:rPr>
            <w:noProof/>
            <w:webHidden/>
          </w:rPr>
          <w:t>168</w:t>
        </w:r>
        <w:r w:rsidR="00163B51">
          <w:rPr>
            <w:noProof/>
            <w:webHidden/>
          </w:rPr>
          <w:fldChar w:fldCharType="end"/>
        </w:r>
      </w:hyperlink>
    </w:p>
    <w:p w14:paraId="6B585566" w14:textId="2D42C9F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6" w:history="1">
        <w:r w:rsidR="00163B51" w:rsidRPr="009535BD">
          <w:rPr>
            <w:rStyle w:val="Hypertextovodkaz"/>
            <w:noProof/>
          </w:rPr>
          <w:t>Graf 119: NSS – evidenční počet soudců dle pohlaví v letech 2015–2024</w:t>
        </w:r>
        <w:r w:rsidR="00163B51">
          <w:rPr>
            <w:noProof/>
            <w:webHidden/>
          </w:rPr>
          <w:tab/>
        </w:r>
        <w:r w:rsidR="00163B51">
          <w:rPr>
            <w:noProof/>
            <w:webHidden/>
          </w:rPr>
          <w:fldChar w:fldCharType="begin"/>
        </w:r>
        <w:r w:rsidR="00163B51">
          <w:rPr>
            <w:noProof/>
            <w:webHidden/>
          </w:rPr>
          <w:instrText xml:space="preserve"> PAGEREF _Toc203032946 \h </w:instrText>
        </w:r>
        <w:r w:rsidR="00163B51">
          <w:rPr>
            <w:noProof/>
            <w:webHidden/>
          </w:rPr>
        </w:r>
        <w:r w:rsidR="00163B51">
          <w:rPr>
            <w:noProof/>
            <w:webHidden/>
          </w:rPr>
          <w:fldChar w:fldCharType="separate"/>
        </w:r>
        <w:r w:rsidR="00163B51">
          <w:rPr>
            <w:noProof/>
            <w:webHidden/>
          </w:rPr>
          <w:t>168</w:t>
        </w:r>
        <w:r w:rsidR="00163B51">
          <w:rPr>
            <w:noProof/>
            <w:webHidden/>
          </w:rPr>
          <w:fldChar w:fldCharType="end"/>
        </w:r>
      </w:hyperlink>
    </w:p>
    <w:p w14:paraId="36D10A43" w14:textId="5A77FB8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7" w:history="1">
        <w:r w:rsidR="00163B51" w:rsidRPr="009535BD">
          <w:rPr>
            <w:rStyle w:val="Hypertextovodkaz"/>
            <w:noProof/>
          </w:rPr>
          <w:t>Graf 120: NSS – věková struktura soudců v letech 2008</w:t>
        </w:r>
        <w:r w:rsidR="00163B51" w:rsidRPr="009535BD">
          <w:rPr>
            <w:rStyle w:val="Hypertextovodkaz"/>
            <w:noProof/>
          </w:rPr>
          <w:sym w:font="Symbol" w:char="F02D"/>
        </w:r>
        <w:r w:rsidR="00163B51" w:rsidRPr="009535BD">
          <w:rPr>
            <w:rStyle w:val="Hypertextovodkaz"/>
            <w:noProof/>
          </w:rPr>
          <w:t>2024</w:t>
        </w:r>
        <w:r w:rsidR="00163B51">
          <w:rPr>
            <w:noProof/>
            <w:webHidden/>
          </w:rPr>
          <w:tab/>
        </w:r>
        <w:r w:rsidR="00163B51">
          <w:rPr>
            <w:noProof/>
            <w:webHidden/>
          </w:rPr>
          <w:fldChar w:fldCharType="begin"/>
        </w:r>
        <w:r w:rsidR="00163B51">
          <w:rPr>
            <w:noProof/>
            <w:webHidden/>
          </w:rPr>
          <w:instrText xml:space="preserve"> PAGEREF _Toc203032947 \h </w:instrText>
        </w:r>
        <w:r w:rsidR="00163B51">
          <w:rPr>
            <w:noProof/>
            <w:webHidden/>
          </w:rPr>
        </w:r>
        <w:r w:rsidR="00163B51">
          <w:rPr>
            <w:noProof/>
            <w:webHidden/>
          </w:rPr>
          <w:fldChar w:fldCharType="separate"/>
        </w:r>
        <w:r w:rsidR="00163B51">
          <w:rPr>
            <w:noProof/>
            <w:webHidden/>
          </w:rPr>
          <w:t>169</w:t>
        </w:r>
        <w:r w:rsidR="00163B51">
          <w:rPr>
            <w:noProof/>
            <w:webHidden/>
          </w:rPr>
          <w:fldChar w:fldCharType="end"/>
        </w:r>
      </w:hyperlink>
    </w:p>
    <w:p w14:paraId="0C838EE0" w14:textId="39751DA5"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8" w:history="1">
        <w:r w:rsidR="00163B51" w:rsidRPr="009535BD">
          <w:rPr>
            <w:rStyle w:val="Hypertextovodkaz"/>
            <w:noProof/>
          </w:rPr>
          <w:t>Graf 121: NSS – vyřizování kasačních věcí v letech 2015–2024</w:t>
        </w:r>
        <w:r w:rsidR="00163B51">
          <w:rPr>
            <w:noProof/>
            <w:webHidden/>
          </w:rPr>
          <w:tab/>
        </w:r>
        <w:r w:rsidR="00163B51">
          <w:rPr>
            <w:noProof/>
            <w:webHidden/>
          </w:rPr>
          <w:fldChar w:fldCharType="begin"/>
        </w:r>
        <w:r w:rsidR="00163B51">
          <w:rPr>
            <w:noProof/>
            <w:webHidden/>
          </w:rPr>
          <w:instrText xml:space="preserve"> PAGEREF _Toc203032948 \h </w:instrText>
        </w:r>
        <w:r w:rsidR="00163B51">
          <w:rPr>
            <w:noProof/>
            <w:webHidden/>
          </w:rPr>
        </w:r>
        <w:r w:rsidR="00163B51">
          <w:rPr>
            <w:noProof/>
            <w:webHidden/>
          </w:rPr>
          <w:fldChar w:fldCharType="separate"/>
        </w:r>
        <w:r w:rsidR="00163B51">
          <w:rPr>
            <w:noProof/>
            <w:webHidden/>
          </w:rPr>
          <w:t>171</w:t>
        </w:r>
        <w:r w:rsidR="00163B51">
          <w:rPr>
            <w:noProof/>
            <w:webHidden/>
          </w:rPr>
          <w:fldChar w:fldCharType="end"/>
        </w:r>
      </w:hyperlink>
    </w:p>
    <w:p w14:paraId="2E0CD562" w14:textId="1BF00CC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9" w:history="1">
        <w:r w:rsidR="00163B51" w:rsidRPr="009535BD">
          <w:rPr>
            <w:rStyle w:val="Hypertextovodkaz"/>
            <w:noProof/>
          </w:rPr>
          <w:t>Graf 122: NSS – vyřizování věcí kárné odpovědnosti soudců v letech 2015–2024</w:t>
        </w:r>
        <w:r w:rsidR="00163B51">
          <w:rPr>
            <w:noProof/>
            <w:webHidden/>
          </w:rPr>
          <w:tab/>
        </w:r>
        <w:r w:rsidR="00163B51">
          <w:rPr>
            <w:noProof/>
            <w:webHidden/>
          </w:rPr>
          <w:fldChar w:fldCharType="begin"/>
        </w:r>
        <w:r w:rsidR="00163B51">
          <w:rPr>
            <w:noProof/>
            <w:webHidden/>
          </w:rPr>
          <w:instrText xml:space="preserve"> PAGEREF _Toc203032949 \h </w:instrText>
        </w:r>
        <w:r w:rsidR="00163B51">
          <w:rPr>
            <w:noProof/>
            <w:webHidden/>
          </w:rPr>
        </w:r>
        <w:r w:rsidR="00163B51">
          <w:rPr>
            <w:noProof/>
            <w:webHidden/>
          </w:rPr>
          <w:fldChar w:fldCharType="separate"/>
        </w:r>
        <w:r w:rsidR="00163B51">
          <w:rPr>
            <w:noProof/>
            <w:webHidden/>
          </w:rPr>
          <w:t>172</w:t>
        </w:r>
        <w:r w:rsidR="00163B51">
          <w:rPr>
            <w:noProof/>
            <w:webHidden/>
          </w:rPr>
          <w:fldChar w:fldCharType="end"/>
        </w:r>
      </w:hyperlink>
    </w:p>
    <w:p w14:paraId="3D62D84F" w14:textId="14582F2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0" w:history="1">
        <w:r w:rsidR="00163B51" w:rsidRPr="009535BD">
          <w:rPr>
            <w:rStyle w:val="Hypertextovodkaz"/>
            <w:noProof/>
          </w:rPr>
          <w:t>Graf 123: Počet soudců připadající na 100.000 obyvatel v členských státech Rady Evropy</w:t>
        </w:r>
        <w:r w:rsidR="00163B51" w:rsidRPr="009535BD">
          <w:rPr>
            <w:rStyle w:val="Hypertextovodkaz"/>
            <w:noProof/>
            <w:vertAlign w:val="superscript"/>
          </w:rPr>
          <w:t>20</w:t>
        </w:r>
        <w:r w:rsidR="00163B51" w:rsidRPr="009535BD">
          <w:rPr>
            <w:rStyle w:val="Hypertextovodkaz"/>
            <w:noProof/>
          </w:rPr>
          <w:t>, 2022</w:t>
        </w:r>
        <w:r w:rsidR="00163B51">
          <w:rPr>
            <w:noProof/>
            <w:webHidden/>
          </w:rPr>
          <w:tab/>
        </w:r>
        <w:r w:rsidR="00163B51">
          <w:rPr>
            <w:noProof/>
            <w:webHidden/>
          </w:rPr>
          <w:fldChar w:fldCharType="begin"/>
        </w:r>
        <w:r w:rsidR="00163B51">
          <w:rPr>
            <w:noProof/>
            <w:webHidden/>
          </w:rPr>
          <w:instrText xml:space="preserve"> PAGEREF _Toc203032950 \h </w:instrText>
        </w:r>
        <w:r w:rsidR="00163B51">
          <w:rPr>
            <w:noProof/>
            <w:webHidden/>
          </w:rPr>
        </w:r>
        <w:r w:rsidR="00163B51">
          <w:rPr>
            <w:noProof/>
            <w:webHidden/>
          </w:rPr>
          <w:fldChar w:fldCharType="separate"/>
        </w:r>
        <w:r w:rsidR="00163B51">
          <w:rPr>
            <w:noProof/>
            <w:webHidden/>
          </w:rPr>
          <w:t>174</w:t>
        </w:r>
        <w:r w:rsidR="00163B51">
          <w:rPr>
            <w:noProof/>
            <w:webHidden/>
          </w:rPr>
          <w:fldChar w:fldCharType="end"/>
        </w:r>
      </w:hyperlink>
    </w:p>
    <w:p w14:paraId="14112206" w14:textId="7B07CBF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1" w:history="1">
        <w:r w:rsidR="00163B51" w:rsidRPr="009535BD">
          <w:rPr>
            <w:rStyle w:val="Hypertextovodkaz"/>
            <w:noProof/>
          </w:rPr>
          <w:t>Graf 124: Podíl žen v řadách soudců v členských státech Rady Evropy</w:t>
        </w:r>
        <w:r w:rsidR="00163B51" w:rsidRPr="009535BD">
          <w:rPr>
            <w:rStyle w:val="Hypertextovodkaz"/>
            <w:noProof/>
            <w:vertAlign w:val="superscript"/>
          </w:rPr>
          <w:t>20</w:t>
        </w:r>
        <w:r w:rsidR="00163B51" w:rsidRPr="009535BD">
          <w:rPr>
            <w:rStyle w:val="Hypertextovodkaz"/>
            <w:noProof/>
          </w:rPr>
          <w:t>, 2022</w:t>
        </w:r>
        <w:r w:rsidR="00163B51">
          <w:rPr>
            <w:noProof/>
            <w:webHidden/>
          </w:rPr>
          <w:tab/>
        </w:r>
        <w:r w:rsidR="00163B51">
          <w:rPr>
            <w:noProof/>
            <w:webHidden/>
          </w:rPr>
          <w:fldChar w:fldCharType="begin"/>
        </w:r>
        <w:r w:rsidR="00163B51">
          <w:rPr>
            <w:noProof/>
            <w:webHidden/>
          </w:rPr>
          <w:instrText xml:space="preserve"> PAGEREF _Toc203032951 \h </w:instrText>
        </w:r>
        <w:r w:rsidR="00163B51">
          <w:rPr>
            <w:noProof/>
            <w:webHidden/>
          </w:rPr>
        </w:r>
        <w:r w:rsidR="00163B51">
          <w:rPr>
            <w:noProof/>
            <w:webHidden/>
          </w:rPr>
          <w:fldChar w:fldCharType="separate"/>
        </w:r>
        <w:r w:rsidR="00163B51">
          <w:rPr>
            <w:noProof/>
            <w:webHidden/>
          </w:rPr>
          <w:t>175</w:t>
        </w:r>
        <w:r w:rsidR="00163B51">
          <w:rPr>
            <w:noProof/>
            <w:webHidden/>
          </w:rPr>
          <w:fldChar w:fldCharType="end"/>
        </w:r>
      </w:hyperlink>
    </w:p>
    <w:p w14:paraId="7052F30E" w14:textId="521FFA0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2" w:history="1">
        <w:r w:rsidR="00163B51" w:rsidRPr="009535BD">
          <w:rPr>
            <w:rStyle w:val="Hypertextovodkaz"/>
            <w:noProof/>
          </w:rPr>
          <w:t>Graf 125: Požadavky na jmenování soudců v členských státech Rady Evropy</w:t>
        </w:r>
        <w:r w:rsidR="00163B51" w:rsidRPr="009535BD">
          <w:rPr>
            <w:rStyle w:val="Hypertextovodkaz"/>
            <w:noProof/>
            <w:vertAlign w:val="superscript"/>
          </w:rPr>
          <w:t>20</w:t>
        </w:r>
        <w:r w:rsidR="00163B51" w:rsidRPr="009535BD">
          <w:rPr>
            <w:rStyle w:val="Hypertextovodkaz"/>
            <w:noProof/>
          </w:rPr>
          <w:t>, % států, 2022</w:t>
        </w:r>
        <w:r w:rsidR="00163B51">
          <w:rPr>
            <w:noProof/>
            <w:webHidden/>
          </w:rPr>
          <w:tab/>
        </w:r>
        <w:r w:rsidR="00163B51">
          <w:rPr>
            <w:noProof/>
            <w:webHidden/>
          </w:rPr>
          <w:fldChar w:fldCharType="begin"/>
        </w:r>
        <w:r w:rsidR="00163B51">
          <w:rPr>
            <w:noProof/>
            <w:webHidden/>
          </w:rPr>
          <w:instrText xml:space="preserve"> PAGEREF _Toc203032952 \h </w:instrText>
        </w:r>
        <w:r w:rsidR="00163B51">
          <w:rPr>
            <w:noProof/>
            <w:webHidden/>
          </w:rPr>
        </w:r>
        <w:r w:rsidR="00163B51">
          <w:rPr>
            <w:noProof/>
            <w:webHidden/>
          </w:rPr>
          <w:fldChar w:fldCharType="separate"/>
        </w:r>
        <w:r w:rsidR="00163B51">
          <w:rPr>
            <w:noProof/>
            <w:webHidden/>
          </w:rPr>
          <w:t>176</w:t>
        </w:r>
        <w:r w:rsidR="00163B51">
          <w:rPr>
            <w:noProof/>
            <w:webHidden/>
          </w:rPr>
          <w:fldChar w:fldCharType="end"/>
        </w:r>
      </w:hyperlink>
    </w:p>
    <w:p w14:paraId="394346BD" w14:textId="78AF564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3" w:history="1">
        <w:r w:rsidR="00163B51" w:rsidRPr="009535BD">
          <w:rPr>
            <w:rStyle w:val="Hypertextovodkaz"/>
            <w:noProof/>
          </w:rPr>
          <w:t>Graf 126: Kritéria kariérního růstu v členských státech Rady Evropy</w:t>
        </w:r>
        <w:r w:rsidR="00163B51" w:rsidRPr="009535BD">
          <w:rPr>
            <w:rStyle w:val="Hypertextovodkaz"/>
            <w:noProof/>
            <w:vertAlign w:val="superscript"/>
          </w:rPr>
          <w:t>20</w:t>
        </w:r>
        <w:r w:rsidR="00163B51" w:rsidRPr="009535BD">
          <w:rPr>
            <w:rStyle w:val="Hypertextovodkaz"/>
            <w:noProof/>
          </w:rPr>
          <w:t>, počty států, 2022</w:t>
        </w:r>
        <w:r w:rsidR="00163B51">
          <w:rPr>
            <w:noProof/>
            <w:webHidden/>
          </w:rPr>
          <w:tab/>
        </w:r>
        <w:r w:rsidR="00163B51">
          <w:rPr>
            <w:noProof/>
            <w:webHidden/>
          </w:rPr>
          <w:fldChar w:fldCharType="begin"/>
        </w:r>
        <w:r w:rsidR="00163B51">
          <w:rPr>
            <w:noProof/>
            <w:webHidden/>
          </w:rPr>
          <w:instrText xml:space="preserve"> PAGEREF _Toc203032953 \h </w:instrText>
        </w:r>
        <w:r w:rsidR="00163B51">
          <w:rPr>
            <w:noProof/>
            <w:webHidden/>
          </w:rPr>
        </w:r>
        <w:r w:rsidR="00163B51">
          <w:rPr>
            <w:noProof/>
            <w:webHidden/>
          </w:rPr>
          <w:fldChar w:fldCharType="separate"/>
        </w:r>
        <w:r w:rsidR="00163B51">
          <w:rPr>
            <w:noProof/>
            <w:webHidden/>
          </w:rPr>
          <w:t>177</w:t>
        </w:r>
        <w:r w:rsidR="00163B51">
          <w:rPr>
            <w:noProof/>
            <w:webHidden/>
          </w:rPr>
          <w:fldChar w:fldCharType="end"/>
        </w:r>
      </w:hyperlink>
    </w:p>
    <w:p w14:paraId="64FD94CD" w14:textId="66D1480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4" w:history="1">
        <w:r w:rsidR="00163B51" w:rsidRPr="009535BD">
          <w:rPr>
            <w:rStyle w:val="Hypertextovodkaz"/>
            <w:noProof/>
          </w:rPr>
          <w:t>Graf 127: Povolené důvody přeložení soudců bez jejich souhlasu v členských státech Rady Evropy</w:t>
        </w:r>
        <w:r w:rsidR="00163B51" w:rsidRPr="009535BD">
          <w:rPr>
            <w:rStyle w:val="Hypertextovodkaz"/>
            <w:noProof/>
            <w:vertAlign w:val="superscript"/>
          </w:rPr>
          <w:t>20</w:t>
        </w:r>
        <w:r w:rsidR="00163B51" w:rsidRPr="009535BD">
          <w:rPr>
            <w:rStyle w:val="Hypertextovodkaz"/>
            <w:noProof/>
          </w:rPr>
          <w:t>, počty států, 2022</w:t>
        </w:r>
        <w:r w:rsidR="00163B51">
          <w:rPr>
            <w:noProof/>
            <w:webHidden/>
          </w:rPr>
          <w:tab/>
        </w:r>
        <w:r w:rsidR="00163B51">
          <w:rPr>
            <w:noProof/>
            <w:webHidden/>
          </w:rPr>
          <w:fldChar w:fldCharType="begin"/>
        </w:r>
        <w:r w:rsidR="00163B51">
          <w:rPr>
            <w:noProof/>
            <w:webHidden/>
          </w:rPr>
          <w:instrText xml:space="preserve"> PAGEREF _Toc203032954 \h </w:instrText>
        </w:r>
        <w:r w:rsidR="00163B51">
          <w:rPr>
            <w:noProof/>
            <w:webHidden/>
          </w:rPr>
        </w:r>
        <w:r w:rsidR="00163B51">
          <w:rPr>
            <w:noProof/>
            <w:webHidden/>
          </w:rPr>
          <w:fldChar w:fldCharType="separate"/>
        </w:r>
        <w:r w:rsidR="00163B51">
          <w:rPr>
            <w:noProof/>
            <w:webHidden/>
          </w:rPr>
          <w:t>177</w:t>
        </w:r>
        <w:r w:rsidR="00163B51">
          <w:rPr>
            <w:noProof/>
            <w:webHidden/>
          </w:rPr>
          <w:fldChar w:fldCharType="end"/>
        </w:r>
      </w:hyperlink>
    </w:p>
    <w:p w14:paraId="6F427BFF" w14:textId="568BC90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5" w:history="1">
        <w:r w:rsidR="00163B51" w:rsidRPr="009535BD">
          <w:rPr>
            <w:rStyle w:val="Hypertextovodkaz"/>
            <w:noProof/>
          </w:rPr>
          <w:t>Graf 128: Celkové výdaje vládních institucí na soudy jako % HDP v členských státech EU27</w:t>
        </w:r>
        <w:r w:rsidR="00163B51">
          <w:rPr>
            <w:noProof/>
            <w:webHidden/>
          </w:rPr>
          <w:tab/>
        </w:r>
        <w:r w:rsidR="00163B51">
          <w:rPr>
            <w:noProof/>
            <w:webHidden/>
          </w:rPr>
          <w:fldChar w:fldCharType="begin"/>
        </w:r>
        <w:r w:rsidR="00163B51">
          <w:rPr>
            <w:noProof/>
            <w:webHidden/>
          </w:rPr>
          <w:instrText xml:space="preserve"> PAGEREF _Toc203032955 \h </w:instrText>
        </w:r>
        <w:r w:rsidR="00163B51">
          <w:rPr>
            <w:noProof/>
            <w:webHidden/>
          </w:rPr>
        </w:r>
        <w:r w:rsidR="00163B51">
          <w:rPr>
            <w:noProof/>
            <w:webHidden/>
          </w:rPr>
          <w:fldChar w:fldCharType="separate"/>
        </w:r>
        <w:r w:rsidR="00163B51">
          <w:rPr>
            <w:noProof/>
            <w:webHidden/>
          </w:rPr>
          <w:t>178</w:t>
        </w:r>
        <w:r w:rsidR="00163B51">
          <w:rPr>
            <w:noProof/>
            <w:webHidden/>
          </w:rPr>
          <w:fldChar w:fldCharType="end"/>
        </w:r>
      </w:hyperlink>
    </w:p>
    <w:p w14:paraId="649BEBAE" w14:textId="3E224FD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6" w:history="1">
        <w:r w:rsidR="00163B51" w:rsidRPr="009535BD">
          <w:rPr>
            <w:rStyle w:val="Hypertextovodkaz"/>
            <w:noProof/>
          </w:rPr>
          <w:t>Graf 129: Vnímaná nezávislost soudů a soudců ve státech EU27 celkem, ČR a kandidátských zemích (*), 2024</w:t>
        </w:r>
        <w:r w:rsidR="00163B51">
          <w:rPr>
            <w:noProof/>
            <w:webHidden/>
          </w:rPr>
          <w:tab/>
        </w:r>
        <w:r w:rsidR="00163B51">
          <w:rPr>
            <w:noProof/>
            <w:webHidden/>
          </w:rPr>
          <w:fldChar w:fldCharType="begin"/>
        </w:r>
        <w:r w:rsidR="00163B51">
          <w:rPr>
            <w:noProof/>
            <w:webHidden/>
          </w:rPr>
          <w:instrText xml:space="preserve"> PAGEREF _Toc203032956 \h </w:instrText>
        </w:r>
        <w:r w:rsidR="00163B51">
          <w:rPr>
            <w:noProof/>
            <w:webHidden/>
          </w:rPr>
        </w:r>
        <w:r w:rsidR="00163B51">
          <w:rPr>
            <w:noProof/>
            <w:webHidden/>
          </w:rPr>
          <w:fldChar w:fldCharType="separate"/>
        </w:r>
        <w:r w:rsidR="00163B51">
          <w:rPr>
            <w:noProof/>
            <w:webHidden/>
          </w:rPr>
          <w:t>180</w:t>
        </w:r>
        <w:r w:rsidR="00163B51">
          <w:rPr>
            <w:noProof/>
            <w:webHidden/>
          </w:rPr>
          <w:fldChar w:fldCharType="end"/>
        </w:r>
      </w:hyperlink>
    </w:p>
    <w:p w14:paraId="4CAD70C4" w14:textId="0E86508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7" w:history="1">
        <w:r w:rsidR="00163B51" w:rsidRPr="009535BD">
          <w:rPr>
            <w:rStyle w:val="Hypertextovodkaz"/>
            <w:noProof/>
          </w:rPr>
          <w:t>Graf 130: Podíl negativního hodnocení důvěry v soudnictví jako % v členských státech EU27</w:t>
        </w:r>
        <w:r w:rsidR="00163B51">
          <w:rPr>
            <w:noProof/>
            <w:webHidden/>
          </w:rPr>
          <w:tab/>
        </w:r>
        <w:r w:rsidR="00163B51">
          <w:rPr>
            <w:noProof/>
            <w:webHidden/>
          </w:rPr>
          <w:fldChar w:fldCharType="begin"/>
        </w:r>
        <w:r w:rsidR="00163B51">
          <w:rPr>
            <w:noProof/>
            <w:webHidden/>
          </w:rPr>
          <w:instrText xml:space="preserve"> PAGEREF _Toc203032957 \h </w:instrText>
        </w:r>
        <w:r w:rsidR="00163B51">
          <w:rPr>
            <w:noProof/>
            <w:webHidden/>
          </w:rPr>
        </w:r>
        <w:r w:rsidR="00163B51">
          <w:rPr>
            <w:noProof/>
            <w:webHidden/>
          </w:rPr>
          <w:fldChar w:fldCharType="separate"/>
        </w:r>
        <w:r w:rsidR="00163B51">
          <w:rPr>
            <w:noProof/>
            <w:webHidden/>
          </w:rPr>
          <w:t>181</w:t>
        </w:r>
        <w:r w:rsidR="00163B51">
          <w:rPr>
            <w:noProof/>
            <w:webHidden/>
          </w:rPr>
          <w:fldChar w:fldCharType="end"/>
        </w:r>
      </w:hyperlink>
    </w:p>
    <w:p w14:paraId="34CBE107" w14:textId="3513CD9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8" w:history="1">
        <w:r w:rsidR="00163B51" w:rsidRPr="009535BD">
          <w:rPr>
            <w:rStyle w:val="Hypertextovodkaz"/>
            <w:noProof/>
          </w:rPr>
          <w:t>Graf 131: Důvody negativního hodnocení důvěry v soudnictví</w:t>
        </w:r>
        <w:r w:rsidR="00163B51">
          <w:rPr>
            <w:noProof/>
            <w:webHidden/>
          </w:rPr>
          <w:tab/>
        </w:r>
        <w:r w:rsidR="00163B51">
          <w:rPr>
            <w:noProof/>
            <w:webHidden/>
          </w:rPr>
          <w:fldChar w:fldCharType="begin"/>
        </w:r>
        <w:r w:rsidR="00163B51">
          <w:rPr>
            <w:noProof/>
            <w:webHidden/>
          </w:rPr>
          <w:instrText xml:space="preserve"> PAGEREF _Toc203032958 \h </w:instrText>
        </w:r>
        <w:r w:rsidR="00163B51">
          <w:rPr>
            <w:noProof/>
            <w:webHidden/>
          </w:rPr>
        </w:r>
        <w:r w:rsidR="00163B51">
          <w:rPr>
            <w:noProof/>
            <w:webHidden/>
          </w:rPr>
          <w:fldChar w:fldCharType="separate"/>
        </w:r>
        <w:r w:rsidR="00163B51">
          <w:rPr>
            <w:noProof/>
            <w:webHidden/>
          </w:rPr>
          <w:t>182</w:t>
        </w:r>
        <w:r w:rsidR="00163B51">
          <w:rPr>
            <w:noProof/>
            <w:webHidden/>
          </w:rPr>
          <w:fldChar w:fldCharType="end"/>
        </w:r>
      </w:hyperlink>
    </w:p>
    <w:p w14:paraId="0C848A82" w14:textId="1B91BE6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9" w:history="1">
        <w:r w:rsidR="00163B51" w:rsidRPr="009535BD">
          <w:rPr>
            <w:rStyle w:val="Hypertextovodkaz"/>
            <w:noProof/>
          </w:rPr>
          <w:t>Graf 132: Důvody pozitivního hodnocení důvěry v soudnictví</w:t>
        </w:r>
        <w:r w:rsidR="00163B51">
          <w:rPr>
            <w:noProof/>
            <w:webHidden/>
          </w:rPr>
          <w:tab/>
        </w:r>
        <w:r w:rsidR="00163B51">
          <w:rPr>
            <w:noProof/>
            <w:webHidden/>
          </w:rPr>
          <w:fldChar w:fldCharType="begin"/>
        </w:r>
        <w:r w:rsidR="00163B51">
          <w:rPr>
            <w:noProof/>
            <w:webHidden/>
          </w:rPr>
          <w:instrText xml:space="preserve"> PAGEREF _Toc203032959 \h </w:instrText>
        </w:r>
        <w:r w:rsidR="00163B51">
          <w:rPr>
            <w:noProof/>
            <w:webHidden/>
          </w:rPr>
        </w:r>
        <w:r w:rsidR="00163B51">
          <w:rPr>
            <w:noProof/>
            <w:webHidden/>
          </w:rPr>
          <w:fldChar w:fldCharType="separate"/>
        </w:r>
        <w:r w:rsidR="00163B51">
          <w:rPr>
            <w:noProof/>
            <w:webHidden/>
          </w:rPr>
          <w:t>182</w:t>
        </w:r>
        <w:r w:rsidR="00163B51">
          <w:rPr>
            <w:noProof/>
            <w:webHidden/>
          </w:rPr>
          <w:fldChar w:fldCharType="end"/>
        </w:r>
      </w:hyperlink>
    </w:p>
    <w:p w14:paraId="53C26335" w14:textId="2353903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0" w:history="1">
        <w:r w:rsidR="00163B51" w:rsidRPr="009535BD">
          <w:rPr>
            <w:rStyle w:val="Hypertextovodkaz"/>
            <w:noProof/>
          </w:rPr>
          <w:t>Graf 133: EU – medián a průměrný nápad občanských, obchodních, správních a jiných věcí na 100 obyvatel v zemích EU, soudy 1. stupně (*)</w:t>
        </w:r>
        <w:r w:rsidR="00163B51">
          <w:rPr>
            <w:noProof/>
            <w:webHidden/>
          </w:rPr>
          <w:tab/>
        </w:r>
        <w:r w:rsidR="00163B51">
          <w:rPr>
            <w:noProof/>
            <w:webHidden/>
          </w:rPr>
          <w:fldChar w:fldCharType="begin"/>
        </w:r>
        <w:r w:rsidR="00163B51">
          <w:rPr>
            <w:noProof/>
            <w:webHidden/>
          </w:rPr>
          <w:instrText xml:space="preserve"> PAGEREF _Toc203032960 \h </w:instrText>
        </w:r>
        <w:r w:rsidR="00163B51">
          <w:rPr>
            <w:noProof/>
            <w:webHidden/>
          </w:rPr>
        </w:r>
        <w:r w:rsidR="00163B51">
          <w:rPr>
            <w:noProof/>
            <w:webHidden/>
          </w:rPr>
          <w:fldChar w:fldCharType="separate"/>
        </w:r>
        <w:r w:rsidR="00163B51">
          <w:rPr>
            <w:noProof/>
            <w:webHidden/>
          </w:rPr>
          <w:t>183</w:t>
        </w:r>
        <w:r w:rsidR="00163B51">
          <w:rPr>
            <w:noProof/>
            <w:webHidden/>
          </w:rPr>
          <w:fldChar w:fldCharType="end"/>
        </w:r>
      </w:hyperlink>
    </w:p>
    <w:p w14:paraId="6364DB1E" w14:textId="38DF5EEA"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1" w:history="1">
        <w:r w:rsidR="00163B51" w:rsidRPr="009535BD">
          <w:rPr>
            <w:rStyle w:val="Hypertextovodkaz"/>
            <w:noProof/>
          </w:rPr>
          <w:t>Graf 134: EU – nápad sporných občanských a obchodních věcí na 100 000 obyvatel v zemích EU, soudy 1. stupně (*)</w:t>
        </w:r>
        <w:r w:rsidR="00163B51">
          <w:rPr>
            <w:noProof/>
            <w:webHidden/>
          </w:rPr>
          <w:tab/>
        </w:r>
        <w:r w:rsidR="00163B51">
          <w:rPr>
            <w:noProof/>
            <w:webHidden/>
          </w:rPr>
          <w:fldChar w:fldCharType="begin"/>
        </w:r>
        <w:r w:rsidR="00163B51">
          <w:rPr>
            <w:noProof/>
            <w:webHidden/>
          </w:rPr>
          <w:instrText xml:space="preserve"> PAGEREF _Toc203032961 \h </w:instrText>
        </w:r>
        <w:r w:rsidR="00163B51">
          <w:rPr>
            <w:noProof/>
            <w:webHidden/>
          </w:rPr>
        </w:r>
        <w:r w:rsidR="00163B51">
          <w:rPr>
            <w:noProof/>
            <w:webHidden/>
          </w:rPr>
          <w:fldChar w:fldCharType="separate"/>
        </w:r>
        <w:r w:rsidR="00163B51">
          <w:rPr>
            <w:noProof/>
            <w:webHidden/>
          </w:rPr>
          <w:t>184</w:t>
        </w:r>
        <w:r w:rsidR="00163B51">
          <w:rPr>
            <w:noProof/>
            <w:webHidden/>
          </w:rPr>
          <w:fldChar w:fldCharType="end"/>
        </w:r>
      </w:hyperlink>
    </w:p>
    <w:p w14:paraId="2F36F932" w14:textId="6AC6939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2" w:history="1">
        <w:r w:rsidR="00163B51" w:rsidRPr="009535BD">
          <w:rPr>
            <w:rStyle w:val="Hypertextovodkaz"/>
            <w:noProof/>
          </w:rPr>
          <w:t>Graf 135: EU – disposition time sporných občanských a obchodních věcí zemích v EU, soudy 1. stupně (*)</w:t>
        </w:r>
        <w:r w:rsidR="00163B51">
          <w:rPr>
            <w:noProof/>
            <w:webHidden/>
          </w:rPr>
          <w:tab/>
        </w:r>
        <w:r w:rsidR="00163B51">
          <w:rPr>
            <w:noProof/>
            <w:webHidden/>
          </w:rPr>
          <w:fldChar w:fldCharType="begin"/>
        </w:r>
        <w:r w:rsidR="00163B51">
          <w:rPr>
            <w:noProof/>
            <w:webHidden/>
          </w:rPr>
          <w:instrText xml:space="preserve"> PAGEREF _Toc203032962 \h </w:instrText>
        </w:r>
        <w:r w:rsidR="00163B51">
          <w:rPr>
            <w:noProof/>
            <w:webHidden/>
          </w:rPr>
        </w:r>
        <w:r w:rsidR="00163B51">
          <w:rPr>
            <w:noProof/>
            <w:webHidden/>
          </w:rPr>
          <w:fldChar w:fldCharType="separate"/>
        </w:r>
        <w:r w:rsidR="00163B51">
          <w:rPr>
            <w:noProof/>
            <w:webHidden/>
          </w:rPr>
          <w:t>184</w:t>
        </w:r>
        <w:r w:rsidR="00163B51">
          <w:rPr>
            <w:noProof/>
            <w:webHidden/>
          </w:rPr>
          <w:fldChar w:fldCharType="end"/>
        </w:r>
      </w:hyperlink>
    </w:p>
    <w:p w14:paraId="6B02D132" w14:textId="1E06530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3" w:history="1">
        <w:r w:rsidR="00163B51" w:rsidRPr="009535BD">
          <w:rPr>
            <w:rStyle w:val="Hypertextovodkaz"/>
            <w:noProof/>
          </w:rPr>
          <w:t>Graf 136: Počet nevyřízených sporných obč. a obch. věcí na 100 obyvatel, státy EU27, soudy 1. stupně (*)</w:t>
        </w:r>
        <w:r w:rsidR="00163B51">
          <w:rPr>
            <w:noProof/>
            <w:webHidden/>
          </w:rPr>
          <w:tab/>
        </w:r>
        <w:r w:rsidR="00163B51">
          <w:rPr>
            <w:noProof/>
            <w:webHidden/>
          </w:rPr>
          <w:fldChar w:fldCharType="begin"/>
        </w:r>
        <w:r w:rsidR="00163B51">
          <w:rPr>
            <w:noProof/>
            <w:webHidden/>
          </w:rPr>
          <w:instrText xml:space="preserve"> PAGEREF _Toc203032963 \h </w:instrText>
        </w:r>
        <w:r w:rsidR="00163B51">
          <w:rPr>
            <w:noProof/>
            <w:webHidden/>
          </w:rPr>
        </w:r>
        <w:r w:rsidR="00163B51">
          <w:rPr>
            <w:noProof/>
            <w:webHidden/>
          </w:rPr>
          <w:fldChar w:fldCharType="separate"/>
        </w:r>
        <w:r w:rsidR="00163B51">
          <w:rPr>
            <w:noProof/>
            <w:webHidden/>
          </w:rPr>
          <w:t>186</w:t>
        </w:r>
        <w:r w:rsidR="00163B51">
          <w:rPr>
            <w:noProof/>
            <w:webHidden/>
          </w:rPr>
          <w:fldChar w:fldCharType="end"/>
        </w:r>
      </w:hyperlink>
    </w:p>
    <w:p w14:paraId="662069CA" w14:textId="132FBA2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4" w:history="1">
        <w:r w:rsidR="00163B51" w:rsidRPr="009535BD">
          <w:rPr>
            <w:rStyle w:val="Hypertextovodkaz"/>
            <w:noProof/>
          </w:rPr>
          <w:t>Graf 137: Počet nevyřízených správních věcí na 100 obyvatel, státy EU27, soudy 1. stupně (*)</w:t>
        </w:r>
        <w:r w:rsidR="00163B51">
          <w:rPr>
            <w:noProof/>
            <w:webHidden/>
          </w:rPr>
          <w:tab/>
        </w:r>
        <w:r w:rsidR="00163B51">
          <w:rPr>
            <w:noProof/>
            <w:webHidden/>
          </w:rPr>
          <w:fldChar w:fldCharType="begin"/>
        </w:r>
        <w:r w:rsidR="00163B51">
          <w:rPr>
            <w:noProof/>
            <w:webHidden/>
          </w:rPr>
          <w:instrText xml:space="preserve"> PAGEREF _Toc203032964 \h </w:instrText>
        </w:r>
        <w:r w:rsidR="00163B51">
          <w:rPr>
            <w:noProof/>
            <w:webHidden/>
          </w:rPr>
        </w:r>
        <w:r w:rsidR="00163B51">
          <w:rPr>
            <w:noProof/>
            <w:webHidden/>
          </w:rPr>
          <w:fldChar w:fldCharType="separate"/>
        </w:r>
        <w:r w:rsidR="00163B51">
          <w:rPr>
            <w:noProof/>
            <w:webHidden/>
          </w:rPr>
          <w:t>187</w:t>
        </w:r>
        <w:r w:rsidR="00163B51">
          <w:rPr>
            <w:noProof/>
            <w:webHidden/>
          </w:rPr>
          <w:fldChar w:fldCharType="end"/>
        </w:r>
      </w:hyperlink>
    </w:p>
    <w:p w14:paraId="6B012A64" w14:textId="048769B1" w:rsidR="008430BD" w:rsidRPr="00033A3F" w:rsidRDefault="00690AF6" w:rsidP="008430BD">
      <w:pPr>
        <w:spacing w:line="240" w:lineRule="auto"/>
        <w:jc w:val="left"/>
        <w:rPr>
          <w:color w:val="000000" w:themeColor="text1"/>
          <w:sz w:val="2"/>
          <w:szCs w:val="2"/>
        </w:rPr>
      </w:pPr>
      <w:r w:rsidRPr="00033A3F">
        <w:rPr>
          <w:b/>
          <w:bCs/>
          <w:noProof/>
          <w:color w:val="000000" w:themeColor="text1"/>
        </w:rPr>
        <w:fldChar w:fldCharType="end"/>
      </w:r>
    </w:p>
    <w:p w14:paraId="26C437B7" w14:textId="77777777" w:rsidR="008430BD" w:rsidRPr="00033A3F" w:rsidRDefault="008430BD" w:rsidP="008430BD">
      <w:pPr>
        <w:pStyle w:val="Nadpis1"/>
        <w:ind w:left="432" w:hanging="432"/>
        <w:rPr>
          <w:color w:val="000000" w:themeColor="text1"/>
        </w:rPr>
      </w:pPr>
      <w:bookmarkStart w:id="2694" w:name="_Toc487791315"/>
      <w:bookmarkStart w:id="2695" w:name="_Toc106092833"/>
      <w:bookmarkStart w:id="2696" w:name="_Toc169250912"/>
      <w:bookmarkStart w:id="2697" w:name="_Toc193531073"/>
      <w:bookmarkStart w:id="2698" w:name="_Toc193957131"/>
      <w:bookmarkStart w:id="2699" w:name="_Toc203032820"/>
      <w:r w:rsidRPr="00033A3F">
        <w:rPr>
          <w:color w:val="000000" w:themeColor="text1"/>
        </w:rPr>
        <w:t>Seznam tabulek</w:t>
      </w:r>
      <w:bookmarkEnd w:id="2694"/>
      <w:bookmarkEnd w:id="2695"/>
      <w:bookmarkEnd w:id="2696"/>
      <w:bookmarkEnd w:id="2697"/>
      <w:bookmarkEnd w:id="2698"/>
      <w:bookmarkEnd w:id="2699"/>
    </w:p>
    <w:p w14:paraId="3C6C0B06" w14:textId="537AA108" w:rsidR="00163B51" w:rsidRDefault="008430BD">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r w:rsidRPr="00033A3F">
        <w:rPr>
          <w:b/>
          <w:bCs/>
          <w:noProof/>
          <w:color w:val="000000" w:themeColor="text1"/>
        </w:rPr>
        <w:fldChar w:fldCharType="begin"/>
      </w:r>
      <w:r w:rsidRPr="00033A3F">
        <w:rPr>
          <w:b/>
          <w:bCs/>
          <w:noProof/>
          <w:color w:val="000000" w:themeColor="text1"/>
        </w:rPr>
        <w:instrText xml:space="preserve"> TOC \h \z \c "Tabulka" </w:instrText>
      </w:r>
      <w:r w:rsidRPr="00033A3F">
        <w:rPr>
          <w:b/>
          <w:bCs/>
          <w:noProof/>
          <w:color w:val="000000" w:themeColor="text1"/>
        </w:rPr>
        <w:fldChar w:fldCharType="separate"/>
      </w:r>
      <w:hyperlink w:anchor="_Toc203033121" w:history="1">
        <w:r w:rsidR="00163B51" w:rsidRPr="00DA4747">
          <w:rPr>
            <w:rStyle w:val="Hypertextovodkaz"/>
            <w:noProof/>
          </w:rPr>
          <w:t>Tabulka 1: OS – počet soudců dle krajů, 2024</w:t>
        </w:r>
        <w:r w:rsidR="00163B51">
          <w:rPr>
            <w:noProof/>
            <w:webHidden/>
          </w:rPr>
          <w:tab/>
        </w:r>
        <w:r w:rsidR="00163B51">
          <w:rPr>
            <w:noProof/>
            <w:webHidden/>
          </w:rPr>
          <w:fldChar w:fldCharType="begin"/>
        </w:r>
        <w:r w:rsidR="00163B51">
          <w:rPr>
            <w:noProof/>
            <w:webHidden/>
          </w:rPr>
          <w:instrText xml:space="preserve"> PAGEREF _Toc203033121 \h </w:instrText>
        </w:r>
        <w:r w:rsidR="00163B51">
          <w:rPr>
            <w:noProof/>
            <w:webHidden/>
          </w:rPr>
        </w:r>
        <w:r w:rsidR="00163B51">
          <w:rPr>
            <w:noProof/>
            <w:webHidden/>
          </w:rPr>
          <w:fldChar w:fldCharType="separate"/>
        </w:r>
        <w:r w:rsidR="00163B51">
          <w:rPr>
            <w:noProof/>
            <w:webHidden/>
          </w:rPr>
          <w:t>18</w:t>
        </w:r>
        <w:r w:rsidR="00163B51">
          <w:rPr>
            <w:noProof/>
            <w:webHidden/>
          </w:rPr>
          <w:fldChar w:fldCharType="end"/>
        </w:r>
      </w:hyperlink>
    </w:p>
    <w:p w14:paraId="17EFC28C" w14:textId="09E8402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2" w:history="1">
        <w:r w:rsidR="00163B51" w:rsidRPr="00DA4747">
          <w:rPr>
            <w:rStyle w:val="Hypertextovodkaz"/>
            <w:noProof/>
          </w:rPr>
          <w:t>Tabulka 2: OS – skutečný počet soudců dle úseků a krajů, 2024</w:t>
        </w:r>
        <w:r w:rsidR="00163B51">
          <w:rPr>
            <w:noProof/>
            <w:webHidden/>
          </w:rPr>
          <w:tab/>
        </w:r>
        <w:r w:rsidR="00163B51">
          <w:rPr>
            <w:noProof/>
            <w:webHidden/>
          </w:rPr>
          <w:fldChar w:fldCharType="begin"/>
        </w:r>
        <w:r w:rsidR="00163B51">
          <w:rPr>
            <w:noProof/>
            <w:webHidden/>
          </w:rPr>
          <w:instrText xml:space="preserve"> PAGEREF _Toc203033122 \h </w:instrText>
        </w:r>
        <w:r w:rsidR="00163B51">
          <w:rPr>
            <w:noProof/>
            <w:webHidden/>
          </w:rPr>
        </w:r>
        <w:r w:rsidR="00163B51">
          <w:rPr>
            <w:noProof/>
            <w:webHidden/>
          </w:rPr>
          <w:fldChar w:fldCharType="separate"/>
        </w:r>
        <w:r w:rsidR="00163B51">
          <w:rPr>
            <w:noProof/>
            <w:webHidden/>
          </w:rPr>
          <w:t>19</w:t>
        </w:r>
        <w:r w:rsidR="00163B51">
          <w:rPr>
            <w:noProof/>
            <w:webHidden/>
          </w:rPr>
          <w:fldChar w:fldCharType="end"/>
        </w:r>
      </w:hyperlink>
    </w:p>
    <w:p w14:paraId="64072569" w14:textId="097B5BAA"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3" w:history="1">
        <w:r w:rsidR="00163B51" w:rsidRPr="00DA4747">
          <w:rPr>
            <w:rStyle w:val="Hypertextovodkaz"/>
            <w:noProof/>
          </w:rPr>
          <w:t>Tabulka 3: OS – skutečný počet soudců dle pohlaví a krajů, 2024</w:t>
        </w:r>
        <w:r w:rsidR="00163B51">
          <w:rPr>
            <w:noProof/>
            <w:webHidden/>
          </w:rPr>
          <w:tab/>
        </w:r>
        <w:r w:rsidR="00163B51">
          <w:rPr>
            <w:noProof/>
            <w:webHidden/>
          </w:rPr>
          <w:fldChar w:fldCharType="begin"/>
        </w:r>
        <w:r w:rsidR="00163B51">
          <w:rPr>
            <w:noProof/>
            <w:webHidden/>
          </w:rPr>
          <w:instrText xml:space="preserve"> PAGEREF _Toc203033123 \h </w:instrText>
        </w:r>
        <w:r w:rsidR="00163B51">
          <w:rPr>
            <w:noProof/>
            <w:webHidden/>
          </w:rPr>
        </w:r>
        <w:r w:rsidR="00163B51">
          <w:rPr>
            <w:noProof/>
            <w:webHidden/>
          </w:rPr>
          <w:fldChar w:fldCharType="separate"/>
        </w:r>
        <w:r w:rsidR="00163B51">
          <w:rPr>
            <w:noProof/>
            <w:webHidden/>
          </w:rPr>
          <w:t>20</w:t>
        </w:r>
        <w:r w:rsidR="00163B51">
          <w:rPr>
            <w:noProof/>
            <w:webHidden/>
          </w:rPr>
          <w:fldChar w:fldCharType="end"/>
        </w:r>
      </w:hyperlink>
    </w:p>
    <w:p w14:paraId="013321F6" w14:textId="6D1185B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4" w:history="1">
        <w:r w:rsidR="00163B51" w:rsidRPr="00DA4747">
          <w:rPr>
            <w:rStyle w:val="Hypertextovodkaz"/>
            <w:noProof/>
          </w:rPr>
          <w:t>Tabulka 4: OS – předsedové a místopředsedové okresních soudů</w:t>
        </w:r>
        <w:r w:rsidR="00163B51">
          <w:rPr>
            <w:noProof/>
            <w:webHidden/>
          </w:rPr>
          <w:tab/>
        </w:r>
        <w:r w:rsidR="00163B51">
          <w:rPr>
            <w:noProof/>
            <w:webHidden/>
          </w:rPr>
          <w:fldChar w:fldCharType="begin"/>
        </w:r>
        <w:r w:rsidR="00163B51">
          <w:rPr>
            <w:noProof/>
            <w:webHidden/>
          </w:rPr>
          <w:instrText xml:space="preserve"> PAGEREF _Toc203033124 \h </w:instrText>
        </w:r>
        <w:r w:rsidR="00163B51">
          <w:rPr>
            <w:noProof/>
            <w:webHidden/>
          </w:rPr>
        </w:r>
        <w:r w:rsidR="00163B51">
          <w:rPr>
            <w:noProof/>
            <w:webHidden/>
          </w:rPr>
          <w:fldChar w:fldCharType="separate"/>
        </w:r>
        <w:r w:rsidR="00163B51">
          <w:rPr>
            <w:noProof/>
            <w:webHidden/>
          </w:rPr>
          <w:t>21</w:t>
        </w:r>
        <w:r w:rsidR="00163B51">
          <w:rPr>
            <w:noProof/>
            <w:webHidden/>
          </w:rPr>
          <w:fldChar w:fldCharType="end"/>
        </w:r>
      </w:hyperlink>
    </w:p>
    <w:p w14:paraId="21AA94AA" w14:textId="6B4B9A0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5" w:history="1">
        <w:r w:rsidR="00163B51" w:rsidRPr="00DA4747">
          <w:rPr>
            <w:rStyle w:val="Hypertextovodkaz"/>
            <w:noProof/>
          </w:rPr>
          <w:t>Tabulka 5: OS – počet zaměstnanců ve výkonu dle krajů, 2024</w:t>
        </w:r>
        <w:r w:rsidR="00163B51">
          <w:rPr>
            <w:noProof/>
            <w:webHidden/>
          </w:rPr>
          <w:tab/>
        </w:r>
        <w:r w:rsidR="00163B51">
          <w:rPr>
            <w:noProof/>
            <w:webHidden/>
          </w:rPr>
          <w:fldChar w:fldCharType="begin"/>
        </w:r>
        <w:r w:rsidR="00163B51">
          <w:rPr>
            <w:noProof/>
            <w:webHidden/>
          </w:rPr>
          <w:instrText xml:space="preserve"> PAGEREF _Toc203033125 \h </w:instrText>
        </w:r>
        <w:r w:rsidR="00163B51">
          <w:rPr>
            <w:noProof/>
            <w:webHidden/>
          </w:rPr>
        </w:r>
        <w:r w:rsidR="00163B51">
          <w:rPr>
            <w:noProof/>
            <w:webHidden/>
          </w:rPr>
          <w:fldChar w:fldCharType="separate"/>
        </w:r>
        <w:r w:rsidR="00163B51">
          <w:rPr>
            <w:noProof/>
            <w:webHidden/>
          </w:rPr>
          <w:t>23</w:t>
        </w:r>
        <w:r w:rsidR="00163B51">
          <w:rPr>
            <w:noProof/>
            <w:webHidden/>
          </w:rPr>
          <w:fldChar w:fldCharType="end"/>
        </w:r>
      </w:hyperlink>
    </w:p>
    <w:p w14:paraId="2815FD60" w14:textId="378BC94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6" w:history="1">
        <w:r w:rsidR="00163B51" w:rsidRPr="00DA4747">
          <w:rPr>
            <w:rStyle w:val="Hypertextovodkaz"/>
            <w:noProof/>
          </w:rPr>
          <w:t>Tabulka 6: OS – počet přísedících dle krajů a pohlaví, 2024</w:t>
        </w:r>
        <w:r w:rsidR="00163B51">
          <w:rPr>
            <w:noProof/>
            <w:webHidden/>
          </w:rPr>
          <w:tab/>
        </w:r>
        <w:r w:rsidR="00163B51">
          <w:rPr>
            <w:noProof/>
            <w:webHidden/>
          </w:rPr>
          <w:fldChar w:fldCharType="begin"/>
        </w:r>
        <w:r w:rsidR="00163B51">
          <w:rPr>
            <w:noProof/>
            <w:webHidden/>
          </w:rPr>
          <w:instrText xml:space="preserve"> PAGEREF _Toc203033126 \h </w:instrText>
        </w:r>
        <w:r w:rsidR="00163B51">
          <w:rPr>
            <w:noProof/>
            <w:webHidden/>
          </w:rPr>
        </w:r>
        <w:r w:rsidR="00163B51">
          <w:rPr>
            <w:noProof/>
            <w:webHidden/>
          </w:rPr>
          <w:fldChar w:fldCharType="separate"/>
        </w:r>
        <w:r w:rsidR="00163B51">
          <w:rPr>
            <w:noProof/>
            <w:webHidden/>
          </w:rPr>
          <w:t>25</w:t>
        </w:r>
        <w:r w:rsidR="00163B51">
          <w:rPr>
            <w:noProof/>
            <w:webHidden/>
          </w:rPr>
          <w:fldChar w:fldCharType="end"/>
        </w:r>
      </w:hyperlink>
    </w:p>
    <w:p w14:paraId="6EA61304" w14:textId="480FFE5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7" w:history="1">
        <w:r w:rsidR="00163B51" w:rsidRPr="00DA4747">
          <w:rPr>
            <w:rStyle w:val="Hypertextovodkaz"/>
            <w:noProof/>
          </w:rPr>
          <w:t>Tabulka 7: OS – podíl přísedících dle krajů a věku, 2024</w:t>
        </w:r>
        <w:r w:rsidR="00163B51">
          <w:rPr>
            <w:noProof/>
            <w:webHidden/>
          </w:rPr>
          <w:tab/>
        </w:r>
        <w:r w:rsidR="00163B51">
          <w:rPr>
            <w:noProof/>
            <w:webHidden/>
          </w:rPr>
          <w:fldChar w:fldCharType="begin"/>
        </w:r>
        <w:r w:rsidR="00163B51">
          <w:rPr>
            <w:noProof/>
            <w:webHidden/>
          </w:rPr>
          <w:instrText xml:space="preserve"> PAGEREF _Toc203033127 \h </w:instrText>
        </w:r>
        <w:r w:rsidR="00163B51">
          <w:rPr>
            <w:noProof/>
            <w:webHidden/>
          </w:rPr>
        </w:r>
        <w:r w:rsidR="00163B51">
          <w:rPr>
            <w:noProof/>
            <w:webHidden/>
          </w:rPr>
          <w:fldChar w:fldCharType="separate"/>
        </w:r>
        <w:r w:rsidR="00163B51">
          <w:rPr>
            <w:noProof/>
            <w:webHidden/>
          </w:rPr>
          <w:t>25</w:t>
        </w:r>
        <w:r w:rsidR="00163B51">
          <w:rPr>
            <w:noProof/>
            <w:webHidden/>
          </w:rPr>
          <w:fldChar w:fldCharType="end"/>
        </w:r>
      </w:hyperlink>
    </w:p>
    <w:p w14:paraId="74347F6B" w14:textId="0E621BC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8" w:history="1">
        <w:r w:rsidR="00163B51" w:rsidRPr="00DA4747">
          <w:rPr>
            <w:rStyle w:val="Hypertextovodkaz"/>
            <w:noProof/>
          </w:rPr>
          <w:t>Tabulka 8: OS – délky civilního řízení dle krajů, 2024</w:t>
        </w:r>
        <w:r w:rsidR="00163B51">
          <w:rPr>
            <w:noProof/>
            <w:webHidden/>
          </w:rPr>
          <w:tab/>
        </w:r>
        <w:r w:rsidR="00163B51">
          <w:rPr>
            <w:noProof/>
            <w:webHidden/>
          </w:rPr>
          <w:fldChar w:fldCharType="begin"/>
        </w:r>
        <w:r w:rsidR="00163B51">
          <w:rPr>
            <w:noProof/>
            <w:webHidden/>
          </w:rPr>
          <w:instrText xml:space="preserve"> PAGEREF _Toc203033128 \h </w:instrText>
        </w:r>
        <w:r w:rsidR="00163B51">
          <w:rPr>
            <w:noProof/>
            <w:webHidden/>
          </w:rPr>
        </w:r>
        <w:r w:rsidR="00163B51">
          <w:rPr>
            <w:noProof/>
            <w:webHidden/>
          </w:rPr>
          <w:fldChar w:fldCharType="separate"/>
        </w:r>
        <w:r w:rsidR="00163B51">
          <w:rPr>
            <w:noProof/>
            <w:webHidden/>
          </w:rPr>
          <w:t>28</w:t>
        </w:r>
        <w:r w:rsidR="00163B51">
          <w:rPr>
            <w:noProof/>
            <w:webHidden/>
          </w:rPr>
          <w:fldChar w:fldCharType="end"/>
        </w:r>
      </w:hyperlink>
    </w:p>
    <w:p w14:paraId="1D0910F4" w14:textId="7F52B415"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9" w:history="1">
        <w:r w:rsidR="00163B51" w:rsidRPr="00DA4747">
          <w:rPr>
            <w:rStyle w:val="Hypertextovodkaz"/>
            <w:noProof/>
          </w:rPr>
          <w:t>Tabulka 9: OS – vyřizování civilních věcí dle krajů, 2024</w:t>
        </w:r>
        <w:r w:rsidR="00163B51">
          <w:rPr>
            <w:noProof/>
            <w:webHidden/>
          </w:rPr>
          <w:tab/>
        </w:r>
        <w:r w:rsidR="00163B51">
          <w:rPr>
            <w:noProof/>
            <w:webHidden/>
          </w:rPr>
          <w:fldChar w:fldCharType="begin"/>
        </w:r>
        <w:r w:rsidR="00163B51">
          <w:rPr>
            <w:noProof/>
            <w:webHidden/>
          </w:rPr>
          <w:instrText xml:space="preserve"> PAGEREF _Toc203033129 \h </w:instrText>
        </w:r>
        <w:r w:rsidR="00163B51">
          <w:rPr>
            <w:noProof/>
            <w:webHidden/>
          </w:rPr>
        </w:r>
        <w:r w:rsidR="00163B51">
          <w:rPr>
            <w:noProof/>
            <w:webHidden/>
          </w:rPr>
          <w:fldChar w:fldCharType="separate"/>
        </w:r>
        <w:r w:rsidR="00163B51">
          <w:rPr>
            <w:noProof/>
            <w:webHidden/>
          </w:rPr>
          <w:t>32</w:t>
        </w:r>
        <w:r w:rsidR="00163B51">
          <w:rPr>
            <w:noProof/>
            <w:webHidden/>
          </w:rPr>
          <w:fldChar w:fldCharType="end"/>
        </w:r>
      </w:hyperlink>
    </w:p>
    <w:p w14:paraId="7FDC1576" w14:textId="10F0A67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0" w:history="1">
        <w:r w:rsidR="00163B51" w:rsidRPr="00DA4747">
          <w:rPr>
            <w:rStyle w:val="Hypertextovodkaz"/>
            <w:noProof/>
          </w:rPr>
          <w:t>Tabulka 10: OS – vyřizování civilních věcí na skutečný úvazek dle krajů, 2024</w:t>
        </w:r>
        <w:r w:rsidR="00163B51">
          <w:rPr>
            <w:noProof/>
            <w:webHidden/>
          </w:rPr>
          <w:tab/>
        </w:r>
        <w:r w:rsidR="00163B51">
          <w:rPr>
            <w:noProof/>
            <w:webHidden/>
          </w:rPr>
          <w:fldChar w:fldCharType="begin"/>
        </w:r>
        <w:r w:rsidR="00163B51">
          <w:rPr>
            <w:noProof/>
            <w:webHidden/>
          </w:rPr>
          <w:instrText xml:space="preserve"> PAGEREF _Toc203033130 \h </w:instrText>
        </w:r>
        <w:r w:rsidR="00163B51">
          <w:rPr>
            <w:noProof/>
            <w:webHidden/>
          </w:rPr>
        </w:r>
        <w:r w:rsidR="00163B51">
          <w:rPr>
            <w:noProof/>
            <w:webHidden/>
          </w:rPr>
          <w:fldChar w:fldCharType="separate"/>
        </w:r>
        <w:r w:rsidR="00163B51">
          <w:rPr>
            <w:noProof/>
            <w:webHidden/>
          </w:rPr>
          <w:t>33</w:t>
        </w:r>
        <w:r w:rsidR="00163B51">
          <w:rPr>
            <w:noProof/>
            <w:webHidden/>
          </w:rPr>
          <w:fldChar w:fldCharType="end"/>
        </w:r>
      </w:hyperlink>
    </w:p>
    <w:p w14:paraId="3930523E" w14:textId="56B3500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1" w:history="1">
        <w:r w:rsidR="00163B51" w:rsidRPr="00DA4747">
          <w:rPr>
            <w:rStyle w:val="Hypertextovodkaz"/>
            <w:noProof/>
          </w:rPr>
          <w:t>Tabulka 11: OS – disposition time v civilním řízení dle krajů, 2024</w:t>
        </w:r>
        <w:r w:rsidR="00163B51">
          <w:rPr>
            <w:noProof/>
            <w:webHidden/>
          </w:rPr>
          <w:tab/>
        </w:r>
        <w:r w:rsidR="00163B51">
          <w:rPr>
            <w:noProof/>
            <w:webHidden/>
          </w:rPr>
          <w:fldChar w:fldCharType="begin"/>
        </w:r>
        <w:r w:rsidR="00163B51">
          <w:rPr>
            <w:noProof/>
            <w:webHidden/>
          </w:rPr>
          <w:instrText xml:space="preserve"> PAGEREF _Toc203033131 \h </w:instrText>
        </w:r>
        <w:r w:rsidR="00163B51">
          <w:rPr>
            <w:noProof/>
            <w:webHidden/>
          </w:rPr>
        </w:r>
        <w:r w:rsidR="00163B51">
          <w:rPr>
            <w:noProof/>
            <w:webHidden/>
          </w:rPr>
          <w:fldChar w:fldCharType="separate"/>
        </w:r>
        <w:r w:rsidR="00163B51">
          <w:rPr>
            <w:noProof/>
            <w:webHidden/>
          </w:rPr>
          <w:t>35</w:t>
        </w:r>
        <w:r w:rsidR="00163B51">
          <w:rPr>
            <w:noProof/>
            <w:webHidden/>
          </w:rPr>
          <w:fldChar w:fldCharType="end"/>
        </w:r>
      </w:hyperlink>
    </w:p>
    <w:p w14:paraId="0DCFF077" w14:textId="625972D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2" w:history="1">
        <w:r w:rsidR="00163B51" w:rsidRPr="00DA4747">
          <w:rPr>
            <w:rStyle w:val="Hypertextovodkaz"/>
            <w:noProof/>
          </w:rPr>
          <w:t>Tabulka 12: OS – míra odvolání dle krajů v civilním řízení, 2024</w:t>
        </w:r>
        <w:r w:rsidR="00163B51">
          <w:rPr>
            <w:noProof/>
            <w:webHidden/>
          </w:rPr>
          <w:tab/>
        </w:r>
        <w:r w:rsidR="00163B51">
          <w:rPr>
            <w:noProof/>
            <w:webHidden/>
          </w:rPr>
          <w:fldChar w:fldCharType="begin"/>
        </w:r>
        <w:r w:rsidR="00163B51">
          <w:rPr>
            <w:noProof/>
            <w:webHidden/>
          </w:rPr>
          <w:instrText xml:space="preserve"> PAGEREF _Toc203033132 \h </w:instrText>
        </w:r>
        <w:r w:rsidR="00163B51">
          <w:rPr>
            <w:noProof/>
            <w:webHidden/>
          </w:rPr>
        </w:r>
        <w:r w:rsidR="00163B51">
          <w:rPr>
            <w:noProof/>
            <w:webHidden/>
          </w:rPr>
          <w:fldChar w:fldCharType="separate"/>
        </w:r>
        <w:r w:rsidR="00163B51">
          <w:rPr>
            <w:noProof/>
            <w:webHidden/>
          </w:rPr>
          <w:t>38</w:t>
        </w:r>
        <w:r w:rsidR="00163B51">
          <w:rPr>
            <w:noProof/>
            <w:webHidden/>
          </w:rPr>
          <w:fldChar w:fldCharType="end"/>
        </w:r>
      </w:hyperlink>
    </w:p>
    <w:p w14:paraId="7D48B3D5" w14:textId="5537E05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3" w:history="1">
        <w:r w:rsidR="00163B51" w:rsidRPr="00DA4747">
          <w:rPr>
            <w:rStyle w:val="Hypertextovodkaz"/>
            <w:noProof/>
          </w:rPr>
          <w:t>Tabulka 13: OS – míra změny rozsudku dle krajů v civilním řízení</w:t>
        </w:r>
        <w:r w:rsidR="00163B51">
          <w:rPr>
            <w:noProof/>
            <w:webHidden/>
          </w:rPr>
          <w:tab/>
        </w:r>
        <w:r w:rsidR="00163B51">
          <w:rPr>
            <w:noProof/>
            <w:webHidden/>
          </w:rPr>
          <w:fldChar w:fldCharType="begin"/>
        </w:r>
        <w:r w:rsidR="00163B51">
          <w:rPr>
            <w:noProof/>
            <w:webHidden/>
          </w:rPr>
          <w:instrText xml:space="preserve"> PAGEREF _Toc203033133 \h </w:instrText>
        </w:r>
        <w:r w:rsidR="00163B51">
          <w:rPr>
            <w:noProof/>
            <w:webHidden/>
          </w:rPr>
        </w:r>
        <w:r w:rsidR="00163B51">
          <w:rPr>
            <w:noProof/>
            <w:webHidden/>
          </w:rPr>
          <w:fldChar w:fldCharType="separate"/>
        </w:r>
        <w:r w:rsidR="00163B51">
          <w:rPr>
            <w:noProof/>
            <w:webHidden/>
          </w:rPr>
          <w:t>39</w:t>
        </w:r>
        <w:r w:rsidR="00163B51">
          <w:rPr>
            <w:noProof/>
            <w:webHidden/>
          </w:rPr>
          <w:fldChar w:fldCharType="end"/>
        </w:r>
      </w:hyperlink>
    </w:p>
    <w:p w14:paraId="6927F1D4" w14:textId="59E74AE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4" w:history="1">
        <w:r w:rsidR="00163B51" w:rsidRPr="00DA4747">
          <w:rPr>
            <w:rStyle w:val="Hypertextovodkaz"/>
            <w:noProof/>
          </w:rPr>
          <w:t>Tabulka 14: OS – délky el. rozkazního civilního řízení dle krajů, 2024</w:t>
        </w:r>
        <w:r w:rsidR="00163B51">
          <w:rPr>
            <w:noProof/>
            <w:webHidden/>
          </w:rPr>
          <w:tab/>
        </w:r>
        <w:r w:rsidR="00163B51">
          <w:rPr>
            <w:noProof/>
            <w:webHidden/>
          </w:rPr>
          <w:fldChar w:fldCharType="begin"/>
        </w:r>
        <w:r w:rsidR="00163B51">
          <w:rPr>
            <w:noProof/>
            <w:webHidden/>
          </w:rPr>
          <w:instrText xml:space="preserve"> PAGEREF _Toc203033134 \h </w:instrText>
        </w:r>
        <w:r w:rsidR="00163B51">
          <w:rPr>
            <w:noProof/>
            <w:webHidden/>
          </w:rPr>
        </w:r>
        <w:r w:rsidR="00163B51">
          <w:rPr>
            <w:noProof/>
            <w:webHidden/>
          </w:rPr>
          <w:fldChar w:fldCharType="separate"/>
        </w:r>
        <w:r w:rsidR="00163B51">
          <w:rPr>
            <w:noProof/>
            <w:webHidden/>
          </w:rPr>
          <w:t>43</w:t>
        </w:r>
        <w:r w:rsidR="00163B51">
          <w:rPr>
            <w:noProof/>
            <w:webHidden/>
          </w:rPr>
          <w:fldChar w:fldCharType="end"/>
        </w:r>
      </w:hyperlink>
    </w:p>
    <w:p w14:paraId="3C75512B" w14:textId="162317D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5" w:history="1">
        <w:r w:rsidR="00163B51" w:rsidRPr="00DA4747">
          <w:rPr>
            <w:rStyle w:val="Hypertextovodkaz"/>
            <w:noProof/>
          </w:rPr>
          <w:t>Tabulka 15: OS – vyřizování věcí v rejstříku EPR dle krajů, 2024</w:t>
        </w:r>
        <w:r w:rsidR="00163B51">
          <w:rPr>
            <w:noProof/>
            <w:webHidden/>
          </w:rPr>
          <w:tab/>
        </w:r>
        <w:r w:rsidR="00163B51">
          <w:rPr>
            <w:noProof/>
            <w:webHidden/>
          </w:rPr>
          <w:fldChar w:fldCharType="begin"/>
        </w:r>
        <w:r w:rsidR="00163B51">
          <w:rPr>
            <w:noProof/>
            <w:webHidden/>
          </w:rPr>
          <w:instrText xml:space="preserve"> PAGEREF _Toc203033135 \h </w:instrText>
        </w:r>
        <w:r w:rsidR="00163B51">
          <w:rPr>
            <w:noProof/>
            <w:webHidden/>
          </w:rPr>
        </w:r>
        <w:r w:rsidR="00163B51">
          <w:rPr>
            <w:noProof/>
            <w:webHidden/>
          </w:rPr>
          <w:fldChar w:fldCharType="separate"/>
        </w:r>
        <w:r w:rsidR="00163B51">
          <w:rPr>
            <w:noProof/>
            <w:webHidden/>
          </w:rPr>
          <w:t>44</w:t>
        </w:r>
        <w:r w:rsidR="00163B51">
          <w:rPr>
            <w:noProof/>
            <w:webHidden/>
          </w:rPr>
          <w:fldChar w:fldCharType="end"/>
        </w:r>
      </w:hyperlink>
    </w:p>
    <w:p w14:paraId="7BB7C1D3" w14:textId="5895520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6" w:history="1">
        <w:r w:rsidR="00163B51" w:rsidRPr="00DA4747">
          <w:rPr>
            <w:rStyle w:val="Hypertextovodkaz"/>
            <w:noProof/>
          </w:rPr>
          <w:t>Tabulka 16: OS – převedeno z rejstříku EPR dle krajů, 2024</w:t>
        </w:r>
        <w:r w:rsidR="00163B51">
          <w:rPr>
            <w:noProof/>
            <w:webHidden/>
          </w:rPr>
          <w:tab/>
        </w:r>
        <w:r w:rsidR="00163B51">
          <w:rPr>
            <w:noProof/>
            <w:webHidden/>
          </w:rPr>
          <w:fldChar w:fldCharType="begin"/>
        </w:r>
        <w:r w:rsidR="00163B51">
          <w:rPr>
            <w:noProof/>
            <w:webHidden/>
          </w:rPr>
          <w:instrText xml:space="preserve"> PAGEREF _Toc203033136 \h </w:instrText>
        </w:r>
        <w:r w:rsidR="00163B51">
          <w:rPr>
            <w:noProof/>
            <w:webHidden/>
          </w:rPr>
        </w:r>
        <w:r w:rsidR="00163B51">
          <w:rPr>
            <w:noProof/>
            <w:webHidden/>
          </w:rPr>
          <w:fldChar w:fldCharType="separate"/>
        </w:r>
        <w:r w:rsidR="00163B51">
          <w:rPr>
            <w:noProof/>
            <w:webHidden/>
          </w:rPr>
          <w:t>45</w:t>
        </w:r>
        <w:r w:rsidR="00163B51">
          <w:rPr>
            <w:noProof/>
            <w:webHidden/>
          </w:rPr>
          <w:fldChar w:fldCharType="end"/>
        </w:r>
      </w:hyperlink>
    </w:p>
    <w:p w14:paraId="5393A85F" w14:textId="54AF1F5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7" w:history="1">
        <w:r w:rsidR="00163B51" w:rsidRPr="00DA4747">
          <w:rPr>
            <w:rStyle w:val="Hypertextovodkaz"/>
            <w:noProof/>
          </w:rPr>
          <w:t>Tabulka 17: OS – délky trestního řízení dle krajů, 2024</w:t>
        </w:r>
        <w:r w:rsidR="00163B51">
          <w:rPr>
            <w:noProof/>
            <w:webHidden/>
          </w:rPr>
          <w:tab/>
        </w:r>
        <w:r w:rsidR="00163B51">
          <w:rPr>
            <w:noProof/>
            <w:webHidden/>
          </w:rPr>
          <w:fldChar w:fldCharType="begin"/>
        </w:r>
        <w:r w:rsidR="00163B51">
          <w:rPr>
            <w:noProof/>
            <w:webHidden/>
          </w:rPr>
          <w:instrText xml:space="preserve"> PAGEREF _Toc203033137 \h </w:instrText>
        </w:r>
        <w:r w:rsidR="00163B51">
          <w:rPr>
            <w:noProof/>
            <w:webHidden/>
          </w:rPr>
        </w:r>
        <w:r w:rsidR="00163B51">
          <w:rPr>
            <w:noProof/>
            <w:webHidden/>
          </w:rPr>
          <w:fldChar w:fldCharType="separate"/>
        </w:r>
        <w:r w:rsidR="00163B51">
          <w:rPr>
            <w:noProof/>
            <w:webHidden/>
          </w:rPr>
          <w:t>48</w:t>
        </w:r>
        <w:r w:rsidR="00163B51">
          <w:rPr>
            <w:noProof/>
            <w:webHidden/>
          </w:rPr>
          <w:fldChar w:fldCharType="end"/>
        </w:r>
      </w:hyperlink>
    </w:p>
    <w:p w14:paraId="62AF33EE" w14:textId="08EDCA8A"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8" w:history="1">
        <w:r w:rsidR="00163B51" w:rsidRPr="00DA4747">
          <w:rPr>
            <w:rStyle w:val="Hypertextovodkaz"/>
            <w:noProof/>
          </w:rPr>
          <w:t>Tabulka 18: OS – vyřizování trestních věcí dle krajů, 2024</w:t>
        </w:r>
        <w:r w:rsidR="00163B51">
          <w:rPr>
            <w:noProof/>
            <w:webHidden/>
          </w:rPr>
          <w:tab/>
        </w:r>
        <w:r w:rsidR="00163B51">
          <w:rPr>
            <w:noProof/>
            <w:webHidden/>
          </w:rPr>
          <w:fldChar w:fldCharType="begin"/>
        </w:r>
        <w:r w:rsidR="00163B51">
          <w:rPr>
            <w:noProof/>
            <w:webHidden/>
          </w:rPr>
          <w:instrText xml:space="preserve"> PAGEREF _Toc203033138 \h </w:instrText>
        </w:r>
        <w:r w:rsidR="00163B51">
          <w:rPr>
            <w:noProof/>
            <w:webHidden/>
          </w:rPr>
        </w:r>
        <w:r w:rsidR="00163B51">
          <w:rPr>
            <w:noProof/>
            <w:webHidden/>
          </w:rPr>
          <w:fldChar w:fldCharType="separate"/>
        </w:r>
        <w:r w:rsidR="00163B51">
          <w:rPr>
            <w:noProof/>
            <w:webHidden/>
          </w:rPr>
          <w:t>52</w:t>
        </w:r>
        <w:r w:rsidR="00163B51">
          <w:rPr>
            <w:noProof/>
            <w:webHidden/>
          </w:rPr>
          <w:fldChar w:fldCharType="end"/>
        </w:r>
      </w:hyperlink>
    </w:p>
    <w:p w14:paraId="76680F1E" w14:textId="028B0D3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9" w:history="1">
        <w:r w:rsidR="00163B51" w:rsidRPr="00DA4747">
          <w:rPr>
            <w:rStyle w:val="Hypertextovodkaz"/>
            <w:noProof/>
          </w:rPr>
          <w:t>Tabulka 19: OS – vyřizování trestních věcí na skutečný úvazek dle krajů, 2024</w:t>
        </w:r>
        <w:r w:rsidR="00163B51">
          <w:rPr>
            <w:noProof/>
            <w:webHidden/>
          </w:rPr>
          <w:tab/>
        </w:r>
        <w:r w:rsidR="00163B51">
          <w:rPr>
            <w:noProof/>
            <w:webHidden/>
          </w:rPr>
          <w:fldChar w:fldCharType="begin"/>
        </w:r>
        <w:r w:rsidR="00163B51">
          <w:rPr>
            <w:noProof/>
            <w:webHidden/>
          </w:rPr>
          <w:instrText xml:space="preserve"> PAGEREF _Toc203033139 \h </w:instrText>
        </w:r>
        <w:r w:rsidR="00163B51">
          <w:rPr>
            <w:noProof/>
            <w:webHidden/>
          </w:rPr>
        </w:r>
        <w:r w:rsidR="00163B51">
          <w:rPr>
            <w:noProof/>
            <w:webHidden/>
          </w:rPr>
          <w:fldChar w:fldCharType="separate"/>
        </w:r>
        <w:r w:rsidR="00163B51">
          <w:rPr>
            <w:noProof/>
            <w:webHidden/>
          </w:rPr>
          <w:t>52</w:t>
        </w:r>
        <w:r w:rsidR="00163B51">
          <w:rPr>
            <w:noProof/>
            <w:webHidden/>
          </w:rPr>
          <w:fldChar w:fldCharType="end"/>
        </w:r>
      </w:hyperlink>
    </w:p>
    <w:p w14:paraId="1118F40D" w14:textId="01FF282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0" w:history="1">
        <w:r w:rsidR="00163B51" w:rsidRPr="00DA4747">
          <w:rPr>
            <w:rStyle w:val="Hypertextovodkaz"/>
            <w:noProof/>
          </w:rPr>
          <w:t>Tabulka 20: OS – disposition time trestního řízení dle krajů</w:t>
        </w:r>
        <w:r w:rsidR="00163B51">
          <w:rPr>
            <w:noProof/>
            <w:webHidden/>
          </w:rPr>
          <w:tab/>
        </w:r>
        <w:r w:rsidR="00163B51">
          <w:rPr>
            <w:noProof/>
            <w:webHidden/>
          </w:rPr>
          <w:fldChar w:fldCharType="begin"/>
        </w:r>
        <w:r w:rsidR="00163B51">
          <w:rPr>
            <w:noProof/>
            <w:webHidden/>
          </w:rPr>
          <w:instrText xml:space="preserve"> PAGEREF _Toc203033140 \h </w:instrText>
        </w:r>
        <w:r w:rsidR="00163B51">
          <w:rPr>
            <w:noProof/>
            <w:webHidden/>
          </w:rPr>
        </w:r>
        <w:r w:rsidR="00163B51">
          <w:rPr>
            <w:noProof/>
            <w:webHidden/>
          </w:rPr>
          <w:fldChar w:fldCharType="separate"/>
        </w:r>
        <w:r w:rsidR="00163B51">
          <w:rPr>
            <w:noProof/>
            <w:webHidden/>
          </w:rPr>
          <w:t>54</w:t>
        </w:r>
        <w:r w:rsidR="00163B51">
          <w:rPr>
            <w:noProof/>
            <w:webHidden/>
          </w:rPr>
          <w:fldChar w:fldCharType="end"/>
        </w:r>
      </w:hyperlink>
    </w:p>
    <w:p w14:paraId="05575DD5" w14:textId="3A8FA86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1" w:history="1">
        <w:r w:rsidR="00163B51" w:rsidRPr="00DA4747">
          <w:rPr>
            <w:rStyle w:val="Hypertextovodkaz"/>
            <w:noProof/>
          </w:rPr>
          <w:t>Tabulka 21: OS – míra odvolání dle krajů v trestním řízení, 2024</w:t>
        </w:r>
        <w:r w:rsidR="00163B51">
          <w:rPr>
            <w:noProof/>
            <w:webHidden/>
          </w:rPr>
          <w:tab/>
        </w:r>
        <w:r w:rsidR="00163B51">
          <w:rPr>
            <w:noProof/>
            <w:webHidden/>
          </w:rPr>
          <w:fldChar w:fldCharType="begin"/>
        </w:r>
        <w:r w:rsidR="00163B51">
          <w:rPr>
            <w:noProof/>
            <w:webHidden/>
          </w:rPr>
          <w:instrText xml:space="preserve"> PAGEREF _Toc203033141 \h </w:instrText>
        </w:r>
        <w:r w:rsidR="00163B51">
          <w:rPr>
            <w:noProof/>
            <w:webHidden/>
          </w:rPr>
        </w:r>
        <w:r w:rsidR="00163B51">
          <w:rPr>
            <w:noProof/>
            <w:webHidden/>
          </w:rPr>
          <w:fldChar w:fldCharType="separate"/>
        </w:r>
        <w:r w:rsidR="00163B51">
          <w:rPr>
            <w:noProof/>
            <w:webHidden/>
          </w:rPr>
          <w:t>56</w:t>
        </w:r>
        <w:r w:rsidR="00163B51">
          <w:rPr>
            <w:noProof/>
            <w:webHidden/>
          </w:rPr>
          <w:fldChar w:fldCharType="end"/>
        </w:r>
      </w:hyperlink>
    </w:p>
    <w:p w14:paraId="03B77652" w14:textId="6140266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2" w:history="1">
        <w:r w:rsidR="00163B51" w:rsidRPr="00DA4747">
          <w:rPr>
            <w:rStyle w:val="Hypertextovodkaz"/>
            <w:noProof/>
          </w:rPr>
          <w:t>Tabulka 22: OS – míra změny rozsudku dle krajů v trestním řízení, 2024</w:t>
        </w:r>
        <w:r w:rsidR="00163B51">
          <w:rPr>
            <w:noProof/>
            <w:webHidden/>
          </w:rPr>
          <w:tab/>
        </w:r>
        <w:r w:rsidR="00163B51">
          <w:rPr>
            <w:noProof/>
            <w:webHidden/>
          </w:rPr>
          <w:fldChar w:fldCharType="begin"/>
        </w:r>
        <w:r w:rsidR="00163B51">
          <w:rPr>
            <w:noProof/>
            <w:webHidden/>
          </w:rPr>
          <w:instrText xml:space="preserve"> PAGEREF _Toc203033142 \h </w:instrText>
        </w:r>
        <w:r w:rsidR="00163B51">
          <w:rPr>
            <w:noProof/>
            <w:webHidden/>
          </w:rPr>
        </w:r>
        <w:r w:rsidR="00163B51">
          <w:rPr>
            <w:noProof/>
            <w:webHidden/>
          </w:rPr>
          <w:fldChar w:fldCharType="separate"/>
        </w:r>
        <w:r w:rsidR="00163B51">
          <w:rPr>
            <w:noProof/>
            <w:webHidden/>
          </w:rPr>
          <w:t>58</w:t>
        </w:r>
        <w:r w:rsidR="00163B51">
          <w:rPr>
            <w:noProof/>
            <w:webHidden/>
          </w:rPr>
          <w:fldChar w:fldCharType="end"/>
        </w:r>
      </w:hyperlink>
    </w:p>
    <w:p w14:paraId="3042D546" w14:textId="159578D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3" w:history="1">
        <w:r w:rsidR="00163B51" w:rsidRPr="00DA4747">
          <w:rPr>
            <w:rStyle w:val="Hypertextovodkaz"/>
            <w:noProof/>
          </w:rPr>
          <w:t>Tabulka 23: OS – pravomocné přeměny peněžitého trestu v jiný trest</w:t>
        </w:r>
        <w:r w:rsidR="00163B51">
          <w:rPr>
            <w:noProof/>
            <w:webHidden/>
          </w:rPr>
          <w:tab/>
        </w:r>
        <w:r w:rsidR="00163B51">
          <w:rPr>
            <w:noProof/>
            <w:webHidden/>
          </w:rPr>
          <w:fldChar w:fldCharType="begin"/>
        </w:r>
        <w:r w:rsidR="00163B51">
          <w:rPr>
            <w:noProof/>
            <w:webHidden/>
          </w:rPr>
          <w:instrText xml:space="preserve"> PAGEREF _Toc203033143 \h </w:instrText>
        </w:r>
        <w:r w:rsidR="00163B51">
          <w:rPr>
            <w:noProof/>
            <w:webHidden/>
          </w:rPr>
        </w:r>
        <w:r w:rsidR="00163B51">
          <w:rPr>
            <w:noProof/>
            <w:webHidden/>
          </w:rPr>
          <w:fldChar w:fldCharType="separate"/>
        </w:r>
        <w:r w:rsidR="00163B51">
          <w:rPr>
            <w:noProof/>
            <w:webHidden/>
          </w:rPr>
          <w:t>61</w:t>
        </w:r>
        <w:r w:rsidR="00163B51">
          <w:rPr>
            <w:noProof/>
            <w:webHidden/>
          </w:rPr>
          <w:fldChar w:fldCharType="end"/>
        </w:r>
      </w:hyperlink>
    </w:p>
    <w:p w14:paraId="0EFC9BB9" w14:textId="6E738BD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4" w:history="1">
        <w:r w:rsidR="00163B51" w:rsidRPr="00DA4747">
          <w:rPr>
            <w:rStyle w:val="Hypertextovodkaz"/>
            <w:noProof/>
          </w:rPr>
          <w:t>Tabulka 24: OS – úspěšnost žádostí o podmíněné propuštění dle soudů</w:t>
        </w:r>
        <w:r w:rsidR="00163B51">
          <w:rPr>
            <w:noProof/>
            <w:webHidden/>
          </w:rPr>
          <w:tab/>
        </w:r>
        <w:r w:rsidR="00163B51">
          <w:rPr>
            <w:noProof/>
            <w:webHidden/>
          </w:rPr>
          <w:fldChar w:fldCharType="begin"/>
        </w:r>
        <w:r w:rsidR="00163B51">
          <w:rPr>
            <w:noProof/>
            <w:webHidden/>
          </w:rPr>
          <w:instrText xml:space="preserve"> PAGEREF _Toc203033144 \h </w:instrText>
        </w:r>
        <w:r w:rsidR="00163B51">
          <w:rPr>
            <w:noProof/>
            <w:webHidden/>
          </w:rPr>
        </w:r>
        <w:r w:rsidR="00163B51">
          <w:rPr>
            <w:noProof/>
            <w:webHidden/>
          </w:rPr>
          <w:fldChar w:fldCharType="separate"/>
        </w:r>
        <w:r w:rsidR="00163B51">
          <w:rPr>
            <w:noProof/>
            <w:webHidden/>
          </w:rPr>
          <w:t>65</w:t>
        </w:r>
        <w:r w:rsidR="00163B51">
          <w:rPr>
            <w:noProof/>
            <w:webHidden/>
          </w:rPr>
          <w:fldChar w:fldCharType="end"/>
        </w:r>
      </w:hyperlink>
    </w:p>
    <w:p w14:paraId="0BEED204" w14:textId="1551BE6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5" w:history="1">
        <w:r w:rsidR="00163B51" w:rsidRPr="00DA4747">
          <w:rPr>
            <w:rStyle w:val="Hypertextovodkaz"/>
            <w:noProof/>
          </w:rPr>
          <w:t>Tabulka 25: OS – délky řízení v opatrovnické agendě dle krajů, 2024</w:t>
        </w:r>
        <w:r w:rsidR="00163B51">
          <w:rPr>
            <w:noProof/>
            <w:webHidden/>
          </w:rPr>
          <w:tab/>
        </w:r>
        <w:r w:rsidR="00163B51">
          <w:rPr>
            <w:noProof/>
            <w:webHidden/>
          </w:rPr>
          <w:fldChar w:fldCharType="begin"/>
        </w:r>
        <w:r w:rsidR="00163B51">
          <w:rPr>
            <w:noProof/>
            <w:webHidden/>
          </w:rPr>
          <w:instrText xml:space="preserve"> PAGEREF _Toc203033145 \h </w:instrText>
        </w:r>
        <w:r w:rsidR="00163B51">
          <w:rPr>
            <w:noProof/>
            <w:webHidden/>
          </w:rPr>
        </w:r>
        <w:r w:rsidR="00163B51">
          <w:rPr>
            <w:noProof/>
            <w:webHidden/>
          </w:rPr>
          <w:fldChar w:fldCharType="separate"/>
        </w:r>
        <w:r w:rsidR="00163B51">
          <w:rPr>
            <w:noProof/>
            <w:webHidden/>
          </w:rPr>
          <w:t>67</w:t>
        </w:r>
        <w:r w:rsidR="00163B51">
          <w:rPr>
            <w:noProof/>
            <w:webHidden/>
          </w:rPr>
          <w:fldChar w:fldCharType="end"/>
        </w:r>
      </w:hyperlink>
    </w:p>
    <w:p w14:paraId="63FB93B5" w14:textId="1C63344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6" w:history="1">
        <w:r w:rsidR="00163B51" w:rsidRPr="00DA4747">
          <w:rPr>
            <w:rStyle w:val="Hypertextovodkaz"/>
            <w:noProof/>
          </w:rPr>
          <w:t>Tabulka 26: OS – vyřizování opatrovnických věcí dle krajů, 2024</w:t>
        </w:r>
        <w:r w:rsidR="00163B51">
          <w:rPr>
            <w:noProof/>
            <w:webHidden/>
          </w:rPr>
          <w:tab/>
        </w:r>
        <w:r w:rsidR="00163B51">
          <w:rPr>
            <w:noProof/>
            <w:webHidden/>
          </w:rPr>
          <w:fldChar w:fldCharType="begin"/>
        </w:r>
        <w:r w:rsidR="00163B51">
          <w:rPr>
            <w:noProof/>
            <w:webHidden/>
          </w:rPr>
          <w:instrText xml:space="preserve"> PAGEREF _Toc203033146 \h </w:instrText>
        </w:r>
        <w:r w:rsidR="00163B51">
          <w:rPr>
            <w:noProof/>
            <w:webHidden/>
          </w:rPr>
        </w:r>
        <w:r w:rsidR="00163B51">
          <w:rPr>
            <w:noProof/>
            <w:webHidden/>
          </w:rPr>
          <w:fldChar w:fldCharType="separate"/>
        </w:r>
        <w:r w:rsidR="00163B51">
          <w:rPr>
            <w:noProof/>
            <w:webHidden/>
          </w:rPr>
          <w:t>72</w:t>
        </w:r>
        <w:r w:rsidR="00163B51">
          <w:rPr>
            <w:noProof/>
            <w:webHidden/>
          </w:rPr>
          <w:fldChar w:fldCharType="end"/>
        </w:r>
      </w:hyperlink>
    </w:p>
    <w:p w14:paraId="455E5FB2" w14:textId="72C4864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7" w:history="1">
        <w:r w:rsidR="00163B51" w:rsidRPr="00DA4747">
          <w:rPr>
            <w:rStyle w:val="Hypertextovodkaz"/>
            <w:noProof/>
          </w:rPr>
          <w:t>Tabulka 27: OS – vyřizování opatrovnických věcí na skutečný úvazek dle krajů</w:t>
        </w:r>
        <w:r w:rsidR="00163B51">
          <w:rPr>
            <w:noProof/>
            <w:webHidden/>
          </w:rPr>
          <w:tab/>
        </w:r>
        <w:r w:rsidR="00163B51">
          <w:rPr>
            <w:noProof/>
            <w:webHidden/>
          </w:rPr>
          <w:fldChar w:fldCharType="begin"/>
        </w:r>
        <w:r w:rsidR="00163B51">
          <w:rPr>
            <w:noProof/>
            <w:webHidden/>
          </w:rPr>
          <w:instrText xml:space="preserve"> PAGEREF _Toc203033147 \h </w:instrText>
        </w:r>
        <w:r w:rsidR="00163B51">
          <w:rPr>
            <w:noProof/>
            <w:webHidden/>
          </w:rPr>
        </w:r>
        <w:r w:rsidR="00163B51">
          <w:rPr>
            <w:noProof/>
            <w:webHidden/>
          </w:rPr>
          <w:fldChar w:fldCharType="separate"/>
        </w:r>
        <w:r w:rsidR="00163B51">
          <w:rPr>
            <w:noProof/>
            <w:webHidden/>
          </w:rPr>
          <w:t>72</w:t>
        </w:r>
        <w:r w:rsidR="00163B51">
          <w:rPr>
            <w:noProof/>
            <w:webHidden/>
          </w:rPr>
          <w:fldChar w:fldCharType="end"/>
        </w:r>
      </w:hyperlink>
    </w:p>
    <w:p w14:paraId="5089FA71" w14:textId="6061B87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8" w:history="1">
        <w:r w:rsidR="00163B51" w:rsidRPr="00DA4747">
          <w:rPr>
            <w:rStyle w:val="Hypertextovodkaz"/>
            <w:noProof/>
          </w:rPr>
          <w:t>Tabulka 28: OS – míra odvolání dle krajů v opatrovnickém řízení, 2024</w:t>
        </w:r>
        <w:r w:rsidR="00163B51">
          <w:rPr>
            <w:noProof/>
            <w:webHidden/>
          </w:rPr>
          <w:tab/>
        </w:r>
        <w:r w:rsidR="00163B51">
          <w:rPr>
            <w:noProof/>
            <w:webHidden/>
          </w:rPr>
          <w:fldChar w:fldCharType="begin"/>
        </w:r>
        <w:r w:rsidR="00163B51">
          <w:rPr>
            <w:noProof/>
            <w:webHidden/>
          </w:rPr>
          <w:instrText xml:space="preserve"> PAGEREF _Toc203033148 \h </w:instrText>
        </w:r>
        <w:r w:rsidR="00163B51">
          <w:rPr>
            <w:noProof/>
            <w:webHidden/>
          </w:rPr>
        </w:r>
        <w:r w:rsidR="00163B51">
          <w:rPr>
            <w:noProof/>
            <w:webHidden/>
          </w:rPr>
          <w:fldChar w:fldCharType="separate"/>
        </w:r>
        <w:r w:rsidR="00163B51">
          <w:rPr>
            <w:noProof/>
            <w:webHidden/>
          </w:rPr>
          <w:t>76</w:t>
        </w:r>
        <w:r w:rsidR="00163B51">
          <w:rPr>
            <w:noProof/>
            <w:webHidden/>
          </w:rPr>
          <w:fldChar w:fldCharType="end"/>
        </w:r>
      </w:hyperlink>
    </w:p>
    <w:p w14:paraId="5859A587" w14:textId="205A541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9" w:history="1">
        <w:r w:rsidR="00163B51" w:rsidRPr="00DA4747">
          <w:rPr>
            <w:rStyle w:val="Hypertextovodkaz"/>
            <w:noProof/>
          </w:rPr>
          <w:t>Tabulka 29: OS – míra změny rozsudku dle krajů v opatrovnickém řízení, 2024</w:t>
        </w:r>
        <w:r w:rsidR="00163B51">
          <w:rPr>
            <w:noProof/>
            <w:webHidden/>
          </w:rPr>
          <w:tab/>
        </w:r>
        <w:r w:rsidR="00163B51">
          <w:rPr>
            <w:noProof/>
            <w:webHidden/>
          </w:rPr>
          <w:fldChar w:fldCharType="begin"/>
        </w:r>
        <w:r w:rsidR="00163B51">
          <w:rPr>
            <w:noProof/>
            <w:webHidden/>
          </w:rPr>
          <w:instrText xml:space="preserve"> PAGEREF _Toc203033149 \h </w:instrText>
        </w:r>
        <w:r w:rsidR="00163B51">
          <w:rPr>
            <w:noProof/>
            <w:webHidden/>
          </w:rPr>
        </w:r>
        <w:r w:rsidR="00163B51">
          <w:rPr>
            <w:noProof/>
            <w:webHidden/>
          </w:rPr>
          <w:fldChar w:fldCharType="separate"/>
        </w:r>
        <w:r w:rsidR="00163B51">
          <w:rPr>
            <w:noProof/>
            <w:webHidden/>
          </w:rPr>
          <w:t>77</w:t>
        </w:r>
        <w:r w:rsidR="00163B51">
          <w:rPr>
            <w:noProof/>
            <w:webHidden/>
          </w:rPr>
          <w:fldChar w:fldCharType="end"/>
        </w:r>
      </w:hyperlink>
    </w:p>
    <w:p w14:paraId="02301C24" w14:textId="51B7791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0" w:history="1">
        <w:r w:rsidR="00163B51" w:rsidRPr="00DA4747">
          <w:rPr>
            <w:rStyle w:val="Hypertextovodkaz"/>
            <w:noProof/>
          </w:rPr>
          <w:t>Tabulka 30: OS – přítomnost dítěte u soudního jednání dle věku, 2024</w:t>
        </w:r>
        <w:r w:rsidR="00163B51">
          <w:rPr>
            <w:noProof/>
            <w:webHidden/>
          </w:rPr>
          <w:tab/>
        </w:r>
        <w:r w:rsidR="00163B51">
          <w:rPr>
            <w:noProof/>
            <w:webHidden/>
          </w:rPr>
          <w:fldChar w:fldCharType="begin"/>
        </w:r>
        <w:r w:rsidR="00163B51">
          <w:rPr>
            <w:noProof/>
            <w:webHidden/>
          </w:rPr>
          <w:instrText xml:space="preserve"> PAGEREF _Toc203033150 \h </w:instrText>
        </w:r>
        <w:r w:rsidR="00163B51">
          <w:rPr>
            <w:noProof/>
            <w:webHidden/>
          </w:rPr>
        </w:r>
        <w:r w:rsidR="00163B51">
          <w:rPr>
            <w:noProof/>
            <w:webHidden/>
          </w:rPr>
          <w:fldChar w:fldCharType="separate"/>
        </w:r>
        <w:r w:rsidR="00163B51">
          <w:rPr>
            <w:noProof/>
            <w:webHidden/>
          </w:rPr>
          <w:t>81</w:t>
        </w:r>
        <w:r w:rsidR="00163B51">
          <w:rPr>
            <w:noProof/>
            <w:webHidden/>
          </w:rPr>
          <w:fldChar w:fldCharType="end"/>
        </w:r>
      </w:hyperlink>
    </w:p>
    <w:p w14:paraId="0AB43A5E" w14:textId="7F01D88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1" w:history="1">
        <w:r w:rsidR="00163B51" w:rsidRPr="00DA4747">
          <w:rPr>
            <w:rStyle w:val="Hypertextovodkaz"/>
            <w:noProof/>
          </w:rPr>
          <w:t>Tabulka 31: KS – počet soudců dle soudů, 2024</w:t>
        </w:r>
        <w:r w:rsidR="00163B51">
          <w:rPr>
            <w:noProof/>
            <w:webHidden/>
          </w:rPr>
          <w:tab/>
        </w:r>
        <w:r w:rsidR="00163B51">
          <w:rPr>
            <w:noProof/>
            <w:webHidden/>
          </w:rPr>
          <w:fldChar w:fldCharType="begin"/>
        </w:r>
        <w:r w:rsidR="00163B51">
          <w:rPr>
            <w:noProof/>
            <w:webHidden/>
          </w:rPr>
          <w:instrText xml:space="preserve"> PAGEREF _Toc203033151 \h </w:instrText>
        </w:r>
        <w:r w:rsidR="00163B51">
          <w:rPr>
            <w:noProof/>
            <w:webHidden/>
          </w:rPr>
        </w:r>
        <w:r w:rsidR="00163B51">
          <w:rPr>
            <w:noProof/>
            <w:webHidden/>
          </w:rPr>
          <w:fldChar w:fldCharType="separate"/>
        </w:r>
        <w:r w:rsidR="00163B51">
          <w:rPr>
            <w:noProof/>
            <w:webHidden/>
          </w:rPr>
          <w:t>82</w:t>
        </w:r>
        <w:r w:rsidR="00163B51">
          <w:rPr>
            <w:noProof/>
            <w:webHidden/>
          </w:rPr>
          <w:fldChar w:fldCharType="end"/>
        </w:r>
      </w:hyperlink>
    </w:p>
    <w:p w14:paraId="3F2FDED9" w14:textId="557A75E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2" w:history="1">
        <w:r w:rsidR="00163B51" w:rsidRPr="00DA4747">
          <w:rPr>
            <w:rStyle w:val="Hypertextovodkaz"/>
            <w:noProof/>
          </w:rPr>
          <w:t>Tabulka 32: KS – počet soudců v roce 2024</w:t>
        </w:r>
        <w:r w:rsidR="00163B51">
          <w:rPr>
            <w:noProof/>
            <w:webHidden/>
          </w:rPr>
          <w:tab/>
        </w:r>
        <w:r w:rsidR="00163B51">
          <w:rPr>
            <w:noProof/>
            <w:webHidden/>
          </w:rPr>
          <w:fldChar w:fldCharType="begin"/>
        </w:r>
        <w:r w:rsidR="00163B51">
          <w:rPr>
            <w:noProof/>
            <w:webHidden/>
          </w:rPr>
          <w:instrText xml:space="preserve"> PAGEREF _Toc203033152 \h </w:instrText>
        </w:r>
        <w:r w:rsidR="00163B51">
          <w:rPr>
            <w:noProof/>
            <w:webHidden/>
          </w:rPr>
        </w:r>
        <w:r w:rsidR="00163B51">
          <w:rPr>
            <w:noProof/>
            <w:webHidden/>
          </w:rPr>
          <w:fldChar w:fldCharType="separate"/>
        </w:r>
        <w:r w:rsidR="00163B51">
          <w:rPr>
            <w:noProof/>
            <w:webHidden/>
          </w:rPr>
          <w:t>84</w:t>
        </w:r>
        <w:r w:rsidR="00163B51">
          <w:rPr>
            <w:noProof/>
            <w:webHidden/>
          </w:rPr>
          <w:fldChar w:fldCharType="end"/>
        </w:r>
      </w:hyperlink>
    </w:p>
    <w:p w14:paraId="2A850C3B" w14:textId="4FAFA23A"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3" w:history="1">
        <w:r w:rsidR="00163B51" w:rsidRPr="00DA4747">
          <w:rPr>
            <w:rStyle w:val="Hypertextovodkaz"/>
            <w:noProof/>
          </w:rPr>
          <w:t>Tabulka 33: KS – skutečný počet soudců dle pohlaví a soudů</w:t>
        </w:r>
        <w:r w:rsidR="00163B51">
          <w:rPr>
            <w:noProof/>
            <w:webHidden/>
          </w:rPr>
          <w:tab/>
        </w:r>
        <w:r w:rsidR="00163B51">
          <w:rPr>
            <w:noProof/>
            <w:webHidden/>
          </w:rPr>
          <w:fldChar w:fldCharType="begin"/>
        </w:r>
        <w:r w:rsidR="00163B51">
          <w:rPr>
            <w:noProof/>
            <w:webHidden/>
          </w:rPr>
          <w:instrText xml:space="preserve"> PAGEREF _Toc203033153 \h </w:instrText>
        </w:r>
        <w:r w:rsidR="00163B51">
          <w:rPr>
            <w:noProof/>
            <w:webHidden/>
          </w:rPr>
        </w:r>
        <w:r w:rsidR="00163B51">
          <w:rPr>
            <w:noProof/>
            <w:webHidden/>
          </w:rPr>
          <w:fldChar w:fldCharType="separate"/>
        </w:r>
        <w:r w:rsidR="00163B51">
          <w:rPr>
            <w:noProof/>
            <w:webHidden/>
          </w:rPr>
          <w:t>85</w:t>
        </w:r>
        <w:r w:rsidR="00163B51">
          <w:rPr>
            <w:noProof/>
            <w:webHidden/>
          </w:rPr>
          <w:fldChar w:fldCharType="end"/>
        </w:r>
      </w:hyperlink>
    </w:p>
    <w:p w14:paraId="4D330315" w14:textId="5213105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4" w:history="1">
        <w:r w:rsidR="00163B51" w:rsidRPr="00DA4747">
          <w:rPr>
            <w:rStyle w:val="Hypertextovodkaz"/>
            <w:noProof/>
          </w:rPr>
          <w:t>Tabulka 34: KS – počet zaměstnanců ve výkonu dle soudů, 2024</w:t>
        </w:r>
        <w:r w:rsidR="00163B51">
          <w:rPr>
            <w:noProof/>
            <w:webHidden/>
          </w:rPr>
          <w:tab/>
        </w:r>
        <w:r w:rsidR="00163B51">
          <w:rPr>
            <w:noProof/>
            <w:webHidden/>
          </w:rPr>
          <w:fldChar w:fldCharType="begin"/>
        </w:r>
        <w:r w:rsidR="00163B51">
          <w:rPr>
            <w:noProof/>
            <w:webHidden/>
          </w:rPr>
          <w:instrText xml:space="preserve"> PAGEREF _Toc203033154 \h </w:instrText>
        </w:r>
        <w:r w:rsidR="00163B51">
          <w:rPr>
            <w:noProof/>
            <w:webHidden/>
          </w:rPr>
        </w:r>
        <w:r w:rsidR="00163B51">
          <w:rPr>
            <w:noProof/>
            <w:webHidden/>
          </w:rPr>
          <w:fldChar w:fldCharType="separate"/>
        </w:r>
        <w:r w:rsidR="00163B51">
          <w:rPr>
            <w:noProof/>
            <w:webHidden/>
          </w:rPr>
          <w:t>87</w:t>
        </w:r>
        <w:r w:rsidR="00163B51">
          <w:rPr>
            <w:noProof/>
            <w:webHidden/>
          </w:rPr>
          <w:fldChar w:fldCharType="end"/>
        </w:r>
      </w:hyperlink>
    </w:p>
    <w:p w14:paraId="390A19B1" w14:textId="52BC5FF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5" w:history="1">
        <w:r w:rsidR="00163B51" w:rsidRPr="00DA4747">
          <w:rPr>
            <w:rStyle w:val="Hypertextovodkaz"/>
            <w:noProof/>
          </w:rPr>
          <w:t>Tabulka 35: KS – počet přísedících dle soudů a pohlaví, 2024</w:t>
        </w:r>
        <w:r w:rsidR="00163B51">
          <w:rPr>
            <w:noProof/>
            <w:webHidden/>
          </w:rPr>
          <w:tab/>
        </w:r>
        <w:r w:rsidR="00163B51">
          <w:rPr>
            <w:noProof/>
            <w:webHidden/>
          </w:rPr>
          <w:fldChar w:fldCharType="begin"/>
        </w:r>
        <w:r w:rsidR="00163B51">
          <w:rPr>
            <w:noProof/>
            <w:webHidden/>
          </w:rPr>
          <w:instrText xml:space="preserve"> PAGEREF _Toc203033155 \h </w:instrText>
        </w:r>
        <w:r w:rsidR="00163B51">
          <w:rPr>
            <w:noProof/>
            <w:webHidden/>
          </w:rPr>
        </w:r>
        <w:r w:rsidR="00163B51">
          <w:rPr>
            <w:noProof/>
            <w:webHidden/>
          </w:rPr>
          <w:fldChar w:fldCharType="separate"/>
        </w:r>
        <w:r w:rsidR="00163B51">
          <w:rPr>
            <w:noProof/>
            <w:webHidden/>
          </w:rPr>
          <w:t>88</w:t>
        </w:r>
        <w:r w:rsidR="00163B51">
          <w:rPr>
            <w:noProof/>
            <w:webHidden/>
          </w:rPr>
          <w:fldChar w:fldCharType="end"/>
        </w:r>
      </w:hyperlink>
    </w:p>
    <w:p w14:paraId="538865B4" w14:textId="49375BA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6" w:history="1">
        <w:r w:rsidR="00163B51" w:rsidRPr="00DA4747">
          <w:rPr>
            <w:rStyle w:val="Hypertextovodkaz"/>
            <w:noProof/>
          </w:rPr>
          <w:t>Tabulka 36: KS – počet přísedících dle soudů a věku, 2024</w:t>
        </w:r>
        <w:r w:rsidR="00163B51">
          <w:rPr>
            <w:noProof/>
            <w:webHidden/>
          </w:rPr>
          <w:tab/>
        </w:r>
        <w:r w:rsidR="00163B51">
          <w:rPr>
            <w:noProof/>
            <w:webHidden/>
          </w:rPr>
          <w:fldChar w:fldCharType="begin"/>
        </w:r>
        <w:r w:rsidR="00163B51">
          <w:rPr>
            <w:noProof/>
            <w:webHidden/>
          </w:rPr>
          <w:instrText xml:space="preserve"> PAGEREF _Toc203033156 \h </w:instrText>
        </w:r>
        <w:r w:rsidR="00163B51">
          <w:rPr>
            <w:noProof/>
            <w:webHidden/>
          </w:rPr>
        </w:r>
        <w:r w:rsidR="00163B51">
          <w:rPr>
            <w:noProof/>
            <w:webHidden/>
          </w:rPr>
          <w:fldChar w:fldCharType="separate"/>
        </w:r>
        <w:r w:rsidR="00163B51">
          <w:rPr>
            <w:noProof/>
            <w:webHidden/>
          </w:rPr>
          <w:t>89</w:t>
        </w:r>
        <w:r w:rsidR="00163B51">
          <w:rPr>
            <w:noProof/>
            <w:webHidden/>
          </w:rPr>
          <w:fldChar w:fldCharType="end"/>
        </w:r>
      </w:hyperlink>
    </w:p>
    <w:p w14:paraId="32B29264" w14:textId="56A4F2D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7" w:history="1">
        <w:r w:rsidR="00163B51" w:rsidRPr="00DA4747">
          <w:rPr>
            <w:rStyle w:val="Hypertextovodkaz"/>
            <w:noProof/>
          </w:rPr>
          <w:t>Tabulka 37: KS – délky prvostupňového civilního řízení dle soudů, 2024</w:t>
        </w:r>
        <w:r w:rsidR="00163B51">
          <w:rPr>
            <w:noProof/>
            <w:webHidden/>
          </w:rPr>
          <w:tab/>
        </w:r>
        <w:r w:rsidR="00163B51">
          <w:rPr>
            <w:noProof/>
            <w:webHidden/>
          </w:rPr>
          <w:fldChar w:fldCharType="begin"/>
        </w:r>
        <w:r w:rsidR="00163B51">
          <w:rPr>
            <w:noProof/>
            <w:webHidden/>
          </w:rPr>
          <w:instrText xml:space="preserve"> PAGEREF _Toc203033157 \h </w:instrText>
        </w:r>
        <w:r w:rsidR="00163B51">
          <w:rPr>
            <w:noProof/>
            <w:webHidden/>
          </w:rPr>
        </w:r>
        <w:r w:rsidR="00163B51">
          <w:rPr>
            <w:noProof/>
            <w:webHidden/>
          </w:rPr>
          <w:fldChar w:fldCharType="separate"/>
        </w:r>
        <w:r w:rsidR="00163B51">
          <w:rPr>
            <w:noProof/>
            <w:webHidden/>
          </w:rPr>
          <w:t>91</w:t>
        </w:r>
        <w:r w:rsidR="00163B51">
          <w:rPr>
            <w:noProof/>
            <w:webHidden/>
          </w:rPr>
          <w:fldChar w:fldCharType="end"/>
        </w:r>
      </w:hyperlink>
    </w:p>
    <w:p w14:paraId="07A6E4AB" w14:textId="17FB0713"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8" w:history="1">
        <w:r w:rsidR="00163B51" w:rsidRPr="00DA4747">
          <w:rPr>
            <w:rStyle w:val="Hypertextovodkaz"/>
            <w:noProof/>
          </w:rPr>
          <w:t>Tabulka 38: KS – vyřizování prvostupňových civilních věcí dle soudů, 2024</w:t>
        </w:r>
        <w:r w:rsidR="00163B51">
          <w:rPr>
            <w:noProof/>
            <w:webHidden/>
          </w:rPr>
          <w:tab/>
        </w:r>
        <w:r w:rsidR="00163B51">
          <w:rPr>
            <w:noProof/>
            <w:webHidden/>
          </w:rPr>
          <w:fldChar w:fldCharType="begin"/>
        </w:r>
        <w:r w:rsidR="00163B51">
          <w:rPr>
            <w:noProof/>
            <w:webHidden/>
          </w:rPr>
          <w:instrText xml:space="preserve"> PAGEREF _Toc203033158 \h </w:instrText>
        </w:r>
        <w:r w:rsidR="00163B51">
          <w:rPr>
            <w:noProof/>
            <w:webHidden/>
          </w:rPr>
        </w:r>
        <w:r w:rsidR="00163B51">
          <w:rPr>
            <w:noProof/>
            <w:webHidden/>
          </w:rPr>
          <w:fldChar w:fldCharType="separate"/>
        </w:r>
        <w:r w:rsidR="00163B51">
          <w:rPr>
            <w:noProof/>
            <w:webHidden/>
          </w:rPr>
          <w:t>94</w:t>
        </w:r>
        <w:r w:rsidR="00163B51">
          <w:rPr>
            <w:noProof/>
            <w:webHidden/>
          </w:rPr>
          <w:fldChar w:fldCharType="end"/>
        </w:r>
      </w:hyperlink>
    </w:p>
    <w:p w14:paraId="289F1B89" w14:textId="3EB1634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9" w:history="1">
        <w:r w:rsidR="00163B51" w:rsidRPr="00DA4747">
          <w:rPr>
            <w:rStyle w:val="Hypertextovodkaz"/>
            <w:noProof/>
          </w:rPr>
          <w:t>Tabulka 39: KS – vyřiz. prvostupň. civil. věcí na skut. úvazek dle soudů, 2024</w:t>
        </w:r>
        <w:r w:rsidR="00163B51">
          <w:rPr>
            <w:noProof/>
            <w:webHidden/>
          </w:rPr>
          <w:tab/>
        </w:r>
        <w:r w:rsidR="00163B51">
          <w:rPr>
            <w:noProof/>
            <w:webHidden/>
          </w:rPr>
          <w:fldChar w:fldCharType="begin"/>
        </w:r>
        <w:r w:rsidR="00163B51">
          <w:rPr>
            <w:noProof/>
            <w:webHidden/>
          </w:rPr>
          <w:instrText xml:space="preserve"> PAGEREF _Toc203033159 \h </w:instrText>
        </w:r>
        <w:r w:rsidR="00163B51">
          <w:rPr>
            <w:noProof/>
            <w:webHidden/>
          </w:rPr>
        </w:r>
        <w:r w:rsidR="00163B51">
          <w:rPr>
            <w:noProof/>
            <w:webHidden/>
          </w:rPr>
          <w:fldChar w:fldCharType="separate"/>
        </w:r>
        <w:r w:rsidR="00163B51">
          <w:rPr>
            <w:noProof/>
            <w:webHidden/>
          </w:rPr>
          <w:t>95</w:t>
        </w:r>
        <w:r w:rsidR="00163B51">
          <w:rPr>
            <w:noProof/>
            <w:webHidden/>
          </w:rPr>
          <w:fldChar w:fldCharType="end"/>
        </w:r>
      </w:hyperlink>
    </w:p>
    <w:p w14:paraId="7AF01F12" w14:textId="4965A47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0" w:history="1">
        <w:r w:rsidR="00163B51" w:rsidRPr="00DA4747">
          <w:rPr>
            <w:rStyle w:val="Hypertextovodkaz"/>
            <w:noProof/>
          </w:rPr>
          <w:t>Tabulka 40: KS – DT prvostupňového civilního řízení dle soudů, 2024</w:t>
        </w:r>
        <w:r w:rsidR="00163B51">
          <w:rPr>
            <w:noProof/>
            <w:webHidden/>
          </w:rPr>
          <w:tab/>
        </w:r>
        <w:r w:rsidR="00163B51">
          <w:rPr>
            <w:noProof/>
            <w:webHidden/>
          </w:rPr>
          <w:fldChar w:fldCharType="begin"/>
        </w:r>
        <w:r w:rsidR="00163B51">
          <w:rPr>
            <w:noProof/>
            <w:webHidden/>
          </w:rPr>
          <w:instrText xml:space="preserve"> PAGEREF _Toc203033160 \h </w:instrText>
        </w:r>
        <w:r w:rsidR="00163B51">
          <w:rPr>
            <w:noProof/>
            <w:webHidden/>
          </w:rPr>
        </w:r>
        <w:r w:rsidR="00163B51">
          <w:rPr>
            <w:noProof/>
            <w:webHidden/>
          </w:rPr>
          <w:fldChar w:fldCharType="separate"/>
        </w:r>
        <w:r w:rsidR="00163B51">
          <w:rPr>
            <w:noProof/>
            <w:webHidden/>
          </w:rPr>
          <w:t>97</w:t>
        </w:r>
        <w:r w:rsidR="00163B51">
          <w:rPr>
            <w:noProof/>
            <w:webHidden/>
          </w:rPr>
          <w:fldChar w:fldCharType="end"/>
        </w:r>
      </w:hyperlink>
    </w:p>
    <w:p w14:paraId="68E5009B" w14:textId="36904E5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1" w:history="1">
        <w:r w:rsidR="00163B51" w:rsidRPr="00DA4747">
          <w:rPr>
            <w:rStyle w:val="Hypertextovodkaz"/>
            <w:noProof/>
          </w:rPr>
          <w:t>Tabulka 41: KS – míra odvolání dle soudů v civilním řízení, 2024</w:t>
        </w:r>
        <w:r w:rsidR="00163B51">
          <w:rPr>
            <w:noProof/>
            <w:webHidden/>
          </w:rPr>
          <w:tab/>
        </w:r>
        <w:r w:rsidR="00163B51">
          <w:rPr>
            <w:noProof/>
            <w:webHidden/>
          </w:rPr>
          <w:fldChar w:fldCharType="begin"/>
        </w:r>
        <w:r w:rsidR="00163B51">
          <w:rPr>
            <w:noProof/>
            <w:webHidden/>
          </w:rPr>
          <w:instrText xml:space="preserve"> PAGEREF _Toc203033161 \h </w:instrText>
        </w:r>
        <w:r w:rsidR="00163B51">
          <w:rPr>
            <w:noProof/>
            <w:webHidden/>
          </w:rPr>
        </w:r>
        <w:r w:rsidR="00163B51">
          <w:rPr>
            <w:noProof/>
            <w:webHidden/>
          </w:rPr>
          <w:fldChar w:fldCharType="separate"/>
        </w:r>
        <w:r w:rsidR="00163B51">
          <w:rPr>
            <w:noProof/>
            <w:webHidden/>
          </w:rPr>
          <w:t>98</w:t>
        </w:r>
        <w:r w:rsidR="00163B51">
          <w:rPr>
            <w:noProof/>
            <w:webHidden/>
          </w:rPr>
          <w:fldChar w:fldCharType="end"/>
        </w:r>
      </w:hyperlink>
    </w:p>
    <w:p w14:paraId="345518F2" w14:textId="114C340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2" w:history="1">
        <w:r w:rsidR="00163B51" w:rsidRPr="00DA4747">
          <w:rPr>
            <w:rStyle w:val="Hypertextovodkaz"/>
            <w:noProof/>
          </w:rPr>
          <w:t>Tabulka 42: KS – míra změny rozsudku dle soudů v civilním řízení, 2024</w:t>
        </w:r>
        <w:r w:rsidR="00163B51">
          <w:rPr>
            <w:noProof/>
            <w:webHidden/>
          </w:rPr>
          <w:tab/>
        </w:r>
        <w:r w:rsidR="00163B51">
          <w:rPr>
            <w:noProof/>
            <w:webHidden/>
          </w:rPr>
          <w:fldChar w:fldCharType="begin"/>
        </w:r>
        <w:r w:rsidR="00163B51">
          <w:rPr>
            <w:noProof/>
            <w:webHidden/>
          </w:rPr>
          <w:instrText xml:space="preserve"> PAGEREF _Toc203033162 \h </w:instrText>
        </w:r>
        <w:r w:rsidR="00163B51">
          <w:rPr>
            <w:noProof/>
            <w:webHidden/>
          </w:rPr>
        </w:r>
        <w:r w:rsidR="00163B51">
          <w:rPr>
            <w:noProof/>
            <w:webHidden/>
          </w:rPr>
          <w:fldChar w:fldCharType="separate"/>
        </w:r>
        <w:r w:rsidR="00163B51">
          <w:rPr>
            <w:noProof/>
            <w:webHidden/>
          </w:rPr>
          <w:t>98</w:t>
        </w:r>
        <w:r w:rsidR="00163B51">
          <w:rPr>
            <w:noProof/>
            <w:webHidden/>
          </w:rPr>
          <w:fldChar w:fldCharType="end"/>
        </w:r>
      </w:hyperlink>
    </w:p>
    <w:p w14:paraId="3FAABF33" w14:textId="15D2B65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3" w:history="1">
        <w:r w:rsidR="00163B51" w:rsidRPr="00DA4747">
          <w:rPr>
            <w:rStyle w:val="Hypertextovodkaz"/>
            <w:noProof/>
          </w:rPr>
          <w:t>Tabulka 43: KS – podíl vybraných předmětů sporu v letech dle soudů, 2024</w:t>
        </w:r>
        <w:r w:rsidR="00163B51">
          <w:rPr>
            <w:noProof/>
            <w:webHidden/>
          </w:rPr>
          <w:tab/>
        </w:r>
        <w:r w:rsidR="00163B51">
          <w:rPr>
            <w:noProof/>
            <w:webHidden/>
          </w:rPr>
          <w:fldChar w:fldCharType="begin"/>
        </w:r>
        <w:r w:rsidR="00163B51">
          <w:rPr>
            <w:noProof/>
            <w:webHidden/>
          </w:rPr>
          <w:instrText xml:space="preserve"> PAGEREF _Toc203033163 \h </w:instrText>
        </w:r>
        <w:r w:rsidR="00163B51">
          <w:rPr>
            <w:noProof/>
            <w:webHidden/>
          </w:rPr>
        </w:r>
        <w:r w:rsidR="00163B51">
          <w:rPr>
            <w:noProof/>
            <w:webHidden/>
          </w:rPr>
          <w:fldChar w:fldCharType="separate"/>
        </w:r>
        <w:r w:rsidR="00163B51">
          <w:rPr>
            <w:noProof/>
            <w:webHidden/>
          </w:rPr>
          <w:t>100</w:t>
        </w:r>
        <w:r w:rsidR="00163B51">
          <w:rPr>
            <w:noProof/>
            <w:webHidden/>
          </w:rPr>
          <w:fldChar w:fldCharType="end"/>
        </w:r>
      </w:hyperlink>
    </w:p>
    <w:p w14:paraId="1475E5B7" w14:textId="3809D3C8"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4" w:history="1">
        <w:r w:rsidR="00163B51" w:rsidRPr="00DA4747">
          <w:rPr>
            <w:rStyle w:val="Hypertextovodkaz"/>
            <w:noProof/>
          </w:rPr>
          <w:t>Tabulka 44: KS – délky odvolacího civilního řízení dle soudů, 2024 (rejstřík C)</w:t>
        </w:r>
        <w:r w:rsidR="00163B51">
          <w:rPr>
            <w:noProof/>
            <w:webHidden/>
          </w:rPr>
          <w:tab/>
        </w:r>
        <w:r w:rsidR="00163B51">
          <w:rPr>
            <w:noProof/>
            <w:webHidden/>
          </w:rPr>
          <w:fldChar w:fldCharType="begin"/>
        </w:r>
        <w:r w:rsidR="00163B51">
          <w:rPr>
            <w:noProof/>
            <w:webHidden/>
          </w:rPr>
          <w:instrText xml:space="preserve"> PAGEREF _Toc203033164 \h </w:instrText>
        </w:r>
        <w:r w:rsidR="00163B51">
          <w:rPr>
            <w:noProof/>
            <w:webHidden/>
          </w:rPr>
        </w:r>
        <w:r w:rsidR="00163B51">
          <w:rPr>
            <w:noProof/>
            <w:webHidden/>
          </w:rPr>
          <w:fldChar w:fldCharType="separate"/>
        </w:r>
        <w:r w:rsidR="00163B51">
          <w:rPr>
            <w:noProof/>
            <w:webHidden/>
          </w:rPr>
          <w:t>102</w:t>
        </w:r>
        <w:r w:rsidR="00163B51">
          <w:rPr>
            <w:noProof/>
            <w:webHidden/>
          </w:rPr>
          <w:fldChar w:fldCharType="end"/>
        </w:r>
      </w:hyperlink>
    </w:p>
    <w:p w14:paraId="09FA5D53" w14:textId="56E134A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5" w:history="1">
        <w:r w:rsidR="00163B51" w:rsidRPr="00DA4747">
          <w:rPr>
            <w:rStyle w:val="Hypertextovodkaz"/>
            <w:noProof/>
          </w:rPr>
          <w:t>Tabulka 45: KS – délky odvol. civil. řízení dle soudů, 2024 (rejstřík P a Nc)</w:t>
        </w:r>
        <w:r w:rsidR="00163B51">
          <w:rPr>
            <w:noProof/>
            <w:webHidden/>
          </w:rPr>
          <w:tab/>
        </w:r>
        <w:r w:rsidR="00163B51">
          <w:rPr>
            <w:noProof/>
            <w:webHidden/>
          </w:rPr>
          <w:fldChar w:fldCharType="begin"/>
        </w:r>
        <w:r w:rsidR="00163B51">
          <w:rPr>
            <w:noProof/>
            <w:webHidden/>
          </w:rPr>
          <w:instrText xml:space="preserve"> PAGEREF _Toc203033165 \h </w:instrText>
        </w:r>
        <w:r w:rsidR="00163B51">
          <w:rPr>
            <w:noProof/>
            <w:webHidden/>
          </w:rPr>
        </w:r>
        <w:r w:rsidR="00163B51">
          <w:rPr>
            <w:noProof/>
            <w:webHidden/>
          </w:rPr>
          <w:fldChar w:fldCharType="separate"/>
        </w:r>
        <w:r w:rsidR="00163B51">
          <w:rPr>
            <w:noProof/>
            <w:webHidden/>
          </w:rPr>
          <w:t>104</w:t>
        </w:r>
        <w:r w:rsidR="00163B51">
          <w:rPr>
            <w:noProof/>
            <w:webHidden/>
          </w:rPr>
          <w:fldChar w:fldCharType="end"/>
        </w:r>
      </w:hyperlink>
    </w:p>
    <w:p w14:paraId="64DAE356" w14:textId="75C1DE57"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6" w:history="1">
        <w:r w:rsidR="00163B51" w:rsidRPr="00DA4747">
          <w:rPr>
            <w:rStyle w:val="Hypertextovodkaz"/>
            <w:noProof/>
          </w:rPr>
          <w:t>Tabulka 46: KS – vyřizování odvolacích civilních věcí dle soudů, 2024</w:t>
        </w:r>
        <w:r w:rsidR="00163B51">
          <w:rPr>
            <w:noProof/>
            <w:webHidden/>
          </w:rPr>
          <w:tab/>
        </w:r>
        <w:r w:rsidR="00163B51">
          <w:rPr>
            <w:noProof/>
            <w:webHidden/>
          </w:rPr>
          <w:fldChar w:fldCharType="begin"/>
        </w:r>
        <w:r w:rsidR="00163B51">
          <w:rPr>
            <w:noProof/>
            <w:webHidden/>
          </w:rPr>
          <w:instrText xml:space="preserve"> PAGEREF _Toc203033166 \h </w:instrText>
        </w:r>
        <w:r w:rsidR="00163B51">
          <w:rPr>
            <w:noProof/>
            <w:webHidden/>
          </w:rPr>
        </w:r>
        <w:r w:rsidR="00163B51">
          <w:rPr>
            <w:noProof/>
            <w:webHidden/>
          </w:rPr>
          <w:fldChar w:fldCharType="separate"/>
        </w:r>
        <w:r w:rsidR="00163B51">
          <w:rPr>
            <w:noProof/>
            <w:webHidden/>
          </w:rPr>
          <w:t>106</w:t>
        </w:r>
        <w:r w:rsidR="00163B51">
          <w:rPr>
            <w:noProof/>
            <w:webHidden/>
          </w:rPr>
          <w:fldChar w:fldCharType="end"/>
        </w:r>
      </w:hyperlink>
    </w:p>
    <w:p w14:paraId="3C503E32" w14:textId="06BEA8A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7" w:history="1">
        <w:r w:rsidR="00163B51" w:rsidRPr="00DA4747">
          <w:rPr>
            <w:rStyle w:val="Hypertextovodkaz"/>
            <w:noProof/>
          </w:rPr>
          <w:t>Tabulka 47: KS – vyřiz. odvolacích civil. věcí na skutečného soudce dle soudů</w:t>
        </w:r>
        <w:r w:rsidR="00163B51">
          <w:rPr>
            <w:noProof/>
            <w:webHidden/>
          </w:rPr>
          <w:tab/>
        </w:r>
        <w:r w:rsidR="00163B51">
          <w:rPr>
            <w:noProof/>
            <w:webHidden/>
          </w:rPr>
          <w:fldChar w:fldCharType="begin"/>
        </w:r>
        <w:r w:rsidR="00163B51">
          <w:rPr>
            <w:noProof/>
            <w:webHidden/>
          </w:rPr>
          <w:instrText xml:space="preserve"> PAGEREF _Toc203033167 \h </w:instrText>
        </w:r>
        <w:r w:rsidR="00163B51">
          <w:rPr>
            <w:noProof/>
            <w:webHidden/>
          </w:rPr>
        </w:r>
        <w:r w:rsidR="00163B51">
          <w:rPr>
            <w:noProof/>
            <w:webHidden/>
          </w:rPr>
          <w:fldChar w:fldCharType="separate"/>
        </w:r>
        <w:r w:rsidR="00163B51">
          <w:rPr>
            <w:noProof/>
            <w:webHidden/>
          </w:rPr>
          <w:t>107</w:t>
        </w:r>
        <w:r w:rsidR="00163B51">
          <w:rPr>
            <w:noProof/>
            <w:webHidden/>
          </w:rPr>
          <w:fldChar w:fldCharType="end"/>
        </w:r>
      </w:hyperlink>
    </w:p>
    <w:p w14:paraId="6D6EE9D7" w14:textId="0F138D1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8" w:history="1">
        <w:r w:rsidR="00163B51" w:rsidRPr="00DA4747">
          <w:rPr>
            <w:rStyle w:val="Hypertextovodkaz"/>
            <w:noProof/>
          </w:rPr>
          <w:t>Tabulka 48: KS – DT v civilním odvolacím řízení dle soudů, 2024</w:t>
        </w:r>
        <w:r w:rsidR="00163B51">
          <w:rPr>
            <w:noProof/>
            <w:webHidden/>
          </w:rPr>
          <w:tab/>
        </w:r>
        <w:r w:rsidR="00163B51">
          <w:rPr>
            <w:noProof/>
            <w:webHidden/>
          </w:rPr>
          <w:fldChar w:fldCharType="begin"/>
        </w:r>
        <w:r w:rsidR="00163B51">
          <w:rPr>
            <w:noProof/>
            <w:webHidden/>
          </w:rPr>
          <w:instrText xml:space="preserve"> PAGEREF _Toc203033168 \h </w:instrText>
        </w:r>
        <w:r w:rsidR="00163B51">
          <w:rPr>
            <w:noProof/>
            <w:webHidden/>
          </w:rPr>
        </w:r>
        <w:r w:rsidR="00163B51">
          <w:rPr>
            <w:noProof/>
            <w:webHidden/>
          </w:rPr>
          <w:fldChar w:fldCharType="separate"/>
        </w:r>
        <w:r w:rsidR="00163B51">
          <w:rPr>
            <w:noProof/>
            <w:webHidden/>
          </w:rPr>
          <w:t>108</w:t>
        </w:r>
        <w:r w:rsidR="00163B51">
          <w:rPr>
            <w:noProof/>
            <w:webHidden/>
          </w:rPr>
          <w:fldChar w:fldCharType="end"/>
        </w:r>
      </w:hyperlink>
    </w:p>
    <w:p w14:paraId="530DC99A" w14:textId="5B6F5E1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9" w:history="1">
        <w:r w:rsidR="00163B51" w:rsidRPr="00DA4747">
          <w:rPr>
            <w:rStyle w:val="Hypertextovodkaz"/>
            <w:noProof/>
          </w:rPr>
          <w:t>Tabulka 49: KS – délky prvostupňového trestního řízení dle soudů, 2024</w:t>
        </w:r>
        <w:r w:rsidR="00163B51">
          <w:rPr>
            <w:noProof/>
            <w:webHidden/>
          </w:rPr>
          <w:tab/>
        </w:r>
        <w:r w:rsidR="00163B51">
          <w:rPr>
            <w:noProof/>
            <w:webHidden/>
          </w:rPr>
          <w:fldChar w:fldCharType="begin"/>
        </w:r>
        <w:r w:rsidR="00163B51">
          <w:rPr>
            <w:noProof/>
            <w:webHidden/>
          </w:rPr>
          <w:instrText xml:space="preserve"> PAGEREF _Toc203033169 \h </w:instrText>
        </w:r>
        <w:r w:rsidR="00163B51">
          <w:rPr>
            <w:noProof/>
            <w:webHidden/>
          </w:rPr>
        </w:r>
        <w:r w:rsidR="00163B51">
          <w:rPr>
            <w:noProof/>
            <w:webHidden/>
          </w:rPr>
          <w:fldChar w:fldCharType="separate"/>
        </w:r>
        <w:r w:rsidR="00163B51">
          <w:rPr>
            <w:noProof/>
            <w:webHidden/>
          </w:rPr>
          <w:t>110</w:t>
        </w:r>
        <w:r w:rsidR="00163B51">
          <w:rPr>
            <w:noProof/>
            <w:webHidden/>
          </w:rPr>
          <w:fldChar w:fldCharType="end"/>
        </w:r>
      </w:hyperlink>
    </w:p>
    <w:p w14:paraId="52FBF362" w14:textId="103229C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0" w:history="1">
        <w:r w:rsidR="00163B51" w:rsidRPr="00DA4747">
          <w:rPr>
            <w:rStyle w:val="Hypertextovodkaz"/>
            <w:noProof/>
          </w:rPr>
          <w:t>Tabulka 50: KS – vyřizování prvostupňových trestních věcí dle soudů, 2024</w:t>
        </w:r>
        <w:r w:rsidR="00163B51">
          <w:rPr>
            <w:noProof/>
            <w:webHidden/>
          </w:rPr>
          <w:tab/>
        </w:r>
        <w:r w:rsidR="00163B51">
          <w:rPr>
            <w:noProof/>
            <w:webHidden/>
          </w:rPr>
          <w:fldChar w:fldCharType="begin"/>
        </w:r>
        <w:r w:rsidR="00163B51">
          <w:rPr>
            <w:noProof/>
            <w:webHidden/>
          </w:rPr>
          <w:instrText xml:space="preserve"> PAGEREF _Toc203033170 \h </w:instrText>
        </w:r>
        <w:r w:rsidR="00163B51">
          <w:rPr>
            <w:noProof/>
            <w:webHidden/>
          </w:rPr>
        </w:r>
        <w:r w:rsidR="00163B51">
          <w:rPr>
            <w:noProof/>
            <w:webHidden/>
          </w:rPr>
          <w:fldChar w:fldCharType="separate"/>
        </w:r>
        <w:r w:rsidR="00163B51">
          <w:rPr>
            <w:noProof/>
            <w:webHidden/>
          </w:rPr>
          <w:t>112</w:t>
        </w:r>
        <w:r w:rsidR="00163B51">
          <w:rPr>
            <w:noProof/>
            <w:webHidden/>
          </w:rPr>
          <w:fldChar w:fldCharType="end"/>
        </w:r>
      </w:hyperlink>
    </w:p>
    <w:p w14:paraId="26B4D9A9" w14:textId="4D79258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1" w:history="1">
        <w:r w:rsidR="00163B51" w:rsidRPr="00DA4747">
          <w:rPr>
            <w:rStyle w:val="Hypertextovodkaz"/>
            <w:noProof/>
          </w:rPr>
          <w:t>Tabulka 51: KS – vyřiz. prvostupň. trest. věcí na skutečného soudce dle soudů</w:t>
        </w:r>
        <w:r w:rsidR="00163B51">
          <w:rPr>
            <w:noProof/>
            <w:webHidden/>
          </w:rPr>
          <w:tab/>
        </w:r>
        <w:r w:rsidR="00163B51">
          <w:rPr>
            <w:noProof/>
            <w:webHidden/>
          </w:rPr>
          <w:fldChar w:fldCharType="begin"/>
        </w:r>
        <w:r w:rsidR="00163B51">
          <w:rPr>
            <w:noProof/>
            <w:webHidden/>
          </w:rPr>
          <w:instrText xml:space="preserve"> PAGEREF _Toc203033171 \h </w:instrText>
        </w:r>
        <w:r w:rsidR="00163B51">
          <w:rPr>
            <w:noProof/>
            <w:webHidden/>
          </w:rPr>
        </w:r>
        <w:r w:rsidR="00163B51">
          <w:rPr>
            <w:noProof/>
            <w:webHidden/>
          </w:rPr>
          <w:fldChar w:fldCharType="separate"/>
        </w:r>
        <w:r w:rsidR="00163B51">
          <w:rPr>
            <w:noProof/>
            <w:webHidden/>
          </w:rPr>
          <w:t>113</w:t>
        </w:r>
        <w:r w:rsidR="00163B51">
          <w:rPr>
            <w:noProof/>
            <w:webHidden/>
          </w:rPr>
          <w:fldChar w:fldCharType="end"/>
        </w:r>
      </w:hyperlink>
    </w:p>
    <w:p w14:paraId="030EE0D2" w14:textId="3B61D56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2" w:history="1">
        <w:r w:rsidR="00163B51" w:rsidRPr="00DA4747">
          <w:rPr>
            <w:rStyle w:val="Hypertextovodkaz"/>
            <w:noProof/>
          </w:rPr>
          <w:t>Tabulka 52: KS – DT v prvostupňovém trestním řízení dle soudů, 2024</w:t>
        </w:r>
        <w:r w:rsidR="00163B51">
          <w:rPr>
            <w:noProof/>
            <w:webHidden/>
          </w:rPr>
          <w:tab/>
        </w:r>
        <w:r w:rsidR="00163B51">
          <w:rPr>
            <w:noProof/>
            <w:webHidden/>
          </w:rPr>
          <w:fldChar w:fldCharType="begin"/>
        </w:r>
        <w:r w:rsidR="00163B51">
          <w:rPr>
            <w:noProof/>
            <w:webHidden/>
          </w:rPr>
          <w:instrText xml:space="preserve"> PAGEREF _Toc203033172 \h </w:instrText>
        </w:r>
        <w:r w:rsidR="00163B51">
          <w:rPr>
            <w:noProof/>
            <w:webHidden/>
          </w:rPr>
        </w:r>
        <w:r w:rsidR="00163B51">
          <w:rPr>
            <w:noProof/>
            <w:webHidden/>
          </w:rPr>
          <w:fldChar w:fldCharType="separate"/>
        </w:r>
        <w:r w:rsidR="00163B51">
          <w:rPr>
            <w:noProof/>
            <w:webHidden/>
          </w:rPr>
          <w:t>114</w:t>
        </w:r>
        <w:r w:rsidR="00163B51">
          <w:rPr>
            <w:noProof/>
            <w:webHidden/>
          </w:rPr>
          <w:fldChar w:fldCharType="end"/>
        </w:r>
      </w:hyperlink>
    </w:p>
    <w:p w14:paraId="6CD38325" w14:textId="00F55FD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3" w:history="1">
        <w:r w:rsidR="00163B51" w:rsidRPr="00DA4747">
          <w:rPr>
            <w:rStyle w:val="Hypertextovodkaz"/>
            <w:noProof/>
          </w:rPr>
          <w:t>Tabulka 53: KS – míra odvolání dle soudů v trestním řízení, 2024</w:t>
        </w:r>
        <w:r w:rsidR="00163B51">
          <w:rPr>
            <w:noProof/>
            <w:webHidden/>
          </w:rPr>
          <w:tab/>
        </w:r>
        <w:r w:rsidR="00163B51">
          <w:rPr>
            <w:noProof/>
            <w:webHidden/>
          </w:rPr>
          <w:fldChar w:fldCharType="begin"/>
        </w:r>
        <w:r w:rsidR="00163B51">
          <w:rPr>
            <w:noProof/>
            <w:webHidden/>
          </w:rPr>
          <w:instrText xml:space="preserve"> PAGEREF _Toc203033173 \h </w:instrText>
        </w:r>
        <w:r w:rsidR="00163B51">
          <w:rPr>
            <w:noProof/>
            <w:webHidden/>
          </w:rPr>
        </w:r>
        <w:r w:rsidR="00163B51">
          <w:rPr>
            <w:noProof/>
            <w:webHidden/>
          </w:rPr>
          <w:fldChar w:fldCharType="separate"/>
        </w:r>
        <w:r w:rsidR="00163B51">
          <w:rPr>
            <w:noProof/>
            <w:webHidden/>
          </w:rPr>
          <w:t>115</w:t>
        </w:r>
        <w:r w:rsidR="00163B51">
          <w:rPr>
            <w:noProof/>
            <w:webHidden/>
          </w:rPr>
          <w:fldChar w:fldCharType="end"/>
        </w:r>
      </w:hyperlink>
    </w:p>
    <w:p w14:paraId="095B1EC1" w14:textId="60DFC75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4" w:history="1">
        <w:r w:rsidR="00163B51" w:rsidRPr="00DA4747">
          <w:rPr>
            <w:rStyle w:val="Hypertextovodkaz"/>
            <w:noProof/>
          </w:rPr>
          <w:t>Tabulka 54: KS – míra změny rozsudku dle soudů v trestním řízení, 2024</w:t>
        </w:r>
        <w:r w:rsidR="00163B51">
          <w:rPr>
            <w:noProof/>
            <w:webHidden/>
          </w:rPr>
          <w:tab/>
        </w:r>
        <w:r w:rsidR="00163B51">
          <w:rPr>
            <w:noProof/>
            <w:webHidden/>
          </w:rPr>
          <w:fldChar w:fldCharType="begin"/>
        </w:r>
        <w:r w:rsidR="00163B51">
          <w:rPr>
            <w:noProof/>
            <w:webHidden/>
          </w:rPr>
          <w:instrText xml:space="preserve"> PAGEREF _Toc203033174 \h </w:instrText>
        </w:r>
        <w:r w:rsidR="00163B51">
          <w:rPr>
            <w:noProof/>
            <w:webHidden/>
          </w:rPr>
        </w:r>
        <w:r w:rsidR="00163B51">
          <w:rPr>
            <w:noProof/>
            <w:webHidden/>
          </w:rPr>
          <w:fldChar w:fldCharType="separate"/>
        </w:r>
        <w:r w:rsidR="00163B51">
          <w:rPr>
            <w:noProof/>
            <w:webHidden/>
          </w:rPr>
          <w:t>116</w:t>
        </w:r>
        <w:r w:rsidR="00163B51">
          <w:rPr>
            <w:noProof/>
            <w:webHidden/>
          </w:rPr>
          <w:fldChar w:fldCharType="end"/>
        </w:r>
      </w:hyperlink>
    </w:p>
    <w:p w14:paraId="07B78358" w14:textId="399B5D9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5" w:history="1">
        <w:r w:rsidR="00163B51" w:rsidRPr="00DA4747">
          <w:rPr>
            <w:rStyle w:val="Hypertextovodkaz"/>
            <w:noProof/>
          </w:rPr>
          <w:t>Tabulka 55: KS – délky odvolacího trestního řízení dle soudů</w:t>
        </w:r>
        <w:r w:rsidR="00163B51">
          <w:rPr>
            <w:noProof/>
            <w:webHidden/>
          </w:rPr>
          <w:tab/>
        </w:r>
        <w:r w:rsidR="00163B51">
          <w:rPr>
            <w:noProof/>
            <w:webHidden/>
          </w:rPr>
          <w:fldChar w:fldCharType="begin"/>
        </w:r>
        <w:r w:rsidR="00163B51">
          <w:rPr>
            <w:noProof/>
            <w:webHidden/>
          </w:rPr>
          <w:instrText xml:space="preserve"> PAGEREF _Toc203033175 \h </w:instrText>
        </w:r>
        <w:r w:rsidR="00163B51">
          <w:rPr>
            <w:noProof/>
            <w:webHidden/>
          </w:rPr>
        </w:r>
        <w:r w:rsidR="00163B51">
          <w:rPr>
            <w:noProof/>
            <w:webHidden/>
          </w:rPr>
          <w:fldChar w:fldCharType="separate"/>
        </w:r>
        <w:r w:rsidR="00163B51">
          <w:rPr>
            <w:noProof/>
            <w:webHidden/>
          </w:rPr>
          <w:t>119</w:t>
        </w:r>
        <w:r w:rsidR="00163B51">
          <w:rPr>
            <w:noProof/>
            <w:webHidden/>
          </w:rPr>
          <w:fldChar w:fldCharType="end"/>
        </w:r>
      </w:hyperlink>
    </w:p>
    <w:p w14:paraId="26368769" w14:textId="2EA3640B"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6" w:history="1">
        <w:r w:rsidR="00163B51" w:rsidRPr="00DA4747">
          <w:rPr>
            <w:rStyle w:val="Hypertextovodkaz"/>
            <w:noProof/>
          </w:rPr>
          <w:t>Tabulka 56: KS – vyřizování odvolacích trestních věcí dle soudů, 2024</w:t>
        </w:r>
        <w:r w:rsidR="00163B51">
          <w:rPr>
            <w:noProof/>
            <w:webHidden/>
          </w:rPr>
          <w:tab/>
        </w:r>
        <w:r w:rsidR="00163B51">
          <w:rPr>
            <w:noProof/>
            <w:webHidden/>
          </w:rPr>
          <w:fldChar w:fldCharType="begin"/>
        </w:r>
        <w:r w:rsidR="00163B51">
          <w:rPr>
            <w:noProof/>
            <w:webHidden/>
          </w:rPr>
          <w:instrText xml:space="preserve"> PAGEREF _Toc203033176 \h </w:instrText>
        </w:r>
        <w:r w:rsidR="00163B51">
          <w:rPr>
            <w:noProof/>
            <w:webHidden/>
          </w:rPr>
        </w:r>
        <w:r w:rsidR="00163B51">
          <w:rPr>
            <w:noProof/>
            <w:webHidden/>
          </w:rPr>
          <w:fldChar w:fldCharType="separate"/>
        </w:r>
        <w:r w:rsidR="00163B51">
          <w:rPr>
            <w:noProof/>
            <w:webHidden/>
          </w:rPr>
          <w:t>121</w:t>
        </w:r>
        <w:r w:rsidR="00163B51">
          <w:rPr>
            <w:noProof/>
            <w:webHidden/>
          </w:rPr>
          <w:fldChar w:fldCharType="end"/>
        </w:r>
      </w:hyperlink>
    </w:p>
    <w:p w14:paraId="14F582B7" w14:textId="7E9A833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7" w:history="1">
        <w:r w:rsidR="00163B51" w:rsidRPr="00DA4747">
          <w:rPr>
            <w:rStyle w:val="Hypertextovodkaz"/>
            <w:noProof/>
          </w:rPr>
          <w:t>Tabulka 57: KS – vyřiz. odvolacích tr. věcí na skutečný úvazek dle soudů, 2024</w:t>
        </w:r>
        <w:r w:rsidR="00163B51">
          <w:rPr>
            <w:noProof/>
            <w:webHidden/>
          </w:rPr>
          <w:tab/>
        </w:r>
        <w:r w:rsidR="00163B51">
          <w:rPr>
            <w:noProof/>
            <w:webHidden/>
          </w:rPr>
          <w:fldChar w:fldCharType="begin"/>
        </w:r>
        <w:r w:rsidR="00163B51">
          <w:rPr>
            <w:noProof/>
            <w:webHidden/>
          </w:rPr>
          <w:instrText xml:space="preserve"> PAGEREF _Toc203033177 \h </w:instrText>
        </w:r>
        <w:r w:rsidR="00163B51">
          <w:rPr>
            <w:noProof/>
            <w:webHidden/>
          </w:rPr>
        </w:r>
        <w:r w:rsidR="00163B51">
          <w:rPr>
            <w:noProof/>
            <w:webHidden/>
          </w:rPr>
          <w:fldChar w:fldCharType="separate"/>
        </w:r>
        <w:r w:rsidR="00163B51">
          <w:rPr>
            <w:noProof/>
            <w:webHidden/>
          </w:rPr>
          <w:t>121</w:t>
        </w:r>
        <w:r w:rsidR="00163B51">
          <w:rPr>
            <w:noProof/>
            <w:webHidden/>
          </w:rPr>
          <w:fldChar w:fldCharType="end"/>
        </w:r>
      </w:hyperlink>
    </w:p>
    <w:p w14:paraId="29A46978" w14:textId="139CB940"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8" w:history="1">
        <w:r w:rsidR="00163B51" w:rsidRPr="00DA4747">
          <w:rPr>
            <w:rStyle w:val="Hypertextovodkaz"/>
            <w:noProof/>
          </w:rPr>
          <w:t>Tabulka 58: KS – DT odvolacího trestního řízení dle soudů</w:t>
        </w:r>
        <w:r w:rsidR="00163B51">
          <w:rPr>
            <w:noProof/>
            <w:webHidden/>
          </w:rPr>
          <w:tab/>
        </w:r>
        <w:r w:rsidR="00163B51">
          <w:rPr>
            <w:noProof/>
            <w:webHidden/>
          </w:rPr>
          <w:fldChar w:fldCharType="begin"/>
        </w:r>
        <w:r w:rsidR="00163B51">
          <w:rPr>
            <w:noProof/>
            <w:webHidden/>
          </w:rPr>
          <w:instrText xml:space="preserve"> PAGEREF _Toc203033178 \h </w:instrText>
        </w:r>
        <w:r w:rsidR="00163B51">
          <w:rPr>
            <w:noProof/>
            <w:webHidden/>
          </w:rPr>
        </w:r>
        <w:r w:rsidR="00163B51">
          <w:rPr>
            <w:noProof/>
            <w:webHidden/>
          </w:rPr>
          <w:fldChar w:fldCharType="separate"/>
        </w:r>
        <w:r w:rsidR="00163B51">
          <w:rPr>
            <w:noProof/>
            <w:webHidden/>
          </w:rPr>
          <w:t>122</w:t>
        </w:r>
        <w:r w:rsidR="00163B51">
          <w:rPr>
            <w:noProof/>
            <w:webHidden/>
          </w:rPr>
          <w:fldChar w:fldCharType="end"/>
        </w:r>
      </w:hyperlink>
    </w:p>
    <w:p w14:paraId="236EE2E8" w14:textId="746F58B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9" w:history="1">
        <w:r w:rsidR="00163B51" w:rsidRPr="00DA4747">
          <w:rPr>
            <w:rStyle w:val="Hypertextovodkaz"/>
            <w:noProof/>
          </w:rPr>
          <w:t>Tabulka 59: KS – délky správního řízení dle soudů</w:t>
        </w:r>
        <w:r w:rsidR="00163B51">
          <w:rPr>
            <w:noProof/>
            <w:webHidden/>
          </w:rPr>
          <w:tab/>
        </w:r>
        <w:r w:rsidR="00163B51">
          <w:rPr>
            <w:noProof/>
            <w:webHidden/>
          </w:rPr>
          <w:fldChar w:fldCharType="begin"/>
        </w:r>
        <w:r w:rsidR="00163B51">
          <w:rPr>
            <w:noProof/>
            <w:webHidden/>
          </w:rPr>
          <w:instrText xml:space="preserve"> PAGEREF _Toc203033179 \h </w:instrText>
        </w:r>
        <w:r w:rsidR="00163B51">
          <w:rPr>
            <w:noProof/>
            <w:webHidden/>
          </w:rPr>
        </w:r>
        <w:r w:rsidR="00163B51">
          <w:rPr>
            <w:noProof/>
            <w:webHidden/>
          </w:rPr>
          <w:fldChar w:fldCharType="separate"/>
        </w:r>
        <w:r w:rsidR="00163B51">
          <w:rPr>
            <w:noProof/>
            <w:webHidden/>
          </w:rPr>
          <w:t>124</w:t>
        </w:r>
        <w:r w:rsidR="00163B51">
          <w:rPr>
            <w:noProof/>
            <w:webHidden/>
          </w:rPr>
          <w:fldChar w:fldCharType="end"/>
        </w:r>
      </w:hyperlink>
    </w:p>
    <w:p w14:paraId="7003AE9A" w14:textId="428FB3E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0" w:history="1">
        <w:r w:rsidR="00163B51" w:rsidRPr="00DA4747">
          <w:rPr>
            <w:rStyle w:val="Hypertextovodkaz"/>
            <w:noProof/>
          </w:rPr>
          <w:t>Tabulka 60: KS – vyřizování správních věcí dle soudů</w:t>
        </w:r>
        <w:r w:rsidR="00163B51">
          <w:rPr>
            <w:noProof/>
            <w:webHidden/>
          </w:rPr>
          <w:tab/>
        </w:r>
        <w:r w:rsidR="00163B51">
          <w:rPr>
            <w:noProof/>
            <w:webHidden/>
          </w:rPr>
          <w:fldChar w:fldCharType="begin"/>
        </w:r>
        <w:r w:rsidR="00163B51">
          <w:rPr>
            <w:noProof/>
            <w:webHidden/>
          </w:rPr>
          <w:instrText xml:space="preserve"> PAGEREF _Toc203033180 \h </w:instrText>
        </w:r>
        <w:r w:rsidR="00163B51">
          <w:rPr>
            <w:noProof/>
            <w:webHidden/>
          </w:rPr>
        </w:r>
        <w:r w:rsidR="00163B51">
          <w:rPr>
            <w:noProof/>
            <w:webHidden/>
          </w:rPr>
          <w:fldChar w:fldCharType="separate"/>
        </w:r>
        <w:r w:rsidR="00163B51">
          <w:rPr>
            <w:noProof/>
            <w:webHidden/>
          </w:rPr>
          <w:t>126</w:t>
        </w:r>
        <w:r w:rsidR="00163B51">
          <w:rPr>
            <w:noProof/>
            <w:webHidden/>
          </w:rPr>
          <w:fldChar w:fldCharType="end"/>
        </w:r>
      </w:hyperlink>
    </w:p>
    <w:p w14:paraId="584E3F5B" w14:textId="508C123E"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1" w:history="1">
        <w:r w:rsidR="00163B51" w:rsidRPr="00DA4747">
          <w:rPr>
            <w:rStyle w:val="Hypertextovodkaz"/>
            <w:noProof/>
          </w:rPr>
          <w:t>Tabulka 61: KS – vyřiz. správních věcí na skutečný úvazek dle soudů, 2024</w:t>
        </w:r>
        <w:r w:rsidR="00163B51">
          <w:rPr>
            <w:noProof/>
            <w:webHidden/>
          </w:rPr>
          <w:tab/>
        </w:r>
        <w:r w:rsidR="00163B51">
          <w:rPr>
            <w:noProof/>
            <w:webHidden/>
          </w:rPr>
          <w:fldChar w:fldCharType="begin"/>
        </w:r>
        <w:r w:rsidR="00163B51">
          <w:rPr>
            <w:noProof/>
            <w:webHidden/>
          </w:rPr>
          <w:instrText xml:space="preserve"> PAGEREF _Toc203033181 \h </w:instrText>
        </w:r>
        <w:r w:rsidR="00163B51">
          <w:rPr>
            <w:noProof/>
            <w:webHidden/>
          </w:rPr>
        </w:r>
        <w:r w:rsidR="00163B51">
          <w:rPr>
            <w:noProof/>
            <w:webHidden/>
          </w:rPr>
          <w:fldChar w:fldCharType="separate"/>
        </w:r>
        <w:r w:rsidR="00163B51">
          <w:rPr>
            <w:noProof/>
            <w:webHidden/>
          </w:rPr>
          <w:t>127</w:t>
        </w:r>
        <w:r w:rsidR="00163B51">
          <w:rPr>
            <w:noProof/>
            <w:webHidden/>
          </w:rPr>
          <w:fldChar w:fldCharType="end"/>
        </w:r>
      </w:hyperlink>
    </w:p>
    <w:p w14:paraId="4CE1782D" w14:textId="050C596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2" w:history="1">
        <w:r w:rsidR="00163B51" w:rsidRPr="00DA4747">
          <w:rPr>
            <w:rStyle w:val="Hypertextovodkaz"/>
            <w:noProof/>
          </w:rPr>
          <w:t>Tabulka 62: KS – DT správního řízení dle soudů, 2024</w:t>
        </w:r>
        <w:r w:rsidR="00163B51">
          <w:rPr>
            <w:noProof/>
            <w:webHidden/>
          </w:rPr>
          <w:tab/>
        </w:r>
        <w:r w:rsidR="00163B51">
          <w:rPr>
            <w:noProof/>
            <w:webHidden/>
          </w:rPr>
          <w:fldChar w:fldCharType="begin"/>
        </w:r>
        <w:r w:rsidR="00163B51">
          <w:rPr>
            <w:noProof/>
            <w:webHidden/>
          </w:rPr>
          <w:instrText xml:space="preserve"> PAGEREF _Toc203033182 \h </w:instrText>
        </w:r>
        <w:r w:rsidR="00163B51">
          <w:rPr>
            <w:noProof/>
            <w:webHidden/>
          </w:rPr>
        </w:r>
        <w:r w:rsidR="00163B51">
          <w:rPr>
            <w:noProof/>
            <w:webHidden/>
          </w:rPr>
          <w:fldChar w:fldCharType="separate"/>
        </w:r>
        <w:r w:rsidR="00163B51">
          <w:rPr>
            <w:noProof/>
            <w:webHidden/>
          </w:rPr>
          <w:t>128</w:t>
        </w:r>
        <w:r w:rsidR="00163B51">
          <w:rPr>
            <w:noProof/>
            <w:webHidden/>
          </w:rPr>
          <w:fldChar w:fldCharType="end"/>
        </w:r>
      </w:hyperlink>
    </w:p>
    <w:p w14:paraId="00CC2254" w14:textId="1ADC0A1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3" w:history="1">
        <w:r w:rsidR="00163B51" w:rsidRPr="00DA4747">
          <w:rPr>
            <w:rStyle w:val="Hypertextovodkaz"/>
            <w:noProof/>
          </w:rPr>
          <w:t>Tabulka 63: KS – délky insolvenčního řízení dle soudů, 2024</w:t>
        </w:r>
        <w:r w:rsidR="00163B51">
          <w:rPr>
            <w:noProof/>
            <w:webHidden/>
          </w:rPr>
          <w:tab/>
        </w:r>
        <w:r w:rsidR="00163B51">
          <w:rPr>
            <w:noProof/>
            <w:webHidden/>
          </w:rPr>
          <w:fldChar w:fldCharType="begin"/>
        </w:r>
        <w:r w:rsidR="00163B51">
          <w:rPr>
            <w:noProof/>
            <w:webHidden/>
          </w:rPr>
          <w:instrText xml:space="preserve"> PAGEREF _Toc203033183 \h </w:instrText>
        </w:r>
        <w:r w:rsidR="00163B51">
          <w:rPr>
            <w:noProof/>
            <w:webHidden/>
          </w:rPr>
        </w:r>
        <w:r w:rsidR="00163B51">
          <w:rPr>
            <w:noProof/>
            <w:webHidden/>
          </w:rPr>
          <w:fldChar w:fldCharType="separate"/>
        </w:r>
        <w:r w:rsidR="00163B51">
          <w:rPr>
            <w:noProof/>
            <w:webHidden/>
          </w:rPr>
          <w:t>130</w:t>
        </w:r>
        <w:r w:rsidR="00163B51">
          <w:rPr>
            <w:noProof/>
            <w:webHidden/>
          </w:rPr>
          <w:fldChar w:fldCharType="end"/>
        </w:r>
      </w:hyperlink>
    </w:p>
    <w:p w14:paraId="324DAB09" w14:textId="5DAC9E7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4" w:history="1">
        <w:r w:rsidR="00163B51" w:rsidRPr="00DA4747">
          <w:rPr>
            <w:rStyle w:val="Hypertextovodkaz"/>
            <w:noProof/>
          </w:rPr>
          <w:t>Tabulka 64: KS – vyřizování insolvenčních věcí dle soudů, 2024</w:t>
        </w:r>
        <w:r w:rsidR="00163B51">
          <w:rPr>
            <w:noProof/>
            <w:webHidden/>
          </w:rPr>
          <w:tab/>
        </w:r>
        <w:r w:rsidR="00163B51">
          <w:rPr>
            <w:noProof/>
            <w:webHidden/>
          </w:rPr>
          <w:fldChar w:fldCharType="begin"/>
        </w:r>
        <w:r w:rsidR="00163B51">
          <w:rPr>
            <w:noProof/>
            <w:webHidden/>
          </w:rPr>
          <w:instrText xml:space="preserve"> PAGEREF _Toc203033184 \h </w:instrText>
        </w:r>
        <w:r w:rsidR="00163B51">
          <w:rPr>
            <w:noProof/>
            <w:webHidden/>
          </w:rPr>
        </w:r>
        <w:r w:rsidR="00163B51">
          <w:rPr>
            <w:noProof/>
            <w:webHidden/>
          </w:rPr>
          <w:fldChar w:fldCharType="separate"/>
        </w:r>
        <w:r w:rsidR="00163B51">
          <w:rPr>
            <w:noProof/>
            <w:webHidden/>
          </w:rPr>
          <w:t>132</w:t>
        </w:r>
        <w:r w:rsidR="00163B51">
          <w:rPr>
            <w:noProof/>
            <w:webHidden/>
          </w:rPr>
          <w:fldChar w:fldCharType="end"/>
        </w:r>
      </w:hyperlink>
    </w:p>
    <w:p w14:paraId="68A74CCA" w14:textId="21F5B1D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5" w:history="1">
        <w:r w:rsidR="00163B51" w:rsidRPr="00DA4747">
          <w:rPr>
            <w:rStyle w:val="Hypertextovodkaz"/>
            <w:noProof/>
          </w:rPr>
          <w:t>Tabulka 65: KS – vyřizování ins. věcí na skutečný úvazek dle soudů, 2024</w:t>
        </w:r>
        <w:r w:rsidR="00163B51">
          <w:rPr>
            <w:noProof/>
            <w:webHidden/>
          </w:rPr>
          <w:tab/>
        </w:r>
        <w:r w:rsidR="00163B51">
          <w:rPr>
            <w:noProof/>
            <w:webHidden/>
          </w:rPr>
          <w:fldChar w:fldCharType="begin"/>
        </w:r>
        <w:r w:rsidR="00163B51">
          <w:rPr>
            <w:noProof/>
            <w:webHidden/>
          </w:rPr>
          <w:instrText xml:space="preserve"> PAGEREF _Toc203033185 \h </w:instrText>
        </w:r>
        <w:r w:rsidR="00163B51">
          <w:rPr>
            <w:noProof/>
            <w:webHidden/>
          </w:rPr>
        </w:r>
        <w:r w:rsidR="00163B51">
          <w:rPr>
            <w:noProof/>
            <w:webHidden/>
          </w:rPr>
          <w:fldChar w:fldCharType="separate"/>
        </w:r>
        <w:r w:rsidR="00163B51">
          <w:rPr>
            <w:noProof/>
            <w:webHidden/>
          </w:rPr>
          <w:t>133</w:t>
        </w:r>
        <w:r w:rsidR="00163B51">
          <w:rPr>
            <w:noProof/>
            <w:webHidden/>
          </w:rPr>
          <w:fldChar w:fldCharType="end"/>
        </w:r>
      </w:hyperlink>
    </w:p>
    <w:p w14:paraId="7539C286" w14:textId="7A8B4D7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6" w:history="1">
        <w:r w:rsidR="00163B51" w:rsidRPr="00DA4747">
          <w:rPr>
            <w:rStyle w:val="Hypertextovodkaz"/>
            <w:noProof/>
          </w:rPr>
          <w:t>Tabulka 66: KS – podíl jednotlivých způsobů řešení úpadku v %, 2024</w:t>
        </w:r>
        <w:r w:rsidR="00163B51">
          <w:rPr>
            <w:noProof/>
            <w:webHidden/>
          </w:rPr>
          <w:tab/>
        </w:r>
        <w:r w:rsidR="00163B51">
          <w:rPr>
            <w:noProof/>
            <w:webHidden/>
          </w:rPr>
          <w:fldChar w:fldCharType="begin"/>
        </w:r>
        <w:r w:rsidR="00163B51">
          <w:rPr>
            <w:noProof/>
            <w:webHidden/>
          </w:rPr>
          <w:instrText xml:space="preserve"> PAGEREF _Toc203033186 \h </w:instrText>
        </w:r>
        <w:r w:rsidR="00163B51">
          <w:rPr>
            <w:noProof/>
            <w:webHidden/>
          </w:rPr>
        </w:r>
        <w:r w:rsidR="00163B51">
          <w:rPr>
            <w:noProof/>
            <w:webHidden/>
          </w:rPr>
          <w:fldChar w:fldCharType="separate"/>
        </w:r>
        <w:r w:rsidR="00163B51">
          <w:rPr>
            <w:noProof/>
            <w:webHidden/>
          </w:rPr>
          <w:t>134</w:t>
        </w:r>
        <w:r w:rsidR="00163B51">
          <w:rPr>
            <w:noProof/>
            <w:webHidden/>
          </w:rPr>
          <w:fldChar w:fldCharType="end"/>
        </w:r>
      </w:hyperlink>
    </w:p>
    <w:p w14:paraId="43E88ECF" w14:textId="057BFD3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7" w:history="1">
        <w:r w:rsidR="00163B51" w:rsidRPr="00DA4747">
          <w:rPr>
            <w:rStyle w:val="Hypertextovodkaz"/>
            <w:noProof/>
          </w:rPr>
          <w:t>Tabulka 67: KS – délky incidenčních sporů dle soudů, 2024</w:t>
        </w:r>
        <w:r w:rsidR="00163B51">
          <w:rPr>
            <w:noProof/>
            <w:webHidden/>
          </w:rPr>
          <w:tab/>
        </w:r>
        <w:r w:rsidR="00163B51">
          <w:rPr>
            <w:noProof/>
            <w:webHidden/>
          </w:rPr>
          <w:fldChar w:fldCharType="begin"/>
        </w:r>
        <w:r w:rsidR="00163B51">
          <w:rPr>
            <w:noProof/>
            <w:webHidden/>
          </w:rPr>
          <w:instrText xml:space="preserve"> PAGEREF _Toc203033187 \h </w:instrText>
        </w:r>
        <w:r w:rsidR="00163B51">
          <w:rPr>
            <w:noProof/>
            <w:webHidden/>
          </w:rPr>
        </w:r>
        <w:r w:rsidR="00163B51">
          <w:rPr>
            <w:noProof/>
            <w:webHidden/>
          </w:rPr>
          <w:fldChar w:fldCharType="separate"/>
        </w:r>
        <w:r w:rsidR="00163B51">
          <w:rPr>
            <w:noProof/>
            <w:webHidden/>
          </w:rPr>
          <w:t>136</w:t>
        </w:r>
        <w:r w:rsidR="00163B51">
          <w:rPr>
            <w:noProof/>
            <w:webHidden/>
          </w:rPr>
          <w:fldChar w:fldCharType="end"/>
        </w:r>
      </w:hyperlink>
    </w:p>
    <w:p w14:paraId="4BBB660D" w14:textId="30E2FF79"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8" w:history="1">
        <w:r w:rsidR="00163B51" w:rsidRPr="00DA4747">
          <w:rPr>
            <w:rStyle w:val="Hypertextovodkaz"/>
            <w:noProof/>
          </w:rPr>
          <w:t>Tabulka 68: KS – vyřizování incidenčních sporů dle soudů</w:t>
        </w:r>
        <w:r w:rsidR="00163B51">
          <w:rPr>
            <w:noProof/>
            <w:webHidden/>
          </w:rPr>
          <w:tab/>
        </w:r>
        <w:r w:rsidR="00163B51">
          <w:rPr>
            <w:noProof/>
            <w:webHidden/>
          </w:rPr>
          <w:fldChar w:fldCharType="begin"/>
        </w:r>
        <w:r w:rsidR="00163B51">
          <w:rPr>
            <w:noProof/>
            <w:webHidden/>
          </w:rPr>
          <w:instrText xml:space="preserve"> PAGEREF _Toc203033188 \h </w:instrText>
        </w:r>
        <w:r w:rsidR="00163B51">
          <w:rPr>
            <w:noProof/>
            <w:webHidden/>
          </w:rPr>
        </w:r>
        <w:r w:rsidR="00163B51">
          <w:rPr>
            <w:noProof/>
            <w:webHidden/>
          </w:rPr>
          <w:fldChar w:fldCharType="separate"/>
        </w:r>
        <w:r w:rsidR="00163B51">
          <w:rPr>
            <w:noProof/>
            <w:webHidden/>
          </w:rPr>
          <w:t>138</w:t>
        </w:r>
        <w:r w:rsidR="00163B51">
          <w:rPr>
            <w:noProof/>
            <w:webHidden/>
          </w:rPr>
          <w:fldChar w:fldCharType="end"/>
        </w:r>
      </w:hyperlink>
    </w:p>
    <w:p w14:paraId="6F46EC2B" w14:textId="5AB312F6"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9" w:history="1">
        <w:r w:rsidR="00163B51" w:rsidRPr="00DA4747">
          <w:rPr>
            <w:rStyle w:val="Hypertextovodkaz"/>
            <w:noProof/>
          </w:rPr>
          <w:t>Tabulka 69: KS – vyřizování incidenčních sporů na skutečný úvazek dle soudů</w:t>
        </w:r>
        <w:r w:rsidR="00163B51">
          <w:rPr>
            <w:noProof/>
            <w:webHidden/>
          </w:rPr>
          <w:tab/>
        </w:r>
        <w:r w:rsidR="00163B51">
          <w:rPr>
            <w:noProof/>
            <w:webHidden/>
          </w:rPr>
          <w:fldChar w:fldCharType="begin"/>
        </w:r>
        <w:r w:rsidR="00163B51">
          <w:rPr>
            <w:noProof/>
            <w:webHidden/>
          </w:rPr>
          <w:instrText xml:space="preserve"> PAGEREF _Toc203033189 \h </w:instrText>
        </w:r>
        <w:r w:rsidR="00163B51">
          <w:rPr>
            <w:noProof/>
            <w:webHidden/>
          </w:rPr>
        </w:r>
        <w:r w:rsidR="00163B51">
          <w:rPr>
            <w:noProof/>
            <w:webHidden/>
          </w:rPr>
          <w:fldChar w:fldCharType="separate"/>
        </w:r>
        <w:r w:rsidR="00163B51">
          <w:rPr>
            <w:noProof/>
            <w:webHidden/>
          </w:rPr>
          <w:t>139</w:t>
        </w:r>
        <w:r w:rsidR="00163B51">
          <w:rPr>
            <w:noProof/>
            <w:webHidden/>
          </w:rPr>
          <w:fldChar w:fldCharType="end"/>
        </w:r>
      </w:hyperlink>
    </w:p>
    <w:p w14:paraId="0EDF1999" w14:textId="4A67BA11"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0" w:history="1">
        <w:r w:rsidR="00163B51" w:rsidRPr="00DA4747">
          <w:rPr>
            <w:rStyle w:val="Hypertextovodkaz"/>
            <w:noProof/>
          </w:rPr>
          <w:t>Tabulka 70: KS – DT incidenčních sporů dle soudů</w:t>
        </w:r>
        <w:r w:rsidR="00163B51">
          <w:rPr>
            <w:noProof/>
            <w:webHidden/>
          </w:rPr>
          <w:tab/>
        </w:r>
        <w:r w:rsidR="00163B51">
          <w:rPr>
            <w:noProof/>
            <w:webHidden/>
          </w:rPr>
          <w:fldChar w:fldCharType="begin"/>
        </w:r>
        <w:r w:rsidR="00163B51">
          <w:rPr>
            <w:noProof/>
            <w:webHidden/>
          </w:rPr>
          <w:instrText xml:space="preserve"> PAGEREF _Toc203033190 \h </w:instrText>
        </w:r>
        <w:r w:rsidR="00163B51">
          <w:rPr>
            <w:noProof/>
            <w:webHidden/>
          </w:rPr>
        </w:r>
        <w:r w:rsidR="00163B51">
          <w:rPr>
            <w:noProof/>
            <w:webHidden/>
          </w:rPr>
          <w:fldChar w:fldCharType="separate"/>
        </w:r>
        <w:r w:rsidR="00163B51">
          <w:rPr>
            <w:noProof/>
            <w:webHidden/>
          </w:rPr>
          <w:t>140</w:t>
        </w:r>
        <w:r w:rsidR="00163B51">
          <w:rPr>
            <w:noProof/>
            <w:webHidden/>
          </w:rPr>
          <w:fldChar w:fldCharType="end"/>
        </w:r>
      </w:hyperlink>
    </w:p>
    <w:p w14:paraId="1FE5AC52" w14:textId="02D25ED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1" w:history="1">
        <w:r w:rsidR="00163B51" w:rsidRPr="00DA4747">
          <w:rPr>
            <w:rStyle w:val="Hypertextovodkaz"/>
            <w:noProof/>
          </w:rPr>
          <w:t>Tabulka 71: VS – počet zaměstnanců ve výkonu dle soudů</w:t>
        </w:r>
        <w:r w:rsidR="00163B51">
          <w:rPr>
            <w:noProof/>
            <w:webHidden/>
          </w:rPr>
          <w:tab/>
        </w:r>
        <w:r w:rsidR="00163B51">
          <w:rPr>
            <w:noProof/>
            <w:webHidden/>
          </w:rPr>
          <w:fldChar w:fldCharType="begin"/>
        </w:r>
        <w:r w:rsidR="00163B51">
          <w:rPr>
            <w:noProof/>
            <w:webHidden/>
          </w:rPr>
          <w:instrText xml:space="preserve"> PAGEREF _Toc203033191 \h </w:instrText>
        </w:r>
        <w:r w:rsidR="00163B51">
          <w:rPr>
            <w:noProof/>
            <w:webHidden/>
          </w:rPr>
        </w:r>
        <w:r w:rsidR="00163B51">
          <w:rPr>
            <w:noProof/>
            <w:webHidden/>
          </w:rPr>
          <w:fldChar w:fldCharType="separate"/>
        </w:r>
        <w:r w:rsidR="00163B51">
          <w:rPr>
            <w:noProof/>
            <w:webHidden/>
          </w:rPr>
          <w:t>145</w:t>
        </w:r>
        <w:r w:rsidR="00163B51">
          <w:rPr>
            <w:noProof/>
            <w:webHidden/>
          </w:rPr>
          <w:fldChar w:fldCharType="end"/>
        </w:r>
      </w:hyperlink>
    </w:p>
    <w:p w14:paraId="49107FEF" w14:textId="4F1AC25F"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2" w:history="1">
        <w:r w:rsidR="00163B51" w:rsidRPr="00DA4747">
          <w:rPr>
            <w:rStyle w:val="Hypertextovodkaz"/>
            <w:noProof/>
          </w:rPr>
          <w:t>Tabulka 72: VS – vyřizování odvolacích civilních věcí na evidenčního soudce</w:t>
        </w:r>
        <w:r w:rsidR="00163B51">
          <w:rPr>
            <w:noProof/>
            <w:webHidden/>
          </w:rPr>
          <w:tab/>
        </w:r>
        <w:r w:rsidR="00163B51">
          <w:rPr>
            <w:noProof/>
            <w:webHidden/>
          </w:rPr>
          <w:fldChar w:fldCharType="begin"/>
        </w:r>
        <w:r w:rsidR="00163B51">
          <w:rPr>
            <w:noProof/>
            <w:webHidden/>
          </w:rPr>
          <w:instrText xml:space="preserve"> PAGEREF _Toc203033192 \h </w:instrText>
        </w:r>
        <w:r w:rsidR="00163B51">
          <w:rPr>
            <w:noProof/>
            <w:webHidden/>
          </w:rPr>
        </w:r>
        <w:r w:rsidR="00163B51">
          <w:rPr>
            <w:noProof/>
            <w:webHidden/>
          </w:rPr>
          <w:fldChar w:fldCharType="separate"/>
        </w:r>
        <w:r w:rsidR="00163B51">
          <w:rPr>
            <w:noProof/>
            <w:webHidden/>
          </w:rPr>
          <w:t>148</w:t>
        </w:r>
        <w:r w:rsidR="00163B51">
          <w:rPr>
            <w:noProof/>
            <w:webHidden/>
          </w:rPr>
          <w:fldChar w:fldCharType="end"/>
        </w:r>
      </w:hyperlink>
    </w:p>
    <w:p w14:paraId="1908CBDE" w14:textId="65971B5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3" w:history="1">
        <w:r w:rsidR="00163B51" w:rsidRPr="00DA4747">
          <w:rPr>
            <w:rStyle w:val="Hypertextovodkaz"/>
            <w:noProof/>
          </w:rPr>
          <w:t>Tabulka 73: VS – vyřizování odvolacích trestních věcí na evidenčního soudce</w:t>
        </w:r>
        <w:r w:rsidR="00163B51">
          <w:rPr>
            <w:noProof/>
            <w:webHidden/>
          </w:rPr>
          <w:tab/>
        </w:r>
        <w:r w:rsidR="00163B51">
          <w:rPr>
            <w:noProof/>
            <w:webHidden/>
          </w:rPr>
          <w:fldChar w:fldCharType="begin"/>
        </w:r>
        <w:r w:rsidR="00163B51">
          <w:rPr>
            <w:noProof/>
            <w:webHidden/>
          </w:rPr>
          <w:instrText xml:space="preserve"> PAGEREF _Toc203033193 \h </w:instrText>
        </w:r>
        <w:r w:rsidR="00163B51">
          <w:rPr>
            <w:noProof/>
            <w:webHidden/>
          </w:rPr>
        </w:r>
        <w:r w:rsidR="00163B51">
          <w:rPr>
            <w:noProof/>
            <w:webHidden/>
          </w:rPr>
          <w:fldChar w:fldCharType="separate"/>
        </w:r>
        <w:r w:rsidR="00163B51">
          <w:rPr>
            <w:noProof/>
            <w:webHidden/>
          </w:rPr>
          <w:t>152</w:t>
        </w:r>
        <w:r w:rsidR="00163B51">
          <w:rPr>
            <w:noProof/>
            <w:webHidden/>
          </w:rPr>
          <w:fldChar w:fldCharType="end"/>
        </w:r>
      </w:hyperlink>
    </w:p>
    <w:p w14:paraId="0181C78A" w14:textId="6A30AA3C"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4" w:history="1">
        <w:r w:rsidR="00163B51" w:rsidRPr="00DA4747">
          <w:rPr>
            <w:rStyle w:val="Hypertextovodkaz"/>
            <w:noProof/>
          </w:rPr>
          <w:t>Tabulka 74: NS – počet zaměstnanců ve výkonu</w:t>
        </w:r>
        <w:r w:rsidR="00163B51">
          <w:rPr>
            <w:noProof/>
            <w:webHidden/>
          </w:rPr>
          <w:tab/>
        </w:r>
        <w:r w:rsidR="00163B51">
          <w:rPr>
            <w:noProof/>
            <w:webHidden/>
          </w:rPr>
          <w:fldChar w:fldCharType="begin"/>
        </w:r>
        <w:r w:rsidR="00163B51">
          <w:rPr>
            <w:noProof/>
            <w:webHidden/>
          </w:rPr>
          <w:instrText xml:space="preserve"> PAGEREF _Toc203033194 \h </w:instrText>
        </w:r>
        <w:r w:rsidR="00163B51">
          <w:rPr>
            <w:noProof/>
            <w:webHidden/>
          </w:rPr>
        </w:r>
        <w:r w:rsidR="00163B51">
          <w:rPr>
            <w:noProof/>
            <w:webHidden/>
          </w:rPr>
          <w:fldChar w:fldCharType="separate"/>
        </w:r>
        <w:r w:rsidR="00163B51">
          <w:rPr>
            <w:noProof/>
            <w:webHidden/>
          </w:rPr>
          <w:t>162</w:t>
        </w:r>
        <w:r w:rsidR="00163B51">
          <w:rPr>
            <w:noProof/>
            <w:webHidden/>
          </w:rPr>
          <w:fldChar w:fldCharType="end"/>
        </w:r>
      </w:hyperlink>
    </w:p>
    <w:p w14:paraId="6AD09BF9" w14:textId="3BF37EF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5" w:history="1">
        <w:r w:rsidR="00163B51" w:rsidRPr="00DA4747">
          <w:rPr>
            <w:rStyle w:val="Hypertextovodkaz"/>
            <w:noProof/>
          </w:rPr>
          <w:t>Tabulka 75: NSS – počet zaměstnanců ve výkonu</w:t>
        </w:r>
        <w:r w:rsidR="00163B51">
          <w:rPr>
            <w:noProof/>
            <w:webHidden/>
          </w:rPr>
          <w:tab/>
        </w:r>
        <w:r w:rsidR="00163B51">
          <w:rPr>
            <w:noProof/>
            <w:webHidden/>
          </w:rPr>
          <w:fldChar w:fldCharType="begin"/>
        </w:r>
        <w:r w:rsidR="00163B51">
          <w:rPr>
            <w:noProof/>
            <w:webHidden/>
          </w:rPr>
          <w:instrText xml:space="preserve"> PAGEREF _Toc203033195 \h </w:instrText>
        </w:r>
        <w:r w:rsidR="00163B51">
          <w:rPr>
            <w:noProof/>
            <w:webHidden/>
          </w:rPr>
        </w:r>
        <w:r w:rsidR="00163B51">
          <w:rPr>
            <w:noProof/>
            <w:webHidden/>
          </w:rPr>
          <w:fldChar w:fldCharType="separate"/>
        </w:r>
        <w:r w:rsidR="00163B51">
          <w:rPr>
            <w:noProof/>
            <w:webHidden/>
          </w:rPr>
          <w:t>170</w:t>
        </w:r>
        <w:r w:rsidR="00163B51">
          <w:rPr>
            <w:noProof/>
            <w:webHidden/>
          </w:rPr>
          <w:fldChar w:fldCharType="end"/>
        </w:r>
      </w:hyperlink>
    </w:p>
    <w:p w14:paraId="5FFC8B0E" w14:textId="636849C2"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6" w:history="1">
        <w:r w:rsidR="00163B51" w:rsidRPr="00DA4747">
          <w:rPr>
            <w:rStyle w:val="Hypertextovodkaz"/>
            <w:noProof/>
          </w:rPr>
          <w:t>Tabulka 76: NSS – vyřizování věcí kárné odpovědnosti soudců dle výsledku</w:t>
        </w:r>
        <w:r w:rsidR="00163B51">
          <w:rPr>
            <w:noProof/>
            <w:webHidden/>
          </w:rPr>
          <w:tab/>
        </w:r>
        <w:r w:rsidR="00163B51">
          <w:rPr>
            <w:noProof/>
            <w:webHidden/>
          </w:rPr>
          <w:fldChar w:fldCharType="begin"/>
        </w:r>
        <w:r w:rsidR="00163B51">
          <w:rPr>
            <w:noProof/>
            <w:webHidden/>
          </w:rPr>
          <w:instrText xml:space="preserve"> PAGEREF _Toc203033196 \h </w:instrText>
        </w:r>
        <w:r w:rsidR="00163B51">
          <w:rPr>
            <w:noProof/>
            <w:webHidden/>
          </w:rPr>
        </w:r>
        <w:r w:rsidR="00163B51">
          <w:rPr>
            <w:noProof/>
            <w:webHidden/>
          </w:rPr>
          <w:fldChar w:fldCharType="separate"/>
        </w:r>
        <w:r w:rsidR="00163B51">
          <w:rPr>
            <w:noProof/>
            <w:webHidden/>
          </w:rPr>
          <w:t>172</w:t>
        </w:r>
        <w:r w:rsidR="00163B51">
          <w:rPr>
            <w:noProof/>
            <w:webHidden/>
          </w:rPr>
          <w:fldChar w:fldCharType="end"/>
        </w:r>
      </w:hyperlink>
    </w:p>
    <w:p w14:paraId="766F772B" w14:textId="628A9024"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7" w:history="1">
        <w:r w:rsidR="00163B51" w:rsidRPr="00DA4747">
          <w:rPr>
            <w:rStyle w:val="Hypertextovodkaz"/>
            <w:noProof/>
          </w:rPr>
          <w:t>Tabulka 77: Index ročních platů soudců k roční průměrné hrubé mzdě v daném státě EU27, 2022 vs. 2020</w:t>
        </w:r>
        <w:r w:rsidR="00163B51">
          <w:rPr>
            <w:noProof/>
            <w:webHidden/>
          </w:rPr>
          <w:tab/>
        </w:r>
        <w:r w:rsidR="00163B51">
          <w:rPr>
            <w:noProof/>
            <w:webHidden/>
          </w:rPr>
          <w:fldChar w:fldCharType="begin"/>
        </w:r>
        <w:r w:rsidR="00163B51">
          <w:rPr>
            <w:noProof/>
            <w:webHidden/>
          </w:rPr>
          <w:instrText xml:space="preserve"> PAGEREF _Toc203033197 \h </w:instrText>
        </w:r>
        <w:r w:rsidR="00163B51">
          <w:rPr>
            <w:noProof/>
            <w:webHidden/>
          </w:rPr>
        </w:r>
        <w:r w:rsidR="00163B51">
          <w:rPr>
            <w:noProof/>
            <w:webHidden/>
          </w:rPr>
          <w:fldChar w:fldCharType="separate"/>
        </w:r>
        <w:r w:rsidR="00163B51">
          <w:rPr>
            <w:noProof/>
            <w:webHidden/>
          </w:rPr>
          <w:t>179</w:t>
        </w:r>
        <w:r w:rsidR="00163B51">
          <w:rPr>
            <w:noProof/>
            <w:webHidden/>
          </w:rPr>
          <w:fldChar w:fldCharType="end"/>
        </w:r>
      </w:hyperlink>
    </w:p>
    <w:p w14:paraId="2D3B99B8" w14:textId="337721DD" w:rsidR="00163B51" w:rsidRDefault="00360F8E">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8" w:history="1">
        <w:r w:rsidR="00163B51" w:rsidRPr="00DA4747">
          <w:rPr>
            <w:rStyle w:val="Hypertextovodkaz"/>
            <w:noProof/>
          </w:rPr>
          <w:t>Tabulka 78: Disposition time v daném státě EU27, kal. dny, 2022</w:t>
        </w:r>
        <w:r w:rsidR="00163B51">
          <w:rPr>
            <w:noProof/>
            <w:webHidden/>
          </w:rPr>
          <w:tab/>
        </w:r>
        <w:r w:rsidR="00163B51">
          <w:rPr>
            <w:noProof/>
            <w:webHidden/>
          </w:rPr>
          <w:fldChar w:fldCharType="begin"/>
        </w:r>
        <w:r w:rsidR="00163B51">
          <w:rPr>
            <w:noProof/>
            <w:webHidden/>
          </w:rPr>
          <w:instrText xml:space="preserve"> PAGEREF _Toc203033198 \h </w:instrText>
        </w:r>
        <w:r w:rsidR="00163B51">
          <w:rPr>
            <w:noProof/>
            <w:webHidden/>
          </w:rPr>
        </w:r>
        <w:r w:rsidR="00163B51">
          <w:rPr>
            <w:noProof/>
            <w:webHidden/>
          </w:rPr>
          <w:fldChar w:fldCharType="separate"/>
        </w:r>
        <w:r w:rsidR="00163B51">
          <w:rPr>
            <w:noProof/>
            <w:webHidden/>
          </w:rPr>
          <w:t>187</w:t>
        </w:r>
        <w:r w:rsidR="00163B51">
          <w:rPr>
            <w:noProof/>
            <w:webHidden/>
          </w:rPr>
          <w:fldChar w:fldCharType="end"/>
        </w:r>
      </w:hyperlink>
    </w:p>
    <w:p w14:paraId="24E31CEB" w14:textId="7D5E36C4" w:rsidR="00163B51" w:rsidRPr="00033A3F" w:rsidRDefault="008430BD" w:rsidP="00163B51">
      <w:pPr>
        <w:pStyle w:val="Seznamobrzk"/>
        <w:tabs>
          <w:tab w:val="right" w:leader="dot" w:pos="9062"/>
        </w:tabs>
        <w:rPr>
          <w:color w:val="000000" w:themeColor="text1"/>
        </w:rPr>
      </w:pPr>
      <w:r w:rsidRPr="00033A3F">
        <w:rPr>
          <w:b/>
          <w:bCs/>
          <w:noProof/>
          <w:color w:val="000000" w:themeColor="text1"/>
        </w:rPr>
        <w:fldChar w:fldCharType="end"/>
      </w:r>
    </w:p>
    <w:p w14:paraId="72A43C92" w14:textId="25480C21" w:rsidR="008430BD" w:rsidRPr="00033A3F" w:rsidRDefault="008430BD" w:rsidP="008430BD">
      <w:pPr>
        <w:spacing w:line="240" w:lineRule="auto"/>
        <w:jc w:val="left"/>
        <w:rPr>
          <w:color w:val="000000" w:themeColor="text1"/>
        </w:rPr>
      </w:pPr>
      <w:r w:rsidRPr="00033A3F">
        <w:rPr>
          <w:color w:val="000000" w:themeColor="text1"/>
        </w:rPr>
        <w:br w:type="page"/>
      </w:r>
    </w:p>
    <w:p w14:paraId="21B4A6A6" w14:textId="77777777" w:rsidR="008430BD" w:rsidRPr="00033A3F" w:rsidRDefault="008430BD" w:rsidP="008430BD">
      <w:pPr>
        <w:pStyle w:val="Nadpis1"/>
        <w:rPr>
          <w:color w:val="000000" w:themeColor="text1"/>
        </w:rPr>
      </w:pPr>
      <w:bookmarkStart w:id="2700" w:name="_Toc487791316"/>
      <w:bookmarkStart w:id="2701" w:name="_Toc106092834"/>
      <w:bookmarkStart w:id="2702" w:name="_Toc169250913"/>
      <w:bookmarkStart w:id="2703" w:name="_Toc193531074"/>
      <w:bookmarkStart w:id="2704" w:name="_Toc193957132"/>
      <w:bookmarkStart w:id="2705" w:name="_Toc203032821"/>
      <w:r w:rsidRPr="00033A3F">
        <w:rPr>
          <w:color w:val="000000" w:themeColor="text1"/>
        </w:rPr>
        <w:lastRenderedPageBreak/>
        <w:t>Přílohy</w:t>
      </w:r>
      <w:bookmarkEnd w:id="2700"/>
      <w:bookmarkEnd w:id="2701"/>
      <w:bookmarkEnd w:id="2702"/>
      <w:bookmarkEnd w:id="2703"/>
      <w:bookmarkEnd w:id="2704"/>
      <w:bookmarkEnd w:id="2705"/>
    </w:p>
    <w:p w14:paraId="2A6A00A7" w14:textId="375239DF" w:rsidR="008430BD" w:rsidRPr="00033A3F" w:rsidRDefault="008430BD" w:rsidP="008430BD">
      <w:pPr>
        <w:pStyle w:val="Nadpis2"/>
      </w:pPr>
      <w:bookmarkStart w:id="2706" w:name="_Ref482901945"/>
      <w:bookmarkStart w:id="2707" w:name="_Toc487791317"/>
      <w:bookmarkStart w:id="2708" w:name="_Toc106092835"/>
      <w:bookmarkStart w:id="2709" w:name="_Toc169250914"/>
      <w:bookmarkStart w:id="2710" w:name="_Toc193531075"/>
      <w:bookmarkStart w:id="2711" w:name="_Toc193957133"/>
      <w:bookmarkStart w:id="2712" w:name="_Toc203032822"/>
      <w:r w:rsidRPr="00033A3F">
        <w:t>Příloha</w:t>
      </w:r>
      <w:r w:rsidR="000C3B1E" w:rsidRPr="00033A3F">
        <w:t> </w:t>
      </w:r>
      <w:r w:rsidRPr="00033A3F">
        <w:t>A</w:t>
      </w:r>
      <w:r w:rsidR="000C3B1E" w:rsidRPr="00033A3F">
        <w:t xml:space="preserve"> </w:t>
      </w:r>
      <w:r w:rsidRPr="00033A3F">
        <w:t>– seznam použitých pojmů</w:t>
      </w:r>
      <w:bookmarkEnd w:id="2706"/>
      <w:bookmarkEnd w:id="2707"/>
      <w:bookmarkEnd w:id="2708"/>
      <w:bookmarkEnd w:id="2709"/>
      <w:bookmarkEnd w:id="2710"/>
      <w:bookmarkEnd w:id="2711"/>
      <w:bookmarkEnd w:id="2712"/>
    </w:p>
    <w:p w14:paraId="3FA7D20C" w14:textId="77777777" w:rsidR="008430BD" w:rsidRPr="00033A3F" w:rsidRDefault="008430BD" w:rsidP="008430BD">
      <w:pPr>
        <w:pStyle w:val="Nadpis3"/>
        <w:ind w:left="0" w:firstLine="0"/>
        <w:rPr>
          <w:color w:val="000000" w:themeColor="text1"/>
        </w:rPr>
      </w:pPr>
      <w:bookmarkStart w:id="2713" w:name="_Toc487791318"/>
      <w:bookmarkStart w:id="2714" w:name="_Toc106092836"/>
      <w:bookmarkStart w:id="2715" w:name="_Toc169250915"/>
      <w:bookmarkStart w:id="2716" w:name="_Toc193531076"/>
      <w:bookmarkStart w:id="2717" w:name="_Toc193957134"/>
      <w:bookmarkStart w:id="2718" w:name="_Toc203032823"/>
      <w:r w:rsidRPr="00033A3F">
        <w:rPr>
          <w:color w:val="000000" w:themeColor="text1"/>
        </w:rPr>
        <w:t>Statistické pojmy a použité statistické ukazatele</w:t>
      </w:r>
      <w:bookmarkEnd w:id="2713"/>
      <w:bookmarkEnd w:id="2714"/>
      <w:bookmarkEnd w:id="2715"/>
      <w:bookmarkEnd w:id="2716"/>
      <w:bookmarkEnd w:id="2717"/>
      <w:bookmarkEnd w:id="2718"/>
    </w:p>
    <w:p w14:paraId="2431E5DC"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Časová řada </w:t>
      </w:r>
      <w:r w:rsidRPr="00033A3F">
        <w:rPr>
          <w:color w:val="000000" w:themeColor="text1"/>
        </w:rPr>
        <w:t>– umožňuje sledovat vývoj daného ukazatele (např. průměrné délky řízení) v čase. Periodicita řad je v této zprávě roční, porovnáváme tedy mezi sebou jednotlivé roky. Řady jsou buď intervalové (např. počet vyřízených věcí za rok), nebo okamžikové (např. počet nevyřízených věcí k 31. 12. daného roku). Časové řady jsou vždy znázorněny v grafické podobě.</w:t>
      </w:r>
    </w:p>
    <w:p w14:paraId="41CB10A3" w14:textId="51EB3E39" w:rsidR="00DB2AA8" w:rsidRPr="00033A3F" w:rsidRDefault="00DB2AA8" w:rsidP="00A94F8F">
      <w:pPr>
        <w:pStyle w:val="Odstavecseseznamem"/>
        <w:numPr>
          <w:ilvl w:val="0"/>
          <w:numId w:val="3"/>
        </w:numPr>
        <w:rPr>
          <w:bCs/>
          <w:color w:val="000000" w:themeColor="text1"/>
        </w:rPr>
      </w:pPr>
      <w:r w:rsidRPr="00033A3F">
        <w:rPr>
          <w:b/>
          <w:color w:val="000000" w:themeColor="text1"/>
        </w:rPr>
        <w:t xml:space="preserve">Četnost </w:t>
      </w:r>
      <w:r w:rsidRPr="00033A3F">
        <w:rPr>
          <w:bCs/>
          <w:color w:val="000000" w:themeColor="text1"/>
        </w:rPr>
        <w:t xml:space="preserve">– </w:t>
      </w:r>
      <w:r w:rsidR="00A8458E" w:rsidRPr="00033A3F">
        <w:rPr>
          <w:bCs/>
          <w:color w:val="000000" w:themeColor="text1"/>
        </w:rPr>
        <w:t xml:space="preserve">neboli počet hodnot, </w:t>
      </w:r>
      <w:r w:rsidRPr="00033A3F">
        <w:rPr>
          <w:bCs/>
          <w:color w:val="000000" w:themeColor="text1"/>
        </w:rPr>
        <w:t>může být absolutní</w:t>
      </w:r>
      <w:r w:rsidR="003426BF" w:rsidRPr="00033A3F">
        <w:rPr>
          <w:bCs/>
          <w:color w:val="000000" w:themeColor="text1"/>
        </w:rPr>
        <w:t xml:space="preserve"> nebo </w:t>
      </w:r>
      <w:r w:rsidRPr="00033A3F">
        <w:rPr>
          <w:bCs/>
          <w:color w:val="000000" w:themeColor="text1"/>
        </w:rPr>
        <w:t>relativní:</w:t>
      </w:r>
    </w:p>
    <w:p w14:paraId="264A0D8A" w14:textId="22C45A5E" w:rsidR="00DB2AA8" w:rsidRPr="00033A3F" w:rsidRDefault="00DB2AA8" w:rsidP="00A94F8F">
      <w:pPr>
        <w:pStyle w:val="Odstavecseseznamem"/>
        <w:numPr>
          <w:ilvl w:val="1"/>
          <w:numId w:val="3"/>
        </w:numPr>
        <w:rPr>
          <w:bCs/>
          <w:color w:val="000000" w:themeColor="text1"/>
        </w:rPr>
      </w:pPr>
      <w:r w:rsidRPr="00033A3F">
        <w:rPr>
          <w:b/>
          <w:color w:val="000000" w:themeColor="text1"/>
        </w:rPr>
        <w:t>absolutní</w:t>
      </w:r>
      <w:r w:rsidRPr="00033A3F">
        <w:rPr>
          <w:bCs/>
          <w:color w:val="000000" w:themeColor="text1"/>
        </w:rPr>
        <w:t xml:space="preserve">: vyjadřuje, kolikrát se daná hodnota </w:t>
      </w:r>
      <w:r w:rsidR="00755920" w:rsidRPr="00033A3F">
        <w:rPr>
          <w:bCs/>
          <w:color w:val="000000" w:themeColor="text1"/>
        </w:rPr>
        <w:t>v </w:t>
      </w:r>
      <w:r w:rsidRPr="00033A3F">
        <w:rPr>
          <w:bCs/>
          <w:color w:val="000000" w:themeColor="text1"/>
        </w:rPr>
        <w:t xml:space="preserve">souboru </w:t>
      </w:r>
      <w:r w:rsidR="000A04FF" w:rsidRPr="00033A3F">
        <w:rPr>
          <w:bCs/>
          <w:color w:val="000000" w:themeColor="text1"/>
        </w:rPr>
        <w:t xml:space="preserve">/ ukazateli </w:t>
      </w:r>
      <w:r w:rsidRPr="00033A3F">
        <w:rPr>
          <w:bCs/>
          <w:color w:val="000000" w:themeColor="text1"/>
        </w:rPr>
        <w:t>vyskytuje; jejich součet dává celkový počet hodnot v</w:t>
      </w:r>
      <w:r w:rsidR="00A8458E" w:rsidRPr="00033A3F">
        <w:rPr>
          <w:bCs/>
          <w:color w:val="000000" w:themeColor="text1"/>
        </w:rPr>
        <w:t> ukazateli</w:t>
      </w:r>
      <w:r w:rsidRPr="00033A3F">
        <w:rPr>
          <w:bCs/>
          <w:color w:val="000000" w:themeColor="text1"/>
        </w:rPr>
        <w:t>.</w:t>
      </w:r>
    </w:p>
    <w:p w14:paraId="01F63630" w14:textId="3899C021" w:rsidR="00DB2AA8" w:rsidRPr="00033A3F" w:rsidRDefault="00DB2AA8" w:rsidP="00A94F8F">
      <w:pPr>
        <w:pStyle w:val="Odstavecseseznamem"/>
        <w:numPr>
          <w:ilvl w:val="1"/>
          <w:numId w:val="3"/>
        </w:numPr>
        <w:rPr>
          <w:bCs/>
          <w:color w:val="000000" w:themeColor="text1"/>
        </w:rPr>
      </w:pPr>
      <w:r w:rsidRPr="00033A3F">
        <w:rPr>
          <w:b/>
          <w:color w:val="000000" w:themeColor="text1"/>
        </w:rPr>
        <w:t>relativní</w:t>
      </w:r>
      <w:r w:rsidRPr="00033A3F">
        <w:rPr>
          <w:bCs/>
          <w:color w:val="000000" w:themeColor="text1"/>
        </w:rPr>
        <w:t xml:space="preserve">: vyjadřuje podíl dané hodnoty na </w:t>
      </w:r>
      <w:r w:rsidR="00602009" w:rsidRPr="00033A3F">
        <w:rPr>
          <w:bCs/>
          <w:color w:val="000000" w:themeColor="text1"/>
        </w:rPr>
        <w:t>celkovém počtu hodnot v ukazateli</w:t>
      </w:r>
      <w:r w:rsidRPr="00033A3F">
        <w:rPr>
          <w:bCs/>
          <w:color w:val="000000" w:themeColor="text1"/>
        </w:rPr>
        <w:t>; po vynásobení stem se vyjádří v</w:t>
      </w:r>
      <w:r w:rsidR="00CB570A" w:rsidRPr="00033A3F">
        <w:rPr>
          <w:bCs/>
          <w:color w:val="000000" w:themeColor="text1"/>
        </w:rPr>
        <w:t> %</w:t>
      </w:r>
      <w:r w:rsidRPr="00033A3F">
        <w:rPr>
          <w:bCs/>
          <w:color w:val="000000" w:themeColor="text1"/>
        </w:rPr>
        <w:t>.</w:t>
      </w:r>
      <w:r w:rsidR="007D0235" w:rsidRPr="00033A3F">
        <w:rPr>
          <w:bCs/>
          <w:color w:val="000000" w:themeColor="text1"/>
        </w:rPr>
        <w:t xml:space="preserve"> </w:t>
      </w:r>
      <w:r w:rsidR="007D0235" w:rsidRPr="00033A3F">
        <w:rPr>
          <w:color w:val="000000" w:themeColor="text1"/>
        </w:rPr>
        <w:t>Máme-li například soubor, kde jsou hodnoty {1,1,2,2,3,3,3,4} potom relativní četnost hodnoty 3 v tomto souboru</w:t>
      </w:r>
      <w:r w:rsidR="00A8458E" w:rsidRPr="00033A3F">
        <w:rPr>
          <w:color w:val="000000" w:themeColor="text1"/>
        </w:rPr>
        <w:t xml:space="preserve"> je</w:t>
      </w:r>
      <w:r w:rsidR="007D0235" w:rsidRPr="00033A3F">
        <w:rPr>
          <w:color w:val="000000" w:themeColor="text1"/>
        </w:rPr>
        <w:t xml:space="preserve"> 3 : 8 </w:t>
      </w:r>
      <w:r w:rsidR="00755920" w:rsidRPr="00033A3F">
        <w:rPr>
          <w:color w:val="000000" w:themeColor="text1"/>
        </w:rPr>
        <w:t xml:space="preserve">× </w:t>
      </w:r>
      <w:r w:rsidR="007D0235" w:rsidRPr="00033A3F">
        <w:rPr>
          <w:color w:val="000000" w:themeColor="text1"/>
        </w:rPr>
        <w:t>100 = 37,5</w:t>
      </w:r>
      <w:r w:rsidR="00CB570A" w:rsidRPr="00033A3F">
        <w:rPr>
          <w:color w:val="000000" w:themeColor="text1"/>
        </w:rPr>
        <w:t> %</w:t>
      </w:r>
      <w:r w:rsidR="00A05289" w:rsidRPr="00033A3F">
        <w:rPr>
          <w:color w:val="000000" w:themeColor="text1"/>
        </w:rPr>
        <w:t xml:space="preserve"> </w:t>
      </w:r>
      <w:r w:rsidR="00CF32FA" w:rsidRPr="00033A3F">
        <w:rPr>
          <w:color w:val="000000" w:themeColor="text1"/>
        </w:rPr>
        <w:t>–</w:t>
      </w:r>
      <w:r w:rsidR="00A05289" w:rsidRPr="00033A3F">
        <w:rPr>
          <w:color w:val="000000" w:themeColor="text1"/>
        </w:rPr>
        <w:t xml:space="preserve"> tuto četnost hojně využíváme v grafech distribuce délek řízení</w:t>
      </w:r>
      <w:r w:rsidR="000777CE" w:rsidRPr="00033A3F">
        <w:rPr>
          <w:color w:val="000000" w:themeColor="text1"/>
        </w:rPr>
        <w:t>.</w:t>
      </w:r>
      <w:r w:rsidR="001764B8" w:rsidRPr="00033A3F">
        <w:rPr>
          <w:color w:val="000000" w:themeColor="text1"/>
        </w:rPr>
        <w:t xml:space="preserve"> Součet relativních četností v daném ukazateli musí logicky činit 100%.</w:t>
      </w:r>
    </w:p>
    <w:p w14:paraId="294BF80C" w14:textId="315D37D6" w:rsidR="008430BD" w:rsidRPr="00033A3F" w:rsidRDefault="008430BD" w:rsidP="00A94F8F">
      <w:pPr>
        <w:pStyle w:val="Odstavecseseznamem"/>
        <w:numPr>
          <w:ilvl w:val="0"/>
          <w:numId w:val="3"/>
        </w:numPr>
        <w:rPr>
          <w:b/>
          <w:color w:val="000000" w:themeColor="text1"/>
        </w:rPr>
      </w:pPr>
      <w:r w:rsidRPr="00033A3F">
        <w:rPr>
          <w:b/>
          <w:color w:val="000000" w:themeColor="text1"/>
        </w:rPr>
        <w:t xml:space="preserve">Délka řízení </w:t>
      </w:r>
      <w:r w:rsidRPr="00033A3F">
        <w:rPr>
          <w:color w:val="000000" w:themeColor="text1"/>
        </w:rPr>
        <w:t xml:space="preserve">– v textu je pojem často používán v množném čísle „délky řízení“. Tím jsou obvykle myšleny sledované ukazatele (průměrná délka řízení, mediánová délka řízení a devadesátý percentil). U každé podkapitoly je uvedeno, o jakou délku řízení se jedná (ode dne nápadu do dne vyřízení soudem </w:t>
      </w:r>
      <w:r w:rsidR="000C3B1E" w:rsidRPr="00033A3F">
        <w:rPr>
          <w:color w:val="000000" w:themeColor="text1"/>
        </w:rPr>
        <w:t>I. stupně</w:t>
      </w:r>
      <w:r w:rsidRPr="00033A3F">
        <w:rPr>
          <w:color w:val="000000" w:themeColor="text1"/>
        </w:rPr>
        <w:t xml:space="preserve"> apod.). Délka řízení je vždy</w:t>
      </w:r>
      <w:r w:rsidRPr="00033A3F" w:rsidDel="00312547">
        <w:rPr>
          <w:color w:val="000000" w:themeColor="text1"/>
        </w:rPr>
        <w:t xml:space="preserve"> </w:t>
      </w:r>
      <w:r w:rsidRPr="00033A3F">
        <w:rPr>
          <w:color w:val="000000" w:themeColor="text1"/>
        </w:rPr>
        <w:t>udávána v kalendářních dnech. Vypočtena je ze statistických listů a je považována za jeden z ukazatelů výkonnosti a zatíženosti soudů.</w:t>
      </w:r>
    </w:p>
    <w:p w14:paraId="47F19C83" w14:textId="125A5670" w:rsidR="00F95DAE" w:rsidRPr="00033A3F" w:rsidRDefault="008430BD" w:rsidP="00A94F8F">
      <w:pPr>
        <w:pStyle w:val="Odstavecseseznamem"/>
        <w:numPr>
          <w:ilvl w:val="0"/>
          <w:numId w:val="3"/>
        </w:numPr>
        <w:rPr>
          <w:color w:val="000000" w:themeColor="text1"/>
        </w:rPr>
      </w:pPr>
      <w:r w:rsidRPr="00033A3F">
        <w:rPr>
          <w:b/>
          <w:color w:val="000000" w:themeColor="text1"/>
        </w:rPr>
        <w:t xml:space="preserve">Disposition time (DT) </w:t>
      </w:r>
      <w:r w:rsidRPr="00033A3F">
        <w:rPr>
          <w:color w:val="000000" w:themeColor="text1"/>
        </w:rPr>
        <w:t>– je vypočítán podle metodiky CEPEJ</w:t>
      </w:r>
      <w:r w:rsidRPr="00033A3F">
        <w:rPr>
          <w:rStyle w:val="Znakapoznpodarou"/>
          <w:color w:val="000000" w:themeColor="text1"/>
        </w:rPr>
        <w:footnoteReference w:id="22"/>
      </w:r>
      <w:r w:rsidRPr="00033A3F">
        <w:rPr>
          <w:color w:val="000000" w:themeColor="text1"/>
        </w:rPr>
        <w:t xml:space="preserve"> jako (počet nevyřízených věcí na konci daného období) / (počet vyřízených věcí v daném období) ×</w:t>
      </w:r>
      <w:r w:rsidR="000C3B1E" w:rsidRPr="00033A3F">
        <w:rPr>
          <w:color w:val="000000" w:themeColor="text1"/>
        </w:rPr>
        <w:t xml:space="preserve"> </w:t>
      </w:r>
      <w:r w:rsidRPr="00033A3F">
        <w:rPr>
          <w:color w:val="000000" w:themeColor="text1"/>
        </w:rPr>
        <w:t xml:space="preserve">365. Tento údaj v podstatě ukazuje, za kolik dní by při stejném tempu soud dovyřídil všechny věci, které u něj dnes </w:t>
      </w:r>
      <w:r w:rsidR="0052609E" w:rsidRPr="00033A3F">
        <w:rPr>
          <w:color w:val="000000" w:themeColor="text1"/>
        </w:rPr>
        <w:t>„</w:t>
      </w:r>
      <w:r w:rsidRPr="00033A3F">
        <w:rPr>
          <w:color w:val="000000" w:themeColor="text1"/>
        </w:rPr>
        <w:t>leží</w:t>
      </w:r>
      <w:r w:rsidR="0052609E" w:rsidRPr="00033A3F">
        <w:rPr>
          <w:color w:val="000000" w:themeColor="text1"/>
        </w:rPr>
        <w:t>“</w:t>
      </w:r>
      <w:r w:rsidRPr="00033A3F">
        <w:rPr>
          <w:color w:val="000000" w:themeColor="text1"/>
        </w:rPr>
        <w:t xml:space="preserve">, kdyby k němu již žádné další nepřicházely. Nejedná se o délku řízení, přestože by se to mohlo podle názvu nabízet. Další informace k tomuto ukazateli obsahuje podkapitola 2.2.4. DT je považován za jeden z ukazatelů výkonnosti a zatíženosti soudů. Příklad interpretace: Pokud by soud vykázal za daný rok pouze </w:t>
      </w:r>
      <w:r w:rsidR="000C3B1E" w:rsidRPr="00033A3F">
        <w:rPr>
          <w:color w:val="000000" w:themeColor="text1"/>
        </w:rPr>
        <w:t>1 </w:t>
      </w:r>
      <w:r w:rsidRPr="00033A3F">
        <w:rPr>
          <w:color w:val="000000" w:themeColor="text1"/>
        </w:rPr>
        <w:t xml:space="preserve">nevyřízenou věc </w:t>
      </w:r>
      <w:r w:rsidR="000C3B1E" w:rsidRPr="00033A3F">
        <w:rPr>
          <w:color w:val="000000" w:themeColor="text1"/>
        </w:rPr>
        <w:t>a </w:t>
      </w:r>
      <w:r w:rsidRPr="00033A3F">
        <w:rPr>
          <w:color w:val="000000" w:themeColor="text1"/>
        </w:rPr>
        <w:t>100</w:t>
      </w:r>
      <w:r w:rsidR="000C3B1E" w:rsidRPr="00033A3F">
        <w:rPr>
          <w:color w:val="000000" w:themeColor="text1"/>
        </w:rPr>
        <w:t> </w:t>
      </w:r>
      <w:r w:rsidRPr="00033A3F">
        <w:rPr>
          <w:color w:val="000000" w:themeColor="text1"/>
        </w:rPr>
        <w:t>věcí vyřízených, potom ukazatel disposition time má hodnotu 3,65</w:t>
      </w:r>
      <w:r w:rsidR="000C3B1E" w:rsidRPr="00033A3F">
        <w:rPr>
          <w:color w:val="000000" w:themeColor="text1"/>
        </w:rPr>
        <w:t> </w:t>
      </w:r>
      <w:r w:rsidRPr="00033A3F">
        <w:rPr>
          <w:color w:val="000000" w:themeColor="text1"/>
        </w:rPr>
        <w:t>dní. Pokud by soud vykázal 100</w:t>
      </w:r>
      <w:r w:rsidR="000C3B1E" w:rsidRPr="00033A3F">
        <w:rPr>
          <w:color w:val="000000" w:themeColor="text1"/>
        </w:rPr>
        <w:t> </w:t>
      </w:r>
      <w:r w:rsidRPr="00033A3F">
        <w:rPr>
          <w:color w:val="000000" w:themeColor="text1"/>
        </w:rPr>
        <w:t xml:space="preserve">nevyřízených věci </w:t>
      </w:r>
      <w:r w:rsidR="00466E7F" w:rsidRPr="00033A3F">
        <w:rPr>
          <w:color w:val="000000" w:themeColor="text1"/>
        </w:rPr>
        <w:t>věcí</w:t>
      </w:r>
      <w:r w:rsidRPr="00033A3F">
        <w:rPr>
          <w:color w:val="000000" w:themeColor="text1"/>
        </w:rPr>
        <w:t xml:space="preserve"> na 100</w:t>
      </w:r>
      <w:r w:rsidR="000C3B1E" w:rsidRPr="00033A3F">
        <w:rPr>
          <w:color w:val="000000" w:themeColor="text1"/>
        </w:rPr>
        <w:t> </w:t>
      </w:r>
      <w:r w:rsidRPr="00033A3F">
        <w:rPr>
          <w:color w:val="000000" w:themeColor="text1"/>
        </w:rPr>
        <w:t xml:space="preserve">vyřízených věcí </w:t>
      </w:r>
      <w:r w:rsidR="000C3B1E" w:rsidRPr="00033A3F">
        <w:rPr>
          <w:color w:val="000000" w:themeColor="text1"/>
        </w:rPr>
        <w:t>v </w:t>
      </w:r>
      <w:r w:rsidRPr="00033A3F">
        <w:rPr>
          <w:color w:val="000000" w:themeColor="text1"/>
        </w:rPr>
        <w:t>daném roce, potom by ukazatel disposition time měl hodnotu 365</w:t>
      </w:r>
      <w:r w:rsidR="000C3B1E" w:rsidRPr="00033A3F">
        <w:rPr>
          <w:color w:val="000000" w:themeColor="text1"/>
        </w:rPr>
        <w:t> </w:t>
      </w:r>
      <w:r w:rsidRPr="00033A3F">
        <w:rPr>
          <w:color w:val="000000" w:themeColor="text1"/>
        </w:rPr>
        <w:t>dní</w:t>
      </w:r>
      <w:r w:rsidR="00FC53D6" w:rsidRPr="00033A3F">
        <w:rPr>
          <w:color w:val="000000" w:themeColor="text1"/>
        </w:rPr>
        <w:t xml:space="preserve">. </w:t>
      </w:r>
      <w:r w:rsidR="00BA1658" w:rsidRPr="00033A3F">
        <w:rPr>
          <w:color w:val="000000" w:themeColor="text1"/>
        </w:rPr>
        <w:t>V</w:t>
      </w:r>
      <w:r w:rsidR="00F5698F" w:rsidRPr="00033A3F">
        <w:rPr>
          <w:color w:val="000000" w:themeColor="text1"/>
        </w:rPr>
        <w:t xml:space="preserve">šechny agendy </w:t>
      </w:r>
      <w:r w:rsidR="000C3B1E" w:rsidRPr="00033A3F">
        <w:rPr>
          <w:color w:val="000000" w:themeColor="text1"/>
        </w:rPr>
        <w:t>a </w:t>
      </w:r>
      <w:r w:rsidR="00F5698F" w:rsidRPr="00033A3F">
        <w:rPr>
          <w:color w:val="000000" w:themeColor="text1"/>
        </w:rPr>
        <w:t>všechny soudy s</w:t>
      </w:r>
      <w:r w:rsidR="00BA1658" w:rsidRPr="00033A3F">
        <w:rPr>
          <w:color w:val="000000" w:themeColor="text1"/>
        </w:rPr>
        <w:t> DT &gt; </w:t>
      </w:r>
      <w:r w:rsidR="00F5698F" w:rsidRPr="00033A3F">
        <w:rPr>
          <w:color w:val="000000" w:themeColor="text1"/>
        </w:rPr>
        <w:t xml:space="preserve">365 mají </w:t>
      </w:r>
      <w:r w:rsidR="00BA1658" w:rsidRPr="00033A3F">
        <w:rPr>
          <w:color w:val="000000" w:themeColor="text1"/>
        </w:rPr>
        <w:t xml:space="preserve">tedy </w:t>
      </w:r>
      <w:r w:rsidR="00F5698F" w:rsidRPr="00033A3F">
        <w:rPr>
          <w:color w:val="000000" w:themeColor="text1"/>
        </w:rPr>
        <w:t xml:space="preserve">více nevyřízených věcí než vyřízených, </w:t>
      </w:r>
      <w:r w:rsidR="000C3B1E" w:rsidRPr="00033A3F">
        <w:rPr>
          <w:color w:val="000000" w:themeColor="text1"/>
        </w:rPr>
        <w:t>a </w:t>
      </w:r>
      <w:r w:rsidR="00BA1658" w:rsidRPr="00033A3F">
        <w:rPr>
          <w:color w:val="000000" w:themeColor="text1"/>
        </w:rPr>
        <w:t xml:space="preserve">pokud </w:t>
      </w:r>
      <w:r w:rsidR="005176A0" w:rsidRPr="00033A3F">
        <w:rPr>
          <w:color w:val="000000" w:themeColor="text1"/>
        </w:rPr>
        <w:t xml:space="preserve">by </w:t>
      </w:r>
      <w:r w:rsidR="00BA1658" w:rsidRPr="00033A3F">
        <w:rPr>
          <w:color w:val="000000" w:themeColor="text1"/>
        </w:rPr>
        <w:t>nepřicházel nový nápad nebo obži</w:t>
      </w:r>
      <w:r w:rsidR="00102E29" w:rsidRPr="00033A3F">
        <w:rPr>
          <w:color w:val="000000" w:themeColor="text1"/>
        </w:rPr>
        <w:t>vlé věci</w:t>
      </w:r>
      <w:r w:rsidR="00BA1658" w:rsidRPr="00033A3F">
        <w:rPr>
          <w:color w:val="000000" w:themeColor="text1"/>
        </w:rPr>
        <w:t xml:space="preserve">, </w:t>
      </w:r>
      <w:r w:rsidR="00F5698F" w:rsidRPr="00033A3F">
        <w:rPr>
          <w:color w:val="000000" w:themeColor="text1"/>
        </w:rPr>
        <w:t>jejich vyřízení by trvalo více než jeden rok</w:t>
      </w:r>
      <w:r w:rsidR="005176A0" w:rsidRPr="00033A3F">
        <w:rPr>
          <w:color w:val="000000" w:themeColor="text1"/>
        </w:rPr>
        <w:t>.</w:t>
      </w:r>
    </w:p>
    <w:p w14:paraId="25B4889E" w14:textId="77777777" w:rsidR="008430BD" w:rsidRPr="00033A3F" w:rsidRDefault="008430BD" w:rsidP="00A94F8F">
      <w:pPr>
        <w:pStyle w:val="Odstavecseseznamem"/>
        <w:numPr>
          <w:ilvl w:val="0"/>
          <w:numId w:val="3"/>
        </w:numPr>
        <w:rPr>
          <w:b/>
          <w:color w:val="000000" w:themeColor="text1"/>
        </w:rPr>
      </w:pPr>
      <w:r w:rsidRPr="00033A3F">
        <w:rPr>
          <w:b/>
          <w:color w:val="000000" w:themeColor="text1"/>
        </w:rPr>
        <w:t xml:space="preserve">Evidenční počet soudců </w:t>
      </w:r>
      <w:r w:rsidRPr="00033A3F">
        <w:rPr>
          <w:color w:val="000000" w:themeColor="text1"/>
        </w:rPr>
        <w:t>– zahrnuje všechny soudce. Do čísla jsou tedy započteni i dlouhodobě nepřítomní soudci (např. na mateřské nebo rodičovské dovolené, dlouhodobě nemocní, na stáži). Uváděné počty jsou vždy k 1. 1. sledovaného roku.</w:t>
      </w:r>
    </w:p>
    <w:p w14:paraId="19E9D46A" w14:textId="17AAA9F5"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Histogram </w:t>
      </w:r>
      <w:r w:rsidRPr="00033A3F">
        <w:rPr>
          <w:color w:val="000000" w:themeColor="text1"/>
        </w:rPr>
        <w:t>– používá se pro znázornění rozdělení zkoumaných dat za využití sloupcového grafu. V této zprávě je na ose </w:t>
      </w:r>
      <w:r w:rsidRPr="00033A3F">
        <w:rPr>
          <w:i/>
          <w:color w:val="000000" w:themeColor="text1"/>
        </w:rPr>
        <w:t>x</w:t>
      </w:r>
      <w:r w:rsidRPr="00033A3F">
        <w:rPr>
          <w:color w:val="000000" w:themeColor="text1"/>
        </w:rPr>
        <w:t xml:space="preserve"> zkoumaný ukazatel, na ose </w:t>
      </w:r>
      <w:r w:rsidRPr="00033A3F">
        <w:rPr>
          <w:i/>
          <w:color w:val="000000" w:themeColor="text1"/>
        </w:rPr>
        <w:t>y</w:t>
      </w:r>
      <w:r w:rsidRPr="00033A3F">
        <w:rPr>
          <w:color w:val="000000" w:themeColor="text1"/>
        </w:rPr>
        <w:t xml:space="preserve"> je relativní četnost v</w:t>
      </w:r>
      <w:r w:rsidR="00CB570A" w:rsidRPr="00033A3F">
        <w:rPr>
          <w:color w:val="000000" w:themeColor="text1"/>
        </w:rPr>
        <w:t> %</w:t>
      </w:r>
      <w:r w:rsidRPr="00033A3F">
        <w:rPr>
          <w:color w:val="000000" w:themeColor="text1"/>
        </w:rPr>
        <w:t>. Výška sloupců tedy vyjadřuje relativní četnost. Jedná se o počet pozorování, která se nacházejí v daném intervalu / celkový počet pozorování v datovém souboru ×</w:t>
      </w:r>
      <w:r w:rsidR="000C3B1E" w:rsidRPr="00033A3F">
        <w:rPr>
          <w:color w:val="000000" w:themeColor="text1"/>
        </w:rPr>
        <w:t xml:space="preserve"> </w:t>
      </w:r>
      <w:r w:rsidRPr="00033A3F">
        <w:rPr>
          <w:color w:val="000000" w:themeColor="text1"/>
        </w:rPr>
        <w:t>100.</w:t>
      </w:r>
    </w:p>
    <w:p w14:paraId="3A86B722"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lastRenderedPageBreak/>
        <w:t xml:space="preserve">Kartogram </w:t>
      </w:r>
      <w:r w:rsidRPr="00033A3F">
        <w:rPr>
          <w:color w:val="000000" w:themeColor="text1"/>
        </w:rPr>
        <w:t>– v této zprávě se jedná o mapu, která znázorňuje výši zkoumaného ukazatele v soudních okresech nebo obvodech hlavního města Prahy. Tmavší odstín barvy obvykle značí vyšší hodnotu ukazatele. Například tmavší odstíny fialové barvy značí vyšší mediánovou délku řízení. U kartogramů je potřeba věnovat pozornost šíři intervalů, aby nedošlo k dezinterpretaci. Graf se vždy skládá ze dvou kartogramů – větší znázorňuje celou ČR, Praha je pak znázorněna na menším kartogramu v pravém horním rohu.</w:t>
      </w:r>
    </w:p>
    <w:p w14:paraId="5D2C57E9" w14:textId="71FF4E7C" w:rsidR="008430BD" w:rsidRPr="00033A3F" w:rsidRDefault="008430BD" w:rsidP="00A94F8F">
      <w:pPr>
        <w:pStyle w:val="Odstavecseseznamem"/>
        <w:numPr>
          <w:ilvl w:val="0"/>
          <w:numId w:val="3"/>
        </w:numPr>
        <w:rPr>
          <w:rStyle w:val="OdstavecASRChar"/>
          <w:color w:val="000000" w:themeColor="text1"/>
        </w:rPr>
      </w:pPr>
      <w:r w:rsidRPr="00033A3F">
        <w:rPr>
          <w:b/>
          <w:color w:val="000000" w:themeColor="text1"/>
        </w:rPr>
        <w:t xml:space="preserve">Krabicový graf </w:t>
      </w:r>
      <w:r w:rsidRPr="00033A3F">
        <w:rPr>
          <w:color w:val="000000" w:themeColor="text1"/>
        </w:rPr>
        <w:t xml:space="preserve">– </w:t>
      </w:r>
      <w:r w:rsidRPr="00033A3F">
        <w:rPr>
          <w:rStyle w:val="OdstavecASRChar"/>
          <w:color w:val="000000" w:themeColor="text1"/>
        </w:rPr>
        <w:t>nebo</w:t>
      </w:r>
      <w:r w:rsidR="00245596" w:rsidRPr="00033A3F">
        <w:rPr>
          <w:rStyle w:val="OdstavecASRChar"/>
          <w:color w:val="000000" w:themeColor="text1"/>
        </w:rPr>
        <w:t>li</w:t>
      </w:r>
      <w:r w:rsidRPr="00033A3F">
        <w:rPr>
          <w:rStyle w:val="OdstavecASRChar"/>
          <w:color w:val="000000" w:themeColor="text1"/>
        </w:rPr>
        <w:t xml:space="preserve"> krabicový diagram, z anglického </w:t>
      </w:r>
      <w:r w:rsidRPr="00033A3F">
        <w:rPr>
          <w:rStyle w:val="OdstavecASRChar"/>
          <w:i/>
          <w:color w:val="000000" w:themeColor="text1"/>
        </w:rPr>
        <w:t>box plot</w:t>
      </w:r>
      <w:r w:rsidRPr="00033A3F">
        <w:rPr>
          <w:rStyle w:val="OdstavecASRChar"/>
          <w:color w:val="000000" w:themeColor="text1"/>
        </w:rPr>
        <w:t xml:space="preserve">. U vybraných ukazatelů a agend je sestaven pro každý rok. Krabicové grafy jsou seřazeny za sebe do časové řady, aby bylo vidět, jak se s postupem času měnily, a jak se tedy měnila data, z nichž vychází. Na obrázku níže je zobrazen krabicový graf i s popisky jednotlivých částí. Pojmy medián a kvartil jsou vysvětleny v příslušných heslech tohoto seznamu. Přilehlé hodnoty se rovnají 1,5násobku hodnoty příslušného kvartilu. Odlehlé hodnoty (tzv. </w:t>
      </w:r>
      <w:r w:rsidRPr="00033A3F">
        <w:rPr>
          <w:rStyle w:val="OdstavecASRChar"/>
          <w:i/>
          <w:color w:val="000000" w:themeColor="text1"/>
        </w:rPr>
        <w:t>outliers</w:t>
      </w:r>
      <w:r w:rsidRPr="00033A3F">
        <w:rPr>
          <w:rStyle w:val="OdstavecASRChar"/>
          <w:color w:val="000000" w:themeColor="text1"/>
        </w:rPr>
        <w:t xml:space="preserve">) jsou pak hodnoty </w:t>
      </w:r>
      <w:r w:rsidR="00245596" w:rsidRPr="00033A3F">
        <w:rPr>
          <w:rStyle w:val="OdstavecASRChar"/>
          <w:color w:val="000000" w:themeColor="text1"/>
        </w:rPr>
        <w:t>vyšší nebo nižší</w:t>
      </w:r>
      <w:r w:rsidRPr="00033A3F">
        <w:rPr>
          <w:rStyle w:val="OdstavecASRChar"/>
          <w:color w:val="000000" w:themeColor="text1"/>
        </w:rPr>
        <w:t>, než je přilehlá hodnota.</w:t>
      </w:r>
    </w:p>
    <w:p w14:paraId="09356734" w14:textId="77777777" w:rsidR="008430BD" w:rsidRPr="00033A3F" w:rsidRDefault="008430BD" w:rsidP="008430BD">
      <w:pPr>
        <w:pStyle w:val="Odstavecseseznamem"/>
        <w:rPr>
          <w:color w:val="000000" w:themeColor="text1"/>
        </w:rPr>
      </w:pPr>
      <w:r w:rsidRPr="00033A3F">
        <w:rPr>
          <w:rStyle w:val="OdstavecASRChar"/>
          <w:noProof/>
          <w:color w:val="000000" w:themeColor="text1"/>
          <w:lang w:eastAsia="cs-CZ"/>
        </w:rPr>
        <w:drawing>
          <wp:inline distT="0" distB="0" distL="0" distR="0" wp14:anchorId="541574C8" wp14:editId="562E0362">
            <wp:extent cx="4985385" cy="4126865"/>
            <wp:effectExtent l="0" t="0" r="5715" b="6985"/>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985385" cy="4126865"/>
                    </a:xfrm>
                    <a:prstGeom prst="rect">
                      <a:avLst/>
                    </a:prstGeom>
                    <a:noFill/>
                    <a:ln>
                      <a:noFill/>
                    </a:ln>
                  </pic:spPr>
                </pic:pic>
              </a:graphicData>
            </a:graphic>
          </wp:inline>
        </w:drawing>
      </w:r>
    </w:p>
    <w:p w14:paraId="60C4FC65" w14:textId="77777777" w:rsidR="008430BD" w:rsidRPr="00033A3F" w:rsidRDefault="008430BD" w:rsidP="008430BD">
      <w:pPr>
        <w:pStyle w:val="Odstavecseseznamem"/>
        <w:rPr>
          <w:color w:val="000000" w:themeColor="text1"/>
        </w:rPr>
      </w:pPr>
      <w:r w:rsidRPr="00033A3F">
        <w:rPr>
          <w:color w:val="000000" w:themeColor="text1"/>
        </w:rPr>
        <w:t>Příklad grafu zobrazuje data, která jsou téměř dokonale symetrická, jedinou výjimku tvoří odlehlé hodnoty. Vousy i části boxu (krabice) jsou totožné nad i pod mediánem. Reálná data ale takto symetrická většinou nejsou. Části nad i pod mediánem jsou různě velké a samozřejmě se mění během času.</w:t>
      </w:r>
    </w:p>
    <w:p w14:paraId="0013ABFA" w14:textId="77777777" w:rsidR="008430BD" w:rsidRPr="00033A3F" w:rsidRDefault="008430BD" w:rsidP="008430BD">
      <w:pPr>
        <w:pStyle w:val="Odstavecseseznamem"/>
        <w:rPr>
          <w:color w:val="000000" w:themeColor="text1"/>
        </w:rPr>
      </w:pPr>
      <w:r w:rsidRPr="00033A3F">
        <w:rPr>
          <w:color w:val="000000" w:themeColor="text1"/>
        </w:rPr>
        <w:t>Větší box, delší vousy nebo více odlehlých hodnot</w:t>
      </w:r>
      <w:r w:rsidR="00BA1658" w:rsidRPr="00033A3F">
        <w:rPr>
          <w:color w:val="000000" w:themeColor="text1"/>
        </w:rPr>
        <w:t>,</w:t>
      </w:r>
      <w:r w:rsidRPr="00033A3F">
        <w:rPr>
          <w:color w:val="000000" w:themeColor="text1"/>
        </w:rPr>
        <w:t xml:space="preserve"> značí větší variabilitu v datech, a tedy i větší rozdíly mezi soudy. Vždy je však potřeba věnovat pozornost měřítku osy </w:t>
      </w:r>
      <w:r w:rsidRPr="00033A3F">
        <w:rPr>
          <w:i/>
          <w:color w:val="000000" w:themeColor="text1"/>
        </w:rPr>
        <w:t>y</w:t>
      </w:r>
      <w:r w:rsidRPr="00033A3F">
        <w:rPr>
          <w:color w:val="000000" w:themeColor="text1"/>
        </w:rPr>
        <w:t>.</w:t>
      </w:r>
    </w:p>
    <w:p w14:paraId="0DB93DE9" w14:textId="77777777" w:rsidR="008430BD" w:rsidRPr="00033A3F" w:rsidRDefault="008430BD" w:rsidP="008430BD">
      <w:pPr>
        <w:pStyle w:val="Odstavecseseznamem"/>
        <w:rPr>
          <w:color w:val="000000" w:themeColor="text1"/>
        </w:rPr>
      </w:pPr>
      <w:r w:rsidRPr="00033A3F">
        <w:rPr>
          <w:color w:val="000000" w:themeColor="text1"/>
        </w:rPr>
        <w:t>Výhodou krabicového grafu je, že poskytuje lepší a komplexnější přehled o rozdělení a míře variability v datech než pouze jeden sledovaný ukazatel, jako je například směrodatná odchylka. Přitom je ale stále vhodný pro sledování změn v čase.</w:t>
      </w:r>
    </w:p>
    <w:p w14:paraId="195163D3" w14:textId="7F598F2D" w:rsidR="008430BD" w:rsidRPr="00033A3F" w:rsidRDefault="008430BD" w:rsidP="00A94F8F">
      <w:pPr>
        <w:pStyle w:val="Odstavecseseznamem"/>
        <w:numPr>
          <w:ilvl w:val="0"/>
          <w:numId w:val="3"/>
        </w:numPr>
        <w:rPr>
          <w:color w:val="000000" w:themeColor="text1"/>
        </w:rPr>
      </w:pPr>
      <w:r w:rsidRPr="00033A3F">
        <w:rPr>
          <w:b/>
          <w:color w:val="000000" w:themeColor="text1"/>
        </w:rPr>
        <w:lastRenderedPageBreak/>
        <w:t xml:space="preserve">Kvartil </w:t>
      </w:r>
      <w:r w:rsidRPr="00033A3F">
        <w:rPr>
          <w:color w:val="000000" w:themeColor="text1"/>
        </w:rPr>
        <w:t>– tři kvartily rozdělí vzestupně setříděný soubor hodnot na čtyři stejně velké části, z nichž každá představuje právě jednu čtvrtinu. První kvartil (tzv. dolní) se rovná 25. percentilu, tedy 25</w:t>
      </w:r>
      <w:r w:rsidR="00CB570A" w:rsidRPr="00033A3F">
        <w:rPr>
          <w:color w:val="000000" w:themeColor="text1"/>
        </w:rPr>
        <w:t> %</w:t>
      </w:r>
      <w:r w:rsidRPr="00033A3F">
        <w:rPr>
          <w:color w:val="000000" w:themeColor="text1"/>
        </w:rPr>
        <w:t xml:space="preserve"> hodnot je </w:t>
      </w:r>
      <w:r w:rsidR="00245596" w:rsidRPr="00033A3F">
        <w:rPr>
          <w:color w:val="000000" w:themeColor="text1"/>
        </w:rPr>
        <w:t xml:space="preserve">nižších </w:t>
      </w:r>
      <w:r w:rsidRPr="00033A3F">
        <w:rPr>
          <w:color w:val="000000" w:themeColor="text1"/>
        </w:rPr>
        <w:t>a 75</w:t>
      </w:r>
      <w:r w:rsidR="00CB570A" w:rsidRPr="00033A3F">
        <w:rPr>
          <w:color w:val="000000" w:themeColor="text1"/>
        </w:rPr>
        <w:t> %</w:t>
      </w:r>
      <w:r w:rsidRPr="00033A3F">
        <w:rPr>
          <w:color w:val="000000" w:themeColor="text1"/>
        </w:rPr>
        <w:t xml:space="preserve"> je </w:t>
      </w:r>
      <w:r w:rsidR="00245596" w:rsidRPr="00033A3F">
        <w:rPr>
          <w:color w:val="000000" w:themeColor="text1"/>
        </w:rPr>
        <w:t>vyšších</w:t>
      </w:r>
      <w:r w:rsidRPr="00033A3F">
        <w:rPr>
          <w:color w:val="000000" w:themeColor="text1"/>
        </w:rPr>
        <w:t>, druhý kvartil (střední) je mediánem a třetí kvartil (horní) je roven 75. percentilu.</w:t>
      </w:r>
    </w:p>
    <w:p w14:paraId="626F4BB1" w14:textId="2045E6F9"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Medián </w:t>
      </w:r>
      <w:r w:rsidRPr="00033A3F">
        <w:rPr>
          <w:color w:val="000000" w:themeColor="text1"/>
        </w:rPr>
        <w:t>– hodnota, která se nachází přesně uprostřed vzestupně setříděného souboru hodnot a dělí ho na dvě stejně velké části o stejném počtu hodnot. Platí, že nejméně 50</w:t>
      </w:r>
      <w:r w:rsidR="00CB570A" w:rsidRPr="00033A3F">
        <w:rPr>
          <w:color w:val="000000" w:themeColor="text1"/>
        </w:rPr>
        <w:t> %</w:t>
      </w:r>
      <w:r w:rsidRPr="00033A3F">
        <w:rPr>
          <w:color w:val="000000" w:themeColor="text1"/>
        </w:rPr>
        <w:t xml:space="preserve"> hodnot je </w:t>
      </w:r>
      <w:r w:rsidR="007474D8" w:rsidRPr="00033A3F">
        <w:rPr>
          <w:color w:val="000000" w:themeColor="text1"/>
        </w:rPr>
        <w:t xml:space="preserve">nižších </w:t>
      </w:r>
      <w:r w:rsidRPr="00033A3F">
        <w:rPr>
          <w:color w:val="000000" w:themeColor="text1"/>
        </w:rPr>
        <w:t>nebo rovno a nejméně 50</w:t>
      </w:r>
      <w:r w:rsidR="00CB570A" w:rsidRPr="00033A3F">
        <w:rPr>
          <w:color w:val="000000" w:themeColor="text1"/>
        </w:rPr>
        <w:t> %</w:t>
      </w:r>
      <w:r w:rsidRPr="00033A3F">
        <w:rPr>
          <w:color w:val="000000" w:themeColor="text1"/>
        </w:rPr>
        <w:t xml:space="preserve"> hodnot je </w:t>
      </w:r>
      <w:r w:rsidR="00245596" w:rsidRPr="00033A3F">
        <w:rPr>
          <w:color w:val="000000" w:themeColor="text1"/>
        </w:rPr>
        <w:t xml:space="preserve">vyšších </w:t>
      </w:r>
      <w:r w:rsidRPr="00033A3F">
        <w:rPr>
          <w:color w:val="000000" w:themeColor="text1"/>
        </w:rPr>
        <w:t xml:space="preserve">nebo rovno mediánu. Medián se rovná druhému kvartilu, pátému decilu a padesátému percentilu. Má-li soud mediánovou délku řízení např. 200 dnů, řízení pro první polovinu případů (tedy věcí) trvá maximálně 200 dnů včetně, pro druhou polovinu </w:t>
      </w:r>
      <w:r w:rsidR="00560594" w:rsidRPr="00033A3F">
        <w:rPr>
          <w:color w:val="000000" w:themeColor="text1"/>
        </w:rPr>
        <w:t xml:space="preserve">pak </w:t>
      </w:r>
      <w:r w:rsidRPr="00033A3F">
        <w:rPr>
          <w:color w:val="000000" w:themeColor="text1"/>
        </w:rPr>
        <w:t>20</w:t>
      </w:r>
      <w:r w:rsidR="005176A0" w:rsidRPr="00033A3F">
        <w:rPr>
          <w:color w:val="000000" w:themeColor="text1"/>
        </w:rPr>
        <w:t>0</w:t>
      </w:r>
      <w:r w:rsidRPr="00033A3F">
        <w:rPr>
          <w:color w:val="000000" w:themeColor="text1"/>
        </w:rPr>
        <w:t xml:space="preserve"> dnů nebo více.</w:t>
      </w:r>
    </w:p>
    <w:p w14:paraId="055DBA40" w14:textId="12606177" w:rsidR="00105367" w:rsidRPr="00033A3F" w:rsidRDefault="008430BD" w:rsidP="00A94F8F">
      <w:pPr>
        <w:pStyle w:val="Odstavecseseznamem"/>
        <w:numPr>
          <w:ilvl w:val="0"/>
          <w:numId w:val="3"/>
        </w:numPr>
        <w:rPr>
          <w:color w:val="000000" w:themeColor="text1"/>
        </w:rPr>
      </w:pPr>
      <w:r w:rsidRPr="00033A3F">
        <w:rPr>
          <w:b/>
          <w:color w:val="000000" w:themeColor="text1"/>
        </w:rPr>
        <w:t xml:space="preserve">Měřítko náročnosti agendy </w:t>
      </w:r>
      <w:r w:rsidRPr="00033A3F">
        <w:rPr>
          <w:color w:val="000000" w:themeColor="text1"/>
        </w:rPr>
        <w:t>– měřítka byla pro každou soudní agendu (rejstřík) stanovena komisí složenou ze soudců a expertů. Teoreticky určuje náročnost průměrné věci v dané agendě (rejstříku). Měřítka vyjadřují počet věcí, které by měl jeden soudce nebo zaměstnanec ve výkonu vyřídit (zpracovat) za rok. Vyšší číslo tedy znamená nižší náročnost. Měřítka jsou využita při tzv. systemizaci (viz toto heslo).</w:t>
      </w:r>
    </w:p>
    <w:p w14:paraId="3DBCFF85" w14:textId="2FC0A258"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Míra celkové změny rozsudku </w:t>
      </w:r>
      <w:r w:rsidRPr="00033A3F">
        <w:rPr>
          <w:color w:val="000000" w:themeColor="text1"/>
        </w:rPr>
        <w:t xml:space="preserve">– vypočtena jako míra odvolání krát míra změny rozsudku. Jde </w:t>
      </w:r>
      <w:r w:rsidR="000C3B1E" w:rsidRPr="00033A3F">
        <w:rPr>
          <w:color w:val="000000" w:themeColor="text1"/>
        </w:rPr>
        <w:t>o </w:t>
      </w:r>
      <w:r w:rsidRPr="00033A3F">
        <w:rPr>
          <w:color w:val="000000" w:themeColor="text1"/>
        </w:rPr>
        <w:t xml:space="preserve">podíl věcí, v nichž nakonec bylo odvolacím soudem změněno rozhodnutí soudu </w:t>
      </w:r>
      <w:r w:rsidR="000C3B1E" w:rsidRPr="00033A3F">
        <w:rPr>
          <w:color w:val="000000" w:themeColor="text1"/>
        </w:rPr>
        <w:t>I. stupně</w:t>
      </w:r>
      <w:r w:rsidR="00BA1658" w:rsidRPr="00033A3F">
        <w:rPr>
          <w:color w:val="000000" w:themeColor="text1"/>
        </w:rPr>
        <w:t>,</w:t>
      </w:r>
      <w:r w:rsidRPr="00033A3F">
        <w:rPr>
          <w:color w:val="000000" w:themeColor="text1"/>
        </w:rPr>
        <w:t xml:space="preserve"> ke všem prvostupňovým rozhodnutím.</w:t>
      </w:r>
      <w:r w:rsidR="00D476E7">
        <w:rPr>
          <w:color w:val="000000" w:themeColor="text1"/>
        </w:rPr>
        <w:t xml:space="preserve"> </w:t>
      </w:r>
    </w:p>
    <w:p w14:paraId="5AE25CD6" w14:textId="77370F14" w:rsidR="00930695" w:rsidRPr="00033A3F" w:rsidRDefault="00930695" w:rsidP="00A94F8F">
      <w:pPr>
        <w:pStyle w:val="Odstavecseseznamem"/>
        <w:numPr>
          <w:ilvl w:val="0"/>
          <w:numId w:val="3"/>
        </w:numPr>
        <w:rPr>
          <w:color w:val="000000" w:themeColor="text1"/>
        </w:rPr>
      </w:pPr>
      <w:r w:rsidRPr="00033A3F">
        <w:rPr>
          <w:b/>
          <w:bCs/>
          <w:color w:val="000000" w:themeColor="text1"/>
        </w:rPr>
        <w:t>Míra odsouzení</w:t>
      </w:r>
      <w:r w:rsidRPr="00033A3F">
        <w:rPr>
          <w:color w:val="000000" w:themeColor="text1"/>
        </w:rPr>
        <w:t xml:space="preserve"> – je vypočtena ze statistických listů</w:t>
      </w:r>
      <w:r w:rsidR="00033563" w:rsidRPr="00033A3F">
        <w:rPr>
          <w:color w:val="000000" w:themeColor="text1"/>
        </w:rPr>
        <w:t>.</w:t>
      </w:r>
      <w:r w:rsidRPr="00033A3F">
        <w:rPr>
          <w:color w:val="000000" w:themeColor="text1"/>
        </w:rPr>
        <w:t xml:space="preserve"> </w:t>
      </w:r>
      <w:r w:rsidR="00033563" w:rsidRPr="00033A3F">
        <w:rPr>
          <w:color w:val="000000" w:themeColor="text1"/>
        </w:rPr>
        <w:t>J</w:t>
      </w:r>
      <w:r w:rsidRPr="00033A3F">
        <w:rPr>
          <w:color w:val="000000" w:themeColor="text1"/>
        </w:rPr>
        <w:t xml:space="preserve">edná se </w:t>
      </w:r>
      <w:r w:rsidR="000C3B1E" w:rsidRPr="00033A3F">
        <w:rPr>
          <w:color w:val="000000" w:themeColor="text1"/>
        </w:rPr>
        <w:t>o </w:t>
      </w:r>
      <w:r w:rsidRPr="00033A3F">
        <w:rPr>
          <w:color w:val="000000" w:themeColor="text1"/>
        </w:rPr>
        <w:t>podíl odsouzených na počtu obžalovaných × 100</w:t>
      </w:r>
      <w:r w:rsidR="00CB570A" w:rsidRPr="00033A3F">
        <w:rPr>
          <w:color w:val="000000" w:themeColor="text1"/>
        </w:rPr>
        <w:t> %</w:t>
      </w:r>
      <w:r w:rsidR="0056684D" w:rsidRPr="00033A3F">
        <w:rPr>
          <w:color w:val="000000" w:themeColor="text1"/>
        </w:rPr>
        <w:t xml:space="preserve"> rozhodnutých soudy v daném roce</w:t>
      </w:r>
      <w:r w:rsidRPr="00033A3F">
        <w:rPr>
          <w:color w:val="000000" w:themeColor="text1"/>
        </w:rPr>
        <w:t>. Udává tedy</w:t>
      </w:r>
      <w:r w:rsidR="00033563" w:rsidRPr="00033A3F">
        <w:rPr>
          <w:color w:val="000000" w:themeColor="text1"/>
        </w:rPr>
        <w:t>,</w:t>
      </w:r>
      <w:r w:rsidRPr="00033A3F">
        <w:rPr>
          <w:color w:val="000000" w:themeColor="text1"/>
        </w:rPr>
        <w:t xml:space="preserve"> kolik z obžalovaných osob bylo aspoň za jeden trestný </w:t>
      </w:r>
      <w:r w:rsidR="00BF4CBC" w:rsidRPr="00033A3F">
        <w:rPr>
          <w:color w:val="000000" w:themeColor="text1"/>
        </w:rPr>
        <w:t xml:space="preserve">čin </w:t>
      </w:r>
      <w:r w:rsidRPr="00033A3F">
        <w:rPr>
          <w:color w:val="000000" w:themeColor="text1"/>
        </w:rPr>
        <w:t>uznán</w:t>
      </w:r>
      <w:r w:rsidR="00E844A3" w:rsidRPr="00033A3F">
        <w:rPr>
          <w:color w:val="000000" w:themeColor="text1"/>
        </w:rPr>
        <w:t>o</w:t>
      </w:r>
      <w:r w:rsidRPr="00033A3F">
        <w:rPr>
          <w:color w:val="000000" w:themeColor="text1"/>
        </w:rPr>
        <w:t xml:space="preserve"> vinným</w:t>
      </w:r>
      <w:r w:rsidR="00033563" w:rsidRPr="00033A3F">
        <w:rPr>
          <w:color w:val="000000" w:themeColor="text1"/>
        </w:rPr>
        <w:t>i</w:t>
      </w:r>
      <w:r w:rsidRPr="00033A3F">
        <w:rPr>
          <w:color w:val="000000" w:themeColor="text1"/>
        </w:rPr>
        <w:t xml:space="preserve">. Do obžalovaných osob </w:t>
      </w:r>
      <w:r w:rsidR="00E844A3" w:rsidRPr="00033A3F">
        <w:rPr>
          <w:color w:val="000000" w:themeColor="text1"/>
        </w:rPr>
        <w:t xml:space="preserve">se </w:t>
      </w:r>
      <w:r w:rsidRPr="00033A3F">
        <w:rPr>
          <w:color w:val="000000" w:themeColor="text1"/>
        </w:rPr>
        <w:t xml:space="preserve">započítávají všechny osoby, vůči kterým státní zástupce </w:t>
      </w:r>
      <w:r w:rsidR="00BE34F3" w:rsidRPr="00033A3F">
        <w:rPr>
          <w:color w:val="000000" w:themeColor="text1"/>
        </w:rPr>
        <w:t xml:space="preserve">podal </w:t>
      </w:r>
      <w:r w:rsidR="000C3B1E" w:rsidRPr="00033A3F">
        <w:rPr>
          <w:color w:val="000000" w:themeColor="text1"/>
        </w:rPr>
        <w:t>u </w:t>
      </w:r>
      <w:r w:rsidRPr="00033A3F">
        <w:rPr>
          <w:color w:val="000000" w:themeColor="text1"/>
        </w:rPr>
        <w:t xml:space="preserve">soudu obžalobu, návrh na potrestání nebo návrh na schválení dohody o vině </w:t>
      </w:r>
      <w:r w:rsidR="000C3B1E" w:rsidRPr="00033A3F">
        <w:rPr>
          <w:color w:val="000000" w:themeColor="text1"/>
        </w:rPr>
        <w:t>a </w:t>
      </w:r>
      <w:r w:rsidRPr="00033A3F">
        <w:rPr>
          <w:color w:val="000000" w:themeColor="text1"/>
        </w:rPr>
        <w:t>trestu.</w:t>
      </w:r>
    </w:p>
    <w:p w14:paraId="16A37439" w14:textId="4180806E"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Míra odvolání </w:t>
      </w:r>
      <w:r w:rsidRPr="00033A3F">
        <w:rPr>
          <w:color w:val="000000" w:themeColor="text1"/>
        </w:rPr>
        <w:t>– je vypočtena ze statistických listů a jedná se o poměr pravomocně vyřízených věcí, v nichž bylo podáno odvolání, k celkovému počtu pravomocně skončených (vyřízených) věcí × 100</w:t>
      </w:r>
      <w:r w:rsidR="00CB570A" w:rsidRPr="00033A3F">
        <w:rPr>
          <w:color w:val="000000" w:themeColor="text1"/>
        </w:rPr>
        <w:t> %</w:t>
      </w:r>
      <w:r w:rsidRPr="00033A3F">
        <w:rPr>
          <w:color w:val="000000" w:themeColor="text1"/>
        </w:rPr>
        <w:t xml:space="preserve">. </w:t>
      </w:r>
      <w:r w:rsidRPr="00033A3F">
        <w:rPr>
          <w:bCs/>
          <w:i/>
          <w:color w:val="000000" w:themeColor="text1"/>
        </w:rPr>
        <w:t>Ceteris paribus</w:t>
      </w:r>
      <w:r w:rsidRPr="00033A3F">
        <w:rPr>
          <w:i/>
          <w:color w:val="000000" w:themeColor="text1"/>
        </w:rPr>
        <w:t xml:space="preserve"> </w:t>
      </w:r>
      <w:r w:rsidRPr="00033A3F">
        <w:rPr>
          <w:color w:val="000000" w:themeColor="text1"/>
        </w:rPr>
        <w:t>(za jinak neměnných podmínek) ji</w:t>
      </w:r>
      <w:r w:rsidRPr="00033A3F">
        <w:rPr>
          <w:i/>
          <w:color w:val="000000" w:themeColor="text1"/>
        </w:rPr>
        <w:t xml:space="preserve"> </w:t>
      </w:r>
      <w:r w:rsidRPr="00033A3F">
        <w:rPr>
          <w:color w:val="000000" w:themeColor="text1"/>
        </w:rPr>
        <w:t xml:space="preserve">lze považovat za aproximaci složitosti věcí (čím složitější věc, tím pravděpodobnější odvolání), je však třeba mít na paměti, že je ovlivněna i mnoha dalšími faktory. </w:t>
      </w:r>
      <w:r w:rsidR="00105367" w:rsidRPr="00033A3F">
        <w:rPr>
          <w:color w:val="000000" w:themeColor="text1"/>
        </w:rPr>
        <w:t>J</w:t>
      </w:r>
      <w:r w:rsidRPr="00033A3F">
        <w:rPr>
          <w:color w:val="000000" w:themeColor="text1"/>
        </w:rPr>
        <w:t xml:space="preserve">sou zahrnuty i věci, v nichž odvolací soud zrušil rozhodnutí soudu </w:t>
      </w:r>
      <w:r w:rsidR="000C3B1E" w:rsidRPr="00033A3F">
        <w:rPr>
          <w:color w:val="000000" w:themeColor="text1"/>
        </w:rPr>
        <w:t>I. stupně</w:t>
      </w:r>
      <w:r w:rsidRPr="00033A3F">
        <w:rPr>
          <w:color w:val="000000" w:themeColor="text1"/>
        </w:rPr>
        <w:t xml:space="preserve"> a věc mu vrátil </w:t>
      </w:r>
      <w:r w:rsidR="000C3B1E" w:rsidRPr="00033A3F">
        <w:rPr>
          <w:color w:val="000000" w:themeColor="text1"/>
        </w:rPr>
        <w:t>a </w:t>
      </w:r>
      <w:r w:rsidRPr="00033A3F">
        <w:rPr>
          <w:color w:val="000000" w:themeColor="text1"/>
        </w:rPr>
        <w:t>následně již odvolání podáno nebylo. Dále jsme</w:t>
      </w:r>
      <w:r w:rsidR="00D476E7">
        <w:rPr>
          <w:color w:val="000000" w:themeColor="text1"/>
        </w:rPr>
        <w:t xml:space="preserve"> díky nově přístupným datům</w:t>
      </w:r>
      <w:r w:rsidRPr="00033A3F">
        <w:rPr>
          <w:color w:val="000000" w:themeColor="text1"/>
        </w:rPr>
        <w:t xml:space="preserve"> </w:t>
      </w:r>
      <w:r w:rsidR="00D476E7">
        <w:rPr>
          <w:color w:val="000000" w:themeColor="text1"/>
        </w:rPr>
        <w:t xml:space="preserve">údaje </w:t>
      </w:r>
      <w:r w:rsidRPr="00033A3F">
        <w:rPr>
          <w:color w:val="000000" w:themeColor="text1"/>
        </w:rPr>
        <w:t xml:space="preserve">očistili o spory, kde byla výše </w:t>
      </w:r>
      <w:r w:rsidR="00D476E7">
        <w:rPr>
          <w:color w:val="000000" w:themeColor="text1"/>
        </w:rPr>
        <w:t>žalovaného</w:t>
      </w:r>
      <w:r w:rsidRPr="00033A3F">
        <w:rPr>
          <w:color w:val="000000" w:themeColor="text1"/>
        </w:rPr>
        <w:t xml:space="preserve"> nároku menší než 10 000 Kč. V těchto sporech (až na výjimky) nelze podat odvolání, a jejich zahrnutí by tak snižovalo vypočtené hodnoty míry odvolání.</w:t>
      </w:r>
    </w:p>
    <w:p w14:paraId="17AE7F8F" w14:textId="62E538D9"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Míra vyřizování </w:t>
      </w:r>
      <w:r w:rsidR="001764B8" w:rsidRPr="00033A3F">
        <w:rPr>
          <w:b/>
          <w:color w:val="000000" w:themeColor="text1"/>
        </w:rPr>
        <w:t xml:space="preserve">(tzv. Clearance rate) </w:t>
      </w:r>
      <w:r w:rsidR="001764B8" w:rsidRPr="00033A3F">
        <w:rPr>
          <w:color w:val="000000" w:themeColor="text1"/>
        </w:rPr>
        <w:t>– udává, zda soud vyřídil více věcí</w:t>
      </w:r>
      <w:r w:rsidR="005B435F" w:rsidRPr="00033A3F">
        <w:rPr>
          <w:color w:val="000000" w:themeColor="text1"/>
        </w:rPr>
        <w:t>,</w:t>
      </w:r>
      <w:r w:rsidR="001764B8" w:rsidRPr="00033A3F">
        <w:rPr>
          <w:color w:val="000000" w:themeColor="text1"/>
        </w:rPr>
        <w:t xml:space="preserve"> než mu nově přišlo (nápad + </w:t>
      </w:r>
      <w:r w:rsidR="00102E29" w:rsidRPr="00033A3F">
        <w:rPr>
          <w:color w:val="000000" w:themeColor="text1"/>
        </w:rPr>
        <w:t>obživlé věci</w:t>
      </w:r>
      <w:r w:rsidR="001764B8" w:rsidRPr="00033A3F">
        <w:rPr>
          <w:color w:val="000000" w:themeColor="text1"/>
        </w:rPr>
        <w:t xml:space="preserve">) </w:t>
      </w:r>
      <w:r w:rsidRPr="00033A3F">
        <w:rPr>
          <w:color w:val="000000" w:themeColor="text1"/>
        </w:rPr>
        <w:t>je vypočtena jako (počet vyřízených věcí v daném období) / (počet příchozích věcí v daném období) × 100</w:t>
      </w:r>
      <w:r w:rsidR="00CB570A" w:rsidRPr="00033A3F">
        <w:rPr>
          <w:color w:val="000000" w:themeColor="text1"/>
        </w:rPr>
        <w:t> %</w:t>
      </w:r>
      <w:r w:rsidRPr="00033A3F">
        <w:rPr>
          <w:color w:val="000000" w:themeColor="text1"/>
        </w:rPr>
        <w:t xml:space="preserve">. Je-li </w:t>
      </w:r>
      <w:r w:rsidR="00245596" w:rsidRPr="00033A3F">
        <w:rPr>
          <w:color w:val="000000" w:themeColor="text1"/>
        </w:rPr>
        <w:t>vyšší</w:t>
      </w:r>
      <w:r w:rsidRPr="00033A3F">
        <w:rPr>
          <w:color w:val="000000" w:themeColor="text1"/>
        </w:rPr>
        <w:t xml:space="preserve"> než 100</w:t>
      </w:r>
      <w:r w:rsidR="00CB570A" w:rsidRPr="00033A3F">
        <w:rPr>
          <w:color w:val="000000" w:themeColor="text1"/>
        </w:rPr>
        <w:t> %</w:t>
      </w:r>
      <w:r w:rsidRPr="00033A3F">
        <w:rPr>
          <w:color w:val="000000" w:themeColor="text1"/>
        </w:rPr>
        <w:t xml:space="preserve">, soud vyřídil více věcí, než mu přišlo, a snížil se tedy počet nevyřízených věcí. Je-li </w:t>
      </w:r>
      <w:r w:rsidR="007474D8" w:rsidRPr="00033A3F">
        <w:rPr>
          <w:color w:val="000000" w:themeColor="text1"/>
        </w:rPr>
        <w:t xml:space="preserve">nižší </w:t>
      </w:r>
      <w:r w:rsidRPr="00033A3F">
        <w:rPr>
          <w:color w:val="000000" w:themeColor="text1"/>
        </w:rPr>
        <w:t>než 100</w:t>
      </w:r>
      <w:r w:rsidR="00CB570A" w:rsidRPr="00033A3F">
        <w:rPr>
          <w:color w:val="000000" w:themeColor="text1"/>
        </w:rPr>
        <w:t> %</w:t>
      </w:r>
      <w:r w:rsidRPr="00033A3F">
        <w:rPr>
          <w:color w:val="000000" w:themeColor="text1"/>
        </w:rPr>
        <w:t>, soud vyřídil m</w:t>
      </w:r>
      <w:r w:rsidR="00DA1058" w:rsidRPr="00033A3F">
        <w:rPr>
          <w:color w:val="000000" w:themeColor="text1"/>
        </w:rPr>
        <w:t>é</w:t>
      </w:r>
      <w:r w:rsidRPr="00033A3F">
        <w:rPr>
          <w:color w:val="000000" w:themeColor="text1"/>
        </w:rPr>
        <w:t>ně věcí, než mu přišlo, a zvýšil se tedy počet nevyřízených věcí.</w:t>
      </w:r>
    </w:p>
    <w:p w14:paraId="1C60440E" w14:textId="6FB34515"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Míra změny rozsudku </w:t>
      </w:r>
      <w:r w:rsidRPr="00033A3F">
        <w:rPr>
          <w:color w:val="000000" w:themeColor="text1"/>
        </w:rPr>
        <w:t xml:space="preserve">– </w:t>
      </w:r>
      <w:r w:rsidR="001764B8" w:rsidRPr="00033A3F">
        <w:rPr>
          <w:color w:val="000000" w:themeColor="text1"/>
        </w:rPr>
        <w:t xml:space="preserve">udává, jak často odvolací soud změnil rozhodnutí soudu I. stupně. Je </w:t>
      </w:r>
      <w:r w:rsidRPr="00033A3F">
        <w:rPr>
          <w:color w:val="000000" w:themeColor="text1"/>
        </w:rPr>
        <w:t xml:space="preserve">vypočtena ze statistických listů a jedná se o poměr pravomocně skončených věcí, v nichž bylo vyhověno odvolání (tedy rozsudek soudu </w:t>
      </w:r>
      <w:r w:rsidR="000C3B1E" w:rsidRPr="00033A3F">
        <w:rPr>
          <w:color w:val="000000" w:themeColor="text1"/>
        </w:rPr>
        <w:t>I. stupně</w:t>
      </w:r>
      <w:r w:rsidRPr="00033A3F">
        <w:rPr>
          <w:color w:val="000000" w:themeColor="text1"/>
        </w:rPr>
        <w:t xml:space="preserve"> byl změněn odvolacím soudem na podkladě odvolání)</w:t>
      </w:r>
      <w:r w:rsidR="00431442" w:rsidRPr="00033A3F">
        <w:rPr>
          <w:color w:val="000000" w:themeColor="text1"/>
        </w:rPr>
        <w:t>,</w:t>
      </w:r>
      <w:r w:rsidRPr="00033A3F">
        <w:rPr>
          <w:color w:val="000000" w:themeColor="text1"/>
        </w:rPr>
        <w:t xml:space="preserve"> k celkovému počtu pravomocně skončených věcí, v nichž bylo podáno odvolání × 100</w:t>
      </w:r>
      <w:r w:rsidR="00CB570A" w:rsidRPr="00033A3F">
        <w:rPr>
          <w:color w:val="000000" w:themeColor="text1"/>
        </w:rPr>
        <w:t> %</w:t>
      </w:r>
      <w:r w:rsidRPr="00033A3F">
        <w:rPr>
          <w:color w:val="000000" w:themeColor="text1"/>
        </w:rPr>
        <w:t xml:space="preserve">. Do změny rozsudku jsou započítány i případy, kdy bylo rozhodnutí soudu </w:t>
      </w:r>
      <w:r w:rsidR="000C3B1E" w:rsidRPr="00033A3F">
        <w:rPr>
          <w:color w:val="000000" w:themeColor="text1"/>
        </w:rPr>
        <w:t>I. stupně</w:t>
      </w:r>
      <w:r w:rsidRPr="00033A3F">
        <w:rPr>
          <w:color w:val="000000" w:themeColor="text1"/>
        </w:rPr>
        <w:t xml:space="preserve"> u odvolacího soudu zrušeno a vráceno soudu </w:t>
      </w:r>
      <w:r w:rsidR="000C3B1E" w:rsidRPr="00033A3F">
        <w:rPr>
          <w:color w:val="000000" w:themeColor="text1"/>
        </w:rPr>
        <w:t>I. stupně</w:t>
      </w:r>
      <w:r w:rsidRPr="00033A3F">
        <w:rPr>
          <w:color w:val="000000" w:themeColor="text1"/>
        </w:rPr>
        <w:t xml:space="preserve">. </w:t>
      </w:r>
      <w:r w:rsidRPr="00033A3F">
        <w:rPr>
          <w:bCs/>
          <w:i/>
          <w:color w:val="000000" w:themeColor="text1"/>
        </w:rPr>
        <w:t xml:space="preserve">Ceteris </w:t>
      </w:r>
      <w:r w:rsidRPr="00033A3F">
        <w:rPr>
          <w:bCs/>
          <w:i/>
          <w:color w:val="000000" w:themeColor="text1"/>
        </w:rPr>
        <w:lastRenderedPageBreak/>
        <w:t>paribus</w:t>
      </w:r>
      <w:r w:rsidRPr="00033A3F">
        <w:rPr>
          <w:i/>
          <w:color w:val="000000" w:themeColor="text1"/>
        </w:rPr>
        <w:t xml:space="preserve"> </w:t>
      </w:r>
      <w:r w:rsidRPr="00033A3F">
        <w:rPr>
          <w:color w:val="000000" w:themeColor="text1"/>
        </w:rPr>
        <w:t>(za jinak neměnných podmínek) ji</w:t>
      </w:r>
      <w:r w:rsidRPr="00033A3F">
        <w:rPr>
          <w:i/>
          <w:color w:val="000000" w:themeColor="text1"/>
        </w:rPr>
        <w:t xml:space="preserve"> </w:t>
      </w:r>
      <w:r w:rsidRPr="00033A3F">
        <w:rPr>
          <w:color w:val="000000" w:themeColor="text1"/>
        </w:rPr>
        <w:t>lze považovat za aproximaci kvality rozhodování, je však třeba mít na paměti, že je ovlivněna i mnoha dalšími faktory.</w:t>
      </w:r>
    </w:p>
    <w:p w14:paraId="341F7BEB" w14:textId="703CD89B"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Nápad</w:t>
      </w:r>
      <w:r w:rsidRPr="00033A3F">
        <w:rPr>
          <w:color w:val="000000" w:themeColor="text1"/>
        </w:rPr>
        <w:t xml:space="preserve"> – nebo také napadlé věci. Počet nově zapsaných věcí do rejstříku za určité období. V této zprávě se jedná vždy o </w:t>
      </w:r>
      <w:r w:rsidR="001764B8" w:rsidRPr="00033A3F">
        <w:rPr>
          <w:color w:val="000000" w:themeColor="text1"/>
        </w:rPr>
        <w:t>data za kalendářní rok</w:t>
      </w:r>
      <w:r w:rsidRPr="00033A3F">
        <w:rPr>
          <w:color w:val="000000" w:themeColor="text1"/>
        </w:rPr>
        <w:t>, která získáváme z výkazů o činnosti soudů.</w:t>
      </w:r>
    </w:p>
    <w:p w14:paraId="36E1AE01" w14:textId="5C7E8DA5"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Nevyřízené věci </w:t>
      </w:r>
      <w:r w:rsidRPr="00033A3F">
        <w:rPr>
          <w:color w:val="000000" w:themeColor="text1"/>
        </w:rPr>
        <w:t xml:space="preserve">– počet věcí, které nebyly vyřízeny (skončeny) k poslednímu dni vykazovaného období. Na rozdíl od ukazatelů jako je nápad, </w:t>
      </w:r>
      <w:r w:rsidR="00102E29" w:rsidRPr="00033A3F">
        <w:rPr>
          <w:color w:val="000000" w:themeColor="text1"/>
        </w:rPr>
        <w:t>obživlé věci</w:t>
      </w:r>
      <w:r w:rsidRPr="00033A3F">
        <w:rPr>
          <w:color w:val="000000" w:themeColor="text1"/>
        </w:rPr>
        <w:t xml:space="preserve"> nebo vyřízené věci, které se vztahují k celému sledovanému období, se v tomto případě jedná o stav k určitému datu, v této zprávě vždy k 31. 12. daného roku. Data pocházejí z výkazů o činnosti soudů.</w:t>
      </w:r>
    </w:p>
    <w:p w14:paraId="0ADD28B8" w14:textId="7DF06645" w:rsidR="008430BD" w:rsidRPr="00033A3F" w:rsidRDefault="00102E29" w:rsidP="00A94F8F">
      <w:pPr>
        <w:pStyle w:val="Odstavecseseznamem"/>
        <w:numPr>
          <w:ilvl w:val="0"/>
          <w:numId w:val="3"/>
        </w:numPr>
        <w:ind w:left="714" w:hanging="357"/>
        <w:rPr>
          <w:color w:val="000000" w:themeColor="text1"/>
        </w:rPr>
      </w:pPr>
      <w:r w:rsidRPr="00033A3F">
        <w:rPr>
          <w:b/>
          <w:color w:val="000000" w:themeColor="text1"/>
        </w:rPr>
        <w:t>Obživlé věci</w:t>
      </w:r>
      <w:r w:rsidR="008430BD" w:rsidRPr="00033A3F">
        <w:rPr>
          <w:color w:val="000000" w:themeColor="text1"/>
        </w:rPr>
        <w:t xml:space="preserve">. Jedná se o případy, kdy byla věc sice vyřízena, ale z určitého důvodu se v řízení pokračuje (většinou v důsledku odvolacího řízení, kdy bylo rozhodnutí soudu </w:t>
      </w:r>
      <w:r w:rsidR="000C3B1E" w:rsidRPr="00033A3F">
        <w:rPr>
          <w:color w:val="000000" w:themeColor="text1"/>
        </w:rPr>
        <w:t>I. stupně</w:t>
      </w:r>
      <w:r w:rsidR="008430BD" w:rsidRPr="00033A3F">
        <w:rPr>
          <w:color w:val="000000" w:themeColor="text1"/>
        </w:rPr>
        <w:t xml:space="preserve"> zrušeno a vráceno mu k novému projednání, či po podání odporu). V této zprávě se stejně jako u nápadu jedná o počet věcí, které obživly za vykazované období, tedy za celý daný </w:t>
      </w:r>
      <w:r w:rsidR="001764B8" w:rsidRPr="00033A3F">
        <w:rPr>
          <w:color w:val="000000" w:themeColor="text1"/>
        </w:rPr>
        <w:t xml:space="preserve">kalendářní </w:t>
      </w:r>
      <w:r w:rsidR="008430BD" w:rsidRPr="00033A3F">
        <w:rPr>
          <w:color w:val="000000" w:themeColor="text1"/>
        </w:rPr>
        <w:t>rok. Data jsou rovněž získávána z výkazů o činnosti soudů.</w:t>
      </w:r>
    </w:p>
    <w:p w14:paraId="616FD1D7" w14:textId="15976514"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Percentil </w:t>
      </w:r>
      <w:r w:rsidRPr="00033A3F">
        <w:rPr>
          <w:color w:val="000000" w:themeColor="text1"/>
        </w:rPr>
        <w:t>– percentily dělí vzestupně setříděný soubor hodnot na setiny (na sto stejných částí). Devadesátý percentil znamená, že 90</w:t>
      </w:r>
      <w:r w:rsidR="00CB570A" w:rsidRPr="00033A3F">
        <w:rPr>
          <w:color w:val="000000" w:themeColor="text1"/>
        </w:rPr>
        <w:t> %</w:t>
      </w:r>
      <w:r w:rsidRPr="00033A3F">
        <w:rPr>
          <w:color w:val="000000" w:themeColor="text1"/>
        </w:rPr>
        <w:t xml:space="preserve"> hodnot je </w:t>
      </w:r>
      <w:r w:rsidR="00245596" w:rsidRPr="00033A3F">
        <w:rPr>
          <w:color w:val="000000" w:themeColor="text1"/>
        </w:rPr>
        <w:t xml:space="preserve">nižších </w:t>
      </w:r>
      <w:r w:rsidRPr="00033A3F">
        <w:rPr>
          <w:color w:val="000000" w:themeColor="text1"/>
        </w:rPr>
        <w:t>nebo rovno a 10</w:t>
      </w:r>
      <w:r w:rsidR="00CB570A" w:rsidRPr="00033A3F">
        <w:rPr>
          <w:color w:val="000000" w:themeColor="text1"/>
        </w:rPr>
        <w:t> %</w:t>
      </w:r>
      <w:r w:rsidRPr="00033A3F">
        <w:rPr>
          <w:color w:val="000000" w:themeColor="text1"/>
        </w:rPr>
        <w:t xml:space="preserve"> hodnot </w:t>
      </w:r>
      <w:r w:rsidR="00245596" w:rsidRPr="00033A3F">
        <w:rPr>
          <w:color w:val="000000" w:themeColor="text1"/>
        </w:rPr>
        <w:t xml:space="preserve">vyšších </w:t>
      </w:r>
      <w:r w:rsidRPr="00033A3F">
        <w:rPr>
          <w:color w:val="000000" w:themeColor="text1"/>
        </w:rPr>
        <w:t>nebo rovno hodnotě percentilu. Má-li tedy soud devadesátý percentil délky řízení 400 dnů, znamená to, že vyřízení 90</w:t>
      </w:r>
      <w:r w:rsidR="00CB570A" w:rsidRPr="00033A3F">
        <w:rPr>
          <w:color w:val="000000" w:themeColor="text1"/>
        </w:rPr>
        <w:t> %</w:t>
      </w:r>
      <w:r w:rsidRPr="00033A3F">
        <w:rPr>
          <w:color w:val="000000" w:themeColor="text1"/>
        </w:rPr>
        <w:t> věcí trvá maximálně 400 dnů, zbylých 10</w:t>
      </w:r>
      <w:r w:rsidR="00CB570A" w:rsidRPr="00033A3F">
        <w:rPr>
          <w:color w:val="000000" w:themeColor="text1"/>
        </w:rPr>
        <w:t> %</w:t>
      </w:r>
      <w:r w:rsidRPr="00033A3F">
        <w:rPr>
          <w:color w:val="000000" w:themeColor="text1"/>
        </w:rPr>
        <w:t> pak 400 dnů a více.</w:t>
      </w:r>
    </w:p>
    <w:p w14:paraId="19D20B63" w14:textId="7C53C214"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Plánovaný počet soudců </w:t>
      </w:r>
      <w:r w:rsidRPr="00033A3F">
        <w:rPr>
          <w:color w:val="000000" w:themeColor="text1"/>
        </w:rPr>
        <w:t>– odhad počtu soudců potřebných k vyřízení nápadu za předmětný rok. Je vypočítáván pro všechny okresní a krajské soudy</w:t>
      </w:r>
      <w:r w:rsidRPr="00033A3F">
        <w:rPr>
          <w:color w:val="000000" w:themeColor="text1"/>
          <w:lang w:eastAsia="cs-CZ"/>
        </w:rPr>
        <w:t>, zpravidla</w:t>
      </w:r>
      <w:r w:rsidRPr="00033A3F">
        <w:rPr>
          <w:color w:val="000000" w:themeColor="text1"/>
        </w:rPr>
        <w:t xml:space="preserve"> jednou ročně pro následující rok. Systemizace </w:t>
      </w:r>
      <w:r w:rsidR="005A776C" w:rsidRPr="00033A3F">
        <w:rPr>
          <w:color w:val="000000" w:themeColor="text1"/>
        </w:rPr>
        <w:t>nej</w:t>
      </w:r>
      <w:r w:rsidRPr="00033A3F">
        <w:rPr>
          <w:color w:val="000000" w:themeColor="text1"/>
          <w:lang w:eastAsia="cs-CZ"/>
        </w:rPr>
        <w:t>vyšších soudů je určena na základě dohody, nikoliv výpočtem.</w:t>
      </w:r>
    </w:p>
    <w:p w14:paraId="2A0B861F"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Plošný graf </w:t>
      </w:r>
      <w:r w:rsidRPr="00033A3F">
        <w:rPr>
          <w:color w:val="000000" w:themeColor="text1"/>
        </w:rPr>
        <w:t>– typ grafu, který velmi dobře znázorňuje velikost změn v čase a v součtu zobrazovaných hodnot</w:t>
      </w:r>
      <w:r w:rsidR="001126B0" w:rsidRPr="00033A3F">
        <w:rPr>
          <w:color w:val="000000" w:themeColor="text1"/>
        </w:rPr>
        <w:t>,</w:t>
      </w:r>
      <w:r w:rsidRPr="00033A3F">
        <w:rPr>
          <w:color w:val="000000" w:themeColor="text1"/>
        </w:rPr>
        <w:t xml:space="preserve"> vyjadřuje rovněž vztah jednotlivých částí k celku. Jedná se v podstatě o spojnicový graf, ale plochy pod čarami jsou vyplněny barvami. Plošných grafů existuje několik podtypů a v této zprávě používáme skládaný plošný graf a stoprocentní skládaný plošný graf. Osa </w:t>
      </w:r>
      <w:r w:rsidRPr="00033A3F">
        <w:rPr>
          <w:i/>
          <w:color w:val="000000" w:themeColor="text1"/>
        </w:rPr>
        <w:t>x</w:t>
      </w:r>
      <w:r w:rsidRPr="00033A3F">
        <w:rPr>
          <w:color w:val="000000" w:themeColor="text1"/>
        </w:rPr>
        <w:t xml:space="preserve"> znázorňuje čas a na svislé ose </w:t>
      </w:r>
      <w:r w:rsidRPr="00033A3F">
        <w:rPr>
          <w:i/>
          <w:color w:val="000000" w:themeColor="text1"/>
        </w:rPr>
        <w:t>y</w:t>
      </w:r>
      <w:r w:rsidRPr="00033A3F">
        <w:rPr>
          <w:color w:val="000000" w:themeColor="text1"/>
        </w:rPr>
        <w:t xml:space="preserve"> jsou hodnoty jednotlivých druhů zkoumaných ukazatelů v absolutních číslech nebo v procentním poměru.</w:t>
      </w:r>
    </w:p>
    <w:p w14:paraId="17250CBC" w14:textId="18706F1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Počet soudkyň </w:t>
      </w:r>
      <w:r w:rsidR="000C3B1E" w:rsidRPr="00033A3F">
        <w:rPr>
          <w:b/>
          <w:color w:val="000000" w:themeColor="text1"/>
        </w:rPr>
        <w:t>a </w:t>
      </w:r>
      <w:r w:rsidRPr="00033A3F">
        <w:rPr>
          <w:b/>
          <w:color w:val="000000" w:themeColor="text1"/>
        </w:rPr>
        <w:t xml:space="preserve">soudců na MD/RD </w:t>
      </w:r>
      <w:r w:rsidRPr="00033A3F">
        <w:rPr>
          <w:color w:val="000000" w:themeColor="text1"/>
        </w:rPr>
        <w:t xml:space="preserve">– počet soudkyň </w:t>
      </w:r>
      <w:r w:rsidR="000C3B1E" w:rsidRPr="00033A3F">
        <w:rPr>
          <w:color w:val="000000" w:themeColor="text1"/>
        </w:rPr>
        <w:t>a </w:t>
      </w:r>
      <w:r w:rsidRPr="00033A3F">
        <w:rPr>
          <w:color w:val="000000" w:themeColor="text1"/>
        </w:rPr>
        <w:t>soudců, kteří jsou na mateřské nebo rodičovské dovolené. Je zahrnut do evidenčního počtu soudců. Uvádíme vždy údaje k 1. 1. daného roku.</w:t>
      </w:r>
    </w:p>
    <w:p w14:paraId="036647FD" w14:textId="77777777" w:rsidR="008430BD" w:rsidRPr="00033A3F" w:rsidRDefault="008430BD" w:rsidP="00A94F8F">
      <w:pPr>
        <w:pStyle w:val="Odstavecseseznamem"/>
        <w:numPr>
          <w:ilvl w:val="0"/>
          <w:numId w:val="3"/>
        </w:numPr>
        <w:rPr>
          <w:b/>
          <w:color w:val="000000" w:themeColor="text1"/>
        </w:rPr>
      </w:pPr>
      <w:r w:rsidRPr="00033A3F">
        <w:rPr>
          <w:b/>
          <w:color w:val="000000" w:themeColor="text1"/>
        </w:rPr>
        <w:t xml:space="preserve">Průměr </w:t>
      </w:r>
      <w:r w:rsidRPr="00033A3F">
        <w:rPr>
          <w:color w:val="000000" w:themeColor="text1"/>
        </w:rPr>
        <w:t>– je míněn aritmetický průměr hodnot.</w:t>
      </w:r>
    </w:p>
    <w:p w14:paraId="05E47786" w14:textId="00B6B78E"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Přepočet na soudce </w:t>
      </w:r>
      <w:r w:rsidRPr="00033A3F">
        <w:rPr>
          <w:color w:val="000000" w:themeColor="text1"/>
        </w:rPr>
        <w:t xml:space="preserve">– počty napadlých, vyřízených a nevyřízených věcí jsou vyděleny počtem soudců. Jedná se o jeden z ukazatelů výkonnosti a zatíženosti soudů. Pro výpočet je využit počet skutečných úvazků. Tato data byla poprvé sbírána k 1. 1. 2020. Jejich velkou výhodou je fakt, že jsou přesnější. Je zde například vyčleněna opatrovnická agenda (počet není uveden dohromady s rejstříkem C) </w:t>
      </w:r>
      <w:r w:rsidR="000C3B1E" w:rsidRPr="00033A3F">
        <w:rPr>
          <w:color w:val="000000" w:themeColor="text1"/>
        </w:rPr>
        <w:t>a </w:t>
      </w:r>
      <w:r w:rsidRPr="00033A3F">
        <w:rPr>
          <w:color w:val="000000" w:themeColor="text1"/>
        </w:rPr>
        <w:t>dále jsou zohledněny i nepřítomnosti soudců, jako je dlouhodobá nemoc apod. Počty soudců jsou s přesností na desetinu soudce.</w:t>
      </w:r>
    </w:p>
    <w:p w14:paraId="28CA1584"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Příchozí věci </w:t>
      </w:r>
      <w:r w:rsidRPr="00033A3F">
        <w:rPr>
          <w:color w:val="000000" w:themeColor="text1"/>
        </w:rPr>
        <w:t>– v této zprávě znamená součet napadlých a obživlých věcí.</w:t>
      </w:r>
    </w:p>
    <w:p w14:paraId="6BA82784" w14:textId="6E1EBFD2"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Skutečný počet úvazků </w:t>
      </w:r>
      <w:r w:rsidRPr="00033A3F">
        <w:rPr>
          <w:bCs/>
          <w:color w:val="000000" w:themeColor="text1"/>
        </w:rPr>
        <w:t xml:space="preserve">– jde </w:t>
      </w:r>
      <w:r w:rsidR="000C3B1E" w:rsidRPr="00033A3F">
        <w:rPr>
          <w:bCs/>
          <w:color w:val="000000" w:themeColor="text1"/>
        </w:rPr>
        <w:t>o</w:t>
      </w:r>
      <w:r w:rsidR="000C3B1E" w:rsidRPr="00033A3F">
        <w:rPr>
          <w:color w:val="000000" w:themeColor="text1"/>
        </w:rPr>
        <w:t> </w:t>
      </w:r>
      <w:r w:rsidRPr="00033A3F">
        <w:rPr>
          <w:color w:val="000000" w:themeColor="text1"/>
        </w:rPr>
        <w:t xml:space="preserve">data, která byla získána dotazníkovým šetřením od soudů. </w:t>
      </w:r>
      <w:r w:rsidR="00033563" w:rsidRPr="00033A3F">
        <w:rPr>
          <w:color w:val="000000" w:themeColor="text1"/>
        </w:rPr>
        <w:t>Zahrnují</w:t>
      </w:r>
      <w:r w:rsidRPr="00033A3F">
        <w:rPr>
          <w:color w:val="000000" w:themeColor="text1"/>
        </w:rPr>
        <w:t xml:space="preserve"> pouze soudc</w:t>
      </w:r>
      <w:r w:rsidR="00033563" w:rsidRPr="00033A3F">
        <w:rPr>
          <w:color w:val="000000" w:themeColor="text1"/>
        </w:rPr>
        <w:t>e</w:t>
      </w:r>
      <w:r w:rsidRPr="00033A3F">
        <w:rPr>
          <w:color w:val="000000" w:themeColor="text1"/>
        </w:rPr>
        <w:t>, kteří dan</w:t>
      </w:r>
      <w:r w:rsidR="00E844A3" w:rsidRPr="00033A3F">
        <w:rPr>
          <w:color w:val="000000" w:themeColor="text1"/>
        </w:rPr>
        <w:t>o</w:t>
      </w:r>
      <w:r w:rsidRPr="00033A3F">
        <w:rPr>
          <w:color w:val="000000" w:themeColor="text1"/>
        </w:rPr>
        <w:t xml:space="preserve">u agendu v příslušném roce </w:t>
      </w:r>
      <w:r w:rsidR="00033563" w:rsidRPr="00033A3F">
        <w:rPr>
          <w:color w:val="000000" w:themeColor="text1"/>
        </w:rPr>
        <w:t xml:space="preserve">reálně </w:t>
      </w:r>
      <w:r w:rsidRPr="00033A3F">
        <w:rPr>
          <w:color w:val="000000" w:themeColor="text1"/>
        </w:rPr>
        <w:t xml:space="preserve">vyřizovali. Na rozdíl od evidenčního počtu soudců tedy nejsou zahrnuti dlouhodobě nepřítomní soudci (na </w:t>
      </w:r>
      <w:r w:rsidRPr="00033A3F">
        <w:rPr>
          <w:color w:val="000000" w:themeColor="text1"/>
        </w:rPr>
        <w:lastRenderedPageBreak/>
        <w:t xml:space="preserve">MD/RD, dlouhodobě nemocní, dočasně zproštěni výkonu funkce soudce </w:t>
      </w:r>
      <w:r w:rsidR="000E2347" w:rsidRPr="00033A3F">
        <w:rPr>
          <w:color w:val="000000" w:themeColor="text1"/>
        </w:rPr>
        <w:t>(§ </w:t>
      </w:r>
      <w:r w:rsidRPr="00033A3F">
        <w:rPr>
          <w:color w:val="000000" w:themeColor="text1"/>
        </w:rPr>
        <w:t xml:space="preserve">99, 100 </w:t>
      </w:r>
      <w:r w:rsidR="000C3B1E" w:rsidRPr="00033A3F">
        <w:rPr>
          <w:color w:val="000000" w:themeColor="text1"/>
        </w:rPr>
        <w:t>a </w:t>
      </w:r>
      <w:r w:rsidRPr="00033A3F">
        <w:rPr>
          <w:color w:val="000000" w:themeColor="text1"/>
        </w:rPr>
        <w:t>100a zák. č</w:t>
      </w:r>
      <w:r w:rsidR="000E2347" w:rsidRPr="00033A3F">
        <w:rPr>
          <w:color w:val="000000" w:themeColor="text1"/>
        </w:rPr>
        <w:t>. </w:t>
      </w:r>
      <w:r w:rsidRPr="00033A3F">
        <w:rPr>
          <w:color w:val="000000" w:themeColor="text1"/>
        </w:rPr>
        <w:t>6/</w:t>
      </w:r>
      <w:r w:rsidR="000E2347" w:rsidRPr="00033A3F">
        <w:rPr>
          <w:color w:val="000000" w:themeColor="text1"/>
        </w:rPr>
        <w:t>2002 </w:t>
      </w:r>
      <w:r w:rsidRPr="00033A3F">
        <w:rPr>
          <w:color w:val="000000" w:themeColor="text1"/>
        </w:rPr>
        <w:t>Sb.</w:t>
      </w:r>
      <w:r w:rsidR="001126B0" w:rsidRPr="00033A3F">
        <w:rPr>
          <w:color w:val="000000" w:themeColor="text1"/>
        </w:rPr>
        <w:t>,</w:t>
      </w:r>
      <w:r w:rsidR="00C8663B" w:rsidRPr="00033A3F">
        <w:rPr>
          <w:color w:val="000000" w:themeColor="text1"/>
        </w:rPr>
        <w:t xml:space="preserve"> o soudech, soudcích, přísedících a státní správě soudů a o změně některých dalších zákonů (zákon o soudech a soudcích), ve znění pozdějších předpisů</w:t>
      </w:r>
      <w:r w:rsidRPr="00033A3F">
        <w:rPr>
          <w:color w:val="000000" w:themeColor="text1"/>
        </w:rPr>
        <w:t xml:space="preserve">) nebo dočasně přeloženi </w:t>
      </w:r>
      <w:r w:rsidR="000C3B1E" w:rsidRPr="00033A3F">
        <w:rPr>
          <w:color w:val="000000" w:themeColor="text1"/>
        </w:rPr>
        <w:t>k </w:t>
      </w:r>
      <w:r w:rsidRPr="00033A3F">
        <w:rPr>
          <w:color w:val="000000" w:themeColor="text1"/>
        </w:rPr>
        <w:t xml:space="preserve">jinému soudu (stáž). Údaje jsou </w:t>
      </w:r>
      <w:r w:rsidR="00033563" w:rsidRPr="00033A3F">
        <w:rPr>
          <w:color w:val="000000" w:themeColor="text1"/>
        </w:rPr>
        <w:t>sledovány</w:t>
      </w:r>
      <w:r w:rsidRPr="00033A3F">
        <w:rPr>
          <w:color w:val="000000" w:themeColor="text1"/>
        </w:rPr>
        <w:t xml:space="preserve"> s přesností na desetinu soudce </w:t>
      </w:r>
      <w:r w:rsidR="000C3B1E" w:rsidRPr="00033A3F">
        <w:rPr>
          <w:color w:val="000000" w:themeColor="text1"/>
        </w:rPr>
        <w:t>a </w:t>
      </w:r>
      <w:r w:rsidRPr="00033A3F">
        <w:rPr>
          <w:color w:val="000000" w:themeColor="text1"/>
        </w:rPr>
        <w:t>jsou podrobněji členěn</w:t>
      </w:r>
      <w:r w:rsidR="00E844A3" w:rsidRPr="00033A3F">
        <w:rPr>
          <w:color w:val="000000" w:themeColor="text1"/>
        </w:rPr>
        <w:t>y</w:t>
      </w:r>
      <w:r w:rsidRPr="00033A3F">
        <w:rPr>
          <w:color w:val="000000" w:themeColor="text1"/>
        </w:rPr>
        <w:t xml:space="preserve"> dle úseků </w:t>
      </w:r>
      <w:r w:rsidR="000C3B1E" w:rsidRPr="00033A3F">
        <w:rPr>
          <w:color w:val="000000" w:themeColor="text1"/>
        </w:rPr>
        <w:t>a </w:t>
      </w:r>
      <w:r w:rsidRPr="00033A3F">
        <w:rPr>
          <w:color w:val="000000" w:themeColor="text1"/>
        </w:rPr>
        <w:t>agendy, které se</w:t>
      </w:r>
      <w:r w:rsidR="00E844A3" w:rsidRPr="00033A3F">
        <w:rPr>
          <w:color w:val="000000" w:themeColor="text1"/>
        </w:rPr>
        <w:t xml:space="preserve"> soudci</w:t>
      </w:r>
      <w:r w:rsidRPr="00033A3F">
        <w:rPr>
          <w:color w:val="000000" w:themeColor="text1"/>
        </w:rPr>
        <w:t xml:space="preserve"> věnují. Někdy též </w:t>
      </w:r>
      <w:r w:rsidR="00033563" w:rsidRPr="00033A3F">
        <w:rPr>
          <w:color w:val="000000" w:themeColor="text1"/>
        </w:rPr>
        <w:t xml:space="preserve">označováno </w:t>
      </w:r>
      <w:r w:rsidRPr="00033A3F">
        <w:rPr>
          <w:color w:val="000000" w:themeColor="text1"/>
        </w:rPr>
        <w:t>jako</w:t>
      </w:r>
      <w:r w:rsidR="000E2347" w:rsidRPr="00033A3F">
        <w:rPr>
          <w:color w:val="000000" w:themeColor="text1"/>
        </w:rPr>
        <w:t xml:space="preserve"> </w:t>
      </w:r>
      <w:r w:rsidRPr="00033A3F">
        <w:rPr>
          <w:color w:val="000000" w:themeColor="text1"/>
        </w:rPr>
        <w:t>skutečný počet soudců.</w:t>
      </w:r>
    </w:p>
    <w:p w14:paraId="2D00E67E"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Statistické listy (SL) </w:t>
      </w:r>
      <w:r w:rsidRPr="00033A3F">
        <w:rPr>
          <w:color w:val="000000" w:themeColor="text1"/>
        </w:rPr>
        <w:t>– po pravomocném skončení (konečném vyřízení) věci v hlavních agendách jsou vyplňovány u jednotlivých soudů odpovědnou osobou, odeslány v elektronické podobě a automaticky zařazeny do datového skladu. Vyhotovují se ke každé věci (osobě v trestní agendě). Obsahují velmi detailní údaje o věci (významné časové údaje, údaje o odvolání, výsledek řízení, anonymizované údaje o účastnících řízení, o výši a druhu trestu apod.).</w:t>
      </w:r>
    </w:p>
    <w:p w14:paraId="16974D36" w14:textId="3A309148"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Výkazy o činnosti soudů </w:t>
      </w:r>
      <w:r w:rsidRPr="00033A3F">
        <w:rPr>
          <w:color w:val="000000" w:themeColor="text1"/>
        </w:rPr>
        <w:t xml:space="preserve">– obsahují především údaje o počtu napadlých, obživlých, vyřízených a nevyřízených věcí za zkoumané období, ale i další data </w:t>
      </w:r>
      <w:r w:rsidR="001126B0" w:rsidRPr="00033A3F">
        <w:rPr>
          <w:color w:val="000000" w:themeColor="text1"/>
        </w:rPr>
        <w:t>jako</w:t>
      </w:r>
      <w:r w:rsidRPr="00033A3F">
        <w:rPr>
          <w:color w:val="000000" w:themeColor="text1"/>
        </w:rPr>
        <w:t xml:space="preserve"> např. dělení vyřízených věcí podle způsobu vyřízení </w:t>
      </w:r>
      <w:r w:rsidR="005A77B7" w:rsidRPr="00033A3F">
        <w:rPr>
          <w:color w:val="000000" w:themeColor="text1"/>
        </w:rPr>
        <w:t>či</w:t>
      </w:r>
      <w:r w:rsidRPr="00033A3F">
        <w:rPr>
          <w:color w:val="000000" w:themeColor="text1"/>
        </w:rPr>
        <w:t> dělení obživlých věcí podle důvodu pro obživnutí. Vypočítávají se automaticky pro každou agendu (rejstřík) a každý soud.</w:t>
      </w:r>
    </w:p>
    <w:p w14:paraId="4579D780" w14:textId="77777777" w:rsidR="008430BD" w:rsidRPr="00033A3F" w:rsidRDefault="008430BD" w:rsidP="00A94F8F">
      <w:pPr>
        <w:pStyle w:val="Odstavecseseznamem"/>
        <w:numPr>
          <w:ilvl w:val="0"/>
          <w:numId w:val="3"/>
        </w:numPr>
        <w:rPr>
          <w:b/>
          <w:color w:val="000000" w:themeColor="text1"/>
        </w:rPr>
      </w:pPr>
      <w:r w:rsidRPr="00033A3F">
        <w:rPr>
          <w:b/>
          <w:color w:val="000000" w:themeColor="text1"/>
        </w:rPr>
        <w:t xml:space="preserve">Vyřízené věci </w:t>
      </w:r>
      <w:r w:rsidRPr="00033A3F">
        <w:rPr>
          <w:color w:val="000000" w:themeColor="text1"/>
        </w:rPr>
        <w:t>– v této zprávě se vždy jedná o roční data, která jsou získána z výkazů o činnosti soudů.</w:t>
      </w:r>
    </w:p>
    <w:p w14:paraId="6E4D1CE5" w14:textId="77777777" w:rsidR="008430BD" w:rsidRPr="00033A3F" w:rsidRDefault="008430BD" w:rsidP="008430BD">
      <w:pPr>
        <w:rPr>
          <w:color w:val="000000" w:themeColor="text1"/>
        </w:rPr>
      </w:pPr>
    </w:p>
    <w:p w14:paraId="1F5A5D67" w14:textId="77777777" w:rsidR="008430BD" w:rsidRPr="00033A3F" w:rsidRDefault="008430BD" w:rsidP="008430BD">
      <w:pPr>
        <w:pStyle w:val="Nadpis3"/>
        <w:pageBreakBefore/>
        <w:ind w:left="0" w:firstLine="0"/>
        <w:rPr>
          <w:color w:val="000000" w:themeColor="text1"/>
        </w:rPr>
      </w:pPr>
      <w:bookmarkStart w:id="2719" w:name="_Toc487791319"/>
      <w:bookmarkStart w:id="2720" w:name="_Toc106092837"/>
      <w:bookmarkStart w:id="2721" w:name="_Toc169250916"/>
      <w:bookmarkStart w:id="2722" w:name="_Toc193531077"/>
      <w:bookmarkStart w:id="2723" w:name="_Toc193957135"/>
      <w:bookmarkStart w:id="2724" w:name="_Toc203032824"/>
      <w:r w:rsidRPr="00033A3F">
        <w:rPr>
          <w:color w:val="000000" w:themeColor="text1"/>
        </w:rPr>
        <w:lastRenderedPageBreak/>
        <w:t>Právní a ostatní pojmy</w:t>
      </w:r>
      <w:bookmarkEnd w:id="2719"/>
      <w:bookmarkEnd w:id="2720"/>
      <w:bookmarkEnd w:id="2721"/>
      <w:bookmarkEnd w:id="2722"/>
      <w:bookmarkEnd w:id="2723"/>
      <w:bookmarkEnd w:id="2724"/>
    </w:p>
    <w:p w14:paraId="68BDF495"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Civilní </w:t>
      </w:r>
      <w:r w:rsidRPr="00033A3F">
        <w:rPr>
          <w:color w:val="000000" w:themeColor="text1"/>
        </w:rPr>
        <w:t>– (agenda, řízení, úsek) činnost soudů v občanském soudním řízení. Civilní soudnictví v sobě dále zahrnuje celou řadů různých specificky upravených typů řízení (řízení o pozůstalosti, umoření listin apod.) a člení se tudíž na další agendy. Do samostatných agend se z něj vyčleňuje opatrovnická a obchodní agenda, z obchodní agendy pak dále zvlášť agenda insolvenční. V této zprávě se civilní agendou myslí zpravidla věci vedené v rejstříku C, do kterého se zapisují zejména občanskoprávní návrhy týkající se právních poměrů mezi žalobcem a žalovaným a návrhy na rozhodnutí ve statusových věcech manželských a partnerských.</w:t>
      </w:r>
    </w:p>
    <w:p w14:paraId="2794FE33" w14:textId="615AEAC6" w:rsidR="002754E0" w:rsidRPr="00033A3F" w:rsidRDefault="002754E0" w:rsidP="00A94F8F">
      <w:pPr>
        <w:pStyle w:val="Odstavecseseznamem"/>
        <w:numPr>
          <w:ilvl w:val="0"/>
          <w:numId w:val="3"/>
        </w:numPr>
        <w:rPr>
          <w:color w:val="000000" w:themeColor="text1"/>
        </w:rPr>
      </w:pPr>
      <w:r w:rsidRPr="00033A3F">
        <w:rPr>
          <w:b/>
          <w:color w:val="000000" w:themeColor="text1"/>
        </w:rPr>
        <w:t>CEPEJ</w:t>
      </w:r>
      <w:r w:rsidRPr="00033A3F">
        <w:rPr>
          <w:color w:val="000000" w:themeColor="text1"/>
        </w:rPr>
        <w:t xml:space="preserve"> – </w:t>
      </w:r>
      <w:r w:rsidR="00357A51" w:rsidRPr="00033A3F">
        <w:rPr>
          <w:color w:val="000000" w:themeColor="text1"/>
        </w:rPr>
        <w:t>E</w:t>
      </w:r>
      <w:r w:rsidRPr="00033A3F">
        <w:rPr>
          <w:color w:val="000000" w:themeColor="text1"/>
        </w:rPr>
        <w:t>vropská komise pro efektivitu justice</w:t>
      </w:r>
      <w:r w:rsidR="001D7D46" w:rsidRPr="00033A3F">
        <w:rPr>
          <w:color w:val="000000" w:themeColor="text1"/>
        </w:rPr>
        <w:t xml:space="preserve"> Rady Evropy</w:t>
      </w:r>
      <w:r w:rsidRPr="00033A3F">
        <w:rPr>
          <w:color w:val="000000" w:themeColor="text1"/>
        </w:rPr>
        <w:t xml:space="preserve"> (</w:t>
      </w:r>
      <w:r w:rsidR="00357A51" w:rsidRPr="00033A3F">
        <w:rPr>
          <w:color w:val="000000" w:themeColor="text1"/>
        </w:rPr>
        <w:t xml:space="preserve">European </w:t>
      </w:r>
      <w:r w:rsidR="003426BF" w:rsidRPr="00033A3F">
        <w:rPr>
          <w:color w:val="000000" w:themeColor="text1"/>
        </w:rPr>
        <w:br/>
      </w:r>
      <w:r w:rsidR="00357A51" w:rsidRPr="00033A3F">
        <w:rPr>
          <w:color w:val="000000" w:themeColor="text1"/>
        </w:rPr>
        <w:t xml:space="preserve">Commission for the Efficiency of Justice), jejímž úkolem je </w:t>
      </w:r>
      <w:r w:rsidR="00C22C9A" w:rsidRPr="00033A3F">
        <w:rPr>
          <w:color w:val="000000" w:themeColor="text1"/>
        </w:rPr>
        <w:t xml:space="preserve">porovnávání </w:t>
      </w:r>
      <w:r w:rsidR="003426BF" w:rsidRPr="00033A3F">
        <w:rPr>
          <w:color w:val="000000" w:themeColor="text1"/>
        </w:rPr>
        <w:br/>
      </w:r>
      <w:r w:rsidR="00C22C9A" w:rsidRPr="00033A3F">
        <w:rPr>
          <w:color w:val="000000" w:themeColor="text1"/>
        </w:rPr>
        <w:t xml:space="preserve">soudních systémů </w:t>
      </w:r>
      <w:r w:rsidR="00755920" w:rsidRPr="00033A3F">
        <w:rPr>
          <w:color w:val="000000" w:themeColor="text1"/>
        </w:rPr>
        <w:t>a</w:t>
      </w:r>
      <w:r w:rsidR="003426BF" w:rsidRPr="00033A3F">
        <w:rPr>
          <w:color w:val="000000" w:themeColor="text1"/>
        </w:rPr>
        <w:t xml:space="preserve"> </w:t>
      </w:r>
      <w:r w:rsidR="00C22C9A" w:rsidRPr="00033A3F">
        <w:rPr>
          <w:color w:val="000000" w:themeColor="text1"/>
        </w:rPr>
        <w:t xml:space="preserve">výměna poznatků o jejich fungování. </w:t>
      </w:r>
      <w:r w:rsidR="00395B5A" w:rsidRPr="00033A3F">
        <w:rPr>
          <w:color w:val="000000" w:themeColor="text1"/>
        </w:rPr>
        <w:t>Domovská stránka</w:t>
      </w:r>
      <w:r w:rsidR="00C22C9A" w:rsidRPr="00033A3F">
        <w:rPr>
          <w:color w:val="000000" w:themeColor="text1"/>
        </w:rPr>
        <w:t xml:space="preserve">: </w:t>
      </w:r>
      <w:hyperlink r:id="rId179" w:history="1">
        <w:r w:rsidR="000777CE" w:rsidRPr="00F72345">
          <w:rPr>
            <w:rStyle w:val="Hypertextovodkaz"/>
          </w:rPr>
          <w:t>https://www.coe.int/en/web/cepej/home</w:t>
        </w:r>
      </w:hyperlink>
      <w:r w:rsidR="000777CE" w:rsidRPr="00033A3F">
        <w:rPr>
          <w:color w:val="000000" w:themeColor="text1"/>
        </w:rPr>
        <w:t>.</w:t>
      </w:r>
    </w:p>
    <w:p w14:paraId="27231A99" w14:textId="5CACF4C5" w:rsidR="004D554D" w:rsidRPr="00033A3F" w:rsidRDefault="004D554D" w:rsidP="00A94F8F">
      <w:pPr>
        <w:pStyle w:val="Odstavecseseznamem"/>
        <w:numPr>
          <w:ilvl w:val="0"/>
          <w:numId w:val="3"/>
        </w:numPr>
        <w:rPr>
          <w:color w:val="000000" w:themeColor="text1"/>
        </w:rPr>
      </w:pPr>
      <w:r w:rsidRPr="00033A3F">
        <w:rPr>
          <w:b/>
          <w:color w:val="000000" w:themeColor="text1"/>
        </w:rPr>
        <w:t xml:space="preserve">Dohoda o vině a trestu </w:t>
      </w:r>
      <w:r w:rsidRPr="00033A3F">
        <w:rPr>
          <w:color w:val="000000" w:themeColor="text1"/>
        </w:rPr>
        <w:t>– představuje alternativní způsob řešení trestních věcí, který má svůj původ v </w:t>
      </w:r>
      <w:r w:rsidR="00914345" w:rsidRPr="00914345">
        <w:rPr>
          <w:color w:val="000000" w:themeColor="text1"/>
        </w:rPr>
        <w:t>prax</w:t>
      </w:r>
      <w:r w:rsidR="00914345">
        <w:rPr>
          <w:color w:val="000000" w:themeColor="text1"/>
        </w:rPr>
        <w:t>i</w:t>
      </w:r>
      <w:r w:rsidR="00914345" w:rsidRPr="00914345">
        <w:rPr>
          <w:color w:val="000000" w:themeColor="text1"/>
        </w:rPr>
        <w:t xml:space="preserve"> a právní úprav</w:t>
      </w:r>
      <w:r w:rsidR="00914345">
        <w:rPr>
          <w:color w:val="000000" w:themeColor="text1"/>
        </w:rPr>
        <w:t>ě</w:t>
      </w:r>
      <w:r w:rsidR="00914345" w:rsidRPr="00914345">
        <w:rPr>
          <w:color w:val="000000" w:themeColor="text1"/>
        </w:rPr>
        <w:t xml:space="preserve"> Spolkové republiky Německo</w:t>
      </w:r>
      <w:r w:rsidR="00652F87" w:rsidRPr="00033A3F">
        <w:rPr>
          <w:color w:val="000000" w:themeColor="text1"/>
        </w:rPr>
        <w:t>.</w:t>
      </w:r>
      <w:r w:rsidRPr="00033A3F">
        <w:rPr>
          <w:color w:val="000000" w:themeColor="text1"/>
        </w:rPr>
        <w:t xml:space="preserve"> Jedná se o dohodu mezi státním zástupcem, obviněným a případně poškozeným, jejíž podstatou je prohlášení obviněného, že spáchal skutek, pro který je stíhán, a vzdání se práva na projednání věci před soudem výměnou za mírnější trest, s fakultativní možností sjednání dohody o náhradě újmy způsobené trestným činem. O uzavřené dohodě rozhoduje soud ve veřejné</w:t>
      </w:r>
      <w:r w:rsidR="005015F7" w:rsidRPr="00033A3F">
        <w:rPr>
          <w:color w:val="000000" w:themeColor="text1"/>
        </w:rPr>
        <w:t>m</w:t>
      </w:r>
      <w:r w:rsidRPr="00033A3F">
        <w:rPr>
          <w:color w:val="000000" w:themeColor="text1"/>
        </w:rPr>
        <w:t xml:space="preserve"> zasedání v řízení o schválení dohody o vině a trestu; k uzavření dohody může dojít i v řízení před soudem v hlavním líčení.</w:t>
      </w:r>
      <w:r w:rsidR="00652F87" w:rsidRPr="00033A3F">
        <w:rPr>
          <w:color w:val="000000" w:themeColor="text1"/>
        </w:rPr>
        <w:t xml:space="preserve"> Institut dohody o vině a trestu byl do českého trestního práva zaveden s účinností od 1. 9. 2012 novelou trestního řádu zákonem č. 193/2012 Sb. S cílem rozšířit uplatnění dohody o vině a trestu v trestním řízení a zvýšit tak počet případů byla s účinnost</w:t>
      </w:r>
      <w:r w:rsidR="00561B98" w:rsidRPr="00033A3F">
        <w:rPr>
          <w:color w:val="000000" w:themeColor="text1"/>
        </w:rPr>
        <w:t>í</w:t>
      </w:r>
      <w:r w:rsidR="00652F87" w:rsidRPr="00033A3F">
        <w:rPr>
          <w:color w:val="000000" w:themeColor="text1"/>
        </w:rPr>
        <w:t xml:space="preserve"> od 1. 10. 2020 přijata novela trestního řádu provedená zákonem č. 333/2020 Sb.</w:t>
      </w:r>
    </w:p>
    <w:p w14:paraId="5A5CF2DC" w14:textId="4D17DD63"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Dovolání </w:t>
      </w:r>
      <w:r w:rsidRPr="00033A3F">
        <w:rPr>
          <w:color w:val="000000" w:themeColor="text1"/>
        </w:rPr>
        <w:t>– mimořádný opravný prostředek, jímž lze napadnout pravomocné rozhodnutí odvolacího soudu, pokud to zákon připouští. O dovolání rozhoduje Nejvyšší soud; v civilních řízeních nemusí být v zákonem stanovených případech věc předložena dovolacímu soudu, ale o dovolání může rozhodnout soud v první instanci (jedná se zejména o zastavení dovolacího řízení pro nezaplacení soudního poplatku, odmítnutí dovolání pro opožděnost apod.).</w:t>
      </w:r>
    </w:p>
    <w:p w14:paraId="3ADDCFFE" w14:textId="1CFE65AF"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Hlavní agendy </w:t>
      </w:r>
      <w:r w:rsidRPr="00033A3F">
        <w:rPr>
          <w:color w:val="000000" w:themeColor="text1"/>
        </w:rPr>
        <w:t xml:space="preserve">– jedná se o takové agendy soudů, které svou velikostí a významem tvoří stěžejní část jejich práce. V případě </w:t>
      </w:r>
      <w:r w:rsidR="00A678A0" w:rsidRPr="00033A3F">
        <w:rPr>
          <w:color w:val="000000" w:themeColor="text1"/>
        </w:rPr>
        <w:t xml:space="preserve">okresních a krajských </w:t>
      </w:r>
      <w:r w:rsidRPr="00033A3F">
        <w:rPr>
          <w:color w:val="000000" w:themeColor="text1"/>
        </w:rPr>
        <w:t>soudů jsou to z civilní (občanskoprávní) agendy věci zapisované do rejstříku C, z opatrovnické agendy věci vedené v rejstříku P</w:t>
      </w:r>
      <w:r w:rsidR="0053190F" w:rsidRPr="00033A3F">
        <w:rPr>
          <w:color w:val="000000" w:themeColor="text1"/>
        </w:rPr>
        <w:t> </w:t>
      </w:r>
      <w:r w:rsidRPr="00033A3F">
        <w:rPr>
          <w:color w:val="000000" w:themeColor="text1"/>
        </w:rPr>
        <w:t xml:space="preserve">a Nc, </w:t>
      </w:r>
      <w:r w:rsidR="00A272A1" w:rsidRPr="00033A3F">
        <w:rPr>
          <w:color w:val="000000" w:themeColor="text1"/>
        </w:rPr>
        <w:t>u </w:t>
      </w:r>
      <w:r w:rsidRPr="00033A3F">
        <w:rPr>
          <w:color w:val="000000" w:themeColor="text1"/>
        </w:rPr>
        <w:t>obchodní agendy věci z rejstříku Cm</w:t>
      </w:r>
      <w:r w:rsidR="00FA2FE2" w:rsidRPr="00033A3F">
        <w:rPr>
          <w:color w:val="000000" w:themeColor="text1"/>
        </w:rPr>
        <w:t xml:space="preserve">, </w:t>
      </w:r>
      <w:r w:rsidRPr="00033A3F">
        <w:rPr>
          <w:color w:val="000000" w:themeColor="text1"/>
        </w:rPr>
        <w:t>insolvenčního rejstříku</w:t>
      </w:r>
      <w:r w:rsidR="0053190F" w:rsidRPr="00033A3F">
        <w:rPr>
          <w:color w:val="000000" w:themeColor="text1"/>
        </w:rPr>
        <w:t> </w:t>
      </w:r>
      <w:r w:rsidRPr="00033A3F">
        <w:rPr>
          <w:color w:val="000000" w:themeColor="text1"/>
        </w:rPr>
        <w:t>INS</w:t>
      </w:r>
      <w:r w:rsidR="00FA2FE2" w:rsidRPr="00033A3F">
        <w:rPr>
          <w:color w:val="000000" w:themeColor="text1"/>
        </w:rPr>
        <w:t xml:space="preserve"> a rejstříku incidenčních sporů ICm</w:t>
      </w:r>
      <w:r w:rsidRPr="00033A3F">
        <w:rPr>
          <w:color w:val="000000" w:themeColor="text1"/>
        </w:rPr>
        <w:t>, z trestní agendy rejstříky T a Tm a ze správního soudnictví všechny správní rejstříky kromě tzv. všeobecného rejstříku správního soudnictví.</w:t>
      </w:r>
      <w:r w:rsidR="00A678A0" w:rsidRPr="00033A3F">
        <w:rPr>
          <w:color w:val="000000" w:themeColor="text1"/>
        </w:rPr>
        <w:t xml:space="preserve"> Dále to jsou odvolací agendy: civilní (rejstřík Co) a trestní (rejstřík To)</w:t>
      </w:r>
      <w:r w:rsidR="005B435F" w:rsidRPr="00033A3F">
        <w:rPr>
          <w:color w:val="000000" w:themeColor="text1"/>
        </w:rPr>
        <w:t>.</w:t>
      </w:r>
    </w:p>
    <w:p w14:paraId="6A811697" w14:textId="1FC3E42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InfoData </w:t>
      </w:r>
      <w:r w:rsidRPr="00033A3F">
        <w:rPr>
          <w:color w:val="000000" w:themeColor="text1"/>
        </w:rPr>
        <w:t>– statistický portál Ministerstva spravedlnosti, který umožňuje přístup široké veřejnosti k výkazům a statistikám soudů. Jeho hlavním cílem je prezentovat všechny důležité informace o justici na jednom místě a tím přispět k její větší otevřenosti (</w:t>
      </w:r>
      <w:hyperlink r:id="rId180" w:history="1">
        <w:r w:rsidR="005B0E0D" w:rsidRPr="00F72345">
          <w:rPr>
            <w:rStyle w:val="Hypertextovodkaz"/>
          </w:rPr>
          <w:t>http://cslav.justice.cz/InfoData/uvod.html</w:t>
        </w:r>
      </w:hyperlink>
      <w:r w:rsidRPr="00033A3F">
        <w:rPr>
          <w:color w:val="000000" w:themeColor="text1"/>
        </w:rPr>
        <w:t>).</w:t>
      </w:r>
      <w:r w:rsidR="00C11478" w:rsidRPr="00033A3F">
        <w:rPr>
          <w:color w:val="000000" w:themeColor="text1"/>
        </w:rPr>
        <w:t xml:space="preserve"> Data zobrazená pomocí dynamických grafů a tabulek je možné najít </w:t>
      </w:r>
      <w:hyperlink r:id="rId181" w:history="1">
        <w:r w:rsidR="00C11478" w:rsidRPr="00F72345">
          <w:rPr>
            <w:rStyle w:val="Hypertextovodkaz"/>
          </w:rPr>
          <w:t>zde</w:t>
        </w:r>
      </w:hyperlink>
      <w:r w:rsidR="00C11478" w:rsidRPr="00033A3F">
        <w:rPr>
          <w:color w:val="000000" w:themeColor="text1"/>
        </w:rPr>
        <w:t xml:space="preserve"> pro trestní agendu a </w:t>
      </w:r>
      <w:hyperlink r:id="rId182" w:history="1">
        <w:r w:rsidR="00C11478" w:rsidRPr="00F72345">
          <w:rPr>
            <w:rStyle w:val="Hypertextovodkaz"/>
          </w:rPr>
          <w:t>zde</w:t>
        </w:r>
      </w:hyperlink>
      <w:r w:rsidR="00C11478" w:rsidRPr="00033A3F">
        <w:rPr>
          <w:color w:val="000000" w:themeColor="text1"/>
        </w:rPr>
        <w:t xml:space="preserve"> pro </w:t>
      </w:r>
      <w:r w:rsidR="00EA1E0D" w:rsidRPr="00033A3F">
        <w:rPr>
          <w:color w:val="000000" w:themeColor="text1"/>
        </w:rPr>
        <w:t>netrestní agendy</w:t>
      </w:r>
      <w:r w:rsidR="00C11478" w:rsidRPr="00033A3F">
        <w:rPr>
          <w:color w:val="000000" w:themeColor="text1"/>
        </w:rPr>
        <w:t>.</w:t>
      </w:r>
    </w:p>
    <w:p w14:paraId="754C9E75" w14:textId="172AE20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Incidenční spory </w:t>
      </w:r>
      <w:r w:rsidRPr="00033A3F">
        <w:rPr>
          <w:color w:val="000000" w:themeColor="text1"/>
        </w:rPr>
        <w:t xml:space="preserve">– jedná se </w:t>
      </w:r>
      <w:r w:rsidR="000C3B1E" w:rsidRPr="00033A3F">
        <w:rPr>
          <w:color w:val="000000" w:themeColor="text1"/>
        </w:rPr>
        <w:t>o </w:t>
      </w:r>
      <w:r w:rsidRPr="00033A3F">
        <w:rPr>
          <w:color w:val="000000" w:themeColor="text1"/>
        </w:rPr>
        <w:t xml:space="preserve">spory vyvolané insolvenčním řízením </w:t>
      </w:r>
      <w:r w:rsidR="000C3B1E" w:rsidRPr="00033A3F">
        <w:rPr>
          <w:color w:val="000000" w:themeColor="text1"/>
        </w:rPr>
        <w:t>a </w:t>
      </w:r>
      <w:r w:rsidRPr="00033A3F">
        <w:rPr>
          <w:color w:val="000000" w:themeColor="text1"/>
        </w:rPr>
        <w:t>projednávané v rámci insolvenčního řízení. Co jsou incidenční spory</w:t>
      </w:r>
      <w:r w:rsidR="00776EBB" w:rsidRPr="00033A3F">
        <w:rPr>
          <w:color w:val="000000" w:themeColor="text1"/>
        </w:rPr>
        <w:t>,</w:t>
      </w:r>
      <w:r w:rsidRPr="00033A3F">
        <w:rPr>
          <w:color w:val="000000" w:themeColor="text1"/>
        </w:rPr>
        <w:t xml:space="preserve"> vymezuje insolvenční zákon (zákon </w:t>
      </w:r>
      <w:r w:rsidRPr="00033A3F">
        <w:rPr>
          <w:color w:val="000000" w:themeColor="text1"/>
        </w:rPr>
        <w:lastRenderedPageBreak/>
        <w:t xml:space="preserve">č. 182/2006 Sb.). Jde například </w:t>
      </w:r>
      <w:r w:rsidR="000C3B1E" w:rsidRPr="00033A3F">
        <w:rPr>
          <w:color w:val="000000" w:themeColor="text1"/>
        </w:rPr>
        <w:t>o </w:t>
      </w:r>
      <w:r w:rsidRPr="00033A3F">
        <w:rPr>
          <w:color w:val="000000" w:themeColor="text1"/>
        </w:rPr>
        <w:t xml:space="preserve">spory </w:t>
      </w:r>
      <w:r w:rsidR="000C3B1E" w:rsidRPr="00033A3F">
        <w:rPr>
          <w:color w:val="000000" w:themeColor="text1"/>
        </w:rPr>
        <w:t>o </w:t>
      </w:r>
      <w:r w:rsidRPr="00033A3F">
        <w:rPr>
          <w:color w:val="000000" w:themeColor="text1"/>
        </w:rPr>
        <w:t xml:space="preserve">pravost, výši nebo pořadí přihlášených pohledávek, spory </w:t>
      </w:r>
      <w:r w:rsidR="000C3B1E" w:rsidRPr="00033A3F">
        <w:rPr>
          <w:color w:val="000000" w:themeColor="text1"/>
        </w:rPr>
        <w:t>o </w:t>
      </w:r>
      <w:r w:rsidRPr="00033A3F">
        <w:rPr>
          <w:color w:val="000000" w:themeColor="text1"/>
        </w:rPr>
        <w:t xml:space="preserve">vypořádání společného jmění dlužníka </w:t>
      </w:r>
      <w:r w:rsidR="000C3B1E" w:rsidRPr="00033A3F">
        <w:rPr>
          <w:color w:val="000000" w:themeColor="text1"/>
        </w:rPr>
        <w:t>a </w:t>
      </w:r>
      <w:r w:rsidRPr="00033A3F">
        <w:rPr>
          <w:color w:val="000000" w:themeColor="text1"/>
        </w:rPr>
        <w:t xml:space="preserve">jeho manžela, spory o platnost smluv, kterými došlo ke zpeněžení majetkové podstaty prodejem mimo dražbu </w:t>
      </w:r>
      <w:r w:rsidR="000C3B1E" w:rsidRPr="00033A3F">
        <w:rPr>
          <w:color w:val="000000" w:themeColor="text1"/>
        </w:rPr>
        <w:t>a </w:t>
      </w:r>
      <w:r w:rsidRPr="00033A3F">
        <w:rPr>
          <w:color w:val="000000" w:themeColor="text1"/>
        </w:rPr>
        <w:t>další (viz také ust. §</w:t>
      </w:r>
      <w:r w:rsidR="0053190F" w:rsidRPr="00033A3F">
        <w:rPr>
          <w:color w:val="000000" w:themeColor="text1"/>
        </w:rPr>
        <w:t> </w:t>
      </w:r>
      <w:r w:rsidRPr="00033A3F">
        <w:rPr>
          <w:color w:val="000000" w:themeColor="text1"/>
        </w:rPr>
        <w:t xml:space="preserve">159 </w:t>
      </w:r>
      <w:r w:rsidR="000C3B1E" w:rsidRPr="00033A3F">
        <w:rPr>
          <w:color w:val="000000" w:themeColor="text1"/>
        </w:rPr>
        <w:t>a </w:t>
      </w:r>
      <w:r w:rsidRPr="00033A3F">
        <w:rPr>
          <w:color w:val="000000" w:themeColor="text1"/>
        </w:rPr>
        <w:t>násl. insolvenčního zákona).</w:t>
      </w:r>
    </w:p>
    <w:p w14:paraId="1767D529" w14:textId="18298AC4"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Insolvence </w:t>
      </w:r>
      <w:r w:rsidRPr="00033A3F">
        <w:rPr>
          <w:color w:val="000000" w:themeColor="text1"/>
        </w:rPr>
        <w:t>– jinak také insolvenční agenda (řízení). Jedná se o zvláštní soudní řízení civilní agendy, jehož předmětem je projednání úpadku a jeho řešení. Do insolvenční agendy se dále ř</w:t>
      </w:r>
      <w:r w:rsidR="005A77B7" w:rsidRPr="00033A3F">
        <w:rPr>
          <w:color w:val="000000" w:themeColor="text1"/>
        </w:rPr>
        <w:t>a</w:t>
      </w:r>
      <w:r w:rsidRPr="00033A3F">
        <w:rPr>
          <w:color w:val="000000" w:themeColor="text1"/>
        </w:rPr>
        <w:t xml:space="preserve">dí incidenční spory. </w:t>
      </w:r>
      <w:r w:rsidR="00560594" w:rsidRPr="00033A3F">
        <w:rPr>
          <w:color w:val="000000" w:themeColor="text1"/>
        </w:rPr>
        <w:t xml:space="preserve">Insolvenční řízení vedou krajské soudy jako soudy věcně příslušné v rámci </w:t>
      </w:r>
      <w:r w:rsidRPr="00033A3F">
        <w:rPr>
          <w:color w:val="000000" w:themeColor="text1"/>
        </w:rPr>
        <w:t>insolvenčních oddělení obchodních úseků soudů.</w:t>
      </w:r>
    </w:p>
    <w:p w14:paraId="056933AE" w14:textId="0CA951EB"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Jmenovací etapa </w:t>
      </w:r>
      <w:r w:rsidRPr="00033A3F">
        <w:rPr>
          <w:color w:val="000000" w:themeColor="text1"/>
        </w:rPr>
        <w:t>– jinak také etapa jmenování soudců. Soudce jmenuje prezident na návrh ministra spravedlnosti dle aktuální potřeby jednotlivých soudů.</w:t>
      </w:r>
    </w:p>
    <w:p w14:paraId="2FF04D03" w14:textId="14755FAA"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Kasační stížnost </w:t>
      </w:r>
      <w:r w:rsidRPr="00033A3F">
        <w:rPr>
          <w:color w:val="000000" w:themeColor="text1"/>
        </w:rPr>
        <w:t>– mimořádný opravný prostředek, jímž lze napadnout pravomocné rozhodnutí krajského soudu vydané ve správním soudnictví. Kasační stížnost je možné podat v zásadě proti každému takovému rozhodnutí, není-li přezkoumání v kasačním řízení zákonem výslovně vyloučeno. O kasačních stížnostech rozhoduje Nejvyšší správní soud.</w:t>
      </w:r>
    </w:p>
    <w:p w14:paraId="30C74BC6"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Krajské soudy (KS) </w:t>
      </w:r>
      <w:r w:rsidRPr="00033A3F">
        <w:rPr>
          <w:color w:val="000000" w:themeColor="text1"/>
        </w:rPr>
        <w:t>– druhý ze čtyř článků soustavy soudů ČR. Působí jich celkem osm, a to Krajský soud v Praze, v Českých Budějovicích, v Plzni, v Ústí nad Labem, v Hradci Králové, v Brně a v Ostravě a Městský soud v Praze, který vykonává působnost krajského soudu pro území hlavního města Prahy.</w:t>
      </w:r>
    </w:p>
    <w:p w14:paraId="68B2C30B" w14:textId="47B97211"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Moratorium </w:t>
      </w:r>
      <w:r w:rsidRPr="00033A3F">
        <w:rPr>
          <w:color w:val="000000" w:themeColor="text1"/>
        </w:rPr>
        <w:t xml:space="preserve">– představuje poslední možnost odvrátit úpadek dlužníka před jeho zjištěním, neboť po dobu jeho trvání nelze vyhlásit úpadek dlužníka, platí však stejné účinky jako při zahájení insolvenčního řízení. O moratorium může žádat jen dlužník, který je podnikatelem. Moratorium se vyhlašuje za splnění zákonných podmínek nejdéle na dobu 3 měsíců; ve zvláštních případech může být prodlouženo </w:t>
      </w:r>
      <w:r w:rsidR="000C3B1E" w:rsidRPr="00033A3F">
        <w:rPr>
          <w:color w:val="000000" w:themeColor="text1"/>
        </w:rPr>
        <w:t>o </w:t>
      </w:r>
      <w:r w:rsidRPr="00033A3F">
        <w:rPr>
          <w:color w:val="000000" w:themeColor="text1"/>
        </w:rPr>
        <w:t xml:space="preserve">dalších třicet dnů. </w:t>
      </w:r>
      <w:r w:rsidRPr="00033A3F" w:rsidDel="003549CA">
        <w:rPr>
          <w:color w:val="000000" w:themeColor="text1"/>
        </w:rPr>
        <w:t>Smyslem moratoria je poskytnout dlužník</w:t>
      </w:r>
      <w:r w:rsidRPr="00033A3F">
        <w:rPr>
          <w:color w:val="000000" w:themeColor="text1"/>
        </w:rPr>
        <w:t>ovi</w:t>
      </w:r>
      <w:r w:rsidRPr="00033A3F" w:rsidDel="003549CA">
        <w:rPr>
          <w:color w:val="000000" w:themeColor="text1"/>
        </w:rPr>
        <w:t xml:space="preserve"> čas na vyřešení svých nesplácených závazků</w:t>
      </w:r>
      <w:r w:rsidRPr="00033A3F">
        <w:rPr>
          <w:color w:val="000000" w:themeColor="text1"/>
        </w:rPr>
        <w:t xml:space="preserve"> a </w:t>
      </w:r>
      <w:r w:rsidRPr="00033A3F" w:rsidDel="003549CA">
        <w:rPr>
          <w:color w:val="000000" w:themeColor="text1"/>
        </w:rPr>
        <w:t>pohledávek</w:t>
      </w:r>
      <w:r w:rsidRPr="00033A3F">
        <w:rPr>
          <w:color w:val="000000" w:themeColor="text1"/>
        </w:rPr>
        <w:t>, zachovat provoz podniku dlužníka a </w:t>
      </w:r>
      <w:r w:rsidRPr="00033A3F" w:rsidDel="003549CA">
        <w:rPr>
          <w:color w:val="000000" w:themeColor="text1"/>
        </w:rPr>
        <w:t>vyrovnat se</w:t>
      </w:r>
      <w:r w:rsidRPr="00033A3F">
        <w:rPr>
          <w:color w:val="000000" w:themeColor="text1"/>
        </w:rPr>
        <w:t xml:space="preserve"> s </w:t>
      </w:r>
      <w:r w:rsidRPr="00033A3F" w:rsidDel="003549CA">
        <w:rPr>
          <w:color w:val="000000" w:themeColor="text1"/>
        </w:rPr>
        <w:t xml:space="preserve">věřiteli ještě před </w:t>
      </w:r>
      <w:r w:rsidRPr="00033A3F">
        <w:rPr>
          <w:color w:val="000000" w:themeColor="text1"/>
        </w:rPr>
        <w:t>tím, než proběhne celé insolvenční</w:t>
      </w:r>
      <w:r w:rsidRPr="00033A3F" w:rsidDel="003549CA">
        <w:rPr>
          <w:color w:val="000000" w:themeColor="text1"/>
        </w:rPr>
        <w:t xml:space="preserve"> řízení.</w:t>
      </w:r>
    </w:p>
    <w:p w14:paraId="2CF16E37" w14:textId="77777777"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Nadřízený soud </w:t>
      </w:r>
      <w:r w:rsidRPr="00033A3F">
        <w:rPr>
          <w:color w:val="000000" w:themeColor="text1"/>
        </w:rPr>
        <w:t>– z hlediska hierarchického organizačního uspořádání soudní soustavy lze soudy obecně označovat podle jejich postavení v soustavě jako soudy vyšší a nižší a z hlediska instančních vztahů také jako soudy nadřízené (vyššího stupně) a podřízené (nižšího stupně). Vyšším soudem je soud, který v soudní soustavě zaujímá oproti jinému soudu vyšší postavení bez ohledu na to, zda nižší soud je činný v obvodu působnosti soudu vyššího. Nadřízeným soudem je soud vyšší ve vztahu k soudu nižšímu (podřízenému), který spadá do jeho obvodu působnosti. Například krajský soud je vždy nadřízeným soudem ve vztahu k okresním soudům v obvodu jeho působnosti, nikoliv však již ve vztahu k okresním soudům, které spadají do působnosti jiného krajského soudu.</w:t>
      </w:r>
    </w:p>
    <w:p w14:paraId="451DF910" w14:textId="77777777"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Nejvyšší soud (NS) </w:t>
      </w:r>
      <w:r w:rsidRPr="00033A3F">
        <w:rPr>
          <w:color w:val="000000" w:themeColor="text1"/>
        </w:rPr>
        <w:t>– čtvrtý článek soudní soustavy a vrcholný soudní orgán ve věcech patřících do pravomoci soudů v civilním a trestním soudnictví s výjimkou záležitostí, o nichž rozhoduje Ústavní soud a Nejvyšší správní soud. Rozhoduje o mimořádných opravných prostředcích v případech stanovených zákony o řízení před soudy a v jiných případech stanovených zvláštním právním předpisem nebo mezinárodní smlouvou, s níž vyslovil souhlas Parlament, jíž je Česká republika vázána a která byla vyhlášena. Sídlí v Brně.</w:t>
      </w:r>
    </w:p>
    <w:p w14:paraId="29E8C6C9" w14:textId="0CFE5D4B"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Nejvyšší správní soud (NSS) </w:t>
      </w:r>
      <w:r w:rsidRPr="00033A3F">
        <w:rPr>
          <w:color w:val="000000" w:themeColor="text1"/>
        </w:rPr>
        <w:t>– vrcholný soudní orgán ve věcech patřících do pravomoci soudů ve správním soudnictví. Správní soudnictví v ČR spolu s NSS vykonávají krajské soudy. Sídlí v Brně.</w:t>
      </w:r>
    </w:p>
    <w:p w14:paraId="621EDD0B" w14:textId="77777777"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lastRenderedPageBreak/>
        <w:t xml:space="preserve">O. z. </w:t>
      </w:r>
      <w:r w:rsidRPr="00033A3F">
        <w:rPr>
          <w:color w:val="000000" w:themeColor="text1"/>
        </w:rPr>
        <w:t>– občanský zákoník, zákon č. 89/2012 Sb., který rekodifikoval české soukromé právo a nahradil předchozí československý občanský zákoník z roku 1964. Nabyl účinnosti dnem 1. 1. 2014.</w:t>
      </w:r>
    </w:p>
    <w:p w14:paraId="5512C889" w14:textId="50AE0BEF"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Obchodní </w:t>
      </w:r>
      <w:r w:rsidRPr="00033A3F">
        <w:rPr>
          <w:color w:val="000000" w:themeColor="text1"/>
        </w:rPr>
        <w:t>– (agenda, úsek) jedna ze samostatně sledovaných agend civilního soudnictví, jejíž převážnou část tvoří spory mezi podnikateli a statusové věci právnických osob včetně jejich zrušení a likvidace, jmenování a odvolávání členů jejich orgánů nebo likvidátora a přeměn</w:t>
      </w:r>
      <w:r w:rsidR="00395B5A" w:rsidRPr="00033A3F">
        <w:rPr>
          <w:color w:val="000000" w:themeColor="text1"/>
        </w:rPr>
        <w:t>y</w:t>
      </w:r>
      <w:r w:rsidRPr="00033A3F">
        <w:rPr>
          <w:color w:val="000000" w:themeColor="text1"/>
        </w:rPr>
        <w:t>. Do obchodní agendy se řadí i dvě další agendy se specificky upraveným druhem řízení. V prvním případě se jedná o insolvenci, která je vzhledem ke svému rozsahu a významu sledována zvlášť. V druhém případě jde o řízení ve věcech veřejných rejstříků právnických a fyzických osob</w:t>
      </w:r>
      <w:r w:rsidR="00FA2FE2" w:rsidRPr="00033A3F">
        <w:rPr>
          <w:color w:val="000000" w:themeColor="text1"/>
        </w:rPr>
        <w:t>, evidence svěřeneckých fondů a evidence skutečných majitelů</w:t>
      </w:r>
      <w:r w:rsidRPr="00033A3F">
        <w:rPr>
          <w:color w:val="000000" w:themeColor="text1"/>
        </w:rPr>
        <w:t>. Tato zpráva se posledně uvedenou agendou nezabývá; údaje o ní lze získat z ostatních veřejných zdrojů justičních statistik.</w:t>
      </w:r>
    </w:p>
    <w:p w14:paraId="4CA40BEE" w14:textId="3551738C"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Odvolací instance (agenda) </w:t>
      </w:r>
      <w:r w:rsidRPr="00033A3F">
        <w:rPr>
          <w:color w:val="000000" w:themeColor="text1"/>
        </w:rPr>
        <w:t>– také soud I</w:t>
      </w:r>
      <w:r w:rsidR="000C3B1E" w:rsidRPr="00033A3F">
        <w:rPr>
          <w:color w:val="000000" w:themeColor="text1"/>
        </w:rPr>
        <w:t>I. stupně</w:t>
      </w:r>
      <w:r w:rsidRPr="00033A3F">
        <w:rPr>
          <w:color w:val="000000" w:themeColor="text1"/>
        </w:rPr>
        <w:t xml:space="preserve"> (druhostupňová agenda). Soudní řízení bývá zpravidla dvoustupňové. Každá nová věc (spor nebo jiná právní věc) je nejdříve projednána a rozhodnuta v první instanci (viz dále). Lze-li nepravomocné rozhodnutí soudu </w:t>
      </w:r>
      <w:r w:rsidR="000C3B1E" w:rsidRPr="00033A3F">
        <w:rPr>
          <w:color w:val="000000" w:themeColor="text1"/>
        </w:rPr>
        <w:t>I. stupně</w:t>
      </w:r>
      <w:r w:rsidRPr="00033A3F">
        <w:rPr>
          <w:color w:val="000000" w:themeColor="text1"/>
        </w:rPr>
        <w:t xml:space="preserve"> napadnout opravným prostředkem, </w:t>
      </w:r>
      <w:r w:rsidR="00395B5A" w:rsidRPr="00033A3F">
        <w:rPr>
          <w:color w:val="000000" w:themeColor="text1"/>
        </w:rPr>
        <w:t xml:space="preserve">rozhoduje </w:t>
      </w:r>
      <w:r w:rsidR="00755920" w:rsidRPr="00033A3F">
        <w:rPr>
          <w:color w:val="000000" w:themeColor="text1"/>
        </w:rPr>
        <w:t>o </w:t>
      </w:r>
      <w:r w:rsidR="00395B5A" w:rsidRPr="00033A3F">
        <w:rPr>
          <w:color w:val="000000" w:themeColor="text1"/>
        </w:rPr>
        <w:t>něm</w:t>
      </w:r>
      <w:r w:rsidRPr="00033A3F">
        <w:rPr>
          <w:color w:val="000000" w:themeColor="text1"/>
        </w:rPr>
        <w:t xml:space="preserve"> bezprostředně </w:t>
      </w:r>
      <w:r w:rsidR="00395B5A" w:rsidRPr="00033A3F">
        <w:rPr>
          <w:color w:val="000000" w:themeColor="text1"/>
        </w:rPr>
        <w:t xml:space="preserve">nadřízený </w:t>
      </w:r>
      <w:r w:rsidRPr="00033A3F">
        <w:rPr>
          <w:color w:val="000000" w:themeColor="text1"/>
        </w:rPr>
        <w:t xml:space="preserve">soud </w:t>
      </w:r>
      <w:r w:rsidR="00755920" w:rsidRPr="00033A3F">
        <w:rPr>
          <w:color w:val="000000" w:themeColor="text1"/>
        </w:rPr>
        <w:t>v </w:t>
      </w:r>
      <w:r w:rsidRPr="00033A3F">
        <w:rPr>
          <w:color w:val="000000" w:themeColor="text1"/>
        </w:rPr>
        <w:t>odvolací</w:t>
      </w:r>
      <w:r w:rsidR="00395B5A" w:rsidRPr="00033A3F">
        <w:rPr>
          <w:color w:val="000000" w:themeColor="text1"/>
        </w:rPr>
        <w:t>m</w:t>
      </w:r>
      <w:r w:rsidRPr="00033A3F">
        <w:rPr>
          <w:color w:val="000000" w:themeColor="text1"/>
        </w:rPr>
        <w:t xml:space="preserve"> řízení.</w:t>
      </w:r>
    </w:p>
    <w:p w14:paraId="4C6A9356" w14:textId="49989935" w:rsidR="008430BD" w:rsidRPr="00033A3F" w:rsidRDefault="008430BD" w:rsidP="00A94F8F">
      <w:pPr>
        <w:pStyle w:val="Odstavecseseznamem"/>
        <w:numPr>
          <w:ilvl w:val="0"/>
          <w:numId w:val="3"/>
        </w:numPr>
        <w:rPr>
          <w:color w:val="000000" w:themeColor="text1"/>
        </w:rPr>
      </w:pPr>
      <w:r w:rsidRPr="00033A3F">
        <w:rPr>
          <w:b/>
          <w:color w:val="000000" w:themeColor="text1"/>
        </w:rPr>
        <w:t>Okresní soudy (OS)</w:t>
      </w:r>
      <w:r w:rsidRPr="00033A3F">
        <w:rPr>
          <w:color w:val="000000" w:themeColor="text1"/>
        </w:rPr>
        <w:t xml:space="preserve"> – první, nejnižší článek soudní soustavy. Tento článek soustavy čítá celkem 86 okresních soudů, z nichž 75 je označeno jako </w:t>
      </w:r>
      <w:r w:rsidRPr="00033A3F">
        <w:rPr>
          <w:i/>
          <w:color w:val="000000" w:themeColor="text1"/>
        </w:rPr>
        <w:t>okresní</w:t>
      </w:r>
      <w:r w:rsidRPr="00033A3F">
        <w:rPr>
          <w:color w:val="000000" w:themeColor="text1"/>
        </w:rPr>
        <w:t xml:space="preserve">, deset soudů na území hlavního města Prahy jako </w:t>
      </w:r>
      <w:r w:rsidRPr="00033A3F">
        <w:rPr>
          <w:i/>
          <w:color w:val="000000" w:themeColor="text1"/>
        </w:rPr>
        <w:t>obvodní</w:t>
      </w:r>
      <w:r w:rsidRPr="00033A3F">
        <w:rPr>
          <w:color w:val="000000" w:themeColor="text1"/>
        </w:rPr>
        <w:t xml:space="preserve"> (území hl. m. Prahy se dělí na deset soudních obvodů) a jeden jako </w:t>
      </w:r>
      <w:r w:rsidRPr="00033A3F">
        <w:rPr>
          <w:i/>
          <w:color w:val="000000" w:themeColor="text1"/>
        </w:rPr>
        <w:t>městský</w:t>
      </w:r>
      <w:r w:rsidRPr="00033A3F">
        <w:rPr>
          <w:color w:val="000000" w:themeColor="text1"/>
        </w:rPr>
        <w:t xml:space="preserve"> – Městský soud v Brně, který vykonává působnost okresního soudu pro území Statutárního města Brno (okres </w:t>
      </w:r>
      <w:r w:rsidR="0053190F" w:rsidRPr="00033A3F">
        <w:rPr>
          <w:color w:val="000000" w:themeColor="text1"/>
        </w:rPr>
        <w:t>Brno</w:t>
      </w:r>
      <w:r w:rsidR="0053190F" w:rsidRPr="00033A3F">
        <w:rPr>
          <w:color w:val="000000" w:themeColor="text1"/>
        </w:rPr>
        <w:noBreakHyphen/>
      </w:r>
      <w:r w:rsidRPr="00033A3F">
        <w:rPr>
          <w:color w:val="000000" w:themeColor="text1"/>
        </w:rPr>
        <w:t>město).</w:t>
      </w:r>
    </w:p>
    <w:p w14:paraId="2FA316F8"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Opatrovnická </w:t>
      </w:r>
      <w:r w:rsidRPr="00033A3F">
        <w:rPr>
          <w:color w:val="000000" w:themeColor="text1"/>
        </w:rPr>
        <w:t xml:space="preserve">– (agenda, řízení, úsek) je jednou ze samostatných agend civilního soudnictví, kterou tvoří zejména věci týkající se svéprávnosti a opatrovnictví člověka a dále především záležitosti nezletilých dětí, poručenství a jiných forem péče o dítě. Kromě výše uvedeného se do opatrovnické agendy započítávají také věci tzv. </w:t>
      </w:r>
      <w:r w:rsidRPr="00033A3F">
        <w:rPr>
          <w:i/>
          <w:color w:val="000000" w:themeColor="text1"/>
        </w:rPr>
        <w:t>detenčního řízení</w:t>
      </w:r>
      <w:r w:rsidRPr="00033A3F">
        <w:rPr>
          <w:color w:val="000000" w:themeColor="text1"/>
        </w:rPr>
        <w:t>, tedy řízení ve věcech vyslovení přípustnosti převzetí nebo držení ve zdravotním ústavu (rejstřík L). Vzhledem k omezenému rozsahu detenční agendy se jí tato zpráva nezabývá.</w:t>
      </w:r>
    </w:p>
    <w:p w14:paraId="1EB501EF" w14:textId="4B957A8C"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První instance (prvoinstanční agenda) </w:t>
      </w:r>
      <w:r w:rsidRPr="00033A3F">
        <w:rPr>
          <w:color w:val="000000" w:themeColor="text1"/>
        </w:rPr>
        <w:t xml:space="preserve">– také soud </w:t>
      </w:r>
      <w:r w:rsidR="000C3B1E" w:rsidRPr="00033A3F">
        <w:rPr>
          <w:color w:val="000000" w:themeColor="text1"/>
        </w:rPr>
        <w:t>I. stupně</w:t>
      </w:r>
      <w:r w:rsidRPr="00033A3F">
        <w:rPr>
          <w:color w:val="000000" w:themeColor="text1"/>
        </w:rPr>
        <w:t xml:space="preserve"> (prvostupňová agenda). Okresní soudy jsou soudy první instance vždy, není-li k tomu podle předpisů upravujících soudní řízení u</w:t>
      </w:r>
      <w:r w:rsidR="000B514E" w:rsidRPr="00033A3F">
        <w:rPr>
          <w:color w:val="000000" w:themeColor="text1"/>
        </w:rPr>
        <w:t>r</w:t>
      </w:r>
      <w:r w:rsidRPr="00033A3F">
        <w:rPr>
          <w:color w:val="000000" w:themeColor="text1"/>
        </w:rPr>
        <w:t>čen jiný článek soudní soustavy. Takovým jiným článkem jsou zpravidla krajské soudy. Existuje však velmi malý okruh věcí, kdy jako prvoinstanční soud působí soudy vrchní nebo nejvyšší (Nejvyšší soud a Nejvyšší správní soud).</w:t>
      </w:r>
    </w:p>
    <w:p w14:paraId="2117FF80" w14:textId="279B8463"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Přísedící soudu </w:t>
      </w:r>
      <w:r w:rsidRPr="00033A3F">
        <w:rPr>
          <w:color w:val="000000" w:themeColor="text1"/>
        </w:rPr>
        <w:t>–</w:t>
      </w:r>
      <w:r w:rsidR="00AB2060" w:rsidRPr="00033A3F">
        <w:rPr>
          <w:color w:val="000000" w:themeColor="text1"/>
        </w:rPr>
        <w:t xml:space="preserve"> </w:t>
      </w:r>
      <w:r w:rsidRPr="00033A3F">
        <w:rPr>
          <w:color w:val="000000" w:themeColor="text1"/>
        </w:rPr>
        <w:t>osoby</w:t>
      </w:r>
      <w:r w:rsidR="00DF67CE" w:rsidRPr="00033A3F">
        <w:rPr>
          <w:color w:val="000000" w:themeColor="text1"/>
        </w:rPr>
        <w:t xml:space="preserve">, které jsou voleny z řad laické veřejnosti </w:t>
      </w:r>
      <w:r w:rsidR="00755920" w:rsidRPr="00033A3F">
        <w:rPr>
          <w:color w:val="000000" w:themeColor="text1"/>
        </w:rPr>
        <w:t>a </w:t>
      </w:r>
      <w:r w:rsidR="00DF67CE" w:rsidRPr="00033A3F">
        <w:rPr>
          <w:color w:val="000000" w:themeColor="text1"/>
        </w:rPr>
        <w:t>které se podílí na rozhodovací činnosti soudů.</w:t>
      </w:r>
      <w:r w:rsidRPr="00033A3F">
        <w:rPr>
          <w:color w:val="000000" w:themeColor="text1"/>
        </w:rPr>
        <w:t xml:space="preserve"> </w:t>
      </w:r>
      <w:r w:rsidR="00DF67CE" w:rsidRPr="00033A3F">
        <w:rPr>
          <w:color w:val="000000" w:themeColor="text1"/>
        </w:rPr>
        <w:t>V</w:t>
      </w:r>
      <w:r w:rsidRPr="00033A3F">
        <w:rPr>
          <w:color w:val="000000" w:themeColor="text1"/>
        </w:rPr>
        <w:t>edle předsedy</w:t>
      </w:r>
      <w:r w:rsidR="00DF67CE" w:rsidRPr="00033A3F">
        <w:rPr>
          <w:color w:val="000000" w:themeColor="text1"/>
        </w:rPr>
        <w:t>, kterým je profesionální soudce,</w:t>
      </w:r>
      <w:r w:rsidRPr="00033A3F">
        <w:rPr>
          <w:color w:val="000000" w:themeColor="text1"/>
        </w:rPr>
        <w:t xml:space="preserve"> </w:t>
      </w:r>
      <w:r w:rsidR="00DF67CE" w:rsidRPr="00033A3F">
        <w:rPr>
          <w:color w:val="000000" w:themeColor="text1"/>
        </w:rPr>
        <w:t>jsou</w:t>
      </w:r>
      <w:r w:rsidRPr="00033A3F">
        <w:rPr>
          <w:color w:val="000000" w:themeColor="text1"/>
        </w:rPr>
        <w:t xml:space="preserve"> členy </w:t>
      </w:r>
      <w:r w:rsidR="00DF67CE" w:rsidRPr="00033A3F">
        <w:rPr>
          <w:color w:val="000000" w:themeColor="text1"/>
        </w:rPr>
        <w:t xml:space="preserve">tříčlenného </w:t>
      </w:r>
      <w:r w:rsidRPr="00033A3F">
        <w:rPr>
          <w:color w:val="000000" w:themeColor="text1"/>
        </w:rPr>
        <w:t>soudního senátu</w:t>
      </w:r>
      <w:r w:rsidR="00DF67CE" w:rsidRPr="00033A3F">
        <w:rPr>
          <w:color w:val="000000" w:themeColor="text1"/>
        </w:rPr>
        <w:t xml:space="preserve"> </w:t>
      </w:r>
      <w:r w:rsidR="00755920" w:rsidRPr="00033A3F">
        <w:rPr>
          <w:color w:val="000000" w:themeColor="text1"/>
        </w:rPr>
        <w:t>a </w:t>
      </w:r>
      <w:r w:rsidR="00DF67CE" w:rsidRPr="00033A3F">
        <w:rPr>
          <w:color w:val="000000" w:themeColor="text1"/>
        </w:rPr>
        <w:t>disponují hlasovacím právem</w:t>
      </w:r>
      <w:r w:rsidRPr="00033A3F">
        <w:rPr>
          <w:color w:val="000000" w:themeColor="text1"/>
        </w:rPr>
        <w:t xml:space="preserve">. </w:t>
      </w:r>
      <w:r w:rsidR="00DF67CE" w:rsidRPr="00033A3F">
        <w:rPr>
          <w:color w:val="000000" w:themeColor="text1"/>
        </w:rPr>
        <w:t>P</w:t>
      </w:r>
      <w:r w:rsidRPr="00033A3F">
        <w:rPr>
          <w:color w:val="000000" w:themeColor="text1"/>
        </w:rPr>
        <w:t xml:space="preserve">ři poradě </w:t>
      </w:r>
      <w:r w:rsidR="000C3B1E" w:rsidRPr="00033A3F">
        <w:rPr>
          <w:color w:val="000000" w:themeColor="text1"/>
        </w:rPr>
        <w:t>o </w:t>
      </w:r>
      <w:r w:rsidRPr="00033A3F">
        <w:rPr>
          <w:color w:val="000000" w:themeColor="text1"/>
        </w:rPr>
        <w:t xml:space="preserve">rozsudku platí rovnost hlasů </w:t>
      </w:r>
      <w:r w:rsidR="00755920" w:rsidRPr="00033A3F">
        <w:rPr>
          <w:color w:val="000000" w:themeColor="text1"/>
        </w:rPr>
        <w:t>a </w:t>
      </w:r>
      <w:r w:rsidR="00C8663B" w:rsidRPr="00033A3F">
        <w:rPr>
          <w:color w:val="000000" w:themeColor="text1"/>
        </w:rPr>
        <w:t>může tak dojít k přehlasování předsedy soudního senátu přísedícími</w:t>
      </w:r>
      <w:r w:rsidRPr="00033A3F">
        <w:rPr>
          <w:color w:val="000000" w:themeColor="text1"/>
        </w:rPr>
        <w:t xml:space="preserve"> </w:t>
      </w:r>
      <w:r w:rsidR="005D76CA" w:rsidRPr="00033A3F">
        <w:rPr>
          <w:color w:val="000000" w:themeColor="text1"/>
        </w:rPr>
        <w:t>(</w:t>
      </w:r>
      <w:r w:rsidRPr="00033A3F">
        <w:rPr>
          <w:color w:val="000000" w:themeColor="text1"/>
        </w:rPr>
        <w:t>více zákon č. 6/2002 Sb., o soudech, soudcích, přísedících a státní správě soudů a o změně některých dalších zákonů (zákon o soudech a soudcích), ve znění pozdějších předpisů</w:t>
      </w:r>
      <w:r w:rsidR="005D76CA" w:rsidRPr="00033A3F">
        <w:rPr>
          <w:color w:val="000000" w:themeColor="text1"/>
        </w:rPr>
        <w:t>)</w:t>
      </w:r>
      <w:r w:rsidRPr="00033A3F">
        <w:rPr>
          <w:color w:val="000000" w:themeColor="text1"/>
        </w:rPr>
        <w:t>.</w:t>
      </w:r>
    </w:p>
    <w:p w14:paraId="30B18487" w14:textId="6ECF9BE5"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Rejstřík </w:t>
      </w:r>
      <w:r w:rsidRPr="00033A3F">
        <w:rPr>
          <w:color w:val="000000" w:themeColor="text1"/>
        </w:rPr>
        <w:t>– evidenční pomůcka, která podává přehled o počtu a stavu vyřizování jednotlivých věcí. Je také podkladem pro vypracování statistických výkazů o činnosti soudů a dalších statistických výstupů a zdrojem pro základní kontrolu výkonu působnosti soudů. Soudy (včetně nejvyšších) vedou celkem přibližně 120 druhů rejstříků.</w:t>
      </w:r>
    </w:p>
    <w:p w14:paraId="2535FD45" w14:textId="675EB547" w:rsidR="008430BD" w:rsidRPr="00033A3F" w:rsidRDefault="008430BD" w:rsidP="00A94F8F">
      <w:pPr>
        <w:pStyle w:val="Odstavecseseznamem"/>
        <w:numPr>
          <w:ilvl w:val="0"/>
          <w:numId w:val="3"/>
        </w:numPr>
        <w:rPr>
          <w:color w:val="000000" w:themeColor="text1"/>
        </w:rPr>
      </w:pPr>
      <w:r w:rsidRPr="00033A3F">
        <w:rPr>
          <w:b/>
          <w:color w:val="000000" w:themeColor="text1"/>
        </w:rPr>
        <w:lastRenderedPageBreak/>
        <w:t xml:space="preserve">Rozkazní řízení </w:t>
      </w:r>
      <w:r w:rsidRPr="00033A3F">
        <w:rPr>
          <w:color w:val="000000" w:themeColor="text1"/>
        </w:rPr>
        <w:t>– jedná se o civilní řízení ve zkrácené formě, jehož cílem je skončení věc</w:t>
      </w:r>
      <w:r w:rsidR="00C8663B" w:rsidRPr="00033A3F">
        <w:rPr>
          <w:color w:val="000000" w:themeColor="text1"/>
        </w:rPr>
        <w:t>i</w:t>
      </w:r>
      <w:r w:rsidRPr="00033A3F">
        <w:rPr>
          <w:color w:val="000000" w:themeColor="text1"/>
        </w:rPr>
        <w:t xml:space="preserve"> vydáním platebního rozkazu. V této zprávě označuje jen ta civilní řízení, která jsou zahájena návrhem žalobce na vydání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 Platebním rozkazem se v této zprávě míní nejen běžný platební rozkaz, ale i elektronický platební rozkaz, evropský platební rozkaz a směnečný (šekový) platební rozkaz, není-li uvedeno jinak.</w:t>
      </w:r>
    </w:p>
    <w:p w14:paraId="23420BD2"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Skutková podstata trestného činu </w:t>
      </w:r>
      <w:r w:rsidRPr="00033A3F">
        <w:rPr>
          <w:color w:val="000000" w:themeColor="text1"/>
        </w:rPr>
        <w:t>– souhrn typových znaků uvedených v trestním zákoníku, podle kterých se rozlišují jednotlivé druhy trestných činů (vražda, loupež, krádež, podvod atd.).</w:t>
      </w:r>
    </w:p>
    <w:p w14:paraId="37CC4344" w14:textId="14F29C92" w:rsidR="008430BD" w:rsidRPr="00033A3F" w:rsidRDefault="008430BD" w:rsidP="00A94F8F">
      <w:pPr>
        <w:pStyle w:val="Odstavecseseznamem"/>
        <w:numPr>
          <w:ilvl w:val="0"/>
          <w:numId w:val="3"/>
        </w:numPr>
        <w:rPr>
          <w:b/>
          <w:color w:val="000000" w:themeColor="text1"/>
        </w:rPr>
      </w:pPr>
      <w:r w:rsidRPr="00033A3F">
        <w:rPr>
          <w:b/>
          <w:color w:val="000000" w:themeColor="text1"/>
        </w:rPr>
        <w:t>Soudní obvod (okresního, krajského a vrchního soudu)</w:t>
      </w:r>
      <w:r w:rsidRPr="00033A3F">
        <w:rPr>
          <w:color w:val="000000" w:themeColor="text1"/>
        </w:rPr>
        <w:t xml:space="preserve"> – územní působnost jednotlivých soudů, včetně názvu a umístění sídla, stanovuje zákon č. 6/2002 Sb., </w:t>
      </w:r>
      <w:bookmarkStart w:id="2725" w:name="_Hlk103611250"/>
      <w:r w:rsidRPr="00033A3F">
        <w:rPr>
          <w:color w:val="000000" w:themeColor="text1"/>
        </w:rPr>
        <w:t>o soudech, soudcích, přísedících a státní správě soudů a </w:t>
      </w:r>
      <w:r w:rsidR="000C3B1E" w:rsidRPr="00033A3F">
        <w:rPr>
          <w:color w:val="000000" w:themeColor="text1"/>
        </w:rPr>
        <w:t>o </w:t>
      </w:r>
      <w:r w:rsidRPr="00033A3F">
        <w:rPr>
          <w:color w:val="000000" w:themeColor="text1"/>
        </w:rPr>
        <w:t>změně některých dalších zákonů (zákon o soudech a soudcích), ve znění pozdějších předpisů</w:t>
      </w:r>
      <w:bookmarkEnd w:id="2725"/>
      <w:r w:rsidRPr="00033A3F">
        <w:rPr>
          <w:color w:val="000000" w:themeColor="text1"/>
        </w:rPr>
        <w:t>. Obvod okresního soudu (soudní okres) je vymezen územním výčtem obcí, které jej tvoří (u obvodního soudu územím městských částí hlavního města Prahy). Obvod krajského soudu (soudní kraj) se skládá z obvod</w:t>
      </w:r>
      <w:r w:rsidR="00BE1819" w:rsidRPr="00033A3F">
        <w:rPr>
          <w:color w:val="000000" w:themeColor="text1"/>
        </w:rPr>
        <w:t>ů</w:t>
      </w:r>
      <w:r w:rsidRPr="00033A3F">
        <w:rPr>
          <w:color w:val="000000" w:themeColor="text1"/>
        </w:rPr>
        <w:t xml:space="preserve"> okresních soudů, kterým je nadřízeným soudem, a obvod vrchního soudu z obvodů krajských soudů, kterým je nadřízeným soudem.</w:t>
      </w:r>
    </w:p>
    <w:p w14:paraId="323D6896"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Správní </w:t>
      </w:r>
      <w:r w:rsidRPr="00033A3F">
        <w:rPr>
          <w:color w:val="000000" w:themeColor="text1"/>
        </w:rPr>
        <w:t>– (agenda, řízení, úsek) – ve správním soudnictví poskytují soudy ochranu veřejným subjektivním právům fyzických i právnických osob a rozhodují i další věci, o kterých tak stanoví zákon (zejména věci volební, věci místního a krajského referenda a rozhodování o zrušení opatření obecné povahy nebo jeho částí pro rozpor se zákonem).</w:t>
      </w:r>
    </w:p>
    <w:p w14:paraId="78E21702"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Stížnost pro porušení zákona </w:t>
      </w:r>
      <w:r w:rsidRPr="00033A3F">
        <w:rPr>
          <w:color w:val="000000" w:themeColor="text1"/>
        </w:rPr>
        <w:t>– mimořádný opravný prostředek</w:t>
      </w:r>
      <w:r w:rsidR="00BE1819" w:rsidRPr="00033A3F">
        <w:rPr>
          <w:color w:val="000000" w:themeColor="text1"/>
        </w:rPr>
        <w:t xml:space="preserve"> v trestním řízení</w:t>
      </w:r>
      <w:r w:rsidRPr="00033A3F">
        <w:rPr>
          <w:color w:val="000000" w:themeColor="text1"/>
        </w:rPr>
        <w:t>, který může podat jen ministr spravedlnosti, a to proti pravomocnému rozhodnutí soudu nebo státního zástupce, jímž byl porušen zákon nebo které bylo učiněno na podkladě vadného postupu řízení. Stížnost pro porušení zákona se podává k Nejvyššímu soudu, který o ní také rozhoduje (viz také ust. § 266 a násl. tr. řádu).</w:t>
      </w:r>
    </w:p>
    <w:p w14:paraId="1499A3BC" w14:textId="28DEAE81"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Systemizace a její výpočet </w:t>
      </w:r>
      <w:r w:rsidRPr="00033A3F">
        <w:rPr>
          <w:color w:val="000000" w:themeColor="text1"/>
        </w:rPr>
        <w:t xml:space="preserve">– </w:t>
      </w:r>
      <w:r w:rsidRPr="00033A3F">
        <w:rPr>
          <w:color w:val="000000" w:themeColor="text1"/>
          <w:lang w:eastAsia="cs-CZ"/>
        </w:rPr>
        <w:t xml:space="preserve">výpočet slouží k odhadu potřeby soudců k vyřízení nápadu pro následující rok. Pro každý soud se z dat za předchozí tři roky odhadne nápad ve všech rejstřících pro předmětný rok. Za pomoci měřítek se vypočte teoretický počet soudců potřebných k vyřízení nápadu v daném rejstříku. Potřeba soudců pro jednotlivé rejstříky se sečte a vyjde tak potřeba soudců pro předmětný soud a rok. Vypočtená potřeba je nakonec upravena s přihlédnutím ke státnímu rozpočtu, jehož prostředky v současné době postačují pro 3 063 soudců. Samotná systemizace spočívá ve stanovení plánovaného počtu soudců pro jednotlivé kraje na základě výše popsaného výpočtu. Pro </w:t>
      </w:r>
      <w:r w:rsidR="005A776C" w:rsidRPr="00033A3F">
        <w:rPr>
          <w:color w:val="000000" w:themeColor="text1"/>
          <w:lang w:eastAsia="cs-CZ"/>
        </w:rPr>
        <w:t>nej</w:t>
      </w:r>
      <w:r w:rsidRPr="00033A3F">
        <w:rPr>
          <w:color w:val="000000" w:themeColor="text1"/>
          <w:lang w:eastAsia="cs-CZ"/>
        </w:rPr>
        <w:t>vyšší soudy je systemizace určena na základě dohody, nikoliv na základě výpočtu.</w:t>
      </w:r>
    </w:p>
    <w:p w14:paraId="652B2E73" w14:textId="4A39C69F"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Trestní </w:t>
      </w:r>
      <w:r w:rsidRPr="00033A3F">
        <w:rPr>
          <w:color w:val="000000" w:themeColor="text1"/>
        </w:rPr>
        <w:t xml:space="preserve">– (agenda, řízení, úsek). Hlavním </w:t>
      </w:r>
      <w:r w:rsidR="00877EEC">
        <w:rPr>
          <w:color w:val="000000" w:themeColor="text1"/>
        </w:rPr>
        <w:t>účelem</w:t>
      </w:r>
      <w:r w:rsidRPr="00033A3F">
        <w:rPr>
          <w:color w:val="000000" w:themeColor="text1"/>
        </w:rPr>
        <w:t xml:space="preserve"> trestního řízení je náležité zjištění trestných činů a spravedlivé potrestání jejich pachatelů v souladu se zákonem.</w:t>
      </w:r>
    </w:p>
    <w:p w14:paraId="44A1D2BC" w14:textId="5BA7129E" w:rsidR="008430BD" w:rsidRPr="00033A3F" w:rsidRDefault="000C3B1E" w:rsidP="008430BD">
      <w:pPr>
        <w:pStyle w:val="Odstavecseseznamem"/>
        <w:rPr>
          <w:color w:val="000000" w:themeColor="text1"/>
        </w:rPr>
      </w:pPr>
      <w:r w:rsidRPr="00033A3F">
        <w:rPr>
          <w:noProof/>
          <w:color w:val="000000" w:themeColor="text1"/>
          <w:lang w:eastAsia="cs-CZ"/>
        </w:rPr>
        <w:lastRenderedPageBreak/>
        <w:drawing>
          <wp:anchor distT="0" distB="0" distL="114300" distR="114300" simplePos="0" relativeHeight="251659264" behindDoc="0" locked="0" layoutInCell="1" allowOverlap="1" wp14:anchorId="3E44A191" wp14:editId="169B0D53">
            <wp:simplePos x="0" y="0"/>
            <wp:positionH relativeFrom="column">
              <wp:posOffset>474041</wp:posOffset>
            </wp:positionH>
            <wp:positionV relativeFrom="paragraph">
              <wp:posOffset>986790</wp:posOffset>
            </wp:positionV>
            <wp:extent cx="4964430" cy="1518920"/>
            <wp:effectExtent l="0" t="0" r="7620" b="5080"/>
            <wp:wrapTopAndBottom/>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964430"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0BD" w:rsidRPr="00033A3F">
        <w:rPr>
          <w:color w:val="000000" w:themeColor="text1"/>
        </w:rPr>
        <w:t>Trestní řízení je zákonem upravený postup orgánů činných v trestním řízení (policejní orgány, státní zastupitelství a soudy) a dalších subjektů podílejících se na tomto postupu. Trestní řízení probíhá v několika stádiích. Rozlišujeme přípravné řízení, předběžné projednání obžaloby, hlavní líčení, odvolací řízení a vykonávací řízení (viz zjednodušené schéma níže):</w:t>
      </w:r>
    </w:p>
    <w:p w14:paraId="0F1E51CA" w14:textId="1BE92E6F" w:rsidR="008430BD" w:rsidRPr="00033A3F" w:rsidRDefault="008430BD" w:rsidP="008430BD">
      <w:pPr>
        <w:pStyle w:val="Odstavecseseznamem"/>
        <w:rPr>
          <w:color w:val="000000" w:themeColor="text1"/>
        </w:rPr>
      </w:pPr>
      <w:r w:rsidRPr="00033A3F">
        <w:rPr>
          <w:color w:val="000000" w:themeColor="text1"/>
        </w:rPr>
        <w:t>Trestní věc nemusí projít všemi stádii, zejména může být rozhodnuta již v přípravném řízení, což znamená, že hlavní líčení se nebude vůbec konat. Obdobně skončí-li věc ve prospěch obžalovaného, není důvodu pro konání vykonávacího řízení, neboť rozsudkem nebyla uložena sankce (trest, ochranné opatření).</w:t>
      </w:r>
    </w:p>
    <w:p w14:paraId="19345D8B" w14:textId="736696C9" w:rsidR="008430BD" w:rsidRPr="00033A3F" w:rsidRDefault="008430BD" w:rsidP="008430BD">
      <w:pPr>
        <w:pStyle w:val="Odstavecseseznamem"/>
        <w:rPr>
          <w:color w:val="000000" w:themeColor="text1"/>
        </w:rPr>
      </w:pPr>
      <w:r w:rsidRPr="00033A3F">
        <w:rPr>
          <w:color w:val="000000" w:themeColor="text1"/>
        </w:rPr>
        <w:t xml:space="preserve">Soudů se především týká část trestního řízení od podání obžaloby, tedy předběžné projednání obžaloby, hlavní líčení, odvolací řízení (souhrnně označená jako řízení před soudem) a vykonávací řízení. Samozřejmě soudy na trestním úseku vyřizují i další trestní agendu (např. rozhodování soudce v přípravném řízení). Tato zpráva se ale věnuje trestním věcem spadajícím do řízení před soudem a zapisovaným do rejstříků T a Tm u prvostupňového soudu a do rejstříků To a Tmo </w:t>
      </w:r>
      <w:r w:rsidR="00755920" w:rsidRPr="00033A3F">
        <w:rPr>
          <w:color w:val="000000" w:themeColor="text1"/>
        </w:rPr>
        <w:t>u </w:t>
      </w:r>
      <w:r w:rsidRPr="00033A3F">
        <w:rPr>
          <w:color w:val="000000" w:themeColor="text1"/>
        </w:rPr>
        <w:t>odvolacího soudu.</w:t>
      </w:r>
    </w:p>
    <w:p w14:paraId="08F568F4" w14:textId="36AB6C2D"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Vrchní soudy (VS) </w:t>
      </w:r>
      <w:r w:rsidRPr="00033A3F">
        <w:rPr>
          <w:color w:val="000000" w:themeColor="text1"/>
        </w:rPr>
        <w:t>– jsou třetím článkem soudní soustavy tvořeným dvěma soudy se sídl</w:t>
      </w:r>
      <w:r w:rsidR="00C53827" w:rsidRPr="00033A3F">
        <w:rPr>
          <w:color w:val="000000" w:themeColor="text1"/>
        </w:rPr>
        <w:t>y</w:t>
      </w:r>
      <w:r w:rsidRPr="00033A3F">
        <w:rPr>
          <w:color w:val="000000" w:themeColor="text1"/>
        </w:rPr>
        <w:t xml:space="preserve"> v Praze a v Olomouci.</w:t>
      </w:r>
    </w:p>
    <w:p w14:paraId="49C808BF" w14:textId="742B7824"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Zaměstnanec ve výkonu </w:t>
      </w:r>
      <w:r w:rsidRPr="00033A3F">
        <w:rPr>
          <w:color w:val="000000" w:themeColor="text1"/>
        </w:rPr>
        <w:t>– jedná se o zaměstnance soudu, který není soudcem, ale bezprostředně se podílí na vyřizování soudní agendy a výkonu soudnictví. Zaměstnance lze roztřídit do několika kategorií podle druhu práce, kterou vykonávají. Bližší popis je uveden v</w:t>
      </w:r>
      <w:r w:rsidR="000C3B1E" w:rsidRPr="00033A3F">
        <w:rPr>
          <w:color w:val="000000" w:themeColor="text1"/>
        </w:rPr>
        <w:t> </w:t>
      </w:r>
      <w:r w:rsidRPr="00033A3F">
        <w:rPr>
          <w:color w:val="000000" w:themeColor="text1"/>
        </w:rPr>
        <w:t>podkapitole</w:t>
      </w:r>
      <w:r w:rsidR="000C3B1E" w:rsidRPr="00033A3F">
        <w:rPr>
          <w:color w:val="000000" w:themeColor="text1"/>
        </w:rPr>
        <w:t> </w:t>
      </w:r>
      <w:r w:rsidRPr="00033A3F">
        <w:rPr>
          <w:color w:val="000000" w:themeColor="text1"/>
        </w:rPr>
        <w:t>2.1.2.</w:t>
      </w:r>
    </w:p>
    <w:p w14:paraId="1A045265"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Zaměstnanec ve správě </w:t>
      </w:r>
      <w:r w:rsidRPr="00033A3F">
        <w:rPr>
          <w:color w:val="000000" w:themeColor="text1"/>
        </w:rPr>
        <w:t xml:space="preserve">– zajišťuje provoz soudu, což zahrnuje velkou škálu funkcí. Celou správu soudu řídí ředitel správy. Dalšími zaměstnanci ve správě jsou například pracovníci sekretariátu, dozorčí úředníci, účetní, ekonomové, informatici nebo řidiči. Celkem je rozlišováno </w:t>
      </w:r>
      <w:r w:rsidR="00BE1819" w:rsidRPr="00033A3F">
        <w:rPr>
          <w:color w:val="000000" w:themeColor="text1"/>
        </w:rPr>
        <w:t>přibližně</w:t>
      </w:r>
      <w:r w:rsidRPr="00033A3F">
        <w:rPr>
          <w:color w:val="000000" w:themeColor="text1"/>
        </w:rPr>
        <w:t xml:space="preserve"> 40 kategorií zaměstnanců ve správě.</w:t>
      </w:r>
    </w:p>
    <w:p w14:paraId="32D9995A"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Zkrácené přípravné řízení </w:t>
      </w:r>
      <w:r w:rsidRPr="00033A3F">
        <w:rPr>
          <w:color w:val="000000" w:themeColor="text1"/>
        </w:rPr>
        <w:t>– představuje zvláštní formu přípravného řízení, jehož podstatou je umožnit u méně závažných trestných činů jejich rychlejší a jednodušší vyřízení (skončení), tedy objasnění skutku, ve kterém je spatřován trestný čin, zjištění osoby důvodně podezřelé z jeho spáchání a vyhledání důkazů. Zkrácené přípravné řízení lze podle zákona konat jen o trestných činech, které v prvním stupni přísluší projednávat okresnímu soudu a jejichž horní hranice trestní sazby nepřevyšuje pět let, pokud byl podezřelý přistižen při činu nebo bezprostředně po něm nebo pokud v průběhu prověřování byly zjištěny skutečnosti jinak odůvodňující zahájení trestního stíhání a lze očekávat, že podezřelého bude možné ve lhůtě dvou týdnů postavit před soud.</w:t>
      </w:r>
    </w:p>
    <w:p w14:paraId="60DCCF0F" w14:textId="77777777" w:rsidR="008430BD" w:rsidRPr="00033A3F" w:rsidRDefault="008430BD" w:rsidP="008430BD">
      <w:pPr>
        <w:spacing w:line="240" w:lineRule="auto"/>
        <w:jc w:val="left"/>
        <w:rPr>
          <w:color w:val="000000" w:themeColor="text1"/>
        </w:rPr>
      </w:pPr>
      <w:r w:rsidRPr="00033A3F">
        <w:rPr>
          <w:color w:val="000000" w:themeColor="text1"/>
        </w:rPr>
        <w:br w:type="page"/>
      </w:r>
    </w:p>
    <w:p w14:paraId="12006997" w14:textId="4B68B05A" w:rsidR="008430BD" w:rsidRPr="00033A3F" w:rsidRDefault="008430BD" w:rsidP="008430BD">
      <w:pPr>
        <w:pStyle w:val="Nadpis2"/>
        <w:ind w:left="578" w:hanging="578"/>
      </w:pPr>
      <w:bookmarkStart w:id="2726" w:name="_Ref482901972"/>
      <w:bookmarkStart w:id="2727" w:name="_Toc487791320"/>
      <w:bookmarkStart w:id="2728" w:name="_Toc106092838"/>
      <w:bookmarkStart w:id="2729" w:name="_Toc169250917"/>
      <w:bookmarkStart w:id="2730" w:name="_Toc193531078"/>
      <w:bookmarkStart w:id="2731" w:name="_Toc193957136"/>
      <w:bookmarkStart w:id="2732" w:name="_Toc203032825"/>
      <w:r w:rsidRPr="00033A3F">
        <w:lastRenderedPageBreak/>
        <w:t>Příloha B – seznam zkr. soudních okresů a soudních obvodů hl. m. Prahy</w:t>
      </w:r>
      <w:bookmarkEnd w:id="2726"/>
      <w:bookmarkEnd w:id="2727"/>
      <w:bookmarkEnd w:id="2728"/>
      <w:bookmarkEnd w:id="2729"/>
      <w:bookmarkEnd w:id="2730"/>
      <w:bookmarkEnd w:id="2731"/>
      <w:bookmarkEnd w:id="2732"/>
    </w:p>
    <w:p w14:paraId="34DF71FD" w14:textId="77777777" w:rsidR="008430BD" w:rsidRPr="00033A3F" w:rsidRDefault="008430BD" w:rsidP="008430BD">
      <w:pPr>
        <w:rPr>
          <w:color w:val="000000" w:themeColor="text1"/>
        </w:rPr>
      </w:pPr>
    </w:p>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033A3F" w:rsidRPr="00033A3F" w14:paraId="314081C2" w14:textId="77777777" w:rsidTr="00CF32FA">
        <w:trPr>
          <w:trHeight w:val="345"/>
          <w:jc w:val="center"/>
        </w:trPr>
        <w:tc>
          <w:tcPr>
            <w:tcW w:w="2320" w:type="dxa"/>
            <w:tcBorders>
              <w:top w:val="double" w:sz="6" w:space="0" w:color="auto"/>
              <w:left w:val="nil"/>
              <w:bottom w:val="double" w:sz="6" w:space="0" w:color="auto"/>
              <w:right w:val="nil"/>
            </w:tcBorders>
            <w:shd w:val="clear" w:color="auto" w:fill="auto"/>
            <w:noWrap/>
            <w:vAlign w:val="center"/>
            <w:hideMark/>
          </w:tcPr>
          <w:p w14:paraId="7B24D039" w14:textId="77777777" w:rsidR="008430BD" w:rsidRPr="00033A3F" w:rsidRDefault="008430BD" w:rsidP="00CF32FA">
            <w:pPr>
              <w:spacing w:line="240" w:lineRule="auto"/>
              <w:jc w:val="center"/>
              <w:rPr>
                <w:b/>
                <w:color w:val="000000" w:themeColor="text1"/>
              </w:rPr>
            </w:pPr>
            <w:r w:rsidRPr="00033A3F">
              <w:rPr>
                <w:b/>
                <w:color w:val="000000" w:themeColor="text1"/>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center"/>
            <w:hideMark/>
          </w:tcPr>
          <w:p w14:paraId="4E550854" w14:textId="77777777" w:rsidR="008430BD" w:rsidRPr="00033A3F" w:rsidRDefault="008430BD" w:rsidP="00CF32FA">
            <w:pPr>
              <w:spacing w:line="240" w:lineRule="auto"/>
              <w:jc w:val="center"/>
              <w:rPr>
                <w:b/>
                <w:color w:val="000000" w:themeColor="text1"/>
              </w:rPr>
            </w:pPr>
            <w:r w:rsidRPr="00033A3F">
              <w:rPr>
                <w:b/>
                <w:color w:val="000000" w:themeColor="text1"/>
              </w:rPr>
              <w:t>Zkratka</w:t>
            </w:r>
          </w:p>
        </w:tc>
        <w:tc>
          <w:tcPr>
            <w:tcW w:w="2320" w:type="dxa"/>
            <w:tcBorders>
              <w:top w:val="double" w:sz="6" w:space="0" w:color="auto"/>
              <w:left w:val="nil"/>
              <w:bottom w:val="double" w:sz="6" w:space="0" w:color="auto"/>
              <w:right w:val="nil"/>
            </w:tcBorders>
            <w:shd w:val="clear" w:color="auto" w:fill="auto"/>
            <w:noWrap/>
            <w:vAlign w:val="center"/>
            <w:hideMark/>
          </w:tcPr>
          <w:p w14:paraId="2F2D4E77" w14:textId="77777777" w:rsidR="008430BD" w:rsidRPr="00033A3F" w:rsidRDefault="008430BD" w:rsidP="00CF32FA">
            <w:pPr>
              <w:spacing w:line="240" w:lineRule="auto"/>
              <w:jc w:val="center"/>
              <w:rPr>
                <w:b/>
                <w:color w:val="000000" w:themeColor="text1"/>
              </w:rPr>
            </w:pPr>
            <w:r w:rsidRPr="00033A3F">
              <w:rPr>
                <w:b/>
                <w:color w:val="000000" w:themeColor="text1"/>
              </w:rPr>
              <w:t>Okres (obvod)</w:t>
            </w:r>
          </w:p>
        </w:tc>
        <w:tc>
          <w:tcPr>
            <w:tcW w:w="1060" w:type="dxa"/>
            <w:tcBorders>
              <w:top w:val="double" w:sz="6" w:space="0" w:color="auto"/>
              <w:left w:val="nil"/>
              <w:bottom w:val="double" w:sz="6" w:space="0" w:color="auto"/>
              <w:right w:val="nil"/>
            </w:tcBorders>
            <w:shd w:val="clear" w:color="auto" w:fill="auto"/>
            <w:noWrap/>
            <w:vAlign w:val="center"/>
            <w:hideMark/>
          </w:tcPr>
          <w:p w14:paraId="7827FDCC" w14:textId="77777777" w:rsidR="008430BD" w:rsidRPr="00033A3F" w:rsidRDefault="008430BD" w:rsidP="00CF32FA">
            <w:pPr>
              <w:spacing w:line="240" w:lineRule="auto"/>
              <w:jc w:val="center"/>
              <w:rPr>
                <w:b/>
                <w:color w:val="000000" w:themeColor="text1"/>
              </w:rPr>
            </w:pPr>
            <w:r w:rsidRPr="00033A3F">
              <w:rPr>
                <w:b/>
                <w:color w:val="000000" w:themeColor="text1"/>
              </w:rPr>
              <w:t>Zkratka</w:t>
            </w:r>
          </w:p>
        </w:tc>
      </w:tr>
      <w:tr w:rsidR="00033A3F" w:rsidRPr="00033A3F" w14:paraId="49F82F6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2BEB2B1" w14:textId="77777777" w:rsidR="008430BD" w:rsidRPr="00033A3F" w:rsidRDefault="008430BD" w:rsidP="00CF32FA">
            <w:pPr>
              <w:spacing w:line="240" w:lineRule="auto"/>
              <w:jc w:val="left"/>
              <w:rPr>
                <w:color w:val="000000" w:themeColor="text1"/>
              </w:rPr>
            </w:pPr>
            <w:r w:rsidRPr="00033A3F">
              <w:rPr>
                <w:color w:val="000000" w:themeColor="text1"/>
              </w:rPr>
              <w:t>Benešov</w:t>
            </w:r>
          </w:p>
        </w:tc>
        <w:tc>
          <w:tcPr>
            <w:tcW w:w="1060" w:type="dxa"/>
            <w:tcBorders>
              <w:top w:val="nil"/>
              <w:left w:val="nil"/>
              <w:bottom w:val="single" w:sz="4" w:space="0" w:color="auto"/>
              <w:right w:val="single" w:sz="4" w:space="0" w:color="auto"/>
            </w:tcBorders>
            <w:shd w:val="clear" w:color="auto" w:fill="auto"/>
            <w:noWrap/>
            <w:vAlign w:val="center"/>
            <w:hideMark/>
          </w:tcPr>
          <w:p w14:paraId="38D9E128" w14:textId="77777777" w:rsidR="008430BD" w:rsidRPr="00033A3F" w:rsidRDefault="008430BD" w:rsidP="00CF32FA">
            <w:pPr>
              <w:spacing w:line="240" w:lineRule="auto"/>
              <w:jc w:val="center"/>
              <w:rPr>
                <w:color w:val="000000" w:themeColor="text1"/>
              </w:rPr>
            </w:pPr>
            <w:r w:rsidRPr="00033A3F">
              <w:rPr>
                <w:color w:val="000000" w:themeColor="text1"/>
              </w:rPr>
              <w:t>BN</w:t>
            </w:r>
          </w:p>
        </w:tc>
        <w:tc>
          <w:tcPr>
            <w:tcW w:w="2320" w:type="dxa"/>
            <w:tcBorders>
              <w:top w:val="nil"/>
              <w:left w:val="nil"/>
              <w:bottom w:val="single" w:sz="4" w:space="0" w:color="auto"/>
              <w:right w:val="nil"/>
            </w:tcBorders>
            <w:shd w:val="clear" w:color="auto" w:fill="auto"/>
            <w:noWrap/>
            <w:vAlign w:val="center"/>
            <w:hideMark/>
          </w:tcPr>
          <w:p w14:paraId="199F7F7E" w14:textId="77777777" w:rsidR="008430BD" w:rsidRPr="00033A3F" w:rsidRDefault="008430BD" w:rsidP="00CF32FA">
            <w:pPr>
              <w:spacing w:line="240" w:lineRule="auto"/>
              <w:jc w:val="left"/>
              <w:rPr>
                <w:color w:val="000000" w:themeColor="text1"/>
              </w:rPr>
            </w:pPr>
            <w:r w:rsidRPr="00033A3F">
              <w:rPr>
                <w:color w:val="000000" w:themeColor="text1"/>
              </w:rPr>
              <w:t>Pardubice</w:t>
            </w:r>
          </w:p>
        </w:tc>
        <w:tc>
          <w:tcPr>
            <w:tcW w:w="1060" w:type="dxa"/>
            <w:tcBorders>
              <w:top w:val="nil"/>
              <w:left w:val="nil"/>
              <w:bottom w:val="single" w:sz="4" w:space="0" w:color="auto"/>
              <w:right w:val="nil"/>
            </w:tcBorders>
            <w:shd w:val="clear" w:color="auto" w:fill="auto"/>
            <w:noWrap/>
            <w:vAlign w:val="center"/>
            <w:hideMark/>
          </w:tcPr>
          <w:p w14:paraId="16EAD4F3" w14:textId="77777777" w:rsidR="008430BD" w:rsidRPr="00033A3F" w:rsidRDefault="008430BD" w:rsidP="00CF32FA">
            <w:pPr>
              <w:spacing w:line="240" w:lineRule="auto"/>
              <w:jc w:val="center"/>
              <w:rPr>
                <w:color w:val="000000" w:themeColor="text1"/>
              </w:rPr>
            </w:pPr>
            <w:r w:rsidRPr="00033A3F">
              <w:rPr>
                <w:color w:val="000000" w:themeColor="text1"/>
              </w:rPr>
              <w:t>PA</w:t>
            </w:r>
          </w:p>
        </w:tc>
      </w:tr>
      <w:tr w:rsidR="00033A3F" w:rsidRPr="00033A3F" w14:paraId="7BC4416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13EE33F" w14:textId="77777777" w:rsidR="008430BD" w:rsidRPr="00033A3F" w:rsidRDefault="008430BD" w:rsidP="00CF32FA">
            <w:pPr>
              <w:spacing w:line="240" w:lineRule="auto"/>
              <w:jc w:val="left"/>
              <w:rPr>
                <w:color w:val="000000" w:themeColor="text1"/>
              </w:rPr>
            </w:pPr>
            <w:r w:rsidRPr="00033A3F">
              <w:rPr>
                <w:color w:val="000000" w:themeColor="text1"/>
              </w:rPr>
              <w:t>Beroun</w:t>
            </w:r>
          </w:p>
        </w:tc>
        <w:tc>
          <w:tcPr>
            <w:tcW w:w="1060" w:type="dxa"/>
            <w:tcBorders>
              <w:top w:val="nil"/>
              <w:left w:val="nil"/>
              <w:bottom w:val="single" w:sz="4" w:space="0" w:color="auto"/>
              <w:right w:val="single" w:sz="4" w:space="0" w:color="auto"/>
            </w:tcBorders>
            <w:shd w:val="clear" w:color="auto" w:fill="auto"/>
            <w:noWrap/>
            <w:vAlign w:val="center"/>
            <w:hideMark/>
          </w:tcPr>
          <w:p w14:paraId="74A0D282" w14:textId="77777777" w:rsidR="008430BD" w:rsidRPr="00033A3F" w:rsidRDefault="008430BD" w:rsidP="00CF32FA">
            <w:pPr>
              <w:spacing w:line="240" w:lineRule="auto"/>
              <w:jc w:val="center"/>
              <w:rPr>
                <w:color w:val="000000" w:themeColor="text1"/>
              </w:rPr>
            </w:pPr>
            <w:r w:rsidRPr="00033A3F">
              <w:rPr>
                <w:color w:val="000000" w:themeColor="text1"/>
              </w:rPr>
              <w:t>BE</w:t>
            </w:r>
          </w:p>
        </w:tc>
        <w:tc>
          <w:tcPr>
            <w:tcW w:w="2320" w:type="dxa"/>
            <w:tcBorders>
              <w:top w:val="nil"/>
              <w:left w:val="nil"/>
              <w:bottom w:val="single" w:sz="4" w:space="0" w:color="auto"/>
              <w:right w:val="nil"/>
            </w:tcBorders>
            <w:shd w:val="clear" w:color="auto" w:fill="auto"/>
            <w:noWrap/>
            <w:vAlign w:val="center"/>
            <w:hideMark/>
          </w:tcPr>
          <w:p w14:paraId="58B8B146" w14:textId="77777777" w:rsidR="008430BD" w:rsidRPr="00033A3F" w:rsidRDefault="008430BD" w:rsidP="00CF32FA">
            <w:pPr>
              <w:spacing w:line="240" w:lineRule="auto"/>
              <w:jc w:val="left"/>
              <w:rPr>
                <w:color w:val="000000" w:themeColor="text1"/>
              </w:rPr>
            </w:pPr>
            <w:r w:rsidRPr="00033A3F">
              <w:rPr>
                <w:color w:val="000000" w:themeColor="text1"/>
              </w:rPr>
              <w:t>Pelhřimov</w:t>
            </w:r>
          </w:p>
        </w:tc>
        <w:tc>
          <w:tcPr>
            <w:tcW w:w="1060" w:type="dxa"/>
            <w:tcBorders>
              <w:top w:val="nil"/>
              <w:left w:val="nil"/>
              <w:bottom w:val="single" w:sz="4" w:space="0" w:color="auto"/>
              <w:right w:val="nil"/>
            </w:tcBorders>
            <w:shd w:val="clear" w:color="auto" w:fill="auto"/>
            <w:noWrap/>
            <w:vAlign w:val="center"/>
            <w:hideMark/>
          </w:tcPr>
          <w:p w14:paraId="4075A192" w14:textId="77777777" w:rsidR="008430BD" w:rsidRPr="00033A3F" w:rsidRDefault="008430BD" w:rsidP="00CF32FA">
            <w:pPr>
              <w:spacing w:line="240" w:lineRule="auto"/>
              <w:jc w:val="center"/>
              <w:rPr>
                <w:color w:val="000000" w:themeColor="text1"/>
              </w:rPr>
            </w:pPr>
            <w:r w:rsidRPr="00033A3F">
              <w:rPr>
                <w:color w:val="000000" w:themeColor="text1"/>
              </w:rPr>
              <w:t>PE</w:t>
            </w:r>
          </w:p>
        </w:tc>
      </w:tr>
      <w:tr w:rsidR="00033A3F" w:rsidRPr="00033A3F" w14:paraId="15026DA1"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30D93FD" w14:textId="77777777" w:rsidR="008430BD" w:rsidRPr="00033A3F" w:rsidRDefault="008430BD" w:rsidP="00CF32FA">
            <w:pPr>
              <w:spacing w:line="240" w:lineRule="auto"/>
              <w:jc w:val="left"/>
              <w:rPr>
                <w:color w:val="000000" w:themeColor="text1"/>
              </w:rPr>
            </w:pPr>
            <w:r w:rsidRPr="00033A3F">
              <w:rPr>
                <w:color w:val="000000" w:themeColor="text1"/>
              </w:rPr>
              <w:t>Blansko</w:t>
            </w:r>
          </w:p>
        </w:tc>
        <w:tc>
          <w:tcPr>
            <w:tcW w:w="1060" w:type="dxa"/>
            <w:tcBorders>
              <w:top w:val="nil"/>
              <w:left w:val="nil"/>
              <w:bottom w:val="single" w:sz="4" w:space="0" w:color="auto"/>
              <w:right w:val="single" w:sz="4" w:space="0" w:color="auto"/>
            </w:tcBorders>
            <w:shd w:val="clear" w:color="auto" w:fill="auto"/>
            <w:noWrap/>
            <w:vAlign w:val="center"/>
            <w:hideMark/>
          </w:tcPr>
          <w:p w14:paraId="2AF311BA" w14:textId="77777777" w:rsidR="008430BD" w:rsidRPr="00033A3F" w:rsidRDefault="008430BD" w:rsidP="00CF32FA">
            <w:pPr>
              <w:spacing w:line="240" w:lineRule="auto"/>
              <w:jc w:val="center"/>
              <w:rPr>
                <w:color w:val="000000" w:themeColor="text1"/>
              </w:rPr>
            </w:pPr>
            <w:r w:rsidRPr="00033A3F">
              <w:rPr>
                <w:color w:val="000000" w:themeColor="text1"/>
              </w:rPr>
              <w:t>BK</w:t>
            </w:r>
          </w:p>
        </w:tc>
        <w:tc>
          <w:tcPr>
            <w:tcW w:w="2320" w:type="dxa"/>
            <w:tcBorders>
              <w:top w:val="nil"/>
              <w:left w:val="nil"/>
              <w:bottom w:val="single" w:sz="4" w:space="0" w:color="auto"/>
              <w:right w:val="nil"/>
            </w:tcBorders>
            <w:shd w:val="clear" w:color="auto" w:fill="auto"/>
            <w:noWrap/>
            <w:vAlign w:val="center"/>
            <w:hideMark/>
          </w:tcPr>
          <w:p w14:paraId="49FBC49E" w14:textId="77777777" w:rsidR="008430BD" w:rsidRPr="00033A3F" w:rsidRDefault="008430BD" w:rsidP="00CF32FA">
            <w:pPr>
              <w:spacing w:line="240" w:lineRule="auto"/>
              <w:jc w:val="left"/>
              <w:rPr>
                <w:color w:val="000000" w:themeColor="text1"/>
              </w:rPr>
            </w:pPr>
            <w:r w:rsidRPr="00033A3F">
              <w:rPr>
                <w:color w:val="000000" w:themeColor="text1"/>
              </w:rPr>
              <w:t>Písek</w:t>
            </w:r>
          </w:p>
        </w:tc>
        <w:tc>
          <w:tcPr>
            <w:tcW w:w="1060" w:type="dxa"/>
            <w:tcBorders>
              <w:top w:val="nil"/>
              <w:left w:val="nil"/>
              <w:bottom w:val="single" w:sz="4" w:space="0" w:color="auto"/>
              <w:right w:val="nil"/>
            </w:tcBorders>
            <w:shd w:val="clear" w:color="auto" w:fill="auto"/>
            <w:noWrap/>
            <w:vAlign w:val="center"/>
            <w:hideMark/>
          </w:tcPr>
          <w:p w14:paraId="5AB2B624" w14:textId="77777777" w:rsidR="008430BD" w:rsidRPr="00033A3F" w:rsidRDefault="008430BD" w:rsidP="00CF32FA">
            <w:pPr>
              <w:spacing w:line="240" w:lineRule="auto"/>
              <w:jc w:val="center"/>
              <w:rPr>
                <w:color w:val="000000" w:themeColor="text1"/>
              </w:rPr>
            </w:pPr>
            <w:r w:rsidRPr="00033A3F">
              <w:rPr>
                <w:color w:val="000000" w:themeColor="text1"/>
              </w:rPr>
              <w:t>PI</w:t>
            </w:r>
          </w:p>
        </w:tc>
      </w:tr>
      <w:tr w:rsidR="00033A3F" w:rsidRPr="00033A3F" w14:paraId="7096D6B2"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9347835" w14:textId="23372B5B" w:rsidR="008430BD" w:rsidRPr="00033A3F" w:rsidRDefault="0053190F" w:rsidP="00CF32FA">
            <w:pPr>
              <w:spacing w:line="240" w:lineRule="auto"/>
              <w:jc w:val="left"/>
              <w:rPr>
                <w:color w:val="000000" w:themeColor="text1"/>
              </w:rPr>
            </w:pPr>
            <w:r w:rsidRPr="00033A3F">
              <w:rPr>
                <w:color w:val="000000" w:themeColor="text1"/>
              </w:rPr>
              <w:t>Brno</w:t>
            </w:r>
            <w:r w:rsidRPr="00033A3F">
              <w:rPr>
                <w:color w:val="000000" w:themeColor="text1"/>
              </w:rPr>
              <w:noBreakHyphen/>
            </w:r>
            <w:r w:rsidR="008430BD" w:rsidRPr="00033A3F">
              <w:rPr>
                <w:color w:val="000000" w:themeColor="text1"/>
              </w:rPr>
              <w:t>město</w:t>
            </w:r>
          </w:p>
        </w:tc>
        <w:tc>
          <w:tcPr>
            <w:tcW w:w="1060" w:type="dxa"/>
            <w:tcBorders>
              <w:top w:val="nil"/>
              <w:left w:val="nil"/>
              <w:bottom w:val="single" w:sz="4" w:space="0" w:color="auto"/>
              <w:right w:val="single" w:sz="4" w:space="0" w:color="auto"/>
            </w:tcBorders>
            <w:shd w:val="clear" w:color="auto" w:fill="auto"/>
            <w:noWrap/>
            <w:vAlign w:val="center"/>
            <w:hideMark/>
          </w:tcPr>
          <w:p w14:paraId="0CF43E02" w14:textId="77777777" w:rsidR="008430BD" w:rsidRPr="00033A3F" w:rsidRDefault="008430BD" w:rsidP="00CF32FA">
            <w:pPr>
              <w:spacing w:line="240" w:lineRule="auto"/>
              <w:jc w:val="center"/>
              <w:rPr>
                <w:color w:val="000000" w:themeColor="text1"/>
              </w:rPr>
            </w:pPr>
            <w:r w:rsidRPr="00033A3F">
              <w:rPr>
                <w:color w:val="000000" w:themeColor="text1"/>
              </w:rPr>
              <w:t>BM</w:t>
            </w:r>
          </w:p>
        </w:tc>
        <w:tc>
          <w:tcPr>
            <w:tcW w:w="2320" w:type="dxa"/>
            <w:tcBorders>
              <w:top w:val="nil"/>
              <w:left w:val="nil"/>
              <w:bottom w:val="single" w:sz="4" w:space="0" w:color="auto"/>
              <w:right w:val="nil"/>
            </w:tcBorders>
            <w:shd w:val="clear" w:color="auto" w:fill="auto"/>
            <w:noWrap/>
            <w:vAlign w:val="center"/>
            <w:hideMark/>
          </w:tcPr>
          <w:p w14:paraId="10FB8169" w14:textId="53B83066" w:rsidR="008430BD" w:rsidRPr="00033A3F" w:rsidRDefault="0053190F" w:rsidP="00CF32FA">
            <w:pPr>
              <w:spacing w:line="240" w:lineRule="auto"/>
              <w:jc w:val="left"/>
              <w:rPr>
                <w:color w:val="000000" w:themeColor="text1"/>
              </w:rPr>
            </w:pPr>
            <w:r w:rsidRPr="00033A3F">
              <w:rPr>
                <w:color w:val="000000" w:themeColor="text1"/>
              </w:rPr>
              <w:t>Plzeň</w:t>
            </w:r>
            <w:r w:rsidRPr="00033A3F">
              <w:rPr>
                <w:color w:val="000000" w:themeColor="text1"/>
              </w:rPr>
              <w:noBreakHyphen/>
            </w:r>
            <w:r w:rsidR="008430BD" w:rsidRPr="00033A3F">
              <w:rPr>
                <w:color w:val="000000" w:themeColor="text1"/>
              </w:rPr>
              <w:t>jih</w:t>
            </w:r>
          </w:p>
        </w:tc>
        <w:tc>
          <w:tcPr>
            <w:tcW w:w="1060" w:type="dxa"/>
            <w:tcBorders>
              <w:top w:val="nil"/>
              <w:left w:val="nil"/>
              <w:bottom w:val="single" w:sz="4" w:space="0" w:color="auto"/>
              <w:right w:val="nil"/>
            </w:tcBorders>
            <w:shd w:val="clear" w:color="auto" w:fill="auto"/>
            <w:noWrap/>
            <w:vAlign w:val="center"/>
            <w:hideMark/>
          </w:tcPr>
          <w:p w14:paraId="1BA052D8" w14:textId="77777777" w:rsidR="008430BD" w:rsidRPr="00033A3F" w:rsidRDefault="008430BD" w:rsidP="00CF32FA">
            <w:pPr>
              <w:spacing w:line="240" w:lineRule="auto"/>
              <w:jc w:val="center"/>
              <w:rPr>
                <w:color w:val="000000" w:themeColor="text1"/>
              </w:rPr>
            </w:pPr>
            <w:r w:rsidRPr="00033A3F">
              <w:rPr>
                <w:color w:val="000000" w:themeColor="text1"/>
              </w:rPr>
              <w:t>PJ</w:t>
            </w:r>
          </w:p>
        </w:tc>
      </w:tr>
      <w:tr w:rsidR="00033A3F" w:rsidRPr="00033A3F" w14:paraId="0711009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5B76DA3" w14:textId="53BCCC79" w:rsidR="008430BD" w:rsidRPr="00033A3F" w:rsidRDefault="0053190F" w:rsidP="00CF32FA">
            <w:pPr>
              <w:spacing w:line="240" w:lineRule="auto"/>
              <w:jc w:val="left"/>
              <w:rPr>
                <w:color w:val="000000" w:themeColor="text1"/>
              </w:rPr>
            </w:pPr>
            <w:r w:rsidRPr="00033A3F">
              <w:rPr>
                <w:color w:val="000000" w:themeColor="text1"/>
              </w:rPr>
              <w:t>Brno</w:t>
            </w:r>
            <w:r w:rsidRPr="00033A3F">
              <w:rPr>
                <w:color w:val="000000" w:themeColor="text1"/>
              </w:rPr>
              <w:noBreakHyphen/>
            </w:r>
            <w:r w:rsidR="008430BD" w:rsidRPr="00033A3F">
              <w:rPr>
                <w:color w:val="000000" w:themeColor="text1"/>
              </w:rPr>
              <w:t>venkov</w:t>
            </w:r>
          </w:p>
        </w:tc>
        <w:tc>
          <w:tcPr>
            <w:tcW w:w="1060" w:type="dxa"/>
            <w:tcBorders>
              <w:top w:val="nil"/>
              <w:left w:val="nil"/>
              <w:bottom w:val="single" w:sz="4" w:space="0" w:color="auto"/>
              <w:right w:val="single" w:sz="4" w:space="0" w:color="auto"/>
            </w:tcBorders>
            <w:shd w:val="clear" w:color="auto" w:fill="auto"/>
            <w:noWrap/>
            <w:vAlign w:val="center"/>
            <w:hideMark/>
          </w:tcPr>
          <w:p w14:paraId="48F5F389" w14:textId="77777777" w:rsidR="008430BD" w:rsidRPr="00033A3F" w:rsidRDefault="008430BD" w:rsidP="00CF32FA">
            <w:pPr>
              <w:spacing w:line="240" w:lineRule="auto"/>
              <w:jc w:val="center"/>
              <w:rPr>
                <w:color w:val="000000" w:themeColor="text1"/>
              </w:rPr>
            </w:pPr>
            <w:r w:rsidRPr="00033A3F">
              <w:rPr>
                <w:color w:val="000000" w:themeColor="text1"/>
              </w:rPr>
              <w:t>BO</w:t>
            </w:r>
          </w:p>
        </w:tc>
        <w:tc>
          <w:tcPr>
            <w:tcW w:w="2320" w:type="dxa"/>
            <w:tcBorders>
              <w:top w:val="nil"/>
              <w:left w:val="nil"/>
              <w:bottom w:val="single" w:sz="4" w:space="0" w:color="auto"/>
              <w:right w:val="nil"/>
            </w:tcBorders>
            <w:shd w:val="clear" w:color="auto" w:fill="auto"/>
            <w:noWrap/>
            <w:vAlign w:val="center"/>
            <w:hideMark/>
          </w:tcPr>
          <w:p w14:paraId="1E8CA923" w14:textId="27FFD2AF" w:rsidR="008430BD" w:rsidRPr="00033A3F" w:rsidRDefault="0053190F" w:rsidP="00CF32FA">
            <w:pPr>
              <w:spacing w:line="240" w:lineRule="auto"/>
              <w:jc w:val="left"/>
              <w:rPr>
                <w:color w:val="000000" w:themeColor="text1"/>
              </w:rPr>
            </w:pPr>
            <w:r w:rsidRPr="00033A3F">
              <w:rPr>
                <w:color w:val="000000" w:themeColor="text1"/>
              </w:rPr>
              <w:t>Plzeň</w:t>
            </w:r>
            <w:r w:rsidRPr="00033A3F">
              <w:rPr>
                <w:color w:val="000000" w:themeColor="text1"/>
              </w:rPr>
              <w:noBreakHyphen/>
            </w:r>
            <w:r w:rsidR="008430BD" w:rsidRPr="00033A3F">
              <w:rPr>
                <w:color w:val="000000" w:themeColor="text1"/>
              </w:rPr>
              <w:t>město</w:t>
            </w:r>
          </w:p>
        </w:tc>
        <w:tc>
          <w:tcPr>
            <w:tcW w:w="1060" w:type="dxa"/>
            <w:tcBorders>
              <w:top w:val="nil"/>
              <w:left w:val="nil"/>
              <w:bottom w:val="single" w:sz="4" w:space="0" w:color="auto"/>
              <w:right w:val="nil"/>
            </w:tcBorders>
            <w:shd w:val="clear" w:color="auto" w:fill="auto"/>
            <w:noWrap/>
            <w:vAlign w:val="center"/>
            <w:hideMark/>
          </w:tcPr>
          <w:p w14:paraId="15415971" w14:textId="77777777" w:rsidR="008430BD" w:rsidRPr="00033A3F" w:rsidRDefault="008430BD" w:rsidP="00CF32FA">
            <w:pPr>
              <w:spacing w:line="240" w:lineRule="auto"/>
              <w:jc w:val="center"/>
              <w:rPr>
                <w:color w:val="000000" w:themeColor="text1"/>
              </w:rPr>
            </w:pPr>
            <w:r w:rsidRPr="00033A3F">
              <w:rPr>
                <w:color w:val="000000" w:themeColor="text1"/>
              </w:rPr>
              <w:t>PM</w:t>
            </w:r>
          </w:p>
        </w:tc>
      </w:tr>
      <w:tr w:rsidR="00033A3F" w:rsidRPr="00033A3F" w14:paraId="1AEFE0A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2509811" w14:textId="77777777" w:rsidR="008430BD" w:rsidRPr="00033A3F" w:rsidRDefault="008430BD" w:rsidP="00CF32FA">
            <w:pPr>
              <w:spacing w:line="240" w:lineRule="auto"/>
              <w:jc w:val="left"/>
              <w:rPr>
                <w:color w:val="000000" w:themeColor="text1"/>
              </w:rPr>
            </w:pPr>
            <w:r w:rsidRPr="00033A3F">
              <w:rPr>
                <w:color w:val="000000" w:themeColor="text1"/>
              </w:rPr>
              <w:t>Bruntál</w:t>
            </w:r>
          </w:p>
        </w:tc>
        <w:tc>
          <w:tcPr>
            <w:tcW w:w="1060" w:type="dxa"/>
            <w:tcBorders>
              <w:top w:val="nil"/>
              <w:left w:val="nil"/>
              <w:bottom w:val="single" w:sz="4" w:space="0" w:color="auto"/>
              <w:right w:val="single" w:sz="4" w:space="0" w:color="auto"/>
            </w:tcBorders>
            <w:shd w:val="clear" w:color="auto" w:fill="auto"/>
            <w:noWrap/>
            <w:vAlign w:val="center"/>
            <w:hideMark/>
          </w:tcPr>
          <w:p w14:paraId="58E69DA4" w14:textId="77777777" w:rsidR="008430BD" w:rsidRPr="00033A3F" w:rsidRDefault="008430BD" w:rsidP="00CF32FA">
            <w:pPr>
              <w:spacing w:line="240" w:lineRule="auto"/>
              <w:jc w:val="center"/>
              <w:rPr>
                <w:color w:val="000000" w:themeColor="text1"/>
              </w:rPr>
            </w:pPr>
            <w:r w:rsidRPr="00033A3F">
              <w:rPr>
                <w:color w:val="000000" w:themeColor="text1"/>
              </w:rPr>
              <w:t>BR</w:t>
            </w:r>
          </w:p>
        </w:tc>
        <w:tc>
          <w:tcPr>
            <w:tcW w:w="2320" w:type="dxa"/>
            <w:tcBorders>
              <w:top w:val="nil"/>
              <w:left w:val="nil"/>
              <w:bottom w:val="single" w:sz="4" w:space="0" w:color="auto"/>
              <w:right w:val="nil"/>
            </w:tcBorders>
            <w:shd w:val="clear" w:color="auto" w:fill="auto"/>
            <w:noWrap/>
            <w:vAlign w:val="center"/>
            <w:hideMark/>
          </w:tcPr>
          <w:p w14:paraId="223A71C6" w14:textId="3800E8F3" w:rsidR="008430BD" w:rsidRPr="00033A3F" w:rsidRDefault="0053190F" w:rsidP="00CF32FA">
            <w:pPr>
              <w:spacing w:line="240" w:lineRule="auto"/>
              <w:jc w:val="left"/>
              <w:rPr>
                <w:color w:val="000000" w:themeColor="text1"/>
              </w:rPr>
            </w:pPr>
            <w:r w:rsidRPr="00033A3F">
              <w:rPr>
                <w:color w:val="000000" w:themeColor="text1"/>
              </w:rPr>
              <w:t>Plzeň</w:t>
            </w:r>
            <w:r w:rsidRPr="00033A3F">
              <w:rPr>
                <w:color w:val="000000" w:themeColor="text1"/>
              </w:rPr>
              <w:noBreakHyphen/>
            </w:r>
            <w:r w:rsidR="008430BD" w:rsidRPr="00033A3F">
              <w:rPr>
                <w:color w:val="000000" w:themeColor="text1"/>
              </w:rPr>
              <w:t>sever</w:t>
            </w:r>
          </w:p>
        </w:tc>
        <w:tc>
          <w:tcPr>
            <w:tcW w:w="1060" w:type="dxa"/>
            <w:tcBorders>
              <w:top w:val="nil"/>
              <w:left w:val="nil"/>
              <w:bottom w:val="single" w:sz="4" w:space="0" w:color="auto"/>
              <w:right w:val="nil"/>
            </w:tcBorders>
            <w:shd w:val="clear" w:color="auto" w:fill="auto"/>
            <w:noWrap/>
            <w:vAlign w:val="center"/>
            <w:hideMark/>
          </w:tcPr>
          <w:p w14:paraId="372B8090" w14:textId="77777777" w:rsidR="008430BD" w:rsidRPr="00033A3F" w:rsidRDefault="008430BD" w:rsidP="00CF32FA">
            <w:pPr>
              <w:spacing w:line="240" w:lineRule="auto"/>
              <w:jc w:val="center"/>
              <w:rPr>
                <w:color w:val="000000" w:themeColor="text1"/>
              </w:rPr>
            </w:pPr>
            <w:r w:rsidRPr="00033A3F">
              <w:rPr>
                <w:color w:val="000000" w:themeColor="text1"/>
              </w:rPr>
              <w:t>PS</w:t>
            </w:r>
          </w:p>
        </w:tc>
      </w:tr>
      <w:tr w:rsidR="00033A3F" w:rsidRPr="00033A3F" w14:paraId="4C4171D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F8AB71D" w14:textId="77777777" w:rsidR="008430BD" w:rsidRPr="00033A3F" w:rsidRDefault="008430BD" w:rsidP="00CF32FA">
            <w:pPr>
              <w:spacing w:line="240" w:lineRule="auto"/>
              <w:jc w:val="left"/>
              <w:rPr>
                <w:color w:val="000000" w:themeColor="text1"/>
              </w:rPr>
            </w:pPr>
            <w:r w:rsidRPr="00033A3F">
              <w:rPr>
                <w:color w:val="000000" w:themeColor="text1"/>
              </w:rPr>
              <w:t>Břeclav</w:t>
            </w:r>
          </w:p>
        </w:tc>
        <w:tc>
          <w:tcPr>
            <w:tcW w:w="1060" w:type="dxa"/>
            <w:tcBorders>
              <w:top w:val="nil"/>
              <w:left w:val="nil"/>
              <w:bottom w:val="single" w:sz="4" w:space="0" w:color="auto"/>
              <w:right w:val="single" w:sz="4" w:space="0" w:color="auto"/>
            </w:tcBorders>
            <w:shd w:val="clear" w:color="auto" w:fill="auto"/>
            <w:noWrap/>
            <w:vAlign w:val="center"/>
            <w:hideMark/>
          </w:tcPr>
          <w:p w14:paraId="079FE02E" w14:textId="77777777" w:rsidR="008430BD" w:rsidRPr="00033A3F" w:rsidRDefault="008430BD" w:rsidP="00CF32FA">
            <w:pPr>
              <w:spacing w:line="240" w:lineRule="auto"/>
              <w:jc w:val="center"/>
              <w:rPr>
                <w:color w:val="000000" w:themeColor="text1"/>
              </w:rPr>
            </w:pPr>
            <w:r w:rsidRPr="00033A3F">
              <w:rPr>
                <w:color w:val="000000" w:themeColor="text1"/>
              </w:rPr>
              <w:t>BV</w:t>
            </w:r>
          </w:p>
        </w:tc>
        <w:tc>
          <w:tcPr>
            <w:tcW w:w="2320" w:type="dxa"/>
            <w:tcBorders>
              <w:top w:val="nil"/>
              <w:left w:val="nil"/>
              <w:bottom w:val="single" w:sz="4" w:space="0" w:color="auto"/>
              <w:right w:val="nil"/>
            </w:tcBorders>
            <w:shd w:val="clear" w:color="auto" w:fill="auto"/>
            <w:noWrap/>
            <w:vAlign w:val="center"/>
            <w:hideMark/>
          </w:tcPr>
          <w:p w14:paraId="1B67F5F1" w14:textId="77777777" w:rsidR="008430BD" w:rsidRPr="00033A3F" w:rsidRDefault="008430BD" w:rsidP="00CF32FA">
            <w:pPr>
              <w:spacing w:line="240" w:lineRule="auto"/>
              <w:jc w:val="left"/>
              <w:rPr>
                <w:color w:val="000000" w:themeColor="text1"/>
              </w:rPr>
            </w:pPr>
            <w:r w:rsidRPr="00033A3F">
              <w:rPr>
                <w:color w:val="000000" w:themeColor="text1"/>
              </w:rPr>
              <w:t>Praha 1</w:t>
            </w:r>
          </w:p>
        </w:tc>
        <w:tc>
          <w:tcPr>
            <w:tcW w:w="1060" w:type="dxa"/>
            <w:tcBorders>
              <w:top w:val="nil"/>
              <w:left w:val="nil"/>
              <w:bottom w:val="single" w:sz="4" w:space="0" w:color="auto"/>
              <w:right w:val="nil"/>
            </w:tcBorders>
            <w:shd w:val="clear" w:color="auto" w:fill="auto"/>
            <w:noWrap/>
            <w:vAlign w:val="center"/>
            <w:hideMark/>
          </w:tcPr>
          <w:p w14:paraId="7E52DEFC" w14:textId="77777777" w:rsidR="008430BD" w:rsidRPr="00033A3F" w:rsidRDefault="008430BD" w:rsidP="00CF32FA">
            <w:pPr>
              <w:spacing w:line="240" w:lineRule="auto"/>
              <w:jc w:val="center"/>
              <w:rPr>
                <w:color w:val="000000" w:themeColor="text1"/>
              </w:rPr>
            </w:pPr>
            <w:r w:rsidRPr="00033A3F">
              <w:rPr>
                <w:color w:val="000000" w:themeColor="text1"/>
              </w:rPr>
              <w:t>P 1</w:t>
            </w:r>
          </w:p>
        </w:tc>
      </w:tr>
      <w:tr w:rsidR="00033A3F" w:rsidRPr="00033A3F" w14:paraId="31D8ED0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5B92E89" w14:textId="77777777" w:rsidR="008430BD" w:rsidRPr="00033A3F" w:rsidRDefault="008430BD" w:rsidP="00CF32FA">
            <w:pPr>
              <w:spacing w:line="240" w:lineRule="auto"/>
              <w:jc w:val="left"/>
              <w:rPr>
                <w:color w:val="000000" w:themeColor="text1"/>
              </w:rPr>
            </w:pPr>
            <w:r w:rsidRPr="00033A3F">
              <w:rPr>
                <w:color w:val="000000" w:themeColor="text1"/>
              </w:rPr>
              <w:t>Česká Lípa</w:t>
            </w:r>
          </w:p>
        </w:tc>
        <w:tc>
          <w:tcPr>
            <w:tcW w:w="1060" w:type="dxa"/>
            <w:tcBorders>
              <w:top w:val="nil"/>
              <w:left w:val="nil"/>
              <w:bottom w:val="single" w:sz="4" w:space="0" w:color="auto"/>
              <w:right w:val="single" w:sz="4" w:space="0" w:color="auto"/>
            </w:tcBorders>
            <w:shd w:val="clear" w:color="auto" w:fill="auto"/>
            <w:noWrap/>
            <w:vAlign w:val="center"/>
            <w:hideMark/>
          </w:tcPr>
          <w:p w14:paraId="2C3AE0B0" w14:textId="77777777" w:rsidR="008430BD" w:rsidRPr="00033A3F" w:rsidRDefault="008430BD" w:rsidP="00CF32FA">
            <w:pPr>
              <w:spacing w:line="240" w:lineRule="auto"/>
              <w:jc w:val="center"/>
              <w:rPr>
                <w:color w:val="000000" w:themeColor="text1"/>
              </w:rPr>
            </w:pPr>
            <w:r w:rsidRPr="00033A3F">
              <w:rPr>
                <w:color w:val="000000" w:themeColor="text1"/>
              </w:rPr>
              <w:t>CL</w:t>
            </w:r>
          </w:p>
        </w:tc>
        <w:tc>
          <w:tcPr>
            <w:tcW w:w="2320" w:type="dxa"/>
            <w:tcBorders>
              <w:top w:val="nil"/>
              <w:left w:val="nil"/>
              <w:bottom w:val="single" w:sz="4" w:space="0" w:color="auto"/>
              <w:right w:val="nil"/>
            </w:tcBorders>
            <w:shd w:val="clear" w:color="auto" w:fill="auto"/>
            <w:noWrap/>
            <w:vAlign w:val="center"/>
            <w:hideMark/>
          </w:tcPr>
          <w:p w14:paraId="69CA8C23"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2</w:t>
            </w:r>
          </w:p>
        </w:tc>
        <w:tc>
          <w:tcPr>
            <w:tcW w:w="1060" w:type="dxa"/>
            <w:tcBorders>
              <w:top w:val="nil"/>
              <w:left w:val="nil"/>
              <w:bottom w:val="single" w:sz="4" w:space="0" w:color="auto"/>
              <w:right w:val="nil"/>
            </w:tcBorders>
            <w:shd w:val="clear" w:color="auto" w:fill="auto"/>
            <w:noWrap/>
            <w:vAlign w:val="center"/>
            <w:hideMark/>
          </w:tcPr>
          <w:p w14:paraId="1A6F1081"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2</w:t>
            </w:r>
          </w:p>
        </w:tc>
      </w:tr>
      <w:tr w:rsidR="00033A3F" w:rsidRPr="00033A3F" w14:paraId="725E43B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A09AF95" w14:textId="77777777" w:rsidR="008430BD" w:rsidRPr="00033A3F" w:rsidRDefault="008430BD" w:rsidP="00CF32FA">
            <w:pPr>
              <w:spacing w:line="240" w:lineRule="auto"/>
              <w:jc w:val="left"/>
              <w:rPr>
                <w:color w:val="000000" w:themeColor="text1"/>
              </w:rPr>
            </w:pPr>
            <w:r w:rsidRPr="00033A3F">
              <w:rPr>
                <w:color w:val="000000" w:themeColor="text1"/>
              </w:rPr>
              <w:t>České Budějovice</w:t>
            </w:r>
          </w:p>
        </w:tc>
        <w:tc>
          <w:tcPr>
            <w:tcW w:w="1060" w:type="dxa"/>
            <w:tcBorders>
              <w:top w:val="nil"/>
              <w:left w:val="nil"/>
              <w:bottom w:val="single" w:sz="4" w:space="0" w:color="auto"/>
              <w:right w:val="single" w:sz="4" w:space="0" w:color="auto"/>
            </w:tcBorders>
            <w:shd w:val="clear" w:color="auto" w:fill="auto"/>
            <w:noWrap/>
            <w:vAlign w:val="center"/>
            <w:hideMark/>
          </w:tcPr>
          <w:p w14:paraId="10A1CE02" w14:textId="77777777" w:rsidR="008430BD" w:rsidRPr="00033A3F" w:rsidRDefault="008430BD" w:rsidP="00CF32FA">
            <w:pPr>
              <w:spacing w:line="240" w:lineRule="auto"/>
              <w:jc w:val="center"/>
              <w:rPr>
                <w:color w:val="000000" w:themeColor="text1"/>
              </w:rPr>
            </w:pPr>
            <w:r w:rsidRPr="00033A3F">
              <w:rPr>
                <w:color w:val="000000" w:themeColor="text1"/>
              </w:rPr>
              <w:t>CB</w:t>
            </w:r>
          </w:p>
        </w:tc>
        <w:tc>
          <w:tcPr>
            <w:tcW w:w="2320" w:type="dxa"/>
            <w:tcBorders>
              <w:top w:val="nil"/>
              <w:left w:val="nil"/>
              <w:bottom w:val="single" w:sz="4" w:space="0" w:color="auto"/>
              <w:right w:val="nil"/>
            </w:tcBorders>
            <w:shd w:val="clear" w:color="auto" w:fill="auto"/>
            <w:noWrap/>
            <w:vAlign w:val="center"/>
            <w:hideMark/>
          </w:tcPr>
          <w:p w14:paraId="2A68E544"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3</w:t>
            </w:r>
          </w:p>
        </w:tc>
        <w:tc>
          <w:tcPr>
            <w:tcW w:w="1060" w:type="dxa"/>
            <w:tcBorders>
              <w:top w:val="nil"/>
              <w:left w:val="nil"/>
              <w:bottom w:val="single" w:sz="4" w:space="0" w:color="auto"/>
              <w:right w:val="nil"/>
            </w:tcBorders>
            <w:shd w:val="clear" w:color="auto" w:fill="auto"/>
            <w:noWrap/>
            <w:vAlign w:val="center"/>
            <w:hideMark/>
          </w:tcPr>
          <w:p w14:paraId="15302092"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3</w:t>
            </w:r>
          </w:p>
        </w:tc>
      </w:tr>
      <w:tr w:rsidR="00033A3F" w:rsidRPr="00033A3F" w14:paraId="0F3EE16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5590360" w14:textId="77777777" w:rsidR="008430BD" w:rsidRPr="00033A3F" w:rsidRDefault="008430BD" w:rsidP="00CF32FA">
            <w:pPr>
              <w:spacing w:line="240" w:lineRule="auto"/>
              <w:jc w:val="left"/>
              <w:rPr>
                <w:color w:val="000000" w:themeColor="text1"/>
              </w:rPr>
            </w:pPr>
            <w:r w:rsidRPr="00033A3F">
              <w:rPr>
                <w:color w:val="000000" w:themeColor="text1"/>
              </w:rPr>
              <w:t>Český Krumlov</w:t>
            </w:r>
          </w:p>
        </w:tc>
        <w:tc>
          <w:tcPr>
            <w:tcW w:w="1060" w:type="dxa"/>
            <w:tcBorders>
              <w:top w:val="nil"/>
              <w:left w:val="nil"/>
              <w:bottom w:val="single" w:sz="4" w:space="0" w:color="auto"/>
              <w:right w:val="single" w:sz="4" w:space="0" w:color="auto"/>
            </w:tcBorders>
            <w:shd w:val="clear" w:color="auto" w:fill="auto"/>
            <w:noWrap/>
            <w:vAlign w:val="center"/>
            <w:hideMark/>
          </w:tcPr>
          <w:p w14:paraId="62E33464" w14:textId="77777777" w:rsidR="008430BD" w:rsidRPr="00033A3F" w:rsidRDefault="008430BD" w:rsidP="00CF32FA">
            <w:pPr>
              <w:spacing w:line="240" w:lineRule="auto"/>
              <w:jc w:val="center"/>
              <w:rPr>
                <w:color w:val="000000" w:themeColor="text1"/>
              </w:rPr>
            </w:pPr>
            <w:r w:rsidRPr="00033A3F">
              <w:rPr>
                <w:color w:val="000000" w:themeColor="text1"/>
              </w:rPr>
              <w:t>CK</w:t>
            </w:r>
          </w:p>
        </w:tc>
        <w:tc>
          <w:tcPr>
            <w:tcW w:w="2320" w:type="dxa"/>
            <w:tcBorders>
              <w:top w:val="nil"/>
              <w:left w:val="nil"/>
              <w:bottom w:val="single" w:sz="4" w:space="0" w:color="auto"/>
              <w:right w:val="nil"/>
            </w:tcBorders>
            <w:shd w:val="clear" w:color="auto" w:fill="auto"/>
            <w:noWrap/>
            <w:vAlign w:val="center"/>
            <w:hideMark/>
          </w:tcPr>
          <w:p w14:paraId="415DDB36"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4</w:t>
            </w:r>
          </w:p>
        </w:tc>
        <w:tc>
          <w:tcPr>
            <w:tcW w:w="1060" w:type="dxa"/>
            <w:tcBorders>
              <w:top w:val="nil"/>
              <w:left w:val="nil"/>
              <w:bottom w:val="single" w:sz="4" w:space="0" w:color="auto"/>
              <w:right w:val="nil"/>
            </w:tcBorders>
            <w:shd w:val="clear" w:color="auto" w:fill="auto"/>
            <w:noWrap/>
            <w:vAlign w:val="center"/>
            <w:hideMark/>
          </w:tcPr>
          <w:p w14:paraId="48AF7C43"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4</w:t>
            </w:r>
          </w:p>
        </w:tc>
      </w:tr>
      <w:tr w:rsidR="00033A3F" w:rsidRPr="00033A3F" w14:paraId="6994B20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A5A9FDB" w14:textId="77777777" w:rsidR="008430BD" w:rsidRPr="00033A3F" w:rsidRDefault="008430BD" w:rsidP="00CF32FA">
            <w:pPr>
              <w:spacing w:line="240" w:lineRule="auto"/>
              <w:jc w:val="left"/>
              <w:rPr>
                <w:color w:val="000000" w:themeColor="text1"/>
              </w:rPr>
            </w:pPr>
            <w:r w:rsidRPr="00033A3F">
              <w:rPr>
                <w:color w:val="000000" w:themeColor="text1"/>
              </w:rPr>
              <w:t>Děčín</w:t>
            </w:r>
          </w:p>
        </w:tc>
        <w:tc>
          <w:tcPr>
            <w:tcW w:w="1060" w:type="dxa"/>
            <w:tcBorders>
              <w:top w:val="nil"/>
              <w:left w:val="nil"/>
              <w:bottom w:val="single" w:sz="4" w:space="0" w:color="auto"/>
              <w:right w:val="single" w:sz="4" w:space="0" w:color="auto"/>
            </w:tcBorders>
            <w:shd w:val="clear" w:color="auto" w:fill="auto"/>
            <w:noWrap/>
            <w:vAlign w:val="center"/>
            <w:hideMark/>
          </w:tcPr>
          <w:p w14:paraId="01B39A89" w14:textId="77777777" w:rsidR="008430BD" w:rsidRPr="00033A3F" w:rsidRDefault="008430BD" w:rsidP="00CF32FA">
            <w:pPr>
              <w:spacing w:line="240" w:lineRule="auto"/>
              <w:jc w:val="center"/>
              <w:rPr>
                <w:color w:val="000000" w:themeColor="text1"/>
              </w:rPr>
            </w:pPr>
            <w:r w:rsidRPr="00033A3F">
              <w:rPr>
                <w:color w:val="000000" w:themeColor="text1"/>
              </w:rPr>
              <w:t>DC</w:t>
            </w:r>
          </w:p>
        </w:tc>
        <w:tc>
          <w:tcPr>
            <w:tcW w:w="2320" w:type="dxa"/>
            <w:tcBorders>
              <w:top w:val="nil"/>
              <w:left w:val="nil"/>
              <w:bottom w:val="single" w:sz="4" w:space="0" w:color="auto"/>
              <w:right w:val="nil"/>
            </w:tcBorders>
            <w:shd w:val="clear" w:color="auto" w:fill="auto"/>
            <w:noWrap/>
            <w:vAlign w:val="center"/>
            <w:hideMark/>
          </w:tcPr>
          <w:p w14:paraId="623C248D"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5</w:t>
            </w:r>
          </w:p>
        </w:tc>
        <w:tc>
          <w:tcPr>
            <w:tcW w:w="1060" w:type="dxa"/>
            <w:tcBorders>
              <w:top w:val="nil"/>
              <w:left w:val="nil"/>
              <w:bottom w:val="single" w:sz="4" w:space="0" w:color="auto"/>
              <w:right w:val="nil"/>
            </w:tcBorders>
            <w:shd w:val="clear" w:color="auto" w:fill="auto"/>
            <w:noWrap/>
            <w:vAlign w:val="center"/>
            <w:hideMark/>
          </w:tcPr>
          <w:p w14:paraId="38532A90"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5</w:t>
            </w:r>
          </w:p>
        </w:tc>
      </w:tr>
      <w:tr w:rsidR="00033A3F" w:rsidRPr="00033A3F" w14:paraId="00E115A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87E769C" w14:textId="77777777" w:rsidR="008430BD" w:rsidRPr="00033A3F" w:rsidRDefault="008430BD" w:rsidP="00CF32FA">
            <w:pPr>
              <w:spacing w:line="240" w:lineRule="auto"/>
              <w:jc w:val="left"/>
              <w:rPr>
                <w:color w:val="000000" w:themeColor="text1"/>
              </w:rPr>
            </w:pPr>
            <w:r w:rsidRPr="00033A3F">
              <w:rPr>
                <w:color w:val="000000" w:themeColor="text1"/>
              </w:rPr>
              <w:t>Domažlice</w:t>
            </w:r>
          </w:p>
        </w:tc>
        <w:tc>
          <w:tcPr>
            <w:tcW w:w="1060" w:type="dxa"/>
            <w:tcBorders>
              <w:top w:val="nil"/>
              <w:left w:val="nil"/>
              <w:bottom w:val="single" w:sz="4" w:space="0" w:color="auto"/>
              <w:right w:val="single" w:sz="4" w:space="0" w:color="auto"/>
            </w:tcBorders>
            <w:shd w:val="clear" w:color="auto" w:fill="auto"/>
            <w:noWrap/>
            <w:vAlign w:val="center"/>
            <w:hideMark/>
          </w:tcPr>
          <w:p w14:paraId="7698FDC2" w14:textId="77777777" w:rsidR="008430BD" w:rsidRPr="00033A3F" w:rsidRDefault="008430BD" w:rsidP="00CF32FA">
            <w:pPr>
              <w:spacing w:line="240" w:lineRule="auto"/>
              <w:jc w:val="center"/>
              <w:rPr>
                <w:color w:val="000000" w:themeColor="text1"/>
              </w:rPr>
            </w:pPr>
            <w:r w:rsidRPr="00033A3F">
              <w:rPr>
                <w:color w:val="000000" w:themeColor="text1"/>
              </w:rPr>
              <w:t>DO</w:t>
            </w:r>
          </w:p>
        </w:tc>
        <w:tc>
          <w:tcPr>
            <w:tcW w:w="2320" w:type="dxa"/>
            <w:tcBorders>
              <w:top w:val="nil"/>
              <w:left w:val="nil"/>
              <w:bottom w:val="single" w:sz="4" w:space="0" w:color="auto"/>
              <w:right w:val="nil"/>
            </w:tcBorders>
            <w:shd w:val="clear" w:color="auto" w:fill="auto"/>
            <w:noWrap/>
            <w:vAlign w:val="center"/>
            <w:hideMark/>
          </w:tcPr>
          <w:p w14:paraId="664BF96E"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6</w:t>
            </w:r>
          </w:p>
        </w:tc>
        <w:tc>
          <w:tcPr>
            <w:tcW w:w="1060" w:type="dxa"/>
            <w:tcBorders>
              <w:top w:val="nil"/>
              <w:left w:val="nil"/>
              <w:bottom w:val="single" w:sz="4" w:space="0" w:color="auto"/>
              <w:right w:val="nil"/>
            </w:tcBorders>
            <w:shd w:val="clear" w:color="auto" w:fill="auto"/>
            <w:noWrap/>
            <w:vAlign w:val="center"/>
            <w:hideMark/>
          </w:tcPr>
          <w:p w14:paraId="0BACD7D7"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6</w:t>
            </w:r>
          </w:p>
        </w:tc>
      </w:tr>
      <w:tr w:rsidR="00033A3F" w:rsidRPr="00033A3F" w14:paraId="7D2A4A6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60819CE" w14:textId="5E7B907E" w:rsidR="008430BD" w:rsidRPr="00033A3F" w:rsidRDefault="0053190F" w:rsidP="00CF32FA">
            <w:pPr>
              <w:spacing w:line="240" w:lineRule="auto"/>
              <w:jc w:val="left"/>
              <w:rPr>
                <w:color w:val="000000" w:themeColor="text1"/>
              </w:rPr>
            </w:pPr>
            <w:r w:rsidRPr="00033A3F">
              <w:rPr>
                <w:color w:val="000000" w:themeColor="text1"/>
              </w:rPr>
              <w:t>Frýdek</w:t>
            </w:r>
            <w:r w:rsidRPr="00033A3F">
              <w:rPr>
                <w:color w:val="000000" w:themeColor="text1"/>
              </w:rPr>
              <w:noBreakHyphen/>
              <w:t>Místek</w:t>
            </w:r>
          </w:p>
        </w:tc>
        <w:tc>
          <w:tcPr>
            <w:tcW w:w="1060" w:type="dxa"/>
            <w:tcBorders>
              <w:top w:val="nil"/>
              <w:left w:val="nil"/>
              <w:bottom w:val="single" w:sz="4" w:space="0" w:color="auto"/>
              <w:right w:val="single" w:sz="4" w:space="0" w:color="auto"/>
            </w:tcBorders>
            <w:shd w:val="clear" w:color="auto" w:fill="auto"/>
            <w:noWrap/>
            <w:vAlign w:val="center"/>
            <w:hideMark/>
          </w:tcPr>
          <w:p w14:paraId="0FD2DCE4" w14:textId="77777777" w:rsidR="008430BD" w:rsidRPr="00033A3F" w:rsidRDefault="008430BD" w:rsidP="00CF32FA">
            <w:pPr>
              <w:spacing w:line="240" w:lineRule="auto"/>
              <w:jc w:val="center"/>
              <w:rPr>
                <w:color w:val="000000" w:themeColor="text1"/>
              </w:rPr>
            </w:pPr>
            <w:r w:rsidRPr="00033A3F">
              <w:rPr>
                <w:color w:val="000000" w:themeColor="text1"/>
              </w:rPr>
              <w:t>FM</w:t>
            </w:r>
          </w:p>
        </w:tc>
        <w:tc>
          <w:tcPr>
            <w:tcW w:w="2320" w:type="dxa"/>
            <w:tcBorders>
              <w:top w:val="nil"/>
              <w:left w:val="nil"/>
              <w:bottom w:val="single" w:sz="4" w:space="0" w:color="auto"/>
              <w:right w:val="nil"/>
            </w:tcBorders>
            <w:shd w:val="clear" w:color="auto" w:fill="auto"/>
            <w:noWrap/>
            <w:vAlign w:val="center"/>
            <w:hideMark/>
          </w:tcPr>
          <w:p w14:paraId="2770C8BB"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7</w:t>
            </w:r>
          </w:p>
        </w:tc>
        <w:tc>
          <w:tcPr>
            <w:tcW w:w="1060" w:type="dxa"/>
            <w:tcBorders>
              <w:top w:val="nil"/>
              <w:left w:val="nil"/>
              <w:bottom w:val="single" w:sz="4" w:space="0" w:color="auto"/>
              <w:right w:val="nil"/>
            </w:tcBorders>
            <w:shd w:val="clear" w:color="auto" w:fill="auto"/>
            <w:noWrap/>
            <w:vAlign w:val="center"/>
            <w:hideMark/>
          </w:tcPr>
          <w:p w14:paraId="2CD186BA"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7</w:t>
            </w:r>
          </w:p>
        </w:tc>
      </w:tr>
      <w:tr w:rsidR="00033A3F" w:rsidRPr="00033A3F" w14:paraId="64A1F89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A758ADD" w14:textId="77777777" w:rsidR="008430BD" w:rsidRPr="00033A3F" w:rsidRDefault="008430BD" w:rsidP="00CF32FA">
            <w:pPr>
              <w:spacing w:line="240" w:lineRule="auto"/>
              <w:jc w:val="left"/>
              <w:rPr>
                <w:color w:val="000000" w:themeColor="text1"/>
              </w:rPr>
            </w:pPr>
            <w:r w:rsidRPr="00033A3F">
              <w:rPr>
                <w:color w:val="000000" w:themeColor="text1"/>
              </w:rPr>
              <w:t>Havlíčkův Brod</w:t>
            </w:r>
          </w:p>
        </w:tc>
        <w:tc>
          <w:tcPr>
            <w:tcW w:w="1060" w:type="dxa"/>
            <w:tcBorders>
              <w:top w:val="nil"/>
              <w:left w:val="nil"/>
              <w:bottom w:val="single" w:sz="4" w:space="0" w:color="auto"/>
              <w:right w:val="single" w:sz="4" w:space="0" w:color="auto"/>
            </w:tcBorders>
            <w:shd w:val="clear" w:color="auto" w:fill="auto"/>
            <w:noWrap/>
            <w:vAlign w:val="center"/>
            <w:hideMark/>
          </w:tcPr>
          <w:p w14:paraId="6A5D2FB4" w14:textId="77777777" w:rsidR="008430BD" w:rsidRPr="00033A3F" w:rsidRDefault="008430BD" w:rsidP="00CF32FA">
            <w:pPr>
              <w:spacing w:line="240" w:lineRule="auto"/>
              <w:jc w:val="center"/>
              <w:rPr>
                <w:color w:val="000000" w:themeColor="text1"/>
              </w:rPr>
            </w:pPr>
            <w:r w:rsidRPr="00033A3F">
              <w:rPr>
                <w:color w:val="000000" w:themeColor="text1"/>
              </w:rPr>
              <w:t>HB</w:t>
            </w:r>
          </w:p>
        </w:tc>
        <w:tc>
          <w:tcPr>
            <w:tcW w:w="2320" w:type="dxa"/>
            <w:tcBorders>
              <w:top w:val="nil"/>
              <w:left w:val="nil"/>
              <w:bottom w:val="single" w:sz="4" w:space="0" w:color="auto"/>
              <w:right w:val="nil"/>
            </w:tcBorders>
            <w:shd w:val="clear" w:color="auto" w:fill="auto"/>
            <w:noWrap/>
            <w:vAlign w:val="center"/>
            <w:hideMark/>
          </w:tcPr>
          <w:p w14:paraId="13FBEA0E"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8</w:t>
            </w:r>
          </w:p>
        </w:tc>
        <w:tc>
          <w:tcPr>
            <w:tcW w:w="1060" w:type="dxa"/>
            <w:tcBorders>
              <w:top w:val="nil"/>
              <w:left w:val="nil"/>
              <w:bottom w:val="single" w:sz="4" w:space="0" w:color="auto"/>
              <w:right w:val="nil"/>
            </w:tcBorders>
            <w:shd w:val="clear" w:color="auto" w:fill="auto"/>
            <w:noWrap/>
            <w:vAlign w:val="center"/>
            <w:hideMark/>
          </w:tcPr>
          <w:p w14:paraId="424ED083"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8</w:t>
            </w:r>
          </w:p>
        </w:tc>
      </w:tr>
      <w:tr w:rsidR="00033A3F" w:rsidRPr="00033A3F" w14:paraId="3E45B85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4CBCD18" w14:textId="77777777" w:rsidR="008430BD" w:rsidRPr="00033A3F" w:rsidRDefault="008430BD" w:rsidP="00CF32FA">
            <w:pPr>
              <w:spacing w:line="240" w:lineRule="auto"/>
              <w:jc w:val="left"/>
              <w:rPr>
                <w:color w:val="000000" w:themeColor="text1"/>
              </w:rPr>
            </w:pPr>
            <w:r w:rsidRPr="00033A3F">
              <w:rPr>
                <w:color w:val="000000" w:themeColor="text1"/>
              </w:rPr>
              <w:t>Hodonín</w:t>
            </w:r>
          </w:p>
        </w:tc>
        <w:tc>
          <w:tcPr>
            <w:tcW w:w="1060" w:type="dxa"/>
            <w:tcBorders>
              <w:top w:val="nil"/>
              <w:left w:val="nil"/>
              <w:bottom w:val="single" w:sz="4" w:space="0" w:color="auto"/>
              <w:right w:val="single" w:sz="4" w:space="0" w:color="auto"/>
            </w:tcBorders>
            <w:shd w:val="clear" w:color="auto" w:fill="auto"/>
            <w:noWrap/>
            <w:vAlign w:val="center"/>
            <w:hideMark/>
          </w:tcPr>
          <w:p w14:paraId="0987E9B0" w14:textId="77777777" w:rsidR="008430BD" w:rsidRPr="00033A3F" w:rsidRDefault="008430BD" w:rsidP="00CF32FA">
            <w:pPr>
              <w:spacing w:line="240" w:lineRule="auto"/>
              <w:jc w:val="center"/>
              <w:rPr>
                <w:color w:val="000000" w:themeColor="text1"/>
              </w:rPr>
            </w:pPr>
            <w:r w:rsidRPr="00033A3F">
              <w:rPr>
                <w:color w:val="000000" w:themeColor="text1"/>
              </w:rPr>
              <w:t>HO</w:t>
            </w:r>
          </w:p>
        </w:tc>
        <w:tc>
          <w:tcPr>
            <w:tcW w:w="2320" w:type="dxa"/>
            <w:tcBorders>
              <w:top w:val="nil"/>
              <w:left w:val="nil"/>
              <w:bottom w:val="single" w:sz="4" w:space="0" w:color="auto"/>
              <w:right w:val="nil"/>
            </w:tcBorders>
            <w:shd w:val="clear" w:color="auto" w:fill="auto"/>
            <w:noWrap/>
            <w:vAlign w:val="center"/>
            <w:hideMark/>
          </w:tcPr>
          <w:p w14:paraId="3E1CC1DB"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9</w:t>
            </w:r>
          </w:p>
        </w:tc>
        <w:tc>
          <w:tcPr>
            <w:tcW w:w="1060" w:type="dxa"/>
            <w:tcBorders>
              <w:top w:val="nil"/>
              <w:left w:val="nil"/>
              <w:bottom w:val="single" w:sz="4" w:space="0" w:color="auto"/>
              <w:right w:val="nil"/>
            </w:tcBorders>
            <w:shd w:val="clear" w:color="auto" w:fill="auto"/>
            <w:noWrap/>
            <w:vAlign w:val="center"/>
            <w:hideMark/>
          </w:tcPr>
          <w:p w14:paraId="7045BBE2"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9</w:t>
            </w:r>
          </w:p>
        </w:tc>
      </w:tr>
      <w:tr w:rsidR="00033A3F" w:rsidRPr="00033A3F" w14:paraId="768BF7C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3BD1F4C" w14:textId="77777777" w:rsidR="008430BD" w:rsidRPr="00033A3F" w:rsidRDefault="008430BD" w:rsidP="00CF32FA">
            <w:pPr>
              <w:spacing w:line="240" w:lineRule="auto"/>
              <w:jc w:val="left"/>
              <w:rPr>
                <w:color w:val="000000" w:themeColor="text1"/>
              </w:rPr>
            </w:pPr>
            <w:r w:rsidRPr="00033A3F">
              <w:rPr>
                <w:color w:val="000000" w:themeColor="text1"/>
              </w:rPr>
              <w:t>Hradec Králové</w:t>
            </w:r>
          </w:p>
        </w:tc>
        <w:tc>
          <w:tcPr>
            <w:tcW w:w="1060" w:type="dxa"/>
            <w:tcBorders>
              <w:top w:val="nil"/>
              <w:left w:val="nil"/>
              <w:bottom w:val="single" w:sz="4" w:space="0" w:color="auto"/>
              <w:right w:val="single" w:sz="4" w:space="0" w:color="auto"/>
            </w:tcBorders>
            <w:shd w:val="clear" w:color="auto" w:fill="auto"/>
            <w:noWrap/>
            <w:vAlign w:val="center"/>
            <w:hideMark/>
          </w:tcPr>
          <w:p w14:paraId="5966639A" w14:textId="77777777" w:rsidR="008430BD" w:rsidRPr="00033A3F" w:rsidRDefault="008430BD" w:rsidP="00CF32FA">
            <w:pPr>
              <w:spacing w:line="240" w:lineRule="auto"/>
              <w:jc w:val="center"/>
              <w:rPr>
                <w:color w:val="000000" w:themeColor="text1"/>
              </w:rPr>
            </w:pPr>
            <w:r w:rsidRPr="00033A3F">
              <w:rPr>
                <w:color w:val="000000" w:themeColor="text1"/>
              </w:rPr>
              <w:t>HK</w:t>
            </w:r>
          </w:p>
        </w:tc>
        <w:tc>
          <w:tcPr>
            <w:tcW w:w="2320" w:type="dxa"/>
            <w:tcBorders>
              <w:top w:val="nil"/>
              <w:left w:val="nil"/>
              <w:bottom w:val="single" w:sz="4" w:space="0" w:color="auto"/>
              <w:right w:val="nil"/>
            </w:tcBorders>
            <w:shd w:val="clear" w:color="auto" w:fill="auto"/>
            <w:noWrap/>
            <w:vAlign w:val="center"/>
            <w:hideMark/>
          </w:tcPr>
          <w:p w14:paraId="4807DF3D"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10</w:t>
            </w:r>
          </w:p>
        </w:tc>
        <w:tc>
          <w:tcPr>
            <w:tcW w:w="1060" w:type="dxa"/>
            <w:tcBorders>
              <w:top w:val="nil"/>
              <w:left w:val="nil"/>
              <w:bottom w:val="single" w:sz="4" w:space="0" w:color="auto"/>
              <w:right w:val="nil"/>
            </w:tcBorders>
            <w:shd w:val="clear" w:color="auto" w:fill="auto"/>
            <w:noWrap/>
            <w:vAlign w:val="center"/>
            <w:hideMark/>
          </w:tcPr>
          <w:p w14:paraId="710C0E42"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10</w:t>
            </w:r>
          </w:p>
        </w:tc>
      </w:tr>
      <w:tr w:rsidR="00033A3F" w:rsidRPr="00033A3F" w14:paraId="0D5B8E0D"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2AD8C98" w14:textId="77777777" w:rsidR="008430BD" w:rsidRPr="00033A3F" w:rsidRDefault="008430BD" w:rsidP="00CF32FA">
            <w:pPr>
              <w:spacing w:line="240" w:lineRule="auto"/>
              <w:jc w:val="left"/>
              <w:rPr>
                <w:color w:val="000000" w:themeColor="text1"/>
              </w:rPr>
            </w:pPr>
            <w:r w:rsidRPr="00033A3F">
              <w:rPr>
                <w:color w:val="000000" w:themeColor="text1"/>
              </w:rPr>
              <w:t>Cheb</w:t>
            </w:r>
          </w:p>
        </w:tc>
        <w:tc>
          <w:tcPr>
            <w:tcW w:w="1060" w:type="dxa"/>
            <w:tcBorders>
              <w:top w:val="nil"/>
              <w:left w:val="nil"/>
              <w:bottom w:val="single" w:sz="4" w:space="0" w:color="auto"/>
              <w:right w:val="single" w:sz="4" w:space="0" w:color="auto"/>
            </w:tcBorders>
            <w:shd w:val="clear" w:color="auto" w:fill="auto"/>
            <w:noWrap/>
            <w:vAlign w:val="center"/>
            <w:hideMark/>
          </w:tcPr>
          <w:p w14:paraId="06F79470" w14:textId="77777777" w:rsidR="008430BD" w:rsidRPr="00033A3F" w:rsidRDefault="008430BD" w:rsidP="00CF32FA">
            <w:pPr>
              <w:spacing w:line="240" w:lineRule="auto"/>
              <w:jc w:val="center"/>
              <w:rPr>
                <w:color w:val="000000" w:themeColor="text1"/>
              </w:rPr>
            </w:pPr>
            <w:r w:rsidRPr="00033A3F">
              <w:rPr>
                <w:color w:val="000000" w:themeColor="text1"/>
              </w:rPr>
              <w:t>CH</w:t>
            </w:r>
          </w:p>
        </w:tc>
        <w:tc>
          <w:tcPr>
            <w:tcW w:w="2320" w:type="dxa"/>
            <w:tcBorders>
              <w:top w:val="nil"/>
              <w:left w:val="nil"/>
              <w:bottom w:val="single" w:sz="4" w:space="0" w:color="auto"/>
              <w:right w:val="nil"/>
            </w:tcBorders>
            <w:shd w:val="clear" w:color="auto" w:fill="auto"/>
            <w:noWrap/>
            <w:vAlign w:val="center"/>
            <w:hideMark/>
          </w:tcPr>
          <w:p w14:paraId="630651D8" w14:textId="6F187FA6" w:rsidR="008430BD" w:rsidRPr="00033A3F" w:rsidRDefault="0053190F" w:rsidP="00CF32FA">
            <w:pPr>
              <w:spacing w:line="240" w:lineRule="auto"/>
              <w:jc w:val="left"/>
              <w:rPr>
                <w:color w:val="000000" w:themeColor="text1"/>
              </w:rPr>
            </w:pPr>
            <w:r w:rsidRPr="00033A3F">
              <w:rPr>
                <w:color w:val="000000" w:themeColor="text1"/>
              </w:rPr>
              <w:t>Praha</w:t>
            </w:r>
            <w:r w:rsidRPr="00033A3F">
              <w:rPr>
                <w:color w:val="000000" w:themeColor="text1"/>
              </w:rPr>
              <w:noBreakHyphen/>
            </w:r>
            <w:r w:rsidR="008430BD" w:rsidRPr="00033A3F">
              <w:rPr>
                <w:color w:val="000000" w:themeColor="text1"/>
              </w:rPr>
              <w:t>východ</w:t>
            </w:r>
          </w:p>
        </w:tc>
        <w:tc>
          <w:tcPr>
            <w:tcW w:w="1060" w:type="dxa"/>
            <w:tcBorders>
              <w:top w:val="nil"/>
              <w:left w:val="nil"/>
              <w:bottom w:val="single" w:sz="4" w:space="0" w:color="auto"/>
              <w:right w:val="nil"/>
            </w:tcBorders>
            <w:shd w:val="clear" w:color="auto" w:fill="auto"/>
            <w:noWrap/>
            <w:vAlign w:val="center"/>
            <w:hideMark/>
          </w:tcPr>
          <w:p w14:paraId="047EBE6A" w14:textId="77777777" w:rsidR="008430BD" w:rsidRPr="00033A3F" w:rsidRDefault="008430BD" w:rsidP="00CF32FA">
            <w:pPr>
              <w:spacing w:line="240" w:lineRule="auto"/>
              <w:jc w:val="center"/>
              <w:rPr>
                <w:color w:val="000000" w:themeColor="text1"/>
              </w:rPr>
            </w:pPr>
            <w:r w:rsidRPr="00033A3F">
              <w:rPr>
                <w:color w:val="000000" w:themeColor="text1"/>
              </w:rPr>
              <w:t>PY</w:t>
            </w:r>
          </w:p>
        </w:tc>
      </w:tr>
      <w:tr w:rsidR="00033A3F" w:rsidRPr="00033A3F" w14:paraId="68B3D0B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C653C47" w14:textId="77777777" w:rsidR="008430BD" w:rsidRPr="00033A3F" w:rsidRDefault="008430BD" w:rsidP="00CF32FA">
            <w:pPr>
              <w:spacing w:line="240" w:lineRule="auto"/>
              <w:jc w:val="left"/>
              <w:rPr>
                <w:color w:val="000000" w:themeColor="text1"/>
              </w:rPr>
            </w:pPr>
            <w:r w:rsidRPr="00033A3F">
              <w:rPr>
                <w:color w:val="000000" w:themeColor="text1"/>
              </w:rPr>
              <w:t>Chomutov</w:t>
            </w:r>
          </w:p>
        </w:tc>
        <w:tc>
          <w:tcPr>
            <w:tcW w:w="1060" w:type="dxa"/>
            <w:tcBorders>
              <w:top w:val="nil"/>
              <w:left w:val="nil"/>
              <w:bottom w:val="single" w:sz="4" w:space="0" w:color="auto"/>
              <w:right w:val="single" w:sz="4" w:space="0" w:color="auto"/>
            </w:tcBorders>
            <w:shd w:val="clear" w:color="auto" w:fill="auto"/>
            <w:noWrap/>
            <w:vAlign w:val="center"/>
            <w:hideMark/>
          </w:tcPr>
          <w:p w14:paraId="22C62212" w14:textId="77777777" w:rsidR="008430BD" w:rsidRPr="00033A3F" w:rsidRDefault="008430BD" w:rsidP="00CF32FA">
            <w:pPr>
              <w:spacing w:line="240" w:lineRule="auto"/>
              <w:jc w:val="center"/>
              <w:rPr>
                <w:color w:val="000000" w:themeColor="text1"/>
              </w:rPr>
            </w:pPr>
            <w:r w:rsidRPr="00033A3F">
              <w:rPr>
                <w:color w:val="000000" w:themeColor="text1"/>
              </w:rPr>
              <w:t>CV</w:t>
            </w:r>
          </w:p>
        </w:tc>
        <w:tc>
          <w:tcPr>
            <w:tcW w:w="2320" w:type="dxa"/>
            <w:tcBorders>
              <w:top w:val="nil"/>
              <w:left w:val="nil"/>
              <w:bottom w:val="single" w:sz="4" w:space="0" w:color="auto"/>
              <w:right w:val="nil"/>
            </w:tcBorders>
            <w:shd w:val="clear" w:color="auto" w:fill="auto"/>
            <w:noWrap/>
            <w:vAlign w:val="center"/>
            <w:hideMark/>
          </w:tcPr>
          <w:p w14:paraId="2615E1CF" w14:textId="26A31540" w:rsidR="008430BD" w:rsidRPr="00033A3F" w:rsidRDefault="0053190F" w:rsidP="00CF32FA">
            <w:pPr>
              <w:spacing w:line="240" w:lineRule="auto"/>
              <w:jc w:val="left"/>
              <w:rPr>
                <w:color w:val="000000" w:themeColor="text1"/>
              </w:rPr>
            </w:pPr>
            <w:r w:rsidRPr="00033A3F">
              <w:rPr>
                <w:color w:val="000000" w:themeColor="text1"/>
              </w:rPr>
              <w:t>Praha</w:t>
            </w:r>
            <w:r w:rsidRPr="00033A3F">
              <w:rPr>
                <w:color w:val="000000" w:themeColor="text1"/>
              </w:rPr>
              <w:noBreakHyphen/>
            </w:r>
            <w:r w:rsidR="008430BD" w:rsidRPr="00033A3F">
              <w:rPr>
                <w:color w:val="000000" w:themeColor="text1"/>
              </w:rPr>
              <w:t>západ</w:t>
            </w:r>
          </w:p>
        </w:tc>
        <w:tc>
          <w:tcPr>
            <w:tcW w:w="1060" w:type="dxa"/>
            <w:tcBorders>
              <w:top w:val="nil"/>
              <w:left w:val="nil"/>
              <w:bottom w:val="single" w:sz="4" w:space="0" w:color="auto"/>
              <w:right w:val="nil"/>
            </w:tcBorders>
            <w:shd w:val="clear" w:color="auto" w:fill="auto"/>
            <w:noWrap/>
            <w:vAlign w:val="center"/>
            <w:hideMark/>
          </w:tcPr>
          <w:p w14:paraId="308490CD" w14:textId="77777777" w:rsidR="008430BD" w:rsidRPr="00033A3F" w:rsidRDefault="008430BD" w:rsidP="00CF32FA">
            <w:pPr>
              <w:spacing w:line="240" w:lineRule="auto"/>
              <w:jc w:val="center"/>
              <w:rPr>
                <w:color w:val="000000" w:themeColor="text1"/>
              </w:rPr>
            </w:pPr>
            <w:r w:rsidRPr="00033A3F">
              <w:rPr>
                <w:color w:val="000000" w:themeColor="text1"/>
              </w:rPr>
              <w:t>PZ</w:t>
            </w:r>
          </w:p>
        </w:tc>
      </w:tr>
      <w:tr w:rsidR="00033A3F" w:rsidRPr="00033A3F" w14:paraId="1297CE0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55A6720" w14:textId="77777777" w:rsidR="008430BD" w:rsidRPr="00033A3F" w:rsidRDefault="008430BD" w:rsidP="00CF32FA">
            <w:pPr>
              <w:spacing w:line="240" w:lineRule="auto"/>
              <w:jc w:val="left"/>
              <w:rPr>
                <w:color w:val="000000" w:themeColor="text1"/>
              </w:rPr>
            </w:pPr>
            <w:r w:rsidRPr="00033A3F">
              <w:rPr>
                <w:color w:val="000000" w:themeColor="text1"/>
              </w:rPr>
              <w:t>Chrudim</w:t>
            </w:r>
          </w:p>
        </w:tc>
        <w:tc>
          <w:tcPr>
            <w:tcW w:w="1060" w:type="dxa"/>
            <w:tcBorders>
              <w:top w:val="nil"/>
              <w:left w:val="nil"/>
              <w:bottom w:val="single" w:sz="4" w:space="0" w:color="auto"/>
              <w:right w:val="single" w:sz="4" w:space="0" w:color="auto"/>
            </w:tcBorders>
            <w:shd w:val="clear" w:color="auto" w:fill="auto"/>
            <w:noWrap/>
            <w:vAlign w:val="center"/>
            <w:hideMark/>
          </w:tcPr>
          <w:p w14:paraId="08331962" w14:textId="77777777" w:rsidR="008430BD" w:rsidRPr="00033A3F" w:rsidRDefault="008430BD" w:rsidP="00CF32FA">
            <w:pPr>
              <w:spacing w:line="240" w:lineRule="auto"/>
              <w:jc w:val="center"/>
              <w:rPr>
                <w:color w:val="000000" w:themeColor="text1"/>
              </w:rPr>
            </w:pPr>
            <w:r w:rsidRPr="00033A3F">
              <w:rPr>
                <w:color w:val="000000" w:themeColor="text1"/>
              </w:rPr>
              <w:t>CR</w:t>
            </w:r>
          </w:p>
        </w:tc>
        <w:tc>
          <w:tcPr>
            <w:tcW w:w="2320" w:type="dxa"/>
            <w:tcBorders>
              <w:top w:val="nil"/>
              <w:left w:val="nil"/>
              <w:bottom w:val="single" w:sz="4" w:space="0" w:color="auto"/>
              <w:right w:val="nil"/>
            </w:tcBorders>
            <w:shd w:val="clear" w:color="auto" w:fill="auto"/>
            <w:noWrap/>
            <w:vAlign w:val="center"/>
            <w:hideMark/>
          </w:tcPr>
          <w:p w14:paraId="2B618784" w14:textId="77777777" w:rsidR="008430BD" w:rsidRPr="00033A3F" w:rsidRDefault="008430BD" w:rsidP="00CF32FA">
            <w:pPr>
              <w:spacing w:line="240" w:lineRule="auto"/>
              <w:jc w:val="left"/>
              <w:rPr>
                <w:color w:val="000000" w:themeColor="text1"/>
              </w:rPr>
            </w:pPr>
            <w:r w:rsidRPr="00033A3F">
              <w:rPr>
                <w:color w:val="000000" w:themeColor="text1"/>
              </w:rPr>
              <w:t>Prachatice</w:t>
            </w:r>
          </w:p>
        </w:tc>
        <w:tc>
          <w:tcPr>
            <w:tcW w:w="1060" w:type="dxa"/>
            <w:tcBorders>
              <w:top w:val="nil"/>
              <w:left w:val="nil"/>
              <w:bottom w:val="single" w:sz="4" w:space="0" w:color="auto"/>
              <w:right w:val="nil"/>
            </w:tcBorders>
            <w:shd w:val="clear" w:color="auto" w:fill="auto"/>
            <w:noWrap/>
            <w:vAlign w:val="center"/>
            <w:hideMark/>
          </w:tcPr>
          <w:p w14:paraId="57988E4C" w14:textId="77777777" w:rsidR="008430BD" w:rsidRPr="00033A3F" w:rsidRDefault="008430BD" w:rsidP="00CF32FA">
            <w:pPr>
              <w:spacing w:line="240" w:lineRule="auto"/>
              <w:jc w:val="center"/>
              <w:rPr>
                <w:color w:val="000000" w:themeColor="text1"/>
              </w:rPr>
            </w:pPr>
            <w:r w:rsidRPr="00033A3F">
              <w:rPr>
                <w:color w:val="000000" w:themeColor="text1"/>
              </w:rPr>
              <w:t>PT</w:t>
            </w:r>
          </w:p>
        </w:tc>
      </w:tr>
      <w:tr w:rsidR="00033A3F" w:rsidRPr="00033A3F" w14:paraId="219A593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4C8BDC2" w14:textId="77777777" w:rsidR="008430BD" w:rsidRPr="00033A3F" w:rsidRDefault="008430BD" w:rsidP="00CF32FA">
            <w:pPr>
              <w:spacing w:line="240" w:lineRule="auto"/>
              <w:jc w:val="left"/>
              <w:rPr>
                <w:color w:val="000000" w:themeColor="text1"/>
              </w:rPr>
            </w:pPr>
            <w:r w:rsidRPr="00033A3F">
              <w:rPr>
                <w:color w:val="000000" w:themeColor="text1"/>
              </w:rPr>
              <w:t>Jablonec nad Nisou</w:t>
            </w:r>
          </w:p>
        </w:tc>
        <w:tc>
          <w:tcPr>
            <w:tcW w:w="1060" w:type="dxa"/>
            <w:tcBorders>
              <w:top w:val="nil"/>
              <w:left w:val="nil"/>
              <w:bottom w:val="single" w:sz="4" w:space="0" w:color="auto"/>
              <w:right w:val="single" w:sz="4" w:space="0" w:color="auto"/>
            </w:tcBorders>
            <w:shd w:val="clear" w:color="auto" w:fill="auto"/>
            <w:noWrap/>
            <w:vAlign w:val="center"/>
            <w:hideMark/>
          </w:tcPr>
          <w:p w14:paraId="0424B10B" w14:textId="77777777" w:rsidR="008430BD" w:rsidRPr="00033A3F" w:rsidRDefault="008430BD" w:rsidP="00CF32FA">
            <w:pPr>
              <w:spacing w:line="240" w:lineRule="auto"/>
              <w:jc w:val="center"/>
              <w:rPr>
                <w:color w:val="000000" w:themeColor="text1"/>
              </w:rPr>
            </w:pPr>
            <w:r w:rsidRPr="00033A3F">
              <w:rPr>
                <w:color w:val="000000" w:themeColor="text1"/>
              </w:rPr>
              <w:t>JN</w:t>
            </w:r>
          </w:p>
        </w:tc>
        <w:tc>
          <w:tcPr>
            <w:tcW w:w="2320" w:type="dxa"/>
            <w:tcBorders>
              <w:top w:val="nil"/>
              <w:left w:val="nil"/>
              <w:bottom w:val="single" w:sz="4" w:space="0" w:color="auto"/>
              <w:right w:val="nil"/>
            </w:tcBorders>
            <w:shd w:val="clear" w:color="auto" w:fill="auto"/>
            <w:noWrap/>
            <w:vAlign w:val="center"/>
            <w:hideMark/>
          </w:tcPr>
          <w:p w14:paraId="0EA8A640" w14:textId="77777777" w:rsidR="008430BD" w:rsidRPr="00033A3F" w:rsidRDefault="008430BD" w:rsidP="00CF32FA">
            <w:pPr>
              <w:spacing w:line="240" w:lineRule="auto"/>
              <w:jc w:val="left"/>
              <w:rPr>
                <w:color w:val="000000" w:themeColor="text1"/>
              </w:rPr>
            </w:pPr>
            <w:r w:rsidRPr="00033A3F">
              <w:rPr>
                <w:color w:val="000000" w:themeColor="text1"/>
              </w:rPr>
              <w:t>Prostějov</w:t>
            </w:r>
          </w:p>
        </w:tc>
        <w:tc>
          <w:tcPr>
            <w:tcW w:w="1060" w:type="dxa"/>
            <w:tcBorders>
              <w:top w:val="nil"/>
              <w:left w:val="nil"/>
              <w:bottom w:val="single" w:sz="4" w:space="0" w:color="auto"/>
              <w:right w:val="nil"/>
            </w:tcBorders>
            <w:shd w:val="clear" w:color="auto" w:fill="auto"/>
            <w:noWrap/>
            <w:vAlign w:val="center"/>
            <w:hideMark/>
          </w:tcPr>
          <w:p w14:paraId="76FEA204" w14:textId="77777777" w:rsidR="008430BD" w:rsidRPr="00033A3F" w:rsidRDefault="008430BD" w:rsidP="00CF32FA">
            <w:pPr>
              <w:spacing w:line="240" w:lineRule="auto"/>
              <w:jc w:val="center"/>
              <w:rPr>
                <w:color w:val="000000" w:themeColor="text1"/>
              </w:rPr>
            </w:pPr>
            <w:r w:rsidRPr="00033A3F">
              <w:rPr>
                <w:color w:val="000000" w:themeColor="text1"/>
              </w:rPr>
              <w:t>PV</w:t>
            </w:r>
          </w:p>
        </w:tc>
      </w:tr>
      <w:tr w:rsidR="00033A3F" w:rsidRPr="00033A3F" w14:paraId="62B7D44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95D1381" w14:textId="77777777" w:rsidR="008430BD" w:rsidRPr="00033A3F" w:rsidRDefault="008430BD" w:rsidP="00CF32FA">
            <w:pPr>
              <w:spacing w:line="240" w:lineRule="auto"/>
              <w:jc w:val="left"/>
              <w:rPr>
                <w:color w:val="000000" w:themeColor="text1"/>
              </w:rPr>
            </w:pPr>
            <w:r w:rsidRPr="00033A3F">
              <w:rPr>
                <w:color w:val="000000" w:themeColor="text1"/>
              </w:rPr>
              <w:t>Jeseník</w:t>
            </w:r>
          </w:p>
        </w:tc>
        <w:tc>
          <w:tcPr>
            <w:tcW w:w="1060" w:type="dxa"/>
            <w:tcBorders>
              <w:top w:val="nil"/>
              <w:left w:val="nil"/>
              <w:bottom w:val="single" w:sz="4" w:space="0" w:color="auto"/>
              <w:right w:val="single" w:sz="4" w:space="0" w:color="auto"/>
            </w:tcBorders>
            <w:shd w:val="clear" w:color="auto" w:fill="auto"/>
            <w:noWrap/>
            <w:vAlign w:val="center"/>
            <w:hideMark/>
          </w:tcPr>
          <w:p w14:paraId="42C2201E" w14:textId="77777777" w:rsidR="008430BD" w:rsidRPr="00033A3F" w:rsidRDefault="008430BD" w:rsidP="00CF32FA">
            <w:pPr>
              <w:spacing w:line="240" w:lineRule="auto"/>
              <w:jc w:val="center"/>
              <w:rPr>
                <w:color w:val="000000" w:themeColor="text1"/>
              </w:rPr>
            </w:pPr>
            <w:r w:rsidRPr="00033A3F">
              <w:rPr>
                <w:color w:val="000000" w:themeColor="text1"/>
              </w:rPr>
              <w:t>JE</w:t>
            </w:r>
          </w:p>
        </w:tc>
        <w:tc>
          <w:tcPr>
            <w:tcW w:w="2320" w:type="dxa"/>
            <w:tcBorders>
              <w:top w:val="nil"/>
              <w:left w:val="nil"/>
              <w:bottom w:val="single" w:sz="4" w:space="0" w:color="auto"/>
              <w:right w:val="nil"/>
            </w:tcBorders>
            <w:shd w:val="clear" w:color="auto" w:fill="auto"/>
            <w:noWrap/>
            <w:vAlign w:val="center"/>
            <w:hideMark/>
          </w:tcPr>
          <w:p w14:paraId="2C56FA16" w14:textId="77777777" w:rsidR="008430BD" w:rsidRPr="00033A3F" w:rsidRDefault="008430BD" w:rsidP="00CF32FA">
            <w:pPr>
              <w:spacing w:line="240" w:lineRule="auto"/>
              <w:jc w:val="left"/>
              <w:rPr>
                <w:color w:val="000000" w:themeColor="text1"/>
              </w:rPr>
            </w:pPr>
            <w:r w:rsidRPr="00033A3F">
              <w:rPr>
                <w:color w:val="000000" w:themeColor="text1"/>
              </w:rPr>
              <w:t>Přerov</w:t>
            </w:r>
          </w:p>
        </w:tc>
        <w:tc>
          <w:tcPr>
            <w:tcW w:w="1060" w:type="dxa"/>
            <w:tcBorders>
              <w:top w:val="nil"/>
              <w:left w:val="nil"/>
              <w:bottom w:val="single" w:sz="4" w:space="0" w:color="auto"/>
              <w:right w:val="nil"/>
            </w:tcBorders>
            <w:shd w:val="clear" w:color="auto" w:fill="auto"/>
            <w:noWrap/>
            <w:vAlign w:val="center"/>
            <w:hideMark/>
          </w:tcPr>
          <w:p w14:paraId="1FC4FA02" w14:textId="77777777" w:rsidR="008430BD" w:rsidRPr="00033A3F" w:rsidRDefault="008430BD" w:rsidP="00CF32FA">
            <w:pPr>
              <w:spacing w:line="240" w:lineRule="auto"/>
              <w:jc w:val="center"/>
              <w:rPr>
                <w:color w:val="000000" w:themeColor="text1"/>
              </w:rPr>
            </w:pPr>
            <w:r w:rsidRPr="00033A3F">
              <w:rPr>
                <w:color w:val="000000" w:themeColor="text1"/>
              </w:rPr>
              <w:t>PR</w:t>
            </w:r>
          </w:p>
        </w:tc>
      </w:tr>
      <w:tr w:rsidR="00033A3F" w:rsidRPr="00033A3F" w14:paraId="3E6F109A"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15862F1" w14:textId="77777777" w:rsidR="008430BD" w:rsidRPr="00033A3F" w:rsidRDefault="008430BD" w:rsidP="00CF32FA">
            <w:pPr>
              <w:spacing w:line="240" w:lineRule="auto"/>
              <w:jc w:val="left"/>
              <w:rPr>
                <w:color w:val="000000" w:themeColor="text1"/>
              </w:rPr>
            </w:pPr>
            <w:r w:rsidRPr="00033A3F">
              <w:rPr>
                <w:color w:val="000000" w:themeColor="text1"/>
              </w:rPr>
              <w:t>Jičín</w:t>
            </w:r>
          </w:p>
        </w:tc>
        <w:tc>
          <w:tcPr>
            <w:tcW w:w="1060" w:type="dxa"/>
            <w:tcBorders>
              <w:top w:val="nil"/>
              <w:left w:val="nil"/>
              <w:bottom w:val="single" w:sz="4" w:space="0" w:color="auto"/>
              <w:right w:val="single" w:sz="4" w:space="0" w:color="auto"/>
            </w:tcBorders>
            <w:shd w:val="clear" w:color="auto" w:fill="auto"/>
            <w:noWrap/>
            <w:vAlign w:val="center"/>
            <w:hideMark/>
          </w:tcPr>
          <w:p w14:paraId="76D890A3" w14:textId="77777777" w:rsidR="008430BD" w:rsidRPr="00033A3F" w:rsidRDefault="008430BD" w:rsidP="00CF32FA">
            <w:pPr>
              <w:spacing w:line="240" w:lineRule="auto"/>
              <w:jc w:val="center"/>
              <w:rPr>
                <w:color w:val="000000" w:themeColor="text1"/>
              </w:rPr>
            </w:pPr>
            <w:r w:rsidRPr="00033A3F">
              <w:rPr>
                <w:color w:val="000000" w:themeColor="text1"/>
              </w:rPr>
              <w:t>JC</w:t>
            </w:r>
          </w:p>
        </w:tc>
        <w:tc>
          <w:tcPr>
            <w:tcW w:w="2320" w:type="dxa"/>
            <w:tcBorders>
              <w:top w:val="nil"/>
              <w:left w:val="nil"/>
              <w:bottom w:val="single" w:sz="4" w:space="0" w:color="auto"/>
              <w:right w:val="nil"/>
            </w:tcBorders>
            <w:shd w:val="clear" w:color="auto" w:fill="auto"/>
            <w:noWrap/>
            <w:vAlign w:val="center"/>
            <w:hideMark/>
          </w:tcPr>
          <w:p w14:paraId="6D31BC4A" w14:textId="77777777" w:rsidR="008430BD" w:rsidRPr="00033A3F" w:rsidRDefault="008430BD" w:rsidP="00CF32FA">
            <w:pPr>
              <w:spacing w:line="240" w:lineRule="auto"/>
              <w:jc w:val="left"/>
              <w:rPr>
                <w:color w:val="000000" w:themeColor="text1"/>
              </w:rPr>
            </w:pPr>
            <w:r w:rsidRPr="00033A3F">
              <w:rPr>
                <w:color w:val="000000" w:themeColor="text1"/>
              </w:rPr>
              <w:t>Příbram</w:t>
            </w:r>
          </w:p>
        </w:tc>
        <w:tc>
          <w:tcPr>
            <w:tcW w:w="1060" w:type="dxa"/>
            <w:tcBorders>
              <w:top w:val="nil"/>
              <w:left w:val="nil"/>
              <w:bottom w:val="single" w:sz="4" w:space="0" w:color="auto"/>
              <w:right w:val="nil"/>
            </w:tcBorders>
            <w:shd w:val="clear" w:color="auto" w:fill="auto"/>
            <w:noWrap/>
            <w:vAlign w:val="center"/>
            <w:hideMark/>
          </w:tcPr>
          <w:p w14:paraId="2811657C" w14:textId="77777777" w:rsidR="008430BD" w:rsidRPr="00033A3F" w:rsidRDefault="008430BD" w:rsidP="00CF32FA">
            <w:pPr>
              <w:spacing w:line="240" w:lineRule="auto"/>
              <w:jc w:val="center"/>
              <w:rPr>
                <w:color w:val="000000" w:themeColor="text1"/>
              </w:rPr>
            </w:pPr>
            <w:r w:rsidRPr="00033A3F">
              <w:rPr>
                <w:color w:val="000000" w:themeColor="text1"/>
              </w:rPr>
              <w:t>PB</w:t>
            </w:r>
          </w:p>
        </w:tc>
      </w:tr>
      <w:tr w:rsidR="00033A3F" w:rsidRPr="00033A3F" w14:paraId="6373DD3E"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5DCB385" w14:textId="77777777" w:rsidR="008430BD" w:rsidRPr="00033A3F" w:rsidRDefault="008430BD" w:rsidP="00CF32FA">
            <w:pPr>
              <w:spacing w:line="240" w:lineRule="auto"/>
              <w:jc w:val="left"/>
              <w:rPr>
                <w:color w:val="000000" w:themeColor="text1"/>
              </w:rPr>
            </w:pPr>
            <w:r w:rsidRPr="00033A3F">
              <w:rPr>
                <w:color w:val="000000" w:themeColor="text1"/>
              </w:rPr>
              <w:t>Jihlava</w:t>
            </w:r>
          </w:p>
        </w:tc>
        <w:tc>
          <w:tcPr>
            <w:tcW w:w="1060" w:type="dxa"/>
            <w:tcBorders>
              <w:top w:val="nil"/>
              <w:left w:val="nil"/>
              <w:bottom w:val="single" w:sz="4" w:space="0" w:color="auto"/>
              <w:right w:val="single" w:sz="4" w:space="0" w:color="auto"/>
            </w:tcBorders>
            <w:shd w:val="clear" w:color="auto" w:fill="auto"/>
            <w:noWrap/>
            <w:vAlign w:val="center"/>
            <w:hideMark/>
          </w:tcPr>
          <w:p w14:paraId="3EDFCB69" w14:textId="77777777" w:rsidR="008430BD" w:rsidRPr="00033A3F" w:rsidRDefault="008430BD" w:rsidP="00CF32FA">
            <w:pPr>
              <w:spacing w:line="240" w:lineRule="auto"/>
              <w:jc w:val="center"/>
              <w:rPr>
                <w:color w:val="000000" w:themeColor="text1"/>
              </w:rPr>
            </w:pPr>
            <w:r w:rsidRPr="00033A3F">
              <w:rPr>
                <w:color w:val="000000" w:themeColor="text1"/>
              </w:rPr>
              <w:t>JI</w:t>
            </w:r>
          </w:p>
        </w:tc>
        <w:tc>
          <w:tcPr>
            <w:tcW w:w="2320" w:type="dxa"/>
            <w:tcBorders>
              <w:top w:val="nil"/>
              <w:left w:val="nil"/>
              <w:bottom w:val="single" w:sz="4" w:space="0" w:color="auto"/>
              <w:right w:val="nil"/>
            </w:tcBorders>
            <w:shd w:val="clear" w:color="auto" w:fill="auto"/>
            <w:noWrap/>
            <w:vAlign w:val="center"/>
            <w:hideMark/>
          </w:tcPr>
          <w:p w14:paraId="2A8B49AC" w14:textId="77777777" w:rsidR="008430BD" w:rsidRPr="00033A3F" w:rsidRDefault="008430BD" w:rsidP="00CF32FA">
            <w:pPr>
              <w:spacing w:line="240" w:lineRule="auto"/>
              <w:jc w:val="left"/>
              <w:rPr>
                <w:color w:val="000000" w:themeColor="text1"/>
              </w:rPr>
            </w:pPr>
            <w:r w:rsidRPr="00033A3F">
              <w:rPr>
                <w:color w:val="000000" w:themeColor="text1"/>
              </w:rPr>
              <w:t>Rakovník</w:t>
            </w:r>
          </w:p>
        </w:tc>
        <w:tc>
          <w:tcPr>
            <w:tcW w:w="1060" w:type="dxa"/>
            <w:tcBorders>
              <w:top w:val="nil"/>
              <w:left w:val="nil"/>
              <w:bottom w:val="single" w:sz="4" w:space="0" w:color="auto"/>
              <w:right w:val="nil"/>
            </w:tcBorders>
            <w:shd w:val="clear" w:color="auto" w:fill="auto"/>
            <w:noWrap/>
            <w:vAlign w:val="center"/>
            <w:hideMark/>
          </w:tcPr>
          <w:p w14:paraId="3C960CBF" w14:textId="77777777" w:rsidR="008430BD" w:rsidRPr="00033A3F" w:rsidRDefault="008430BD" w:rsidP="00CF32FA">
            <w:pPr>
              <w:spacing w:line="240" w:lineRule="auto"/>
              <w:jc w:val="center"/>
              <w:rPr>
                <w:color w:val="000000" w:themeColor="text1"/>
              </w:rPr>
            </w:pPr>
            <w:r w:rsidRPr="00033A3F">
              <w:rPr>
                <w:color w:val="000000" w:themeColor="text1"/>
              </w:rPr>
              <w:t>RA</w:t>
            </w:r>
          </w:p>
        </w:tc>
      </w:tr>
      <w:tr w:rsidR="00033A3F" w:rsidRPr="00033A3F" w14:paraId="6A58EAB0"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EFB75E7" w14:textId="77777777" w:rsidR="008430BD" w:rsidRPr="00033A3F" w:rsidRDefault="008430BD" w:rsidP="00CF32FA">
            <w:pPr>
              <w:spacing w:line="240" w:lineRule="auto"/>
              <w:jc w:val="left"/>
              <w:rPr>
                <w:color w:val="000000" w:themeColor="text1"/>
              </w:rPr>
            </w:pPr>
            <w:r w:rsidRPr="00033A3F">
              <w:rPr>
                <w:color w:val="000000" w:themeColor="text1"/>
              </w:rPr>
              <w:t>Jindřichův Hradec</w:t>
            </w:r>
          </w:p>
        </w:tc>
        <w:tc>
          <w:tcPr>
            <w:tcW w:w="1060" w:type="dxa"/>
            <w:tcBorders>
              <w:top w:val="nil"/>
              <w:left w:val="nil"/>
              <w:bottom w:val="single" w:sz="4" w:space="0" w:color="auto"/>
              <w:right w:val="single" w:sz="4" w:space="0" w:color="auto"/>
            </w:tcBorders>
            <w:shd w:val="clear" w:color="auto" w:fill="auto"/>
            <w:noWrap/>
            <w:vAlign w:val="center"/>
            <w:hideMark/>
          </w:tcPr>
          <w:p w14:paraId="3FE70BB7" w14:textId="77777777" w:rsidR="008430BD" w:rsidRPr="00033A3F" w:rsidRDefault="008430BD" w:rsidP="00CF32FA">
            <w:pPr>
              <w:spacing w:line="240" w:lineRule="auto"/>
              <w:jc w:val="center"/>
              <w:rPr>
                <w:color w:val="000000" w:themeColor="text1"/>
              </w:rPr>
            </w:pPr>
            <w:r w:rsidRPr="00033A3F">
              <w:rPr>
                <w:color w:val="000000" w:themeColor="text1"/>
              </w:rPr>
              <w:t>JH</w:t>
            </w:r>
          </w:p>
        </w:tc>
        <w:tc>
          <w:tcPr>
            <w:tcW w:w="2320" w:type="dxa"/>
            <w:tcBorders>
              <w:top w:val="nil"/>
              <w:left w:val="nil"/>
              <w:bottom w:val="single" w:sz="4" w:space="0" w:color="auto"/>
              <w:right w:val="nil"/>
            </w:tcBorders>
            <w:shd w:val="clear" w:color="auto" w:fill="auto"/>
            <w:noWrap/>
            <w:vAlign w:val="center"/>
            <w:hideMark/>
          </w:tcPr>
          <w:p w14:paraId="1DB93B6E" w14:textId="77777777" w:rsidR="008430BD" w:rsidRPr="00033A3F" w:rsidRDefault="008430BD" w:rsidP="00CF32FA">
            <w:pPr>
              <w:spacing w:line="240" w:lineRule="auto"/>
              <w:jc w:val="left"/>
              <w:rPr>
                <w:color w:val="000000" w:themeColor="text1"/>
              </w:rPr>
            </w:pPr>
            <w:r w:rsidRPr="00033A3F">
              <w:rPr>
                <w:color w:val="000000" w:themeColor="text1"/>
              </w:rPr>
              <w:t>Rokycany</w:t>
            </w:r>
          </w:p>
        </w:tc>
        <w:tc>
          <w:tcPr>
            <w:tcW w:w="1060" w:type="dxa"/>
            <w:tcBorders>
              <w:top w:val="nil"/>
              <w:left w:val="nil"/>
              <w:bottom w:val="single" w:sz="4" w:space="0" w:color="auto"/>
              <w:right w:val="nil"/>
            </w:tcBorders>
            <w:shd w:val="clear" w:color="auto" w:fill="auto"/>
            <w:noWrap/>
            <w:vAlign w:val="center"/>
            <w:hideMark/>
          </w:tcPr>
          <w:p w14:paraId="6629BD88" w14:textId="77777777" w:rsidR="008430BD" w:rsidRPr="00033A3F" w:rsidRDefault="008430BD" w:rsidP="00CF32FA">
            <w:pPr>
              <w:spacing w:line="240" w:lineRule="auto"/>
              <w:jc w:val="center"/>
              <w:rPr>
                <w:color w:val="000000" w:themeColor="text1"/>
              </w:rPr>
            </w:pPr>
            <w:r w:rsidRPr="00033A3F">
              <w:rPr>
                <w:color w:val="000000" w:themeColor="text1"/>
              </w:rPr>
              <w:t>RO</w:t>
            </w:r>
          </w:p>
        </w:tc>
      </w:tr>
      <w:tr w:rsidR="00033A3F" w:rsidRPr="00033A3F" w14:paraId="7BB86B2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0304B6F" w14:textId="77777777" w:rsidR="008430BD" w:rsidRPr="00033A3F" w:rsidRDefault="008430BD" w:rsidP="00CF32FA">
            <w:pPr>
              <w:spacing w:line="240" w:lineRule="auto"/>
              <w:jc w:val="left"/>
              <w:rPr>
                <w:color w:val="000000" w:themeColor="text1"/>
              </w:rPr>
            </w:pPr>
            <w:r w:rsidRPr="00033A3F">
              <w:rPr>
                <w:color w:val="000000" w:themeColor="text1"/>
              </w:rPr>
              <w:t>Karlovy Vary</w:t>
            </w:r>
          </w:p>
        </w:tc>
        <w:tc>
          <w:tcPr>
            <w:tcW w:w="1060" w:type="dxa"/>
            <w:tcBorders>
              <w:top w:val="nil"/>
              <w:left w:val="nil"/>
              <w:bottom w:val="single" w:sz="4" w:space="0" w:color="auto"/>
              <w:right w:val="single" w:sz="4" w:space="0" w:color="auto"/>
            </w:tcBorders>
            <w:shd w:val="clear" w:color="auto" w:fill="auto"/>
            <w:noWrap/>
            <w:vAlign w:val="center"/>
            <w:hideMark/>
          </w:tcPr>
          <w:p w14:paraId="07CAD7F1" w14:textId="77777777" w:rsidR="008430BD" w:rsidRPr="00033A3F" w:rsidRDefault="008430BD" w:rsidP="00CF32FA">
            <w:pPr>
              <w:spacing w:line="240" w:lineRule="auto"/>
              <w:jc w:val="center"/>
              <w:rPr>
                <w:color w:val="000000" w:themeColor="text1"/>
              </w:rPr>
            </w:pPr>
            <w:r w:rsidRPr="00033A3F">
              <w:rPr>
                <w:color w:val="000000" w:themeColor="text1"/>
              </w:rPr>
              <w:t>KV</w:t>
            </w:r>
          </w:p>
        </w:tc>
        <w:tc>
          <w:tcPr>
            <w:tcW w:w="2320" w:type="dxa"/>
            <w:tcBorders>
              <w:top w:val="nil"/>
              <w:left w:val="nil"/>
              <w:bottom w:val="single" w:sz="4" w:space="0" w:color="auto"/>
              <w:right w:val="nil"/>
            </w:tcBorders>
            <w:shd w:val="clear" w:color="auto" w:fill="auto"/>
            <w:noWrap/>
            <w:vAlign w:val="center"/>
            <w:hideMark/>
          </w:tcPr>
          <w:p w14:paraId="0BCADA59" w14:textId="77777777" w:rsidR="008430BD" w:rsidRPr="00033A3F" w:rsidRDefault="008430BD" w:rsidP="00CF32FA">
            <w:pPr>
              <w:spacing w:line="240" w:lineRule="auto"/>
              <w:jc w:val="left"/>
              <w:rPr>
                <w:color w:val="000000" w:themeColor="text1"/>
              </w:rPr>
            </w:pPr>
            <w:r w:rsidRPr="00033A3F">
              <w:rPr>
                <w:color w:val="000000" w:themeColor="text1"/>
              </w:rPr>
              <w:t>Rychnov nad Kněžnou</w:t>
            </w:r>
          </w:p>
        </w:tc>
        <w:tc>
          <w:tcPr>
            <w:tcW w:w="1060" w:type="dxa"/>
            <w:tcBorders>
              <w:top w:val="nil"/>
              <w:left w:val="nil"/>
              <w:bottom w:val="single" w:sz="4" w:space="0" w:color="auto"/>
              <w:right w:val="nil"/>
            </w:tcBorders>
            <w:shd w:val="clear" w:color="auto" w:fill="auto"/>
            <w:noWrap/>
            <w:vAlign w:val="center"/>
            <w:hideMark/>
          </w:tcPr>
          <w:p w14:paraId="002738BD" w14:textId="77777777" w:rsidR="008430BD" w:rsidRPr="00033A3F" w:rsidRDefault="008430BD" w:rsidP="00CF32FA">
            <w:pPr>
              <w:spacing w:line="240" w:lineRule="auto"/>
              <w:jc w:val="center"/>
              <w:rPr>
                <w:color w:val="000000" w:themeColor="text1"/>
              </w:rPr>
            </w:pPr>
            <w:r w:rsidRPr="00033A3F">
              <w:rPr>
                <w:color w:val="000000" w:themeColor="text1"/>
              </w:rPr>
              <w:t>RK</w:t>
            </w:r>
          </w:p>
        </w:tc>
      </w:tr>
      <w:tr w:rsidR="00033A3F" w:rsidRPr="00033A3F" w14:paraId="47FDB9D2"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CF45FE2" w14:textId="77777777" w:rsidR="008430BD" w:rsidRPr="00033A3F" w:rsidRDefault="008430BD" w:rsidP="00CF32FA">
            <w:pPr>
              <w:spacing w:line="240" w:lineRule="auto"/>
              <w:jc w:val="left"/>
              <w:rPr>
                <w:color w:val="000000" w:themeColor="text1"/>
              </w:rPr>
            </w:pPr>
            <w:r w:rsidRPr="00033A3F">
              <w:rPr>
                <w:color w:val="000000" w:themeColor="text1"/>
              </w:rPr>
              <w:t>Karviná</w:t>
            </w:r>
          </w:p>
        </w:tc>
        <w:tc>
          <w:tcPr>
            <w:tcW w:w="1060" w:type="dxa"/>
            <w:tcBorders>
              <w:top w:val="nil"/>
              <w:left w:val="nil"/>
              <w:bottom w:val="single" w:sz="4" w:space="0" w:color="auto"/>
              <w:right w:val="single" w:sz="4" w:space="0" w:color="auto"/>
            </w:tcBorders>
            <w:shd w:val="clear" w:color="auto" w:fill="auto"/>
            <w:noWrap/>
            <w:vAlign w:val="center"/>
            <w:hideMark/>
          </w:tcPr>
          <w:p w14:paraId="760F54B7" w14:textId="77777777" w:rsidR="008430BD" w:rsidRPr="00033A3F" w:rsidRDefault="008430BD" w:rsidP="00CF32FA">
            <w:pPr>
              <w:spacing w:line="240" w:lineRule="auto"/>
              <w:jc w:val="center"/>
              <w:rPr>
                <w:color w:val="000000" w:themeColor="text1"/>
              </w:rPr>
            </w:pPr>
            <w:r w:rsidRPr="00033A3F">
              <w:rPr>
                <w:color w:val="000000" w:themeColor="text1"/>
              </w:rPr>
              <w:t>KA</w:t>
            </w:r>
          </w:p>
        </w:tc>
        <w:tc>
          <w:tcPr>
            <w:tcW w:w="2320" w:type="dxa"/>
            <w:tcBorders>
              <w:top w:val="nil"/>
              <w:left w:val="nil"/>
              <w:bottom w:val="single" w:sz="4" w:space="0" w:color="auto"/>
              <w:right w:val="nil"/>
            </w:tcBorders>
            <w:shd w:val="clear" w:color="auto" w:fill="auto"/>
            <w:noWrap/>
            <w:vAlign w:val="center"/>
            <w:hideMark/>
          </w:tcPr>
          <w:p w14:paraId="4531D4CF" w14:textId="77777777" w:rsidR="008430BD" w:rsidRPr="00033A3F" w:rsidRDefault="008430BD" w:rsidP="00CF32FA">
            <w:pPr>
              <w:spacing w:line="240" w:lineRule="auto"/>
              <w:jc w:val="left"/>
              <w:rPr>
                <w:color w:val="000000" w:themeColor="text1"/>
              </w:rPr>
            </w:pPr>
            <w:r w:rsidRPr="00033A3F">
              <w:rPr>
                <w:color w:val="000000" w:themeColor="text1"/>
              </w:rPr>
              <w:t>Semily</w:t>
            </w:r>
          </w:p>
        </w:tc>
        <w:tc>
          <w:tcPr>
            <w:tcW w:w="1060" w:type="dxa"/>
            <w:tcBorders>
              <w:top w:val="nil"/>
              <w:left w:val="nil"/>
              <w:bottom w:val="single" w:sz="4" w:space="0" w:color="auto"/>
              <w:right w:val="nil"/>
            </w:tcBorders>
            <w:shd w:val="clear" w:color="auto" w:fill="auto"/>
            <w:noWrap/>
            <w:vAlign w:val="center"/>
            <w:hideMark/>
          </w:tcPr>
          <w:p w14:paraId="23BDEB6F" w14:textId="77777777" w:rsidR="008430BD" w:rsidRPr="00033A3F" w:rsidRDefault="008430BD" w:rsidP="00CF32FA">
            <w:pPr>
              <w:spacing w:line="240" w:lineRule="auto"/>
              <w:jc w:val="center"/>
              <w:rPr>
                <w:color w:val="000000" w:themeColor="text1"/>
              </w:rPr>
            </w:pPr>
            <w:r w:rsidRPr="00033A3F">
              <w:rPr>
                <w:color w:val="000000" w:themeColor="text1"/>
              </w:rPr>
              <w:t>SM</w:t>
            </w:r>
          </w:p>
        </w:tc>
      </w:tr>
      <w:tr w:rsidR="00033A3F" w:rsidRPr="00033A3F" w14:paraId="371F4578"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BCE857A" w14:textId="77777777" w:rsidR="008430BD" w:rsidRPr="00033A3F" w:rsidRDefault="008430BD" w:rsidP="00CF32FA">
            <w:pPr>
              <w:spacing w:line="240" w:lineRule="auto"/>
              <w:jc w:val="left"/>
              <w:rPr>
                <w:color w:val="000000" w:themeColor="text1"/>
              </w:rPr>
            </w:pPr>
            <w:r w:rsidRPr="00033A3F">
              <w:rPr>
                <w:color w:val="000000" w:themeColor="text1"/>
              </w:rPr>
              <w:t>Kladno</w:t>
            </w:r>
          </w:p>
        </w:tc>
        <w:tc>
          <w:tcPr>
            <w:tcW w:w="1060" w:type="dxa"/>
            <w:tcBorders>
              <w:top w:val="nil"/>
              <w:left w:val="nil"/>
              <w:bottom w:val="single" w:sz="4" w:space="0" w:color="auto"/>
              <w:right w:val="single" w:sz="4" w:space="0" w:color="auto"/>
            </w:tcBorders>
            <w:shd w:val="clear" w:color="auto" w:fill="auto"/>
            <w:noWrap/>
            <w:vAlign w:val="center"/>
            <w:hideMark/>
          </w:tcPr>
          <w:p w14:paraId="6CE39181" w14:textId="77777777" w:rsidR="008430BD" w:rsidRPr="00033A3F" w:rsidRDefault="008430BD" w:rsidP="00CF32FA">
            <w:pPr>
              <w:spacing w:line="240" w:lineRule="auto"/>
              <w:jc w:val="center"/>
              <w:rPr>
                <w:color w:val="000000" w:themeColor="text1"/>
              </w:rPr>
            </w:pPr>
            <w:r w:rsidRPr="00033A3F">
              <w:rPr>
                <w:color w:val="000000" w:themeColor="text1"/>
              </w:rPr>
              <w:t>KL</w:t>
            </w:r>
          </w:p>
        </w:tc>
        <w:tc>
          <w:tcPr>
            <w:tcW w:w="2320" w:type="dxa"/>
            <w:tcBorders>
              <w:top w:val="nil"/>
              <w:left w:val="nil"/>
              <w:bottom w:val="single" w:sz="4" w:space="0" w:color="auto"/>
              <w:right w:val="nil"/>
            </w:tcBorders>
            <w:shd w:val="clear" w:color="auto" w:fill="auto"/>
            <w:noWrap/>
            <w:vAlign w:val="center"/>
            <w:hideMark/>
          </w:tcPr>
          <w:p w14:paraId="7151E930" w14:textId="77777777" w:rsidR="008430BD" w:rsidRPr="00033A3F" w:rsidRDefault="008430BD" w:rsidP="00CF32FA">
            <w:pPr>
              <w:spacing w:line="240" w:lineRule="auto"/>
              <w:jc w:val="left"/>
              <w:rPr>
                <w:color w:val="000000" w:themeColor="text1"/>
              </w:rPr>
            </w:pPr>
            <w:r w:rsidRPr="00033A3F">
              <w:rPr>
                <w:color w:val="000000" w:themeColor="text1"/>
              </w:rPr>
              <w:t>Sokolov</w:t>
            </w:r>
          </w:p>
        </w:tc>
        <w:tc>
          <w:tcPr>
            <w:tcW w:w="1060" w:type="dxa"/>
            <w:tcBorders>
              <w:top w:val="nil"/>
              <w:left w:val="nil"/>
              <w:bottom w:val="single" w:sz="4" w:space="0" w:color="auto"/>
              <w:right w:val="nil"/>
            </w:tcBorders>
            <w:shd w:val="clear" w:color="auto" w:fill="auto"/>
            <w:noWrap/>
            <w:vAlign w:val="center"/>
            <w:hideMark/>
          </w:tcPr>
          <w:p w14:paraId="6E6BC2DB" w14:textId="77777777" w:rsidR="008430BD" w:rsidRPr="00033A3F" w:rsidRDefault="008430BD" w:rsidP="00CF32FA">
            <w:pPr>
              <w:spacing w:line="240" w:lineRule="auto"/>
              <w:jc w:val="center"/>
              <w:rPr>
                <w:color w:val="000000" w:themeColor="text1"/>
              </w:rPr>
            </w:pPr>
            <w:r w:rsidRPr="00033A3F">
              <w:rPr>
                <w:color w:val="000000" w:themeColor="text1"/>
              </w:rPr>
              <w:t>SO</w:t>
            </w:r>
          </w:p>
        </w:tc>
      </w:tr>
      <w:tr w:rsidR="00033A3F" w:rsidRPr="00033A3F" w14:paraId="27952FC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5B8D473" w14:textId="77777777" w:rsidR="008430BD" w:rsidRPr="00033A3F" w:rsidRDefault="008430BD" w:rsidP="00CF32FA">
            <w:pPr>
              <w:spacing w:line="240" w:lineRule="auto"/>
              <w:jc w:val="left"/>
              <w:rPr>
                <w:color w:val="000000" w:themeColor="text1"/>
              </w:rPr>
            </w:pPr>
            <w:r w:rsidRPr="00033A3F">
              <w:rPr>
                <w:color w:val="000000" w:themeColor="text1"/>
              </w:rPr>
              <w:t>Klatovy</w:t>
            </w:r>
          </w:p>
        </w:tc>
        <w:tc>
          <w:tcPr>
            <w:tcW w:w="1060" w:type="dxa"/>
            <w:tcBorders>
              <w:top w:val="nil"/>
              <w:left w:val="nil"/>
              <w:bottom w:val="single" w:sz="4" w:space="0" w:color="auto"/>
              <w:right w:val="single" w:sz="4" w:space="0" w:color="auto"/>
            </w:tcBorders>
            <w:shd w:val="clear" w:color="auto" w:fill="auto"/>
            <w:noWrap/>
            <w:vAlign w:val="center"/>
            <w:hideMark/>
          </w:tcPr>
          <w:p w14:paraId="5EBB2108" w14:textId="77777777" w:rsidR="008430BD" w:rsidRPr="00033A3F" w:rsidRDefault="008430BD" w:rsidP="00CF32FA">
            <w:pPr>
              <w:spacing w:line="240" w:lineRule="auto"/>
              <w:jc w:val="center"/>
              <w:rPr>
                <w:color w:val="000000" w:themeColor="text1"/>
              </w:rPr>
            </w:pPr>
            <w:r w:rsidRPr="00033A3F">
              <w:rPr>
                <w:color w:val="000000" w:themeColor="text1"/>
              </w:rPr>
              <w:t>KT</w:t>
            </w:r>
          </w:p>
        </w:tc>
        <w:tc>
          <w:tcPr>
            <w:tcW w:w="2320" w:type="dxa"/>
            <w:tcBorders>
              <w:top w:val="nil"/>
              <w:left w:val="nil"/>
              <w:bottom w:val="single" w:sz="4" w:space="0" w:color="auto"/>
              <w:right w:val="nil"/>
            </w:tcBorders>
            <w:shd w:val="clear" w:color="auto" w:fill="auto"/>
            <w:noWrap/>
            <w:vAlign w:val="center"/>
            <w:hideMark/>
          </w:tcPr>
          <w:p w14:paraId="4BEF2744" w14:textId="77777777" w:rsidR="008430BD" w:rsidRPr="00033A3F" w:rsidRDefault="008430BD" w:rsidP="00CF32FA">
            <w:pPr>
              <w:spacing w:line="240" w:lineRule="auto"/>
              <w:jc w:val="left"/>
              <w:rPr>
                <w:color w:val="000000" w:themeColor="text1"/>
              </w:rPr>
            </w:pPr>
            <w:r w:rsidRPr="00033A3F">
              <w:rPr>
                <w:color w:val="000000" w:themeColor="text1"/>
              </w:rPr>
              <w:t>Strakonice</w:t>
            </w:r>
          </w:p>
        </w:tc>
        <w:tc>
          <w:tcPr>
            <w:tcW w:w="1060" w:type="dxa"/>
            <w:tcBorders>
              <w:top w:val="nil"/>
              <w:left w:val="nil"/>
              <w:bottom w:val="single" w:sz="4" w:space="0" w:color="auto"/>
              <w:right w:val="nil"/>
            </w:tcBorders>
            <w:shd w:val="clear" w:color="auto" w:fill="auto"/>
            <w:noWrap/>
            <w:vAlign w:val="center"/>
            <w:hideMark/>
          </w:tcPr>
          <w:p w14:paraId="30C2431B" w14:textId="77777777" w:rsidR="008430BD" w:rsidRPr="00033A3F" w:rsidRDefault="008430BD" w:rsidP="00CF32FA">
            <w:pPr>
              <w:spacing w:line="240" w:lineRule="auto"/>
              <w:jc w:val="center"/>
              <w:rPr>
                <w:color w:val="000000" w:themeColor="text1"/>
              </w:rPr>
            </w:pPr>
            <w:r w:rsidRPr="00033A3F">
              <w:rPr>
                <w:color w:val="000000" w:themeColor="text1"/>
              </w:rPr>
              <w:t>ST</w:t>
            </w:r>
          </w:p>
        </w:tc>
      </w:tr>
      <w:tr w:rsidR="00033A3F" w:rsidRPr="00033A3F" w14:paraId="552E0EC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1561439" w14:textId="77777777" w:rsidR="008430BD" w:rsidRPr="00033A3F" w:rsidRDefault="008430BD" w:rsidP="00CF32FA">
            <w:pPr>
              <w:spacing w:line="240" w:lineRule="auto"/>
              <w:jc w:val="left"/>
              <w:rPr>
                <w:color w:val="000000" w:themeColor="text1"/>
              </w:rPr>
            </w:pPr>
            <w:r w:rsidRPr="00033A3F">
              <w:rPr>
                <w:color w:val="000000" w:themeColor="text1"/>
              </w:rPr>
              <w:t>Kolín</w:t>
            </w:r>
          </w:p>
        </w:tc>
        <w:tc>
          <w:tcPr>
            <w:tcW w:w="1060" w:type="dxa"/>
            <w:tcBorders>
              <w:top w:val="nil"/>
              <w:left w:val="nil"/>
              <w:bottom w:val="single" w:sz="4" w:space="0" w:color="auto"/>
              <w:right w:val="single" w:sz="4" w:space="0" w:color="auto"/>
            </w:tcBorders>
            <w:shd w:val="clear" w:color="auto" w:fill="auto"/>
            <w:noWrap/>
            <w:vAlign w:val="center"/>
            <w:hideMark/>
          </w:tcPr>
          <w:p w14:paraId="7E529403" w14:textId="77777777" w:rsidR="008430BD" w:rsidRPr="00033A3F" w:rsidRDefault="008430BD" w:rsidP="00CF32FA">
            <w:pPr>
              <w:spacing w:line="240" w:lineRule="auto"/>
              <w:jc w:val="center"/>
              <w:rPr>
                <w:color w:val="000000" w:themeColor="text1"/>
              </w:rPr>
            </w:pPr>
            <w:r w:rsidRPr="00033A3F">
              <w:rPr>
                <w:color w:val="000000" w:themeColor="text1"/>
              </w:rPr>
              <w:t>KO</w:t>
            </w:r>
          </w:p>
        </w:tc>
        <w:tc>
          <w:tcPr>
            <w:tcW w:w="2320" w:type="dxa"/>
            <w:tcBorders>
              <w:top w:val="nil"/>
              <w:left w:val="nil"/>
              <w:bottom w:val="single" w:sz="4" w:space="0" w:color="auto"/>
              <w:right w:val="nil"/>
            </w:tcBorders>
            <w:shd w:val="clear" w:color="auto" w:fill="auto"/>
            <w:noWrap/>
            <w:vAlign w:val="center"/>
            <w:hideMark/>
          </w:tcPr>
          <w:p w14:paraId="410537F7" w14:textId="77777777" w:rsidR="008430BD" w:rsidRPr="00033A3F" w:rsidRDefault="008430BD" w:rsidP="00CF32FA">
            <w:pPr>
              <w:spacing w:line="240" w:lineRule="auto"/>
              <w:jc w:val="left"/>
              <w:rPr>
                <w:color w:val="000000" w:themeColor="text1"/>
              </w:rPr>
            </w:pPr>
            <w:r w:rsidRPr="00033A3F">
              <w:rPr>
                <w:color w:val="000000" w:themeColor="text1"/>
              </w:rPr>
              <w:t>Svitavy</w:t>
            </w:r>
          </w:p>
        </w:tc>
        <w:tc>
          <w:tcPr>
            <w:tcW w:w="1060" w:type="dxa"/>
            <w:tcBorders>
              <w:top w:val="nil"/>
              <w:left w:val="nil"/>
              <w:bottom w:val="single" w:sz="4" w:space="0" w:color="auto"/>
              <w:right w:val="nil"/>
            </w:tcBorders>
            <w:shd w:val="clear" w:color="auto" w:fill="auto"/>
            <w:noWrap/>
            <w:vAlign w:val="center"/>
            <w:hideMark/>
          </w:tcPr>
          <w:p w14:paraId="0040E8C2" w14:textId="77777777" w:rsidR="008430BD" w:rsidRPr="00033A3F" w:rsidRDefault="008430BD" w:rsidP="00CF32FA">
            <w:pPr>
              <w:spacing w:line="240" w:lineRule="auto"/>
              <w:jc w:val="center"/>
              <w:rPr>
                <w:color w:val="000000" w:themeColor="text1"/>
              </w:rPr>
            </w:pPr>
            <w:r w:rsidRPr="00033A3F">
              <w:rPr>
                <w:color w:val="000000" w:themeColor="text1"/>
              </w:rPr>
              <w:t>SY</w:t>
            </w:r>
          </w:p>
        </w:tc>
      </w:tr>
      <w:tr w:rsidR="00033A3F" w:rsidRPr="00033A3F" w14:paraId="10B716CD"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2F9B9E4" w14:textId="77777777" w:rsidR="008430BD" w:rsidRPr="00033A3F" w:rsidRDefault="008430BD" w:rsidP="00CF32FA">
            <w:pPr>
              <w:spacing w:line="240" w:lineRule="auto"/>
              <w:jc w:val="left"/>
              <w:rPr>
                <w:color w:val="000000" w:themeColor="text1"/>
              </w:rPr>
            </w:pPr>
            <w:r w:rsidRPr="00033A3F">
              <w:rPr>
                <w:color w:val="000000" w:themeColor="text1"/>
              </w:rPr>
              <w:t>Kroměříž</w:t>
            </w:r>
          </w:p>
        </w:tc>
        <w:tc>
          <w:tcPr>
            <w:tcW w:w="1060" w:type="dxa"/>
            <w:tcBorders>
              <w:top w:val="nil"/>
              <w:left w:val="nil"/>
              <w:bottom w:val="single" w:sz="4" w:space="0" w:color="auto"/>
              <w:right w:val="single" w:sz="4" w:space="0" w:color="auto"/>
            </w:tcBorders>
            <w:shd w:val="clear" w:color="auto" w:fill="auto"/>
            <w:noWrap/>
            <w:vAlign w:val="center"/>
            <w:hideMark/>
          </w:tcPr>
          <w:p w14:paraId="215D40A3" w14:textId="77777777" w:rsidR="008430BD" w:rsidRPr="00033A3F" w:rsidRDefault="008430BD" w:rsidP="00CF32FA">
            <w:pPr>
              <w:spacing w:line="240" w:lineRule="auto"/>
              <w:jc w:val="center"/>
              <w:rPr>
                <w:color w:val="000000" w:themeColor="text1"/>
              </w:rPr>
            </w:pPr>
            <w:r w:rsidRPr="00033A3F">
              <w:rPr>
                <w:color w:val="000000" w:themeColor="text1"/>
              </w:rPr>
              <w:t>KM</w:t>
            </w:r>
          </w:p>
        </w:tc>
        <w:tc>
          <w:tcPr>
            <w:tcW w:w="2320" w:type="dxa"/>
            <w:tcBorders>
              <w:top w:val="nil"/>
              <w:left w:val="nil"/>
              <w:bottom w:val="single" w:sz="4" w:space="0" w:color="auto"/>
              <w:right w:val="nil"/>
            </w:tcBorders>
            <w:shd w:val="clear" w:color="auto" w:fill="auto"/>
            <w:noWrap/>
            <w:vAlign w:val="center"/>
            <w:hideMark/>
          </w:tcPr>
          <w:p w14:paraId="11857AC5" w14:textId="77777777" w:rsidR="008430BD" w:rsidRPr="00033A3F" w:rsidRDefault="008430BD" w:rsidP="00CF32FA">
            <w:pPr>
              <w:spacing w:line="240" w:lineRule="auto"/>
              <w:jc w:val="left"/>
              <w:rPr>
                <w:color w:val="000000" w:themeColor="text1"/>
              </w:rPr>
            </w:pPr>
            <w:r w:rsidRPr="00033A3F">
              <w:rPr>
                <w:color w:val="000000" w:themeColor="text1"/>
              </w:rPr>
              <w:t>Šumperk</w:t>
            </w:r>
          </w:p>
        </w:tc>
        <w:tc>
          <w:tcPr>
            <w:tcW w:w="1060" w:type="dxa"/>
            <w:tcBorders>
              <w:top w:val="nil"/>
              <w:left w:val="nil"/>
              <w:bottom w:val="single" w:sz="4" w:space="0" w:color="auto"/>
              <w:right w:val="nil"/>
            </w:tcBorders>
            <w:shd w:val="clear" w:color="auto" w:fill="auto"/>
            <w:noWrap/>
            <w:vAlign w:val="center"/>
            <w:hideMark/>
          </w:tcPr>
          <w:p w14:paraId="48C38AF8" w14:textId="77777777" w:rsidR="008430BD" w:rsidRPr="00033A3F" w:rsidRDefault="008430BD" w:rsidP="00CF32FA">
            <w:pPr>
              <w:spacing w:line="240" w:lineRule="auto"/>
              <w:jc w:val="center"/>
              <w:rPr>
                <w:color w:val="000000" w:themeColor="text1"/>
              </w:rPr>
            </w:pPr>
            <w:r w:rsidRPr="00033A3F">
              <w:rPr>
                <w:color w:val="000000" w:themeColor="text1"/>
              </w:rPr>
              <w:t>SU</w:t>
            </w:r>
          </w:p>
        </w:tc>
      </w:tr>
      <w:tr w:rsidR="00033A3F" w:rsidRPr="00033A3F" w14:paraId="2D86CC2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AF26D9E" w14:textId="77777777" w:rsidR="008430BD" w:rsidRPr="00033A3F" w:rsidRDefault="008430BD" w:rsidP="00CF32FA">
            <w:pPr>
              <w:spacing w:line="240" w:lineRule="auto"/>
              <w:jc w:val="left"/>
              <w:rPr>
                <w:color w:val="000000" w:themeColor="text1"/>
              </w:rPr>
            </w:pPr>
            <w:r w:rsidRPr="00033A3F">
              <w:rPr>
                <w:color w:val="000000" w:themeColor="text1"/>
              </w:rPr>
              <w:t>Kutná Hora</w:t>
            </w:r>
          </w:p>
        </w:tc>
        <w:tc>
          <w:tcPr>
            <w:tcW w:w="1060" w:type="dxa"/>
            <w:tcBorders>
              <w:top w:val="nil"/>
              <w:left w:val="nil"/>
              <w:bottom w:val="single" w:sz="4" w:space="0" w:color="auto"/>
              <w:right w:val="single" w:sz="4" w:space="0" w:color="auto"/>
            </w:tcBorders>
            <w:shd w:val="clear" w:color="auto" w:fill="auto"/>
            <w:noWrap/>
            <w:vAlign w:val="center"/>
            <w:hideMark/>
          </w:tcPr>
          <w:p w14:paraId="21643A9D" w14:textId="77777777" w:rsidR="008430BD" w:rsidRPr="00033A3F" w:rsidRDefault="008430BD" w:rsidP="00CF32FA">
            <w:pPr>
              <w:spacing w:line="240" w:lineRule="auto"/>
              <w:jc w:val="center"/>
              <w:rPr>
                <w:color w:val="000000" w:themeColor="text1"/>
              </w:rPr>
            </w:pPr>
            <w:r w:rsidRPr="00033A3F">
              <w:rPr>
                <w:color w:val="000000" w:themeColor="text1"/>
              </w:rPr>
              <w:t>KH</w:t>
            </w:r>
          </w:p>
        </w:tc>
        <w:tc>
          <w:tcPr>
            <w:tcW w:w="2320" w:type="dxa"/>
            <w:tcBorders>
              <w:top w:val="nil"/>
              <w:left w:val="nil"/>
              <w:bottom w:val="single" w:sz="4" w:space="0" w:color="auto"/>
              <w:right w:val="nil"/>
            </w:tcBorders>
            <w:shd w:val="clear" w:color="auto" w:fill="auto"/>
            <w:noWrap/>
            <w:vAlign w:val="center"/>
            <w:hideMark/>
          </w:tcPr>
          <w:p w14:paraId="1D296850" w14:textId="77777777" w:rsidR="008430BD" w:rsidRPr="00033A3F" w:rsidRDefault="008430BD" w:rsidP="00CF32FA">
            <w:pPr>
              <w:spacing w:line="240" w:lineRule="auto"/>
              <w:jc w:val="left"/>
              <w:rPr>
                <w:color w:val="000000" w:themeColor="text1"/>
              </w:rPr>
            </w:pPr>
            <w:r w:rsidRPr="00033A3F">
              <w:rPr>
                <w:color w:val="000000" w:themeColor="text1"/>
              </w:rPr>
              <w:t>Tábor</w:t>
            </w:r>
          </w:p>
        </w:tc>
        <w:tc>
          <w:tcPr>
            <w:tcW w:w="1060" w:type="dxa"/>
            <w:tcBorders>
              <w:top w:val="nil"/>
              <w:left w:val="nil"/>
              <w:bottom w:val="single" w:sz="4" w:space="0" w:color="auto"/>
              <w:right w:val="nil"/>
            </w:tcBorders>
            <w:shd w:val="clear" w:color="auto" w:fill="auto"/>
            <w:noWrap/>
            <w:vAlign w:val="center"/>
            <w:hideMark/>
          </w:tcPr>
          <w:p w14:paraId="58937F48" w14:textId="77777777" w:rsidR="008430BD" w:rsidRPr="00033A3F" w:rsidRDefault="008430BD" w:rsidP="00CF32FA">
            <w:pPr>
              <w:spacing w:line="240" w:lineRule="auto"/>
              <w:jc w:val="center"/>
              <w:rPr>
                <w:color w:val="000000" w:themeColor="text1"/>
              </w:rPr>
            </w:pPr>
            <w:r w:rsidRPr="00033A3F">
              <w:rPr>
                <w:color w:val="000000" w:themeColor="text1"/>
              </w:rPr>
              <w:t>TA</w:t>
            </w:r>
          </w:p>
        </w:tc>
      </w:tr>
      <w:tr w:rsidR="00033A3F" w:rsidRPr="00033A3F" w14:paraId="01277BA1"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7534D63" w14:textId="77777777" w:rsidR="008430BD" w:rsidRPr="00033A3F" w:rsidRDefault="008430BD" w:rsidP="00CF32FA">
            <w:pPr>
              <w:spacing w:line="240" w:lineRule="auto"/>
              <w:jc w:val="left"/>
              <w:rPr>
                <w:color w:val="000000" w:themeColor="text1"/>
              </w:rPr>
            </w:pPr>
            <w:r w:rsidRPr="00033A3F">
              <w:rPr>
                <w:color w:val="000000" w:themeColor="text1"/>
              </w:rPr>
              <w:t>Liberec</w:t>
            </w:r>
          </w:p>
        </w:tc>
        <w:tc>
          <w:tcPr>
            <w:tcW w:w="1060" w:type="dxa"/>
            <w:tcBorders>
              <w:top w:val="nil"/>
              <w:left w:val="nil"/>
              <w:bottom w:val="single" w:sz="4" w:space="0" w:color="auto"/>
              <w:right w:val="single" w:sz="4" w:space="0" w:color="auto"/>
            </w:tcBorders>
            <w:shd w:val="clear" w:color="auto" w:fill="auto"/>
            <w:noWrap/>
            <w:vAlign w:val="center"/>
            <w:hideMark/>
          </w:tcPr>
          <w:p w14:paraId="41CC988B" w14:textId="77777777" w:rsidR="008430BD" w:rsidRPr="00033A3F" w:rsidRDefault="008430BD" w:rsidP="00CF32FA">
            <w:pPr>
              <w:spacing w:line="240" w:lineRule="auto"/>
              <w:jc w:val="center"/>
              <w:rPr>
                <w:color w:val="000000" w:themeColor="text1"/>
              </w:rPr>
            </w:pPr>
            <w:r w:rsidRPr="00033A3F">
              <w:rPr>
                <w:color w:val="000000" w:themeColor="text1"/>
              </w:rPr>
              <w:t>LB</w:t>
            </w:r>
          </w:p>
        </w:tc>
        <w:tc>
          <w:tcPr>
            <w:tcW w:w="2320" w:type="dxa"/>
            <w:tcBorders>
              <w:top w:val="nil"/>
              <w:left w:val="nil"/>
              <w:bottom w:val="single" w:sz="4" w:space="0" w:color="auto"/>
              <w:right w:val="nil"/>
            </w:tcBorders>
            <w:shd w:val="clear" w:color="auto" w:fill="auto"/>
            <w:noWrap/>
            <w:vAlign w:val="center"/>
            <w:hideMark/>
          </w:tcPr>
          <w:p w14:paraId="6104F492" w14:textId="77777777" w:rsidR="008430BD" w:rsidRPr="00033A3F" w:rsidRDefault="008430BD" w:rsidP="00CF32FA">
            <w:pPr>
              <w:spacing w:line="240" w:lineRule="auto"/>
              <w:jc w:val="left"/>
              <w:rPr>
                <w:color w:val="000000" w:themeColor="text1"/>
              </w:rPr>
            </w:pPr>
            <w:r w:rsidRPr="00033A3F">
              <w:rPr>
                <w:color w:val="000000" w:themeColor="text1"/>
              </w:rPr>
              <w:t>Tachov</w:t>
            </w:r>
          </w:p>
        </w:tc>
        <w:tc>
          <w:tcPr>
            <w:tcW w:w="1060" w:type="dxa"/>
            <w:tcBorders>
              <w:top w:val="nil"/>
              <w:left w:val="nil"/>
              <w:bottom w:val="single" w:sz="4" w:space="0" w:color="auto"/>
              <w:right w:val="nil"/>
            </w:tcBorders>
            <w:shd w:val="clear" w:color="auto" w:fill="auto"/>
            <w:noWrap/>
            <w:vAlign w:val="center"/>
            <w:hideMark/>
          </w:tcPr>
          <w:p w14:paraId="16276A58" w14:textId="77777777" w:rsidR="008430BD" w:rsidRPr="00033A3F" w:rsidRDefault="008430BD" w:rsidP="00CF32FA">
            <w:pPr>
              <w:spacing w:line="240" w:lineRule="auto"/>
              <w:jc w:val="center"/>
              <w:rPr>
                <w:color w:val="000000" w:themeColor="text1"/>
              </w:rPr>
            </w:pPr>
            <w:r w:rsidRPr="00033A3F">
              <w:rPr>
                <w:color w:val="000000" w:themeColor="text1"/>
              </w:rPr>
              <w:t>TC</w:t>
            </w:r>
          </w:p>
        </w:tc>
      </w:tr>
      <w:tr w:rsidR="00033A3F" w:rsidRPr="00033A3F" w14:paraId="61233D1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2BE71CE" w14:textId="77777777" w:rsidR="008430BD" w:rsidRPr="00033A3F" w:rsidRDefault="008430BD" w:rsidP="00CF32FA">
            <w:pPr>
              <w:spacing w:line="240" w:lineRule="auto"/>
              <w:jc w:val="left"/>
              <w:rPr>
                <w:color w:val="000000" w:themeColor="text1"/>
              </w:rPr>
            </w:pPr>
            <w:r w:rsidRPr="00033A3F">
              <w:rPr>
                <w:color w:val="000000" w:themeColor="text1"/>
              </w:rPr>
              <w:t>Litoměřice</w:t>
            </w:r>
          </w:p>
        </w:tc>
        <w:tc>
          <w:tcPr>
            <w:tcW w:w="1060" w:type="dxa"/>
            <w:tcBorders>
              <w:top w:val="nil"/>
              <w:left w:val="nil"/>
              <w:bottom w:val="single" w:sz="4" w:space="0" w:color="auto"/>
              <w:right w:val="single" w:sz="4" w:space="0" w:color="auto"/>
            </w:tcBorders>
            <w:shd w:val="clear" w:color="auto" w:fill="auto"/>
            <w:noWrap/>
            <w:vAlign w:val="center"/>
            <w:hideMark/>
          </w:tcPr>
          <w:p w14:paraId="3F20CD05" w14:textId="77777777" w:rsidR="008430BD" w:rsidRPr="00033A3F" w:rsidRDefault="008430BD" w:rsidP="00CF32FA">
            <w:pPr>
              <w:spacing w:line="240" w:lineRule="auto"/>
              <w:jc w:val="center"/>
              <w:rPr>
                <w:color w:val="000000" w:themeColor="text1"/>
              </w:rPr>
            </w:pPr>
            <w:r w:rsidRPr="00033A3F">
              <w:rPr>
                <w:color w:val="000000" w:themeColor="text1"/>
              </w:rPr>
              <w:t>LT</w:t>
            </w:r>
          </w:p>
        </w:tc>
        <w:tc>
          <w:tcPr>
            <w:tcW w:w="2320" w:type="dxa"/>
            <w:tcBorders>
              <w:top w:val="nil"/>
              <w:left w:val="nil"/>
              <w:bottom w:val="single" w:sz="4" w:space="0" w:color="auto"/>
              <w:right w:val="nil"/>
            </w:tcBorders>
            <w:shd w:val="clear" w:color="auto" w:fill="auto"/>
            <w:noWrap/>
            <w:vAlign w:val="center"/>
            <w:hideMark/>
          </w:tcPr>
          <w:p w14:paraId="68660E4F" w14:textId="77777777" w:rsidR="008430BD" w:rsidRPr="00033A3F" w:rsidRDefault="008430BD" w:rsidP="00CF32FA">
            <w:pPr>
              <w:spacing w:line="240" w:lineRule="auto"/>
              <w:jc w:val="left"/>
              <w:rPr>
                <w:color w:val="000000" w:themeColor="text1"/>
              </w:rPr>
            </w:pPr>
            <w:r w:rsidRPr="00033A3F">
              <w:rPr>
                <w:color w:val="000000" w:themeColor="text1"/>
              </w:rPr>
              <w:t>Teplice</w:t>
            </w:r>
          </w:p>
        </w:tc>
        <w:tc>
          <w:tcPr>
            <w:tcW w:w="1060" w:type="dxa"/>
            <w:tcBorders>
              <w:top w:val="nil"/>
              <w:left w:val="nil"/>
              <w:bottom w:val="single" w:sz="4" w:space="0" w:color="auto"/>
              <w:right w:val="nil"/>
            </w:tcBorders>
            <w:shd w:val="clear" w:color="auto" w:fill="auto"/>
            <w:noWrap/>
            <w:vAlign w:val="center"/>
            <w:hideMark/>
          </w:tcPr>
          <w:p w14:paraId="2E3FD035" w14:textId="77777777" w:rsidR="008430BD" w:rsidRPr="00033A3F" w:rsidRDefault="008430BD" w:rsidP="00CF32FA">
            <w:pPr>
              <w:spacing w:line="240" w:lineRule="auto"/>
              <w:jc w:val="center"/>
              <w:rPr>
                <w:color w:val="000000" w:themeColor="text1"/>
              </w:rPr>
            </w:pPr>
            <w:r w:rsidRPr="00033A3F">
              <w:rPr>
                <w:color w:val="000000" w:themeColor="text1"/>
              </w:rPr>
              <w:t>TP</w:t>
            </w:r>
          </w:p>
        </w:tc>
      </w:tr>
      <w:tr w:rsidR="00033A3F" w:rsidRPr="00033A3F" w14:paraId="24845FA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FECAD20" w14:textId="77777777" w:rsidR="008430BD" w:rsidRPr="00033A3F" w:rsidRDefault="008430BD" w:rsidP="00CF32FA">
            <w:pPr>
              <w:spacing w:line="240" w:lineRule="auto"/>
              <w:jc w:val="left"/>
              <w:rPr>
                <w:color w:val="000000" w:themeColor="text1"/>
              </w:rPr>
            </w:pPr>
            <w:r w:rsidRPr="00033A3F">
              <w:rPr>
                <w:color w:val="000000" w:themeColor="text1"/>
              </w:rPr>
              <w:t>Louny</w:t>
            </w:r>
          </w:p>
        </w:tc>
        <w:tc>
          <w:tcPr>
            <w:tcW w:w="1060" w:type="dxa"/>
            <w:tcBorders>
              <w:top w:val="nil"/>
              <w:left w:val="nil"/>
              <w:bottom w:val="single" w:sz="4" w:space="0" w:color="auto"/>
              <w:right w:val="single" w:sz="4" w:space="0" w:color="auto"/>
            </w:tcBorders>
            <w:shd w:val="clear" w:color="auto" w:fill="auto"/>
            <w:noWrap/>
            <w:vAlign w:val="center"/>
            <w:hideMark/>
          </w:tcPr>
          <w:p w14:paraId="55BA5674" w14:textId="77777777" w:rsidR="008430BD" w:rsidRPr="00033A3F" w:rsidRDefault="008430BD" w:rsidP="00CF32FA">
            <w:pPr>
              <w:spacing w:line="240" w:lineRule="auto"/>
              <w:jc w:val="center"/>
              <w:rPr>
                <w:color w:val="000000" w:themeColor="text1"/>
              </w:rPr>
            </w:pPr>
            <w:r w:rsidRPr="00033A3F">
              <w:rPr>
                <w:color w:val="000000" w:themeColor="text1"/>
              </w:rPr>
              <w:t>LN</w:t>
            </w:r>
          </w:p>
        </w:tc>
        <w:tc>
          <w:tcPr>
            <w:tcW w:w="2320" w:type="dxa"/>
            <w:tcBorders>
              <w:top w:val="nil"/>
              <w:left w:val="nil"/>
              <w:bottom w:val="single" w:sz="4" w:space="0" w:color="auto"/>
              <w:right w:val="nil"/>
            </w:tcBorders>
            <w:shd w:val="clear" w:color="auto" w:fill="auto"/>
            <w:noWrap/>
            <w:vAlign w:val="center"/>
            <w:hideMark/>
          </w:tcPr>
          <w:p w14:paraId="689371F6" w14:textId="77777777" w:rsidR="008430BD" w:rsidRPr="00033A3F" w:rsidRDefault="008430BD" w:rsidP="00CF32FA">
            <w:pPr>
              <w:spacing w:line="240" w:lineRule="auto"/>
              <w:jc w:val="left"/>
              <w:rPr>
                <w:color w:val="000000" w:themeColor="text1"/>
              </w:rPr>
            </w:pPr>
            <w:r w:rsidRPr="00033A3F">
              <w:rPr>
                <w:color w:val="000000" w:themeColor="text1"/>
              </w:rPr>
              <w:t>Trutnov</w:t>
            </w:r>
          </w:p>
        </w:tc>
        <w:tc>
          <w:tcPr>
            <w:tcW w:w="1060" w:type="dxa"/>
            <w:tcBorders>
              <w:top w:val="nil"/>
              <w:left w:val="nil"/>
              <w:bottom w:val="single" w:sz="4" w:space="0" w:color="auto"/>
              <w:right w:val="nil"/>
            </w:tcBorders>
            <w:shd w:val="clear" w:color="auto" w:fill="auto"/>
            <w:noWrap/>
            <w:vAlign w:val="center"/>
            <w:hideMark/>
          </w:tcPr>
          <w:p w14:paraId="7B87D1B1" w14:textId="77777777" w:rsidR="008430BD" w:rsidRPr="00033A3F" w:rsidRDefault="008430BD" w:rsidP="00CF32FA">
            <w:pPr>
              <w:spacing w:line="240" w:lineRule="auto"/>
              <w:jc w:val="center"/>
              <w:rPr>
                <w:color w:val="000000" w:themeColor="text1"/>
              </w:rPr>
            </w:pPr>
            <w:r w:rsidRPr="00033A3F">
              <w:rPr>
                <w:color w:val="000000" w:themeColor="text1"/>
              </w:rPr>
              <w:t>TU</w:t>
            </w:r>
          </w:p>
        </w:tc>
      </w:tr>
      <w:tr w:rsidR="00033A3F" w:rsidRPr="00033A3F" w14:paraId="4EE20BF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5562FF6" w14:textId="77777777" w:rsidR="008430BD" w:rsidRPr="00033A3F" w:rsidRDefault="008430BD" w:rsidP="00CF32FA">
            <w:pPr>
              <w:spacing w:line="240" w:lineRule="auto"/>
              <w:jc w:val="left"/>
              <w:rPr>
                <w:color w:val="000000" w:themeColor="text1"/>
              </w:rPr>
            </w:pPr>
            <w:r w:rsidRPr="00033A3F">
              <w:rPr>
                <w:color w:val="000000" w:themeColor="text1"/>
              </w:rPr>
              <w:t>Mělník</w:t>
            </w:r>
          </w:p>
        </w:tc>
        <w:tc>
          <w:tcPr>
            <w:tcW w:w="1060" w:type="dxa"/>
            <w:tcBorders>
              <w:top w:val="nil"/>
              <w:left w:val="nil"/>
              <w:bottom w:val="single" w:sz="4" w:space="0" w:color="auto"/>
              <w:right w:val="single" w:sz="4" w:space="0" w:color="auto"/>
            </w:tcBorders>
            <w:shd w:val="clear" w:color="auto" w:fill="auto"/>
            <w:noWrap/>
            <w:vAlign w:val="center"/>
            <w:hideMark/>
          </w:tcPr>
          <w:p w14:paraId="567A9CE0" w14:textId="77777777" w:rsidR="008430BD" w:rsidRPr="00033A3F" w:rsidRDefault="008430BD" w:rsidP="00CF32FA">
            <w:pPr>
              <w:spacing w:line="240" w:lineRule="auto"/>
              <w:jc w:val="center"/>
              <w:rPr>
                <w:color w:val="000000" w:themeColor="text1"/>
              </w:rPr>
            </w:pPr>
            <w:r w:rsidRPr="00033A3F">
              <w:rPr>
                <w:color w:val="000000" w:themeColor="text1"/>
              </w:rPr>
              <w:t>ME</w:t>
            </w:r>
          </w:p>
        </w:tc>
        <w:tc>
          <w:tcPr>
            <w:tcW w:w="2320" w:type="dxa"/>
            <w:tcBorders>
              <w:top w:val="nil"/>
              <w:left w:val="nil"/>
              <w:bottom w:val="single" w:sz="4" w:space="0" w:color="auto"/>
              <w:right w:val="nil"/>
            </w:tcBorders>
            <w:shd w:val="clear" w:color="auto" w:fill="auto"/>
            <w:noWrap/>
            <w:vAlign w:val="center"/>
            <w:hideMark/>
          </w:tcPr>
          <w:p w14:paraId="38E1132B" w14:textId="77777777" w:rsidR="008430BD" w:rsidRPr="00033A3F" w:rsidRDefault="008430BD" w:rsidP="00CF32FA">
            <w:pPr>
              <w:spacing w:line="240" w:lineRule="auto"/>
              <w:jc w:val="left"/>
              <w:rPr>
                <w:color w:val="000000" w:themeColor="text1"/>
              </w:rPr>
            </w:pPr>
            <w:r w:rsidRPr="00033A3F">
              <w:rPr>
                <w:color w:val="000000" w:themeColor="text1"/>
              </w:rPr>
              <w:t>Třebíč</w:t>
            </w:r>
          </w:p>
        </w:tc>
        <w:tc>
          <w:tcPr>
            <w:tcW w:w="1060" w:type="dxa"/>
            <w:tcBorders>
              <w:top w:val="nil"/>
              <w:left w:val="nil"/>
              <w:bottom w:val="single" w:sz="4" w:space="0" w:color="auto"/>
              <w:right w:val="nil"/>
            </w:tcBorders>
            <w:shd w:val="clear" w:color="auto" w:fill="auto"/>
            <w:noWrap/>
            <w:vAlign w:val="center"/>
            <w:hideMark/>
          </w:tcPr>
          <w:p w14:paraId="2DA931A3" w14:textId="77777777" w:rsidR="008430BD" w:rsidRPr="00033A3F" w:rsidRDefault="008430BD" w:rsidP="00CF32FA">
            <w:pPr>
              <w:spacing w:line="240" w:lineRule="auto"/>
              <w:jc w:val="center"/>
              <w:rPr>
                <w:color w:val="000000" w:themeColor="text1"/>
              </w:rPr>
            </w:pPr>
            <w:r w:rsidRPr="00033A3F">
              <w:rPr>
                <w:color w:val="000000" w:themeColor="text1"/>
              </w:rPr>
              <w:t>TR</w:t>
            </w:r>
          </w:p>
        </w:tc>
      </w:tr>
      <w:tr w:rsidR="00033A3F" w:rsidRPr="00033A3F" w14:paraId="0FC2941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0F1BCB9" w14:textId="77777777" w:rsidR="008430BD" w:rsidRPr="00033A3F" w:rsidRDefault="008430BD" w:rsidP="00CF32FA">
            <w:pPr>
              <w:spacing w:line="240" w:lineRule="auto"/>
              <w:jc w:val="left"/>
              <w:rPr>
                <w:color w:val="000000" w:themeColor="text1"/>
              </w:rPr>
            </w:pPr>
            <w:r w:rsidRPr="00033A3F">
              <w:rPr>
                <w:color w:val="000000" w:themeColor="text1"/>
              </w:rPr>
              <w:t>Mladá Boleslav</w:t>
            </w:r>
          </w:p>
        </w:tc>
        <w:tc>
          <w:tcPr>
            <w:tcW w:w="1060" w:type="dxa"/>
            <w:tcBorders>
              <w:top w:val="nil"/>
              <w:left w:val="nil"/>
              <w:bottom w:val="single" w:sz="4" w:space="0" w:color="auto"/>
              <w:right w:val="single" w:sz="4" w:space="0" w:color="auto"/>
            </w:tcBorders>
            <w:shd w:val="clear" w:color="auto" w:fill="auto"/>
            <w:noWrap/>
            <w:vAlign w:val="center"/>
            <w:hideMark/>
          </w:tcPr>
          <w:p w14:paraId="64E1F5AC" w14:textId="77777777" w:rsidR="008430BD" w:rsidRPr="00033A3F" w:rsidRDefault="008430BD" w:rsidP="00CF32FA">
            <w:pPr>
              <w:spacing w:line="240" w:lineRule="auto"/>
              <w:jc w:val="center"/>
              <w:rPr>
                <w:color w:val="000000" w:themeColor="text1"/>
              </w:rPr>
            </w:pPr>
            <w:r w:rsidRPr="00033A3F">
              <w:rPr>
                <w:color w:val="000000" w:themeColor="text1"/>
              </w:rPr>
              <w:t>MB</w:t>
            </w:r>
          </w:p>
        </w:tc>
        <w:tc>
          <w:tcPr>
            <w:tcW w:w="2320" w:type="dxa"/>
            <w:tcBorders>
              <w:top w:val="nil"/>
              <w:left w:val="nil"/>
              <w:bottom w:val="single" w:sz="4" w:space="0" w:color="auto"/>
              <w:right w:val="nil"/>
            </w:tcBorders>
            <w:shd w:val="clear" w:color="auto" w:fill="auto"/>
            <w:noWrap/>
            <w:vAlign w:val="center"/>
            <w:hideMark/>
          </w:tcPr>
          <w:p w14:paraId="4B9AB9F9" w14:textId="77777777" w:rsidR="008430BD" w:rsidRPr="00033A3F" w:rsidRDefault="008430BD" w:rsidP="00CF32FA">
            <w:pPr>
              <w:spacing w:line="240" w:lineRule="auto"/>
              <w:jc w:val="left"/>
              <w:rPr>
                <w:color w:val="000000" w:themeColor="text1"/>
              </w:rPr>
            </w:pPr>
            <w:r w:rsidRPr="00033A3F">
              <w:rPr>
                <w:color w:val="000000" w:themeColor="text1"/>
              </w:rPr>
              <w:t>Uherské Hradiště</w:t>
            </w:r>
          </w:p>
        </w:tc>
        <w:tc>
          <w:tcPr>
            <w:tcW w:w="1060" w:type="dxa"/>
            <w:tcBorders>
              <w:top w:val="nil"/>
              <w:left w:val="nil"/>
              <w:bottom w:val="single" w:sz="4" w:space="0" w:color="auto"/>
              <w:right w:val="nil"/>
            </w:tcBorders>
            <w:shd w:val="clear" w:color="auto" w:fill="auto"/>
            <w:noWrap/>
            <w:vAlign w:val="center"/>
            <w:hideMark/>
          </w:tcPr>
          <w:p w14:paraId="09DD7448" w14:textId="77777777" w:rsidR="008430BD" w:rsidRPr="00033A3F" w:rsidRDefault="008430BD" w:rsidP="00CF32FA">
            <w:pPr>
              <w:spacing w:line="240" w:lineRule="auto"/>
              <w:jc w:val="center"/>
              <w:rPr>
                <w:color w:val="000000" w:themeColor="text1"/>
              </w:rPr>
            </w:pPr>
            <w:r w:rsidRPr="00033A3F">
              <w:rPr>
                <w:color w:val="000000" w:themeColor="text1"/>
              </w:rPr>
              <w:t>UH</w:t>
            </w:r>
          </w:p>
        </w:tc>
      </w:tr>
      <w:tr w:rsidR="00033A3F" w:rsidRPr="00033A3F" w14:paraId="310D41E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6B74CEF" w14:textId="77777777" w:rsidR="008430BD" w:rsidRPr="00033A3F" w:rsidRDefault="008430BD" w:rsidP="00CF32FA">
            <w:pPr>
              <w:spacing w:line="240" w:lineRule="auto"/>
              <w:jc w:val="left"/>
              <w:rPr>
                <w:color w:val="000000" w:themeColor="text1"/>
              </w:rPr>
            </w:pPr>
            <w:r w:rsidRPr="00033A3F">
              <w:rPr>
                <w:color w:val="000000" w:themeColor="text1"/>
              </w:rPr>
              <w:t>Most</w:t>
            </w:r>
          </w:p>
        </w:tc>
        <w:tc>
          <w:tcPr>
            <w:tcW w:w="1060" w:type="dxa"/>
            <w:tcBorders>
              <w:top w:val="nil"/>
              <w:left w:val="nil"/>
              <w:bottom w:val="single" w:sz="4" w:space="0" w:color="auto"/>
              <w:right w:val="single" w:sz="4" w:space="0" w:color="auto"/>
            </w:tcBorders>
            <w:shd w:val="clear" w:color="auto" w:fill="auto"/>
            <w:noWrap/>
            <w:vAlign w:val="center"/>
            <w:hideMark/>
          </w:tcPr>
          <w:p w14:paraId="310F30DC" w14:textId="77777777" w:rsidR="008430BD" w:rsidRPr="00033A3F" w:rsidRDefault="008430BD" w:rsidP="00CF32FA">
            <w:pPr>
              <w:spacing w:line="240" w:lineRule="auto"/>
              <w:jc w:val="center"/>
              <w:rPr>
                <w:color w:val="000000" w:themeColor="text1"/>
              </w:rPr>
            </w:pPr>
            <w:r w:rsidRPr="00033A3F">
              <w:rPr>
                <w:color w:val="000000" w:themeColor="text1"/>
              </w:rPr>
              <w:t>MO</w:t>
            </w:r>
          </w:p>
        </w:tc>
        <w:tc>
          <w:tcPr>
            <w:tcW w:w="2320" w:type="dxa"/>
            <w:tcBorders>
              <w:top w:val="nil"/>
              <w:left w:val="nil"/>
              <w:bottom w:val="single" w:sz="4" w:space="0" w:color="auto"/>
              <w:right w:val="nil"/>
            </w:tcBorders>
            <w:shd w:val="clear" w:color="auto" w:fill="auto"/>
            <w:noWrap/>
            <w:vAlign w:val="center"/>
            <w:hideMark/>
          </w:tcPr>
          <w:p w14:paraId="2ED23F11" w14:textId="77777777" w:rsidR="008430BD" w:rsidRPr="00033A3F" w:rsidRDefault="008430BD" w:rsidP="00CF32FA">
            <w:pPr>
              <w:spacing w:line="240" w:lineRule="auto"/>
              <w:jc w:val="left"/>
              <w:rPr>
                <w:color w:val="000000" w:themeColor="text1"/>
              </w:rPr>
            </w:pPr>
            <w:r w:rsidRPr="00033A3F">
              <w:rPr>
                <w:color w:val="000000" w:themeColor="text1"/>
              </w:rPr>
              <w:t>Ústí nad Labem</w:t>
            </w:r>
          </w:p>
        </w:tc>
        <w:tc>
          <w:tcPr>
            <w:tcW w:w="1060" w:type="dxa"/>
            <w:tcBorders>
              <w:top w:val="nil"/>
              <w:left w:val="nil"/>
              <w:bottom w:val="single" w:sz="4" w:space="0" w:color="auto"/>
              <w:right w:val="nil"/>
            </w:tcBorders>
            <w:shd w:val="clear" w:color="auto" w:fill="auto"/>
            <w:noWrap/>
            <w:vAlign w:val="center"/>
            <w:hideMark/>
          </w:tcPr>
          <w:p w14:paraId="52CA2C2B" w14:textId="77777777" w:rsidR="008430BD" w:rsidRPr="00033A3F" w:rsidRDefault="008430BD" w:rsidP="00CF32FA">
            <w:pPr>
              <w:spacing w:line="240" w:lineRule="auto"/>
              <w:jc w:val="center"/>
              <w:rPr>
                <w:color w:val="000000" w:themeColor="text1"/>
              </w:rPr>
            </w:pPr>
            <w:r w:rsidRPr="00033A3F">
              <w:rPr>
                <w:color w:val="000000" w:themeColor="text1"/>
              </w:rPr>
              <w:t>UL</w:t>
            </w:r>
          </w:p>
        </w:tc>
      </w:tr>
      <w:tr w:rsidR="00033A3F" w:rsidRPr="00033A3F" w14:paraId="21C66E2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4A6951B" w14:textId="77777777" w:rsidR="008430BD" w:rsidRPr="00033A3F" w:rsidRDefault="008430BD" w:rsidP="00CF32FA">
            <w:pPr>
              <w:spacing w:line="240" w:lineRule="auto"/>
              <w:jc w:val="left"/>
              <w:rPr>
                <w:color w:val="000000" w:themeColor="text1"/>
              </w:rPr>
            </w:pPr>
            <w:r w:rsidRPr="00033A3F">
              <w:rPr>
                <w:color w:val="000000" w:themeColor="text1"/>
              </w:rPr>
              <w:t>Náchod</w:t>
            </w:r>
          </w:p>
        </w:tc>
        <w:tc>
          <w:tcPr>
            <w:tcW w:w="1060" w:type="dxa"/>
            <w:tcBorders>
              <w:top w:val="nil"/>
              <w:left w:val="nil"/>
              <w:bottom w:val="single" w:sz="4" w:space="0" w:color="auto"/>
              <w:right w:val="single" w:sz="4" w:space="0" w:color="auto"/>
            </w:tcBorders>
            <w:shd w:val="clear" w:color="auto" w:fill="auto"/>
            <w:noWrap/>
            <w:vAlign w:val="center"/>
            <w:hideMark/>
          </w:tcPr>
          <w:p w14:paraId="65B32A9C" w14:textId="77777777" w:rsidR="008430BD" w:rsidRPr="00033A3F" w:rsidRDefault="008430BD" w:rsidP="00CF32FA">
            <w:pPr>
              <w:spacing w:line="240" w:lineRule="auto"/>
              <w:jc w:val="center"/>
              <w:rPr>
                <w:color w:val="000000" w:themeColor="text1"/>
              </w:rPr>
            </w:pPr>
            <w:r w:rsidRPr="00033A3F">
              <w:rPr>
                <w:color w:val="000000" w:themeColor="text1"/>
              </w:rPr>
              <w:t>NA</w:t>
            </w:r>
          </w:p>
        </w:tc>
        <w:tc>
          <w:tcPr>
            <w:tcW w:w="2320" w:type="dxa"/>
            <w:tcBorders>
              <w:top w:val="nil"/>
              <w:left w:val="nil"/>
              <w:bottom w:val="single" w:sz="4" w:space="0" w:color="auto"/>
              <w:right w:val="nil"/>
            </w:tcBorders>
            <w:shd w:val="clear" w:color="auto" w:fill="auto"/>
            <w:noWrap/>
            <w:vAlign w:val="center"/>
            <w:hideMark/>
          </w:tcPr>
          <w:p w14:paraId="2576A1E7" w14:textId="77777777" w:rsidR="008430BD" w:rsidRPr="00033A3F" w:rsidRDefault="008430BD" w:rsidP="00CF32FA">
            <w:pPr>
              <w:spacing w:line="240" w:lineRule="auto"/>
              <w:jc w:val="left"/>
              <w:rPr>
                <w:color w:val="000000" w:themeColor="text1"/>
              </w:rPr>
            </w:pPr>
            <w:r w:rsidRPr="00033A3F">
              <w:rPr>
                <w:color w:val="000000" w:themeColor="text1"/>
              </w:rPr>
              <w:t>Ústí nad Orlicí</w:t>
            </w:r>
          </w:p>
        </w:tc>
        <w:tc>
          <w:tcPr>
            <w:tcW w:w="1060" w:type="dxa"/>
            <w:tcBorders>
              <w:top w:val="nil"/>
              <w:left w:val="nil"/>
              <w:bottom w:val="single" w:sz="4" w:space="0" w:color="auto"/>
              <w:right w:val="nil"/>
            </w:tcBorders>
            <w:shd w:val="clear" w:color="auto" w:fill="auto"/>
            <w:noWrap/>
            <w:vAlign w:val="center"/>
            <w:hideMark/>
          </w:tcPr>
          <w:p w14:paraId="532DDEBA" w14:textId="77777777" w:rsidR="008430BD" w:rsidRPr="00033A3F" w:rsidRDefault="008430BD" w:rsidP="00CF32FA">
            <w:pPr>
              <w:spacing w:line="240" w:lineRule="auto"/>
              <w:jc w:val="center"/>
              <w:rPr>
                <w:color w:val="000000" w:themeColor="text1"/>
              </w:rPr>
            </w:pPr>
            <w:r w:rsidRPr="00033A3F">
              <w:rPr>
                <w:color w:val="000000" w:themeColor="text1"/>
              </w:rPr>
              <w:t>UO</w:t>
            </w:r>
          </w:p>
        </w:tc>
      </w:tr>
      <w:tr w:rsidR="00033A3F" w:rsidRPr="00033A3F" w14:paraId="0922E1C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47D5757" w14:textId="77777777" w:rsidR="008430BD" w:rsidRPr="00033A3F" w:rsidRDefault="008430BD" w:rsidP="00CF32FA">
            <w:pPr>
              <w:spacing w:line="240" w:lineRule="auto"/>
              <w:jc w:val="left"/>
              <w:rPr>
                <w:color w:val="000000" w:themeColor="text1"/>
              </w:rPr>
            </w:pPr>
            <w:r w:rsidRPr="00033A3F">
              <w:rPr>
                <w:color w:val="000000" w:themeColor="text1"/>
              </w:rPr>
              <w:t>Nový Jičín</w:t>
            </w:r>
          </w:p>
        </w:tc>
        <w:tc>
          <w:tcPr>
            <w:tcW w:w="1060" w:type="dxa"/>
            <w:tcBorders>
              <w:top w:val="nil"/>
              <w:left w:val="nil"/>
              <w:bottom w:val="single" w:sz="4" w:space="0" w:color="auto"/>
              <w:right w:val="single" w:sz="4" w:space="0" w:color="auto"/>
            </w:tcBorders>
            <w:shd w:val="clear" w:color="auto" w:fill="auto"/>
            <w:noWrap/>
            <w:vAlign w:val="center"/>
            <w:hideMark/>
          </w:tcPr>
          <w:p w14:paraId="678C77C6" w14:textId="77777777" w:rsidR="008430BD" w:rsidRPr="00033A3F" w:rsidRDefault="008430BD" w:rsidP="00CF32FA">
            <w:pPr>
              <w:spacing w:line="240" w:lineRule="auto"/>
              <w:jc w:val="center"/>
              <w:rPr>
                <w:color w:val="000000" w:themeColor="text1"/>
              </w:rPr>
            </w:pPr>
            <w:r w:rsidRPr="00033A3F">
              <w:rPr>
                <w:color w:val="000000" w:themeColor="text1"/>
              </w:rPr>
              <w:t>NJ</w:t>
            </w:r>
          </w:p>
        </w:tc>
        <w:tc>
          <w:tcPr>
            <w:tcW w:w="2320" w:type="dxa"/>
            <w:tcBorders>
              <w:top w:val="nil"/>
              <w:left w:val="nil"/>
              <w:bottom w:val="single" w:sz="4" w:space="0" w:color="auto"/>
              <w:right w:val="nil"/>
            </w:tcBorders>
            <w:shd w:val="clear" w:color="auto" w:fill="auto"/>
            <w:noWrap/>
            <w:vAlign w:val="center"/>
            <w:hideMark/>
          </w:tcPr>
          <w:p w14:paraId="12DBD899" w14:textId="77777777" w:rsidR="008430BD" w:rsidRPr="00033A3F" w:rsidRDefault="008430BD" w:rsidP="00CF32FA">
            <w:pPr>
              <w:spacing w:line="240" w:lineRule="auto"/>
              <w:jc w:val="left"/>
              <w:rPr>
                <w:color w:val="000000" w:themeColor="text1"/>
              </w:rPr>
            </w:pPr>
            <w:r w:rsidRPr="00033A3F">
              <w:rPr>
                <w:color w:val="000000" w:themeColor="text1"/>
              </w:rPr>
              <w:t>Vsetín</w:t>
            </w:r>
          </w:p>
        </w:tc>
        <w:tc>
          <w:tcPr>
            <w:tcW w:w="1060" w:type="dxa"/>
            <w:tcBorders>
              <w:top w:val="nil"/>
              <w:left w:val="nil"/>
              <w:bottom w:val="single" w:sz="4" w:space="0" w:color="auto"/>
              <w:right w:val="nil"/>
            </w:tcBorders>
            <w:shd w:val="clear" w:color="auto" w:fill="auto"/>
            <w:noWrap/>
            <w:vAlign w:val="center"/>
            <w:hideMark/>
          </w:tcPr>
          <w:p w14:paraId="17112E1E" w14:textId="77777777" w:rsidR="008430BD" w:rsidRPr="00033A3F" w:rsidRDefault="008430BD" w:rsidP="00CF32FA">
            <w:pPr>
              <w:spacing w:line="240" w:lineRule="auto"/>
              <w:jc w:val="center"/>
              <w:rPr>
                <w:color w:val="000000" w:themeColor="text1"/>
              </w:rPr>
            </w:pPr>
            <w:r w:rsidRPr="00033A3F">
              <w:rPr>
                <w:color w:val="000000" w:themeColor="text1"/>
              </w:rPr>
              <w:t>VS</w:t>
            </w:r>
          </w:p>
        </w:tc>
      </w:tr>
      <w:tr w:rsidR="00033A3F" w:rsidRPr="00033A3F" w14:paraId="636C961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A3C87EE" w14:textId="77777777" w:rsidR="008430BD" w:rsidRPr="00033A3F" w:rsidRDefault="008430BD" w:rsidP="00CF32FA">
            <w:pPr>
              <w:spacing w:line="240" w:lineRule="auto"/>
              <w:jc w:val="left"/>
              <w:rPr>
                <w:color w:val="000000" w:themeColor="text1"/>
              </w:rPr>
            </w:pPr>
            <w:r w:rsidRPr="00033A3F">
              <w:rPr>
                <w:color w:val="000000" w:themeColor="text1"/>
              </w:rPr>
              <w:t>Nymburk</w:t>
            </w:r>
          </w:p>
        </w:tc>
        <w:tc>
          <w:tcPr>
            <w:tcW w:w="1060" w:type="dxa"/>
            <w:tcBorders>
              <w:top w:val="nil"/>
              <w:left w:val="nil"/>
              <w:bottom w:val="single" w:sz="4" w:space="0" w:color="auto"/>
              <w:right w:val="single" w:sz="4" w:space="0" w:color="auto"/>
            </w:tcBorders>
            <w:shd w:val="clear" w:color="auto" w:fill="auto"/>
            <w:noWrap/>
            <w:vAlign w:val="center"/>
            <w:hideMark/>
          </w:tcPr>
          <w:p w14:paraId="1F3779DF" w14:textId="77777777" w:rsidR="008430BD" w:rsidRPr="00033A3F" w:rsidRDefault="008430BD" w:rsidP="00CF32FA">
            <w:pPr>
              <w:spacing w:line="240" w:lineRule="auto"/>
              <w:jc w:val="center"/>
              <w:rPr>
                <w:color w:val="000000" w:themeColor="text1"/>
              </w:rPr>
            </w:pPr>
            <w:r w:rsidRPr="00033A3F">
              <w:rPr>
                <w:color w:val="000000" w:themeColor="text1"/>
              </w:rPr>
              <w:t>NB</w:t>
            </w:r>
          </w:p>
        </w:tc>
        <w:tc>
          <w:tcPr>
            <w:tcW w:w="2320" w:type="dxa"/>
            <w:tcBorders>
              <w:top w:val="nil"/>
              <w:left w:val="nil"/>
              <w:bottom w:val="single" w:sz="4" w:space="0" w:color="auto"/>
              <w:right w:val="nil"/>
            </w:tcBorders>
            <w:shd w:val="clear" w:color="auto" w:fill="auto"/>
            <w:noWrap/>
            <w:vAlign w:val="center"/>
            <w:hideMark/>
          </w:tcPr>
          <w:p w14:paraId="2E4B33A2" w14:textId="77777777" w:rsidR="008430BD" w:rsidRPr="00033A3F" w:rsidRDefault="008430BD" w:rsidP="00CF32FA">
            <w:pPr>
              <w:spacing w:line="240" w:lineRule="auto"/>
              <w:jc w:val="left"/>
              <w:rPr>
                <w:color w:val="000000" w:themeColor="text1"/>
              </w:rPr>
            </w:pPr>
            <w:r w:rsidRPr="00033A3F">
              <w:rPr>
                <w:color w:val="000000" w:themeColor="text1"/>
              </w:rPr>
              <w:t>Vyškov</w:t>
            </w:r>
          </w:p>
        </w:tc>
        <w:tc>
          <w:tcPr>
            <w:tcW w:w="1060" w:type="dxa"/>
            <w:tcBorders>
              <w:top w:val="nil"/>
              <w:left w:val="nil"/>
              <w:bottom w:val="single" w:sz="4" w:space="0" w:color="auto"/>
              <w:right w:val="nil"/>
            </w:tcBorders>
            <w:shd w:val="clear" w:color="auto" w:fill="auto"/>
            <w:noWrap/>
            <w:vAlign w:val="center"/>
            <w:hideMark/>
          </w:tcPr>
          <w:p w14:paraId="16089C9B" w14:textId="77777777" w:rsidR="008430BD" w:rsidRPr="00033A3F" w:rsidRDefault="008430BD" w:rsidP="00CF32FA">
            <w:pPr>
              <w:spacing w:line="240" w:lineRule="auto"/>
              <w:jc w:val="center"/>
              <w:rPr>
                <w:color w:val="000000" w:themeColor="text1"/>
              </w:rPr>
            </w:pPr>
            <w:r w:rsidRPr="00033A3F">
              <w:rPr>
                <w:color w:val="000000" w:themeColor="text1"/>
              </w:rPr>
              <w:t>VY</w:t>
            </w:r>
          </w:p>
        </w:tc>
      </w:tr>
      <w:tr w:rsidR="00033A3F" w:rsidRPr="00033A3F" w14:paraId="5DE121A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7C7AC07" w14:textId="77777777" w:rsidR="008430BD" w:rsidRPr="00033A3F" w:rsidRDefault="008430BD" w:rsidP="00CF32FA">
            <w:pPr>
              <w:spacing w:line="240" w:lineRule="auto"/>
              <w:jc w:val="left"/>
              <w:rPr>
                <w:color w:val="000000" w:themeColor="text1"/>
              </w:rPr>
            </w:pPr>
            <w:r w:rsidRPr="00033A3F">
              <w:rPr>
                <w:color w:val="000000" w:themeColor="text1"/>
              </w:rPr>
              <w:t>Olomouc</w:t>
            </w:r>
          </w:p>
        </w:tc>
        <w:tc>
          <w:tcPr>
            <w:tcW w:w="1060" w:type="dxa"/>
            <w:tcBorders>
              <w:top w:val="nil"/>
              <w:left w:val="nil"/>
              <w:bottom w:val="single" w:sz="4" w:space="0" w:color="auto"/>
              <w:right w:val="single" w:sz="4" w:space="0" w:color="auto"/>
            </w:tcBorders>
            <w:shd w:val="clear" w:color="auto" w:fill="auto"/>
            <w:noWrap/>
            <w:vAlign w:val="center"/>
            <w:hideMark/>
          </w:tcPr>
          <w:p w14:paraId="221F6C0D" w14:textId="77777777" w:rsidR="008430BD" w:rsidRPr="00033A3F" w:rsidRDefault="008430BD" w:rsidP="00CF32FA">
            <w:pPr>
              <w:spacing w:line="240" w:lineRule="auto"/>
              <w:jc w:val="center"/>
              <w:rPr>
                <w:color w:val="000000" w:themeColor="text1"/>
              </w:rPr>
            </w:pPr>
            <w:r w:rsidRPr="00033A3F">
              <w:rPr>
                <w:color w:val="000000" w:themeColor="text1"/>
              </w:rPr>
              <w:t>OC</w:t>
            </w:r>
          </w:p>
        </w:tc>
        <w:tc>
          <w:tcPr>
            <w:tcW w:w="2320" w:type="dxa"/>
            <w:tcBorders>
              <w:top w:val="nil"/>
              <w:left w:val="nil"/>
              <w:bottom w:val="single" w:sz="4" w:space="0" w:color="auto"/>
              <w:right w:val="nil"/>
            </w:tcBorders>
            <w:shd w:val="clear" w:color="auto" w:fill="auto"/>
            <w:noWrap/>
            <w:vAlign w:val="center"/>
            <w:hideMark/>
          </w:tcPr>
          <w:p w14:paraId="2A80EA98" w14:textId="77777777" w:rsidR="008430BD" w:rsidRPr="00033A3F" w:rsidRDefault="008430BD" w:rsidP="00CF32FA">
            <w:pPr>
              <w:spacing w:line="240" w:lineRule="auto"/>
              <w:jc w:val="left"/>
              <w:rPr>
                <w:color w:val="000000" w:themeColor="text1"/>
              </w:rPr>
            </w:pPr>
            <w:r w:rsidRPr="00033A3F">
              <w:rPr>
                <w:color w:val="000000" w:themeColor="text1"/>
              </w:rPr>
              <w:t>Zlín</w:t>
            </w:r>
          </w:p>
        </w:tc>
        <w:tc>
          <w:tcPr>
            <w:tcW w:w="1060" w:type="dxa"/>
            <w:tcBorders>
              <w:top w:val="nil"/>
              <w:left w:val="nil"/>
              <w:bottom w:val="single" w:sz="4" w:space="0" w:color="auto"/>
              <w:right w:val="nil"/>
            </w:tcBorders>
            <w:shd w:val="clear" w:color="auto" w:fill="auto"/>
            <w:noWrap/>
            <w:vAlign w:val="center"/>
            <w:hideMark/>
          </w:tcPr>
          <w:p w14:paraId="2EB481B7" w14:textId="77777777" w:rsidR="008430BD" w:rsidRPr="00033A3F" w:rsidRDefault="008430BD" w:rsidP="00CF32FA">
            <w:pPr>
              <w:spacing w:line="240" w:lineRule="auto"/>
              <w:jc w:val="center"/>
              <w:rPr>
                <w:color w:val="000000" w:themeColor="text1"/>
              </w:rPr>
            </w:pPr>
            <w:r w:rsidRPr="00033A3F">
              <w:rPr>
                <w:color w:val="000000" w:themeColor="text1"/>
              </w:rPr>
              <w:t>ZL</w:t>
            </w:r>
          </w:p>
        </w:tc>
      </w:tr>
      <w:tr w:rsidR="00033A3F" w:rsidRPr="00033A3F" w14:paraId="37AC1FFA"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0D5954F" w14:textId="77777777" w:rsidR="008430BD" w:rsidRPr="00033A3F" w:rsidRDefault="008430BD" w:rsidP="00CF32FA">
            <w:pPr>
              <w:spacing w:line="240" w:lineRule="auto"/>
              <w:jc w:val="left"/>
              <w:rPr>
                <w:color w:val="000000" w:themeColor="text1"/>
              </w:rPr>
            </w:pPr>
            <w:r w:rsidRPr="00033A3F">
              <w:rPr>
                <w:color w:val="000000" w:themeColor="text1"/>
              </w:rPr>
              <w:t>Opava</w:t>
            </w:r>
          </w:p>
        </w:tc>
        <w:tc>
          <w:tcPr>
            <w:tcW w:w="1060" w:type="dxa"/>
            <w:tcBorders>
              <w:top w:val="nil"/>
              <w:left w:val="nil"/>
              <w:bottom w:val="single" w:sz="4" w:space="0" w:color="auto"/>
              <w:right w:val="single" w:sz="4" w:space="0" w:color="auto"/>
            </w:tcBorders>
            <w:shd w:val="clear" w:color="auto" w:fill="auto"/>
            <w:noWrap/>
            <w:vAlign w:val="center"/>
            <w:hideMark/>
          </w:tcPr>
          <w:p w14:paraId="3CCDB8AA" w14:textId="77777777" w:rsidR="008430BD" w:rsidRPr="00033A3F" w:rsidRDefault="008430BD" w:rsidP="00CF32FA">
            <w:pPr>
              <w:spacing w:line="240" w:lineRule="auto"/>
              <w:jc w:val="center"/>
              <w:rPr>
                <w:color w:val="000000" w:themeColor="text1"/>
              </w:rPr>
            </w:pPr>
            <w:r w:rsidRPr="00033A3F">
              <w:rPr>
                <w:color w:val="000000" w:themeColor="text1"/>
              </w:rPr>
              <w:t>OP</w:t>
            </w:r>
          </w:p>
        </w:tc>
        <w:tc>
          <w:tcPr>
            <w:tcW w:w="2320" w:type="dxa"/>
            <w:tcBorders>
              <w:top w:val="nil"/>
              <w:left w:val="nil"/>
              <w:bottom w:val="single" w:sz="4" w:space="0" w:color="auto"/>
              <w:right w:val="nil"/>
            </w:tcBorders>
            <w:shd w:val="clear" w:color="auto" w:fill="auto"/>
            <w:noWrap/>
            <w:vAlign w:val="center"/>
            <w:hideMark/>
          </w:tcPr>
          <w:p w14:paraId="3B3217BE" w14:textId="77777777" w:rsidR="008430BD" w:rsidRPr="00033A3F" w:rsidRDefault="008430BD" w:rsidP="00CF32FA">
            <w:pPr>
              <w:spacing w:line="240" w:lineRule="auto"/>
              <w:jc w:val="left"/>
              <w:rPr>
                <w:color w:val="000000" w:themeColor="text1"/>
              </w:rPr>
            </w:pPr>
            <w:r w:rsidRPr="00033A3F">
              <w:rPr>
                <w:color w:val="000000" w:themeColor="text1"/>
              </w:rPr>
              <w:t>Znojmo</w:t>
            </w:r>
          </w:p>
        </w:tc>
        <w:tc>
          <w:tcPr>
            <w:tcW w:w="1060" w:type="dxa"/>
            <w:tcBorders>
              <w:top w:val="nil"/>
              <w:left w:val="nil"/>
              <w:bottom w:val="single" w:sz="4" w:space="0" w:color="auto"/>
              <w:right w:val="nil"/>
            </w:tcBorders>
            <w:shd w:val="clear" w:color="auto" w:fill="auto"/>
            <w:noWrap/>
            <w:vAlign w:val="center"/>
            <w:hideMark/>
          </w:tcPr>
          <w:p w14:paraId="0BC5A087" w14:textId="77777777" w:rsidR="008430BD" w:rsidRPr="00033A3F" w:rsidRDefault="008430BD" w:rsidP="00CF32FA">
            <w:pPr>
              <w:spacing w:line="240" w:lineRule="auto"/>
              <w:jc w:val="center"/>
              <w:rPr>
                <w:color w:val="000000" w:themeColor="text1"/>
              </w:rPr>
            </w:pPr>
            <w:r w:rsidRPr="00033A3F">
              <w:rPr>
                <w:color w:val="000000" w:themeColor="text1"/>
              </w:rPr>
              <w:t>ZN</w:t>
            </w:r>
          </w:p>
        </w:tc>
      </w:tr>
      <w:tr w:rsidR="00033A3F" w:rsidRPr="00033A3F" w14:paraId="4AC7F755" w14:textId="77777777" w:rsidTr="00CF32FA">
        <w:trPr>
          <w:trHeight w:val="285"/>
          <w:jc w:val="center"/>
        </w:trPr>
        <w:tc>
          <w:tcPr>
            <w:tcW w:w="2320" w:type="dxa"/>
            <w:tcBorders>
              <w:top w:val="nil"/>
              <w:left w:val="nil"/>
              <w:bottom w:val="double" w:sz="6" w:space="0" w:color="auto"/>
              <w:right w:val="nil"/>
            </w:tcBorders>
            <w:shd w:val="clear" w:color="auto" w:fill="auto"/>
            <w:noWrap/>
            <w:vAlign w:val="center"/>
            <w:hideMark/>
          </w:tcPr>
          <w:p w14:paraId="615397DB" w14:textId="77777777" w:rsidR="008430BD" w:rsidRPr="00033A3F" w:rsidRDefault="008430BD" w:rsidP="00CF32FA">
            <w:pPr>
              <w:spacing w:line="240" w:lineRule="auto"/>
              <w:jc w:val="left"/>
              <w:rPr>
                <w:color w:val="000000" w:themeColor="text1"/>
              </w:rPr>
            </w:pPr>
            <w:r w:rsidRPr="00033A3F">
              <w:rPr>
                <w:color w:val="000000" w:themeColor="text1"/>
              </w:rPr>
              <w:t>Ostrava</w:t>
            </w:r>
          </w:p>
        </w:tc>
        <w:tc>
          <w:tcPr>
            <w:tcW w:w="1060" w:type="dxa"/>
            <w:tcBorders>
              <w:top w:val="nil"/>
              <w:left w:val="nil"/>
              <w:bottom w:val="double" w:sz="6" w:space="0" w:color="auto"/>
              <w:right w:val="single" w:sz="4" w:space="0" w:color="auto"/>
            </w:tcBorders>
            <w:shd w:val="clear" w:color="auto" w:fill="auto"/>
            <w:noWrap/>
            <w:vAlign w:val="center"/>
            <w:hideMark/>
          </w:tcPr>
          <w:p w14:paraId="5EF584D3" w14:textId="77777777" w:rsidR="008430BD" w:rsidRPr="00033A3F" w:rsidRDefault="008430BD" w:rsidP="00CF32FA">
            <w:pPr>
              <w:spacing w:line="240" w:lineRule="auto"/>
              <w:jc w:val="center"/>
              <w:rPr>
                <w:color w:val="000000" w:themeColor="text1"/>
              </w:rPr>
            </w:pPr>
            <w:r w:rsidRPr="00033A3F">
              <w:rPr>
                <w:color w:val="000000" w:themeColor="text1"/>
              </w:rPr>
              <w:t>OS</w:t>
            </w:r>
          </w:p>
        </w:tc>
        <w:tc>
          <w:tcPr>
            <w:tcW w:w="2320" w:type="dxa"/>
            <w:tcBorders>
              <w:top w:val="nil"/>
              <w:left w:val="nil"/>
              <w:bottom w:val="double" w:sz="6" w:space="0" w:color="auto"/>
              <w:right w:val="nil"/>
            </w:tcBorders>
            <w:shd w:val="clear" w:color="auto" w:fill="auto"/>
            <w:noWrap/>
            <w:vAlign w:val="center"/>
            <w:hideMark/>
          </w:tcPr>
          <w:p w14:paraId="0BF56B72" w14:textId="77777777" w:rsidR="008430BD" w:rsidRPr="00033A3F" w:rsidRDefault="008430BD" w:rsidP="00CF32FA">
            <w:pPr>
              <w:spacing w:line="240" w:lineRule="auto"/>
              <w:jc w:val="left"/>
              <w:rPr>
                <w:color w:val="000000" w:themeColor="text1"/>
              </w:rPr>
            </w:pPr>
            <w:r w:rsidRPr="00033A3F">
              <w:rPr>
                <w:color w:val="000000" w:themeColor="text1"/>
              </w:rPr>
              <w:t>Žďár nad Sázavou</w:t>
            </w:r>
          </w:p>
        </w:tc>
        <w:tc>
          <w:tcPr>
            <w:tcW w:w="1060" w:type="dxa"/>
            <w:tcBorders>
              <w:top w:val="nil"/>
              <w:left w:val="nil"/>
              <w:bottom w:val="double" w:sz="6" w:space="0" w:color="auto"/>
              <w:right w:val="nil"/>
            </w:tcBorders>
            <w:shd w:val="clear" w:color="auto" w:fill="auto"/>
            <w:noWrap/>
            <w:vAlign w:val="center"/>
            <w:hideMark/>
          </w:tcPr>
          <w:p w14:paraId="6127B141" w14:textId="77777777" w:rsidR="008430BD" w:rsidRPr="00033A3F" w:rsidRDefault="008430BD" w:rsidP="00CF32FA">
            <w:pPr>
              <w:spacing w:line="240" w:lineRule="auto"/>
              <w:jc w:val="center"/>
              <w:rPr>
                <w:color w:val="000000" w:themeColor="text1"/>
              </w:rPr>
            </w:pPr>
            <w:r w:rsidRPr="00033A3F">
              <w:rPr>
                <w:color w:val="000000" w:themeColor="text1"/>
              </w:rPr>
              <w:t>ZR</w:t>
            </w:r>
          </w:p>
        </w:tc>
      </w:tr>
    </w:tbl>
    <w:p w14:paraId="74686738" w14:textId="77777777" w:rsidR="008430BD" w:rsidRPr="00033A3F" w:rsidRDefault="008430BD" w:rsidP="008430BD">
      <w:pPr>
        <w:pStyle w:val="Nadpis2"/>
        <w:ind w:left="578" w:hanging="578"/>
      </w:pPr>
      <w:bookmarkStart w:id="2733" w:name="_Toc487791321"/>
      <w:bookmarkStart w:id="2734" w:name="_Toc106092839"/>
      <w:bookmarkStart w:id="2735" w:name="_Toc169250918"/>
      <w:bookmarkStart w:id="2736" w:name="_Toc193531079"/>
      <w:bookmarkStart w:id="2737" w:name="_Toc193957137"/>
      <w:bookmarkStart w:id="2738" w:name="_Toc203032826"/>
      <w:r w:rsidRPr="00033A3F">
        <w:lastRenderedPageBreak/>
        <w:t>Příloha C – seznam vybraných rejstříků soudů</w:t>
      </w:r>
      <w:bookmarkEnd w:id="2733"/>
      <w:bookmarkEnd w:id="2734"/>
      <w:bookmarkEnd w:id="2735"/>
      <w:bookmarkEnd w:id="2736"/>
      <w:bookmarkEnd w:id="2737"/>
      <w:bookmarkEnd w:id="2738"/>
    </w:p>
    <w:p w14:paraId="644CCC66" w14:textId="77777777" w:rsidR="008430BD" w:rsidRPr="00033A3F" w:rsidRDefault="008430BD" w:rsidP="008430BD">
      <w:pPr>
        <w:rPr>
          <w:color w:val="000000" w:themeColor="text1"/>
        </w:rPr>
      </w:pPr>
    </w:p>
    <w:tbl>
      <w:tblPr>
        <w:tblW w:w="9100" w:type="dxa"/>
        <w:tblInd w:w="55" w:type="dxa"/>
        <w:tblCellMar>
          <w:left w:w="70" w:type="dxa"/>
          <w:right w:w="70" w:type="dxa"/>
        </w:tblCellMar>
        <w:tblLook w:val="04A0" w:firstRow="1" w:lastRow="0" w:firstColumn="1" w:lastColumn="0" w:noHBand="0" w:noVBand="1"/>
      </w:tblPr>
      <w:tblGrid>
        <w:gridCol w:w="960"/>
        <w:gridCol w:w="8140"/>
      </w:tblGrid>
      <w:tr w:rsidR="00033A3F" w:rsidRPr="00033A3F" w14:paraId="51F7EAB5" w14:textId="77777777" w:rsidTr="00E077F3">
        <w:trPr>
          <w:trHeight w:val="346"/>
          <w:tblHeader/>
        </w:trPr>
        <w:tc>
          <w:tcPr>
            <w:tcW w:w="960" w:type="dxa"/>
            <w:tcBorders>
              <w:top w:val="double" w:sz="6" w:space="0" w:color="auto"/>
              <w:left w:val="nil"/>
              <w:bottom w:val="double" w:sz="6" w:space="0" w:color="auto"/>
              <w:right w:val="nil"/>
            </w:tcBorders>
            <w:shd w:val="clear" w:color="auto" w:fill="auto"/>
            <w:noWrap/>
            <w:vAlign w:val="center"/>
            <w:hideMark/>
          </w:tcPr>
          <w:p w14:paraId="714A4509" w14:textId="77777777" w:rsidR="008430BD" w:rsidRPr="00033A3F" w:rsidRDefault="008430BD" w:rsidP="00E077F3">
            <w:pPr>
              <w:spacing w:line="240" w:lineRule="auto"/>
              <w:jc w:val="left"/>
              <w:rPr>
                <w:rFonts w:eastAsia="Times New Roman"/>
                <w:b/>
                <w:bCs/>
                <w:color w:val="000000" w:themeColor="text1"/>
                <w:szCs w:val="24"/>
                <w:lang w:eastAsia="cs-CZ"/>
              </w:rPr>
            </w:pPr>
            <w:bookmarkStart w:id="2739" w:name="_Toc487791322"/>
            <w:r w:rsidRPr="00033A3F">
              <w:rPr>
                <w:rFonts w:eastAsia="Times New Roman"/>
                <w:b/>
                <w:bCs/>
                <w:color w:val="000000" w:themeColor="text1"/>
                <w:szCs w:val="24"/>
                <w:lang w:eastAsia="cs-CZ"/>
              </w:rPr>
              <w:t>Rejstřík</w:t>
            </w:r>
          </w:p>
        </w:tc>
        <w:tc>
          <w:tcPr>
            <w:tcW w:w="8140" w:type="dxa"/>
            <w:tcBorders>
              <w:top w:val="double" w:sz="6" w:space="0" w:color="auto"/>
              <w:left w:val="nil"/>
              <w:bottom w:val="double" w:sz="6" w:space="0" w:color="auto"/>
              <w:right w:val="nil"/>
            </w:tcBorders>
            <w:shd w:val="clear" w:color="auto" w:fill="auto"/>
            <w:noWrap/>
            <w:vAlign w:val="center"/>
            <w:hideMark/>
          </w:tcPr>
          <w:p w14:paraId="49475E42" w14:textId="77777777" w:rsidR="008430BD" w:rsidRPr="00033A3F" w:rsidRDefault="008430BD" w:rsidP="00E077F3">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Popis</w:t>
            </w:r>
          </w:p>
        </w:tc>
      </w:tr>
      <w:tr w:rsidR="00033A3F" w:rsidRPr="00033A3F" w14:paraId="5AAFC9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EF40EB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 (KS)</w:t>
            </w:r>
          </w:p>
        </w:tc>
        <w:tc>
          <w:tcPr>
            <w:tcW w:w="8140" w:type="dxa"/>
            <w:tcBorders>
              <w:top w:val="nil"/>
              <w:left w:val="nil"/>
              <w:bottom w:val="single" w:sz="4" w:space="0" w:color="auto"/>
              <w:right w:val="nil"/>
            </w:tcBorders>
            <w:shd w:val="clear" w:color="auto" w:fill="auto"/>
            <w:vAlign w:val="center"/>
            <w:hideMark/>
          </w:tcPr>
          <w:p w14:paraId="63E4C6E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Ostatní návrhy ve věcech správního soudnictví (od roku 2010)</w:t>
            </w:r>
          </w:p>
        </w:tc>
      </w:tr>
      <w:tr w:rsidR="00033A3F" w:rsidRPr="00033A3F" w14:paraId="392C25D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4CBC947"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 (NSS)</w:t>
            </w:r>
          </w:p>
        </w:tc>
        <w:tc>
          <w:tcPr>
            <w:tcW w:w="8140" w:type="dxa"/>
            <w:tcBorders>
              <w:top w:val="nil"/>
              <w:left w:val="nil"/>
              <w:bottom w:val="single" w:sz="4" w:space="0" w:color="auto"/>
              <w:right w:val="nil"/>
            </w:tcBorders>
            <w:shd w:val="clear" w:color="auto" w:fill="auto"/>
            <w:vAlign w:val="center"/>
            <w:hideMark/>
          </w:tcPr>
          <w:p w14:paraId="38F564E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Převzatá agenda z vrchních soudů (dříve)</w:t>
            </w:r>
          </w:p>
        </w:tc>
      </w:tr>
      <w:tr w:rsidR="00033A3F" w:rsidRPr="00033A3F" w14:paraId="7625258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DB5817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Ad</w:t>
            </w:r>
          </w:p>
        </w:tc>
        <w:tc>
          <w:tcPr>
            <w:tcW w:w="8140" w:type="dxa"/>
            <w:tcBorders>
              <w:top w:val="nil"/>
              <w:left w:val="nil"/>
              <w:bottom w:val="single" w:sz="4" w:space="0" w:color="auto"/>
              <w:right w:val="nil"/>
            </w:tcBorders>
            <w:shd w:val="clear" w:color="auto" w:fill="auto"/>
            <w:vAlign w:val="center"/>
            <w:hideMark/>
          </w:tcPr>
          <w:p w14:paraId="6734F84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Správní žaloby ve věcech sociální a důchodové správy (od roku 2010)</w:t>
            </w:r>
          </w:p>
        </w:tc>
      </w:tr>
      <w:tr w:rsidR="00033A3F" w:rsidRPr="00033A3F" w14:paraId="2866C8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DFB00"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Ads</w:t>
            </w:r>
          </w:p>
        </w:tc>
        <w:tc>
          <w:tcPr>
            <w:tcW w:w="8140" w:type="dxa"/>
            <w:tcBorders>
              <w:top w:val="nil"/>
              <w:left w:val="nil"/>
              <w:bottom w:val="single" w:sz="4" w:space="0" w:color="auto"/>
              <w:right w:val="nil"/>
            </w:tcBorders>
            <w:shd w:val="clear" w:color="auto" w:fill="auto"/>
            <w:vAlign w:val="center"/>
            <w:hideMark/>
          </w:tcPr>
          <w:p w14:paraId="3B32D6C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sociální a důchodové správy</w:t>
            </w:r>
          </w:p>
        </w:tc>
      </w:tr>
      <w:tr w:rsidR="00033A3F" w:rsidRPr="00033A3F" w14:paraId="603B0CB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9E9B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Af</w:t>
            </w:r>
          </w:p>
        </w:tc>
        <w:tc>
          <w:tcPr>
            <w:tcW w:w="8140" w:type="dxa"/>
            <w:tcBorders>
              <w:top w:val="nil"/>
              <w:left w:val="nil"/>
              <w:bottom w:val="single" w:sz="4" w:space="0" w:color="auto"/>
              <w:right w:val="nil"/>
            </w:tcBorders>
            <w:shd w:val="clear" w:color="auto" w:fill="auto"/>
            <w:vAlign w:val="center"/>
            <w:hideMark/>
          </w:tcPr>
          <w:p w14:paraId="1F28185B"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Správní žaloby ve věcech finanční správy (od roku 2010)</w:t>
            </w:r>
          </w:p>
        </w:tc>
      </w:tr>
      <w:tr w:rsidR="00033A3F" w:rsidRPr="00033A3F" w14:paraId="72730768"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5464728B"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Afs</w:t>
            </w:r>
          </w:p>
        </w:tc>
        <w:tc>
          <w:tcPr>
            <w:tcW w:w="8140" w:type="dxa"/>
            <w:tcBorders>
              <w:top w:val="nil"/>
              <w:left w:val="nil"/>
              <w:bottom w:val="single" w:sz="4" w:space="0" w:color="auto"/>
              <w:right w:val="nil"/>
            </w:tcBorders>
            <w:shd w:val="clear" w:color="auto" w:fill="auto"/>
            <w:vAlign w:val="center"/>
            <w:hideMark/>
          </w:tcPr>
          <w:p w14:paraId="2C8B2E1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finanční správy</w:t>
            </w:r>
          </w:p>
        </w:tc>
      </w:tr>
      <w:tr w:rsidR="00033A3F" w:rsidRPr="00033A3F" w14:paraId="3CA49FC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1F01AB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Ans</w:t>
            </w:r>
          </w:p>
        </w:tc>
        <w:tc>
          <w:tcPr>
            <w:tcW w:w="8140" w:type="dxa"/>
            <w:tcBorders>
              <w:top w:val="nil"/>
              <w:left w:val="nil"/>
              <w:bottom w:val="single" w:sz="4" w:space="0" w:color="auto"/>
              <w:right w:val="nil"/>
            </w:tcBorders>
            <w:shd w:val="clear" w:color="auto" w:fill="auto"/>
            <w:vAlign w:val="center"/>
            <w:hideMark/>
          </w:tcPr>
          <w:p w14:paraId="333CC02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ochrany proti nečinnosti správního orgánu (dříve)</w:t>
            </w:r>
          </w:p>
        </w:tc>
      </w:tr>
      <w:tr w:rsidR="00033A3F" w:rsidRPr="00033A3F" w14:paraId="6D3E7187"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292D962"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Aos</w:t>
            </w:r>
          </w:p>
        </w:tc>
        <w:tc>
          <w:tcPr>
            <w:tcW w:w="8140" w:type="dxa"/>
            <w:tcBorders>
              <w:top w:val="nil"/>
              <w:left w:val="nil"/>
              <w:bottom w:val="single" w:sz="4" w:space="0" w:color="auto"/>
              <w:right w:val="nil"/>
            </w:tcBorders>
            <w:shd w:val="clear" w:color="auto" w:fill="auto"/>
            <w:vAlign w:val="center"/>
            <w:hideMark/>
          </w:tcPr>
          <w:p w14:paraId="26AA45A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opatření obecné povahy (dříve)</w:t>
            </w:r>
          </w:p>
        </w:tc>
      </w:tr>
      <w:tr w:rsidR="00033A3F" w:rsidRPr="00033A3F" w14:paraId="4A1A288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F9636C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Aps</w:t>
            </w:r>
          </w:p>
        </w:tc>
        <w:tc>
          <w:tcPr>
            <w:tcW w:w="8140" w:type="dxa"/>
            <w:tcBorders>
              <w:top w:val="nil"/>
              <w:left w:val="nil"/>
              <w:bottom w:val="single" w:sz="4" w:space="0" w:color="auto"/>
              <w:right w:val="nil"/>
            </w:tcBorders>
            <w:shd w:val="clear" w:color="auto" w:fill="auto"/>
            <w:vAlign w:val="center"/>
            <w:hideMark/>
          </w:tcPr>
          <w:p w14:paraId="10C0A8D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ochrany před nezákonným zásahem, pokynem nebo donucením správního orgánu (dříve)</w:t>
            </w:r>
          </w:p>
        </w:tc>
      </w:tr>
      <w:tr w:rsidR="00033A3F" w:rsidRPr="00033A3F" w14:paraId="6A8BE4D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892B15D"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Ars</w:t>
            </w:r>
          </w:p>
        </w:tc>
        <w:tc>
          <w:tcPr>
            <w:tcW w:w="8140" w:type="dxa"/>
            <w:tcBorders>
              <w:top w:val="nil"/>
              <w:left w:val="nil"/>
              <w:bottom w:val="single" w:sz="4" w:space="0" w:color="auto"/>
              <w:right w:val="nil"/>
            </w:tcBorders>
            <w:shd w:val="clear" w:color="auto" w:fill="auto"/>
            <w:vAlign w:val="center"/>
            <w:hideMark/>
          </w:tcPr>
          <w:p w14:paraId="5EAB3E8F"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krajského a místního referenda, ve věcech dohledu nad hospodařením politických stran a hnutí a ve věcech dohledu nad financováním volebních kampaní politických stran a hnutí</w:t>
            </w:r>
          </w:p>
        </w:tc>
      </w:tr>
      <w:tr w:rsidR="00033A3F" w:rsidRPr="00033A3F" w14:paraId="30FC8F0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D7E83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As</w:t>
            </w:r>
          </w:p>
        </w:tc>
        <w:tc>
          <w:tcPr>
            <w:tcW w:w="8140" w:type="dxa"/>
            <w:tcBorders>
              <w:top w:val="nil"/>
              <w:left w:val="nil"/>
              <w:bottom w:val="single" w:sz="4" w:space="0" w:color="auto"/>
              <w:right w:val="nil"/>
            </w:tcBorders>
            <w:shd w:val="clear" w:color="auto" w:fill="auto"/>
            <w:vAlign w:val="center"/>
            <w:hideMark/>
          </w:tcPr>
          <w:p w14:paraId="5CF4A8CC"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 ostatních věcech</w:t>
            </w:r>
          </w:p>
        </w:tc>
      </w:tr>
      <w:tr w:rsidR="00033A3F" w:rsidRPr="00033A3F" w14:paraId="219770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406B44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Az</w:t>
            </w:r>
          </w:p>
        </w:tc>
        <w:tc>
          <w:tcPr>
            <w:tcW w:w="8140" w:type="dxa"/>
            <w:tcBorders>
              <w:top w:val="nil"/>
              <w:left w:val="nil"/>
              <w:bottom w:val="single" w:sz="4" w:space="0" w:color="auto"/>
              <w:right w:val="nil"/>
            </w:tcBorders>
            <w:shd w:val="clear" w:color="auto" w:fill="auto"/>
            <w:vAlign w:val="center"/>
            <w:hideMark/>
          </w:tcPr>
          <w:p w14:paraId="703E5032"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Správní žaloby ve věcech mezinárodní ochrany</w:t>
            </w:r>
          </w:p>
        </w:tc>
      </w:tr>
      <w:tr w:rsidR="00033A3F" w:rsidRPr="00033A3F" w14:paraId="72782C9F"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9C5715E"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Azs</w:t>
            </w:r>
          </w:p>
        </w:tc>
        <w:tc>
          <w:tcPr>
            <w:tcW w:w="8140" w:type="dxa"/>
            <w:tcBorders>
              <w:top w:val="nil"/>
              <w:left w:val="nil"/>
              <w:bottom w:val="single" w:sz="4" w:space="0" w:color="auto"/>
              <w:right w:val="nil"/>
            </w:tcBorders>
            <w:shd w:val="clear" w:color="auto" w:fill="auto"/>
            <w:vAlign w:val="center"/>
            <w:hideMark/>
          </w:tcPr>
          <w:p w14:paraId="369AFA1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mezinárodní ochrany a zákona o pobytu cizinců</w:t>
            </w:r>
          </w:p>
        </w:tc>
      </w:tr>
      <w:tr w:rsidR="00033A3F" w:rsidRPr="00033A3F" w14:paraId="644B94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754D6C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w:t>
            </w:r>
          </w:p>
        </w:tc>
        <w:tc>
          <w:tcPr>
            <w:tcW w:w="8140" w:type="dxa"/>
            <w:tcBorders>
              <w:top w:val="nil"/>
              <w:left w:val="nil"/>
              <w:bottom w:val="single" w:sz="4" w:space="0" w:color="auto"/>
              <w:right w:val="nil"/>
            </w:tcBorders>
            <w:shd w:val="clear" w:color="auto" w:fill="auto"/>
            <w:vAlign w:val="center"/>
            <w:hideMark/>
          </w:tcPr>
          <w:p w14:paraId="5CC09CC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Občanskoprávní věci</w:t>
            </w:r>
          </w:p>
        </w:tc>
      </w:tr>
      <w:tr w:rsidR="00033A3F" w:rsidRPr="00033A3F" w14:paraId="4A1757E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29099A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Ca</w:t>
            </w:r>
          </w:p>
        </w:tc>
        <w:tc>
          <w:tcPr>
            <w:tcW w:w="8140" w:type="dxa"/>
            <w:tcBorders>
              <w:top w:val="nil"/>
              <w:left w:val="nil"/>
              <w:bottom w:val="single" w:sz="4" w:space="0" w:color="auto"/>
              <w:right w:val="nil"/>
            </w:tcBorders>
            <w:shd w:val="clear" w:color="auto" w:fill="auto"/>
            <w:vAlign w:val="center"/>
            <w:hideMark/>
          </w:tcPr>
          <w:p w14:paraId="4063A756"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Ostatní návrhy ve věcech správního soudnictví (před rokem 2010)</w:t>
            </w:r>
          </w:p>
        </w:tc>
      </w:tr>
      <w:tr w:rsidR="00033A3F" w:rsidRPr="00033A3F" w14:paraId="0EDE004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C93DB3B"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Cad</w:t>
            </w:r>
          </w:p>
        </w:tc>
        <w:tc>
          <w:tcPr>
            <w:tcW w:w="8140" w:type="dxa"/>
            <w:tcBorders>
              <w:top w:val="nil"/>
              <w:left w:val="nil"/>
              <w:bottom w:val="single" w:sz="4" w:space="0" w:color="auto"/>
              <w:right w:val="nil"/>
            </w:tcBorders>
            <w:shd w:val="clear" w:color="auto" w:fill="auto"/>
            <w:vAlign w:val="center"/>
            <w:hideMark/>
          </w:tcPr>
          <w:p w14:paraId="4F4E6DF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Správní žaloby ve věcech sociální a důchodové správy (před rokem 2010)</w:t>
            </w:r>
          </w:p>
        </w:tc>
      </w:tr>
      <w:tr w:rsidR="00033A3F" w:rsidRPr="00033A3F" w14:paraId="6560713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5BDE302"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Cdo</w:t>
            </w:r>
          </w:p>
        </w:tc>
        <w:tc>
          <w:tcPr>
            <w:tcW w:w="8140" w:type="dxa"/>
            <w:tcBorders>
              <w:top w:val="nil"/>
              <w:left w:val="nil"/>
              <w:bottom w:val="single" w:sz="4" w:space="0" w:color="auto"/>
              <w:right w:val="nil"/>
            </w:tcBorders>
            <w:shd w:val="clear" w:color="auto" w:fill="auto"/>
            <w:vAlign w:val="center"/>
            <w:hideMark/>
          </w:tcPr>
          <w:p w14:paraId="10BAB28C"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Dovolání proti rozhodnutím odvolacích soudů ve věcech občanskoprávních a obchodních</w:t>
            </w:r>
          </w:p>
        </w:tc>
      </w:tr>
      <w:tr w:rsidR="00033A3F" w:rsidRPr="00033A3F" w14:paraId="33EC28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FE401F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Cm</w:t>
            </w:r>
          </w:p>
        </w:tc>
        <w:tc>
          <w:tcPr>
            <w:tcW w:w="8140" w:type="dxa"/>
            <w:tcBorders>
              <w:top w:val="nil"/>
              <w:left w:val="nil"/>
              <w:bottom w:val="single" w:sz="4" w:space="0" w:color="auto"/>
              <w:right w:val="nil"/>
            </w:tcBorders>
            <w:shd w:val="clear" w:color="auto" w:fill="auto"/>
            <w:vAlign w:val="center"/>
            <w:hideMark/>
          </w:tcPr>
          <w:p w14:paraId="292CBA1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Obchodní věci</w:t>
            </w:r>
          </w:p>
        </w:tc>
      </w:tr>
      <w:tr w:rsidR="00033A3F" w:rsidRPr="00033A3F" w14:paraId="6598BBE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5DE556B"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Cmo</w:t>
            </w:r>
          </w:p>
        </w:tc>
        <w:tc>
          <w:tcPr>
            <w:tcW w:w="8140" w:type="dxa"/>
            <w:tcBorders>
              <w:top w:val="nil"/>
              <w:left w:val="nil"/>
              <w:bottom w:val="single" w:sz="4" w:space="0" w:color="auto"/>
              <w:right w:val="nil"/>
            </w:tcBorders>
            <w:shd w:val="clear" w:color="auto" w:fill="auto"/>
            <w:vAlign w:val="center"/>
            <w:hideMark/>
          </w:tcPr>
          <w:p w14:paraId="3D7FA990"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Odvolací civilní agenda v obchodních věcech</w:t>
            </w:r>
          </w:p>
        </w:tc>
      </w:tr>
      <w:tr w:rsidR="00033A3F" w:rsidRPr="00033A3F" w14:paraId="15DBB48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F6E38EF"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Co</w:t>
            </w:r>
          </w:p>
        </w:tc>
        <w:tc>
          <w:tcPr>
            <w:tcW w:w="8140" w:type="dxa"/>
            <w:tcBorders>
              <w:top w:val="nil"/>
              <w:left w:val="nil"/>
              <w:bottom w:val="single" w:sz="4" w:space="0" w:color="auto"/>
              <w:right w:val="nil"/>
            </w:tcBorders>
            <w:shd w:val="clear" w:color="auto" w:fill="auto"/>
            <w:vAlign w:val="center"/>
            <w:hideMark/>
          </w:tcPr>
          <w:p w14:paraId="328AE76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Odvolací civilní agenda</w:t>
            </w:r>
          </w:p>
        </w:tc>
      </w:tr>
      <w:tr w:rsidR="00033A3F" w:rsidRPr="00033A3F" w14:paraId="7F71A7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8A89627"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EC (KS)</w:t>
            </w:r>
          </w:p>
        </w:tc>
        <w:tc>
          <w:tcPr>
            <w:tcW w:w="8140" w:type="dxa"/>
            <w:tcBorders>
              <w:top w:val="nil"/>
              <w:left w:val="nil"/>
              <w:bottom w:val="single" w:sz="4" w:space="0" w:color="auto"/>
              <w:right w:val="nil"/>
            </w:tcBorders>
            <w:shd w:val="clear" w:color="auto" w:fill="auto"/>
            <w:vAlign w:val="center"/>
            <w:hideMark/>
          </w:tcPr>
          <w:p w14:paraId="66950F1D"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Převedené věci z rejstříku EPR – občanskoprávní věci</w:t>
            </w:r>
          </w:p>
        </w:tc>
      </w:tr>
      <w:tr w:rsidR="00033A3F" w:rsidRPr="00033A3F" w14:paraId="39E5BB1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627227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EC (OS)</w:t>
            </w:r>
          </w:p>
        </w:tc>
        <w:tc>
          <w:tcPr>
            <w:tcW w:w="8140" w:type="dxa"/>
            <w:tcBorders>
              <w:top w:val="nil"/>
              <w:left w:val="nil"/>
              <w:bottom w:val="single" w:sz="4" w:space="0" w:color="auto"/>
              <w:right w:val="nil"/>
            </w:tcBorders>
            <w:shd w:val="clear" w:color="auto" w:fill="auto"/>
            <w:vAlign w:val="center"/>
            <w:hideMark/>
          </w:tcPr>
          <w:p w14:paraId="666132C6"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Návrhy na vydání elektronického platebního rozkazu (před rejstříkem EPR)</w:t>
            </w:r>
          </w:p>
        </w:tc>
      </w:tr>
      <w:tr w:rsidR="00033A3F" w:rsidRPr="00033A3F" w14:paraId="765DE11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D46F6B6"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ECm</w:t>
            </w:r>
          </w:p>
        </w:tc>
        <w:tc>
          <w:tcPr>
            <w:tcW w:w="8140" w:type="dxa"/>
            <w:tcBorders>
              <w:top w:val="nil"/>
              <w:left w:val="nil"/>
              <w:bottom w:val="single" w:sz="4" w:space="0" w:color="auto"/>
              <w:right w:val="nil"/>
            </w:tcBorders>
            <w:shd w:val="clear" w:color="auto" w:fill="auto"/>
            <w:vAlign w:val="center"/>
            <w:hideMark/>
          </w:tcPr>
          <w:p w14:paraId="6673750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Převedené věci z rejstříku EPR – obchodní věci</w:t>
            </w:r>
          </w:p>
        </w:tc>
      </w:tr>
      <w:tr w:rsidR="00033A3F" w:rsidRPr="00033A3F" w14:paraId="58AD59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901A40"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EPR</w:t>
            </w:r>
          </w:p>
        </w:tc>
        <w:tc>
          <w:tcPr>
            <w:tcW w:w="8140" w:type="dxa"/>
            <w:tcBorders>
              <w:top w:val="nil"/>
              <w:left w:val="nil"/>
              <w:bottom w:val="single" w:sz="4" w:space="0" w:color="auto"/>
              <w:right w:val="nil"/>
            </w:tcBorders>
            <w:shd w:val="clear" w:color="auto" w:fill="auto"/>
            <w:vAlign w:val="center"/>
            <w:hideMark/>
          </w:tcPr>
          <w:p w14:paraId="554BD16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Návrhy na vydání elektronického platebního rozkazu</w:t>
            </w:r>
          </w:p>
        </w:tc>
      </w:tr>
      <w:tr w:rsidR="00033A3F" w:rsidRPr="00033A3F" w14:paraId="45C06A6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D5136BD"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EVC</w:t>
            </w:r>
          </w:p>
        </w:tc>
        <w:tc>
          <w:tcPr>
            <w:tcW w:w="8140" w:type="dxa"/>
            <w:tcBorders>
              <w:top w:val="nil"/>
              <w:left w:val="nil"/>
              <w:bottom w:val="single" w:sz="4" w:space="0" w:color="auto"/>
              <w:right w:val="nil"/>
            </w:tcBorders>
            <w:shd w:val="clear" w:color="auto" w:fill="auto"/>
            <w:vAlign w:val="center"/>
            <w:hideMark/>
          </w:tcPr>
          <w:p w14:paraId="7FADB33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Návrhy na vydání evropského platebního rozkazu</w:t>
            </w:r>
          </w:p>
        </w:tc>
      </w:tr>
      <w:tr w:rsidR="00033A3F" w:rsidRPr="00033A3F" w14:paraId="3A90E75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BE6775"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EVCm</w:t>
            </w:r>
          </w:p>
        </w:tc>
        <w:tc>
          <w:tcPr>
            <w:tcW w:w="8140" w:type="dxa"/>
            <w:tcBorders>
              <w:top w:val="nil"/>
              <w:left w:val="nil"/>
              <w:bottom w:val="single" w:sz="4" w:space="0" w:color="auto"/>
              <w:right w:val="nil"/>
            </w:tcBorders>
            <w:shd w:val="clear" w:color="auto" w:fill="auto"/>
            <w:vAlign w:val="center"/>
            <w:hideMark/>
          </w:tcPr>
          <w:p w14:paraId="0093A0E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Návrhy na vydání evropského platebního rozkazu v obchodních věcech</w:t>
            </w:r>
          </w:p>
        </w:tc>
      </w:tr>
      <w:tr w:rsidR="00033A3F" w:rsidRPr="00033A3F" w14:paraId="02DEB95C" w14:textId="77777777" w:rsidTr="00E077F3">
        <w:trPr>
          <w:trHeight w:val="340"/>
        </w:trPr>
        <w:tc>
          <w:tcPr>
            <w:tcW w:w="960" w:type="dxa"/>
            <w:tcBorders>
              <w:top w:val="nil"/>
              <w:left w:val="nil"/>
              <w:bottom w:val="single" w:sz="4" w:space="0" w:color="auto"/>
              <w:right w:val="nil"/>
            </w:tcBorders>
            <w:shd w:val="clear" w:color="auto" w:fill="auto"/>
            <w:vAlign w:val="center"/>
          </w:tcPr>
          <w:p w14:paraId="64078CCD"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ICdo</w:t>
            </w:r>
          </w:p>
        </w:tc>
        <w:tc>
          <w:tcPr>
            <w:tcW w:w="8140" w:type="dxa"/>
            <w:tcBorders>
              <w:top w:val="nil"/>
              <w:left w:val="nil"/>
              <w:bottom w:val="single" w:sz="4" w:space="0" w:color="auto"/>
              <w:right w:val="nil"/>
            </w:tcBorders>
            <w:shd w:val="clear" w:color="auto" w:fill="auto"/>
            <w:vAlign w:val="center"/>
          </w:tcPr>
          <w:p w14:paraId="10B174E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Věci předložené Nejvyššímu soudu k rozhodnutí pro incidenční spory vyvolané v průběhu insolvenčního řízení</w:t>
            </w:r>
          </w:p>
        </w:tc>
      </w:tr>
      <w:tr w:rsidR="00033A3F" w:rsidRPr="00033A3F" w14:paraId="5DDBAD7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579A01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ICm</w:t>
            </w:r>
          </w:p>
        </w:tc>
        <w:tc>
          <w:tcPr>
            <w:tcW w:w="8140" w:type="dxa"/>
            <w:tcBorders>
              <w:top w:val="nil"/>
              <w:left w:val="nil"/>
              <w:bottom w:val="single" w:sz="4" w:space="0" w:color="auto"/>
              <w:right w:val="nil"/>
            </w:tcBorders>
            <w:shd w:val="clear" w:color="auto" w:fill="auto"/>
            <w:vAlign w:val="center"/>
            <w:hideMark/>
          </w:tcPr>
          <w:p w14:paraId="15FE750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Incidenční spory</w:t>
            </w:r>
          </w:p>
        </w:tc>
      </w:tr>
      <w:tr w:rsidR="00033A3F" w:rsidRPr="00033A3F" w14:paraId="3370897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F9B4D2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INS</w:t>
            </w:r>
          </w:p>
        </w:tc>
        <w:tc>
          <w:tcPr>
            <w:tcW w:w="8140" w:type="dxa"/>
            <w:tcBorders>
              <w:top w:val="nil"/>
              <w:left w:val="nil"/>
              <w:bottom w:val="single" w:sz="4" w:space="0" w:color="auto"/>
              <w:right w:val="nil"/>
            </w:tcBorders>
            <w:shd w:val="clear" w:color="auto" w:fill="auto"/>
            <w:vAlign w:val="center"/>
            <w:hideMark/>
          </w:tcPr>
          <w:p w14:paraId="13EAD816"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Insolvenční řízení</w:t>
            </w:r>
          </w:p>
        </w:tc>
      </w:tr>
      <w:tr w:rsidR="00033A3F" w:rsidRPr="00033A3F" w14:paraId="642881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F55E93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Kss</w:t>
            </w:r>
          </w:p>
        </w:tc>
        <w:tc>
          <w:tcPr>
            <w:tcW w:w="8140" w:type="dxa"/>
            <w:tcBorders>
              <w:top w:val="nil"/>
              <w:left w:val="nil"/>
              <w:bottom w:val="single" w:sz="4" w:space="0" w:color="auto"/>
              <w:right w:val="nil"/>
            </w:tcBorders>
            <w:shd w:val="clear" w:color="auto" w:fill="auto"/>
            <w:vAlign w:val="center"/>
            <w:hideMark/>
          </w:tcPr>
          <w:p w14:paraId="1DE137DB"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ve věcech soudců</w:t>
            </w:r>
          </w:p>
        </w:tc>
      </w:tr>
      <w:tr w:rsidR="00033A3F" w:rsidRPr="00033A3F" w14:paraId="2AF8A83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03E81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L</w:t>
            </w:r>
          </w:p>
        </w:tc>
        <w:tc>
          <w:tcPr>
            <w:tcW w:w="8140" w:type="dxa"/>
            <w:tcBorders>
              <w:top w:val="nil"/>
              <w:left w:val="nil"/>
              <w:bottom w:val="single" w:sz="4" w:space="0" w:color="auto"/>
              <w:right w:val="nil"/>
            </w:tcBorders>
            <w:shd w:val="clear" w:color="auto" w:fill="auto"/>
            <w:vAlign w:val="center"/>
            <w:hideMark/>
          </w:tcPr>
          <w:p w14:paraId="0DEBD28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Detenční řízení</w:t>
            </w:r>
          </w:p>
        </w:tc>
      </w:tr>
      <w:tr w:rsidR="00033A3F" w:rsidRPr="00033A3F" w14:paraId="3F7CDAB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05B02AB"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NSČR</w:t>
            </w:r>
          </w:p>
        </w:tc>
        <w:tc>
          <w:tcPr>
            <w:tcW w:w="8140" w:type="dxa"/>
            <w:tcBorders>
              <w:top w:val="nil"/>
              <w:left w:val="nil"/>
              <w:bottom w:val="single" w:sz="4" w:space="0" w:color="auto"/>
              <w:right w:val="nil"/>
            </w:tcBorders>
            <w:shd w:val="clear" w:color="auto" w:fill="auto"/>
            <w:vAlign w:val="center"/>
            <w:hideMark/>
          </w:tcPr>
          <w:p w14:paraId="5E82156D"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Věci předložené Nejvyššímu soudu k rozhodnutí v insolvenčním řízení</w:t>
            </w:r>
          </w:p>
        </w:tc>
      </w:tr>
      <w:tr w:rsidR="00033A3F" w:rsidRPr="00033A3F" w14:paraId="5F65169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3E0689E"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lastRenderedPageBreak/>
              <w:t>Odo</w:t>
            </w:r>
          </w:p>
        </w:tc>
        <w:tc>
          <w:tcPr>
            <w:tcW w:w="8140" w:type="dxa"/>
            <w:tcBorders>
              <w:top w:val="nil"/>
              <w:left w:val="nil"/>
              <w:bottom w:val="single" w:sz="4" w:space="0" w:color="auto"/>
              <w:right w:val="nil"/>
            </w:tcBorders>
            <w:shd w:val="clear" w:color="auto" w:fill="auto"/>
            <w:vAlign w:val="center"/>
            <w:hideMark/>
          </w:tcPr>
          <w:p w14:paraId="431A34B7"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Dovolání proti rozhodnutím odvolacích soudů ve věcech obchodních (dříve)</w:t>
            </w:r>
          </w:p>
        </w:tc>
      </w:tr>
      <w:tr w:rsidR="00033A3F" w:rsidRPr="00033A3F" w14:paraId="1266B9E1"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4215F7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 a Nc</w:t>
            </w:r>
          </w:p>
        </w:tc>
        <w:tc>
          <w:tcPr>
            <w:tcW w:w="8140" w:type="dxa"/>
            <w:tcBorders>
              <w:top w:val="nil"/>
              <w:left w:val="nil"/>
              <w:bottom w:val="single" w:sz="4" w:space="0" w:color="auto"/>
              <w:right w:val="nil"/>
            </w:tcBorders>
            <w:shd w:val="clear" w:color="auto" w:fill="auto"/>
            <w:vAlign w:val="center"/>
            <w:hideMark/>
          </w:tcPr>
          <w:p w14:paraId="4F58880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Opatrovnické řízení</w:t>
            </w:r>
          </w:p>
        </w:tc>
      </w:tr>
      <w:tr w:rsidR="00033A3F" w:rsidRPr="00033A3F" w14:paraId="115F61A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9F5979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w:t>
            </w:r>
          </w:p>
        </w:tc>
        <w:tc>
          <w:tcPr>
            <w:tcW w:w="8140" w:type="dxa"/>
            <w:tcBorders>
              <w:top w:val="nil"/>
              <w:left w:val="nil"/>
              <w:bottom w:val="single" w:sz="4" w:space="0" w:color="auto"/>
              <w:right w:val="nil"/>
            </w:tcBorders>
            <w:shd w:val="clear" w:color="auto" w:fill="auto"/>
            <w:vAlign w:val="center"/>
            <w:hideMark/>
          </w:tcPr>
          <w:p w14:paraId="2DC59E87"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Trestní věci</w:t>
            </w:r>
          </w:p>
        </w:tc>
      </w:tr>
      <w:tr w:rsidR="00033A3F" w:rsidRPr="00033A3F" w14:paraId="4DDB9D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314D5C"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Tdo</w:t>
            </w:r>
          </w:p>
        </w:tc>
        <w:tc>
          <w:tcPr>
            <w:tcW w:w="8140" w:type="dxa"/>
            <w:tcBorders>
              <w:top w:val="nil"/>
              <w:left w:val="nil"/>
              <w:bottom w:val="single" w:sz="4" w:space="0" w:color="auto"/>
              <w:right w:val="nil"/>
            </w:tcBorders>
            <w:shd w:val="clear" w:color="auto" w:fill="auto"/>
            <w:vAlign w:val="center"/>
            <w:hideMark/>
          </w:tcPr>
          <w:p w14:paraId="65717D2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Dovolání proti rozhodnutím soudů druhého stupně ve věcech trestních</w:t>
            </w:r>
          </w:p>
        </w:tc>
      </w:tr>
      <w:tr w:rsidR="00033A3F" w:rsidRPr="00033A3F" w14:paraId="5B16B4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D3D0BD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Tm</w:t>
            </w:r>
          </w:p>
        </w:tc>
        <w:tc>
          <w:tcPr>
            <w:tcW w:w="8140" w:type="dxa"/>
            <w:tcBorders>
              <w:top w:val="nil"/>
              <w:left w:val="nil"/>
              <w:bottom w:val="single" w:sz="4" w:space="0" w:color="auto"/>
              <w:right w:val="nil"/>
            </w:tcBorders>
            <w:shd w:val="clear" w:color="auto" w:fill="auto"/>
            <w:vAlign w:val="center"/>
            <w:hideMark/>
          </w:tcPr>
          <w:p w14:paraId="29FC9CC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Trestní věci mládeže</w:t>
            </w:r>
          </w:p>
        </w:tc>
      </w:tr>
      <w:tr w:rsidR="00033A3F" w:rsidRPr="00033A3F" w14:paraId="6CDDA90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1113CBC"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Tmo</w:t>
            </w:r>
          </w:p>
        </w:tc>
        <w:tc>
          <w:tcPr>
            <w:tcW w:w="8140" w:type="dxa"/>
            <w:tcBorders>
              <w:top w:val="nil"/>
              <w:left w:val="nil"/>
              <w:bottom w:val="single" w:sz="4" w:space="0" w:color="auto"/>
              <w:right w:val="nil"/>
            </w:tcBorders>
            <w:shd w:val="clear" w:color="auto" w:fill="auto"/>
            <w:vAlign w:val="center"/>
            <w:hideMark/>
          </w:tcPr>
          <w:p w14:paraId="5D53A49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Trestní agenda odvolací – mladiství</w:t>
            </w:r>
          </w:p>
        </w:tc>
      </w:tr>
      <w:tr w:rsidR="00033A3F" w:rsidRPr="00033A3F" w14:paraId="6B3251C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EA9E3D6"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To</w:t>
            </w:r>
          </w:p>
        </w:tc>
        <w:tc>
          <w:tcPr>
            <w:tcW w:w="8140" w:type="dxa"/>
            <w:tcBorders>
              <w:top w:val="nil"/>
              <w:left w:val="nil"/>
              <w:bottom w:val="single" w:sz="4" w:space="0" w:color="auto"/>
              <w:right w:val="nil"/>
            </w:tcBorders>
            <w:shd w:val="clear" w:color="auto" w:fill="auto"/>
            <w:vAlign w:val="center"/>
            <w:hideMark/>
          </w:tcPr>
          <w:p w14:paraId="2696331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Trestní agenda odvolací</w:t>
            </w:r>
          </w:p>
        </w:tc>
      </w:tr>
      <w:tr w:rsidR="00033A3F" w:rsidRPr="00033A3F" w14:paraId="4D923D45" w14:textId="77777777" w:rsidTr="00E077F3">
        <w:trPr>
          <w:trHeight w:val="340"/>
        </w:trPr>
        <w:tc>
          <w:tcPr>
            <w:tcW w:w="960" w:type="dxa"/>
            <w:tcBorders>
              <w:top w:val="nil"/>
              <w:left w:val="nil"/>
              <w:bottom w:val="double" w:sz="6" w:space="0" w:color="auto"/>
              <w:right w:val="nil"/>
            </w:tcBorders>
            <w:shd w:val="clear" w:color="auto" w:fill="auto"/>
            <w:vAlign w:val="center"/>
            <w:hideMark/>
          </w:tcPr>
          <w:p w14:paraId="0478B630"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Tz</w:t>
            </w:r>
          </w:p>
        </w:tc>
        <w:tc>
          <w:tcPr>
            <w:tcW w:w="8140" w:type="dxa"/>
            <w:tcBorders>
              <w:top w:val="nil"/>
              <w:left w:val="nil"/>
              <w:bottom w:val="double" w:sz="6" w:space="0" w:color="auto"/>
              <w:right w:val="nil"/>
            </w:tcBorders>
            <w:shd w:val="clear" w:color="auto" w:fill="auto"/>
            <w:vAlign w:val="center"/>
            <w:hideMark/>
          </w:tcPr>
          <w:p w14:paraId="25F1F00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Stížnosti pro porušení zákona</w:t>
            </w:r>
          </w:p>
        </w:tc>
      </w:tr>
      <w:bookmarkEnd w:id="2739"/>
    </w:tbl>
    <w:p w14:paraId="45ED2713" w14:textId="77777777" w:rsidR="008430BD" w:rsidRPr="00033A3F" w:rsidRDefault="008430BD" w:rsidP="008430BD">
      <w:pPr>
        <w:spacing w:line="240" w:lineRule="auto"/>
        <w:rPr>
          <w:rFonts w:eastAsia="Times New Roman"/>
          <w:iCs/>
          <w:color w:val="000000" w:themeColor="text1"/>
          <w:szCs w:val="24"/>
        </w:rPr>
      </w:pPr>
      <w:r w:rsidRPr="00033A3F">
        <w:rPr>
          <w:color w:val="000000" w:themeColor="text1"/>
        </w:rPr>
        <w:br w:type="page"/>
      </w:r>
    </w:p>
    <w:p w14:paraId="3600D4C0" w14:textId="77777777" w:rsidR="008430BD" w:rsidRPr="00033A3F" w:rsidRDefault="008430BD" w:rsidP="008430BD">
      <w:pPr>
        <w:pStyle w:val="Nadpis2"/>
        <w:ind w:left="578" w:hanging="578"/>
      </w:pPr>
      <w:bookmarkStart w:id="2740" w:name="_Toc106092840"/>
      <w:bookmarkStart w:id="2741" w:name="_Toc169250919"/>
      <w:bookmarkStart w:id="2742" w:name="_Toc193531080"/>
      <w:bookmarkStart w:id="2743" w:name="_Toc193957138"/>
      <w:bookmarkStart w:id="2744" w:name="_Toc203032827"/>
      <w:r w:rsidRPr="00033A3F">
        <w:lastRenderedPageBreak/>
        <w:t>Příloha D – přehledové listy s daty soudů</w:t>
      </w:r>
      <w:bookmarkEnd w:id="2740"/>
      <w:bookmarkEnd w:id="2741"/>
      <w:bookmarkEnd w:id="2742"/>
      <w:bookmarkEnd w:id="2743"/>
      <w:bookmarkEnd w:id="2744"/>
    </w:p>
    <w:p w14:paraId="58EEA337" w14:textId="08254324" w:rsidR="008430BD" w:rsidRPr="00033A3F" w:rsidRDefault="008430BD" w:rsidP="008430BD">
      <w:pPr>
        <w:spacing w:line="240" w:lineRule="auto"/>
        <w:jc w:val="left"/>
        <w:rPr>
          <w:color w:val="000000" w:themeColor="text1"/>
        </w:rPr>
      </w:pPr>
    </w:p>
    <w:p w14:paraId="551F3EE1" w14:textId="1F6D39E8" w:rsidR="002F3563" w:rsidRPr="00033A3F" w:rsidRDefault="002F3563" w:rsidP="008430BD">
      <w:pPr>
        <w:spacing w:line="240" w:lineRule="auto"/>
        <w:jc w:val="left"/>
        <w:rPr>
          <w:color w:val="000000" w:themeColor="text1"/>
        </w:rPr>
      </w:pPr>
    </w:p>
    <w:p w14:paraId="314267FB" w14:textId="26763B4F" w:rsidR="008430BD" w:rsidRDefault="00A47F1A" w:rsidP="008430BD">
      <w:pPr>
        <w:spacing w:line="240" w:lineRule="auto"/>
        <w:jc w:val="left"/>
        <w:rPr>
          <w:color w:val="000000" w:themeColor="text1"/>
        </w:rPr>
      </w:pPr>
      <w:r>
        <w:rPr>
          <w:color w:val="000000" w:themeColor="text1"/>
        </w:rPr>
        <w:object w:dxaOrig="1539" w:dyaOrig="997" w14:anchorId="000DA4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84" o:title=""/>
          </v:shape>
          <o:OLEObject Type="Embed" ProgID="Excel.SheetMacroEnabled.12" ShapeID="_x0000_i1025" DrawAspect="Icon" ObjectID="_1814164623" r:id="rId185"/>
        </w:object>
      </w:r>
    </w:p>
    <w:p w14:paraId="1BB731CF" w14:textId="77777777" w:rsidR="00A47F1A" w:rsidRPr="00033A3F" w:rsidRDefault="00A47F1A" w:rsidP="008430BD">
      <w:pPr>
        <w:spacing w:line="240" w:lineRule="auto"/>
        <w:jc w:val="left"/>
        <w:rPr>
          <w:rFonts w:eastAsia="Times New Roman"/>
          <w:b/>
          <w:bCs/>
          <w:iCs/>
          <w:color w:val="000000" w:themeColor="text1"/>
          <w:szCs w:val="24"/>
        </w:rPr>
      </w:pPr>
    </w:p>
    <w:p w14:paraId="738A45A9" w14:textId="77777777" w:rsidR="008430BD" w:rsidRPr="00033A3F" w:rsidRDefault="008430BD" w:rsidP="008430BD">
      <w:pPr>
        <w:autoSpaceDE w:val="0"/>
        <w:autoSpaceDN w:val="0"/>
        <w:adjustRightInd w:val="0"/>
        <w:spacing w:line="240" w:lineRule="auto"/>
        <w:jc w:val="left"/>
        <w:rPr>
          <w:rFonts w:cs="OfficinaSansItcTOT-Bold"/>
          <w:b/>
          <w:bCs/>
          <w:color w:val="000000" w:themeColor="text1"/>
          <w:sz w:val="18"/>
          <w:szCs w:val="19"/>
          <w:lang w:eastAsia="cs-CZ"/>
        </w:rPr>
        <w:sectPr w:rsidR="008430BD" w:rsidRPr="00033A3F" w:rsidSect="005D7674">
          <w:footerReference w:type="default" r:id="rId186"/>
          <w:type w:val="continuous"/>
          <w:pgSz w:w="11906" w:h="16838" w:code="9"/>
          <w:pgMar w:top="1418" w:right="1416" w:bottom="1418" w:left="1418" w:header="709" w:footer="709" w:gutter="0"/>
          <w:cols w:space="708"/>
          <w:titlePg/>
          <w:docGrid w:linePitch="360"/>
        </w:sectPr>
      </w:pPr>
    </w:p>
    <w:p w14:paraId="1A9F48A7" w14:textId="5A0FA2C5" w:rsidR="008430BD" w:rsidRPr="00033A3F" w:rsidRDefault="008430BD" w:rsidP="00C04F6A">
      <w:pPr>
        <w:autoSpaceDE w:val="0"/>
        <w:autoSpaceDN w:val="0"/>
        <w:adjustRightInd w:val="0"/>
        <w:spacing w:line="240" w:lineRule="auto"/>
        <w:jc w:val="center"/>
        <w:rPr>
          <w:rFonts w:cs="OfficinaSansItcTOT-Bold"/>
          <w:b/>
          <w:bCs/>
          <w:color w:val="000000" w:themeColor="text1"/>
          <w:sz w:val="18"/>
          <w:szCs w:val="19"/>
          <w:lang w:eastAsia="cs-CZ"/>
        </w:rPr>
      </w:pPr>
    </w:p>
    <w:p w14:paraId="6BB2E3A4"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8D3F487"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0658B2E4"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13D3921F"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699791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8C657CB"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C22DFB0"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0EC2DB7"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0FA2A9F6"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E5F0C18" w14:textId="13C08D01" w:rsidR="008430BD" w:rsidRPr="00033A3F" w:rsidRDefault="00117694" w:rsidP="00117694">
      <w:pPr>
        <w:autoSpaceDE w:val="0"/>
        <w:autoSpaceDN w:val="0"/>
        <w:adjustRightInd w:val="0"/>
        <w:spacing w:line="240" w:lineRule="auto"/>
        <w:jc w:val="center"/>
        <w:rPr>
          <w:rFonts w:cs="OfficinaSansItcTOT-Bold"/>
          <w:b/>
          <w:bCs/>
          <w:color w:val="000000" w:themeColor="text1"/>
          <w:sz w:val="18"/>
          <w:szCs w:val="19"/>
          <w:lang w:eastAsia="cs-CZ"/>
        </w:rPr>
      </w:pPr>
      <w:r w:rsidRPr="00033A3F">
        <w:rPr>
          <w:noProof/>
          <w:color w:val="000000" w:themeColor="text1"/>
          <w:lang w:eastAsia="cs-CZ"/>
        </w:rPr>
        <w:drawing>
          <wp:inline distT="0" distB="0" distL="0" distR="0" wp14:anchorId="5CEE195B" wp14:editId="1B2E525A">
            <wp:extent cx="3949281" cy="714375"/>
            <wp:effectExtent l="0" t="0" r="0" b="0"/>
            <wp:docPr id="1" name="Obrázek 1" descr="image001.jpg">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9" descr="image001.jpg">
                      <a:hlinkClick r:id="rId187"/>
                    </pic:cNvPr>
                    <pic:cNvPicPr>
                      <a:picLocks noChangeAspect="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955112" cy="715430"/>
                    </a:xfrm>
                    <a:prstGeom prst="rect">
                      <a:avLst/>
                    </a:prstGeom>
                    <a:noFill/>
                    <a:ln>
                      <a:noFill/>
                    </a:ln>
                  </pic:spPr>
                </pic:pic>
              </a:graphicData>
            </a:graphic>
          </wp:inline>
        </w:drawing>
      </w:r>
    </w:p>
    <w:p w14:paraId="4F5FEABB"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DBCE512"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2ACB4E9"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6A53285"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A901D64"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5C44F95"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172DE132"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624FB60"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3CC8543"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821510E"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12F4745"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DCE235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82DC10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E521063"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D4B9BAE"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8A02379"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27DBAD0"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C749FF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128CD59"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55A9F48"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09D5FBB"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06E42DA"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1078EB2"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09FA12EA"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9B46316"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84A3927"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27F782A"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F31CBC7"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463A068"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D0D8D38"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BEF9C93"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256775C"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A2DFAF5"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10170A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F4AB26C"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FAB9C39"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594F904"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EE6FB47" w14:textId="77777777" w:rsidR="008430BD" w:rsidRPr="00033A3F" w:rsidRDefault="008430BD" w:rsidP="008430BD">
      <w:pPr>
        <w:autoSpaceDE w:val="0"/>
        <w:autoSpaceDN w:val="0"/>
        <w:adjustRightInd w:val="0"/>
        <w:spacing w:line="240" w:lineRule="auto"/>
        <w:jc w:val="center"/>
        <w:rPr>
          <w:rFonts w:cs="OfficinaSansItcTOT-Bold"/>
          <w:bCs/>
          <w:color w:val="000000" w:themeColor="text1"/>
          <w:sz w:val="18"/>
          <w:szCs w:val="19"/>
          <w:lang w:eastAsia="cs-CZ"/>
        </w:rPr>
      </w:pPr>
      <w:r w:rsidRPr="00033A3F">
        <w:rPr>
          <w:rFonts w:cs="OfficinaSansItcTOT-Bold"/>
          <w:bCs/>
          <w:color w:val="000000" w:themeColor="text1"/>
          <w:sz w:val="18"/>
          <w:szCs w:val="19"/>
          <w:lang w:eastAsia="cs-CZ"/>
        </w:rPr>
        <w:t>Ministerstvo spravedlnosti</w:t>
      </w:r>
    </w:p>
    <w:p w14:paraId="5E42C5CE" w14:textId="77777777" w:rsidR="008430BD" w:rsidRPr="00033A3F" w:rsidRDefault="008430BD" w:rsidP="008430BD">
      <w:pPr>
        <w:autoSpaceDE w:val="0"/>
        <w:autoSpaceDN w:val="0"/>
        <w:adjustRightInd w:val="0"/>
        <w:spacing w:line="240" w:lineRule="auto"/>
        <w:jc w:val="center"/>
        <w:rPr>
          <w:rFonts w:cs="OfficinaSansItcTOT-Book"/>
          <w:color w:val="000000" w:themeColor="text1"/>
          <w:sz w:val="18"/>
          <w:szCs w:val="19"/>
          <w:lang w:eastAsia="cs-CZ"/>
        </w:rPr>
      </w:pPr>
      <w:r w:rsidRPr="00033A3F">
        <w:rPr>
          <w:rFonts w:cs="OfficinaSansItcTOT-Book"/>
          <w:color w:val="000000" w:themeColor="text1"/>
          <w:sz w:val="18"/>
          <w:szCs w:val="19"/>
          <w:lang w:eastAsia="cs-CZ"/>
        </w:rPr>
        <w:t>Vyšehradská 16</w:t>
      </w:r>
    </w:p>
    <w:p w14:paraId="42AB6912" w14:textId="77777777" w:rsidR="008430BD" w:rsidRPr="00033A3F" w:rsidRDefault="008430BD" w:rsidP="008430BD">
      <w:pPr>
        <w:autoSpaceDE w:val="0"/>
        <w:autoSpaceDN w:val="0"/>
        <w:adjustRightInd w:val="0"/>
        <w:spacing w:line="240" w:lineRule="auto"/>
        <w:jc w:val="center"/>
        <w:rPr>
          <w:rFonts w:cs="OfficinaSansItcTOT-Book"/>
          <w:color w:val="000000" w:themeColor="text1"/>
          <w:sz w:val="18"/>
          <w:szCs w:val="19"/>
          <w:lang w:eastAsia="cs-CZ"/>
        </w:rPr>
      </w:pPr>
      <w:r w:rsidRPr="00033A3F">
        <w:rPr>
          <w:rFonts w:cs="OfficinaSansItcTOT-Book"/>
          <w:color w:val="000000" w:themeColor="text1"/>
          <w:sz w:val="18"/>
          <w:szCs w:val="19"/>
          <w:lang w:eastAsia="cs-CZ"/>
        </w:rPr>
        <w:t>128 10  Praha 2</w:t>
      </w:r>
    </w:p>
    <w:p w14:paraId="35E6F9D3" w14:textId="38FAC565" w:rsidR="00B07E76" w:rsidRPr="00033A3F" w:rsidRDefault="008430BD" w:rsidP="008430BD">
      <w:pPr>
        <w:autoSpaceDE w:val="0"/>
        <w:autoSpaceDN w:val="0"/>
        <w:adjustRightInd w:val="0"/>
        <w:spacing w:line="240" w:lineRule="auto"/>
        <w:jc w:val="center"/>
        <w:rPr>
          <w:rFonts w:cs="OfficinaSansItcTOT-Book"/>
          <w:color w:val="000000" w:themeColor="text1"/>
          <w:sz w:val="18"/>
          <w:szCs w:val="19"/>
          <w:lang w:eastAsia="cs-CZ"/>
        </w:rPr>
      </w:pPr>
      <w:r w:rsidRPr="00033A3F">
        <w:rPr>
          <w:rFonts w:cs="OfficinaSansItcTOT-Book"/>
          <w:color w:val="000000" w:themeColor="text1"/>
          <w:sz w:val="18"/>
          <w:szCs w:val="19"/>
          <w:lang w:eastAsia="cs-CZ"/>
        </w:rPr>
        <w:t xml:space="preserve">e-mail: </w:t>
      </w:r>
      <w:hyperlink r:id="rId189" w:history="1">
        <w:r w:rsidR="00F72345" w:rsidRPr="00CD74E3">
          <w:rPr>
            <w:rStyle w:val="Hypertextovodkaz"/>
            <w:sz w:val="18"/>
          </w:rPr>
          <w:t>posta@msp.gov.cz</w:t>
        </w:r>
      </w:hyperlink>
    </w:p>
    <w:p w14:paraId="2F381B22" w14:textId="7673F2CD" w:rsidR="00B07E76" w:rsidRPr="00033A3F" w:rsidRDefault="00360F8E" w:rsidP="005D25EA">
      <w:pPr>
        <w:autoSpaceDE w:val="0"/>
        <w:autoSpaceDN w:val="0"/>
        <w:adjustRightInd w:val="0"/>
        <w:spacing w:line="240" w:lineRule="auto"/>
        <w:jc w:val="center"/>
        <w:rPr>
          <w:rFonts w:cs="OfficinaSansItcTOT-Book"/>
          <w:color w:val="000000" w:themeColor="text1"/>
          <w:sz w:val="18"/>
          <w:szCs w:val="19"/>
          <w:lang w:eastAsia="cs-CZ"/>
        </w:rPr>
      </w:pPr>
      <w:hyperlink r:id="rId190" w:history="1">
        <w:r w:rsidR="008220BA" w:rsidRPr="00F72345">
          <w:rPr>
            <w:rStyle w:val="Hypertextovodkaz"/>
            <w:sz w:val="18"/>
          </w:rPr>
          <w:t>www.justice.cz</w:t>
        </w:r>
      </w:hyperlink>
    </w:p>
    <w:p w14:paraId="600297D5" w14:textId="77777777" w:rsidR="00D77934" w:rsidRPr="00033A3F" w:rsidRDefault="00D77934" w:rsidP="005D25EA">
      <w:pPr>
        <w:autoSpaceDE w:val="0"/>
        <w:autoSpaceDN w:val="0"/>
        <w:adjustRightInd w:val="0"/>
        <w:spacing w:line="240" w:lineRule="auto"/>
        <w:rPr>
          <w:rFonts w:cs="OfficinaSansItcTOT-Book"/>
          <w:color w:val="000000" w:themeColor="text1"/>
          <w:sz w:val="18"/>
          <w:szCs w:val="19"/>
          <w:lang w:eastAsia="cs-CZ"/>
        </w:rPr>
      </w:pPr>
    </w:p>
    <w:sectPr w:rsidR="00D77934" w:rsidRPr="00033A3F" w:rsidSect="00E077F3">
      <w:type w:val="even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539C6" w14:textId="77777777" w:rsidR="000945FE" w:rsidRDefault="000945FE" w:rsidP="008430BD">
      <w:pPr>
        <w:spacing w:line="240" w:lineRule="auto"/>
      </w:pPr>
      <w:r>
        <w:separator/>
      </w:r>
    </w:p>
  </w:endnote>
  <w:endnote w:type="continuationSeparator" w:id="0">
    <w:p w14:paraId="771CF218" w14:textId="77777777" w:rsidR="000945FE" w:rsidRDefault="000945FE" w:rsidP="008430BD">
      <w:pPr>
        <w:spacing w:line="240" w:lineRule="auto"/>
      </w:pPr>
      <w:r>
        <w:continuationSeparator/>
      </w:r>
    </w:p>
  </w:endnote>
  <w:endnote w:type="continuationNotice" w:id="1">
    <w:p w14:paraId="57C6F984" w14:textId="77777777" w:rsidR="000945FE" w:rsidRDefault="000945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DIN Next LT Pro Condensed">
    <w:altName w:val="Arial Narrow"/>
    <w:charset w:val="EE"/>
    <w:family w:val="swiss"/>
    <w:pitch w:val="variable"/>
    <w:sig w:usb0="00000001" w:usb1="5000205B" w:usb2="00000000" w:usb3="00000000" w:csb0="0000009B"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D931" w14:textId="7A53CA9E" w:rsidR="000945FE" w:rsidRDefault="000945FE" w:rsidP="00E077F3">
    <w:pPr>
      <w:pStyle w:val="Zpat"/>
      <w:jc w:val="center"/>
    </w:pPr>
    <w:r>
      <w:fldChar w:fldCharType="begin"/>
    </w:r>
    <w:r>
      <w:instrText>PAGE   \* MERGEFORMAT</w:instrText>
    </w:r>
    <w:r>
      <w:fldChar w:fldCharType="separate"/>
    </w:r>
    <w:r w:rsidR="003B4CD5">
      <w:rPr>
        <w:noProof/>
      </w:rPr>
      <w:t>207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B1FEA" w14:textId="77777777" w:rsidR="000945FE" w:rsidRDefault="000945FE" w:rsidP="008430BD">
      <w:pPr>
        <w:spacing w:line="240" w:lineRule="auto"/>
      </w:pPr>
      <w:r>
        <w:separator/>
      </w:r>
    </w:p>
  </w:footnote>
  <w:footnote w:type="continuationSeparator" w:id="0">
    <w:p w14:paraId="3181BBFA" w14:textId="77777777" w:rsidR="000945FE" w:rsidRDefault="000945FE" w:rsidP="008430BD">
      <w:pPr>
        <w:spacing w:line="240" w:lineRule="auto"/>
      </w:pPr>
      <w:r>
        <w:continuationSeparator/>
      </w:r>
    </w:p>
  </w:footnote>
  <w:footnote w:type="continuationNotice" w:id="1">
    <w:p w14:paraId="1DE1F775" w14:textId="77777777" w:rsidR="000945FE" w:rsidRDefault="000945FE">
      <w:pPr>
        <w:spacing w:line="240" w:lineRule="auto"/>
      </w:pPr>
    </w:p>
  </w:footnote>
  <w:footnote w:id="2">
    <w:p w14:paraId="4DAE804D" w14:textId="2B2DD5C5" w:rsidR="000945FE" w:rsidRDefault="000945FE">
      <w:pPr>
        <w:pStyle w:val="Textpoznpodarou"/>
      </w:pPr>
      <w:r>
        <w:rPr>
          <w:rStyle w:val="Znakapoznpodarou"/>
        </w:rPr>
        <w:footnoteRef/>
      </w:r>
      <w:r>
        <w:t xml:space="preserve"> Ministerstvo spravedlosti v roce 2023 spustilo novou přívětivější interaktivní prezentaci údajů o soudním rozhodování, tzv. dashboardy – jeden pro „</w:t>
      </w:r>
      <w:hyperlink r:id="rId1" w:history="1">
        <w:r w:rsidRPr="00570642">
          <w:rPr>
            <w:rStyle w:val="Hypertextovodkaz"/>
          </w:rPr>
          <w:t>trestní</w:t>
        </w:r>
      </w:hyperlink>
      <w:r>
        <w:t xml:space="preserve"> agendu“ a druhý „</w:t>
      </w:r>
      <w:hyperlink r:id="rId2" w:history="1">
        <w:r w:rsidRPr="00570642">
          <w:rPr>
            <w:rStyle w:val="Hypertextovodkaz"/>
          </w:rPr>
          <w:t>netrestním</w:t>
        </w:r>
      </w:hyperlink>
      <w:r>
        <w:t xml:space="preserve"> agendám“. V roce 2024 pak k nim ještě přibyl třetí tzv. „</w:t>
      </w:r>
      <w:hyperlink r:id="rId3" w:history="1">
        <w:r w:rsidR="00360F8E">
          <w:rPr>
            <w:rStyle w:val="Hypertextovodkaz"/>
          </w:rPr>
          <w:t>mediační</w:t>
        </w:r>
      </w:hyperlink>
      <w:r w:rsidR="00360F8E" w:rsidRPr="00360F8E">
        <w:t xml:space="preserve"> dashboard</w:t>
      </w:r>
      <w:r w:rsidR="00360F8E">
        <w:t>“</w:t>
      </w:r>
      <w:r>
        <w:t>.</w:t>
      </w:r>
    </w:p>
  </w:footnote>
  <w:footnote w:id="3">
    <w:p w14:paraId="25F14164" w14:textId="0CA77501" w:rsidR="000945FE" w:rsidRPr="00D505DC" w:rsidRDefault="000945FE" w:rsidP="008430BD">
      <w:pPr>
        <w:pStyle w:val="Textpoznpodarou"/>
      </w:pPr>
      <w:r w:rsidRPr="00D505DC">
        <w:rPr>
          <w:rStyle w:val="Znakapoznpodarou"/>
        </w:rPr>
        <w:footnoteRef/>
      </w:r>
      <w:r w:rsidRPr="00D505DC">
        <w:t xml:space="preserve"> </w:t>
      </w:r>
      <w:hyperlink r:id="rId4" w:history="1">
        <w:r w:rsidRPr="00984FF3">
          <w:rPr>
            <w:rStyle w:val="Hypertextovodkaz"/>
          </w:rPr>
          <w:t>https://www.justice.cz/web/msp/statisticke-udaje-z-oblasti-justice</w:t>
        </w:r>
      </w:hyperlink>
      <w:r w:rsidRPr="00D505DC">
        <w:t>.</w:t>
      </w:r>
    </w:p>
  </w:footnote>
  <w:footnote w:id="4">
    <w:p w14:paraId="39EB9880" w14:textId="4FA6DB48" w:rsidR="000945FE" w:rsidRPr="00D505DC" w:rsidRDefault="000945FE" w:rsidP="00091AAC">
      <w:pPr>
        <w:pStyle w:val="Textpoznpodarou"/>
      </w:pPr>
      <w:r w:rsidRPr="00D505DC">
        <w:rPr>
          <w:rStyle w:val="Znakapoznpodarou"/>
        </w:rPr>
        <w:footnoteRef/>
      </w:r>
      <w:r w:rsidRPr="00D505DC">
        <w:t xml:space="preserve"> Jedná se o případy, kdy byla věc sice vyřízena, ale z určitého důvodu se v řízení pokračuje (většinou v důsledku odvolacího řízení, kdy bylo rozhodnutí soudu I. stupně zrušeno a vráceno mu k novému projednání, či po podání odpor</w:t>
      </w:r>
      <w:r>
        <w:t>u.</w:t>
      </w:r>
    </w:p>
  </w:footnote>
  <w:footnote w:id="5">
    <w:p w14:paraId="0BF93544" w14:textId="4414E6D2" w:rsidR="000945FE" w:rsidRPr="00D505DC" w:rsidRDefault="000945FE" w:rsidP="00B23EEC">
      <w:pPr>
        <w:pStyle w:val="Textpoznpodarou"/>
      </w:pPr>
      <w:r w:rsidRPr="00DF07F3">
        <w:rPr>
          <w:rStyle w:val="Znakapoznpodarou"/>
        </w:rPr>
        <w:footnoteRef/>
      </w:r>
      <w:r w:rsidRPr="00DF07F3">
        <w:t xml:space="preserve"> </w:t>
      </w:r>
      <w:r>
        <w:t xml:space="preserve">Dle novely </w:t>
      </w:r>
      <w:r w:rsidRPr="00DF07F3">
        <w:t>zákona č.</w:t>
      </w:r>
      <w:r>
        <w:t> </w:t>
      </w:r>
      <w:r w:rsidRPr="00DF07F3">
        <w:t>6/2002</w:t>
      </w:r>
      <w:r>
        <w:t> </w:t>
      </w:r>
      <w:r w:rsidRPr="00DF07F3">
        <w:t>Sb.</w:t>
      </w:r>
      <w:r>
        <w:t>,</w:t>
      </w:r>
      <w:r w:rsidRPr="00DF07F3">
        <w:t xml:space="preserve"> o soudech a soudcích</w:t>
      </w:r>
      <w:r>
        <w:t xml:space="preserve">, budou </w:t>
      </w:r>
      <w:r w:rsidRPr="00DF07F3">
        <w:t>přísedící nově zapojeni pouze do rozhodování krajských soudů o nejzávažnějších zločinech, zejména těch násilného charakteru.</w:t>
      </w:r>
      <w:r>
        <w:t xml:space="preserve"> Změna je účinná od 1. 1. 2025. Přísedící ale ještě dokončí věci, v nichž zasedali.</w:t>
      </w:r>
    </w:p>
  </w:footnote>
  <w:footnote w:id="6">
    <w:p w14:paraId="16E086E5" w14:textId="77777777" w:rsidR="000945FE" w:rsidRPr="00D505DC" w:rsidRDefault="000945FE" w:rsidP="00E81100">
      <w:pPr>
        <w:pStyle w:val="Textpoznpodarou"/>
      </w:pPr>
      <w:r w:rsidRPr="00D505DC">
        <w:rPr>
          <w:rStyle w:val="Znakapoznpodarou"/>
        </w:rPr>
        <w:footnoteRef/>
      </w:r>
      <w:r w:rsidRPr="00D505DC">
        <w:t xml:space="preserve"> Komise pro efektivitu justice Rady Evropy.</w:t>
      </w:r>
    </w:p>
  </w:footnote>
  <w:footnote w:id="7">
    <w:p w14:paraId="4165DD32" w14:textId="49FB57BF" w:rsidR="000945FE" w:rsidRDefault="000945FE">
      <w:pPr>
        <w:pStyle w:val="Textpoznpodarou"/>
      </w:pPr>
      <w:r>
        <w:rPr>
          <w:rStyle w:val="Znakapoznpodarou"/>
        </w:rPr>
        <w:footnoteRef/>
      </w:r>
      <w:r>
        <w:t xml:space="preserve"> zdroj: ČSÚ</w:t>
      </w:r>
    </w:p>
  </w:footnote>
  <w:footnote w:id="8">
    <w:p w14:paraId="6A242A4A" w14:textId="446973BE" w:rsidR="000945FE" w:rsidRDefault="000945FE" w:rsidP="00E95197">
      <w:pPr>
        <w:pStyle w:val="Textpoznpodarou"/>
        <w:jc w:val="left"/>
      </w:pPr>
      <w:r>
        <w:rPr>
          <w:rStyle w:val="Znakapoznpodarou"/>
        </w:rPr>
        <w:footnoteRef/>
      </w:r>
      <w:r>
        <w:t xml:space="preserve"> zdroj: </w:t>
      </w:r>
      <w:hyperlink r:id="rId5" w:history="1">
        <w:r w:rsidR="000D60C4" w:rsidRPr="00BE1ADA">
          <w:rPr>
            <w:rStyle w:val="Hypertextovodkaz"/>
            <w:sz w:val="18"/>
            <w:szCs w:val="18"/>
          </w:rPr>
          <w:t>https://vdb.czso.cz/vdbvo2/faces/index.jsf?page=vystup-objekt&amp;pvokc=&amp;katalog=33157&amp;pvo=DEMDCR1A&amp;z=T</w:t>
        </w:r>
      </w:hyperlink>
    </w:p>
  </w:footnote>
  <w:footnote w:id="9">
    <w:p w14:paraId="0C24A0F8" w14:textId="77777777" w:rsidR="000945FE" w:rsidRPr="00D505DC" w:rsidRDefault="000945FE" w:rsidP="00FB3564">
      <w:pPr>
        <w:pStyle w:val="Textpoznpodarou"/>
      </w:pPr>
      <w:r w:rsidRPr="00D505DC">
        <w:rPr>
          <w:rStyle w:val="Znakapoznpodarou"/>
        </w:rPr>
        <w:footnoteRef/>
      </w:r>
      <w:r w:rsidRPr="00D505DC">
        <w:t xml:space="preserve"> Toto srovnání lze velmi dobře provést, i když ve statistikách nespadá počet převedených věcí pod počet věcí vyřízených. Princip je zde stejný jako u nápadu a u vyřízených věcí, tedy nejedná se o skupinu totožných věcí.</w:t>
      </w:r>
    </w:p>
  </w:footnote>
  <w:footnote w:id="10">
    <w:p w14:paraId="26C923E0" w14:textId="77777777" w:rsidR="000945FE" w:rsidRPr="00D505DC" w:rsidRDefault="000945FE" w:rsidP="00763665">
      <w:pPr>
        <w:pStyle w:val="Textpoznpodarou"/>
      </w:pPr>
      <w:r w:rsidRPr="00D505DC">
        <w:rPr>
          <w:rStyle w:val="Znakapoznpodarou"/>
        </w:rPr>
        <w:footnoteRef/>
      </w:r>
      <w:r w:rsidRPr="00D505DC">
        <w:t xml:space="preserve"> Ukládá-li soud peněžitý trest, stanoví pro případ, že by ve stanovené lhůtě nebyl vykonán, náhradní trest odnětí svobody (ust. § 69 odst. 1 trestního zákoníku ve znění do 30. 9. 2020).</w:t>
      </w:r>
    </w:p>
  </w:footnote>
  <w:footnote w:id="11">
    <w:p w14:paraId="113907DE" w14:textId="2A171312" w:rsidR="000945FE" w:rsidRDefault="000945FE">
      <w:pPr>
        <w:pStyle w:val="Textpoznpodarou"/>
      </w:pPr>
      <w:r>
        <w:rPr>
          <w:rStyle w:val="Znakapoznpodarou"/>
        </w:rPr>
        <w:footnoteRef/>
      </w:r>
      <w:r>
        <w:t xml:space="preserve"> </w:t>
      </w:r>
      <w:r w:rsidRPr="00E37F8E">
        <w:t>https://csu.gov.cz/rychle-informace/prumerne-mzdy-4-ctvrtleti-2024</w:t>
      </w:r>
    </w:p>
  </w:footnote>
  <w:footnote w:id="12">
    <w:p w14:paraId="04AEE704" w14:textId="77777777" w:rsidR="000945FE" w:rsidRPr="00D505DC" w:rsidRDefault="000945FE" w:rsidP="00B628EB">
      <w:pPr>
        <w:pStyle w:val="Textpoznpodarou"/>
      </w:pPr>
      <w:r w:rsidRPr="00D505DC">
        <w:rPr>
          <w:rStyle w:val="Znakapoznpodarou"/>
        </w:rPr>
        <w:footnoteRef/>
      </w:r>
      <w:r w:rsidRPr="00D505DC">
        <w:t xml:space="preserve"> </w:t>
      </w:r>
      <w:r w:rsidRPr="00DF07F3">
        <w:t>V posledních třech letech ale u matek mírně rostl a v roce 2023 tak byl nejvyšší od roku 2016.</w:t>
      </w:r>
    </w:p>
  </w:footnote>
  <w:footnote w:id="13">
    <w:p w14:paraId="71F99AB2" w14:textId="3D6CA461" w:rsidR="000945FE" w:rsidRDefault="000945FE">
      <w:pPr>
        <w:pStyle w:val="Textpoznpodarou"/>
      </w:pPr>
      <w:r>
        <w:rPr>
          <w:rStyle w:val="Znakapoznpodarou"/>
        </w:rPr>
        <w:footnoteRef/>
      </w:r>
      <w:r>
        <w:t xml:space="preserve"> I když třeba právě v roce 2024 narostl o 17 %</w:t>
      </w:r>
    </w:p>
  </w:footnote>
  <w:footnote w:id="14">
    <w:p w14:paraId="25869C88" w14:textId="5DF8213F" w:rsidR="000945FE" w:rsidRDefault="000945FE">
      <w:pPr>
        <w:pStyle w:val="Textpoznpodarou"/>
      </w:pPr>
      <w:r>
        <w:rPr>
          <w:rStyle w:val="Znakapoznpodarou"/>
        </w:rPr>
        <w:footnoteRef/>
      </w:r>
      <w:r>
        <w:t xml:space="preserve"> detailní </w:t>
      </w:r>
      <w:r w:rsidRPr="004E02AD">
        <w:t>vysvětlení viz příloha A, statistické pojmy</w:t>
      </w:r>
    </w:p>
  </w:footnote>
  <w:footnote w:id="15">
    <w:p w14:paraId="55877A44" w14:textId="23055590" w:rsidR="00760022" w:rsidRDefault="00760022">
      <w:pPr>
        <w:pStyle w:val="Textpoznpodarou"/>
      </w:pPr>
      <w:r>
        <w:rPr>
          <w:rStyle w:val="Znakapoznpodarou"/>
        </w:rPr>
        <w:footnoteRef/>
      </w:r>
      <w:r>
        <w:t xml:space="preserve"> </w:t>
      </w:r>
      <w:r w:rsidRPr="00760022">
        <w:t>Dle novely zákona č. 7/2002 Sb., o řízení ve věcech soudců, státních zástupců a soudních exekutorů, jsou nově vrchní soudy zapojeny do řízení ve věcech kárné odpovědnosti soudců a posuzování jejich způsobilosti k výkonu funkce jako prvostupňové kárné soudy. Změna je účinná od 21. 12. 2024, resp. 1. 1 2025.</w:t>
      </w:r>
    </w:p>
  </w:footnote>
  <w:footnote w:id="16">
    <w:p w14:paraId="2D4DE943" w14:textId="77777777" w:rsidR="000945FE" w:rsidRPr="00D505DC" w:rsidRDefault="000945FE" w:rsidP="00E3248F">
      <w:pPr>
        <w:pStyle w:val="Textpoznpodarou"/>
      </w:pPr>
      <w:r w:rsidRPr="00D505DC">
        <w:rPr>
          <w:rStyle w:val="Znakapoznpodarou"/>
        </w:rPr>
        <w:footnoteRef/>
      </w:r>
      <w:r w:rsidRPr="00D505DC">
        <w:t xml:space="preserve"> Ministerstvo spravedlnosti zatím nemá k dispozici dostatečně podrobná data o počtu soudců.</w:t>
      </w:r>
    </w:p>
  </w:footnote>
  <w:footnote w:id="17">
    <w:p w14:paraId="5E62DB4C" w14:textId="0C281E4D" w:rsidR="000945FE" w:rsidRPr="00D505DC" w:rsidRDefault="000945FE" w:rsidP="00121456">
      <w:pPr>
        <w:pStyle w:val="Textpoznpodarou"/>
      </w:pPr>
      <w:r w:rsidRPr="00D505DC">
        <w:rPr>
          <w:rStyle w:val="Znakapoznpodarou"/>
        </w:rPr>
        <w:footnoteRef/>
      </w:r>
      <w:r w:rsidRPr="00D505DC">
        <w:t xml:space="preserve"> § 14 zákona č. 6/2002 Sb., o soudech, soudcích, přísedících a státní správě soudů a o změně některých dalších zákonů (zákon o soudech a soudcích), ve znění pozdějších předpisů.</w:t>
      </w:r>
      <w:r w:rsidR="005965F8">
        <w:t xml:space="preserve"> </w:t>
      </w:r>
      <w:r w:rsidR="005965F8" w:rsidRPr="005965F8">
        <w:t>Dle novely zákona č. 7/2002 Sb., o řízení ve věcech soudců, státních zástupců a soudních exekutorů, je nově Nejvyšší soud vedle Nejvyššího správního soudu zapojen do řízení ve věcech kárné odpovědnosti soudců a posuzování jejich způsobilosti k výkonu funkce, a to jako druhostupňový soud (§ 3 a 5a). Změna je účinná od 21. 12. 2024, resp. 1. 1 2025</w:t>
      </w:r>
      <w:r w:rsidR="005965F8">
        <w:t>.</w:t>
      </w:r>
    </w:p>
  </w:footnote>
  <w:footnote w:id="18">
    <w:p w14:paraId="1183ECD2" w14:textId="77777777" w:rsidR="000945FE" w:rsidRPr="00D505DC" w:rsidRDefault="000945FE" w:rsidP="00121456">
      <w:pPr>
        <w:pStyle w:val="Textpoznpodarou"/>
      </w:pPr>
      <w:r w:rsidRPr="00D505DC">
        <w:rPr>
          <w:rStyle w:val="Znakapoznpodarou"/>
        </w:rPr>
        <w:footnoteRef/>
      </w:r>
      <w:r w:rsidRPr="00D505DC">
        <w:t xml:space="preserve"> Ročenky Nejvyššího soudu jsou k dispozici na jeho webových stránkách</w:t>
      </w:r>
      <w:r>
        <w:t>.</w:t>
      </w:r>
    </w:p>
  </w:footnote>
  <w:footnote w:id="19">
    <w:p w14:paraId="69EE3628" w14:textId="03565014" w:rsidR="000945FE" w:rsidRDefault="000945FE">
      <w:pPr>
        <w:pStyle w:val="Textpoznpodarou"/>
      </w:pPr>
      <w:r>
        <w:rPr>
          <w:rStyle w:val="Znakapoznpodarou"/>
        </w:rPr>
        <w:footnoteRef/>
      </w:r>
      <w:r>
        <w:t xml:space="preserve"> </w:t>
      </w:r>
      <w:r w:rsidRPr="00E706C0">
        <w:t xml:space="preserve">„EU Justice Scoreboard 2024“ </w:t>
      </w:r>
      <w:r>
        <w:t>(F</w:t>
      </w:r>
      <w:r w:rsidRPr="00E706C0">
        <w:t>ig. 38</w:t>
      </w:r>
      <w:r>
        <w:t>) nejnovější</w:t>
      </w:r>
      <w:r w:rsidRPr="00E706C0">
        <w:t xml:space="preserve"> srovnávací data</w:t>
      </w:r>
      <w:r>
        <w:t xml:space="preserve"> jsou dostupná</w:t>
      </w:r>
      <w:r w:rsidRPr="00E706C0">
        <w:t xml:space="preserve"> za rok 2023</w:t>
      </w:r>
      <w:r>
        <w:t>.</w:t>
      </w:r>
    </w:p>
  </w:footnote>
  <w:footnote w:id="20">
    <w:p w14:paraId="31144C4E" w14:textId="7D87F95B" w:rsidR="00476DD1" w:rsidRDefault="00476DD1">
      <w:pPr>
        <w:pStyle w:val="Textpoznpodarou"/>
      </w:pPr>
      <w:r>
        <w:rPr>
          <w:rStyle w:val="Znakapoznpodarou"/>
        </w:rPr>
        <w:footnoteRef/>
      </w:r>
      <w:r>
        <w:t xml:space="preserve"> </w:t>
      </w:r>
      <w:r w:rsidRPr="00476DD1">
        <w:t>Dle novely zákona č. 7/2002 Sb., o řízení ve věcech soudců, státních zástupců a soudních exekutorů, je Nejvyšší správní soud nově zapojen do řízení ve věcech kárné odpovědnosti soudců a posuzování jejich způsobilosti k výkonu funkce vedle Nejvyššího soudu jako druhostupňový soud (§ 3 a 5a). Změna je účinná od 21. 12. 2024, resp. 1. 1 2025.</w:t>
      </w:r>
    </w:p>
  </w:footnote>
  <w:footnote w:id="21">
    <w:p w14:paraId="1F4CE6C7" w14:textId="77777777" w:rsidR="000945FE" w:rsidRDefault="000945FE" w:rsidP="00B7165A">
      <w:pPr>
        <w:pStyle w:val="Textpoznpodarou"/>
      </w:pPr>
      <w:r>
        <w:rPr>
          <w:rStyle w:val="Znakapoznpodarou"/>
        </w:rPr>
        <w:footnoteRef/>
      </w:r>
      <w:r>
        <w:t xml:space="preserve"> pro 44 členských států Rady Evropy účastnících se tohoto hodnotícího cyklu, s výjimkou Ruské federace</w:t>
      </w:r>
    </w:p>
  </w:footnote>
  <w:footnote w:id="22">
    <w:p w14:paraId="6F9A322D" w14:textId="77777777" w:rsidR="000945FE" w:rsidRPr="00D505DC" w:rsidRDefault="000945FE" w:rsidP="008430BD">
      <w:pPr>
        <w:pStyle w:val="Textpoznpodarou"/>
      </w:pPr>
      <w:r w:rsidRPr="00D505DC">
        <w:rPr>
          <w:rStyle w:val="Znakapoznpodarou"/>
        </w:rPr>
        <w:footnoteRef/>
      </w:r>
      <w:r w:rsidRPr="00D505DC">
        <w:t xml:space="preserve"> Komise pro efektivitu justice Rady Evropy.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73C"/>
    <w:multiLevelType w:val="hybridMultilevel"/>
    <w:tmpl w:val="80363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303324"/>
    <w:multiLevelType w:val="hybridMultilevel"/>
    <w:tmpl w:val="310C2784"/>
    <w:lvl w:ilvl="0" w:tplc="5AD653F6">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426CA2"/>
    <w:multiLevelType w:val="hybridMultilevel"/>
    <w:tmpl w:val="F57400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367895"/>
    <w:multiLevelType w:val="hybridMultilevel"/>
    <w:tmpl w:val="736ED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61641F"/>
    <w:multiLevelType w:val="hybridMultilevel"/>
    <w:tmpl w:val="882A55B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BC109CA"/>
    <w:multiLevelType w:val="hybridMultilevel"/>
    <w:tmpl w:val="5E74109A"/>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6" w15:restartNumberingAfterBreak="0">
    <w:nsid w:val="0FB12920"/>
    <w:multiLevelType w:val="hybridMultilevel"/>
    <w:tmpl w:val="C722E1E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 w15:restartNumberingAfterBreak="0">
    <w:nsid w:val="0FF7385B"/>
    <w:multiLevelType w:val="hybridMultilevel"/>
    <w:tmpl w:val="6CF0B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28D6217"/>
    <w:multiLevelType w:val="hybridMultilevel"/>
    <w:tmpl w:val="AA0057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6F7965"/>
    <w:multiLevelType w:val="hybridMultilevel"/>
    <w:tmpl w:val="C2D4E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5747BE"/>
    <w:multiLevelType w:val="multilevel"/>
    <w:tmpl w:val="9D646F44"/>
    <w:lvl w:ilvl="0">
      <w:start w:val="1"/>
      <w:numFmt w:val="decimal"/>
      <w:lvlText w:val="%1"/>
      <w:lvlJc w:val="left"/>
      <w:pPr>
        <w:ind w:left="432" w:hanging="432"/>
      </w:p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D144109"/>
    <w:multiLevelType w:val="hybridMultilevel"/>
    <w:tmpl w:val="923A3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E9036F3"/>
    <w:multiLevelType w:val="hybridMultilevel"/>
    <w:tmpl w:val="AC049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1A0273B"/>
    <w:multiLevelType w:val="hybridMultilevel"/>
    <w:tmpl w:val="7BC49DB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4" w15:restartNumberingAfterBreak="0">
    <w:nsid w:val="223C1E71"/>
    <w:multiLevelType w:val="multilevel"/>
    <w:tmpl w:val="15ACC0F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5BC5F5D"/>
    <w:multiLevelType w:val="multilevel"/>
    <w:tmpl w:val="9D646F44"/>
    <w:lvl w:ilvl="0">
      <w:start w:val="1"/>
      <w:numFmt w:val="decimal"/>
      <w:lvlText w:val="%1"/>
      <w:lvlJc w:val="left"/>
      <w:pPr>
        <w:ind w:left="432" w:hanging="432"/>
      </w:p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5E3348B"/>
    <w:multiLevelType w:val="hybridMultilevel"/>
    <w:tmpl w:val="D15C6D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2659A1"/>
    <w:multiLevelType w:val="hybridMultilevel"/>
    <w:tmpl w:val="5A782F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E8909E1"/>
    <w:multiLevelType w:val="hybridMultilevel"/>
    <w:tmpl w:val="34227294"/>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DF6332"/>
    <w:multiLevelType w:val="hybridMultilevel"/>
    <w:tmpl w:val="5CC66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C73D0D"/>
    <w:multiLevelType w:val="hybridMultilevel"/>
    <w:tmpl w:val="AF20DFE4"/>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1" w15:restartNumberingAfterBreak="0">
    <w:nsid w:val="32ED59D1"/>
    <w:multiLevelType w:val="hybridMultilevel"/>
    <w:tmpl w:val="F08CAB98"/>
    <w:lvl w:ilvl="0" w:tplc="04050001">
      <w:start w:val="1"/>
      <w:numFmt w:val="bullet"/>
      <w:lvlText w:val=""/>
      <w:lvlJc w:val="left"/>
      <w:pPr>
        <w:ind w:left="774" w:hanging="360"/>
      </w:pPr>
      <w:rPr>
        <w:rFonts w:ascii="Symbol" w:hAnsi="Symbol" w:cs="Symbol" w:hint="default"/>
      </w:rPr>
    </w:lvl>
    <w:lvl w:ilvl="1" w:tplc="04050003">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cs="Wingdings" w:hint="default"/>
      </w:rPr>
    </w:lvl>
    <w:lvl w:ilvl="3" w:tplc="04050001" w:tentative="1">
      <w:start w:val="1"/>
      <w:numFmt w:val="bullet"/>
      <w:lvlText w:val=""/>
      <w:lvlJc w:val="left"/>
      <w:pPr>
        <w:ind w:left="2934" w:hanging="360"/>
      </w:pPr>
      <w:rPr>
        <w:rFonts w:ascii="Symbol" w:hAnsi="Symbol" w:cs="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cs="Wingdings" w:hint="default"/>
      </w:rPr>
    </w:lvl>
    <w:lvl w:ilvl="6" w:tplc="04050001" w:tentative="1">
      <w:start w:val="1"/>
      <w:numFmt w:val="bullet"/>
      <w:lvlText w:val=""/>
      <w:lvlJc w:val="left"/>
      <w:pPr>
        <w:ind w:left="5094" w:hanging="360"/>
      </w:pPr>
      <w:rPr>
        <w:rFonts w:ascii="Symbol" w:hAnsi="Symbol" w:cs="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cs="Wingdings" w:hint="default"/>
      </w:rPr>
    </w:lvl>
  </w:abstractNum>
  <w:abstractNum w:abstractNumId="22" w15:restartNumberingAfterBreak="0">
    <w:nsid w:val="33337865"/>
    <w:multiLevelType w:val="hybridMultilevel"/>
    <w:tmpl w:val="30581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9DD0433"/>
    <w:multiLevelType w:val="hybridMultilevel"/>
    <w:tmpl w:val="835E23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886D61"/>
    <w:multiLevelType w:val="hybridMultilevel"/>
    <w:tmpl w:val="032031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C7A2D27"/>
    <w:multiLevelType w:val="multilevel"/>
    <w:tmpl w:val="15ACC0F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E1309C"/>
    <w:multiLevelType w:val="hybridMultilevel"/>
    <w:tmpl w:val="37B474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BCC5F3D"/>
    <w:multiLevelType w:val="hybridMultilevel"/>
    <w:tmpl w:val="D300490E"/>
    <w:lvl w:ilvl="0" w:tplc="0D9C6452">
      <w:start w:val="1"/>
      <w:numFmt w:val="lowerLetter"/>
      <w:lvlText w:val="%1)"/>
      <w:lvlJc w:val="left"/>
      <w:pPr>
        <w:ind w:left="1020" w:hanging="360"/>
      </w:pPr>
    </w:lvl>
    <w:lvl w:ilvl="1" w:tplc="F72C1ECA">
      <w:start w:val="1"/>
      <w:numFmt w:val="lowerLetter"/>
      <w:lvlText w:val="%2)"/>
      <w:lvlJc w:val="left"/>
      <w:pPr>
        <w:ind w:left="1020" w:hanging="360"/>
      </w:pPr>
    </w:lvl>
    <w:lvl w:ilvl="2" w:tplc="9CF60C68">
      <w:start w:val="1"/>
      <w:numFmt w:val="lowerLetter"/>
      <w:lvlText w:val="%3)"/>
      <w:lvlJc w:val="left"/>
      <w:pPr>
        <w:ind w:left="1020" w:hanging="360"/>
      </w:pPr>
    </w:lvl>
    <w:lvl w:ilvl="3" w:tplc="5830C336">
      <w:start w:val="1"/>
      <w:numFmt w:val="lowerLetter"/>
      <w:lvlText w:val="%4)"/>
      <w:lvlJc w:val="left"/>
      <w:pPr>
        <w:ind w:left="1020" w:hanging="360"/>
      </w:pPr>
    </w:lvl>
    <w:lvl w:ilvl="4" w:tplc="74A08950">
      <w:start w:val="1"/>
      <w:numFmt w:val="lowerLetter"/>
      <w:lvlText w:val="%5)"/>
      <w:lvlJc w:val="left"/>
      <w:pPr>
        <w:ind w:left="1020" w:hanging="360"/>
      </w:pPr>
    </w:lvl>
    <w:lvl w:ilvl="5" w:tplc="5356A3F8">
      <w:start w:val="1"/>
      <w:numFmt w:val="lowerLetter"/>
      <w:lvlText w:val="%6)"/>
      <w:lvlJc w:val="left"/>
      <w:pPr>
        <w:ind w:left="1020" w:hanging="360"/>
      </w:pPr>
    </w:lvl>
    <w:lvl w:ilvl="6" w:tplc="E46481DC">
      <w:start w:val="1"/>
      <w:numFmt w:val="lowerLetter"/>
      <w:lvlText w:val="%7)"/>
      <w:lvlJc w:val="left"/>
      <w:pPr>
        <w:ind w:left="1020" w:hanging="360"/>
      </w:pPr>
    </w:lvl>
    <w:lvl w:ilvl="7" w:tplc="59C447A0">
      <w:start w:val="1"/>
      <w:numFmt w:val="lowerLetter"/>
      <w:lvlText w:val="%8)"/>
      <w:lvlJc w:val="left"/>
      <w:pPr>
        <w:ind w:left="1020" w:hanging="360"/>
      </w:pPr>
    </w:lvl>
    <w:lvl w:ilvl="8" w:tplc="31723F30">
      <w:start w:val="1"/>
      <w:numFmt w:val="lowerLetter"/>
      <w:lvlText w:val="%9)"/>
      <w:lvlJc w:val="left"/>
      <w:pPr>
        <w:ind w:left="1020" w:hanging="360"/>
      </w:pPr>
    </w:lvl>
  </w:abstractNum>
  <w:abstractNum w:abstractNumId="30" w15:restartNumberingAfterBreak="0">
    <w:nsid w:val="5BF17C01"/>
    <w:multiLevelType w:val="hybridMultilevel"/>
    <w:tmpl w:val="39D4F3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6A635A"/>
    <w:multiLevelType w:val="hybridMultilevel"/>
    <w:tmpl w:val="4A90FD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5EFE0D0A"/>
    <w:multiLevelType w:val="hybridMultilevel"/>
    <w:tmpl w:val="4DAE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F435769"/>
    <w:multiLevelType w:val="multilevel"/>
    <w:tmpl w:val="15ACC0F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41D7A44"/>
    <w:multiLevelType w:val="hybridMultilevel"/>
    <w:tmpl w:val="538EEBE8"/>
    <w:lvl w:ilvl="0" w:tplc="03A64EAA">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AE9368B"/>
    <w:multiLevelType w:val="hybridMultilevel"/>
    <w:tmpl w:val="6FA8DA8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04D1A23"/>
    <w:multiLevelType w:val="hybridMultilevel"/>
    <w:tmpl w:val="E230C6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A405B8"/>
    <w:multiLevelType w:val="hybridMultilevel"/>
    <w:tmpl w:val="CFF0BC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7BC46E0B"/>
    <w:multiLevelType w:val="hybridMultilevel"/>
    <w:tmpl w:val="40C4FD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D536E9"/>
    <w:multiLevelType w:val="hybridMultilevel"/>
    <w:tmpl w:val="9B0817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1493539">
    <w:abstractNumId w:val="15"/>
  </w:num>
  <w:num w:numId="2" w16cid:durableId="24603657">
    <w:abstractNumId w:val="26"/>
  </w:num>
  <w:num w:numId="3" w16cid:durableId="295457742">
    <w:abstractNumId w:val="2"/>
  </w:num>
  <w:num w:numId="4" w16cid:durableId="1745566519">
    <w:abstractNumId w:val="35"/>
  </w:num>
  <w:num w:numId="5" w16cid:durableId="738089367">
    <w:abstractNumId w:val="9"/>
  </w:num>
  <w:num w:numId="6" w16cid:durableId="1420756608">
    <w:abstractNumId w:val="12"/>
  </w:num>
  <w:num w:numId="7" w16cid:durableId="624778700">
    <w:abstractNumId w:val="22"/>
  </w:num>
  <w:num w:numId="8" w16cid:durableId="284309420">
    <w:abstractNumId w:val="1"/>
  </w:num>
  <w:num w:numId="9" w16cid:durableId="1816796656">
    <w:abstractNumId w:val="27"/>
  </w:num>
  <w:num w:numId="10" w16cid:durableId="913245837">
    <w:abstractNumId w:val="13"/>
  </w:num>
  <w:num w:numId="11" w16cid:durableId="358435429">
    <w:abstractNumId w:val="0"/>
  </w:num>
  <w:num w:numId="12" w16cid:durableId="1201240712">
    <w:abstractNumId w:val="16"/>
  </w:num>
  <w:num w:numId="13" w16cid:durableId="1307971173">
    <w:abstractNumId w:val="24"/>
  </w:num>
  <w:num w:numId="14" w16cid:durableId="176164795">
    <w:abstractNumId w:val="4"/>
  </w:num>
  <w:num w:numId="15" w16cid:durableId="992873399">
    <w:abstractNumId w:val="36"/>
  </w:num>
  <w:num w:numId="16" w16cid:durableId="585847575">
    <w:abstractNumId w:val="32"/>
  </w:num>
  <w:num w:numId="17" w16cid:durableId="1662418750">
    <w:abstractNumId w:val="21"/>
  </w:num>
  <w:num w:numId="18" w16cid:durableId="265814579">
    <w:abstractNumId w:val="37"/>
  </w:num>
  <w:num w:numId="19" w16cid:durableId="1983340205">
    <w:abstractNumId w:val="31"/>
  </w:num>
  <w:num w:numId="20" w16cid:durableId="1677808063">
    <w:abstractNumId w:val="17"/>
  </w:num>
  <w:num w:numId="21" w16cid:durableId="1660110668">
    <w:abstractNumId w:val="3"/>
  </w:num>
  <w:num w:numId="22" w16cid:durableId="1686515286">
    <w:abstractNumId w:val="28"/>
  </w:num>
  <w:num w:numId="23" w16cid:durableId="85930569">
    <w:abstractNumId w:val="7"/>
  </w:num>
  <w:num w:numId="24" w16cid:durableId="117257624">
    <w:abstractNumId w:val="23"/>
  </w:num>
  <w:num w:numId="25" w16cid:durableId="916593724">
    <w:abstractNumId w:val="19"/>
  </w:num>
  <w:num w:numId="26" w16cid:durableId="1763605489">
    <w:abstractNumId w:val="18"/>
  </w:num>
  <w:num w:numId="27" w16cid:durableId="527066561">
    <w:abstractNumId w:val="34"/>
  </w:num>
  <w:num w:numId="28" w16cid:durableId="1755780681">
    <w:abstractNumId w:val="20"/>
  </w:num>
  <w:num w:numId="29" w16cid:durableId="1967466237">
    <w:abstractNumId w:val="38"/>
  </w:num>
  <w:num w:numId="30" w16cid:durableId="558981382">
    <w:abstractNumId w:val="11"/>
  </w:num>
  <w:num w:numId="31" w16cid:durableId="80223230">
    <w:abstractNumId w:val="5"/>
  </w:num>
  <w:num w:numId="32" w16cid:durableId="894240429">
    <w:abstractNumId w:val="10"/>
  </w:num>
  <w:num w:numId="33" w16cid:durableId="55400362">
    <w:abstractNumId w:val="14"/>
  </w:num>
  <w:num w:numId="34" w16cid:durableId="411512543">
    <w:abstractNumId w:val="33"/>
  </w:num>
  <w:num w:numId="35" w16cid:durableId="1679233415">
    <w:abstractNumId w:val="25"/>
  </w:num>
  <w:num w:numId="36" w16cid:durableId="606541297">
    <w:abstractNumId w:val="40"/>
  </w:num>
  <w:num w:numId="37" w16cid:durableId="132406158">
    <w:abstractNumId w:val="29"/>
  </w:num>
  <w:num w:numId="38" w16cid:durableId="1556744022">
    <w:abstractNumId w:val="6"/>
  </w:num>
  <w:num w:numId="39" w16cid:durableId="685834665">
    <w:abstractNumId w:val="30"/>
  </w:num>
  <w:num w:numId="40" w16cid:durableId="2065331381">
    <w:abstractNumId w:val="8"/>
  </w:num>
  <w:num w:numId="41" w16cid:durableId="10224659">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0BD"/>
    <w:rsid w:val="00001787"/>
    <w:rsid w:val="00001A5F"/>
    <w:rsid w:val="00002139"/>
    <w:rsid w:val="000023E6"/>
    <w:rsid w:val="00002A6C"/>
    <w:rsid w:val="00003FDE"/>
    <w:rsid w:val="000046FE"/>
    <w:rsid w:val="00004B5D"/>
    <w:rsid w:val="00004E88"/>
    <w:rsid w:val="00005434"/>
    <w:rsid w:val="000064ED"/>
    <w:rsid w:val="00006824"/>
    <w:rsid w:val="00006A2F"/>
    <w:rsid w:val="00006A92"/>
    <w:rsid w:val="00007029"/>
    <w:rsid w:val="000072D9"/>
    <w:rsid w:val="000116B0"/>
    <w:rsid w:val="00011FE2"/>
    <w:rsid w:val="0001221D"/>
    <w:rsid w:val="000129D8"/>
    <w:rsid w:val="00012C61"/>
    <w:rsid w:val="000130E3"/>
    <w:rsid w:val="000139E3"/>
    <w:rsid w:val="00013CB4"/>
    <w:rsid w:val="00014A1F"/>
    <w:rsid w:val="00014F1F"/>
    <w:rsid w:val="00016107"/>
    <w:rsid w:val="000168AE"/>
    <w:rsid w:val="000172C4"/>
    <w:rsid w:val="00017616"/>
    <w:rsid w:val="00017E45"/>
    <w:rsid w:val="00017F47"/>
    <w:rsid w:val="0002013C"/>
    <w:rsid w:val="0002058C"/>
    <w:rsid w:val="00020CA3"/>
    <w:rsid w:val="000218DE"/>
    <w:rsid w:val="00021B4D"/>
    <w:rsid w:val="00021FDD"/>
    <w:rsid w:val="0002292D"/>
    <w:rsid w:val="00023512"/>
    <w:rsid w:val="00023D33"/>
    <w:rsid w:val="00024092"/>
    <w:rsid w:val="0002411F"/>
    <w:rsid w:val="000247F7"/>
    <w:rsid w:val="0002512C"/>
    <w:rsid w:val="0002527F"/>
    <w:rsid w:val="0002584C"/>
    <w:rsid w:val="00025E28"/>
    <w:rsid w:val="000267E2"/>
    <w:rsid w:val="00026AC4"/>
    <w:rsid w:val="00027839"/>
    <w:rsid w:val="00027945"/>
    <w:rsid w:val="0003012E"/>
    <w:rsid w:val="00030140"/>
    <w:rsid w:val="0003032A"/>
    <w:rsid w:val="000306D3"/>
    <w:rsid w:val="00030A18"/>
    <w:rsid w:val="00030DC4"/>
    <w:rsid w:val="000310DC"/>
    <w:rsid w:val="0003134F"/>
    <w:rsid w:val="00031B7B"/>
    <w:rsid w:val="00032FD9"/>
    <w:rsid w:val="00033563"/>
    <w:rsid w:val="00033A3F"/>
    <w:rsid w:val="00033DD2"/>
    <w:rsid w:val="00034468"/>
    <w:rsid w:val="00034E32"/>
    <w:rsid w:val="00034F1B"/>
    <w:rsid w:val="00034F8F"/>
    <w:rsid w:val="00035189"/>
    <w:rsid w:val="00036EFB"/>
    <w:rsid w:val="000373A5"/>
    <w:rsid w:val="000378D2"/>
    <w:rsid w:val="00037D0A"/>
    <w:rsid w:val="000405B0"/>
    <w:rsid w:val="000413C4"/>
    <w:rsid w:val="000418AF"/>
    <w:rsid w:val="00043040"/>
    <w:rsid w:val="0004407D"/>
    <w:rsid w:val="000441B5"/>
    <w:rsid w:val="00044982"/>
    <w:rsid w:val="000462DA"/>
    <w:rsid w:val="0004686F"/>
    <w:rsid w:val="00046BCA"/>
    <w:rsid w:val="00046ECE"/>
    <w:rsid w:val="00047C91"/>
    <w:rsid w:val="00047CBD"/>
    <w:rsid w:val="00050FD5"/>
    <w:rsid w:val="000511EF"/>
    <w:rsid w:val="0005126D"/>
    <w:rsid w:val="00051736"/>
    <w:rsid w:val="00052B16"/>
    <w:rsid w:val="00052D50"/>
    <w:rsid w:val="000535F1"/>
    <w:rsid w:val="00053AF0"/>
    <w:rsid w:val="00054887"/>
    <w:rsid w:val="00055D3C"/>
    <w:rsid w:val="000567C0"/>
    <w:rsid w:val="00056804"/>
    <w:rsid w:val="00056825"/>
    <w:rsid w:val="00056A4E"/>
    <w:rsid w:val="00056C30"/>
    <w:rsid w:val="000601BB"/>
    <w:rsid w:val="00060216"/>
    <w:rsid w:val="00060472"/>
    <w:rsid w:val="00060F97"/>
    <w:rsid w:val="000619A5"/>
    <w:rsid w:val="00061DF8"/>
    <w:rsid w:val="000621C3"/>
    <w:rsid w:val="000624CC"/>
    <w:rsid w:val="000624D9"/>
    <w:rsid w:val="00063C57"/>
    <w:rsid w:val="00063EED"/>
    <w:rsid w:val="000646E1"/>
    <w:rsid w:val="0006519A"/>
    <w:rsid w:val="0006596A"/>
    <w:rsid w:val="00065AFE"/>
    <w:rsid w:val="00066315"/>
    <w:rsid w:val="000665F5"/>
    <w:rsid w:val="00066CFA"/>
    <w:rsid w:val="00067F23"/>
    <w:rsid w:val="000700B6"/>
    <w:rsid w:val="0007076C"/>
    <w:rsid w:val="00070957"/>
    <w:rsid w:val="0007114D"/>
    <w:rsid w:val="00071631"/>
    <w:rsid w:val="00071A56"/>
    <w:rsid w:val="000725B7"/>
    <w:rsid w:val="00072A1B"/>
    <w:rsid w:val="00072D67"/>
    <w:rsid w:val="00073A0D"/>
    <w:rsid w:val="000749BB"/>
    <w:rsid w:val="000749EF"/>
    <w:rsid w:val="000757DD"/>
    <w:rsid w:val="0007585E"/>
    <w:rsid w:val="00075B6D"/>
    <w:rsid w:val="00076009"/>
    <w:rsid w:val="00076358"/>
    <w:rsid w:val="00076410"/>
    <w:rsid w:val="00076FC8"/>
    <w:rsid w:val="000777CE"/>
    <w:rsid w:val="00077909"/>
    <w:rsid w:val="00080BE4"/>
    <w:rsid w:val="000814CB"/>
    <w:rsid w:val="00081D57"/>
    <w:rsid w:val="00081F06"/>
    <w:rsid w:val="00082738"/>
    <w:rsid w:val="00082D00"/>
    <w:rsid w:val="00083096"/>
    <w:rsid w:val="00084651"/>
    <w:rsid w:val="000849C8"/>
    <w:rsid w:val="000849D0"/>
    <w:rsid w:val="000850E2"/>
    <w:rsid w:val="0008533B"/>
    <w:rsid w:val="000855E7"/>
    <w:rsid w:val="0008597A"/>
    <w:rsid w:val="00086753"/>
    <w:rsid w:val="00090036"/>
    <w:rsid w:val="00090544"/>
    <w:rsid w:val="00090727"/>
    <w:rsid w:val="00090729"/>
    <w:rsid w:val="00090CF1"/>
    <w:rsid w:val="00091AAC"/>
    <w:rsid w:val="00092117"/>
    <w:rsid w:val="00093150"/>
    <w:rsid w:val="000933DC"/>
    <w:rsid w:val="000945FE"/>
    <w:rsid w:val="00094700"/>
    <w:rsid w:val="00094ADF"/>
    <w:rsid w:val="00095834"/>
    <w:rsid w:val="00095B0F"/>
    <w:rsid w:val="00096378"/>
    <w:rsid w:val="0009728F"/>
    <w:rsid w:val="00097388"/>
    <w:rsid w:val="00097896"/>
    <w:rsid w:val="00097AF6"/>
    <w:rsid w:val="00097D58"/>
    <w:rsid w:val="000A04FF"/>
    <w:rsid w:val="000A26CB"/>
    <w:rsid w:val="000A3088"/>
    <w:rsid w:val="000A30B5"/>
    <w:rsid w:val="000A48FC"/>
    <w:rsid w:val="000A5A8A"/>
    <w:rsid w:val="000A69AE"/>
    <w:rsid w:val="000A6DFA"/>
    <w:rsid w:val="000A6F51"/>
    <w:rsid w:val="000A7271"/>
    <w:rsid w:val="000A7ACF"/>
    <w:rsid w:val="000B0AF8"/>
    <w:rsid w:val="000B1F82"/>
    <w:rsid w:val="000B22E1"/>
    <w:rsid w:val="000B274A"/>
    <w:rsid w:val="000B2CC0"/>
    <w:rsid w:val="000B331D"/>
    <w:rsid w:val="000B381E"/>
    <w:rsid w:val="000B420E"/>
    <w:rsid w:val="000B514E"/>
    <w:rsid w:val="000B5478"/>
    <w:rsid w:val="000B5F14"/>
    <w:rsid w:val="000B6A03"/>
    <w:rsid w:val="000B6C08"/>
    <w:rsid w:val="000B7A86"/>
    <w:rsid w:val="000C109B"/>
    <w:rsid w:val="000C1A67"/>
    <w:rsid w:val="000C23B6"/>
    <w:rsid w:val="000C2981"/>
    <w:rsid w:val="000C3B1E"/>
    <w:rsid w:val="000C3D91"/>
    <w:rsid w:val="000C3E4E"/>
    <w:rsid w:val="000C430A"/>
    <w:rsid w:val="000C43B6"/>
    <w:rsid w:val="000C472F"/>
    <w:rsid w:val="000C5487"/>
    <w:rsid w:val="000C5488"/>
    <w:rsid w:val="000C5C30"/>
    <w:rsid w:val="000C6701"/>
    <w:rsid w:val="000C675D"/>
    <w:rsid w:val="000C71CB"/>
    <w:rsid w:val="000C734E"/>
    <w:rsid w:val="000C76E6"/>
    <w:rsid w:val="000C7A72"/>
    <w:rsid w:val="000D0192"/>
    <w:rsid w:val="000D0EE0"/>
    <w:rsid w:val="000D2076"/>
    <w:rsid w:val="000D315A"/>
    <w:rsid w:val="000D31C1"/>
    <w:rsid w:val="000D386B"/>
    <w:rsid w:val="000D40D2"/>
    <w:rsid w:val="000D4220"/>
    <w:rsid w:val="000D42A8"/>
    <w:rsid w:val="000D4B2A"/>
    <w:rsid w:val="000D4CD2"/>
    <w:rsid w:val="000D4F42"/>
    <w:rsid w:val="000D5141"/>
    <w:rsid w:val="000D56B2"/>
    <w:rsid w:val="000D5984"/>
    <w:rsid w:val="000D5CA7"/>
    <w:rsid w:val="000D5E5A"/>
    <w:rsid w:val="000D60C4"/>
    <w:rsid w:val="000D644B"/>
    <w:rsid w:val="000D64DF"/>
    <w:rsid w:val="000D660F"/>
    <w:rsid w:val="000D6FB7"/>
    <w:rsid w:val="000D734F"/>
    <w:rsid w:val="000D7A53"/>
    <w:rsid w:val="000E0762"/>
    <w:rsid w:val="000E0C47"/>
    <w:rsid w:val="000E0D17"/>
    <w:rsid w:val="000E0DF5"/>
    <w:rsid w:val="000E1293"/>
    <w:rsid w:val="000E16A3"/>
    <w:rsid w:val="000E194C"/>
    <w:rsid w:val="000E1CAF"/>
    <w:rsid w:val="000E1EB9"/>
    <w:rsid w:val="000E2347"/>
    <w:rsid w:val="000E25BA"/>
    <w:rsid w:val="000E2C87"/>
    <w:rsid w:val="000E311A"/>
    <w:rsid w:val="000E3507"/>
    <w:rsid w:val="000E3BB2"/>
    <w:rsid w:val="000E3F58"/>
    <w:rsid w:val="000E4730"/>
    <w:rsid w:val="000E4F7B"/>
    <w:rsid w:val="000E50E2"/>
    <w:rsid w:val="000E54AC"/>
    <w:rsid w:val="000E5882"/>
    <w:rsid w:val="000E596D"/>
    <w:rsid w:val="000E5976"/>
    <w:rsid w:val="000E6310"/>
    <w:rsid w:val="000E632B"/>
    <w:rsid w:val="000E6C74"/>
    <w:rsid w:val="000E7CC4"/>
    <w:rsid w:val="000F0062"/>
    <w:rsid w:val="000F01F4"/>
    <w:rsid w:val="000F06FD"/>
    <w:rsid w:val="000F0AE0"/>
    <w:rsid w:val="000F0C35"/>
    <w:rsid w:val="000F0D2B"/>
    <w:rsid w:val="000F1418"/>
    <w:rsid w:val="000F1C6A"/>
    <w:rsid w:val="000F2CCB"/>
    <w:rsid w:val="000F35B2"/>
    <w:rsid w:val="000F4C8F"/>
    <w:rsid w:val="000F5128"/>
    <w:rsid w:val="000F515A"/>
    <w:rsid w:val="000F549E"/>
    <w:rsid w:val="000F6962"/>
    <w:rsid w:val="000F6C6A"/>
    <w:rsid w:val="000F7140"/>
    <w:rsid w:val="000F7713"/>
    <w:rsid w:val="000F78E8"/>
    <w:rsid w:val="00101662"/>
    <w:rsid w:val="00101914"/>
    <w:rsid w:val="00101F2B"/>
    <w:rsid w:val="001024E0"/>
    <w:rsid w:val="00102E29"/>
    <w:rsid w:val="00103628"/>
    <w:rsid w:val="00103791"/>
    <w:rsid w:val="00104084"/>
    <w:rsid w:val="00104E7A"/>
    <w:rsid w:val="00105367"/>
    <w:rsid w:val="001053E6"/>
    <w:rsid w:val="001054BD"/>
    <w:rsid w:val="00105C44"/>
    <w:rsid w:val="00106159"/>
    <w:rsid w:val="00106459"/>
    <w:rsid w:val="00106F4B"/>
    <w:rsid w:val="00107175"/>
    <w:rsid w:val="0010718D"/>
    <w:rsid w:val="0010762C"/>
    <w:rsid w:val="00107682"/>
    <w:rsid w:val="00107F55"/>
    <w:rsid w:val="001100E3"/>
    <w:rsid w:val="00110E05"/>
    <w:rsid w:val="00110EBC"/>
    <w:rsid w:val="00111D33"/>
    <w:rsid w:val="001126B0"/>
    <w:rsid w:val="00112BFA"/>
    <w:rsid w:val="0011486F"/>
    <w:rsid w:val="001154EC"/>
    <w:rsid w:val="00115F4F"/>
    <w:rsid w:val="00116186"/>
    <w:rsid w:val="00116247"/>
    <w:rsid w:val="00116DCA"/>
    <w:rsid w:val="00117462"/>
    <w:rsid w:val="00117694"/>
    <w:rsid w:val="00117964"/>
    <w:rsid w:val="00117B74"/>
    <w:rsid w:val="00117BFB"/>
    <w:rsid w:val="001200BB"/>
    <w:rsid w:val="00120309"/>
    <w:rsid w:val="00120348"/>
    <w:rsid w:val="00120A38"/>
    <w:rsid w:val="00121199"/>
    <w:rsid w:val="00121456"/>
    <w:rsid w:val="00121DC9"/>
    <w:rsid w:val="00123051"/>
    <w:rsid w:val="0012339A"/>
    <w:rsid w:val="0012346E"/>
    <w:rsid w:val="00123617"/>
    <w:rsid w:val="00123AC4"/>
    <w:rsid w:val="00124276"/>
    <w:rsid w:val="001251F4"/>
    <w:rsid w:val="00125245"/>
    <w:rsid w:val="00125857"/>
    <w:rsid w:val="00126580"/>
    <w:rsid w:val="001265F5"/>
    <w:rsid w:val="00126B4D"/>
    <w:rsid w:val="0012740D"/>
    <w:rsid w:val="00127FFC"/>
    <w:rsid w:val="001306FC"/>
    <w:rsid w:val="00130B8E"/>
    <w:rsid w:val="00130FC5"/>
    <w:rsid w:val="001314E3"/>
    <w:rsid w:val="001316F4"/>
    <w:rsid w:val="00131C29"/>
    <w:rsid w:val="0013220D"/>
    <w:rsid w:val="001325E4"/>
    <w:rsid w:val="00132768"/>
    <w:rsid w:val="0013286A"/>
    <w:rsid w:val="00133546"/>
    <w:rsid w:val="00134471"/>
    <w:rsid w:val="0013473D"/>
    <w:rsid w:val="00134A55"/>
    <w:rsid w:val="00135609"/>
    <w:rsid w:val="0013578B"/>
    <w:rsid w:val="00135992"/>
    <w:rsid w:val="00135A4F"/>
    <w:rsid w:val="00136049"/>
    <w:rsid w:val="00137392"/>
    <w:rsid w:val="00137A0B"/>
    <w:rsid w:val="00137AD5"/>
    <w:rsid w:val="001405D0"/>
    <w:rsid w:val="0014150C"/>
    <w:rsid w:val="00141AFD"/>
    <w:rsid w:val="00142084"/>
    <w:rsid w:val="00142176"/>
    <w:rsid w:val="001426B9"/>
    <w:rsid w:val="0014346B"/>
    <w:rsid w:val="00143AC8"/>
    <w:rsid w:val="00143C42"/>
    <w:rsid w:val="00144C49"/>
    <w:rsid w:val="00145529"/>
    <w:rsid w:val="001456DC"/>
    <w:rsid w:val="0014607E"/>
    <w:rsid w:val="00146A3B"/>
    <w:rsid w:val="001473B0"/>
    <w:rsid w:val="00150439"/>
    <w:rsid w:val="00150C02"/>
    <w:rsid w:val="00151044"/>
    <w:rsid w:val="00151464"/>
    <w:rsid w:val="00151B3D"/>
    <w:rsid w:val="00151EFF"/>
    <w:rsid w:val="001532AF"/>
    <w:rsid w:val="0015363E"/>
    <w:rsid w:val="001539FF"/>
    <w:rsid w:val="001545B1"/>
    <w:rsid w:val="001547E2"/>
    <w:rsid w:val="00154E64"/>
    <w:rsid w:val="001555BC"/>
    <w:rsid w:val="00155B54"/>
    <w:rsid w:val="00157663"/>
    <w:rsid w:val="001606AD"/>
    <w:rsid w:val="001609E1"/>
    <w:rsid w:val="001620EC"/>
    <w:rsid w:val="00162461"/>
    <w:rsid w:val="0016261E"/>
    <w:rsid w:val="001629FF"/>
    <w:rsid w:val="00162A92"/>
    <w:rsid w:val="001630A8"/>
    <w:rsid w:val="0016342C"/>
    <w:rsid w:val="00163532"/>
    <w:rsid w:val="00163B51"/>
    <w:rsid w:val="00163BD0"/>
    <w:rsid w:val="00163D10"/>
    <w:rsid w:val="001641F3"/>
    <w:rsid w:val="00165007"/>
    <w:rsid w:val="00165B9B"/>
    <w:rsid w:val="00165B9E"/>
    <w:rsid w:val="00166133"/>
    <w:rsid w:val="00166821"/>
    <w:rsid w:val="00166F0B"/>
    <w:rsid w:val="00166F3D"/>
    <w:rsid w:val="001677D6"/>
    <w:rsid w:val="00167F87"/>
    <w:rsid w:val="00170F61"/>
    <w:rsid w:val="00170FE7"/>
    <w:rsid w:val="00172B9B"/>
    <w:rsid w:val="00172E36"/>
    <w:rsid w:val="00172FCB"/>
    <w:rsid w:val="00173041"/>
    <w:rsid w:val="001730EA"/>
    <w:rsid w:val="001731F6"/>
    <w:rsid w:val="0017337D"/>
    <w:rsid w:val="0017366A"/>
    <w:rsid w:val="001736D2"/>
    <w:rsid w:val="00173E09"/>
    <w:rsid w:val="00174306"/>
    <w:rsid w:val="00174895"/>
    <w:rsid w:val="00174B99"/>
    <w:rsid w:val="00174FE5"/>
    <w:rsid w:val="00175FA0"/>
    <w:rsid w:val="001764B8"/>
    <w:rsid w:val="00176E83"/>
    <w:rsid w:val="00177105"/>
    <w:rsid w:val="00177D82"/>
    <w:rsid w:val="00177E38"/>
    <w:rsid w:val="001802E2"/>
    <w:rsid w:val="00180488"/>
    <w:rsid w:val="001807C5"/>
    <w:rsid w:val="00180F81"/>
    <w:rsid w:val="0018107B"/>
    <w:rsid w:val="00181240"/>
    <w:rsid w:val="00182CE2"/>
    <w:rsid w:val="00183D23"/>
    <w:rsid w:val="00183E52"/>
    <w:rsid w:val="001847E3"/>
    <w:rsid w:val="0018509C"/>
    <w:rsid w:val="001858DD"/>
    <w:rsid w:val="00185A06"/>
    <w:rsid w:val="00186A96"/>
    <w:rsid w:val="001870E8"/>
    <w:rsid w:val="00190202"/>
    <w:rsid w:val="0019021B"/>
    <w:rsid w:val="001912C7"/>
    <w:rsid w:val="00191A46"/>
    <w:rsid w:val="00191C60"/>
    <w:rsid w:val="00192333"/>
    <w:rsid w:val="00193009"/>
    <w:rsid w:val="001932D5"/>
    <w:rsid w:val="00193FA5"/>
    <w:rsid w:val="00194609"/>
    <w:rsid w:val="00194ABE"/>
    <w:rsid w:val="0019514C"/>
    <w:rsid w:val="00195405"/>
    <w:rsid w:val="0019594A"/>
    <w:rsid w:val="00195F31"/>
    <w:rsid w:val="00195F76"/>
    <w:rsid w:val="00195F9D"/>
    <w:rsid w:val="00196151"/>
    <w:rsid w:val="001962CF"/>
    <w:rsid w:val="0019774A"/>
    <w:rsid w:val="001979DB"/>
    <w:rsid w:val="001A00D5"/>
    <w:rsid w:val="001A012F"/>
    <w:rsid w:val="001A080C"/>
    <w:rsid w:val="001A0830"/>
    <w:rsid w:val="001A0CEC"/>
    <w:rsid w:val="001A1A12"/>
    <w:rsid w:val="001A1EE6"/>
    <w:rsid w:val="001A1EFE"/>
    <w:rsid w:val="001A3544"/>
    <w:rsid w:val="001A451C"/>
    <w:rsid w:val="001A4657"/>
    <w:rsid w:val="001A4ECC"/>
    <w:rsid w:val="001A527D"/>
    <w:rsid w:val="001A5297"/>
    <w:rsid w:val="001A5E4B"/>
    <w:rsid w:val="001A68FF"/>
    <w:rsid w:val="001A69D3"/>
    <w:rsid w:val="001A71F2"/>
    <w:rsid w:val="001A7906"/>
    <w:rsid w:val="001B0B37"/>
    <w:rsid w:val="001B0B44"/>
    <w:rsid w:val="001B0DDF"/>
    <w:rsid w:val="001B111E"/>
    <w:rsid w:val="001B1290"/>
    <w:rsid w:val="001B1856"/>
    <w:rsid w:val="001B1FD3"/>
    <w:rsid w:val="001B209F"/>
    <w:rsid w:val="001B2BB9"/>
    <w:rsid w:val="001B2C7E"/>
    <w:rsid w:val="001B3252"/>
    <w:rsid w:val="001B356B"/>
    <w:rsid w:val="001B3C7A"/>
    <w:rsid w:val="001B49E5"/>
    <w:rsid w:val="001B58D4"/>
    <w:rsid w:val="001B5E6A"/>
    <w:rsid w:val="001B6385"/>
    <w:rsid w:val="001B6812"/>
    <w:rsid w:val="001B687A"/>
    <w:rsid w:val="001B76F1"/>
    <w:rsid w:val="001B7DD2"/>
    <w:rsid w:val="001C0095"/>
    <w:rsid w:val="001C0643"/>
    <w:rsid w:val="001C17D7"/>
    <w:rsid w:val="001C1DE9"/>
    <w:rsid w:val="001C219D"/>
    <w:rsid w:val="001C388F"/>
    <w:rsid w:val="001C3EC8"/>
    <w:rsid w:val="001C3EF6"/>
    <w:rsid w:val="001C5730"/>
    <w:rsid w:val="001C59E2"/>
    <w:rsid w:val="001C744A"/>
    <w:rsid w:val="001C75F5"/>
    <w:rsid w:val="001C77B0"/>
    <w:rsid w:val="001C7A7A"/>
    <w:rsid w:val="001C7C42"/>
    <w:rsid w:val="001D018C"/>
    <w:rsid w:val="001D1AC0"/>
    <w:rsid w:val="001D2088"/>
    <w:rsid w:val="001D2290"/>
    <w:rsid w:val="001D2840"/>
    <w:rsid w:val="001D3D3C"/>
    <w:rsid w:val="001D3DC6"/>
    <w:rsid w:val="001D41ED"/>
    <w:rsid w:val="001D43DF"/>
    <w:rsid w:val="001D5135"/>
    <w:rsid w:val="001D542F"/>
    <w:rsid w:val="001D5672"/>
    <w:rsid w:val="001D5A55"/>
    <w:rsid w:val="001D6467"/>
    <w:rsid w:val="001D6BCD"/>
    <w:rsid w:val="001D7210"/>
    <w:rsid w:val="001D723D"/>
    <w:rsid w:val="001D7559"/>
    <w:rsid w:val="001D78B1"/>
    <w:rsid w:val="001D7D46"/>
    <w:rsid w:val="001D7DF5"/>
    <w:rsid w:val="001E0D57"/>
    <w:rsid w:val="001E10B5"/>
    <w:rsid w:val="001E127F"/>
    <w:rsid w:val="001E16FD"/>
    <w:rsid w:val="001E1A67"/>
    <w:rsid w:val="001E2458"/>
    <w:rsid w:val="001E27C8"/>
    <w:rsid w:val="001E324C"/>
    <w:rsid w:val="001E351E"/>
    <w:rsid w:val="001E3585"/>
    <w:rsid w:val="001E3723"/>
    <w:rsid w:val="001E3B99"/>
    <w:rsid w:val="001E4577"/>
    <w:rsid w:val="001E482F"/>
    <w:rsid w:val="001E4971"/>
    <w:rsid w:val="001E4F76"/>
    <w:rsid w:val="001E59D6"/>
    <w:rsid w:val="001E5E45"/>
    <w:rsid w:val="001E6618"/>
    <w:rsid w:val="001E6AFB"/>
    <w:rsid w:val="001E788A"/>
    <w:rsid w:val="001E79E3"/>
    <w:rsid w:val="001F0A0A"/>
    <w:rsid w:val="001F0C10"/>
    <w:rsid w:val="001F1033"/>
    <w:rsid w:val="001F12D6"/>
    <w:rsid w:val="001F1977"/>
    <w:rsid w:val="001F21E7"/>
    <w:rsid w:val="001F2853"/>
    <w:rsid w:val="001F3EEE"/>
    <w:rsid w:val="001F42E2"/>
    <w:rsid w:val="001F446A"/>
    <w:rsid w:val="001F4A3D"/>
    <w:rsid w:val="001F4EAB"/>
    <w:rsid w:val="001F4EAF"/>
    <w:rsid w:val="001F5C1B"/>
    <w:rsid w:val="001F5E5B"/>
    <w:rsid w:val="001F6075"/>
    <w:rsid w:val="001F642C"/>
    <w:rsid w:val="001F7A18"/>
    <w:rsid w:val="001F7F03"/>
    <w:rsid w:val="0020007E"/>
    <w:rsid w:val="00200820"/>
    <w:rsid w:val="00200F14"/>
    <w:rsid w:val="002011CD"/>
    <w:rsid w:val="0020159F"/>
    <w:rsid w:val="0020161B"/>
    <w:rsid w:val="00201625"/>
    <w:rsid w:val="00201CB0"/>
    <w:rsid w:val="00202408"/>
    <w:rsid w:val="00202725"/>
    <w:rsid w:val="00202836"/>
    <w:rsid w:val="00202CDB"/>
    <w:rsid w:val="00202DE6"/>
    <w:rsid w:val="002031A3"/>
    <w:rsid w:val="0020439B"/>
    <w:rsid w:val="0020477E"/>
    <w:rsid w:val="00204801"/>
    <w:rsid w:val="0020512F"/>
    <w:rsid w:val="00206222"/>
    <w:rsid w:val="002065F5"/>
    <w:rsid w:val="00206DE1"/>
    <w:rsid w:val="00207144"/>
    <w:rsid w:val="0020731E"/>
    <w:rsid w:val="00207659"/>
    <w:rsid w:val="00207C18"/>
    <w:rsid w:val="00207CC9"/>
    <w:rsid w:val="00207FF3"/>
    <w:rsid w:val="002108DC"/>
    <w:rsid w:val="00210F3E"/>
    <w:rsid w:val="002111E1"/>
    <w:rsid w:val="002116D5"/>
    <w:rsid w:val="002118EB"/>
    <w:rsid w:val="00211FB2"/>
    <w:rsid w:val="00212921"/>
    <w:rsid w:val="00213A42"/>
    <w:rsid w:val="002144B3"/>
    <w:rsid w:val="00215718"/>
    <w:rsid w:val="0021600A"/>
    <w:rsid w:val="00216C6E"/>
    <w:rsid w:val="002178AA"/>
    <w:rsid w:val="00217993"/>
    <w:rsid w:val="00217E95"/>
    <w:rsid w:val="00220335"/>
    <w:rsid w:val="00220369"/>
    <w:rsid w:val="0022060E"/>
    <w:rsid w:val="002208A8"/>
    <w:rsid w:val="002209FD"/>
    <w:rsid w:val="00221D7D"/>
    <w:rsid w:val="0022214F"/>
    <w:rsid w:val="0022231D"/>
    <w:rsid w:val="0022299E"/>
    <w:rsid w:val="00223626"/>
    <w:rsid w:val="00223659"/>
    <w:rsid w:val="00223CE7"/>
    <w:rsid w:val="00223FBF"/>
    <w:rsid w:val="00224469"/>
    <w:rsid w:val="00225127"/>
    <w:rsid w:val="0022573E"/>
    <w:rsid w:val="00225795"/>
    <w:rsid w:val="002261D1"/>
    <w:rsid w:val="002263C3"/>
    <w:rsid w:val="00226642"/>
    <w:rsid w:val="002274ED"/>
    <w:rsid w:val="00227A03"/>
    <w:rsid w:val="00227C2A"/>
    <w:rsid w:val="00230055"/>
    <w:rsid w:val="00230552"/>
    <w:rsid w:val="00230C2E"/>
    <w:rsid w:val="00230D0D"/>
    <w:rsid w:val="002310B1"/>
    <w:rsid w:val="002317A2"/>
    <w:rsid w:val="00231B48"/>
    <w:rsid w:val="002324ED"/>
    <w:rsid w:val="002333E0"/>
    <w:rsid w:val="00233AEA"/>
    <w:rsid w:val="0023533C"/>
    <w:rsid w:val="002358A7"/>
    <w:rsid w:val="00235E07"/>
    <w:rsid w:val="00236876"/>
    <w:rsid w:val="00236A55"/>
    <w:rsid w:val="002373C2"/>
    <w:rsid w:val="002379EA"/>
    <w:rsid w:val="002400B2"/>
    <w:rsid w:val="00240FE0"/>
    <w:rsid w:val="002410D5"/>
    <w:rsid w:val="002419B4"/>
    <w:rsid w:val="00241D6D"/>
    <w:rsid w:val="00241E23"/>
    <w:rsid w:val="00241E8D"/>
    <w:rsid w:val="00242075"/>
    <w:rsid w:val="002434D5"/>
    <w:rsid w:val="002434EE"/>
    <w:rsid w:val="0024369B"/>
    <w:rsid w:val="002437B3"/>
    <w:rsid w:val="00244337"/>
    <w:rsid w:val="00244BE5"/>
    <w:rsid w:val="00244D5B"/>
    <w:rsid w:val="002451C7"/>
    <w:rsid w:val="00245596"/>
    <w:rsid w:val="002455D1"/>
    <w:rsid w:val="00245969"/>
    <w:rsid w:val="00245D31"/>
    <w:rsid w:val="00245F53"/>
    <w:rsid w:val="00246489"/>
    <w:rsid w:val="00246A41"/>
    <w:rsid w:val="00246C50"/>
    <w:rsid w:val="00246F1C"/>
    <w:rsid w:val="0024728E"/>
    <w:rsid w:val="00247A0E"/>
    <w:rsid w:val="002501C2"/>
    <w:rsid w:val="002503BF"/>
    <w:rsid w:val="0025119E"/>
    <w:rsid w:val="0025131B"/>
    <w:rsid w:val="002528A9"/>
    <w:rsid w:val="0025326C"/>
    <w:rsid w:val="0025364E"/>
    <w:rsid w:val="00254954"/>
    <w:rsid w:val="00254C72"/>
    <w:rsid w:val="00254CAE"/>
    <w:rsid w:val="0025530E"/>
    <w:rsid w:val="002556E7"/>
    <w:rsid w:val="00256272"/>
    <w:rsid w:val="00256CBF"/>
    <w:rsid w:val="00256D21"/>
    <w:rsid w:val="00256D7D"/>
    <w:rsid w:val="00257077"/>
    <w:rsid w:val="0026036B"/>
    <w:rsid w:val="002609B6"/>
    <w:rsid w:val="00261F11"/>
    <w:rsid w:val="0026203B"/>
    <w:rsid w:val="002624CC"/>
    <w:rsid w:val="00262BEC"/>
    <w:rsid w:val="002639DB"/>
    <w:rsid w:val="00263DAF"/>
    <w:rsid w:val="00264492"/>
    <w:rsid w:val="002645B1"/>
    <w:rsid w:val="00264A9F"/>
    <w:rsid w:val="0026572B"/>
    <w:rsid w:val="002665DC"/>
    <w:rsid w:val="00266DE9"/>
    <w:rsid w:val="00267421"/>
    <w:rsid w:val="00267839"/>
    <w:rsid w:val="00267DC2"/>
    <w:rsid w:val="002706AC"/>
    <w:rsid w:val="00270D14"/>
    <w:rsid w:val="00270F86"/>
    <w:rsid w:val="002714F6"/>
    <w:rsid w:val="0027157C"/>
    <w:rsid w:val="00271682"/>
    <w:rsid w:val="00271895"/>
    <w:rsid w:val="00271AC8"/>
    <w:rsid w:val="0027234A"/>
    <w:rsid w:val="00272649"/>
    <w:rsid w:val="00272669"/>
    <w:rsid w:val="00272FE3"/>
    <w:rsid w:val="0027340B"/>
    <w:rsid w:val="00273568"/>
    <w:rsid w:val="00273971"/>
    <w:rsid w:val="002742E7"/>
    <w:rsid w:val="00274B4E"/>
    <w:rsid w:val="00275043"/>
    <w:rsid w:val="002754E0"/>
    <w:rsid w:val="002757C5"/>
    <w:rsid w:val="002771EA"/>
    <w:rsid w:val="002804CF"/>
    <w:rsid w:val="00280836"/>
    <w:rsid w:val="00280D2F"/>
    <w:rsid w:val="00280D76"/>
    <w:rsid w:val="00280F81"/>
    <w:rsid w:val="00281AA3"/>
    <w:rsid w:val="002822C4"/>
    <w:rsid w:val="002839CE"/>
    <w:rsid w:val="002852C6"/>
    <w:rsid w:val="002856BC"/>
    <w:rsid w:val="00285A83"/>
    <w:rsid w:val="00285CDF"/>
    <w:rsid w:val="00287277"/>
    <w:rsid w:val="00287390"/>
    <w:rsid w:val="002876D2"/>
    <w:rsid w:val="002878C6"/>
    <w:rsid w:val="00287CA0"/>
    <w:rsid w:val="00290ABE"/>
    <w:rsid w:val="002912CD"/>
    <w:rsid w:val="00291655"/>
    <w:rsid w:val="00291A09"/>
    <w:rsid w:val="00291B4A"/>
    <w:rsid w:val="00291CB0"/>
    <w:rsid w:val="002922A8"/>
    <w:rsid w:val="00292D5B"/>
    <w:rsid w:val="00293866"/>
    <w:rsid w:val="00293D07"/>
    <w:rsid w:val="00294CAA"/>
    <w:rsid w:val="002950C5"/>
    <w:rsid w:val="00295875"/>
    <w:rsid w:val="00295A7A"/>
    <w:rsid w:val="00296758"/>
    <w:rsid w:val="00297778"/>
    <w:rsid w:val="00297BEC"/>
    <w:rsid w:val="00297DFB"/>
    <w:rsid w:val="00297E4A"/>
    <w:rsid w:val="00297F5A"/>
    <w:rsid w:val="002A0284"/>
    <w:rsid w:val="002A1835"/>
    <w:rsid w:val="002A2231"/>
    <w:rsid w:val="002A2866"/>
    <w:rsid w:val="002A2964"/>
    <w:rsid w:val="002A2AA3"/>
    <w:rsid w:val="002A2C14"/>
    <w:rsid w:val="002A36BC"/>
    <w:rsid w:val="002A3A2C"/>
    <w:rsid w:val="002A3A46"/>
    <w:rsid w:val="002A3AB6"/>
    <w:rsid w:val="002A449E"/>
    <w:rsid w:val="002A4AC8"/>
    <w:rsid w:val="002A593A"/>
    <w:rsid w:val="002A5E92"/>
    <w:rsid w:val="002A77E3"/>
    <w:rsid w:val="002A7D5F"/>
    <w:rsid w:val="002B0AD8"/>
    <w:rsid w:val="002B119F"/>
    <w:rsid w:val="002B14FE"/>
    <w:rsid w:val="002B1F1A"/>
    <w:rsid w:val="002B2D32"/>
    <w:rsid w:val="002B38C7"/>
    <w:rsid w:val="002B3A2A"/>
    <w:rsid w:val="002B4004"/>
    <w:rsid w:val="002B4321"/>
    <w:rsid w:val="002B51C9"/>
    <w:rsid w:val="002B608F"/>
    <w:rsid w:val="002B7401"/>
    <w:rsid w:val="002B75F7"/>
    <w:rsid w:val="002C0141"/>
    <w:rsid w:val="002C014C"/>
    <w:rsid w:val="002C060C"/>
    <w:rsid w:val="002C0E1C"/>
    <w:rsid w:val="002C1721"/>
    <w:rsid w:val="002C1984"/>
    <w:rsid w:val="002C1E9B"/>
    <w:rsid w:val="002C2EEF"/>
    <w:rsid w:val="002C2FDE"/>
    <w:rsid w:val="002C3331"/>
    <w:rsid w:val="002C3636"/>
    <w:rsid w:val="002C3AE7"/>
    <w:rsid w:val="002C3E61"/>
    <w:rsid w:val="002C3F94"/>
    <w:rsid w:val="002C485D"/>
    <w:rsid w:val="002C4A97"/>
    <w:rsid w:val="002C4CFD"/>
    <w:rsid w:val="002C6A7A"/>
    <w:rsid w:val="002C74EE"/>
    <w:rsid w:val="002D0406"/>
    <w:rsid w:val="002D066A"/>
    <w:rsid w:val="002D1EF3"/>
    <w:rsid w:val="002D2917"/>
    <w:rsid w:val="002D2A9D"/>
    <w:rsid w:val="002D335C"/>
    <w:rsid w:val="002D342A"/>
    <w:rsid w:val="002D3457"/>
    <w:rsid w:val="002D3FA6"/>
    <w:rsid w:val="002D4214"/>
    <w:rsid w:val="002D4655"/>
    <w:rsid w:val="002D4B12"/>
    <w:rsid w:val="002D5FB5"/>
    <w:rsid w:val="002D6287"/>
    <w:rsid w:val="002D6FA3"/>
    <w:rsid w:val="002D6FCD"/>
    <w:rsid w:val="002D7898"/>
    <w:rsid w:val="002E02E5"/>
    <w:rsid w:val="002E09CF"/>
    <w:rsid w:val="002E1A92"/>
    <w:rsid w:val="002E1B55"/>
    <w:rsid w:val="002E24F2"/>
    <w:rsid w:val="002E2794"/>
    <w:rsid w:val="002E3620"/>
    <w:rsid w:val="002E43DB"/>
    <w:rsid w:val="002E485C"/>
    <w:rsid w:val="002E4D0F"/>
    <w:rsid w:val="002E5743"/>
    <w:rsid w:val="002E5B88"/>
    <w:rsid w:val="002E5CAE"/>
    <w:rsid w:val="002E6246"/>
    <w:rsid w:val="002E67F8"/>
    <w:rsid w:val="002E70DB"/>
    <w:rsid w:val="002F00AD"/>
    <w:rsid w:val="002F03C6"/>
    <w:rsid w:val="002F041F"/>
    <w:rsid w:val="002F0BDC"/>
    <w:rsid w:val="002F1529"/>
    <w:rsid w:val="002F1882"/>
    <w:rsid w:val="002F20E1"/>
    <w:rsid w:val="002F26F9"/>
    <w:rsid w:val="002F2932"/>
    <w:rsid w:val="002F3563"/>
    <w:rsid w:val="002F4034"/>
    <w:rsid w:val="002F5880"/>
    <w:rsid w:val="002F5B1D"/>
    <w:rsid w:val="002F5B75"/>
    <w:rsid w:val="002F5CE6"/>
    <w:rsid w:val="002F6351"/>
    <w:rsid w:val="002F6723"/>
    <w:rsid w:val="002F68E3"/>
    <w:rsid w:val="002F6BEC"/>
    <w:rsid w:val="0030016A"/>
    <w:rsid w:val="003006A7"/>
    <w:rsid w:val="00300E69"/>
    <w:rsid w:val="00302145"/>
    <w:rsid w:val="003024F1"/>
    <w:rsid w:val="003036DE"/>
    <w:rsid w:val="00303E36"/>
    <w:rsid w:val="00303F35"/>
    <w:rsid w:val="003048D9"/>
    <w:rsid w:val="00304907"/>
    <w:rsid w:val="003051F3"/>
    <w:rsid w:val="003055E3"/>
    <w:rsid w:val="003063D8"/>
    <w:rsid w:val="00306A99"/>
    <w:rsid w:val="00306B8B"/>
    <w:rsid w:val="003073A8"/>
    <w:rsid w:val="00310978"/>
    <w:rsid w:val="00310D82"/>
    <w:rsid w:val="0031160F"/>
    <w:rsid w:val="00311BB6"/>
    <w:rsid w:val="00311BE7"/>
    <w:rsid w:val="00311CE3"/>
    <w:rsid w:val="00311D1B"/>
    <w:rsid w:val="00312A92"/>
    <w:rsid w:val="00312CAC"/>
    <w:rsid w:val="0031324C"/>
    <w:rsid w:val="00313848"/>
    <w:rsid w:val="00313903"/>
    <w:rsid w:val="00313C10"/>
    <w:rsid w:val="00313DFB"/>
    <w:rsid w:val="0031404D"/>
    <w:rsid w:val="0031438E"/>
    <w:rsid w:val="00314BD2"/>
    <w:rsid w:val="00314C72"/>
    <w:rsid w:val="00314DB5"/>
    <w:rsid w:val="00314F7F"/>
    <w:rsid w:val="00315058"/>
    <w:rsid w:val="00315CAB"/>
    <w:rsid w:val="00316D02"/>
    <w:rsid w:val="00317406"/>
    <w:rsid w:val="00320597"/>
    <w:rsid w:val="00320D67"/>
    <w:rsid w:val="003220ED"/>
    <w:rsid w:val="003222F3"/>
    <w:rsid w:val="00322B63"/>
    <w:rsid w:val="0032331B"/>
    <w:rsid w:val="00323A5B"/>
    <w:rsid w:val="00324178"/>
    <w:rsid w:val="003265A1"/>
    <w:rsid w:val="003266A8"/>
    <w:rsid w:val="00326719"/>
    <w:rsid w:val="003269D4"/>
    <w:rsid w:val="00327519"/>
    <w:rsid w:val="0032777C"/>
    <w:rsid w:val="00327D56"/>
    <w:rsid w:val="00327D79"/>
    <w:rsid w:val="003313E5"/>
    <w:rsid w:val="0033181C"/>
    <w:rsid w:val="003319F3"/>
    <w:rsid w:val="00332196"/>
    <w:rsid w:val="00332658"/>
    <w:rsid w:val="00332B4C"/>
    <w:rsid w:val="00332DB3"/>
    <w:rsid w:val="00333079"/>
    <w:rsid w:val="00333D5C"/>
    <w:rsid w:val="003349FF"/>
    <w:rsid w:val="00334F10"/>
    <w:rsid w:val="0033507E"/>
    <w:rsid w:val="00335E36"/>
    <w:rsid w:val="003362DD"/>
    <w:rsid w:val="00337C1B"/>
    <w:rsid w:val="00337E3C"/>
    <w:rsid w:val="00337F37"/>
    <w:rsid w:val="0034011B"/>
    <w:rsid w:val="00340529"/>
    <w:rsid w:val="00340589"/>
    <w:rsid w:val="0034077E"/>
    <w:rsid w:val="00340ACB"/>
    <w:rsid w:val="00341CF1"/>
    <w:rsid w:val="00342226"/>
    <w:rsid w:val="003426BF"/>
    <w:rsid w:val="00342715"/>
    <w:rsid w:val="00342977"/>
    <w:rsid w:val="00342CAB"/>
    <w:rsid w:val="00342E4F"/>
    <w:rsid w:val="0034306F"/>
    <w:rsid w:val="0034342C"/>
    <w:rsid w:val="00343754"/>
    <w:rsid w:val="00343C49"/>
    <w:rsid w:val="00344544"/>
    <w:rsid w:val="00344CCA"/>
    <w:rsid w:val="003469B1"/>
    <w:rsid w:val="0034710B"/>
    <w:rsid w:val="003503EC"/>
    <w:rsid w:val="003513F6"/>
    <w:rsid w:val="003518EE"/>
    <w:rsid w:val="00351E91"/>
    <w:rsid w:val="00351EC5"/>
    <w:rsid w:val="00352444"/>
    <w:rsid w:val="00352538"/>
    <w:rsid w:val="003535B6"/>
    <w:rsid w:val="00353F42"/>
    <w:rsid w:val="00354033"/>
    <w:rsid w:val="0035531F"/>
    <w:rsid w:val="00355BBF"/>
    <w:rsid w:val="00355D04"/>
    <w:rsid w:val="003567E9"/>
    <w:rsid w:val="00356BC8"/>
    <w:rsid w:val="0035708D"/>
    <w:rsid w:val="00357998"/>
    <w:rsid w:val="00357A51"/>
    <w:rsid w:val="00357AA2"/>
    <w:rsid w:val="00357C62"/>
    <w:rsid w:val="00357E89"/>
    <w:rsid w:val="00360F8E"/>
    <w:rsid w:val="00361916"/>
    <w:rsid w:val="00362859"/>
    <w:rsid w:val="00363F20"/>
    <w:rsid w:val="00364308"/>
    <w:rsid w:val="003649F1"/>
    <w:rsid w:val="00364B9F"/>
    <w:rsid w:val="00365A8A"/>
    <w:rsid w:val="00365EC4"/>
    <w:rsid w:val="003664AD"/>
    <w:rsid w:val="0036701F"/>
    <w:rsid w:val="00367805"/>
    <w:rsid w:val="00370EDB"/>
    <w:rsid w:val="00371009"/>
    <w:rsid w:val="00371086"/>
    <w:rsid w:val="003712D1"/>
    <w:rsid w:val="0037153D"/>
    <w:rsid w:val="00371782"/>
    <w:rsid w:val="00371DB0"/>
    <w:rsid w:val="00373878"/>
    <w:rsid w:val="00373951"/>
    <w:rsid w:val="003739E1"/>
    <w:rsid w:val="00373B8F"/>
    <w:rsid w:val="00373D3A"/>
    <w:rsid w:val="00374395"/>
    <w:rsid w:val="00374D9E"/>
    <w:rsid w:val="00375A7B"/>
    <w:rsid w:val="003760E8"/>
    <w:rsid w:val="003762F3"/>
    <w:rsid w:val="00377B9A"/>
    <w:rsid w:val="003807EB"/>
    <w:rsid w:val="003809B3"/>
    <w:rsid w:val="00380E45"/>
    <w:rsid w:val="0038112F"/>
    <w:rsid w:val="003811B0"/>
    <w:rsid w:val="003817FB"/>
    <w:rsid w:val="00381863"/>
    <w:rsid w:val="00381A53"/>
    <w:rsid w:val="0038209A"/>
    <w:rsid w:val="00382567"/>
    <w:rsid w:val="00383035"/>
    <w:rsid w:val="00383BF1"/>
    <w:rsid w:val="003842AE"/>
    <w:rsid w:val="003843DD"/>
    <w:rsid w:val="003845F0"/>
    <w:rsid w:val="0038473E"/>
    <w:rsid w:val="00384B2A"/>
    <w:rsid w:val="00384EAA"/>
    <w:rsid w:val="003854F3"/>
    <w:rsid w:val="00385F1A"/>
    <w:rsid w:val="00386F21"/>
    <w:rsid w:val="003877E4"/>
    <w:rsid w:val="0038784D"/>
    <w:rsid w:val="003904EB"/>
    <w:rsid w:val="003909F4"/>
    <w:rsid w:val="003914D0"/>
    <w:rsid w:val="00391586"/>
    <w:rsid w:val="003915D4"/>
    <w:rsid w:val="00391B13"/>
    <w:rsid w:val="00391D92"/>
    <w:rsid w:val="00392501"/>
    <w:rsid w:val="00392C21"/>
    <w:rsid w:val="00392D9F"/>
    <w:rsid w:val="00394636"/>
    <w:rsid w:val="00394C14"/>
    <w:rsid w:val="00394DB7"/>
    <w:rsid w:val="00395126"/>
    <w:rsid w:val="00395B5A"/>
    <w:rsid w:val="003965B1"/>
    <w:rsid w:val="00396CDF"/>
    <w:rsid w:val="0039704C"/>
    <w:rsid w:val="003A0C32"/>
    <w:rsid w:val="003A0C3C"/>
    <w:rsid w:val="003A0E7C"/>
    <w:rsid w:val="003A1C09"/>
    <w:rsid w:val="003A1FB1"/>
    <w:rsid w:val="003A22F1"/>
    <w:rsid w:val="003A24B8"/>
    <w:rsid w:val="003A281F"/>
    <w:rsid w:val="003A2AD4"/>
    <w:rsid w:val="003A2BCE"/>
    <w:rsid w:val="003A2C95"/>
    <w:rsid w:val="003A30C3"/>
    <w:rsid w:val="003A3571"/>
    <w:rsid w:val="003A3A54"/>
    <w:rsid w:val="003A4223"/>
    <w:rsid w:val="003A4248"/>
    <w:rsid w:val="003A42C8"/>
    <w:rsid w:val="003A4900"/>
    <w:rsid w:val="003A54FB"/>
    <w:rsid w:val="003A55F0"/>
    <w:rsid w:val="003A692A"/>
    <w:rsid w:val="003A6BF5"/>
    <w:rsid w:val="003A7737"/>
    <w:rsid w:val="003A7987"/>
    <w:rsid w:val="003A7DB2"/>
    <w:rsid w:val="003B0228"/>
    <w:rsid w:val="003B1002"/>
    <w:rsid w:val="003B24D9"/>
    <w:rsid w:val="003B26F6"/>
    <w:rsid w:val="003B28B2"/>
    <w:rsid w:val="003B2A38"/>
    <w:rsid w:val="003B2EAB"/>
    <w:rsid w:val="003B33A3"/>
    <w:rsid w:val="003B4A57"/>
    <w:rsid w:val="003B4C95"/>
    <w:rsid w:val="003B4CD5"/>
    <w:rsid w:val="003B52A7"/>
    <w:rsid w:val="003B573F"/>
    <w:rsid w:val="003B5D13"/>
    <w:rsid w:val="003B5D5E"/>
    <w:rsid w:val="003B5E82"/>
    <w:rsid w:val="003B6107"/>
    <w:rsid w:val="003B6C52"/>
    <w:rsid w:val="003B75FE"/>
    <w:rsid w:val="003B7A05"/>
    <w:rsid w:val="003B7BFB"/>
    <w:rsid w:val="003C05D2"/>
    <w:rsid w:val="003C0A7C"/>
    <w:rsid w:val="003C0CE5"/>
    <w:rsid w:val="003C0D4E"/>
    <w:rsid w:val="003C18B1"/>
    <w:rsid w:val="003C19F7"/>
    <w:rsid w:val="003C28CA"/>
    <w:rsid w:val="003C33E2"/>
    <w:rsid w:val="003C39D9"/>
    <w:rsid w:val="003C3F9C"/>
    <w:rsid w:val="003C41A6"/>
    <w:rsid w:val="003C4C73"/>
    <w:rsid w:val="003C562C"/>
    <w:rsid w:val="003C5AE1"/>
    <w:rsid w:val="003C64ED"/>
    <w:rsid w:val="003C6D18"/>
    <w:rsid w:val="003C7B73"/>
    <w:rsid w:val="003D1CD8"/>
    <w:rsid w:val="003D247C"/>
    <w:rsid w:val="003D28A6"/>
    <w:rsid w:val="003D3F8B"/>
    <w:rsid w:val="003D44A2"/>
    <w:rsid w:val="003D4605"/>
    <w:rsid w:val="003D4FBA"/>
    <w:rsid w:val="003D55A6"/>
    <w:rsid w:val="003D5A85"/>
    <w:rsid w:val="003D5F1A"/>
    <w:rsid w:val="003D618D"/>
    <w:rsid w:val="003D6A13"/>
    <w:rsid w:val="003D7D4F"/>
    <w:rsid w:val="003D7E16"/>
    <w:rsid w:val="003E0093"/>
    <w:rsid w:val="003E05B5"/>
    <w:rsid w:val="003E071D"/>
    <w:rsid w:val="003E0798"/>
    <w:rsid w:val="003E086D"/>
    <w:rsid w:val="003E0991"/>
    <w:rsid w:val="003E0ABD"/>
    <w:rsid w:val="003E16B6"/>
    <w:rsid w:val="003E17D2"/>
    <w:rsid w:val="003E2148"/>
    <w:rsid w:val="003E21EC"/>
    <w:rsid w:val="003E2A1B"/>
    <w:rsid w:val="003E37DA"/>
    <w:rsid w:val="003E37DD"/>
    <w:rsid w:val="003E3986"/>
    <w:rsid w:val="003E4513"/>
    <w:rsid w:val="003E4AC8"/>
    <w:rsid w:val="003E4E54"/>
    <w:rsid w:val="003E5015"/>
    <w:rsid w:val="003E5F48"/>
    <w:rsid w:val="003E6318"/>
    <w:rsid w:val="003E79BE"/>
    <w:rsid w:val="003F0957"/>
    <w:rsid w:val="003F0D7F"/>
    <w:rsid w:val="003F181B"/>
    <w:rsid w:val="003F1DB2"/>
    <w:rsid w:val="003F24F0"/>
    <w:rsid w:val="003F265C"/>
    <w:rsid w:val="003F2970"/>
    <w:rsid w:val="003F2DF9"/>
    <w:rsid w:val="003F3502"/>
    <w:rsid w:val="003F37E4"/>
    <w:rsid w:val="003F3EDB"/>
    <w:rsid w:val="003F40A2"/>
    <w:rsid w:val="003F40F2"/>
    <w:rsid w:val="003F4624"/>
    <w:rsid w:val="003F471F"/>
    <w:rsid w:val="003F4EB9"/>
    <w:rsid w:val="003F54E8"/>
    <w:rsid w:val="003F55DA"/>
    <w:rsid w:val="003F57BD"/>
    <w:rsid w:val="003F5950"/>
    <w:rsid w:val="003F5C0F"/>
    <w:rsid w:val="003F7C54"/>
    <w:rsid w:val="003F7E49"/>
    <w:rsid w:val="00400119"/>
    <w:rsid w:val="00401B58"/>
    <w:rsid w:val="00401C2F"/>
    <w:rsid w:val="004022E1"/>
    <w:rsid w:val="004034A0"/>
    <w:rsid w:val="0040357C"/>
    <w:rsid w:val="004036FA"/>
    <w:rsid w:val="004038CF"/>
    <w:rsid w:val="0040392D"/>
    <w:rsid w:val="004039A1"/>
    <w:rsid w:val="00404229"/>
    <w:rsid w:val="00404263"/>
    <w:rsid w:val="00404267"/>
    <w:rsid w:val="00404353"/>
    <w:rsid w:val="00404C98"/>
    <w:rsid w:val="00404CFA"/>
    <w:rsid w:val="00405450"/>
    <w:rsid w:val="004054A6"/>
    <w:rsid w:val="00406DE2"/>
    <w:rsid w:val="00406F1D"/>
    <w:rsid w:val="00410650"/>
    <w:rsid w:val="00410E81"/>
    <w:rsid w:val="00410F97"/>
    <w:rsid w:val="00411146"/>
    <w:rsid w:val="00411A9F"/>
    <w:rsid w:val="00412261"/>
    <w:rsid w:val="00412A22"/>
    <w:rsid w:val="00413900"/>
    <w:rsid w:val="0041393B"/>
    <w:rsid w:val="00414003"/>
    <w:rsid w:val="004146EF"/>
    <w:rsid w:val="0041481E"/>
    <w:rsid w:val="0041482F"/>
    <w:rsid w:val="00414A68"/>
    <w:rsid w:val="00414DD9"/>
    <w:rsid w:val="0041601E"/>
    <w:rsid w:val="0041615B"/>
    <w:rsid w:val="004203DF"/>
    <w:rsid w:val="0042196C"/>
    <w:rsid w:val="00421FB7"/>
    <w:rsid w:val="00422384"/>
    <w:rsid w:val="004232A1"/>
    <w:rsid w:val="00423451"/>
    <w:rsid w:val="004236A7"/>
    <w:rsid w:val="00423F68"/>
    <w:rsid w:val="00424231"/>
    <w:rsid w:val="00424C1A"/>
    <w:rsid w:val="00424E3E"/>
    <w:rsid w:val="00425338"/>
    <w:rsid w:val="00425AC9"/>
    <w:rsid w:val="00427A5D"/>
    <w:rsid w:val="00427FA8"/>
    <w:rsid w:val="004304FF"/>
    <w:rsid w:val="00431442"/>
    <w:rsid w:val="00431668"/>
    <w:rsid w:val="00431CAD"/>
    <w:rsid w:val="00432DF5"/>
    <w:rsid w:val="00433267"/>
    <w:rsid w:val="0043362C"/>
    <w:rsid w:val="004336D3"/>
    <w:rsid w:val="004337E8"/>
    <w:rsid w:val="00433953"/>
    <w:rsid w:val="00433D13"/>
    <w:rsid w:val="00433EC5"/>
    <w:rsid w:val="004340B7"/>
    <w:rsid w:val="0043419B"/>
    <w:rsid w:val="00434C5D"/>
    <w:rsid w:val="00435C1F"/>
    <w:rsid w:val="004362DC"/>
    <w:rsid w:val="00436348"/>
    <w:rsid w:val="00436CB2"/>
    <w:rsid w:val="00436E62"/>
    <w:rsid w:val="0043773D"/>
    <w:rsid w:val="00440175"/>
    <w:rsid w:val="00440177"/>
    <w:rsid w:val="004401F4"/>
    <w:rsid w:val="004404DA"/>
    <w:rsid w:val="00440CCD"/>
    <w:rsid w:val="00440DB8"/>
    <w:rsid w:val="00441B7F"/>
    <w:rsid w:val="00442890"/>
    <w:rsid w:val="004428A9"/>
    <w:rsid w:val="00442A25"/>
    <w:rsid w:val="004435B7"/>
    <w:rsid w:val="004439B5"/>
    <w:rsid w:val="00443B45"/>
    <w:rsid w:val="00443F7D"/>
    <w:rsid w:val="00444378"/>
    <w:rsid w:val="0044530C"/>
    <w:rsid w:val="00445334"/>
    <w:rsid w:val="00445CA4"/>
    <w:rsid w:val="004463C5"/>
    <w:rsid w:val="0044656F"/>
    <w:rsid w:val="004471F1"/>
    <w:rsid w:val="00447E08"/>
    <w:rsid w:val="004501D0"/>
    <w:rsid w:val="0045091D"/>
    <w:rsid w:val="00450DC6"/>
    <w:rsid w:val="004518B6"/>
    <w:rsid w:val="004518D4"/>
    <w:rsid w:val="0045202E"/>
    <w:rsid w:val="00452DBB"/>
    <w:rsid w:val="00453B33"/>
    <w:rsid w:val="00453BB0"/>
    <w:rsid w:val="00453C90"/>
    <w:rsid w:val="00454168"/>
    <w:rsid w:val="0045511E"/>
    <w:rsid w:val="0045545A"/>
    <w:rsid w:val="0045597A"/>
    <w:rsid w:val="0045606E"/>
    <w:rsid w:val="004561FE"/>
    <w:rsid w:val="00456B23"/>
    <w:rsid w:val="004572ED"/>
    <w:rsid w:val="00457BA5"/>
    <w:rsid w:val="00457BED"/>
    <w:rsid w:val="00457E56"/>
    <w:rsid w:val="004607CC"/>
    <w:rsid w:val="004609C0"/>
    <w:rsid w:val="00460BA4"/>
    <w:rsid w:val="00461DBC"/>
    <w:rsid w:val="004622F4"/>
    <w:rsid w:val="00462575"/>
    <w:rsid w:val="00463248"/>
    <w:rsid w:val="0046332C"/>
    <w:rsid w:val="0046351F"/>
    <w:rsid w:val="00463601"/>
    <w:rsid w:val="004637FE"/>
    <w:rsid w:val="004638A0"/>
    <w:rsid w:val="00463FB7"/>
    <w:rsid w:val="004644AA"/>
    <w:rsid w:val="00464BED"/>
    <w:rsid w:val="004656BE"/>
    <w:rsid w:val="00465E20"/>
    <w:rsid w:val="00466043"/>
    <w:rsid w:val="004663A1"/>
    <w:rsid w:val="00466B53"/>
    <w:rsid w:val="00466E7F"/>
    <w:rsid w:val="0046724B"/>
    <w:rsid w:val="004678DB"/>
    <w:rsid w:val="00467977"/>
    <w:rsid w:val="004703D9"/>
    <w:rsid w:val="00470963"/>
    <w:rsid w:val="00470F82"/>
    <w:rsid w:val="00471095"/>
    <w:rsid w:val="00471981"/>
    <w:rsid w:val="00471E5E"/>
    <w:rsid w:val="004732B9"/>
    <w:rsid w:val="00474243"/>
    <w:rsid w:val="00474324"/>
    <w:rsid w:val="004744E7"/>
    <w:rsid w:val="004751F0"/>
    <w:rsid w:val="00475518"/>
    <w:rsid w:val="004756AC"/>
    <w:rsid w:val="00475BFB"/>
    <w:rsid w:val="00475C8C"/>
    <w:rsid w:val="00475D55"/>
    <w:rsid w:val="00476024"/>
    <w:rsid w:val="0047626F"/>
    <w:rsid w:val="00476744"/>
    <w:rsid w:val="004768B6"/>
    <w:rsid w:val="00476A64"/>
    <w:rsid w:val="00476DD1"/>
    <w:rsid w:val="0047793A"/>
    <w:rsid w:val="004779CA"/>
    <w:rsid w:val="00477A05"/>
    <w:rsid w:val="00477D21"/>
    <w:rsid w:val="00477DD2"/>
    <w:rsid w:val="004802C7"/>
    <w:rsid w:val="004803BA"/>
    <w:rsid w:val="00480E29"/>
    <w:rsid w:val="00481677"/>
    <w:rsid w:val="00481CD7"/>
    <w:rsid w:val="00481F1C"/>
    <w:rsid w:val="004825A5"/>
    <w:rsid w:val="004825B0"/>
    <w:rsid w:val="00483046"/>
    <w:rsid w:val="004838ED"/>
    <w:rsid w:val="00483E71"/>
    <w:rsid w:val="004872AA"/>
    <w:rsid w:val="004879E9"/>
    <w:rsid w:val="00487CD9"/>
    <w:rsid w:val="00487E44"/>
    <w:rsid w:val="0049033E"/>
    <w:rsid w:val="00490A6B"/>
    <w:rsid w:val="0049130C"/>
    <w:rsid w:val="00491453"/>
    <w:rsid w:val="0049164D"/>
    <w:rsid w:val="00491B79"/>
    <w:rsid w:val="0049295C"/>
    <w:rsid w:val="004931EC"/>
    <w:rsid w:val="00493D52"/>
    <w:rsid w:val="00494148"/>
    <w:rsid w:val="00494531"/>
    <w:rsid w:val="004950C3"/>
    <w:rsid w:val="00495F9F"/>
    <w:rsid w:val="00496257"/>
    <w:rsid w:val="00496552"/>
    <w:rsid w:val="00497E9C"/>
    <w:rsid w:val="004A0273"/>
    <w:rsid w:val="004A05FF"/>
    <w:rsid w:val="004A094F"/>
    <w:rsid w:val="004A0CF5"/>
    <w:rsid w:val="004A13C7"/>
    <w:rsid w:val="004A207E"/>
    <w:rsid w:val="004A2505"/>
    <w:rsid w:val="004A27AD"/>
    <w:rsid w:val="004A29E4"/>
    <w:rsid w:val="004A35A3"/>
    <w:rsid w:val="004A35BE"/>
    <w:rsid w:val="004A3A6C"/>
    <w:rsid w:val="004A3C65"/>
    <w:rsid w:val="004A4998"/>
    <w:rsid w:val="004A4F54"/>
    <w:rsid w:val="004A5203"/>
    <w:rsid w:val="004A5468"/>
    <w:rsid w:val="004A5787"/>
    <w:rsid w:val="004A62B7"/>
    <w:rsid w:val="004A6376"/>
    <w:rsid w:val="004A67D2"/>
    <w:rsid w:val="004A6993"/>
    <w:rsid w:val="004A6ADA"/>
    <w:rsid w:val="004A7142"/>
    <w:rsid w:val="004A74ED"/>
    <w:rsid w:val="004A77F4"/>
    <w:rsid w:val="004A7F26"/>
    <w:rsid w:val="004B0943"/>
    <w:rsid w:val="004B0AF5"/>
    <w:rsid w:val="004B119F"/>
    <w:rsid w:val="004B240D"/>
    <w:rsid w:val="004B25E5"/>
    <w:rsid w:val="004B2C91"/>
    <w:rsid w:val="004B2EA0"/>
    <w:rsid w:val="004B3756"/>
    <w:rsid w:val="004B39C3"/>
    <w:rsid w:val="004B46C6"/>
    <w:rsid w:val="004B4723"/>
    <w:rsid w:val="004B4CEB"/>
    <w:rsid w:val="004B5080"/>
    <w:rsid w:val="004B5361"/>
    <w:rsid w:val="004B53FA"/>
    <w:rsid w:val="004B57EC"/>
    <w:rsid w:val="004B61EF"/>
    <w:rsid w:val="004B6579"/>
    <w:rsid w:val="004B69FD"/>
    <w:rsid w:val="004B6C44"/>
    <w:rsid w:val="004B6F5C"/>
    <w:rsid w:val="004B6F7B"/>
    <w:rsid w:val="004B793F"/>
    <w:rsid w:val="004C0597"/>
    <w:rsid w:val="004C0A32"/>
    <w:rsid w:val="004C0D35"/>
    <w:rsid w:val="004C0F9C"/>
    <w:rsid w:val="004C1136"/>
    <w:rsid w:val="004C14FE"/>
    <w:rsid w:val="004C1F51"/>
    <w:rsid w:val="004C2C88"/>
    <w:rsid w:val="004C2D7F"/>
    <w:rsid w:val="004C2EAA"/>
    <w:rsid w:val="004C351F"/>
    <w:rsid w:val="004C3C48"/>
    <w:rsid w:val="004C64E6"/>
    <w:rsid w:val="004C6ACB"/>
    <w:rsid w:val="004C7E0D"/>
    <w:rsid w:val="004D00E2"/>
    <w:rsid w:val="004D07BD"/>
    <w:rsid w:val="004D1190"/>
    <w:rsid w:val="004D295C"/>
    <w:rsid w:val="004D346B"/>
    <w:rsid w:val="004D4047"/>
    <w:rsid w:val="004D4E66"/>
    <w:rsid w:val="004D5039"/>
    <w:rsid w:val="004D53A9"/>
    <w:rsid w:val="004D554D"/>
    <w:rsid w:val="004D5851"/>
    <w:rsid w:val="004D5AB5"/>
    <w:rsid w:val="004D5B39"/>
    <w:rsid w:val="004D6E82"/>
    <w:rsid w:val="004D6EF6"/>
    <w:rsid w:val="004D6F2E"/>
    <w:rsid w:val="004D6F5D"/>
    <w:rsid w:val="004D6FB3"/>
    <w:rsid w:val="004D7222"/>
    <w:rsid w:val="004D7239"/>
    <w:rsid w:val="004E02AD"/>
    <w:rsid w:val="004E04AD"/>
    <w:rsid w:val="004E0CD7"/>
    <w:rsid w:val="004E10F6"/>
    <w:rsid w:val="004E28E4"/>
    <w:rsid w:val="004E2F56"/>
    <w:rsid w:val="004E4F1C"/>
    <w:rsid w:val="004E5AEB"/>
    <w:rsid w:val="004E66CB"/>
    <w:rsid w:val="004E7159"/>
    <w:rsid w:val="004E7C84"/>
    <w:rsid w:val="004F061D"/>
    <w:rsid w:val="004F0D9D"/>
    <w:rsid w:val="004F1B6D"/>
    <w:rsid w:val="004F1E4E"/>
    <w:rsid w:val="004F20B6"/>
    <w:rsid w:val="004F2497"/>
    <w:rsid w:val="004F2741"/>
    <w:rsid w:val="004F2E3F"/>
    <w:rsid w:val="004F3F29"/>
    <w:rsid w:val="004F4260"/>
    <w:rsid w:val="004F4D01"/>
    <w:rsid w:val="004F5317"/>
    <w:rsid w:val="004F5790"/>
    <w:rsid w:val="004F5BD4"/>
    <w:rsid w:val="004F69E9"/>
    <w:rsid w:val="004F6C95"/>
    <w:rsid w:val="004F6F3F"/>
    <w:rsid w:val="004F729A"/>
    <w:rsid w:val="004F7507"/>
    <w:rsid w:val="004F7609"/>
    <w:rsid w:val="004F768E"/>
    <w:rsid w:val="004F7976"/>
    <w:rsid w:val="004F7A46"/>
    <w:rsid w:val="004F7B79"/>
    <w:rsid w:val="00500424"/>
    <w:rsid w:val="00500C1A"/>
    <w:rsid w:val="005010D0"/>
    <w:rsid w:val="00501578"/>
    <w:rsid w:val="005015F7"/>
    <w:rsid w:val="00501D08"/>
    <w:rsid w:val="00502B2D"/>
    <w:rsid w:val="005036E8"/>
    <w:rsid w:val="0050380E"/>
    <w:rsid w:val="005042D3"/>
    <w:rsid w:val="0050542D"/>
    <w:rsid w:val="00505617"/>
    <w:rsid w:val="005056D1"/>
    <w:rsid w:val="00505747"/>
    <w:rsid w:val="00505E06"/>
    <w:rsid w:val="00506350"/>
    <w:rsid w:val="00506709"/>
    <w:rsid w:val="005068BB"/>
    <w:rsid w:val="00506BD3"/>
    <w:rsid w:val="00506ED1"/>
    <w:rsid w:val="005072A3"/>
    <w:rsid w:val="00507AE3"/>
    <w:rsid w:val="00507D7A"/>
    <w:rsid w:val="00510EDF"/>
    <w:rsid w:val="0051102C"/>
    <w:rsid w:val="00511671"/>
    <w:rsid w:val="00511C0E"/>
    <w:rsid w:val="00511CD1"/>
    <w:rsid w:val="0051225E"/>
    <w:rsid w:val="00512762"/>
    <w:rsid w:val="005127A6"/>
    <w:rsid w:val="00512893"/>
    <w:rsid w:val="00512A87"/>
    <w:rsid w:val="0051376E"/>
    <w:rsid w:val="00513803"/>
    <w:rsid w:val="0051437F"/>
    <w:rsid w:val="00514573"/>
    <w:rsid w:val="00514810"/>
    <w:rsid w:val="00515A7E"/>
    <w:rsid w:val="00515F79"/>
    <w:rsid w:val="0051610D"/>
    <w:rsid w:val="00516609"/>
    <w:rsid w:val="00516B7E"/>
    <w:rsid w:val="00516DF2"/>
    <w:rsid w:val="005176A0"/>
    <w:rsid w:val="00520395"/>
    <w:rsid w:val="0052053F"/>
    <w:rsid w:val="0052058F"/>
    <w:rsid w:val="005206E3"/>
    <w:rsid w:val="005218CB"/>
    <w:rsid w:val="00521CC1"/>
    <w:rsid w:val="00522085"/>
    <w:rsid w:val="00522968"/>
    <w:rsid w:val="005231F1"/>
    <w:rsid w:val="005236EB"/>
    <w:rsid w:val="00524541"/>
    <w:rsid w:val="00524AD4"/>
    <w:rsid w:val="0052583C"/>
    <w:rsid w:val="00525B71"/>
    <w:rsid w:val="00525C94"/>
    <w:rsid w:val="00525DEB"/>
    <w:rsid w:val="0052609E"/>
    <w:rsid w:val="0052643F"/>
    <w:rsid w:val="00526895"/>
    <w:rsid w:val="00526A8B"/>
    <w:rsid w:val="0052721A"/>
    <w:rsid w:val="00527829"/>
    <w:rsid w:val="00527C2C"/>
    <w:rsid w:val="0053006D"/>
    <w:rsid w:val="00530DE6"/>
    <w:rsid w:val="0053190F"/>
    <w:rsid w:val="00531D03"/>
    <w:rsid w:val="00532306"/>
    <w:rsid w:val="00532373"/>
    <w:rsid w:val="005324FE"/>
    <w:rsid w:val="0053260A"/>
    <w:rsid w:val="00532767"/>
    <w:rsid w:val="00532B0A"/>
    <w:rsid w:val="005333F2"/>
    <w:rsid w:val="00535428"/>
    <w:rsid w:val="0053579B"/>
    <w:rsid w:val="0053638C"/>
    <w:rsid w:val="005370AA"/>
    <w:rsid w:val="005407FA"/>
    <w:rsid w:val="00541296"/>
    <w:rsid w:val="00541D63"/>
    <w:rsid w:val="00541EA8"/>
    <w:rsid w:val="00542A48"/>
    <w:rsid w:val="00542B00"/>
    <w:rsid w:val="00542EE2"/>
    <w:rsid w:val="00543A54"/>
    <w:rsid w:val="0054403B"/>
    <w:rsid w:val="00544AF7"/>
    <w:rsid w:val="00545A37"/>
    <w:rsid w:val="00545CEA"/>
    <w:rsid w:val="00545E0C"/>
    <w:rsid w:val="00545EFC"/>
    <w:rsid w:val="0054606D"/>
    <w:rsid w:val="0054653B"/>
    <w:rsid w:val="005500D6"/>
    <w:rsid w:val="00550E28"/>
    <w:rsid w:val="00551212"/>
    <w:rsid w:val="00551334"/>
    <w:rsid w:val="00551497"/>
    <w:rsid w:val="00552313"/>
    <w:rsid w:val="0055295C"/>
    <w:rsid w:val="005530B4"/>
    <w:rsid w:val="0055340F"/>
    <w:rsid w:val="005536A1"/>
    <w:rsid w:val="0055411C"/>
    <w:rsid w:val="00554BBA"/>
    <w:rsid w:val="005557B3"/>
    <w:rsid w:val="00555BA2"/>
    <w:rsid w:val="005561F2"/>
    <w:rsid w:val="00556952"/>
    <w:rsid w:val="00556CB4"/>
    <w:rsid w:val="00556DA1"/>
    <w:rsid w:val="005573BA"/>
    <w:rsid w:val="0055794E"/>
    <w:rsid w:val="00557CE0"/>
    <w:rsid w:val="00560594"/>
    <w:rsid w:val="005608B5"/>
    <w:rsid w:val="005616EA"/>
    <w:rsid w:val="00561B98"/>
    <w:rsid w:val="00561EA0"/>
    <w:rsid w:val="0056221F"/>
    <w:rsid w:val="00562A15"/>
    <w:rsid w:val="0056376C"/>
    <w:rsid w:val="00563800"/>
    <w:rsid w:val="005640A8"/>
    <w:rsid w:val="00564A4E"/>
    <w:rsid w:val="00564C47"/>
    <w:rsid w:val="0056554E"/>
    <w:rsid w:val="00565731"/>
    <w:rsid w:val="005657DE"/>
    <w:rsid w:val="00565991"/>
    <w:rsid w:val="00565B90"/>
    <w:rsid w:val="005660CE"/>
    <w:rsid w:val="0056684D"/>
    <w:rsid w:val="005677B0"/>
    <w:rsid w:val="0056793E"/>
    <w:rsid w:val="00570642"/>
    <w:rsid w:val="0057086C"/>
    <w:rsid w:val="005709BE"/>
    <w:rsid w:val="005715D5"/>
    <w:rsid w:val="0057327F"/>
    <w:rsid w:val="005735D5"/>
    <w:rsid w:val="00574944"/>
    <w:rsid w:val="00574E93"/>
    <w:rsid w:val="00575511"/>
    <w:rsid w:val="00575A29"/>
    <w:rsid w:val="00577265"/>
    <w:rsid w:val="00577D31"/>
    <w:rsid w:val="00577F29"/>
    <w:rsid w:val="0058033C"/>
    <w:rsid w:val="00580D75"/>
    <w:rsid w:val="00580D7E"/>
    <w:rsid w:val="0058114B"/>
    <w:rsid w:val="00581A45"/>
    <w:rsid w:val="005822F7"/>
    <w:rsid w:val="00582F7F"/>
    <w:rsid w:val="0058457C"/>
    <w:rsid w:val="00584839"/>
    <w:rsid w:val="00585499"/>
    <w:rsid w:val="0058606B"/>
    <w:rsid w:val="0058665E"/>
    <w:rsid w:val="00586CE5"/>
    <w:rsid w:val="00587423"/>
    <w:rsid w:val="00587530"/>
    <w:rsid w:val="00587A81"/>
    <w:rsid w:val="00587BEF"/>
    <w:rsid w:val="005900CD"/>
    <w:rsid w:val="00590F19"/>
    <w:rsid w:val="00592B64"/>
    <w:rsid w:val="00592BDB"/>
    <w:rsid w:val="00592DE6"/>
    <w:rsid w:val="00593C03"/>
    <w:rsid w:val="0059443E"/>
    <w:rsid w:val="005946A6"/>
    <w:rsid w:val="00594B79"/>
    <w:rsid w:val="0059564F"/>
    <w:rsid w:val="005965F8"/>
    <w:rsid w:val="00596893"/>
    <w:rsid w:val="0059769B"/>
    <w:rsid w:val="00597775"/>
    <w:rsid w:val="005978D5"/>
    <w:rsid w:val="0059790B"/>
    <w:rsid w:val="005A0AD3"/>
    <w:rsid w:val="005A1F05"/>
    <w:rsid w:val="005A22DE"/>
    <w:rsid w:val="005A2A3B"/>
    <w:rsid w:val="005A30E8"/>
    <w:rsid w:val="005A403B"/>
    <w:rsid w:val="005A4C1A"/>
    <w:rsid w:val="005A4C85"/>
    <w:rsid w:val="005A4D74"/>
    <w:rsid w:val="005A50A4"/>
    <w:rsid w:val="005A5CE3"/>
    <w:rsid w:val="005A6B0C"/>
    <w:rsid w:val="005A6B68"/>
    <w:rsid w:val="005A6EEC"/>
    <w:rsid w:val="005A734C"/>
    <w:rsid w:val="005A776C"/>
    <w:rsid w:val="005A77B7"/>
    <w:rsid w:val="005B06DB"/>
    <w:rsid w:val="005B0C4D"/>
    <w:rsid w:val="005B0E0D"/>
    <w:rsid w:val="005B1522"/>
    <w:rsid w:val="005B2E72"/>
    <w:rsid w:val="005B3015"/>
    <w:rsid w:val="005B33F7"/>
    <w:rsid w:val="005B3A69"/>
    <w:rsid w:val="005B4106"/>
    <w:rsid w:val="005B435F"/>
    <w:rsid w:val="005B5CEC"/>
    <w:rsid w:val="005B6271"/>
    <w:rsid w:val="005B638D"/>
    <w:rsid w:val="005B6B28"/>
    <w:rsid w:val="005C0724"/>
    <w:rsid w:val="005C0983"/>
    <w:rsid w:val="005C09EE"/>
    <w:rsid w:val="005C2115"/>
    <w:rsid w:val="005C364D"/>
    <w:rsid w:val="005C415C"/>
    <w:rsid w:val="005C47E1"/>
    <w:rsid w:val="005C4D1C"/>
    <w:rsid w:val="005C543F"/>
    <w:rsid w:val="005C575E"/>
    <w:rsid w:val="005C58FD"/>
    <w:rsid w:val="005C643C"/>
    <w:rsid w:val="005C68A2"/>
    <w:rsid w:val="005C6C65"/>
    <w:rsid w:val="005C702B"/>
    <w:rsid w:val="005C7908"/>
    <w:rsid w:val="005D0DF5"/>
    <w:rsid w:val="005D120D"/>
    <w:rsid w:val="005D149D"/>
    <w:rsid w:val="005D1692"/>
    <w:rsid w:val="005D17B4"/>
    <w:rsid w:val="005D2009"/>
    <w:rsid w:val="005D23B6"/>
    <w:rsid w:val="005D25EA"/>
    <w:rsid w:val="005D25EE"/>
    <w:rsid w:val="005D35E3"/>
    <w:rsid w:val="005D4246"/>
    <w:rsid w:val="005D4528"/>
    <w:rsid w:val="005D4592"/>
    <w:rsid w:val="005D5D52"/>
    <w:rsid w:val="005D634F"/>
    <w:rsid w:val="005D6D05"/>
    <w:rsid w:val="005D6FD8"/>
    <w:rsid w:val="005D7674"/>
    <w:rsid w:val="005D76CA"/>
    <w:rsid w:val="005E0AC4"/>
    <w:rsid w:val="005E0CB8"/>
    <w:rsid w:val="005E2056"/>
    <w:rsid w:val="005E3541"/>
    <w:rsid w:val="005E4CE6"/>
    <w:rsid w:val="005E4D19"/>
    <w:rsid w:val="005E4D7F"/>
    <w:rsid w:val="005E4F6E"/>
    <w:rsid w:val="005E53E6"/>
    <w:rsid w:val="005E5CE1"/>
    <w:rsid w:val="005E685D"/>
    <w:rsid w:val="005E729B"/>
    <w:rsid w:val="005E76D8"/>
    <w:rsid w:val="005E7DFE"/>
    <w:rsid w:val="005F0326"/>
    <w:rsid w:val="005F080F"/>
    <w:rsid w:val="005F0955"/>
    <w:rsid w:val="005F0F84"/>
    <w:rsid w:val="005F2396"/>
    <w:rsid w:val="005F2533"/>
    <w:rsid w:val="005F29E7"/>
    <w:rsid w:val="005F2F77"/>
    <w:rsid w:val="005F3C95"/>
    <w:rsid w:val="005F411A"/>
    <w:rsid w:val="005F5119"/>
    <w:rsid w:val="005F572D"/>
    <w:rsid w:val="005F5C4B"/>
    <w:rsid w:val="005F60EC"/>
    <w:rsid w:val="005F61AA"/>
    <w:rsid w:val="005F6368"/>
    <w:rsid w:val="005F682A"/>
    <w:rsid w:val="005F6AF5"/>
    <w:rsid w:val="005F7E27"/>
    <w:rsid w:val="006002DA"/>
    <w:rsid w:val="00602009"/>
    <w:rsid w:val="006023DD"/>
    <w:rsid w:val="00602BF6"/>
    <w:rsid w:val="006039FA"/>
    <w:rsid w:val="00603BD1"/>
    <w:rsid w:val="00604269"/>
    <w:rsid w:val="00604329"/>
    <w:rsid w:val="0060457B"/>
    <w:rsid w:val="00604679"/>
    <w:rsid w:val="00604E40"/>
    <w:rsid w:val="00605265"/>
    <w:rsid w:val="006053BA"/>
    <w:rsid w:val="00605786"/>
    <w:rsid w:val="00605B24"/>
    <w:rsid w:val="00605EEE"/>
    <w:rsid w:val="00606356"/>
    <w:rsid w:val="006067A2"/>
    <w:rsid w:val="00606C82"/>
    <w:rsid w:val="0060730C"/>
    <w:rsid w:val="006074C8"/>
    <w:rsid w:val="006074FE"/>
    <w:rsid w:val="0060777F"/>
    <w:rsid w:val="006077E8"/>
    <w:rsid w:val="00607E1B"/>
    <w:rsid w:val="00610057"/>
    <w:rsid w:val="00611807"/>
    <w:rsid w:val="006118EE"/>
    <w:rsid w:val="0061249A"/>
    <w:rsid w:val="00612CFD"/>
    <w:rsid w:val="006148E3"/>
    <w:rsid w:val="00615D46"/>
    <w:rsid w:val="00616693"/>
    <w:rsid w:val="0061691A"/>
    <w:rsid w:val="00616977"/>
    <w:rsid w:val="00617698"/>
    <w:rsid w:val="006176E3"/>
    <w:rsid w:val="00617BA7"/>
    <w:rsid w:val="00617DFA"/>
    <w:rsid w:val="00617E2E"/>
    <w:rsid w:val="00617F01"/>
    <w:rsid w:val="00620724"/>
    <w:rsid w:val="00620B6A"/>
    <w:rsid w:val="00620C6E"/>
    <w:rsid w:val="00620CA8"/>
    <w:rsid w:val="0062147A"/>
    <w:rsid w:val="00621533"/>
    <w:rsid w:val="00621602"/>
    <w:rsid w:val="00621860"/>
    <w:rsid w:val="0062258B"/>
    <w:rsid w:val="00622B28"/>
    <w:rsid w:val="006235E7"/>
    <w:rsid w:val="00623A47"/>
    <w:rsid w:val="006244EE"/>
    <w:rsid w:val="0062531F"/>
    <w:rsid w:val="0062540D"/>
    <w:rsid w:val="00625473"/>
    <w:rsid w:val="0062580E"/>
    <w:rsid w:val="00625C59"/>
    <w:rsid w:val="00626580"/>
    <w:rsid w:val="006275B0"/>
    <w:rsid w:val="00627D0A"/>
    <w:rsid w:val="0063193E"/>
    <w:rsid w:val="00631987"/>
    <w:rsid w:val="00631BE7"/>
    <w:rsid w:val="00632629"/>
    <w:rsid w:val="006326F5"/>
    <w:rsid w:val="00632C2D"/>
    <w:rsid w:val="00632D5F"/>
    <w:rsid w:val="00632D8B"/>
    <w:rsid w:val="006337AB"/>
    <w:rsid w:val="006342F0"/>
    <w:rsid w:val="0063449F"/>
    <w:rsid w:val="00634572"/>
    <w:rsid w:val="00634B2A"/>
    <w:rsid w:val="00634B99"/>
    <w:rsid w:val="00635160"/>
    <w:rsid w:val="00635423"/>
    <w:rsid w:val="00635479"/>
    <w:rsid w:val="00635814"/>
    <w:rsid w:val="0063583C"/>
    <w:rsid w:val="00636B67"/>
    <w:rsid w:val="006376C0"/>
    <w:rsid w:val="00637E12"/>
    <w:rsid w:val="006400ED"/>
    <w:rsid w:val="0064095A"/>
    <w:rsid w:val="00641DB9"/>
    <w:rsid w:val="00642369"/>
    <w:rsid w:val="00642B5F"/>
    <w:rsid w:val="00642E76"/>
    <w:rsid w:val="00642F37"/>
    <w:rsid w:val="0064349A"/>
    <w:rsid w:val="00643657"/>
    <w:rsid w:val="00643722"/>
    <w:rsid w:val="00643C83"/>
    <w:rsid w:val="00643D94"/>
    <w:rsid w:val="00644A46"/>
    <w:rsid w:val="006451C7"/>
    <w:rsid w:val="00645470"/>
    <w:rsid w:val="0064644F"/>
    <w:rsid w:val="006468A2"/>
    <w:rsid w:val="00646CAF"/>
    <w:rsid w:val="0064729C"/>
    <w:rsid w:val="00647C30"/>
    <w:rsid w:val="00647F65"/>
    <w:rsid w:val="00650433"/>
    <w:rsid w:val="006507D1"/>
    <w:rsid w:val="00650908"/>
    <w:rsid w:val="006520CE"/>
    <w:rsid w:val="0065212C"/>
    <w:rsid w:val="00652294"/>
    <w:rsid w:val="00652F87"/>
    <w:rsid w:val="00654B18"/>
    <w:rsid w:val="006561B9"/>
    <w:rsid w:val="0065661C"/>
    <w:rsid w:val="00656D15"/>
    <w:rsid w:val="006578AD"/>
    <w:rsid w:val="006579E3"/>
    <w:rsid w:val="00657AC4"/>
    <w:rsid w:val="00657C74"/>
    <w:rsid w:val="00657DF0"/>
    <w:rsid w:val="00660E8C"/>
    <w:rsid w:val="0066200B"/>
    <w:rsid w:val="00662320"/>
    <w:rsid w:val="00663949"/>
    <w:rsid w:val="00663D51"/>
    <w:rsid w:val="00664E2E"/>
    <w:rsid w:val="0066588D"/>
    <w:rsid w:val="00666713"/>
    <w:rsid w:val="00666C8D"/>
    <w:rsid w:val="006678CD"/>
    <w:rsid w:val="00667CDB"/>
    <w:rsid w:val="00670A2F"/>
    <w:rsid w:val="00671911"/>
    <w:rsid w:val="006724E8"/>
    <w:rsid w:val="00672803"/>
    <w:rsid w:val="006728AB"/>
    <w:rsid w:val="00672A35"/>
    <w:rsid w:val="00673269"/>
    <w:rsid w:val="00673337"/>
    <w:rsid w:val="006733D4"/>
    <w:rsid w:val="0067474A"/>
    <w:rsid w:val="00674DB5"/>
    <w:rsid w:val="00675065"/>
    <w:rsid w:val="00676215"/>
    <w:rsid w:val="00676B37"/>
    <w:rsid w:val="0067716E"/>
    <w:rsid w:val="00677C65"/>
    <w:rsid w:val="00680038"/>
    <w:rsid w:val="006803CA"/>
    <w:rsid w:val="00680C64"/>
    <w:rsid w:val="006812BF"/>
    <w:rsid w:val="00681527"/>
    <w:rsid w:val="006817FD"/>
    <w:rsid w:val="00681C3C"/>
    <w:rsid w:val="006820A7"/>
    <w:rsid w:val="00682677"/>
    <w:rsid w:val="0068379C"/>
    <w:rsid w:val="0068399D"/>
    <w:rsid w:val="00683C04"/>
    <w:rsid w:val="00683C28"/>
    <w:rsid w:val="00683CD9"/>
    <w:rsid w:val="0068404F"/>
    <w:rsid w:val="00684166"/>
    <w:rsid w:val="00684AE7"/>
    <w:rsid w:val="006858AF"/>
    <w:rsid w:val="00685EA3"/>
    <w:rsid w:val="00686B28"/>
    <w:rsid w:val="00686F8C"/>
    <w:rsid w:val="006871EE"/>
    <w:rsid w:val="00687253"/>
    <w:rsid w:val="006872FA"/>
    <w:rsid w:val="006873B5"/>
    <w:rsid w:val="00687582"/>
    <w:rsid w:val="00687B5E"/>
    <w:rsid w:val="00687F42"/>
    <w:rsid w:val="0069024C"/>
    <w:rsid w:val="00690834"/>
    <w:rsid w:val="00690AF6"/>
    <w:rsid w:val="00691663"/>
    <w:rsid w:val="0069250E"/>
    <w:rsid w:val="00692E2E"/>
    <w:rsid w:val="0069326B"/>
    <w:rsid w:val="006935A2"/>
    <w:rsid w:val="00693697"/>
    <w:rsid w:val="00693782"/>
    <w:rsid w:val="00694AF7"/>
    <w:rsid w:val="00694B55"/>
    <w:rsid w:val="00694BC1"/>
    <w:rsid w:val="0069564D"/>
    <w:rsid w:val="00695950"/>
    <w:rsid w:val="00695A04"/>
    <w:rsid w:val="00695D10"/>
    <w:rsid w:val="00697801"/>
    <w:rsid w:val="006A099D"/>
    <w:rsid w:val="006A0BBC"/>
    <w:rsid w:val="006A1133"/>
    <w:rsid w:val="006A145D"/>
    <w:rsid w:val="006A27BF"/>
    <w:rsid w:val="006A31EC"/>
    <w:rsid w:val="006A3F40"/>
    <w:rsid w:val="006A504B"/>
    <w:rsid w:val="006A58F3"/>
    <w:rsid w:val="006A6E06"/>
    <w:rsid w:val="006A7060"/>
    <w:rsid w:val="006A7153"/>
    <w:rsid w:val="006A7CFD"/>
    <w:rsid w:val="006B0044"/>
    <w:rsid w:val="006B03E2"/>
    <w:rsid w:val="006B1225"/>
    <w:rsid w:val="006B1800"/>
    <w:rsid w:val="006B1F27"/>
    <w:rsid w:val="006B2206"/>
    <w:rsid w:val="006B2738"/>
    <w:rsid w:val="006B2BDD"/>
    <w:rsid w:val="006B3362"/>
    <w:rsid w:val="006B3ACB"/>
    <w:rsid w:val="006B4072"/>
    <w:rsid w:val="006B461E"/>
    <w:rsid w:val="006B463A"/>
    <w:rsid w:val="006B5C55"/>
    <w:rsid w:val="006B5C7E"/>
    <w:rsid w:val="006B5F89"/>
    <w:rsid w:val="006B6005"/>
    <w:rsid w:val="006B68DF"/>
    <w:rsid w:val="006B75F1"/>
    <w:rsid w:val="006B7AEB"/>
    <w:rsid w:val="006C0333"/>
    <w:rsid w:val="006C07AD"/>
    <w:rsid w:val="006C0F4A"/>
    <w:rsid w:val="006C17E6"/>
    <w:rsid w:val="006C1BE2"/>
    <w:rsid w:val="006C1DC1"/>
    <w:rsid w:val="006C256C"/>
    <w:rsid w:val="006C308E"/>
    <w:rsid w:val="006C3432"/>
    <w:rsid w:val="006C3539"/>
    <w:rsid w:val="006C4870"/>
    <w:rsid w:val="006C4CFA"/>
    <w:rsid w:val="006C4F97"/>
    <w:rsid w:val="006C5326"/>
    <w:rsid w:val="006C56B8"/>
    <w:rsid w:val="006C5FBD"/>
    <w:rsid w:val="006C61FF"/>
    <w:rsid w:val="006C6380"/>
    <w:rsid w:val="006C730E"/>
    <w:rsid w:val="006C7E95"/>
    <w:rsid w:val="006D07D7"/>
    <w:rsid w:val="006D088B"/>
    <w:rsid w:val="006D0B8C"/>
    <w:rsid w:val="006D125E"/>
    <w:rsid w:val="006D191D"/>
    <w:rsid w:val="006D2318"/>
    <w:rsid w:val="006D3222"/>
    <w:rsid w:val="006D39AC"/>
    <w:rsid w:val="006D3EB5"/>
    <w:rsid w:val="006D3F5F"/>
    <w:rsid w:val="006D468B"/>
    <w:rsid w:val="006D4930"/>
    <w:rsid w:val="006D4A7F"/>
    <w:rsid w:val="006D4ED9"/>
    <w:rsid w:val="006D51E7"/>
    <w:rsid w:val="006D570B"/>
    <w:rsid w:val="006D5A7F"/>
    <w:rsid w:val="006D5F76"/>
    <w:rsid w:val="006D63E8"/>
    <w:rsid w:val="006D6669"/>
    <w:rsid w:val="006D77DE"/>
    <w:rsid w:val="006D79E9"/>
    <w:rsid w:val="006D7B52"/>
    <w:rsid w:val="006E0900"/>
    <w:rsid w:val="006E0B5F"/>
    <w:rsid w:val="006E0D37"/>
    <w:rsid w:val="006E0F15"/>
    <w:rsid w:val="006E1925"/>
    <w:rsid w:val="006E1A25"/>
    <w:rsid w:val="006E1F53"/>
    <w:rsid w:val="006E1F5B"/>
    <w:rsid w:val="006E207E"/>
    <w:rsid w:val="006E235D"/>
    <w:rsid w:val="006E2675"/>
    <w:rsid w:val="006E27BA"/>
    <w:rsid w:val="006E2835"/>
    <w:rsid w:val="006E29AA"/>
    <w:rsid w:val="006E2BBC"/>
    <w:rsid w:val="006E3EEB"/>
    <w:rsid w:val="006E4175"/>
    <w:rsid w:val="006E44E8"/>
    <w:rsid w:val="006E4855"/>
    <w:rsid w:val="006E495A"/>
    <w:rsid w:val="006E4F72"/>
    <w:rsid w:val="006E5589"/>
    <w:rsid w:val="006E5BCE"/>
    <w:rsid w:val="006E65A3"/>
    <w:rsid w:val="006E6655"/>
    <w:rsid w:val="006F01DD"/>
    <w:rsid w:val="006F02C2"/>
    <w:rsid w:val="006F04D7"/>
    <w:rsid w:val="006F1A3B"/>
    <w:rsid w:val="006F2375"/>
    <w:rsid w:val="006F25B8"/>
    <w:rsid w:val="006F2691"/>
    <w:rsid w:val="006F2A4E"/>
    <w:rsid w:val="006F33AE"/>
    <w:rsid w:val="006F3788"/>
    <w:rsid w:val="006F3A2D"/>
    <w:rsid w:val="006F4169"/>
    <w:rsid w:val="006F41D4"/>
    <w:rsid w:val="006F739C"/>
    <w:rsid w:val="006F75E8"/>
    <w:rsid w:val="00700721"/>
    <w:rsid w:val="00700844"/>
    <w:rsid w:val="007016F2"/>
    <w:rsid w:val="00702E3C"/>
    <w:rsid w:val="0070314E"/>
    <w:rsid w:val="00703303"/>
    <w:rsid w:val="0070337A"/>
    <w:rsid w:val="00703B91"/>
    <w:rsid w:val="00703F67"/>
    <w:rsid w:val="00703FB6"/>
    <w:rsid w:val="00704418"/>
    <w:rsid w:val="0070468F"/>
    <w:rsid w:val="007051C0"/>
    <w:rsid w:val="007054C2"/>
    <w:rsid w:val="007055F9"/>
    <w:rsid w:val="00705C57"/>
    <w:rsid w:val="00706448"/>
    <w:rsid w:val="0070648B"/>
    <w:rsid w:val="00707496"/>
    <w:rsid w:val="00707974"/>
    <w:rsid w:val="00707983"/>
    <w:rsid w:val="00710272"/>
    <w:rsid w:val="00710F21"/>
    <w:rsid w:val="00711696"/>
    <w:rsid w:val="00711884"/>
    <w:rsid w:val="00711F83"/>
    <w:rsid w:val="00712481"/>
    <w:rsid w:val="007126AD"/>
    <w:rsid w:val="00713934"/>
    <w:rsid w:val="00713C2E"/>
    <w:rsid w:val="00713FE7"/>
    <w:rsid w:val="00714574"/>
    <w:rsid w:val="007147CB"/>
    <w:rsid w:val="0071487E"/>
    <w:rsid w:val="007148E1"/>
    <w:rsid w:val="00714BF4"/>
    <w:rsid w:val="00714CE3"/>
    <w:rsid w:val="007151B2"/>
    <w:rsid w:val="00715238"/>
    <w:rsid w:val="0071552D"/>
    <w:rsid w:val="00715695"/>
    <w:rsid w:val="007159FA"/>
    <w:rsid w:val="00715E49"/>
    <w:rsid w:val="00716C43"/>
    <w:rsid w:val="0071700D"/>
    <w:rsid w:val="00717E79"/>
    <w:rsid w:val="00720834"/>
    <w:rsid w:val="0072089A"/>
    <w:rsid w:val="00720C7B"/>
    <w:rsid w:val="00720E02"/>
    <w:rsid w:val="00720F53"/>
    <w:rsid w:val="0072102F"/>
    <w:rsid w:val="00721EB6"/>
    <w:rsid w:val="007225CE"/>
    <w:rsid w:val="00722AF5"/>
    <w:rsid w:val="00723557"/>
    <w:rsid w:val="00723A75"/>
    <w:rsid w:val="00723A9D"/>
    <w:rsid w:val="007244E8"/>
    <w:rsid w:val="00724777"/>
    <w:rsid w:val="00726D28"/>
    <w:rsid w:val="00726EC3"/>
    <w:rsid w:val="00727313"/>
    <w:rsid w:val="007277F4"/>
    <w:rsid w:val="00727B96"/>
    <w:rsid w:val="00727F2B"/>
    <w:rsid w:val="007305D6"/>
    <w:rsid w:val="00730931"/>
    <w:rsid w:val="00730B1E"/>
    <w:rsid w:val="007314AB"/>
    <w:rsid w:val="007318F6"/>
    <w:rsid w:val="007331E4"/>
    <w:rsid w:val="00733A9C"/>
    <w:rsid w:val="00733B4C"/>
    <w:rsid w:val="00733D1F"/>
    <w:rsid w:val="007342CD"/>
    <w:rsid w:val="007342F8"/>
    <w:rsid w:val="0073465F"/>
    <w:rsid w:val="007349A1"/>
    <w:rsid w:val="0073547D"/>
    <w:rsid w:val="00736610"/>
    <w:rsid w:val="00736FB7"/>
    <w:rsid w:val="00736FF1"/>
    <w:rsid w:val="00737678"/>
    <w:rsid w:val="007378F1"/>
    <w:rsid w:val="00737F4F"/>
    <w:rsid w:val="0074062D"/>
    <w:rsid w:val="0074089E"/>
    <w:rsid w:val="00741BFE"/>
    <w:rsid w:val="007420C9"/>
    <w:rsid w:val="007427A6"/>
    <w:rsid w:val="00743C4C"/>
    <w:rsid w:val="00743CAE"/>
    <w:rsid w:val="00743DF0"/>
    <w:rsid w:val="00744257"/>
    <w:rsid w:val="00744273"/>
    <w:rsid w:val="00745265"/>
    <w:rsid w:val="00746A4B"/>
    <w:rsid w:val="007474D8"/>
    <w:rsid w:val="0074771F"/>
    <w:rsid w:val="007504E8"/>
    <w:rsid w:val="00750DD6"/>
    <w:rsid w:val="0075179C"/>
    <w:rsid w:val="00751A31"/>
    <w:rsid w:val="007520E1"/>
    <w:rsid w:val="007520E2"/>
    <w:rsid w:val="007523B0"/>
    <w:rsid w:val="00752472"/>
    <w:rsid w:val="007529B9"/>
    <w:rsid w:val="007535DB"/>
    <w:rsid w:val="007537AE"/>
    <w:rsid w:val="00754059"/>
    <w:rsid w:val="0075413D"/>
    <w:rsid w:val="00754907"/>
    <w:rsid w:val="00754A2E"/>
    <w:rsid w:val="00754E1D"/>
    <w:rsid w:val="00755920"/>
    <w:rsid w:val="00756944"/>
    <w:rsid w:val="00757157"/>
    <w:rsid w:val="0075779C"/>
    <w:rsid w:val="00757B3F"/>
    <w:rsid w:val="00760022"/>
    <w:rsid w:val="00760465"/>
    <w:rsid w:val="00761703"/>
    <w:rsid w:val="0076243F"/>
    <w:rsid w:val="00763207"/>
    <w:rsid w:val="00763665"/>
    <w:rsid w:val="007637E6"/>
    <w:rsid w:val="00764D53"/>
    <w:rsid w:val="0076519D"/>
    <w:rsid w:val="00765EC1"/>
    <w:rsid w:val="0076608D"/>
    <w:rsid w:val="007667F4"/>
    <w:rsid w:val="00766E62"/>
    <w:rsid w:val="00766F1D"/>
    <w:rsid w:val="00767413"/>
    <w:rsid w:val="00767615"/>
    <w:rsid w:val="007679E1"/>
    <w:rsid w:val="00770234"/>
    <w:rsid w:val="00770300"/>
    <w:rsid w:val="00770471"/>
    <w:rsid w:val="00770B43"/>
    <w:rsid w:val="00771B43"/>
    <w:rsid w:val="007735B0"/>
    <w:rsid w:val="007736CB"/>
    <w:rsid w:val="00773989"/>
    <w:rsid w:val="00773FBF"/>
    <w:rsid w:val="00775006"/>
    <w:rsid w:val="00775106"/>
    <w:rsid w:val="007752C6"/>
    <w:rsid w:val="00775CD4"/>
    <w:rsid w:val="00775F2D"/>
    <w:rsid w:val="00775F67"/>
    <w:rsid w:val="007767F1"/>
    <w:rsid w:val="00776D01"/>
    <w:rsid w:val="00776EBB"/>
    <w:rsid w:val="00780D8A"/>
    <w:rsid w:val="00780DCC"/>
    <w:rsid w:val="00780EDE"/>
    <w:rsid w:val="0078153C"/>
    <w:rsid w:val="00781E6B"/>
    <w:rsid w:val="00782099"/>
    <w:rsid w:val="0078276B"/>
    <w:rsid w:val="00782AF3"/>
    <w:rsid w:val="00782E29"/>
    <w:rsid w:val="00782F55"/>
    <w:rsid w:val="007830CA"/>
    <w:rsid w:val="0078362E"/>
    <w:rsid w:val="00784515"/>
    <w:rsid w:val="00784687"/>
    <w:rsid w:val="00784802"/>
    <w:rsid w:val="00787717"/>
    <w:rsid w:val="00787876"/>
    <w:rsid w:val="007879E7"/>
    <w:rsid w:val="00787BFA"/>
    <w:rsid w:val="00787E98"/>
    <w:rsid w:val="00790376"/>
    <w:rsid w:val="007909B9"/>
    <w:rsid w:val="00790AD0"/>
    <w:rsid w:val="007912BB"/>
    <w:rsid w:val="007925D5"/>
    <w:rsid w:val="00792EE4"/>
    <w:rsid w:val="00793483"/>
    <w:rsid w:val="00793DEB"/>
    <w:rsid w:val="00793DFC"/>
    <w:rsid w:val="0079476E"/>
    <w:rsid w:val="007952E9"/>
    <w:rsid w:val="00795546"/>
    <w:rsid w:val="00795A21"/>
    <w:rsid w:val="00795CC5"/>
    <w:rsid w:val="007960D0"/>
    <w:rsid w:val="00796100"/>
    <w:rsid w:val="00796542"/>
    <w:rsid w:val="0079693A"/>
    <w:rsid w:val="00797A7E"/>
    <w:rsid w:val="007A1371"/>
    <w:rsid w:val="007A185E"/>
    <w:rsid w:val="007A1B93"/>
    <w:rsid w:val="007A1D2A"/>
    <w:rsid w:val="007A1DC3"/>
    <w:rsid w:val="007A2737"/>
    <w:rsid w:val="007A3A90"/>
    <w:rsid w:val="007A3D0E"/>
    <w:rsid w:val="007A4C05"/>
    <w:rsid w:val="007A4D7A"/>
    <w:rsid w:val="007A5200"/>
    <w:rsid w:val="007A5249"/>
    <w:rsid w:val="007A5878"/>
    <w:rsid w:val="007A59B0"/>
    <w:rsid w:val="007A5FD6"/>
    <w:rsid w:val="007A6302"/>
    <w:rsid w:val="007A6864"/>
    <w:rsid w:val="007A6CA5"/>
    <w:rsid w:val="007A78EE"/>
    <w:rsid w:val="007B001B"/>
    <w:rsid w:val="007B1586"/>
    <w:rsid w:val="007B1D34"/>
    <w:rsid w:val="007B20E0"/>
    <w:rsid w:val="007B2C74"/>
    <w:rsid w:val="007B3BE9"/>
    <w:rsid w:val="007B3CE0"/>
    <w:rsid w:val="007B50AC"/>
    <w:rsid w:val="007B7106"/>
    <w:rsid w:val="007B7162"/>
    <w:rsid w:val="007B750F"/>
    <w:rsid w:val="007B7784"/>
    <w:rsid w:val="007B7F89"/>
    <w:rsid w:val="007C047D"/>
    <w:rsid w:val="007C05E5"/>
    <w:rsid w:val="007C094C"/>
    <w:rsid w:val="007C0BCB"/>
    <w:rsid w:val="007C0E73"/>
    <w:rsid w:val="007C1608"/>
    <w:rsid w:val="007C20A0"/>
    <w:rsid w:val="007C2E78"/>
    <w:rsid w:val="007C3687"/>
    <w:rsid w:val="007C3714"/>
    <w:rsid w:val="007C4537"/>
    <w:rsid w:val="007C47AB"/>
    <w:rsid w:val="007C5478"/>
    <w:rsid w:val="007C58FD"/>
    <w:rsid w:val="007C693F"/>
    <w:rsid w:val="007C6C86"/>
    <w:rsid w:val="007C74FD"/>
    <w:rsid w:val="007C7D15"/>
    <w:rsid w:val="007C7D28"/>
    <w:rsid w:val="007D0235"/>
    <w:rsid w:val="007D04DE"/>
    <w:rsid w:val="007D15D4"/>
    <w:rsid w:val="007D1995"/>
    <w:rsid w:val="007D1D8D"/>
    <w:rsid w:val="007D20AD"/>
    <w:rsid w:val="007D2152"/>
    <w:rsid w:val="007D2242"/>
    <w:rsid w:val="007D4201"/>
    <w:rsid w:val="007D476A"/>
    <w:rsid w:val="007D4CBA"/>
    <w:rsid w:val="007D6240"/>
    <w:rsid w:val="007D6580"/>
    <w:rsid w:val="007D74DC"/>
    <w:rsid w:val="007D76E4"/>
    <w:rsid w:val="007E0880"/>
    <w:rsid w:val="007E099D"/>
    <w:rsid w:val="007E0BC3"/>
    <w:rsid w:val="007E0C04"/>
    <w:rsid w:val="007E0C7D"/>
    <w:rsid w:val="007E17E2"/>
    <w:rsid w:val="007E1AF7"/>
    <w:rsid w:val="007E2852"/>
    <w:rsid w:val="007E296A"/>
    <w:rsid w:val="007E4FDF"/>
    <w:rsid w:val="007E514D"/>
    <w:rsid w:val="007E5426"/>
    <w:rsid w:val="007E57C7"/>
    <w:rsid w:val="007E65C7"/>
    <w:rsid w:val="007E6869"/>
    <w:rsid w:val="007E7306"/>
    <w:rsid w:val="007F004B"/>
    <w:rsid w:val="007F030F"/>
    <w:rsid w:val="007F0C41"/>
    <w:rsid w:val="007F0FE8"/>
    <w:rsid w:val="007F17AB"/>
    <w:rsid w:val="007F1D9F"/>
    <w:rsid w:val="007F215F"/>
    <w:rsid w:val="007F228A"/>
    <w:rsid w:val="007F3752"/>
    <w:rsid w:val="007F39F8"/>
    <w:rsid w:val="007F4012"/>
    <w:rsid w:val="007F5182"/>
    <w:rsid w:val="007F5484"/>
    <w:rsid w:val="007F58F9"/>
    <w:rsid w:val="007F5A59"/>
    <w:rsid w:val="007F65D1"/>
    <w:rsid w:val="007F6814"/>
    <w:rsid w:val="007F68D0"/>
    <w:rsid w:val="007F73C9"/>
    <w:rsid w:val="007F74E7"/>
    <w:rsid w:val="008016C8"/>
    <w:rsid w:val="008019A9"/>
    <w:rsid w:val="00801DF5"/>
    <w:rsid w:val="00801F5D"/>
    <w:rsid w:val="008021D1"/>
    <w:rsid w:val="00802EB1"/>
    <w:rsid w:val="0080347F"/>
    <w:rsid w:val="008035FC"/>
    <w:rsid w:val="0080361C"/>
    <w:rsid w:val="00803C24"/>
    <w:rsid w:val="00803C9B"/>
    <w:rsid w:val="00804369"/>
    <w:rsid w:val="00804DB6"/>
    <w:rsid w:val="008054DC"/>
    <w:rsid w:val="00805620"/>
    <w:rsid w:val="008059E6"/>
    <w:rsid w:val="00805B2E"/>
    <w:rsid w:val="00805CF1"/>
    <w:rsid w:val="00806CD7"/>
    <w:rsid w:val="00806DDA"/>
    <w:rsid w:val="008078BD"/>
    <w:rsid w:val="00807FD9"/>
    <w:rsid w:val="0081039A"/>
    <w:rsid w:val="00810541"/>
    <w:rsid w:val="00812413"/>
    <w:rsid w:val="0081242E"/>
    <w:rsid w:val="00812F82"/>
    <w:rsid w:val="008137A0"/>
    <w:rsid w:val="0081390D"/>
    <w:rsid w:val="00813A1D"/>
    <w:rsid w:val="00813B69"/>
    <w:rsid w:val="00814225"/>
    <w:rsid w:val="00814579"/>
    <w:rsid w:val="00814D3D"/>
    <w:rsid w:val="008151C6"/>
    <w:rsid w:val="00815291"/>
    <w:rsid w:val="008152A8"/>
    <w:rsid w:val="008168D5"/>
    <w:rsid w:val="00816EEC"/>
    <w:rsid w:val="00820688"/>
    <w:rsid w:val="00820C89"/>
    <w:rsid w:val="00821733"/>
    <w:rsid w:val="00821B7E"/>
    <w:rsid w:val="008220BA"/>
    <w:rsid w:val="008223E0"/>
    <w:rsid w:val="008229B5"/>
    <w:rsid w:val="00822CE6"/>
    <w:rsid w:val="00823117"/>
    <w:rsid w:val="008235DE"/>
    <w:rsid w:val="008237B0"/>
    <w:rsid w:val="00823A64"/>
    <w:rsid w:val="0082467C"/>
    <w:rsid w:val="00824AE6"/>
    <w:rsid w:val="00824DEB"/>
    <w:rsid w:val="008250D3"/>
    <w:rsid w:val="008257A6"/>
    <w:rsid w:val="00826107"/>
    <w:rsid w:val="008263E4"/>
    <w:rsid w:val="00826A20"/>
    <w:rsid w:val="00826C46"/>
    <w:rsid w:val="0082781F"/>
    <w:rsid w:val="00830714"/>
    <w:rsid w:val="0083094E"/>
    <w:rsid w:val="008309E4"/>
    <w:rsid w:val="00831CC2"/>
    <w:rsid w:val="00831D1C"/>
    <w:rsid w:val="00831D4D"/>
    <w:rsid w:val="00832019"/>
    <w:rsid w:val="008324D3"/>
    <w:rsid w:val="00832634"/>
    <w:rsid w:val="008333A2"/>
    <w:rsid w:val="0083382F"/>
    <w:rsid w:val="00833DCA"/>
    <w:rsid w:val="0083447C"/>
    <w:rsid w:val="00834672"/>
    <w:rsid w:val="0083488C"/>
    <w:rsid w:val="00834DD8"/>
    <w:rsid w:val="00835384"/>
    <w:rsid w:val="00835B3F"/>
    <w:rsid w:val="0083643D"/>
    <w:rsid w:val="00836492"/>
    <w:rsid w:val="0083756A"/>
    <w:rsid w:val="0084079C"/>
    <w:rsid w:val="00841296"/>
    <w:rsid w:val="0084163C"/>
    <w:rsid w:val="0084189F"/>
    <w:rsid w:val="00842141"/>
    <w:rsid w:val="008425B4"/>
    <w:rsid w:val="00842777"/>
    <w:rsid w:val="008430BD"/>
    <w:rsid w:val="008432BE"/>
    <w:rsid w:val="008433A9"/>
    <w:rsid w:val="00845336"/>
    <w:rsid w:val="0084543E"/>
    <w:rsid w:val="008457EB"/>
    <w:rsid w:val="008457FE"/>
    <w:rsid w:val="0084599D"/>
    <w:rsid w:val="008460A0"/>
    <w:rsid w:val="00846351"/>
    <w:rsid w:val="008464EE"/>
    <w:rsid w:val="00846B73"/>
    <w:rsid w:val="00847508"/>
    <w:rsid w:val="008477F4"/>
    <w:rsid w:val="00847C07"/>
    <w:rsid w:val="00847F24"/>
    <w:rsid w:val="00850194"/>
    <w:rsid w:val="008508A1"/>
    <w:rsid w:val="00850FB8"/>
    <w:rsid w:val="0085228D"/>
    <w:rsid w:val="00852B25"/>
    <w:rsid w:val="00853151"/>
    <w:rsid w:val="00853C04"/>
    <w:rsid w:val="00854DD1"/>
    <w:rsid w:val="00854DEA"/>
    <w:rsid w:val="008554BE"/>
    <w:rsid w:val="00855739"/>
    <w:rsid w:val="00855AFE"/>
    <w:rsid w:val="00855B9C"/>
    <w:rsid w:val="00855D78"/>
    <w:rsid w:val="00855DAF"/>
    <w:rsid w:val="00856383"/>
    <w:rsid w:val="00856B4B"/>
    <w:rsid w:val="00856C68"/>
    <w:rsid w:val="0085713B"/>
    <w:rsid w:val="00857304"/>
    <w:rsid w:val="00857873"/>
    <w:rsid w:val="00857C01"/>
    <w:rsid w:val="00857E49"/>
    <w:rsid w:val="00857F88"/>
    <w:rsid w:val="0086042B"/>
    <w:rsid w:val="00860A23"/>
    <w:rsid w:val="00860BFA"/>
    <w:rsid w:val="00860FB3"/>
    <w:rsid w:val="00861CD0"/>
    <w:rsid w:val="00862740"/>
    <w:rsid w:val="00862B48"/>
    <w:rsid w:val="008635B9"/>
    <w:rsid w:val="00863B91"/>
    <w:rsid w:val="008645AE"/>
    <w:rsid w:val="008646BF"/>
    <w:rsid w:val="00864C95"/>
    <w:rsid w:val="00864D6B"/>
    <w:rsid w:val="00864D80"/>
    <w:rsid w:val="00865058"/>
    <w:rsid w:val="00865640"/>
    <w:rsid w:val="00865722"/>
    <w:rsid w:val="008660DF"/>
    <w:rsid w:val="00866653"/>
    <w:rsid w:val="00866797"/>
    <w:rsid w:val="00866A47"/>
    <w:rsid w:val="00866AF9"/>
    <w:rsid w:val="008672B9"/>
    <w:rsid w:val="0086784E"/>
    <w:rsid w:val="008678C6"/>
    <w:rsid w:val="008707B4"/>
    <w:rsid w:val="00871EDD"/>
    <w:rsid w:val="0087295A"/>
    <w:rsid w:val="00872C0E"/>
    <w:rsid w:val="008731BA"/>
    <w:rsid w:val="008731EB"/>
    <w:rsid w:val="008739FC"/>
    <w:rsid w:val="00873FD8"/>
    <w:rsid w:val="008742F2"/>
    <w:rsid w:val="00874B26"/>
    <w:rsid w:val="00874E8D"/>
    <w:rsid w:val="00875416"/>
    <w:rsid w:val="008759E7"/>
    <w:rsid w:val="00875BC6"/>
    <w:rsid w:val="00875CD0"/>
    <w:rsid w:val="00875E6A"/>
    <w:rsid w:val="00876474"/>
    <w:rsid w:val="00877079"/>
    <w:rsid w:val="00877EEC"/>
    <w:rsid w:val="00880119"/>
    <w:rsid w:val="0088052A"/>
    <w:rsid w:val="00880E37"/>
    <w:rsid w:val="0088124F"/>
    <w:rsid w:val="00881261"/>
    <w:rsid w:val="008819C1"/>
    <w:rsid w:val="00882534"/>
    <w:rsid w:val="00882B63"/>
    <w:rsid w:val="00882B92"/>
    <w:rsid w:val="008832BE"/>
    <w:rsid w:val="00883D33"/>
    <w:rsid w:val="00883D80"/>
    <w:rsid w:val="00883D9B"/>
    <w:rsid w:val="00884000"/>
    <w:rsid w:val="008847CC"/>
    <w:rsid w:val="0088562C"/>
    <w:rsid w:val="008856B2"/>
    <w:rsid w:val="00885BAC"/>
    <w:rsid w:val="00886F3C"/>
    <w:rsid w:val="00887087"/>
    <w:rsid w:val="00887AFA"/>
    <w:rsid w:val="00887B6B"/>
    <w:rsid w:val="0089107C"/>
    <w:rsid w:val="0089113A"/>
    <w:rsid w:val="00891C42"/>
    <w:rsid w:val="0089209F"/>
    <w:rsid w:val="00892226"/>
    <w:rsid w:val="00892B2B"/>
    <w:rsid w:val="00892B85"/>
    <w:rsid w:val="00892C4D"/>
    <w:rsid w:val="00892F10"/>
    <w:rsid w:val="00892F22"/>
    <w:rsid w:val="0089399D"/>
    <w:rsid w:val="00893F63"/>
    <w:rsid w:val="00894259"/>
    <w:rsid w:val="0089462C"/>
    <w:rsid w:val="00894783"/>
    <w:rsid w:val="008948E6"/>
    <w:rsid w:val="0089497B"/>
    <w:rsid w:val="00894BDD"/>
    <w:rsid w:val="00894D51"/>
    <w:rsid w:val="008951CC"/>
    <w:rsid w:val="00895695"/>
    <w:rsid w:val="00895B0C"/>
    <w:rsid w:val="00895C30"/>
    <w:rsid w:val="00896602"/>
    <w:rsid w:val="00896A77"/>
    <w:rsid w:val="00896ADA"/>
    <w:rsid w:val="00896E53"/>
    <w:rsid w:val="008977A3"/>
    <w:rsid w:val="008A0AA4"/>
    <w:rsid w:val="008A0B57"/>
    <w:rsid w:val="008A1041"/>
    <w:rsid w:val="008A1918"/>
    <w:rsid w:val="008A1BCC"/>
    <w:rsid w:val="008A1CE1"/>
    <w:rsid w:val="008A27C9"/>
    <w:rsid w:val="008A29AF"/>
    <w:rsid w:val="008A3019"/>
    <w:rsid w:val="008A3367"/>
    <w:rsid w:val="008A3D38"/>
    <w:rsid w:val="008A45ED"/>
    <w:rsid w:val="008A4941"/>
    <w:rsid w:val="008A4B76"/>
    <w:rsid w:val="008A4DEC"/>
    <w:rsid w:val="008A5067"/>
    <w:rsid w:val="008A50B0"/>
    <w:rsid w:val="008A5AB2"/>
    <w:rsid w:val="008A64A1"/>
    <w:rsid w:val="008A65B5"/>
    <w:rsid w:val="008A712C"/>
    <w:rsid w:val="008A7C02"/>
    <w:rsid w:val="008B01A3"/>
    <w:rsid w:val="008B047F"/>
    <w:rsid w:val="008B09FC"/>
    <w:rsid w:val="008B11FD"/>
    <w:rsid w:val="008B177E"/>
    <w:rsid w:val="008B1B35"/>
    <w:rsid w:val="008B1F56"/>
    <w:rsid w:val="008B2CA5"/>
    <w:rsid w:val="008B2EFB"/>
    <w:rsid w:val="008B3175"/>
    <w:rsid w:val="008B3387"/>
    <w:rsid w:val="008B4703"/>
    <w:rsid w:val="008B4ABC"/>
    <w:rsid w:val="008B4D69"/>
    <w:rsid w:val="008B552B"/>
    <w:rsid w:val="008B6181"/>
    <w:rsid w:val="008B6490"/>
    <w:rsid w:val="008B6CF2"/>
    <w:rsid w:val="008B6F9F"/>
    <w:rsid w:val="008B70FF"/>
    <w:rsid w:val="008B76E8"/>
    <w:rsid w:val="008B7C50"/>
    <w:rsid w:val="008C03F5"/>
    <w:rsid w:val="008C109A"/>
    <w:rsid w:val="008C17F9"/>
    <w:rsid w:val="008C19A5"/>
    <w:rsid w:val="008C34F7"/>
    <w:rsid w:val="008C4871"/>
    <w:rsid w:val="008C49CE"/>
    <w:rsid w:val="008C54E3"/>
    <w:rsid w:val="008C5721"/>
    <w:rsid w:val="008C579F"/>
    <w:rsid w:val="008C587F"/>
    <w:rsid w:val="008C5D8B"/>
    <w:rsid w:val="008C5EF2"/>
    <w:rsid w:val="008C5F8F"/>
    <w:rsid w:val="008C60BF"/>
    <w:rsid w:val="008C6279"/>
    <w:rsid w:val="008C6432"/>
    <w:rsid w:val="008C6EE5"/>
    <w:rsid w:val="008C7A0A"/>
    <w:rsid w:val="008C7B57"/>
    <w:rsid w:val="008D08E8"/>
    <w:rsid w:val="008D1CEB"/>
    <w:rsid w:val="008D2485"/>
    <w:rsid w:val="008D2C07"/>
    <w:rsid w:val="008D350C"/>
    <w:rsid w:val="008D3DD4"/>
    <w:rsid w:val="008D5E6E"/>
    <w:rsid w:val="008D70D9"/>
    <w:rsid w:val="008D724F"/>
    <w:rsid w:val="008D7769"/>
    <w:rsid w:val="008E0022"/>
    <w:rsid w:val="008E13EE"/>
    <w:rsid w:val="008E3078"/>
    <w:rsid w:val="008E33A7"/>
    <w:rsid w:val="008E33E0"/>
    <w:rsid w:val="008E36CF"/>
    <w:rsid w:val="008E67EF"/>
    <w:rsid w:val="008E6BB4"/>
    <w:rsid w:val="008E6DB7"/>
    <w:rsid w:val="008E733C"/>
    <w:rsid w:val="008E7EA9"/>
    <w:rsid w:val="008E7EBD"/>
    <w:rsid w:val="008F025D"/>
    <w:rsid w:val="008F0727"/>
    <w:rsid w:val="008F1D63"/>
    <w:rsid w:val="008F1DE8"/>
    <w:rsid w:val="008F259D"/>
    <w:rsid w:val="008F2BCF"/>
    <w:rsid w:val="008F2E3D"/>
    <w:rsid w:val="008F3399"/>
    <w:rsid w:val="008F3602"/>
    <w:rsid w:val="008F3B3F"/>
    <w:rsid w:val="008F4500"/>
    <w:rsid w:val="008F4971"/>
    <w:rsid w:val="008F4EB5"/>
    <w:rsid w:val="008F5421"/>
    <w:rsid w:val="008F5D20"/>
    <w:rsid w:val="008F69ED"/>
    <w:rsid w:val="008F6DD3"/>
    <w:rsid w:val="008F71CE"/>
    <w:rsid w:val="008F78D5"/>
    <w:rsid w:val="008F7A37"/>
    <w:rsid w:val="00900089"/>
    <w:rsid w:val="00900595"/>
    <w:rsid w:val="00900C23"/>
    <w:rsid w:val="00900DA0"/>
    <w:rsid w:val="00900E05"/>
    <w:rsid w:val="009011A2"/>
    <w:rsid w:val="009015BC"/>
    <w:rsid w:val="00901B76"/>
    <w:rsid w:val="00901FD3"/>
    <w:rsid w:val="009022A2"/>
    <w:rsid w:val="00902931"/>
    <w:rsid w:val="0090353E"/>
    <w:rsid w:val="0090364E"/>
    <w:rsid w:val="00903831"/>
    <w:rsid w:val="00903BAA"/>
    <w:rsid w:val="00903F30"/>
    <w:rsid w:val="009046C8"/>
    <w:rsid w:val="00904969"/>
    <w:rsid w:val="00904DE7"/>
    <w:rsid w:val="00904E11"/>
    <w:rsid w:val="0090527C"/>
    <w:rsid w:val="0090629B"/>
    <w:rsid w:val="009064CE"/>
    <w:rsid w:val="00906669"/>
    <w:rsid w:val="00906D05"/>
    <w:rsid w:val="0090719C"/>
    <w:rsid w:val="009072D4"/>
    <w:rsid w:val="00907D3D"/>
    <w:rsid w:val="00910752"/>
    <w:rsid w:val="0091140C"/>
    <w:rsid w:val="0091157B"/>
    <w:rsid w:val="0091168A"/>
    <w:rsid w:val="00911F54"/>
    <w:rsid w:val="009121C2"/>
    <w:rsid w:val="0091233A"/>
    <w:rsid w:val="009123F8"/>
    <w:rsid w:val="00912CF9"/>
    <w:rsid w:val="00913758"/>
    <w:rsid w:val="00913870"/>
    <w:rsid w:val="00913976"/>
    <w:rsid w:val="00914345"/>
    <w:rsid w:val="009146C2"/>
    <w:rsid w:val="0091517E"/>
    <w:rsid w:val="00915837"/>
    <w:rsid w:val="00915893"/>
    <w:rsid w:val="00915ADC"/>
    <w:rsid w:val="00915BF7"/>
    <w:rsid w:val="00915F5A"/>
    <w:rsid w:val="00915FCA"/>
    <w:rsid w:val="00916159"/>
    <w:rsid w:val="0091681C"/>
    <w:rsid w:val="00916BE1"/>
    <w:rsid w:val="00917211"/>
    <w:rsid w:val="00917D3C"/>
    <w:rsid w:val="00917F3F"/>
    <w:rsid w:val="0092004A"/>
    <w:rsid w:val="0092033A"/>
    <w:rsid w:val="00920889"/>
    <w:rsid w:val="00921551"/>
    <w:rsid w:val="00921CDF"/>
    <w:rsid w:val="00921F12"/>
    <w:rsid w:val="00922486"/>
    <w:rsid w:val="00922FAC"/>
    <w:rsid w:val="00923310"/>
    <w:rsid w:val="0092363F"/>
    <w:rsid w:val="00923693"/>
    <w:rsid w:val="00924A96"/>
    <w:rsid w:val="00924C1E"/>
    <w:rsid w:val="00924FF0"/>
    <w:rsid w:val="009256B3"/>
    <w:rsid w:val="00925830"/>
    <w:rsid w:val="00925B14"/>
    <w:rsid w:val="00925BD9"/>
    <w:rsid w:val="0092603C"/>
    <w:rsid w:val="009263D9"/>
    <w:rsid w:val="0092696C"/>
    <w:rsid w:val="00926F80"/>
    <w:rsid w:val="00930695"/>
    <w:rsid w:val="009311B3"/>
    <w:rsid w:val="009315F0"/>
    <w:rsid w:val="00931912"/>
    <w:rsid w:val="00931954"/>
    <w:rsid w:val="00931BA4"/>
    <w:rsid w:val="00931CD2"/>
    <w:rsid w:val="009330E7"/>
    <w:rsid w:val="00933615"/>
    <w:rsid w:val="0093371F"/>
    <w:rsid w:val="009340EE"/>
    <w:rsid w:val="00934DAB"/>
    <w:rsid w:val="009360B5"/>
    <w:rsid w:val="0093645A"/>
    <w:rsid w:val="0093692F"/>
    <w:rsid w:val="00936B01"/>
    <w:rsid w:val="00936BCD"/>
    <w:rsid w:val="00936E98"/>
    <w:rsid w:val="00936F60"/>
    <w:rsid w:val="00937139"/>
    <w:rsid w:val="0094053F"/>
    <w:rsid w:val="00942400"/>
    <w:rsid w:val="00942668"/>
    <w:rsid w:val="009428CC"/>
    <w:rsid w:val="009428EF"/>
    <w:rsid w:val="00943F16"/>
    <w:rsid w:val="00944075"/>
    <w:rsid w:val="009443E0"/>
    <w:rsid w:val="00944930"/>
    <w:rsid w:val="0094543A"/>
    <w:rsid w:val="009459B1"/>
    <w:rsid w:val="00945CAF"/>
    <w:rsid w:val="009460EC"/>
    <w:rsid w:val="009467D2"/>
    <w:rsid w:val="009468AE"/>
    <w:rsid w:val="00946F7D"/>
    <w:rsid w:val="0094714C"/>
    <w:rsid w:val="009473D7"/>
    <w:rsid w:val="009474DC"/>
    <w:rsid w:val="00947C63"/>
    <w:rsid w:val="00947E16"/>
    <w:rsid w:val="00950593"/>
    <w:rsid w:val="00950728"/>
    <w:rsid w:val="009512AD"/>
    <w:rsid w:val="0095165C"/>
    <w:rsid w:val="009516B8"/>
    <w:rsid w:val="0095171B"/>
    <w:rsid w:val="00951AD7"/>
    <w:rsid w:val="00951BE8"/>
    <w:rsid w:val="00952546"/>
    <w:rsid w:val="00952637"/>
    <w:rsid w:val="00952A2C"/>
    <w:rsid w:val="00952C0A"/>
    <w:rsid w:val="00952E4B"/>
    <w:rsid w:val="009531BD"/>
    <w:rsid w:val="00954239"/>
    <w:rsid w:val="009543D9"/>
    <w:rsid w:val="0095452F"/>
    <w:rsid w:val="00954C3F"/>
    <w:rsid w:val="00954F64"/>
    <w:rsid w:val="0095520A"/>
    <w:rsid w:val="00955737"/>
    <w:rsid w:val="00955E6B"/>
    <w:rsid w:val="009560BA"/>
    <w:rsid w:val="00957095"/>
    <w:rsid w:val="0095726F"/>
    <w:rsid w:val="009610C2"/>
    <w:rsid w:val="0096130B"/>
    <w:rsid w:val="009616F6"/>
    <w:rsid w:val="00961805"/>
    <w:rsid w:val="00962202"/>
    <w:rsid w:val="009625E9"/>
    <w:rsid w:val="0096276F"/>
    <w:rsid w:val="0096294A"/>
    <w:rsid w:val="00962A05"/>
    <w:rsid w:val="00962B4A"/>
    <w:rsid w:val="00962CC3"/>
    <w:rsid w:val="00963278"/>
    <w:rsid w:val="00963326"/>
    <w:rsid w:val="009638F5"/>
    <w:rsid w:val="00963EB1"/>
    <w:rsid w:val="00964272"/>
    <w:rsid w:val="0096559D"/>
    <w:rsid w:val="00965AA0"/>
    <w:rsid w:val="00965FE5"/>
    <w:rsid w:val="0096626A"/>
    <w:rsid w:val="00966798"/>
    <w:rsid w:val="009667CB"/>
    <w:rsid w:val="00966888"/>
    <w:rsid w:val="00966D00"/>
    <w:rsid w:val="00971356"/>
    <w:rsid w:val="009714A7"/>
    <w:rsid w:val="009716CA"/>
    <w:rsid w:val="009717FA"/>
    <w:rsid w:val="00971C8E"/>
    <w:rsid w:val="009726D1"/>
    <w:rsid w:val="009740D5"/>
    <w:rsid w:val="00974B01"/>
    <w:rsid w:val="00974CFB"/>
    <w:rsid w:val="00975699"/>
    <w:rsid w:val="00975A8F"/>
    <w:rsid w:val="00975DDC"/>
    <w:rsid w:val="009762A7"/>
    <w:rsid w:val="009769E6"/>
    <w:rsid w:val="00977ED8"/>
    <w:rsid w:val="00980521"/>
    <w:rsid w:val="0098198A"/>
    <w:rsid w:val="00981BF7"/>
    <w:rsid w:val="00981DD0"/>
    <w:rsid w:val="0098266B"/>
    <w:rsid w:val="00982781"/>
    <w:rsid w:val="00982A1A"/>
    <w:rsid w:val="009839B7"/>
    <w:rsid w:val="009846F0"/>
    <w:rsid w:val="00984A00"/>
    <w:rsid w:val="00984F8A"/>
    <w:rsid w:val="0098539F"/>
    <w:rsid w:val="009854DA"/>
    <w:rsid w:val="009854FA"/>
    <w:rsid w:val="009855A4"/>
    <w:rsid w:val="00985626"/>
    <w:rsid w:val="00985B15"/>
    <w:rsid w:val="009868CF"/>
    <w:rsid w:val="00986FC3"/>
    <w:rsid w:val="009872FD"/>
    <w:rsid w:val="009874A1"/>
    <w:rsid w:val="009874C2"/>
    <w:rsid w:val="009879B4"/>
    <w:rsid w:val="00990178"/>
    <w:rsid w:val="009901D1"/>
    <w:rsid w:val="00990FB7"/>
    <w:rsid w:val="009915AF"/>
    <w:rsid w:val="009917DD"/>
    <w:rsid w:val="00991849"/>
    <w:rsid w:val="009919E1"/>
    <w:rsid w:val="00991B7C"/>
    <w:rsid w:val="00992729"/>
    <w:rsid w:val="00993303"/>
    <w:rsid w:val="009933DA"/>
    <w:rsid w:val="00995864"/>
    <w:rsid w:val="009958E8"/>
    <w:rsid w:val="00995CB0"/>
    <w:rsid w:val="00996576"/>
    <w:rsid w:val="009967BD"/>
    <w:rsid w:val="00997620"/>
    <w:rsid w:val="00997796"/>
    <w:rsid w:val="00997E2C"/>
    <w:rsid w:val="009A00BC"/>
    <w:rsid w:val="009A0952"/>
    <w:rsid w:val="009A10E2"/>
    <w:rsid w:val="009A1303"/>
    <w:rsid w:val="009A13D8"/>
    <w:rsid w:val="009A2521"/>
    <w:rsid w:val="009A317F"/>
    <w:rsid w:val="009A343F"/>
    <w:rsid w:val="009A4411"/>
    <w:rsid w:val="009A4D62"/>
    <w:rsid w:val="009A5883"/>
    <w:rsid w:val="009A593B"/>
    <w:rsid w:val="009A5DD0"/>
    <w:rsid w:val="009A5F50"/>
    <w:rsid w:val="009A6550"/>
    <w:rsid w:val="009A68E8"/>
    <w:rsid w:val="009A6919"/>
    <w:rsid w:val="009A6B35"/>
    <w:rsid w:val="009A7200"/>
    <w:rsid w:val="009A7970"/>
    <w:rsid w:val="009A7A9D"/>
    <w:rsid w:val="009B0519"/>
    <w:rsid w:val="009B0983"/>
    <w:rsid w:val="009B0C28"/>
    <w:rsid w:val="009B0C88"/>
    <w:rsid w:val="009B1027"/>
    <w:rsid w:val="009B2238"/>
    <w:rsid w:val="009B23C3"/>
    <w:rsid w:val="009B2945"/>
    <w:rsid w:val="009B2D8D"/>
    <w:rsid w:val="009B2FE0"/>
    <w:rsid w:val="009B3D6B"/>
    <w:rsid w:val="009B4406"/>
    <w:rsid w:val="009B49AA"/>
    <w:rsid w:val="009B5BCA"/>
    <w:rsid w:val="009B6B37"/>
    <w:rsid w:val="009B6D63"/>
    <w:rsid w:val="009B7025"/>
    <w:rsid w:val="009B7359"/>
    <w:rsid w:val="009B77E0"/>
    <w:rsid w:val="009B7F4D"/>
    <w:rsid w:val="009C016C"/>
    <w:rsid w:val="009C0A48"/>
    <w:rsid w:val="009C1180"/>
    <w:rsid w:val="009C118C"/>
    <w:rsid w:val="009C1741"/>
    <w:rsid w:val="009C1790"/>
    <w:rsid w:val="009C26AE"/>
    <w:rsid w:val="009C2D57"/>
    <w:rsid w:val="009C2F8C"/>
    <w:rsid w:val="009C3280"/>
    <w:rsid w:val="009C3C4A"/>
    <w:rsid w:val="009C4047"/>
    <w:rsid w:val="009C4095"/>
    <w:rsid w:val="009C47D2"/>
    <w:rsid w:val="009C4FF1"/>
    <w:rsid w:val="009C5156"/>
    <w:rsid w:val="009C54E4"/>
    <w:rsid w:val="009C575D"/>
    <w:rsid w:val="009C5C19"/>
    <w:rsid w:val="009C5E48"/>
    <w:rsid w:val="009C6207"/>
    <w:rsid w:val="009C656D"/>
    <w:rsid w:val="009C718D"/>
    <w:rsid w:val="009C71CF"/>
    <w:rsid w:val="009C7A6B"/>
    <w:rsid w:val="009D0185"/>
    <w:rsid w:val="009D02C3"/>
    <w:rsid w:val="009D057B"/>
    <w:rsid w:val="009D188E"/>
    <w:rsid w:val="009D18EA"/>
    <w:rsid w:val="009D1C0F"/>
    <w:rsid w:val="009D1F80"/>
    <w:rsid w:val="009D2DB9"/>
    <w:rsid w:val="009D2F01"/>
    <w:rsid w:val="009D3E54"/>
    <w:rsid w:val="009D3F82"/>
    <w:rsid w:val="009D4EA7"/>
    <w:rsid w:val="009D5106"/>
    <w:rsid w:val="009D5145"/>
    <w:rsid w:val="009D5311"/>
    <w:rsid w:val="009D57D6"/>
    <w:rsid w:val="009D68F7"/>
    <w:rsid w:val="009D69C8"/>
    <w:rsid w:val="009D6DBE"/>
    <w:rsid w:val="009D6DD1"/>
    <w:rsid w:val="009D7933"/>
    <w:rsid w:val="009D7B8D"/>
    <w:rsid w:val="009E1116"/>
    <w:rsid w:val="009E1142"/>
    <w:rsid w:val="009E1205"/>
    <w:rsid w:val="009E1782"/>
    <w:rsid w:val="009E1F6D"/>
    <w:rsid w:val="009E27BB"/>
    <w:rsid w:val="009E27CB"/>
    <w:rsid w:val="009E2FB6"/>
    <w:rsid w:val="009E371B"/>
    <w:rsid w:val="009E435E"/>
    <w:rsid w:val="009E462E"/>
    <w:rsid w:val="009E4AFE"/>
    <w:rsid w:val="009E4C40"/>
    <w:rsid w:val="009E4F53"/>
    <w:rsid w:val="009E53AF"/>
    <w:rsid w:val="009E5DD6"/>
    <w:rsid w:val="009E69EF"/>
    <w:rsid w:val="009E6D80"/>
    <w:rsid w:val="009E6E85"/>
    <w:rsid w:val="009E7ACA"/>
    <w:rsid w:val="009E7D89"/>
    <w:rsid w:val="009F0144"/>
    <w:rsid w:val="009F094C"/>
    <w:rsid w:val="009F12C2"/>
    <w:rsid w:val="009F135A"/>
    <w:rsid w:val="009F1550"/>
    <w:rsid w:val="009F1FC1"/>
    <w:rsid w:val="009F1FC5"/>
    <w:rsid w:val="009F2006"/>
    <w:rsid w:val="009F208A"/>
    <w:rsid w:val="009F29C3"/>
    <w:rsid w:val="009F3404"/>
    <w:rsid w:val="009F3582"/>
    <w:rsid w:val="009F3884"/>
    <w:rsid w:val="009F3FC7"/>
    <w:rsid w:val="009F4322"/>
    <w:rsid w:val="009F47F2"/>
    <w:rsid w:val="009F4F7C"/>
    <w:rsid w:val="009F5268"/>
    <w:rsid w:val="009F53D4"/>
    <w:rsid w:val="009F6098"/>
    <w:rsid w:val="009F6F12"/>
    <w:rsid w:val="009F77D5"/>
    <w:rsid w:val="009F78A1"/>
    <w:rsid w:val="00A00187"/>
    <w:rsid w:val="00A004DB"/>
    <w:rsid w:val="00A020B4"/>
    <w:rsid w:val="00A02585"/>
    <w:rsid w:val="00A026F0"/>
    <w:rsid w:val="00A031B1"/>
    <w:rsid w:val="00A03A45"/>
    <w:rsid w:val="00A03BD7"/>
    <w:rsid w:val="00A05289"/>
    <w:rsid w:val="00A05E38"/>
    <w:rsid w:val="00A06253"/>
    <w:rsid w:val="00A07272"/>
    <w:rsid w:val="00A072F4"/>
    <w:rsid w:val="00A10953"/>
    <w:rsid w:val="00A1099F"/>
    <w:rsid w:val="00A10D7F"/>
    <w:rsid w:val="00A11E7A"/>
    <w:rsid w:val="00A12129"/>
    <w:rsid w:val="00A136FF"/>
    <w:rsid w:val="00A1529A"/>
    <w:rsid w:val="00A15BD9"/>
    <w:rsid w:val="00A15D97"/>
    <w:rsid w:val="00A166EF"/>
    <w:rsid w:val="00A1754E"/>
    <w:rsid w:val="00A1767D"/>
    <w:rsid w:val="00A20794"/>
    <w:rsid w:val="00A218BE"/>
    <w:rsid w:val="00A21CB5"/>
    <w:rsid w:val="00A22275"/>
    <w:rsid w:val="00A223E5"/>
    <w:rsid w:val="00A22FA3"/>
    <w:rsid w:val="00A233CF"/>
    <w:rsid w:val="00A2507D"/>
    <w:rsid w:val="00A255E6"/>
    <w:rsid w:val="00A25D2E"/>
    <w:rsid w:val="00A26022"/>
    <w:rsid w:val="00A262C0"/>
    <w:rsid w:val="00A2691D"/>
    <w:rsid w:val="00A26E6C"/>
    <w:rsid w:val="00A272A1"/>
    <w:rsid w:val="00A27914"/>
    <w:rsid w:val="00A27A7D"/>
    <w:rsid w:val="00A27CDB"/>
    <w:rsid w:val="00A30688"/>
    <w:rsid w:val="00A31EE7"/>
    <w:rsid w:val="00A3214B"/>
    <w:rsid w:val="00A32461"/>
    <w:rsid w:val="00A3400D"/>
    <w:rsid w:val="00A342F2"/>
    <w:rsid w:val="00A34469"/>
    <w:rsid w:val="00A35810"/>
    <w:rsid w:val="00A3663A"/>
    <w:rsid w:val="00A3685C"/>
    <w:rsid w:val="00A373C4"/>
    <w:rsid w:val="00A40200"/>
    <w:rsid w:val="00A40F2C"/>
    <w:rsid w:val="00A410E1"/>
    <w:rsid w:val="00A41727"/>
    <w:rsid w:val="00A41853"/>
    <w:rsid w:val="00A41A0B"/>
    <w:rsid w:val="00A42749"/>
    <w:rsid w:val="00A42E45"/>
    <w:rsid w:val="00A43125"/>
    <w:rsid w:val="00A43456"/>
    <w:rsid w:val="00A435F5"/>
    <w:rsid w:val="00A449A5"/>
    <w:rsid w:val="00A44A45"/>
    <w:rsid w:val="00A45FA3"/>
    <w:rsid w:val="00A46239"/>
    <w:rsid w:val="00A4658E"/>
    <w:rsid w:val="00A47A03"/>
    <w:rsid w:val="00A47F1A"/>
    <w:rsid w:val="00A50D80"/>
    <w:rsid w:val="00A515C7"/>
    <w:rsid w:val="00A51AC2"/>
    <w:rsid w:val="00A525B5"/>
    <w:rsid w:val="00A525F6"/>
    <w:rsid w:val="00A52779"/>
    <w:rsid w:val="00A52A8A"/>
    <w:rsid w:val="00A53233"/>
    <w:rsid w:val="00A546F1"/>
    <w:rsid w:val="00A5488F"/>
    <w:rsid w:val="00A5499F"/>
    <w:rsid w:val="00A54C0C"/>
    <w:rsid w:val="00A5520B"/>
    <w:rsid w:val="00A5571D"/>
    <w:rsid w:val="00A55730"/>
    <w:rsid w:val="00A55883"/>
    <w:rsid w:val="00A560BA"/>
    <w:rsid w:val="00A568DD"/>
    <w:rsid w:val="00A57C95"/>
    <w:rsid w:val="00A57DAC"/>
    <w:rsid w:val="00A57EE0"/>
    <w:rsid w:val="00A60902"/>
    <w:rsid w:val="00A6093A"/>
    <w:rsid w:val="00A6101F"/>
    <w:rsid w:val="00A61627"/>
    <w:rsid w:val="00A61B55"/>
    <w:rsid w:val="00A61D6A"/>
    <w:rsid w:val="00A620BA"/>
    <w:rsid w:val="00A62666"/>
    <w:rsid w:val="00A627FC"/>
    <w:rsid w:val="00A6282C"/>
    <w:rsid w:val="00A63430"/>
    <w:rsid w:val="00A635A2"/>
    <w:rsid w:val="00A63D7E"/>
    <w:rsid w:val="00A6449A"/>
    <w:rsid w:val="00A64766"/>
    <w:rsid w:val="00A657A5"/>
    <w:rsid w:val="00A659ED"/>
    <w:rsid w:val="00A6606C"/>
    <w:rsid w:val="00A665ED"/>
    <w:rsid w:val="00A668DE"/>
    <w:rsid w:val="00A678A0"/>
    <w:rsid w:val="00A702B0"/>
    <w:rsid w:val="00A70AF9"/>
    <w:rsid w:val="00A710AF"/>
    <w:rsid w:val="00A712CC"/>
    <w:rsid w:val="00A719F3"/>
    <w:rsid w:val="00A727D3"/>
    <w:rsid w:val="00A73075"/>
    <w:rsid w:val="00A73C47"/>
    <w:rsid w:val="00A74487"/>
    <w:rsid w:val="00A744E8"/>
    <w:rsid w:val="00A7463D"/>
    <w:rsid w:val="00A747C9"/>
    <w:rsid w:val="00A74F26"/>
    <w:rsid w:val="00A758CC"/>
    <w:rsid w:val="00A7590D"/>
    <w:rsid w:val="00A76D1D"/>
    <w:rsid w:val="00A7721D"/>
    <w:rsid w:val="00A779CD"/>
    <w:rsid w:val="00A77F0A"/>
    <w:rsid w:val="00A803B0"/>
    <w:rsid w:val="00A80B55"/>
    <w:rsid w:val="00A80BE1"/>
    <w:rsid w:val="00A81507"/>
    <w:rsid w:val="00A81D3B"/>
    <w:rsid w:val="00A829CD"/>
    <w:rsid w:val="00A82A26"/>
    <w:rsid w:val="00A8348B"/>
    <w:rsid w:val="00A83BAE"/>
    <w:rsid w:val="00A83F8E"/>
    <w:rsid w:val="00A8458E"/>
    <w:rsid w:val="00A84926"/>
    <w:rsid w:val="00A85EE0"/>
    <w:rsid w:val="00A8692D"/>
    <w:rsid w:val="00A879E5"/>
    <w:rsid w:val="00A87FBD"/>
    <w:rsid w:val="00A904C2"/>
    <w:rsid w:val="00A9064E"/>
    <w:rsid w:val="00A90A6B"/>
    <w:rsid w:val="00A90D68"/>
    <w:rsid w:val="00A91374"/>
    <w:rsid w:val="00A915F4"/>
    <w:rsid w:val="00A91C8E"/>
    <w:rsid w:val="00A921F1"/>
    <w:rsid w:val="00A92916"/>
    <w:rsid w:val="00A930C8"/>
    <w:rsid w:val="00A93256"/>
    <w:rsid w:val="00A94128"/>
    <w:rsid w:val="00A949F1"/>
    <w:rsid w:val="00A94DB8"/>
    <w:rsid w:val="00A94F5A"/>
    <w:rsid w:val="00A94F8F"/>
    <w:rsid w:val="00A95417"/>
    <w:rsid w:val="00A95475"/>
    <w:rsid w:val="00A958C0"/>
    <w:rsid w:val="00A95999"/>
    <w:rsid w:val="00A95D17"/>
    <w:rsid w:val="00A95DF7"/>
    <w:rsid w:val="00A960BE"/>
    <w:rsid w:val="00A96CD9"/>
    <w:rsid w:val="00AA01D3"/>
    <w:rsid w:val="00AA0637"/>
    <w:rsid w:val="00AA072B"/>
    <w:rsid w:val="00AA1D5D"/>
    <w:rsid w:val="00AA1D8A"/>
    <w:rsid w:val="00AA1DD7"/>
    <w:rsid w:val="00AA2188"/>
    <w:rsid w:val="00AA2C2E"/>
    <w:rsid w:val="00AA3C01"/>
    <w:rsid w:val="00AA52A0"/>
    <w:rsid w:val="00AA5DB9"/>
    <w:rsid w:val="00AA6138"/>
    <w:rsid w:val="00AA64E3"/>
    <w:rsid w:val="00AA6DCB"/>
    <w:rsid w:val="00AA7623"/>
    <w:rsid w:val="00AA7D3C"/>
    <w:rsid w:val="00AB00A1"/>
    <w:rsid w:val="00AB0880"/>
    <w:rsid w:val="00AB1640"/>
    <w:rsid w:val="00AB1780"/>
    <w:rsid w:val="00AB2060"/>
    <w:rsid w:val="00AB223A"/>
    <w:rsid w:val="00AB2AFC"/>
    <w:rsid w:val="00AB2BF3"/>
    <w:rsid w:val="00AB2DBC"/>
    <w:rsid w:val="00AB312D"/>
    <w:rsid w:val="00AB3D22"/>
    <w:rsid w:val="00AB3F1F"/>
    <w:rsid w:val="00AB42B2"/>
    <w:rsid w:val="00AB451E"/>
    <w:rsid w:val="00AB4638"/>
    <w:rsid w:val="00AB4F80"/>
    <w:rsid w:val="00AB584C"/>
    <w:rsid w:val="00AB5B6B"/>
    <w:rsid w:val="00AB67B8"/>
    <w:rsid w:val="00AB6835"/>
    <w:rsid w:val="00AB68E0"/>
    <w:rsid w:val="00AB708D"/>
    <w:rsid w:val="00AB70E4"/>
    <w:rsid w:val="00AC0467"/>
    <w:rsid w:val="00AC1060"/>
    <w:rsid w:val="00AC197F"/>
    <w:rsid w:val="00AC1B24"/>
    <w:rsid w:val="00AC1C18"/>
    <w:rsid w:val="00AC1E67"/>
    <w:rsid w:val="00AC2D1E"/>
    <w:rsid w:val="00AC2ECE"/>
    <w:rsid w:val="00AC2EFA"/>
    <w:rsid w:val="00AC332A"/>
    <w:rsid w:val="00AC33D7"/>
    <w:rsid w:val="00AC343A"/>
    <w:rsid w:val="00AC36B1"/>
    <w:rsid w:val="00AC388F"/>
    <w:rsid w:val="00AC3EBC"/>
    <w:rsid w:val="00AC4C3B"/>
    <w:rsid w:val="00AC5538"/>
    <w:rsid w:val="00AC5978"/>
    <w:rsid w:val="00AC5FF9"/>
    <w:rsid w:val="00AC7520"/>
    <w:rsid w:val="00AC75EB"/>
    <w:rsid w:val="00AD0D95"/>
    <w:rsid w:val="00AD12F6"/>
    <w:rsid w:val="00AD1E8D"/>
    <w:rsid w:val="00AD270B"/>
    <w:rsid w:val="00AD2A05"/>
    <w:rsid w:val="00AD2C3A"/>
    <w:rsid w:val="00AD2E58"/>
    <w:rsid w:val="00AD2F93"/>
    <w:rsid w:val="00AD32E5"/>
    <w:rsid w:val="00AD3334"/>
    <w:rsid w:val="00AD459A"/>
    <w:rsid w:val="00AD4976"/>
    <w:rsid w:val="00AD49D9"/>
    <w:rsid w:val="00AD4B3D"/>
    <w:rsid w:val="00AD5543"/>
    <w:rsid w:val="00AD5FC7"/>
    <w:rsid w:val="00AD7D48"/>
    <w:rsid w:val="00AE0C76"/>
    <w:rsid w:val="00AE1F39"/>
    <w:rsid w:val="00AE1FE2"/>
    <w:rsid w:val="00AE27D3"/>
    <w:rsid w:val="00AE2E56"/>
    <w:rsid w:val="00AE32EC"/>
    <w:rsid w:val="00AE3398"/>
    <w:rsid w:val="00AE33E4"/>
    <w:rsid w:val="00AE4D33"/>
    <w:rsid w:val="00AE5AC4"/>
    <w:rsid w:val="00AE67EE"/>
    <w:rsid w:val="00AE6D79"/>
    <w:rsid w:val="00AE739E"/>
    <w:rsid w:val="00AE75FD"/>
    <w:rsid w:val="00AE7781"/>
    <w:rsid w:val="00AF05C4"/>
    <w:rsid w:val="00AF1833"/>
    <w:rsid w:val="00AF1D52"/>
    <w:rsid w:val="00AF223E"/>
    <w:rsid w:val="00AF260E"/>
    <w:rsid w:val="00AF3650"/>
    <w:rsid w:val="00AF3A79"/>
    <w:rsid w:val="00AF49A1"/>
    <w:rsid w:val="00AF4C7E"/>
    <w:rsid w:val="00AF512D"/>
    <w:rsid w:val="00AF629D"/>
    <w:rsid w:val="00AF68FB"/>
    <w:rsid w:val="00AF6A68"/>
    <w:rsid w:val="00AF7DEB"/>
    <w:rsid w:val="00B0017B"/>
    <w:rsid w:val="00B00586"/>
    <w:rsid w:val="00B00894"/>
    <w:rsid w:val="00B00DE0"/>
    <w:rsid w:val="00B01395"/>
    <w:rsid w:val="00B01E6E"/>
    <w:rsid w:val="00B021F0"/>
    <w:rsid w:val="00B031BB"/>
    <w:rsid w:val="00B032C0"/>
    <w:rsid w:val="00B032F5"/>
    <w:rsid w:val="00B0398D"/>
    <w:rsid w:val="00B03DAD"/>
    <w:rsid w:val="00B04D39"/>
    <w:rsid w:val="00B05208"/>
    <w:rsid w:val="00B05214"/>
    <w:rsid w:val="00B05E40"/>
    <w:rsid w:val="00B06833"/>
    <w:rsid w:val="00B06FE3"/>
    <w:rsid w:val="00B07504"/>
    <w:rsid w:val="00B0753A"/>
    <w:rsid w:val="00B07D03"/>
    <w:rsid w:val="00B07E76"/>
    <w:rsid w:val="00B102F7"/>
    <w:rsid w:val="00B10FDC"/>
    <w:rsid w:val="00B112C8"/>
    <w:rsid w:val="00B119BB"/>
    <w:rsid w:val="00B11FE2"/>
    <w:rsid w:val="00B124AF"/>
    <w:rsid w:val="00B1265A"/>
    <w:rsid w:val="00B12AAA"/>
    <w:rsid w:val="00B1399F"/>
    <w:rsid w:val="00B13BF6"/>
    <w:rsid w:val="00B140AD"/>
    <w:rsid w:val="00B141B2"/>
    <w:rsid w:val="00B141C2"/>
    <w:rsid w:val="00B14317"/>
    <w:rsid w:val="00B14528"/>
    <w:rsid w:val="00B15CE8"/>
    <w:rsid w:val="00B15D73"/>
    <w:rsid w:val="00B161CE"/>
    <w:rsid w:val="00B16519"/>
    <w:rsid w:val="00B17516"/>
    <w:rsid w:val="00B17BA5"/>
    <w:rsid w:val="00B17E49"/>
    <w:rsid w:val="00B17F04"/>
    <w:rsid w:val="00B204EE"/>
    <w:rsid w:val="00B209E9"/>
    <w:rsid w:val="00B20D86"/>
    <w:rsid w:val="00B21624"/>
    <w:rsid w:val="00B21AA6"/>
    <w:rsid w:val="00B22FDB"/>
    <w:rsid w:val="00B23EEC"/>
    <w:rsid w:val="00B2427B"/>
    <w:rsid w:val="00B244BE"/>
    <w:rsid w:val="00B247B7"/>
    <w:rsid w:val="00B24A75"/>
    <w:rsid w:val="00B2509A"/>
    <w:rsid w:val="00B2608C"/>
    <w:rsid w:val="00B269DC"/>
    <w:rsid w:val="00B26B9D"/>
    <w:rsid w:val="00B26E9F"/>
    <w:rsid w:val="00B30161"/>
    <w:rsid w:val="00B31BFE"/>
    <w:rsid w:val="00B32B1C"/>
    <w:rsid w:val="00B32D3F"/>
    <w:rsid w:val="00B33298"/>
    <w:rsid w:val="00B33F79"/>
    <w:rsid w:val="00B34696"/>
    <w:rsid w:val="00B3479A"/>
    <w:rsid w:val="00B34B35"/>
    <w:rsid w:val="00B361CD"/>
    <w:rsid w:val="00B36DD9"/>
    <w:rsid w:val="00B3720D"/>
    <w:rsid w:val="00B4061F"/>
    <w:rsid w:val="00B40A84"/>
    <w:rsid w:val="00B40EF0"/>
    <w:rsid w:val="00B416C4"/>
    <w:rsid w:val="00B41B0A"/>
    <w:rsid w:val="00B4248B"/>
    <w:rsid w:val="00B42D0D"/>
    <w:rsid w:val="00B42DC6"/>
    <w:rsid w:val="00B43673"/>
    <w:rsid w:val="00B43F18"/>
    <w:rsid w:val="00B44261"/>
    <w:rsid w:val="00B450F6"/>
    <w:rsid w:val="00B46251"/>
    <w:rsid w:val="00B4665B"/>
    <w:rsid w:val="00B473AC"/>
    <w:rsid w:val="00B504DE"/>
    <w:rsid w:val="00B50CF7"/>
    <w:rsid w:val="00B50EA0"/>
    <w:rsid w:val="00B5162D"/>
    <w:rsid w:val="00B5164A"/>
    <w:rsid w:val="00B51EE6"/>
    <w:rsid w:val="00B51F38"/>
    <w:rsid w:val="00B531C8"/>
    <w:rsid w:val="00B541AE"/>
    <w:rsid w:val="00B559B8"/>
    <w:rsid w:val="00B5659F"/>
    <w:rsid w:val="00B56D75"/>
    <w:rsid w:val="00B5770F"/>
    <w:rsid w:val="00B57885"/>
    <w:rsid w:val="00B57FCC"/>
    <w:rsid w:val="00B6020E"/>
    <w:rsid w:val="00B611CD"/>
    <w:rsid w:val="00B613A5"/>
    <w:rsid w:val="00B618F7"/>
    <w:rsid w:val="00B61A5A"/>
    <w:rsid w:val="00B62165"/>
    <w:rsid w:val="00B62655"/>
    <w:rsid w:val="00B6265C"/>
    <w:rsid w:val="00B628EB"/>
    <w:rsid w:val="00B62B0E"/>
    <w:rsid w:val="00B633D4"/>
    <w:rsid w:val="00B63D48"/>
    <w:rsid w:val="00B6463A"/>
    <w:rsid w:val="00B64E96"/>
    <w:rsid w:val="00B6617A"/>
    <w:rsid w:val="00B66B52"/>
    <w:rsid w:val="00B67582"/>
    <w:rsid w:val="00B70537"/>
    <w:rsid w:val="00B7127F"/>
    <w:rsid w:val="00B7165A"/>
    <w:rsid w:val="00B71937"/>
    <w:rsid w:val="00B71D7F"/>
    <w:rsid w:val="00B72E56"/>
    <w:rsid w:val="00B72F3D"/>
    <w:rsid w:val="00B730B3"/>
    <w:rsid w:val="00B73CB6"/>
    <w:rsid w:val="00B74E34"/>
    <w:rsid w:val="00B75A66"/>
    <w:rsid w:val="00B76403"/>
    <w:rsid w:val="00B765FC"/>
    <w:rsid w:val="00B76DEB"/>
    <w:rsid w:val="00B76E3A"/>
    <w:rsid w:val="00B77100"/>
    <w:rsid w:val="00B777B5"/>
    <w:rsid w:val="00B80D87"/>
    <w:rsid w:val="00B83272"/>
    <w:rsid w:val="00B837B6"/>
    <w:rsid w:val="00B8399C"/>
    <w:rsid w:val="00B83AE9"/>
    <w:rsid w:val="00B8488E"/>
    <w:rsid w:val="00B85539"/>
    <w:rsid w:val="00B861E6"/>
    <w:rsid w:val="00B86885"/>
    <w:rsid w:val="00B86D26"/>
    <w:rsid w:val="00B87E8D"/>
    <w:rsid w:val="00B9030F"/>
    <w:rsid w:val="00B90388"/>
    <w:rsid w:val="00B908EB"/>
    <w:rsid w:val="00B915A0"/>
    <w:rsid w:val="00B91C24"/>
    <w:rsid w:val="00B924C6"/>
    <w:rsid w:val="00B926A3"/>
    <w:rsid w:val="00B927BD"/>
    <w:rsid w:val="00B93120"/>
    <w:rsid w:val="00B9479B"/>
    <w:rsid w:val="00B95486"/>
    <w:rsid w:val="00B95B5F"/>
    <w:rsid w:val="00B95FA7"/>
    <w:rsid w:val="00B96FD9"/>
    <w:rsid w:val="00B97F03"/>
    <w:rsid w:val="00BA0216"/>
    <w:rsid w:val="00BA059B"/>
    <w:rsid w:val="00BA0A64"/>
    <w:rsid w:val="00BA120B"/>
    <w:rsid w:val="00BA1658"/>
    <w:rsid w:val="00BA2354"/>
    <w:rsid w:val="00BA298F"/>
    <w:rsid w:val="00BA2EAB"/>
    <w:rsid w:val="00BA3584"/>
    <w:rsid w:val="00BA35BC"/>
    <w:rsid w:val="00BA3F89"/>
    <w:rsid w:val="00BA4056"/>
    <w:rsid w:val="00BA4974"/>
    <w:rsid w:val="00BA500E"/>
    <w:rsid w:val="00BA517D"/>
    <w:rsid w:val="00BA53AA"/>
    <w:rsid w:val="00BA5497"/>
    <w:rsid w:val="00BA54FC"/>
    <w:rsid w:val="00BA5762"/>
    <w:rsid w:val="00BA5E62"/>
    <w:rsid w:val="00BA65DD"/>
    <w:rsid w:val="00BA69C7"/>
    <w:rsid w:val="00BA6B53"/>
    <w:rsid w:val="00BA6F21"/>
    <w:rsid w:val="00BA7342"/>
    <w:rsid w:val="00BA7694"/>
    <w:rsid w:val="00BA7FE2"/>
    <w:rsid w:val="00BB134A"/>
    <w:rsid w:val="00BB1748"/>
    <w:rsid w:val="00BB191A"/>
    <w:rsid w:val="00BB1AD0"/>
    <w:rsid w:val="00BB1E01"/>
    <w:rsid w:val="00BB2632"/>
    <w:rsid w:val="00BB31B8"/>
    <w:rsid w:val="00BB3A3D"/>
    <w:rsid w:val="00BB3FB5"/>
    <w:rsid w:val="00BB5215"/>
    <w:rsid w:val="00BB5B7C"/>
    <w:rsid w:val="00BB6488"/>
    <w:rsid w:val="00BB668C"/>
    <w:rsid w:val="00BB7181"/>
    <w:rsid w:val="00BB719A"/>
    <w:rsid w:val="00BC0749"/>
    <w:rsid w:val="00BC08BB"/>
    <w:rsid w:val="00BC12C7"/>
    <w:rsid w:val="00BC1A79"/>
    <w:rsid w:val="00BC20EC"/>
    <w:rsid w:val="00BC21A8"/>
    <w:rsid w:val="00BC2371"/>
    <w:rsid w:val="00BC264E"/>
    <w:rsid w:val="00BC30BA"/>
    <w:rsid w:val="00BC3480"/>
    <w:rsid w:val="00BC4146"/>
    <w:rsid w:val="00BC449D"/>
    <w:rsid w:val="00BC4C05"/>
    <w:rsid w:val="00BC57EF"/>
    <w:rsid w:val="00BC5CA3"/>
    <w:rsid w:val="00BC6221"/>
    <w:rsid w:val="00BC64D3"/>
    <w:rsid w:val="00BC6D1B"/>
    <w:rsid w:val="00BC6F5B"/>
    <w:rsid w:val="00BD0265"/>
    <w:rsid w:val="00BD029F"/>
    <w:rsid w:val="00BD13FC"/>
    <w:rsid w:val="00BD14EC"/>
    <w:rsid w:val="00BD154C"/>
    <w:rsid w:val="00BD2574"/>
    <w:rsid w:val="00BD2BAE"/>
    <w:rsid w:val="00BD3127"/>
    <w:rsid w:val="00BD4064"/>
    <w:rsid w:val="00BD410E"/>
    <w:rsid w:val="00BD4804"/>
    <w:rsid w:val="00BD4C5E"/>
    <w:rsid w:val="00BD5343"/>
    <w:rsid w:val="00BD58A7"/>
    <w:rsid w:val="00BD5E30"/>
    <w:rsid w:val="00BD5ECA"/>
    <w:rsid w:val="00BE1819"/>
    <w:rsid w:val="00BE2AE2"/>
    <w:rsid w:val="00BE34F3"/>
    <w:rsid w:val="00BE458D"/>
    <w:rsid w:val="00BE5788"/>
    <w:rsid w:val="00BE6013"/>
    <w:rsid w:val="00BE72AD"/>
    <w:rsid w:val="00BF006C"/>
    <w:rsid w:val="00BF04E8"/>
    <w:rsid w:val="00BF0598"/>
    <w:rsid w:val="00BF0CC3"/>
    <w:rsid w:val="00BF116D"/>
    <w:rsid w:val="00BF13C9"/>
    <w:rsid w:val="00BF1674"/>
    <w:rsid w:val="00BF26CA"/>
    <w:rsid w:val="00BF2BDB"/>
    <w:rsid w:val="00BF44E3"/>
    <w:rsid w:val="00BF4CBC"/>
    <w:rsid w:val="00BF5500"/>
    <w:rsid w:val="00BF5935"/>
    <w:rsid w:val="00BF5DB7"/>
    <w:rsid w:val="00BF6CD0"/>
    <w:rsid w:val="00BF7072"/>
    <w:rsid w:val="00BF73F0"/>
    <w:rsid w:val="00BF774D"/>
    <w:rsid w:val="00BF7F51"/>
    <w:rsid w:val="00C0027F"/>
    <w:rsid w:val="00C0046F"/>
    <w:rsid w:val="00C00B1D"/>
    <w:rsid w:val="00C00B7C"/>
    <w:rsid w:val="00C00BFD"/>
    <w:rsid w:val="00C00F59"/>
    <w:rsid w:val="00C012A2"/>
    <w:rsid w:val="00C02179"/>
    <w:rsid w:val="00C02CB6"/>
    <w:rsid w:val="00C03680"/>
    <w:rsid w:val="00C044EE"/>
    <w:rsid w:val="00C0453B"/>
    <w:rsid w:val="00C04873"/>
    <w:rsid w:val="00C04A68"/>
    <w:rsid w:val="00C04DF8"/>
    <w:rsid w:val="00C04F10"/>
    <w:rsid w:val="00C04F6A"/>
    <w:rsid w:val="00C05A11"/>
    <w:rsid w:val="00C05FC6"/>
    <w:rsid w:val="00C06E9C"/>
    <w:rsid w:val="00C0776D"/>
    <w:rsid w:val="00C1045D"/>
    <w:rsid w:val="00C10EB1"/>
    <w:rsid w:val="00C11095"/>
    <w:rsid w:val="00C1138D"/>
    <w:rsid w:val="00C11478"/>
    <w:rsid w:val="00C122B5"/>
    <w:rsid w:val="00C12858"/>
    <w:rsid w:val="00C13A01"/>
    <w:rsid w:val="00C14541"/>
    <w:rsid w:val="00C146D3"/>
    <w:rsid w:val="00C14725"/>
    <w:rsid w:val="00C14DD0"/>
    <w:rsid w:val="00C1557D"/>
    <w:rsid w:val="00C15C6C"/>
    <w:rsid w:val="00C1691E"/>
    <w:rsid w:val="00C16C0D"/>
    <w:rsid w:val="00C16EAA"/>
    <w:rsid w:val="00C16EE8"/>
    <w:rsid w:val="00C1706B"/>
    <w:rsid w:val="00C175FA"/>
    <w:rsid w:val="00C17A44"/>
    <w:rsid w:val="00C17FA6"/>
    <w:rsid w:val="00C20568"/>
    <w:rsid w:val="00C20FD1"/>
    <w:rsid w:val="00C2133B"/>
    <w:rsid w:val="00C2227B"/>
    <w:rsid w:val="00C22C9A"/>
    <w:rsid w:val="00C22D0F"/>
    <w:rsid w:val="00C232E9"/>
    <w:rsid w:val="00C23C40"/>
    <w:rsid w:val="00C23FE8"/>
    <w:rsid w:val="00C241C6"/>
    <w:rsid w:val="00C24867"/>
    <w:rsid w:val="00C24D12"/>
    <w:rsid w:val="00C25018"/>
    <w:rsid w:val="00C25086"/>
    <w:rsid w:val="00C253C9"/>
    <w:rsid w:val="00C259CE"/>
    <w:rsid w:val="00C26962"/>
    <w:rsid w:val="00C26BD4"/>
    <w:rsid w:val="00C26CAE"/>
    <w:rsid w:val="00C26F6F"/>
    <w:rsid w:val="00C30040"/>
    <w:rsid w:val="00C30438"/>
    <w:rsid w:val="00C30BBE"/>
    <w:rsid w:val="00C30FE4"/>
    <w:rsid w:val="00C311FF"/>
    <w:rsid w:val="00C32030"/>
    <w:rsid w:val="00C32293"/>
    <w:rsid w:val="00C323EA"/>
    <w:rsid w:val="00C32C55"/>
    <w:rsid w:val="00C342C0"/>
    <w:rsid w:val="00C34598"/>
    <w:rsid w:val="00C348AA"/>
    <w:rsid w:val="00C349E2"/>
    <w:rsid w:val="00C34A53"/>
    <w:rsid w:val="00C34EB8"/>
    <w:rsid w:val="00C35594"/>
    <w:rsid w:val="00C35F2D"/>
    <w:rsid w:val="00C35F33"/>
    <w:rsid w:val="00C366BB"/>
    <w:rsid w:val="00C36859"/>
    <w:rsid w:val="00C37722"/>
    <w:rsid w:val="00C37BF1"/>
    <w:rsid w:val="00C41790"/>
    <w:rsid w:val="00C41993"/>
    <w:rsid w:val="00C421A8"/>
    <w:rsid w:val="00C43631"/>
    <w:rsid w:val="00C4495A"/>
    <w:rsid w:val="00C4499E"/>
    <w:rsid w:val="00C44A37"/>
    <w:rsid w:val="00C44F1B"/>
    <w:rsid w:val="00C45634"/>
    <w:rsid w:val="00C45BC8"/>
    <w:rsid w:val="00C46C7B"/>
    <w:rsid w:val="00C47577"/>
    <w:rsid w:val="00C4779E"/>
    <w:rsid w:val="00C47A6A"/>
    <w:rsid w:val="00C47ABD"/>
    <w:rsid w:val="00C506EE"/>
    <w:rsid w:val="00C50856"/>
    <w:rsid w:val="00C527B5"/>
    <w:rsid w:val="00C52C43"/>
    <w:rsid w:val="00C5301C"/>
    <w:rsid w:val="00C53058"/>
    <w:rsid w:val="00C533DA"/>
    <w:rsid w:val="00C53827"/>
    <w:rsid w:val="00C541BC"/>
    <w:rsid w:val="00C543E3"/>
    <w:rsid w:val="00C54B62"/>
    <w:rsid w:val="00C5551C"/>
    <w:rsid w:val="00C55AAB"/>
    <w:rsid w:val="00C5734B"/>
    <w:rsid w:val="00C60A6A"/>
    <w:rsid w:val="00C60E47"/>
    <w:rsid w:val="00C60EC9"/>
    <w:rsid w:val="00C61BFC"/>
    <w:rsid w:val="00C61DAB"/>
    <w:rsid w:val="00C61F5B"/>
    <w:rsid w:val="00C6219F"/>
    <w:rsid w:val="00C6282F"/>
    <w:rsid w:val="00C629BD"/>
    <w:rsid w:val="00C62C52"/>
    <w:rsid w:val="00C633F2"/>
    <w:rsid w:val="00C638C9"/>
    <w:rsid w:val="00C63DEB"/>
    <w:rsid w:val="00C642F5"/>
    <w:rsid w:val="00C6501C"/>
    <w:rsid w:val="00C65173"/>
    <w:rsid w:val="00C655FC"/>
    <w:rsid w:val="00C6577B"/>
    <w:rsid w:val="00C65C2B"/>
    <w:rsid w:val="00C65CD5"/>
    <w:rsid w:val="00C65FFF"/>
    <w:rsid w:val="00C661F2"/>
    <w:rsid w:val="00C66CA6"/>
    <w:rsid w:val="00C66F16"/>
    <w:rsid w:val="00C67BEF"/>
    <w:rsid w:val="00C705A4"/>
    <w:rsid w:val="00C70B21"/>
    <w:rsid w:val="00C717E0"/>
    <w:rsid w:val="00C71C27"/>
    <w:rsid w:val="00C72A43"/>
    <w:rsid w:val="00C737C4"/>
    <w:rsid w:val="00C74882"/>
    <w:rsid w:val="00C74A49"/>
    <w:rsid w:val="00C75592"/>
    <w:rsid w:val="00C75983"/>
    <w:rsid w:val="00C76DA4"/>
    <w:rsid w:val="00C77185"/>
    <w:rsid w:val="00C7796A"/>
    <w:rsid w:val="00C80217"/>
    <w:rsid w:val="00C81088"/>
    <w:rsid w:val="00C81F58"/>
    <w:rsid w:val="00C824E1"/>
    <w:rsid w:val="00C82A14"/>
    <w:rsid w:val="00C8390D"/>
    <w:rsid w:val="00C83F31"/>
    <w:rsid w:val="00C843C4"/>
    <w:rsid w:val="00C85906"/>
    <w:rsid w:val="00C85C3D"/>
    <w:rsid w:val="00C86226"/>
    <w:rsid w:val="00C8638C"/>
    <w:rsid w:val="00C8663B"/>
    <w:rsid w:val="00C86B4C"/>
    <w:rsid w:val="00C87042"/>
    <w:rsid w:val="00C876C3"/>
    <w:rsid w:val="00C903C6"/>
    <w:rsid w:val="00C9192D"/>
    <w:rsid w:val="00C9225E"/>
    <w:rsid w:val="00C92C8D"/>
    <w:rsid w:val="00C93EA2"/>
    <w:rsid w:val="00C94501"/>
    <w:rsid w:val="00C94559"/>
    <w:rsid w:val="00C94897"/>
    <w:rsid w:val="00C95005"/>
    <w:rsid w:val="00C95AD0"/>
    <w:rsid w:val="00C95E91"/>
    <w:rsid w:val="00C96070"/>
    <w:rsid w:val="00C96676"/>
    <w:rsid w:val="00C96AD9"/>
    <w:rsid w:val="00C96E22"/>
    <w:rsid w:val="00C96F1B"/>
    <w:rsid w:val="00C9718A"/>
    <w:rsid w:val="00CA02EB"/>
    <w:rsid w:val="00CA0DDB"/>
    <w:rsid w:val="00CA1775"/>
    <w:rsid w:val="00CA3549"/>
    <w:rsid w:val="00CA369C"/>
    <w:rsid w:val="00CA3BD6"/>
    <w:rsid w:val="00CA48BD"/>
    <w:rsid w:val="00CA4EF9"/>
    <w:rsid w:val="00CA61D5"/>
    <w:rsid w:val="00CA66E1"/>
    <w:rsid w:val="00CA7A07"/>
    <w:rsid w:val="00CA7D8F"/>
    <w:rsid w:val="00CB0193"/>
    <w:rsid w:val="00CB059A"/>
    <w:rsid w:val="00CB08BD"/>
    <w:rsid w:val="00CB0F0F"/>
    <w:rsid w:val="00CB1286"/>
    <w:rsid w:val="00CB1836"/>
    <w:rsid w:val="00CB1CF5"/>
    <w:rsid w:val="00CB2477"/>
    <w:rsid w:val="00CB2545"/>
    <w:rsid w:val="00CB2F03"/>
    <w:rsid w:val="00CB33B2"/>
    <w:rsid w:val="00CB34E4"/>
    <w:rsid w:val="00CB3A56"/>
    <w:rsid w:val="00CB441C"/>
    <w:rsid w:val="00CB4C1B"/>
    <w:rsid w:val="00CB518F"/>
    <w:rsid w:val="00CB55B3"/>
    <w:rsid w:val="00CB570A"/>
    <w:rsid w:val="00CB5A79"/>
    <w:rsid w:val="00CB73FC"/>
    <w:rsid w:val="00CB7F6C"/>
    <w:rsid w:val="00CB7FEE"/>
    <w:rsid w:val="00CC07F4"/>
    <w:rsid w:val="00CC0814"/>
    <w:rsid w:val="00CC0877"/>
    <w:rsid w:val="00CC0D66"/>
    <w:rsid w:val="00CC17BE"/>
    <w:rsid w:val="00CC205C"/>
    <w:rsid w:val="00CC25AA"/>
    <w:rsid w:val="00CC2701"/>
    <w:rsid w:val="00CC2FBB"/>
    <w:rsid w:val="00CC2FDD"/>
    <w:rsid w:val="00CC34B4"/>
    <w:rsid w:val="00CC3E10"/>
    <w:rsid w:val="00CC5609"/>
    <w:rsid w:val="00CC5D3E"/>
    <w:rsid w:val="00CC6A71"/>
    <w:rsid w:val="00CC6BE1"/>
    <w:rsid w:val="00CC6FF4"/>
    <w:rsid w:val="00CC7ABA"/>
    <w:rsid w:val="00CD0B05"/>
    <w:rsid w:val="00CD0CF2"/>
    <w:rsid w:val="00CD1195"/>
    <w:rsid w:val="00CD17B2"/>
    <w:rsid w:val="00CD18A8"/>
    <w:rsid w:val="00CD1AAB"/>
    <w:rsid w:val="00CD1DAC"/>
    <w:rsid w:val="00CD2266"/>
    <w:rsid w:val="00CD231D"/>
    <w:rsid w:val="00CD3302"/>
    <w:rsid w:val="00CD34D7"/>
    <w:rsid w:val="00CD38B4"/>
    <w:rsid w:val="00CD3A2B"/>
    <w:rsid w:val="00CD3A8F"/>
    <w:rsid w:val="00CD3D1D"/>
    <w:rsid w:val="00CD45F1"/>
    <w:rsid w:val="00CD48EB"/>
    <w:rsid w:val="00CD55F4"/>
    <w:rsid w:val="00CD5602"/>
    <w:rsid w:val="00CD59BC"/>
    <w:rsid w:val="00CD5F5C"/>
    <w:rsid w:val="00CD6777"/>
    <w:rsid w:val="00CD68C8"/>
    <w:rsid w:val="00CD740B"/>
    <w:rsid w:val="00CD7961"/>
    <w:rsid w:val="00CD7C7D"/>
    <w:rsid w:val="00CD7FEC"/>
    <w:rsid w:val="00CE0286"/>
    <w:rsid w:val="00CE0768"/>
    <w:rsid w:val="00CE1582"/>
    <w:rsid w:val="00CE1D1E"/>
    <w:rsid w:val="00CE1E49"/>
    <w:rsid w:val="00CE31B1"/>
    <w:rsid w:val="00CE3970"/>
    <w:rsid w:val="00CE4315"/>
    <w:rsid w:val="00CE43B7"/>
    <w:rsid w:val="00CE483C"/>
    <w:rsid w:val="00CE5F7B"/>
    <w:rsid w:val="00CE634B"/>
    <w:rsid w:val="00CE6640"/>
    <w:rsid w:val="00CE6CF7"/>
    <w:rsid w:val="00CF0E62"/>
    <w:rsid w:val="00CF1B40"/>
    <w:rsid w:val="00CF1B50"/>
    <w:rsid w:val="00CF1BF3"/>
    <w:rsid w:val="00CF22A1"/>
    <w:rsid w:val="00CF2E3F"/>
    <w:rsid w:val="00CF2F1E"/>
    <w:rsid w:val="00CF30C0"/>
    <w:rsid w:val="00CF32FA"/>
    <w:rsid w:val="00CF3817"/>
    <w:rsid w:val="00CF3A0D"/>
    <w:rsid w:val="00CF3BB8"/>
    <w:rsid w:val="00CF3BC4"/>
    <w:rsid w:val="00CF48D2"/>
    <w:rsid w:val="00CF4E52"/>
    <w:rsid w:val="00CF5B50"/>
    <w:rsid w:val="00CF5DA7"/>
    <w:rsid w:val="00CF6022"/>
    <w:rsid w:val="00CF6299"/>
    <w:rsid w:val="00CF7B15"/>
    <w:rsid w:val="00D00488"/>
    <w:rsid w:val="00D00E91"/>
    <w:rsid w:val="00D0131D"/>
    <w:rsid w:val="00D02143"/>
    <w:rsid w:val="00D03299"/>
    <w:rsid w:val="00D03474"/>
    <w:rsid w:val="00D04325"/>
    <w:rsid w:val="00D04670"/>
    <w:rsid w:val="00D0486B"/>
    <w:rsid w:val="00D04BDE"/>
    <w:rsid w:val="00D05119"/>
    <w:rsid w:val="00D054D9"/>
    <w:rsid w:val="00D05F29"/>
    <w:rsid w:val="00D0645F"/>
    <w:rsid w:val="00D06466"/>
    <w:rsid w:val="00D06BC8"/>
    <w:rsid w:val="00D07008"/>
    <w:rsid w:val="00D07816"/>
    <w:rsid w:val="00D1069E"/>
    <w:rsid w:val="00D107C4"/>
    <w:rsid w:val="00D10DCC"/>
    <w:rsid w:val="00D1109F"/>
    <w:rsid w:val="00D110C7"/>
    <w:rsid w:val="00D110E5"/>
    <w:rsid w:val="00D11607"/>
    <w:rsid w:val="00D11682"/>
    <w:rsid w:val="00D1186A"/>
    <w:rsid w:val="00D11CFD"/>
    <w:rsid w:val="00D12324"/>
    <w:rsid w:val="00D12372"/>
    <w:rsid w:val="00D12573"/>
    <w:rsid w:val="00D1290D"/>
    <w:rsid w:val="00D12AC6"/>
    <w:rsid w:val="00D12ED7"/>
    <w:rsid w:val="00D14452"/>
    <w:rsid w:val="00D15371"/>
    <w:rsid w:val="00D15C10"/>
    <w:rsid w:val="00D15EA8"/>
    <w:rsid w:val="00D160E0"/>
    <w:rsid w:val="00D16BF4"/>
    <w:rsid w:val="00D16DB5"/>
    <w:rsid w:val="00D1785C"/>
    <w:rsid w:val="00D178EF"/>
    <w:rsid w:val="00D179E7"/>
    <w:rsid w:val="00D17EB5"/>
    <w:rsid w:val="00D20A91"/>
    <w:rsid w:val="00D2172D"/>
    <w:rsid w:val="00D21F1D"/>
    <w:rsid w:val="00D225E3"/>
    <w:rsid w:val="00D22C42"/>
    <w:rsid w:val="00D23031"/>
    <w:rsid w:val="00D23084"/>
    <w:rsid w:val="00D23925"/>
    <w:rsid w:val="00D243A5"/>
    <w:rsid w:val="00D24EEB"/>
    <w:rsid w:val="00D25139"/>
    <w:rsid w:val="00D25ABD"/>
    <w:rsid w:val="00D262A2"/>
    <w:rsid w:val="00D26314"/>
    <w:rsid w:val="00D26798"/>
    <w:rsid w:val="00D26B44"/>
    <w:rsid w:val="00D27B70"/>
    <w:rsid w:val="00D27D0F"/>
    <w:rsid w:val="00D27D3C"/>
    <w:rsid w:val="00D304BC"/>
    <w:rsid w:val="00D31483"/>
    <w:rsid w:val="00D31D90"/>
    <w:rsid w:val="00D327F4"/>
    <w:rsid w:val="00D34E8D"/>
    <w:rsid w:val="00D34EB8"/>
    <w:rsid w:val="00D35A82"/>
    <w:rsid w:val="00D35CFA"/>
    <w:rsid w:val="00D363A2"/>
    <w:rsid w:val="00D36C74"/>
    <w:rsid w:val="00D4062C"/>
    <w:rsid w:val="00D406F2"/>
    <w:rsid w:val="00D4102B"/>
    <w:rsid w:val="00D412A6"/>
    <w:rsid w:val="00D423E6"/>
    <w:rsid w:val="00D42C1C"/>
    <w:rsid w:val="00D43142"/>
    <w:rsid w:val="00D43B4F"/>
    <w:rsid w:val="00D43E3D"/>
    <w:rsid w:val="00D449AF"/>
    <w:rsid w:val="00D45476"/>
    <w:rsid w:val="00D45684"/>
    <w:rsid w:val="00D47195"/>
    <w:rsid w:val="00D476E7"/>
    <w:rsid w:val="00D505DC"/>
    <w:rsid w:val="00D51423"/>
    <w:rsid w:val="00D51877"/>
    <w:rsid w:val="00D51A60"/>
    <w:rsid w:val="00D51EF1"/>
    <w:rsid w:val="00D52198"/>
    <w:rsid w:val="00D52D86"/>
    <w:rsid w:val="00D536DB"/>
    <w:rsid w:val="00D536F8"/>
    <w:rsid w:val="00D53961"/>
    <w:rsid w:val="00D53F0B"/>
    <w:rsid w:val="00D5431E"/>
    <w:rsid w:val="00D54420"/>
    <w:rsid w:val="00D546AD"/>
    <w:rsid w:val="00D55247"/>
    <w:rsid w:val="00D5538C"/>
    <w:rsid w:val="00D5568C"/>
    <w:rsid w:val="00D55D01"/>
    <w:rsid w:val="00D56212"/>
    <w:rsid w:val="00D5640F"/>
    <w:rsid w:val="00D565A6"/>
    <w:rsid w:val="00D5779E"/>
    <w:rsid w:val="00D577B2"/>
    <w:rsid w:val="00D611C5"/>
    <w:rsid w:val="00D6141D"/>
    <w:rsid w:val="00D616B9"/>
    <w:rsid w:val="00D61724"/>
    <w:rsid w:val="00D61BE4"/>
    <w:rsid w:val="00D61E6A"/>
    <w:rsid w:val="00D62418"/>
    <w:rsid w:val="00D62476"/>
    <w:rsid w:val="00D62704"/>
    <w:rsid w:val="00D6313E"/>
    <w:rsid w:val="00D633A9"/>
    <w:rsid w:val="00D64073"/>
    <w:rsid w:val="00D64C8D"/>
    <w:rsid w:val="00D64F55"/>
    <w:rsid w:val="00D64FF5"/>
    <w:rsid w:val="00D65742"/>
    <w:rsid w:val="00D66122"/>
    <w:rsid w:val="00D66947"/>
    <w:rsid w:val="00D67F86"/>
    <w:rsid w:val="00D706C8"/>
    <w:rsid w:val="00D71BDB"/>
    <w:rsid w:val="00D71CE7"/>
    <w:rsid w:val="00D71F02"/>
    <w:rsid w:val="00D720E8"/>
    <w:rsid w:val="00D72A1B"/>
    <w:rsid w:val="00D732B2"/>
    <w:rsid w:val="00D732FE"/>
    <w:rsid w:val="00D734C7"/>
    <w:rsid w:val="00D73543"/>
    <w:rsid w:val="00D75392"/>
    <w:rsid w:val="00D76EFC"/>
    <w:rsid w:val="00D77771"/>
    <w:rsid w:val="00D77934"/>
    <w:rsid w:val="00D8091F"/>
    <w:rsid w:val="00D81239"/>
    <w:rsid w:val="00D81A9C"/>
    <w:rsid w:val="00D81F2A"/>
    <w:rsid w:val="00D82390"/>
    <w:rsid w:val="00D82ACB"/>
    <w:rsid w:val="00D82ADA"/>
    <w:rsid w:val="00D82FE6"/>
    <w:rsid w:val="00D84132"/>
    <w:rsid w:val="00D8425E"/>
    <w:rsid w:val="00D84B33"/>
    <w:rsid w:val="00D84F85"/>
    <w:rsid w:val="00D8586A"/>
    <w:rsid w:val="00D8646D"/>
    <w:rsid w:val="00D8701B"/>
    <w:rsid w:val="00D871C0"/>
    <w:rsid w:val="00D90179"/>
    <w:rsid w:val="00D90302"/>
    <w:rsid w:val="00D906FB"/>
    <w:rsid w:val="00D90A5A"/>
    <w:rsid w:val="00D90D7D"/>
    <w:rsid w:val="00D927CE"/>
    <w:rsid w:val="00D93FBA"/>
    <w:rsid w:val="00D94199"/>
    <w:rsid w:val="00D94AFB"/>
    <w:rsid w:val="00D94EFE"/>
    <w:rsid w:val="00D9559B"/>
    <w:rsid w:val="00D95874"/>
    <w:rsid w:val="00D96143"/>
    <w:rsid w:val="00D96162"/>
    <w:rsid w:val="00D964DD"/>
    <w:rsid w:val="00D9699D"/>
    <w:rsid w:val="00D96A4C"/>
    <w:rsid w:val="00D96C97"/>
    <w:rsid w:val="00D96E17"/>
    <w:rsid w:val="00D96E87"/>
    <w:rsid w:val="00D96F68"/>
    <w:rsid w:val="00D9724B"/>
    <w:rsid w:val="00D974A0"/>
    <w:rsid w:val="00D97669"/>
    <w:rsid w:val="00D97685"/>
    <w:rsid w:val="00D97B99"/>
    <w:rsid w:val="00D97C00"/>
    <w:rsid w:val="00DA05EB"/>
    <w:rsid w:val="00DA07CA"/>
    <w:rsid w:val="00DA0835"/>
    <w:rsid w:val="00DA0AC9"/>
    <w:rsid w:val="00DA0E8F"/>
    <w:rsid w:val="00DA1058"/>
    <w:rsid w:val="00DA16EC"/>
    <w:rsid w:val="00DA200F"/>
    <w:rsid w:val="00DA258D"/>
    <w:rsid w:val="00DA2A52"/>
    <w:rsid w:val="00DA32AF"/>
    <w:rsid w:val="00DA4022"/>
    <w:rsid w:val="00DA4701"/>
    <w:rsid w:val="00DA48A2"/>
    <w:rsid w:val="00DA4942"/>
    <w:rsid w:val="00DA49BB"/>
    <w:rsid w:val="00DA5EBE"/>
    <w:rsid w:val="00DA693D"/>
    <w:rsid w:val="00DA7118"/>
    <w:rsid w:val="00DB0E52"/>
    <w:rsid w:val="00DB0E80"/>
    <w:rsid w:val="00DB0F98"/>
    <w:rsid w:val="00DB1395"/>
    <w:rsid w:val="00DB1BF7"/>
    <w:rsid w:val="00DB1D3B"/>
    <w:rsid w:val="00DB200B"/>
    <w:rsid w:val="00DB2160"/>
    <w:rsid w:val="00DB2668"/>
    <w:rsid w:val="00DB2AA8"/>
    <w:rsid w:val="00DB2AF4"/>
    <w:rsid w:val="00DB34BC"/>
    <w:rsid w:val="00DB37B3"/>
    <w:rsid w:val="00DB446D"/>
    <w:rsid w:val="00DB4895"/>
    <w:rsid w:val="00DB4A94"/>
    <w:rsid w:val="00DB4C33"/>
    <w:rsid w:val="00DB61CD"/>
    <w:rsid w:val="00DB6E86"/>
    <w:rsid w:val="00DB7553"/>
    <w:rsid w:val="00DC0662"/>
    <w:rsid w:val="00DC17A0"/>
    <w:rsid w:val="00DC2314"/>
    <w:rsid w:val="00DC2377"/>
    <w:rsid w:val="00DC2464"/>
    <w:rsid w:val="00DC266D"/>
    <w:rsid w:val="00DC286B"/>
    <w:rsid w:val="00DC2970"/>
    <w:rsid w:val="00DC2E13"/>
    <w:rsid w:val="00DC38C5"/>
    <w:rsid w:val="00DC4732"/>
    <w:rsid w:val="00DC4D27"/>
    <w:rsid w:val="00DC5397"/>
    <w:rsid w:val="00DC6657"/>
    <w:rsid w:val="00DC6E86"/>
    <w:rsid w:val="00DC747E"/>
    <w:rsid w:val="00DC7535"/>
    <w:rsid w:val="00DC763F"/>
    <w:rsid w:val="00DC7D8C"/>
    <w:rsid w:val="00DC7EA7"/>
    <w:rsid w:val="00DD035D"/>
    <w:rsid w:val="00DD0A0A"/>
    <w:rsid w:val="00DD104B"/>
    <w:rsid w:val="00DD1C79"/>
    <w:rsid w:val="00DD2BC1"/>
    <w:rsid w:val="00DD37BE"/>
    <w:rsid w:val="00DD42DE"/>
    <w:rsid w:val="00DD5070"/>
    <w:rsid w:val="00DD52A5"/>
    <w:rsid w:val="00DD56EB"/>
    <w:rsid w:val="00DD5731"/>
    <w:rsid w:val="00DD5D2D"/>
    <w:rsid w:val="00DD6240"/>
    <w:rsid w:val="00DD65CC"/>
    <w:rsid w:val="00DD6E92"/>
    <w:rsid w:val="00DD6ED9"/>
    <w:rsid w:val="00DD74DC"/>
    <w:rsid w:val="00DD77A6"/>
    <w:rsid w:val="00DD7B42"/>
    <w:rsid w:val="00DD7B68"/>
    <w:rsid w:val="00DD7CFD"/>
    <w:rsid w:val="00DD7D1C"/>
    <w:rsid w:val="00DE02E8"/>
    <w:rsid w:val="00DE0533"/>
    <w:rsid w:val="00DE0A15"/>
    <w:rsid w:val="00DE12E8"/>
    <w:rsid w:val="00DE13CF"/>
    <w:rsid w:val="00DE1933"/>
    <w:rsid w:val="00DE1DB7"/>
    <w:rsid w:val="00DE2058"/>
    <w:rsid w:val="00DE24D8"/>
    <w:rsid w:val="00DE269E"/>
    <w:rsid w:val="00DE2F04"/>
    <w:rsid w:val="00DE35A9"/>
    <w:rsid w:val="00DE368C"/>
    <w:rsid w:val="00DE3F85"/>
    <w:rsid w:val="00DE43A3"/>
    <w:rsid w:val="00DE43C8"/>
    <w:rsid w:val="00DE4492"/>
    <w:rsid w:val="00DE55B0"/>
    <w:rsid w:val="00DE5C94"/>
    <w:rsid w:val="00DE65BE"/>
    <w:rsid w:val="00DE6B5E"/>
    <w:rsid w:val="00DE6BA5"/>
    <w:rsid w:val="00DE6D6A"/>
    <w:rsid w:val="00DE6DD1"/>
    <w:rsid w:val="00DE6EAC"/>
    <w:rsid w:val="00DF07F3"/>
    <w:rsid w:val="00DF0FDB"/>
    <w:rsid w:val="00DF12DA"/>
    <w:rsid w:val="00DF153C"/>
    <w:rsid w:val="00DF20E6"/>
    <w:rsid w:val="00DF2F65"/>
    <w:rsid w:val="00DF373B"/>
    <w:rsid w:val="00DF39E6"/>
    <w:rsid w:val="00DF3CCB"/>
    <w:rsid w:val="00DF4353"/>
    <w:rsid w:val="00DF4804"/>
    <w:rsid w:val="00DF4D03"/>
    <w:rsid w:val="00DF5311"/>
    <w:rsid w:val="00DF657F"/>
    <w:rsid w:val="00DF67CE"/>
    <w:rsid w:val="00DF6AB7"/>
    <w:rsid w:val="00DF75D8"/>
    <w:rsid w:val="00DF7621"/>
    <w:rsid w:val="00DF7FAC"/>
    <w:rsid w:val="00E00743"/>
    <w:rsid w:val="00E0099B"/>
    <w:rsid w:val="00E009EA"/>
    <w:rsid w:val="00E0107C"/>
    <w:rsid w:val="00E01598"/>
    <w:rsid w:val="00E01D34"/>
    <w:rsid w:val="00E02328"/>
    <w:rsid w:val="00E02349"/>
    <w:rsid w:val="00E02D12"/>
    <w:rsid w:val="00E032DD"/>
    <w:rsid w:val="00E03660"/>
    <w:rsid w:val="00E03913"/>
    <w:rsid w:val="00E03D17"/>
    <w:rsid w:val="00E045FB"/>
    <w:rsid w:val="00E04EF9"/>
    <w:rsid w:val="00E05026"/>
    <w:rsid w:val="00E062CD"/>
    <w:rsid w:val="00E067F9"/>
    <w:rsid w:val="00E07576"/>
    <w:rsid w:val="00E077F3"/>
    <w:rsid w:val="00E07D75"/>
    <w:rsid w:val="00E07EFC"/>
    <w:rsid w:val="00E10A35"/>
    <w:rsid w:val="00E10B3C"/>
    <w:rsid w:val="00E10CA4"/>
    <w:rsid w:val="00E112AF"/>
    <w:rsid w:val="00E11366"/>
    <w:rsid w:val="00E11D9E"/>
    <w:rsid w:val="00E1215E"/>
    <w:rsid w:val="00E1285C"/>
    <w:rsid w:val="00E129AC"/>
    <w:rsid w:val="00E129AF"/>
    <w:rsid w:val="00E12D78"/>
    <w:rsid w:val="00E1317C"/>
    <w:rsid w:val="00E13195"/>
    <w:rsid w:val="00E1476F"/>
    <w:rsid w:val="00E14789"/>
    <w:rsid w:val="00E14A31"/>
    <w:rsid w:val="00E15C18"/>
    <w:rsid w:val="00E15D58"/>
    <w:rsid w:val="00E166BF"/>
    <w:rsid w:val="00E16E43"/>
    <w:rsid w:val="00E16F97"/>
    <w:rsid w:val="00E17096"/>
    <w:rsid w:val="00E17384"/>
    <w:rsid w:val="00E173B2"/>
    <w:rsid w:val="00E17C76"/>
    <w:rsid w:val="00E205CE"/>
    <w:rsid w:val="00E20639"/>
    <w:rsid w:val="00E208FE"/>
    <w:rsid w:val="00E20A3C"/>
    <w:rsid w:val="00E211EB"/>
    <w:rsid w:val="00E211EC"/>
    <w:rsid w:val="00E212D0"/>
    <w:rsid w:val="00E2171C"/>
    <w:rsid w:val="00E21A63"/>
    <w:rsid w:val="00E22139"/>
    <w:rsid w:val="00E2292F"/>
    <w:rsid w:val="00E22BA9"/>
    <w:rsid w:val="00E22F4F"/>
    <w:rsid w:val="00E23341"/>
    <w:rsid w:val="00E2338A"/>
    <w:rsid w:val="00E234CA"/>
    <w:rsid w:val="00E23A55"/>
    <w:rsid w:val="00E23A7E"/>
    <w:rsid w:val="00E24191"/>
    <w:rsid w:val="00E25297"/>
    <w:rsid w:val="00E263AE"/>
    <w:rsid w:val="00E26C17"/>
    <w:rsid w:val="00E276BC"/>
    <w:rsid w:val="00E2781B"/>
    <w:rsid w:val="00E302C6"/>
    <w:rsid w:val="00E30B63"/>
    <w:rsid w:val="00E31054"/>
    <w:rsid w:val="00E31587"/>
    <w:rsid w:val="00E31590"/>
    <w:rsid w:val="00E317F8"/>
    <w:rsid w:val="00E31EFC"/>
    <w:rsid w:val="00E3248F"/>
    <w:rsid w:val="00E3369D"/>
    <w:rsid w:val="00E336B6"/>
    <w:rsid w:val="00E347FB"/>
    <w:rsid w:val="00E34E51"/>
    <w:rsid w:val="00E34F2A"/>
    <w:rsid w:val="00E34F5C"/>
    <w:rsid w:val="00E3527F"/>
    <w:rsid w:val="00E363F5"/>
    <w:rsid w:val="00E36A57"/>
    <w:rsid w:val="00E36FAF"/>
    <w:rsid w:val="00E3750A"/>
    <w:rsid w:val="00E37F8C"/>
    <w:rsid w:val="00E37F8E"/>
    <w:rsid w:val="00E40645"/>
    <w:rsid w:val="00E411B1"/>
    <w:rsid w:val="00E4120C"/>
    <w:rsid w:val="00E4127E"/>
    <w:rsid w:val="00E414C9"/>
    <w:rsid w:val="00E42C40"/>
    <w:rsid w:val="00E43FA2"/>
    <w:rsid w:val="00E44B57"/>
    <w:rsid w:val="00E44FC4"/>
    <w:rsid w:val="00E4524A"/>
    <w:rsid w:val="00E469BE"/>
    <w:rsid w:val="00E502D0"/>
    <w:rsid w:val="00E502D3"/>
    <w:rsid w:val="00E5030B"/>
    <w:rsid w:val="00E5086B"/>
    <w:rsid w:val="00E50FFD"/>
    <w:rsid w:val="00E51875"/>
    <w:rsid w:val="00E51BB4"/>
    <w:rsid w:val="00E51CE3"/>
    <w:rsid w:val="00E52CDA"/>
    <w:rsid w:val="00E52E59"/>
    <w:rsid w:val="00E53E77"/>
    <w:rsid w:val="00E5483B"/>
    <w:rsid w:val="00E54E54"/>
    <w:rsid w:val="00E5501A"/>
    <w:rsid w:val="00E55B86"/>
    <w:rsid w:val="00E55E35"/>
    <w:rsid w:val="00E56A10"/>
    <w:rsid w:val="00E571F8"/>
    <w:rsid w:val="00E5732D"/>
    <w:rsid w:val="00E604F1"/>
    <w:rsid w:val="00E60B2C"/>
    <w:rsid w:val="00E60CAE"/>
    <w:rsid w:val="00E60CB9"/>
    <w:rsid w:val="00E61B9B"/>
    <w:rsid w:val="00E61CCE"/>
    <w:rsid w:val="00E62233"/>
    <w:rsid w:val="00E62518"/>
    <w:rsid w:val="00E62760"/>
    <w:rsid w:val="00E62762"/>
    <w:rsid w:val="00E62966"/>
    <w:rsid w:val="00E62C40"/>
    <w:rsid w:val="00E62F19"/>
    <w:rsid w:val="00E62F28"/>
    <w:rsid w:val="00E647E4"/>
    <w:rsid w:val="00E64E55"/>
    <w:rsid w:val="00E6504A"/>
    <w:rsid w:val="00E65215"/>
    <w:rsid w:val="00E66B92"/>
    <w:rsid w:val="00E66FCD"/>
    <w:rsid w:val="00E67BF7"/>
    <w:rsid w:val="00E70610"/>
    <w:rsid w:val="00E706B0"/>
    <w:rsid w:val="00E706C0"/>
    <w:rsid w:val="00E7087C"/>
    <w:rsid w:val="00E711C1"/>
    <w:rsid w:val="00E71696"/>
    <w:rsid w:val="00E71C85"/>
    <w:rsid w:val="00E71E92"/>
    <w:rsid w:val="00E7259A"/>
    <w:rsid w:val="00E72BBC"/>
    <w:rsid w:val="00E739E0"/>
    <w:rsid w:val="00E740C6"/>
    <w:rsid w:val="00E74475"/>
    <w:rsid w:val="00E74BB3"/>
    <w:rsid w:val="00E74BF4"/>
    <w:rsid w:val="00E75022"/>
    <w:rsid w:val="00E7507C"/>
    <w:rsid w:val="00E75398"/>
    <w:rsid w:val="00E761D4"/>
    <w:rsid w:val="00E76B06"/>
    <w:rsid w:val="00E77BC3"/>
    <w:rsid w:val="00E77DF1"/>
    <w:rsid w:val="00E77F6B"/>
    <w:rsid w:val="00E8003B"/>
    <w:rsid w:val="00E802FF"/>
    <w:rsid w:val="00E80B5C"/>
    <w:rsid w:val="00E80EC2"/>
    <w:rsid w:val="00E8109E"/>
    <w:rsid w:val="00E81100"/>
    <w:rsid w:val="00E81403"/>
    <w:rsid w:val="00E819EB"/>
    <w:rsid w:val="00E81D7B"/>
    <w:rsid w:val="00E82CE3"/>
    <w:rsid w:val="00E836C1"/>
    <w:rsid w:val="00E844A3"/>
    <w:rsid w:val="00E84EDF"/>
    <w:rsid w:val="00E85325"/>
    <w:rsid w:val="00E85891"/>
    <w:rsid w:val="00E858CA"/>
    <w:rsid w:val="00E85AF4"/>
    <w:rsid w:val="00E85C8C"/>
    <w:rsid w:val="00E85CE1"/>
    <w:rsid w:val="00E8740C"/>
    <w:rsid w:val="00E87512"/>
    <w:rsid w:val="00E878D5"/>
    <w:rsid w:val="00E90461"/>
    <w:rsid w:val="00E9078D"/>
    <w:rsid w:val="00E90ECB"/>
    <w:rsid w:val="00E91E62"/>
    <w:rsid w:val="00E92BD1"/>
    <w:rsid w:val="00E9351C"/>
    <w:rsid w:val="00E93C1B"/>
    <w:rsid w:val="00E945C8"/>
    <w:rsid w:val="00E95197"/>
    <w:rsid w:val="00E95380"/>
    <w:rsid w:val="00E96C67"/>
    <w:rsid w:val="00E974EA"/>
    <w:rsid w:val="00E9762B"/>
    <w:rsid w:val="00E97D4E"/>
    <w:rsid w:val="00E97D9D"/>
    <w:rsid w:val="00EA139F"/>
    <w:rsid w:val="00EA15BE"/>
    <w:rsid w:val="00EA1E0D"/>
    <w:rsid w:val="00EA22E7"/>
    <w:rsid w:val="00EA2891"/>
    <w:rsid w:val="00EA39EE"/>
    <w:rsid w:val="00EA455C"/>
    <w:rsid w:val="00EA4AAF"/>
    <w:rsid w:val="00EA55C9"/>
    <w:rsid w:val="00EA5969"/>
    <w:rsid w:val="00EA7E27"/>
    <w:rsid w:val="00EB0900"/>
    <w:rsid w:val="00EB0EFD"/>
    <w:rsid w:val="00EB1138"/>
    <w:rsid w:val="00EB18C9"/>
    <w:rsid w:val="00EB18EF"/>
    <w:rsid w:val="00EB28C2"/>
    <w:rsid w:val="00EB3D0E"/>
    <w:rsid w:val="00EB4326"/>
    <w:rsid w:val="00EB4920"/>
    <w:rsid w:val="00EB4A5B"/>
    <w:rsid w:val="00EB4B90"/>
    <w:rsid w:val="00EB50A6"/>
    <w:rsid w:val="00EB5611"/>
    <w:rsid w:val="00EB568C"/>
    <w:rsid w:val="00EB6BEE"/>
    <w:rsid w:val="00EB6FD4"/>
    <w:rsid w:val="00EB75CA"/>
    <w:rsid w:val="00EC1C31"/>
    <w:rsid w:val="00EC1D94"/>
    <w:rsid w:val="00EC259F"/>
    <w:rsid w:val="00EC25F9"/>
    <w:rsid w:val="00EC299B"/>
    <w:rsid w:val="00EC29F9"/>
    <w:rsid w:val="00EC2FB1"/>
    <w:rsid w:val="00EC3487"/>
    <w:rsid w:val="00EC3536"/>
    <w:rsid w:val="00EC3648"/>
    <w:rsid w:val="00EC39B9"/>
    <w:rsid w:val="00EC3B1E"/>
    <w:rsid w:val="00EC3ED8"/>
    <w:rsid w:val="00EC3F62"/>
    <w:rsid w:val="00EC44A7"/>
    <w:rsid w:val="00EC45DC"/>
    <w:rsid w:val="00EC473A"/>
    <w:rsid w:val="00EC51E8"/>
    <w:rsid w:val="00EC5937"/>
    <w:rsid w:val="00EC5D60"/>
    <w:rsid w:val="00EC6C5A"/>
    <w:rsid w:val="00EC73A7"/>
    <w:rsid w:val="00EC7DBA"/>
    <w:rsid w:val="00EC7EFF"/>
    <w:rsid w:val="00EC7F3D"/>
    <w:rsid w:val="00ED04BA"/>
    <w:rsid w:val="00ED104F"/>
    <w:rsid w:val="00ED10A3"/>
    <w:rsid w:val="00ED1B34"/>
    <w:rsid w:val="00ED1B5D"/>
    <w:rsid w:val="00ED1DBA"/>
    <w:rsid w:val="00ED2B50"/>
    <w:rsid w:val="00ED318B"/>
    <w:rsid w:val="00ED3662"/>
    <w:rsid w:val="00ED5CE9"/>
    <w:rsid w:val="00ED6972"/>
    <w:rsid w:val="00ED73C3"/>
    <w:rsid w:val="00ED78E0"/>
    <w:rsid w:val="00ED7EF1"/>
    <w:rsid w:val="00EE02A0"/>
    <w:rsid w:val="00EE033B"/>
    <w:rsid w:val="00EE0A06"/>
    <w:rsid w:val="00EE0A23"/>
    <w:rsid w:val="00EE0FAE"/>
    <w:rsid w:val="00EE14BF"/>
    <w:rsid w:val="00EE1E80"/>
    <w:rsid w:val="00EE21B3"/>
    <w:rsid w:val="00EE26E0"/>
    <w:rsid w:val="00EE345A"/>
    <w:rsid w:val="00EE3791"/>
    <w:rsid w:val="00EE4222"/>
    <w:rsid w:val="00EE46A6"/>
    <w:rsid w:val="00EE4C22"/>
    <w:rsid w:val="00EE6092"/>
    <w:rsid w:val="00EE6348"/>
    <w:rsid w:val="00EE6BFC"/>
    <w:rsid w:val="00EE72A2"/>
    <w:rsid w:val="00EE751C"/>
    <w:rsid w:val="00EE781C"/>
    <w:rsid w:val="00EE7E32"/>
    <w:rsid w:val="00EF0B43"/>
    <w:rsid w:val="00EF1176"/>
    <w:rsid w:val="00EF1FA6"/>
    <w:rsid w:val="00EF2C15"/>
    <w:rsid w:val="00EF2EF8"/>
    <w:rsid w:val="00EF31E1"/>
    <w:rsid w:val="00EF3B9C"/>
    <w:rsid w:val="00EF4217"/>
    <w:rsid w:val="00EF4786"/>
    <w:rsid w:val="00EF5050"/>
    <w:rsid w:val="00EF5CFB"/>
    <w:rsid w:val="00EF60EB"/>
    <w:rsid w:val="00EF6AE2"/>
    <w:rsid w:val="00EF7600"/>
    <w:rsid w:val="00F0024F"/>
    <w:rsid w:val="00F002E5"/>
    <w:rsid w:val="00F012F4"/>
    <w:rsid w:val="00F017B2"/>
    <w:rsid w:val="00F027A2"/>
    <w:rsid w:val="00F02EA2"/>
    <w:rsid w:val="00F02F09"/>
    <w:rsid w:val="00F0387D"/>
    <w:rsid w:val="00F039EB"/>
    <w:rsid w:val="00F03DFF"/>
    <w:rsid w:val="00F049F4"/>
    <w:rsid w:val="00F04A43"/>
    <w:rsid w:val="00F04E59"/>
    <w:rsid w:val="00F05384"/>
    <w:rsid w:val="00F0597F"/>
    <w:rsid w:val="00F05BA1"/>
    <w:rsid w:val="00F0670D"/>
    <w:rsid w:val="00F06A3A"/>
    <w:rsid w:val="00F07E15"/>
    <w:rsid w:val="00F10457"/>
    <w:rsid w:val="00F10FA9"/>
    <w:rsid w:val="00F11F31"/>
    <w:rsid w:val="00F11F5C"/>
    <w:rsid w:val="00F12663"/>
    <w:rsid w:val="00F12A75"/>
    <w:rsid w:val="00F12AA8"/>
    <w:rsid w:val="00F12F5C"/>
    <w:rsid w:val="00F13014"/>
    <w:rsid w:val="00F1432C"/>
    <w:rsid w:val="00F147F7"/>
    <w:rsid w:val="00F15506"/>
    <w:rsid w:val="00F15667"/>
    <w:rsid w:val="00F15C24"/>
    <w:rsid w:val="00F15DD7"/>
    <w:rsid w:val="00F15E38"/>
    <w:rsid w:val="00F16692"/>
    <w:rsid w:val="00F166B1"/>
    <w:rsid w:val="00F16F4D"/>
    <w:rsid w:val="00F177BF"/>
    <w:rsid w:val="00F17DBD"/>
    <w:rsid w:val="00F20567"/>
    <w:rsid w:val="00F206DC"/>
    <w:rsid w:val="00F20981"/>
    <w:rsid w:val="00F20D02"/>
    <w:rsid w:val="00F21033"/>
    <w:rsid w:val="00F2160F"/>
    <w:rsid w:val="00F21788"/>
    <w:rsid w:val="00F21FB3"/>
    <w:rsid w:val="00F220A5"/>
    <w:rsid w:val="00F2278E"/>
    <w:rsid w:val="00F2287F"/>
    <w:rsid w:val="00F22F1F"/>
    <w:rsid w:val="00F2389E"/>
    <w:rsid w:val="00F24EAA"/>
    <w:rsid w:val="00F24FA7"/>
    <w:rsid w:val="00F25464"/>
    <w:rsid w:val="00F26A46"/>
    <w:rsid w:val="00F2767F"/>
    <w:rsid w:val="00F30343"/>
    <w:rsid w:val="00F304EB"/>
    <w:rsid w:val="00F30920"/>
    <w:rsid w:val="00F311C9"/>
    <w:rsid w:val="00F3120B"/>
    <w:rsid w:val="00F312AD"/>
    <w:rsid w:val="00F3155B"/>
    <w:rsid w:val="00F3243B"/>
    <w:rsid w:val="00F32E71"/>
    <w:rsid w:val="00F330F6"/>
    <w:rsid w:val="00F3385B"/>
    <w:rsid w:val="00F33907"/>
    <w:rsid w:val="00F33A7E"/>
    <w:rsid w:val="00F345C5"/>
    <w:rsid w:val="00F34B96"/>
    <w:rsid w:val="00F34E1A"/>
    <w:rsid w:val="00F35BB2"/>
    <w:rsid w:val="00F36AF7"/>
    <w:rsid w:val="00F3775C"/>
    <w:rsid w:val="00F377EC"/>
    <w:rsid w:val="00F37CB6"/>
    <w:rsid w:val="00F37D91"/>
    <w:rsid w:val="00F40378"/>
    <w:rsid w:val="00F405D9"/>
    <w:rsid w:val="00F40AC0"/>
    <w:rsid w:val="00F41141"/>
    <w:rsid w:val="00F411F0"/>
    <w:rsid w:val="00F415AF"/>
    <w:rsid w:val="00F41AA8"/>
    <w:rsid w:val="00F42D53"/>
    <w:rsid w:val="00F430ED"/>
    <w:rsid w:val="00F44D0B"/>
    <w:rsid w:val="00F45444"/>
    <w:rsid w:val="00F4590F"/>
    <w:rsid w:val="00F45913"/>
    <w:rsid w:val="00F465ED"/>
    <w:rsid w:val="00F46A96"/>
    <w:rsid w:val="00F46F10"/>
    <w:rsid w:val="00F47260"/>
    <w:rsid w:val="00F47516"/>
    <w:rsid w:val="00F47F89"/>
    <w:rsid w:val="00F500B0"/>
    <w:rsid w:val="00F50254"/>
    <w:rsid w:val="00F50B14"/>
    <w:rsid w:val="00F521C6"/>
    <w:rsid w:val="00F529A1"/>
    <w:rsid w:val="00F52D5D"/>
    <w:rsid w:val="00F5336C"/>
    <w:rsid w:val="00F533F0"/>
    <w:rsid w:val="00F53660"/>
    <w:rsid w:val="00F543E5"/>
    <w:rsid w:val="00F5472D"/>
    <w:rsid w:val="00F54FA1"/>
    <w:rsid w:val="00F553A0"/>
    <w:rsid w:val="00F55808"/>
    <w:rsid w:val="00F55D6B"/>
    <w:rsid w:val="00F5698F"/>
    <w:rsid w:val="00F56CE3"/>
    <w:rsid w:val="00F57E0F"/>
    <w:rsid w:val="00F60122"/>
    <w:rsid w:val="00F60F0F"/>
    <w:rsid w:val="00F610DB"/>
    <w:rsid w:val="00F61472"/>
    <w:rsid w:val="00F61880"/>
    <w:rsid w:val="00F61C0D"/>
    <w:rsid w:val="00F63689"/>
    <w:rsid w:val="00F637BB"/>
    <w:rsid w:val="00F642CB"/>
    <w:rsid w:val="00F64D11"/>
    <w:rsid w:val="00F6538F"/>
    <w:rsid w:val="00F65AB1"/>
    <w:rsid w:val="00F663D9"/>
    <w:rsid w:val="00F66798"/>
    <w:rsid w:val="00F668B6"/>
    <w:rsid w:val="00F66F3C"/>
    <w:rsid w:val="00F67361"/>
    <w:rsid w:val="00F67B98"/>
    <w:rsid w:val="00F67E01"/>
    <w:rsid w:val="00F7096E"/>
    <w:rsid w:val="00F716CD"/>
    <w:rsid w:val="00F71CF1"/>
    <w:rsid w:val="00F72345"/>
    <w:rsid w:val="00F72991"/>
    <w:rsid w:val="00F7322A"/>
    <w:rsid w:val="00F732C0"/>
    <w:rsid w:val="00F745BB"/>
    <w:rsid w:val="00F74645"/>
    <w:rsid w:val="00F74F3D"/>
    <w:rsid w:val="00F75BD0"/>
    <w:rsid w:val="00F76987"/>
    <w:rsid w:val="00F76C50"/>
    <w:rsid w:val="00F774BA"/>
    <w:rsid w:val="00F7754F"/>
    <w:rsid w:val="00F77598"/>
    <w:rsid w:val="00F7785B"/>
    <w:rsid w:val="00F77924"/>
    <w:rsid w:val="00F77BAB"/>
    <w:rsid w:val="00F77DED"/>
    <w:rsid w:val="00F77E72"/>
    <w:rsid w:val="00F800FE"/>
    <w:rsid w:val="00F802F9"/>
    <w:rsid w:val="00F80644"/>
    <w:rsid w:val="00F80860"/>
    <w:rsid w:val="00F80AE7"/>
    <w:rsid w:val="00F80B2D"/>
    <w:rsid w:val="00F80B76"/>
    <w:rsid w:val="00F80C58"/>
    <w:rsid w:val="00F81012"/>
    <w:rsid w:val="00F811F0"/>
    <w:rsid w:val="00F820BF"/>
    <w:rsid w:val="00F82701"/>
    <w:rsid w:val="00F82B55"/>
    <w:rsid w:val="00F83A8D"/>
    <w:rsid w:val="00F84287"/>
    <w:rsid w:val="00F842FB"/>
    <w:rsid w:val="00F84A5D"/>
    <w:rsid w:val="00F85B6B"/>
    <w:rsid w:val="00F86B11"/>
    <w:rsid w:val="00F87496"/>
    <w:rsid w:val="00F90041"/>
    <w:rsid w:val="00F910C2"/>
    <w:rsid w:val="00F91613"/>
    <w:rsid w:val="00F9164F"/>
    <w:rsid w:val="00F92159"/>
    <w:rsid w:val="00F9230A"/>
    <w:rsid w:val="00F9421A"/>
    <w:rsid w:val="00F94945"/>
    <w:rsid w:val="00F94EAD"/>
    <w:rsid w:val="00F95DAE"/>
    <w:rsid w:val="00F95F1B"/>
    <w:rsid w:val="00F9725C"/>
    <w:rsid w:val="00FA06E7"/>
    <w:rsid w:val="00FA095E"/>
    <w:rsid w:val="00FA12F3"/>
    <w:rsid w:val="00FA2C06"/>
    <w:rsid w:val="00FA2C62"/>
    <w:rsid w:val="00FA2EEC"/>
    <w:rsid w:val="00FA2F47"/>
    <w:rsid w:val="00FA2FE2"/>
    <w:rsid w:val="00FA32BF"/>
    <w:rsid w:val="00FA391A"/>
    <w:rsid w:val="00FA44D0"/>
    <w:rsid w:val="00FA44FF"/>
    <w:rsid w:val="00FA4817"/>
    <w:rsid w:val="00FA4AAE"/>
    <w:rsid w:val="00FA4B75"/>
    <w:rsid w:val="00FA4D6D"/>
    <w:rsid w:val="00FA5226"/>
    <w:rsid w:val="00FA6397"/>
    <w:rsid w:val="00FA6498"/>
    <w:rsid w:val="00FA7D36"/>
    <w:rsid w:val="00FA7F02"/>
    <w:rsid w:val="00FB01CE"/>
    <w:rsid w:val="00FB077D"/>
    <w:rsid w:val="00FB0A0C"/>
    <w:rsid w:val="00FB0E18"/>
    <w:rsid w:val="00FB0FAC"/>
    <w:rsid w:val="00FB1680"/>
    <w:rsid w:val="00FB2477"/>
    <w:rsid w:val="00FB26D6"/>
    <w:rsid w:val="00FB27ED"/>
    <w:rsid w:val="00FB291B"/>
    <w:rsid w:val="00FB2C4D"/>
    <w:rsid w:val="00FB2D44"/>
    <w:rsid w:val="00FB30E2"/>
    <w:rsid w:val="00FB351B"/>
    <w:rsid w:val="00FB3564"/>
    <w:rsid w:val="00FB42E4"/>
    <w:rsid w:val="00FB51D6"/>
    <w:rsid w:val="00FB585B"/>
    <w:rsid w:val="00FB58E9"/>
    <w:rsid w:val="00FB5CF5"/>
    <w:rsid w:val="00FB5EE9"/>
    <w:rsid w:val="00FB63FB"/>
    <w:rsid w:val="00FB7484"/>
    <w:rsid w:val="00FB79BD"/>
    <w:rsid w:val="00FC0ECD"/>
    <w:rsid w:val="00FC1329"/>
    <w:rsid w:val="00FC13CD"/>
    <w:rsid w:val="00FC1534"/>
    <w:rsid w:val="00FC165D"/>
    <w:rsid w:val="00FC18BA"/>
    <w:rsid w:val="00FC273B"/>
    <w:rsid w:val="00FC285B"/>
    <w:rsid w:val="00FC2DB4"/>
    <w:rsid w:val="00FC321E"/>
    <w:rsid w:val="00FC337A"/>
    <w:rsid w:val="00FC3498"/>
    <w:rsid w:val="00FC3C99"/>
    <w:rsid w:val="00FC3D32"/>
    <w:rsid w:val="00FC40F0"/>
    <w:rsid w:val="00FC46D5"/>
    <w:rsid w:val="00FC4D80"/>
    <w:rsid w:val="00FC5032"/>
    <w:rsid w:val="00FC53D6"/>
    <w:rsid w:val="00FC5756"/>
    <w:rsid w:val="00FC5925"/>
    <w:rsid w:val="00FC60E4"/>
    <w:rsid w:val="00FC62A4"/>
    <w:rsid w:val="00FC6A26"/>
    <w:rsid w:val="00FC6AE3"/>
    <w:rsid w:val="00FC6CC1"/>
    <w:rsid w:val="00FD078F"/>
    <w:rsid w:val="00FD07E6"/>
    <w:rsid w:val="00FD125C"/>
    <w:rsid w:val="00FD197B"/>
    <w:rsid w:val="00FD1AD6"/>
    <w:rsid w:val="00FD1ECA"/>
    <w:rsid w:val="00FD46D5"/>
    <w:rsid w:val="00FD49FD"/>
    <w:rsid w:val="00FD5B9D"/>
    <w:rsid w:val="00FD5F7F"/>
    <w:rsid w:val="00FD612B"/>
    <w:rsid w:val="00FD6464"/>
    <w:rsid w:val="00FD6C77"/>
    <w:rsid w:val="00FD6C98"/>
    <w:rsid w:val="00FD73CF"/>
    <w:rsid w:val="00FD743F"/>
    <w:rsid w:val="00FD7C18"/>
    <w:rsid w:val="00FE0065"/>
    <w:rsid w:val="00FE02C8"/>
    <w:rsid w:val="00FE168C"/>
    <w:rsid w:val="00FE16E5"/>
    <w:rsid w:val="00FE1961"/>
    <w:rsid w:val="00FE2090"/>
    <w:rsid w:val="00FE22D8"/>
    <w:rsid w:val="00FE230F"/>
    <w:rsid w:val="00FE253E"/>
    <w:rsid w:val="00FE2C9B"/>
    <w:rsid w:val="00FE367A"/>
    <w:rsid w:val="00FE4326"/>
    <w:rsid w:val="00FE437D"/>
    <w:rsid w:val="00FE4399"/>
    <w:rsid w:val="00FE43FA"/>
    <w:rsid w:val="00FE48B9"/>
    <w:rsid w:val="00FE5B66"/>
    <w:rsid w:val="00FE5CA1"/>
    <w:rsid w:val="00FE5EAF"/>
    <w:rsid w:val="00FE5EC8"/>
    <w:rsid w:val="00FE6151"/>
    <w:rsid w:val="00FE622E"/>
    <w:rsid w:val="00FE65D7"/>
    <w:rsid w:val="00FE6A6E"/>
    <w:rsid w:val="00FE71AA"/>
    <w:rsid w:val="00FE72A3"/>
    <w:rsid w:val="00FF0624"/>
    <w:rsid w:val="00FF0EF6"/>
    <w:rsid w:val="00FF10ED"/>
    <w:rsid w:val="00FF1A24"/>
    <w:rsid w:val="00FF1C98"/>
    <w:rsid w:val="00FF265D"/>
    <w:rsid w:val="00FF2752"/>
    <w:rsid w:val="00FF2FE9"/>
    <w:rsid w:val="00FF31A6"/>
    <w:rsid w:val="00FF3636"/>
    <w:rsid w:val="00FF3660"/>
    <w:rsid w:val="00FF4C9E"/>
    <w:rsid w:val="00FF4E40"/>
    <w:rsid w:val="00FF5673"/>
    <w:rsid w:val="00FF5CCC"/>
    <w:rsid w:val="00FF5E6D"/>
    <w:rsid w:val="00FF5F82"/>
    <w:rsid w:val="00FF606F"/>
    <w:rsid w:val="00FF624D"/>
    <w:rsid w:val="00FF6B85"/>
    <w:rsid w:val="00FF6C17"/>
    <w:rsid w:val="00FF76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66CA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2C9B"/>
    <w:pPr>
      <w:spacing w:after="0" w:line="276" w:lineRule="auto"/>
      <w:jc w:val="both"/>
    </w:pPr>
    <w:rPr>
      <w:rFonts w:ascii="Garamond" w:eastAsia="Calibri" w:hAnsi="Garamond" w:cs="Times New Roman"/>
      <w:sz w:val="24"/>
    </w:rPr>
  </w:style>
  <w:style w:type="paragraph" w:styleId="Nadpis1">
    <w:name w:val="heading 1"/>
    <w:basedOn w:val="Normln"/>
    <w:next w:val="Normln"/>
    <w:link w:val="Nadpis1Char"/>
    <w:uiPriority w:val="9"/>
    <w:qFormat/>
    <w:rsid w:val="00930695"/>
    <w:pPr>
      <w:keepNext/>
      <w:keepLines/>
      <w:spacing w:before="240"/>
      <w:outlineLvl w:val="0"/>
    </w:pPr>
    <w:rPr>
      <w:rFonts w:eastAsiaTheme="majorEastAsia" w:cstheme="majorBidi"/>
      <w:b/>
      <w:sz w:val="32"/>
      <w:szCs w:val="32"/>
    </w:rPr>
  </w:style>
  <w:style w:type="paragraph" w:styleId="Nadpis2">
    <w:name w:val="heading 2"/>
    <w:basedOn w:val="Normln"/>
    <w:next w:val="Normln"/>
    <w:link w:val="Nadpis2Char"/>
    <w:uiPriority w:val="9"/>
    <w:unhideWhenUsed/>
    <w:qFormat/>
    <w:rsid w:val="00894D51"/>
    <w:pPr>
      <w:keepNext/>
      <w:keepLines/>
      <w:spacing w:before="40"/>
      <w:outlineLvl w:val="1"/>
    </w:pPr>
    <w:rPr>
      <w:rFonts w:eastAsiaTheme="majorEastAsia" w:cstheme="majorBidi"/>
      <w:b/>
      <w:color w:val="000000" w:themeColor="text1"/>
      <w:sz w:val="28"/>
      <w:szCs w:val="26"/>
    </w:rPr>
  </w:style>
  <w:style w:type="paragraph" w:styleId="Nadpis3">
    <w:name w:val="heading 3"/>
    <w:basedOn w:val="Normln"/>
    <w:next w:val="Normln"/>
    <w:link w:val="Nadpis3Char"/>
    <w:uiPriority w:val="9"/>
    <w:unhideWhenUsed/>
    <w:qFormat/>
    <w:rsid w:val="008430BD"/>
    <w:pPr>
      <w:keepNext/>
      <w:keepLines/>
      <w:spacing w:before="200"/>
      <w:ind w:left="720" w:hanging="720"/>
      <w:outlineLvl w:val="2"/>
    </w:pPr>
    <w:rPr>
      <w:rFonts w:eastAsia="Times New Roman"/>
      <w:b/>
      <w:bCs/>
      <w:color w:val="000000"/>
    </w:rPr>
  </w:style>
  <w:style w:type="paragraph" w:styleId="Nadpis4">
    <w:name w:val="heading 4"/>
    <w:basedOn w:val="Normln"/>
    <w:next w:val="Normln"/>
    <w:link w:val="Nadpis4Char"/>
    <w:uiPriority w:val="9"/>
    <w:unhideWhenUsed/>
    <w:qFormat/>
    <w:rsid w:val="008430BD"/>
    <w:pPr>
      <w:keepNext/>
      <w:keepLines/>
      <w:spacing w:before="200"/>
      <w:ind w:left="864" w:hanging="864"/>
      <w:outlineLvl w:val="3"/>
    </w:pPr>
    <w:rPr>
      <w:rFonts w:eastAsia="Times New Roman"/>
      <w:b/>
      <w:bCs/>
      <w:iCs/>
    </w:rPr>
  </w:style>
  <w:style w:type="paragraph" w:styleId="Nadpis5">
    <w:name w:val="heading 5"/>
    <w:basedOn w:val="Normln"/>
    <w:next w:val="Normln"/>
    <w:link w:val="Nadpis5Char"/>
    <w:uiPriority w:val="9"/>
    <w:semiHidden/>
    <w:unhideWhenUsed/>
    <w:qFormat/>
    <w:rsid w:val="008430BD"/>
    <w:pPr>
      <w:keepNext/>
      <w:keepLines/>
      <w:spacing w:before="200"/>
      <w:ind w:left="1008" w:hanging="1008"/>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8430BD"/>
    <w:pPr>
      <w:keepNext/>
      <w:keepLines/>
      <w:spacing w:before="200"/>
      <w:ind w:left="1152" w:hanging="1152"/>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8430BD"/>
    <w:pPr>
      <w:keepNext/>
      <w:keepLines/>
      <w:spacing w:before="200"/>
      <w:ind w:left="1296" w:hanging="1296"/>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8430BD"/>
    <w:pPr>
      <w:keepNext/>
      <w:keepLines/>
      <w:spacing w:before="200"/>
      <w:ind w:left="1440" w:hanging="144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8430BD"/>
    <w:pPr>
      <w:keepNext/>
      <w:keepLines/>
      <w:spacing w:before="200"/>
      <w:ind w:left="1584" w:hanging="1584"/>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30695"/>
    <w:rPr>
      <w:rFonts w:ascii="Garamond" w:eastAsiaTheme="majorEastAsia" w:hAnsi="Garamond" w:cstheme="majorBidi"/>
      <w:b/>
      <w:sz w:val="32"/>
      <w:szCs w:val="32"/>
    </w:rPr>
  </w:style>
  <w:style w:type="character" w:customStyle="1" w:styleId="Nadpis2Char">
    <w:name w:val="Nadpis 2 Char"/>
    <w:basedOn w:val="Standardnpsmoodstavce"/>
    <w:link w:val="Nadpis2"/>
    <w:uiPriority w:val="9"/>
    <w:rsid w:val="00894D51"/>
    <w:rPr>
      <w:rFonts w:ascii="Times New Roman" w:eastAsiaTheme="majorEastAsia" w:hAnsi="Times New Roman" w:cstheme="majorBidi"/>
      <w:b/>
      <w:color w:val="000000" w:themeColor="text1"/>
      <w:sz w:val="28"/>
      <w:szCs w:val="26"/>
    </w:rPr>
  </w:style>
  <w:style w:type="character" w:customStyle="1" w:styleId="Nadpis3Char">
    <w:name w:val="Nadpis 3 Char"/>
    <w:basedOn w:val="Standardnpsmoodstavce"/>
    <w:link w:val="Nadpis3"/>
    <w:uiPriority w:val="9"/>
    <w:rsid w:val="008430BD"/>
    <w:rPr>
      <w:rFonts w:ascii="Garamond" w:eastAsia="Times New Roman" w:hAnsi="Garamond" w:cs="Times New Roman"/>
      <w:b/>
      <w:bCs/>
      <w:color w:val="000000"/>
      <w:sz w:val="24"/>
    </w:rPr>
  </w:style>
  <w:style w:type="character" w:customStyle="1" w:styleId="Nadpis4Char">
    <w:name w:val="Nadpis 4 Char"/>
    <w:basedOn w:val="Standardnpsmoodstavce"/>
    <w:link w:val="Nadpis4"/>
    <w:uiPriority w:val="9"/>
    <w:rsid w:val="008430BD"/>
    <w:rPr>
      <w:rFonts w:ascii="Garamond" w:eastAsia="Times New Roman" w:hAnsi="Garamond" w:cs="Times New Roman"/>
      <w:b/>
      <w:bCs/>
      <w:iCs/>
      <w:sz w:val="24"/>
    </w:rPr>
  </w:style>
  <w:style w:type="character" w:customStyle="1" w:styleId="Nadpis5Char">
    <w:name w:val="Nadpis 5 Char"/>
    <w:basedOn w:val="Standardnpsmoodstavce"/>
    <w:link w:val="Nadpis5"/>
    <w:uiPriority w:val="9"/>
    <w:semiHidden/>
    <w:rsid w:val="008430BD"/>
    <w:rPr>
      <w:rFonts w:ascii="Cambria" w:eastAsia="Times New Roman" w:hAnsi="Cambria" w:cs="Times New Roman"/>
      <w:color w:val="243F60"/>
      <w:sz w:val="24"/>
    </w:rPr>
  </w:style>
  <w:style w:type="character" w:customStyle="1" w:styleId="Nadpis6Char">
    <w:name w:val="Nadpis 6 Char"/>
    <w:basedOn w:val="Standardnpsmoodstavce"/>
    <w:link w:val="Nadpis6"/>
    <w:uiPriority w:val="9"/>
    <w:semiHidden/>
    <w:rsid w:val="008430BD"/>
    <w:rPr>
      <w:rFonts w:ascii="Cambria" w:eastAsia="Times New Roman" w:hAnsi="Cambria" w:cs="Times New Roman"/>
      <w:i/>
      <w:iCs/>
      <w:color w:val="243F60"/>
      <w:sz w:val="24"/>
    </w:rPr>
  </w:style>
  <w:style w:type="character" w:customStyle="1" w:styleId="Nadpis7Char">
    <w:name w:val="Nadpis 7 Char"/>
    <w:basedOn w:val="Standardnpsmoodstavce"/>
    <w:link w:val="Nadpis7"/>
    <w:uiPriority w:val="9"/>
    <w:semiHidden/>
    <w:rsid w:val="008430BD"/>
    <w:rPr>
      <w:rFonts w:ascii="Cambria" w:eastAsia="Times New Roman" w:hAnsi="Cambria" w:cs="Times New Roman"/>
      <w:i/>
      <w:iCs/>
      <w:color w:val="404040"/>
      <w:sz w:val="24"/>
    </w:rPr>
  </w:style>
  <w:style w:type="character" w:customStyle="1" w:styleId="Nadpis8Char">
    <w:name w:val="Nadpis 8 Char"/>
    <w:basedOn w:val="Standardnpsmoodstavce"/>
    <w:link w:val="Nadpis8"/>
    <w:uiPriority w:val="9"/>
    <w:semiHidden/>
    <w:rsid w:val="008430BD"/>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8430BD"/>
    <w:rPr>
      <w:rFonts w:ascii="Cambria" w:eastAsia="Times New Roman" w:hAnsi="Cambria" w:cs="Times New Roman"/>
      <w:i/>
      <w:iCs/>
      <w:color w:val="404040"/>
      <w:sz w:val="20"/>
      <w:szCs w:val="20"/>
    </w:rPr>
  </w:style>
  <w:style w:type="paragraph" w:styleId="Nadpisobsahu">
    <w:name w:val="TOC Heading"/>
    <w:basedOn w:val="Nadpis1"/>
    <w:next w:val="Normln"/>
    <w:uiPriority w:val="39"/>
    <w:unhideWhenUsed/>
    <w:qFormat/>
    <w:rsid w:val="008430BD"/>
    <w:pPr>
      <w:pageBreakBefore/>
      <w:outlineLvl w:val="9"/>
    </w:pPr>
    <w:rPr>
      <w:rFonts w:ascii="Cambria" w:eastAsia="Times New Roman" w:hAnsi="Cambria" w:cs="Times New Roman"/>
      <w:b w:val="0"/>
      <w:bCs/>
      <w:color w:val="365F91"/>
      <w:szCs w:val="28"/>
      <w:lang w:eastAsia="cs-CZ"/>
    </w:rPr>
  </w:style>
  <w:style w:type="paragraph" w:styleId="Obsah1">
    <w:name w:val="toc 1"/>
    <w:basedOn w:val="Normln"/>
    <w:next w:val="Normln"/>
    <w:autoRedefine/>
    <w:uiPriority w:val="39"/>
    <w:unhideWhenUsed/>
    <w:rsid w:val="008430BD"/>
    <w:pPr>
      <w:tabs>
        <w:tab w:val="right" w:leader="dot" w:pos="9060"/>
      </w:tabs>
    </w:pPr>
  </w:style>
  <w:style w:type="character" w:styleId="Hypertextovodkaz">
    <w:name w:val="Hyperlink"/>
    <w:uiPriority w:val="99"/>
    <w:unhideWhenUsed/>
    <w:rsid w:val="008430BD"/>
    <w:rPr>
      <w:color w:val="0000FF"/>
      <w:u w:val="single"/>
    </w:rPr>
  </w:style>
  <w:style w:type="paragraph" w:styleId="Obsah2">
    <w:name w:val="toc 2"/>
    <w:basedOn w:val="Normln"/>
    <w:next w:val="Normln"/>
    <w:autoRedefine/>
    <w:uiPriority w:val="39"/>
    <w:unhideWhenUsed/>
    <w:rsid w:val="000E0C47"/>
    <w:pPr>
      <w:tabs>
        <w:tab w:val="left" w:pos="880"/>
        <w:tab w:val="right" w:leader="dot" w:pos="9062"/>
      </w:tabs>
      <w:ind w:left="238"/>
    </w:pPr>
    <w:rPr>
      <w:noProof/>
    </w:rPr>
  </w:style>
  <w:style w:type="paragraph" w:styleId="Obsah3">
    <w:name w:val="toc 3"/>
    <w:basedOn w:val="Normln"/>
    <w:next w:val="Normln"/>
    <w:autoRedefine/>
    <w:uiPriority w:val="39"/>
    <w:unhideWhenUsed/>
    <w:rsid w:val="00561B98"/>
    <w:pPr>
      <w:tabs>
        <w:tab w:val="left" w:pos="1320"/>
        <w:tab w:val="right" w:leader="dot" w:pos="9062"/>
      </w:tabs>
      <w:ind w:left="482"/>
    </w:pPr>
  </w:style>
  <w:style w:type="paragraph" w:styleId="Zhlav">
    <w:name w:val="header"/>
    <w:basedOn w:val="Normln"/>
    <w:link w:val="ZhlavChar"/>
    <w:uiPriority w:val="99"/>
    <w:unhideWhenUsed/>
    <w:rsid w:val="008430BD"/>
    <w:pPr>
      <w:tabs>
        <w:tab w:val="center" w:pos="4536"/>
        <w:tab w:val="right" w:pos="9072"/>
      </w:tabs>
      <w:spacing w:line="240" w:lineRule="auto"/>
    </w:pPr>
  </w:style>
  <w:style w:type="character" w:customStyle="1" w:styleId="ZhlavChar">
    <w:name w:val="Záhlaví Char"/>
    <w:basedOn w:val="Standardnpsmoodstavce"/>
    <w:link w:val="Zhlav"/>
    <w:uiPriority w:val="99"/>
    <w:rsid w:val="008430BD"/>
    <w:rPr>
      <w:rFonts w:ascii="Garamond" w:eastAsia="Calibri" w:hAnsi="Garamond" w:cs="Times New Roman"/>
      <w:sz w:val="24"/>
    </w:rPr>
  </w:style>
  <w:style w:type="paragraph" w:styleId="Zpat">
    <w:name w:val="footer"/>
    <w:basedOn w:val="Normln"/>
    <w:link w:val="ZpatChar"/>
    <w:uiPriority w:val="99"/>
    <w:unhideWhenUsed/>
    <w:rsid w:val="008430BD"/>
    <w:pPr>
      <w:tabs>
        <w:tab w:val="center" w:pos="4536"/>
        <w:tab w:val="right" w:pos="9072"/>
      </w:tabs>
      <w:spacing w:line="240" w:lineRule="auto"/>
    </w:pPr>
  </w:style>
  <w:style w:type="character" w:customStyle="1" w:styleId="ZpatChar">
    <w:name w:val="Zápatí Char"/>
    <w:basedOn w:val="Standardnpsmoodstavce"/>
    <w:link w:val="Zpat"/>
    <w:uiPriority w:val="99"/>
    <w:rsid w:val="008430BD"/>
    <w:rPr>
      <w:rFonts w:ascii="Garamond" w:eastAsia="Calibri" w:hAnsi="Garamond" w:cs="Times New Roman"/>
      <w:sz w:val="24"/>
    </w:rPr>
  </w:style>
  <w:style w:type="paragraph" w:styleId="Textbubliny">
    <w:name w:val="Balloon Text"/>
    <w:basedOn w:val="Normln"/>
    <w:link w:val="TextbublinyChar"/>
    <w:uiPriority w:val="99"/>
    <w:semiHidden/>
    <w:unhideWhenUsed/>
    <w:rsid w:val="008430B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30BD"/>
    <w:rPr>
      <w:rFonts w:ascii="Tahoma" w:eastAsia="Calibri" w:hAnsi="Tahoma" w:cs="Tahoma"/>
      <w:sz w:val="16"/>
      <w:szCs w:val="16"/>
    </w:rPr>
  </w:style>
  <w:style w:type="paragraph" w:styleId="Odstavecseseznamem">
    <w:name w:val="List Paragraph"/>
    <w:basedOn w:val="Normln"/>
    <w:uiPriority w:val="34"/>
    <w:qFormat/>
    <w:rsid w:val="008430BD"/>
    <w:pPr>
      <w:ind w:left="720"/>
      <w:contextualSpacing/>
    </w:pPr>
  </w:style>
  <w:style w:type="paragraph" w:styleId="Titulek">
    <w:name w:val="caption"/>
    <w:basedOn w:val="Normln"/>
    <w:next w:val="Normln"/>
    <w:uiPriority w:val="35"/>
    <w:unhideWhenUsed/>
    <w:qFormat/>
    <w:rsid w:val="008430BD"/>
    <w:pPr>
      <w:spacing w:line="240" w:lineRule="auto"/>
    </w:pPr>
    <w:rPr>
      <w:b/>
      <w:bCs/>
      <w:color w:val="4F81BD"/>
      <w:sz w:val="18"/>
      <w:szCs w:val="18"/>
    </w:rPr>
  </w:style>
  <w:style w:type="paragraph" w:styleId="Podnadpis">
    <w:name w:val="Subtitle"/>
    <w:aliases w:val="Grafy a tabulky"/>
    <w:basedOn w:val="Normln"/>
    <w:next w:val="Normln"/>
    <w:link w:val="PodnadpisChar"/>
    <w:uiPriority w:val="11"/>
    <w:qFormat/>
    <w:rsid w:val="008430BD"/>
    <w:pPr>
      <w:keepNext/>
      <w:numPr>
        <w:ilvl w:val="1"/>
      </w:numPr>
      <w:spacing w:before="120" w:line="240" w:lineRule="auto"/>
      <w:jc w:val="left"/>
    </w:pPr>
    <w:rPr>
      <w:rFonts w:eastAsia="Times New Roman"/>
      <w:b/>
      <w:iCs/>
      <w:color w:val="000000"/>
      <w:spacing w:val="15"/>
      <w:szCs w:val="24"/>
    </w:rPr>
  </w:style>
  <w:style w:type="character" w:customStyle="1" w:styleId="PodnadpisChar">
    <w:name w:val="Podnadpis Char"/>
    <w:aliases w:val="Grafy a tabulky Char"/>
    <w:basedOn w:val="Standardnpsmoodstavce"/>
    <w:link w:val="Podnadpis"/>
    <w:uiPriority w:val="11"/>
    <w:rsid w:val="008430BD"/>
    <w:rPr>
      <w:rFonts w:ascii="Garamond" w:eastAsia="Times New Roman" w:hAnsi="Garamond" w:cs="Times New Roman"/>
      <w:b/>
      <w:iCs/>
      <w:color w:val="000000"/>
      <w:spacing w:val="15"/>
      <w:sz w:val="24"/>
      <w:szCs w:val="24"/>
    </w:rPr>
  </w:style>
  <w:style w:type="paragraph" w:styleId="Seznamobrzk">
    <w:name w:val="table of figures"/>
    <w:basedOn w:val="Normln"/>
    <w:next w:val="Normln"/>
    <w:uiPriority w:val="99"/>
    <w:unhideWhenUsed/>
    <w:rsid w:val="00CF32FA"/>
    <w:pPr>
      <w:ind w:left="567" w:right="567" w:hanging="567"/>
    </w:pPr>
  </w:style>
  <w:style w:type="paragraph" w:styleId="Bezmezer">
    <w:name w:val="No Spacing"/>
    <w:uiPriority w:val="1"/>
    <w:qFormat/>
    <w:rsid w:val="008430BD"/>
    <w:pPr>
      <w:spacing w:after="0" w:line="240" w:lineRule="auto"/>
    </w:pPr>
    <w:rPr>
      <w:rFonts w:ascii="Times New Roman" w:eastAsia="Calibri" w:hAnsi="Times New Roman" w:cs="Times New Roman"/>
      <w:sz w:val="24"/>
    </w:rPr>
  </w:style>
  <w:style w:type="paragraph" w:styleId="Textpoznpodarou">
    <w:name w:val="footnote text"/>
    <w:basedOn w:val="Normln"/>
    <w:link w:val="TextpoznpodarouChar"/>
    <w:uiPriority w:val="99"/>
    <w:unhideWhenUsed/>
    <w:rsid w:val="008430BD"/>
    <w:pPr>
      <w:spacing w:line="240" w:lineRule="auto"/>
    </w:pPr>
    <w:rPr>
      <w:sz w:val="20"/>
      <w:szCs w:val="20"/>
    </w:rPr>
  </w:style>
  <w:style w:type="character" w:customStyle="1" w:styleId="TextpoznpodarouChar">
    <w:name w:val="Text pozn. pod čarou Char"/>
    <w:basedOn w:val="Standardnpsmoodstavce"/>
    <w:link w:val="Textpoznpodarou"/>
    <w:uiPriority w:val="99"/>
    <w:rsid w:val="008430BD"/>
    <w:rPr>
      <w:rFonts w:ascii="Garamond" w:eastAsia="Calibri" w:hAnsi="Garamond" w:cs="Times New Roman"/>
      <w:sz w:val="20"/>
      <w:szCs w:val="20"/>
    </w:rPr>
  </w:style>
  <w:style w:type="character" w:styleId="Znakapoznpodarou">
    <w:name w:val="footnote reference"/>
    <w:uiPriority w:val="99"/>
    <w:semiHidden/>
    <w:unhideWhenUsed/>
    <w:rsid w:val="008430BD"/>
    <w:rPr>
      <w:vertAlign w:val="superscript"/>
    </w:rPr>
  </w:style>
  <w:style w:type="paragraph" w:styleId="Nzev">
    <w:name w:val="Title"/>
    <w:basedOn w:val="Normln"/>
    <w:next w:val="Normln"/>
    <w:link w:val="NzevChar"/>
    <w:uiPriority w:val="10"/>
    <w:qFormat/>
    <w:rsid w:val="008430B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10"/>
    <w:rsid w:val="008430BD"/>
    <w:rPr>
      <w:rFonts w:ascii="Cambria" w:eastAsia="Times New Roman" w:hAnsi="Cambria" w:cs="Times New Roman"/>
      <w:color w:val="17365D"/>
      <w:spacing w:val="5"/>
      <w:kern w:val="28"/>
      <w:sz w:val="52"/>
      <w:szCs w:val="52"/>
    </w:rPr>
  </w:style>
  <w:style w:type="character" w:styleId="Odkaznakoment">
    <w:name w:val="annotation reference"/>
    <w:uiPriority w:val="99"/>
    <w:semiHidden/>
    <w:unhideWhenUsed/>
    <w:rsid w:val="008430BD"/>
    <w:rPr>
      <w:sz w:val="16"/>
      <w:szCs w:val="16"/>
    </w:rPr>
  </w:style>
  <w:style w:type="paragraph" w:styleId="Textkomente">
    <w:name w:val="annotation text"/>
    <w:basedOn w:val="Normln"/>
    <w:link w:val="TextkomenteChar"/>
    <w:uiPriority w:val="99"/>
    <w:unhideWhenUsed/>
    <w:rsid w:val="008430BD"/>
    <w:pPr>
      <w:spacing w:line="240" w:lineRule="auto"/>
    </w:pPr>
    <w:rPr>
      <w:sz w:val="20"/>
      <w:szCs w:val="20"/>
    </w:rPr>
  </w:style>
  <w:style w:type="character" w:customStyle="1" w:styleId="TextkomenteChar">
    <w:name w:val="Text komentáře Char"/>
    <w:basedOn w:val="Standardnpsmoodstavce"/>
    <w:link w:val="Textkomente"/>
    <w:uiPriority w:val="99"/>
    <w:rsid w:val="008430BD"/>
    <w:rPr>
      <w:rFonts w:ascii="Garamond" w:eastAsia="Calibri" w:hAnsi="Garamond" w:cs="Times New Roman"/>
      <w:sz w:val="20"/>
      <w:szCs w:val="20"/>
    </w:rPr>
  </w:style>
  <w:style w:type="paragraph" w:styleId="Pedmtkomente">
    <w:name w:val="annotation subject"/>
    <w:basedOn w:val="Textkomente"/>
    <w:next w:val="Textkomente"/>
    <w:link w:val="PedmtkomenteChar"/>
    <w:uiPriority w:val="99"/>
    <w:semiHidden/>
    <w:unhideWhenUsed/>
    <w:rsid w:val="008430BD"/>
    <w:rPr>
      <w:b/>
      <w:bCs/>
    </w:rPr>
  </w:style>
  <w:style w:type="character" w:customStyle="1" w:styleId="PedmtkomenteChar">
    <w:name w:val="Předmět komentáře Char"/>
    <w:basedOn w:val="TextkomenteChar"/>
    <w:link w:val="Pedmtkomente"/>
    <w:uiPriority w:val="99"/>
    <w:semiHidden/>
    <w:rsid w:val="008430BD"/>
    <w:rPr>
      <w:rFonts w:ascii="Garamond" w:eastAsia="Calibri" w:hAnsi="Garamond" w:cs="Times New Roman"/>
      <w:b/>
      <w:bCs/>
      <w:sz w:val="20"/>
      <w:szCs w:val="20"/>
    </w:rPr>
  </w:style>
  <w:style w:type="paragraph" w:customStyle="1" w:styleId="OdstavecASR">
    <w:name w:val="Odstavec ASR"/>
    <w:basedOn w:val="Normln"/>
    <w:link w:val="OdstavecASRChar"/>
    <w:qFormat/>
    <w:rsid w:val="008430BD"/>
    <w:pPr>
      <w:spacing w:before="60" w:after="120"/>
    </w:pPr>
  </w:style>
  <w:style w:type="character" w:customStyle="1" w:styleId="OdstavecASRChar">
    <w:name w:val="Odstavec ASR Char"/>
    <w:link w:val="OdstavecASR"/>
    <w:rsid w:val="008430BD"/>
    <w:rPr>
      <w:rFonts w:ascii="Garamond" w:eastAsia="Calibri" w:hAnsi="Garamond" w:cs="Times New Roman"/>
      <w:sz w:val="24"/>
    </w:rPr>
  </w:style>
  <w:style w:type="paragraph" w:styleId="Obsah4">
    <w:name w:val="toc 4"/>
    <w:basedOn w:val="Normln"/>
    <w:next w:val="Normln"/>
    <w:autoRedefine/>
    <w:uiPriority w:val="39"/>
    <w:unhideWhenUsed/>
    <w:rsid w:val="008430BD"/>
    <w:pPr>
      <w:spacing w:after="100"/>
      <w:ind w:left="660"/>
      <w:jc w:val="left"/>
    </w:pPr>
    <w:rPr>
      <w:rFonts w:ascii="Calibri" w:eastAsia="Times New Roman" w:hAnsi="Calibri"/>
      <w:sz w:val="22"/>
      <w:lang w:eastAsia="cs-CZ"/>
    </w:rPr>
  </w:style>
  <w:style w:type="paragraph" w:styleId="Obsah5">
    <w:name w:val="toc 5"/>
    <w:basedOn w:val="Normln"/>
    <w:next w:val="Normln"/>
    <w:autoRedefine/>
    <w:uiPriority w:val="39"/>
    <w:unhideWhenUsed/>
    <w:rsid w:val="008430BD"/>
    <w:pPr>
      <w:spacing w:after="100"/>
      <w:ind w:left="88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8430BD"/>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8430BD"/>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8430BD"/>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8430BD"/>
    <w:pPr>
      <w:spacing w:after="100"/>
      <w:ind w:left="1760"/>
      <w:jc w:val="left"/>
    </w:pPr>
    <w:rPr>
      <w:rFonts w:ascii="Calibri" w:eastAsia="Times New Roman" w:hAnsi="Calibri"/>
      <w:sz w:val="22"/>
      <w:lang w:eastAsia="cs-CZ"/>
    </w:rPr>
  </w:style>
  <w:style w:type="paragraph" w:styleId="Revize">
    <w:name w:val="Revision"/>
    <w:hidden/>
    <w:uiPriority w:val="99"/>
    <w:semiHidden/>
    <w:rsid w:val="008430BD"/>
    <w:pPr>
      <w:spacing w:after="0" w:line="240" w:lineRule="auto"/>
    </w:pPr>
    <w:rPr>
      <w:rFonts w:ascii="Times New Roman" w:eastAsia="Calibri" w:hAnsi="Times New Roman" w:cs="Times New Roman"/>
      <w:sz w:val="24"/>
    </w:rPr>
  </w:style>
  <w:style w:type="character" w:styleId="Sledovanodkaz">
    <w:name w:val="FollowedHyperlink"/>
    <w:uiPriority w:val="99"/>
    <w:semiHidden/>
    <w:unhideWhenUsed/>
    <w:rsid w:val="008430BD"/>
    <w:rPr>
      <w:color w:val="800080"/>
      <w:u w:val="single"/>
    </w:rPr>
  </w:style>
  <w:style w:type="paragraph" w:styleId="Rozloendokumentu">
    <w:name w:val="Document Map"/>
    <w:basedOn w:val="Normln"/>
    <w:link w:val="RozloendokumentuChar"/>
    <w:uiPriority w:val="99"/>
    <w:semiHidden/>
    <w:unhideWhenUsed/>
    <w:rsid w:val="008430BD"/>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430BD"/>
    <w:rPr>
      <w:rFonts w:ascii="Tahoma" w:eastAsia="Calibri" w:hAnsi="Tahoma" w:cs="Tahoma"/>
      <w:sz w:val="16"/>
      <w:szCs w:val="16"/>
    </w:rPr>
  </w:style>
  <w:style w:type="paragraph" w:styleId="Prosttext">
    <w:name w:val="Plain Text"/>
    <w:basedOn w:val="Normln"/>
    <w:link w:val="ProsttextChar"/>
    <w:uiPriority w:val="99"/>
    <w:semiHidden/>
    <w:unhideWhenUsed/>
    <w:rsid w:val="008430BD"/>
    <w:pPr>
      <w:spacing w:line="240" w:lineRule="auto"/>
      <w:jc w:val="left"/>
    </w:pPr>
    <w:rPr>
      <w:rFonts w:ascii="Calibri" w:hAnsi="Calibri" w:cs="Consolas"/>
      <w:sz w:val="22"/>
      <w:szCs w:val="21"/>
    </w:rPr>
  </w:style>
  <w:style w:type="character" w:customStyle="1" w:styleId="ProsttextChar">
    <w:name w:val="Prostý text Char"/>
    <w:basedOn w:val="Standardnpsmoodstavce"/>
    <w:link w:val="Prosttext"/>
    <w:uiPriority w:val="99"/>
    <w:semiHidden/>
    <w:rsid w:val="008430BD"/>
    <w:rPr>
      <w:rFonts w:ascii="Calibri" w:eastAsia="Calibri" w:hAnsi="Calibri" w:cs="Consolas"/>
      <w:szCs w:val="21"/>
    </w:rPr>
  </w:style>
  <w:style w:type="paragraph" w:styleId="Textvysvtlivek">
    <w:name w:val="endnote text"/>
    <w:basedOn w:val="Normln"/>
    <w:link w:val="TextvysvtlivekChar"/>
    <w:uiPriority w:val="99"/>
    <w:semiHidden/>
    <w:unhideWhenUsed/>
    <w:rsid w:val="008430BD"/>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8430BD"/>
    <w:rPr>
      <w:rFonts w:ascii="Garamond" w:eastAsia="Calibri" w:hAnsi="Garamond" w:cs="Times New Roman"/>
      <w:sz w:val="20"/>
      <w:szCs w:val="20"/>
    </w:rPr>
  </w:style>
  <w:style w:type="character" w:styleId="Odkaznavysvtlivky">
    <w:name w:val="endnote reference"/>
    <w:uiPriority w:val="99"/>
    <w:semiHidden/>
    <w:unhideWhenUsed/>
    <w:rsid w:val="008430BD"/>
    <w:rPr>
      <w:vertAlign w:val="superscript"/>
    </w:rPr>
  </w:style>
  <w:style w:type="character" w:styleId="Odkazjemn">
    <w:name w:val="Subtle Reference"/>
    <w:basedOn w:val="Standardnpsmoodstavce"/>
    <w:uiPriority w:val="31"/>
    <w:qFormat/>
    <w:rsid w:val="008430BD"/>
    <w:rPr>
      <w:smallCaps/>
      <w:color w:val="5A5A5A" w:themeColor="text1" w:themeTint="A5"/>
    </w:rPr>
  </w:style>
  <w:style w:type="character" w:customStyle="1" w:styleId="Nevyeenzmnka1">
    <w:name w:val="Nevyřešená zmínka1"/>
    <w:basedOn w:val="Standardnpsmoodstavce"/>
    <w:uiPriority w:val="99"/>
    <w:semiHidden/>
    <w:unhideWhenUsed/>
    <w:rsid w:val="008430BD"/>
    <w:rPr>
      <w:color w:val="605E5C"/>
      <w:shd w:val="clear" w:color="auto" w:fill="E1DFDD"/>
    </w:rPr>
  </w:style>
  <w:style w:type="character" w:customStyle="1" w:styleId="Nevyeenzmnka2">
    <w:name w:val="Nevyřešená zmínka2"/>
    <w:basedOn w:val="Standardnpsmoodstavce"/>
    <w:uiPriority w:val="99"/>
    <w:semiHidden/>
    <w:unhideWhenUsed/>
    <w:rsid w:val="008430BD"/>
    <w:rPr>
      <w:color w:val="605E5C"/>
      <w:shd w:val="clear" w:color="auto" w:fill="E1DFDD"/>
    </w:rPr>
  </w:style>
  <w:style w:type="character" w:styleId="Zstupntext">
    <w:name w:val="Placeholder Text"/>
    <w:basedOn w:val="Standardnpsmoodstavce"/>
    <w:uiPriority w:val="99"/>
    <w:semiHidden/>
    <w:rsid w:val="008430BD"/>
    <w:rPr>
      <w:color w:val="808080"/>
    </w:rPr>
  </w:style>
  <w:style w:type="character" w:customStyle="1" w:styleId="Nevyeenzmnka3">
    <w:name w:val="Nevyřešená zmínka3"/>
    <w:basedOn w:val="Standardnpsmoodstavce"/>
    <w:uiPriority w:val="99"/>
    <w:semiHidden/>
    <w:unhideWhenUsed/>
    <w:rsid w:val="008430BD"/>
    <w:rPr>
      <w:color w:val="605E5C"/>
      <w:shd w:val="clear" w:color="auto" w:fill="E1DFDD"/>
    </w:rPr>
  </w:style>
  <w:style w:type="character" w:customStyle="1" w:styleId="Nevyeenzmnka4">
    <w:name w:val="Nevyřešená zmínka4"/>
    <w:basedOn w:val="Standardnpsmoodstavce"/>
    <w:uiPriority w:val="99"/>
    <w:semiHidden/>
    <w:unhideWhenUsed/>
    <w:rsid w:val="008430BD"/>
    <w:rPr>
      <w:color w:val="605E5C"/>
      <w:shd w:val="clear" w:color="auto" w:fill="E1DFDD"/>
    </w:rPr>
  </w:style>
  <w:style w:type="character" w:customStyle="1" w:styleId="Nevyeenzmnka5">
    <w:name w:val="Nevyřešená zmínka5"/>
    <w:basedOn w:val="Standardnpsmoodstavce"/>
    <w:uiPriority w:val="99"/>
    <w:semiHidden/>
    <w:unhideWhenUsed/>
    <w:rsid w:val="008430BD"/>
    <w:rPr>
      <w:color w:val="605E5C"/>
      <w:shd w:val="clear" w:color="auto" w:fill="E1DFDD"/>
    </w:rPr>
  </w:style>
  <w:style w:type="character" w:customStyle="1" w:styleId="Nevyeenzmnka6">
    <w:name w:val="Nevyřešená zmínka6"/>
    <w:basedOn w:val="Standardnpsmoodstavce"/>
    <w:uiPriority w:val="99"/>
    <w:semiHidden/>
    <w:unhideWhenUsed/>
    <w:rsid w:val="00EC44A7"/>
    <w:rPr>
      <w:color w:val="605E5C"/>
      <w:shd w:val="clear" w:color="auto" w:fill="E1DFDD"/>
    </w:rPr>
  </w:style>
  <w:style w:type="character" w:customStyle="1" w:styleId="Nevyeenzmnka61">
    <w:name w:val="Nevyřešená zmínka61"/>
    <w:basedOn w:val="Standardnpsmoodstavce"/>
    <w:uiPriority w:val="99"/>
    <w:semiHidden/>
    <w:unhideWhenUsed/>
    <w:rsid w:val="00B76DEB"/>
    <w:rPr>
      <w:color w:val="605E5C"/>
      <w:shd w:val="clear" w:color="auto" w:fill="E1DFDD"/>
    </w:rPr>
  </w:style>
  <w:style w:type="table" w:styleId="Mkatabulky">
    <w:name w:val="Table Grid"/>
    <w:basedOn w:val="Normlntabulka"/>
    <w:uiPriority w:val="39"/>
    <w:rsid w:val="00391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7">
    <w:name w:val="Nevyřešená zmínka7"/>
    <w:basedOn w:val="Standardnpsmoodstavce"/>
    <w:uiPriority w:val="99"/>
    <w:semiHidden/>
    <w:unhideWhenUsed/>
    <w:rsid w:val="0013286A"/>
    <w:rPr>
      <w:color w:val="605E5C"/>
      <w:shd w:val="clear" w:color="auto" w:fill="E1DFDD"/>
    </w:rPr>
  </w:style>
  <w:style w:type="character" w:customStyle="1" w:styleId="Nevyeenzmnka8">
    <w:name w:val="Nevyřešená zmínka8"/>
    <w:basedOn w:val="Standardnpsmoodstavce"/>
    <w:uiPriority w:val="99"/>
    <w:semiHidden/>
    <w:unhideWhenUsed/>
    <w:rsid w:val="00A15D97"/>
    <w:rPr>
      <w:color w:val="605E5C"/>
      <w:shd w:val="clear" w:color="auto" w:fill="E1DFDD"/>
    </w:rPr>
  </w:style>
  <w:style w:type="character" w:styleId="Zdraznn">
    <w:name w:val="Emphasis"/>
    <w:basedOn w:val="Standardnpsmoodstavce"/>
    <w:uiPriority w:val="20"/>
    <w:qFormat/>
    <w:rsid w:val="00427FA8"/>
    <w:rPr>
      <w:i/>
      <w:iCs/>
    </w:rPr>
  </w:style>
  <w:style w:type="character" w:customStyle="1" w:styleId="Nevyeenzmnka9">
    <w:name w:val="Nevyřešená zmínka9"/>
    <w:basedOn w:val="Standardnpsmoodstavce"/>
    <w:uiPriority w:val="99"/>
    <w:semiHidden/>
    <w:unhideWhenUsed/>
    <w:rsid w:val="00BF0CC3"/>
    <w:rPr>
      <w:color w:val="605E5C"/>
      <w:shd w:val="clear" w:color="auto" w:fill="E1DFDD"/>
    </w:rPr>
  </w:style>
  <w:style w:type="paragraph" w:styleId="Normlnweb">
    <w:name w:val="Normal (Web)"/>
    <w:basedOn w:val="Normln"/>
    <w:uiPriority w:val="99"/>
    <w:semiHidden/>
    <w:unhideWhenUsed/>
    <w:rsid w:val="00B57885"/>
    <w:rPr>
      <w:rFonts w:ascii="Times New Roman" w:hAnsi="Times New Roman"/>
      <w:szCs w:val="24"/>
    </w:rPr>
  </w:style>
  <w:style w:type="character" w:customStyle="1" w:styleId="Nevyeenzmnka90">
    <w:name w:val="Nevyřešená zmínka9"/>
    <w:basedOn w:val="Standardnpsmoodstavce"/>
    <w:uiPriority w:val="99"/>
    <w:semiHidden/>
    <w:unhideWhenUsed/>
    <w:rsid w:val="003B5E82"/>
    <w:rPr>
      <w:color w:val="605E5C"/>
      <w:shd w:val="clear" w:color="auto" w:fill="E1DFDD"/>
    </w:rPr>
  </w:style>
  <w:style w:type="character" w:styleId="Nevyeenzmnka">
    <w:name w:val="Unresolved Mention"/>
    <w:basedOn w:val="Standardnpsmoodstavce"/>
    <w:uiPriority w:val="99"/>
    <w:semiHidden/>
    <w:unhideWhenUsed/>
    <w:rsid w:val="00033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640">
      <w:bodyDiv w:val="1"/>
      <w:marLeft w:val="0"/>
      <w:marRight w:val="0"/>
      <w:marTop w:val="0"/>
      <w:marBottom w:val="0"/>
      <w:divBdr>
        <w:top w:val="none" w:sz="0" w:space="0" w:color="auto"/>
        <w:left w:val="none" w:sz="0" w:space="0" w:color="auto"/>
        <w:bottom w:val="none" w:sz="0" w:space="0" w:color="auto"/>
        <w:right w:val="none" w:sz="0" w:space="0" w:color="auto"/>
      </w:divBdr>
    </w:div>
    <w:div w:id="1126545">
      <w:bodyDiv w:val="1"/>
      <w:marLeft w:val="0"/>
      <w:marRight w:val="0"/>
      <w:marTop w:val="0"/>
      <w:marBottom w:val="0"/>
      <w:divBdr>
        <w:top w:val="none" w:sz="0" w:space="0" w:color="auto"/>
        <w:left w:val="none" w:sz="0" w:space="0" w:color="auto"/>
        <w:bottom w:val="none" w:sz="0" w:space="0" w:color="auto"/>
        <w:right w:val="none" w:sz="0" w:space="0" w:color="auto"/>
      </w:divBdr>
    </w:div>
    <w:div w:id="1468846">
      <w:bodyDiv w:val="1"/>
      <w:marLeft w:val="0"/>
      <w:marRight w:val="0"/>
      <w:marTop w:val="0"/>
      <w:marBottom w:val="0"/>
      <w:divBdr>
        <w:top w:val="none" w:sz="0" w:space="0" w:color="auto"/>
        <w:left w:val="none" w:sz="0" w:space="0" w:color="auto"/>
        <w:bottom w:val="none" w:sz="0" w:space="0" w:color="auto"/>
        <w:right w:val="none" w:sz="0" w:space="0" w:color="auto"/>
      </w:divBdr>
    </w:div>
    <w:div w:id="13268235">
      <w:bodyDiv w:val="1"/>
      <w:marLeft w:val="0"/>
      <w:marRight w:val="0"/>
      <w:marTop w:val="0"/>
      <w:marBottom w:val="0"/>
      <w:divBdr>
        <w:top w:val="none" w:sz="0" w:space="0" w:color="auto"/>
        <w:left w:val="none" w:sz="0" w:space="0" w:color="auto"/>
        <w:bottom w:val="none" w:sz="0" w:space="0" w:color="auto"/>
        <w:right w:val="none" w:sz="0" w:space="0" w:color="auto"/>
      </w:divBdr>
    </w:div>
    <w:div w:id="17435390">
      <w:bodyDiv w:val="1"/>
      <w:marLeft w:val="0"/>
      <w:marRight w:val="0"/>
      <w:marTop w:val="0"/>
      <w:marBottom w:val="0"/>
      <w:divBdr>
        <w:top w:val="none" w:sz="0" w:space="0" w:color="auto"/>
        <w:left w:val="none" w:sz="0" w:space="0" w:color="auto"/>
        <w:bottom w:val="none" w:sz="0" w:space="0" w:color="auto"/>
        <w:right w:val="none" w:sz="0" w:space="0" w:color="auto"/>
      </w:divBdr>
    </w:div>
    <w:div w:id="21825007">
      <w:bodyDiv w:val="1"/>
      <w:marLeft w:val="0"/>
      <w:marRight w:val="0"/>
      <w:marTop w:val="0"/>
      <w:marBottom w:val="0"/>
      <w:divBdr>
        <w:top w:val="none" w:sz="0" w:space="0" w:color="auto"/>
        <w:left w:val="none" w:sz="0" w:space="0" w:color="auto"/>
        <w:bottom w:val="none" w:sz="0" w:space="0" w:color="auto"/>
        <w:right w:val="none" w:sz="0" w:space="0" w:color="auto"/>
      </w:divBdr>
    </w:div>
    <w:div w:id="28730201">
      <w:bodyDiv w:val="1"/>
      <w:marLeft w:val="0"/>
      <w:marRight w:val="0"/>
      <w:marTop w:val="0"/>
      <w:marBottom w:val="0"/>
      <w:divBdr>
        <w:top w:val="none" w:sz="0" w:space="0" w:color="auto"/>
        <w:left w:val="none" w:sz="0" w:space="0" w:color="auto"/>
        <w:bottom w:val="none" w:sz="0" w:space="0" w:color="auto"/>
        <w:right w:val="none" w:sz="0" w:space="0" w:color="auto"/>
      </w:divBdr>
    </w:div>
    <w:div w:id="29189541">
      <w:bodyDiv w:val="1"/>
      <w:marLeft w:val="0"/>
      <w:marRight w:val="0"/>
      <w:marTop w:val="0"/>
      <w:marBottom w:val="0"/>
      <w:divBdr>
        <w:top w:val="none" w:sz="0" w:space="0" w:color="auto"/>
        <w:left w:val="none" w:sz="0" w:space="0" w:color="auto"/>
        <w:bottom w:val="none" w:sz="0" w:space="0" w:color="auto"/>
        <w:right w:val="none" w:sz="0" w:space="0" w:color="auto"/>
      </w:divBdr>
    </w:div>
    <w:div w:id="29839073">
      <w:bodyDiv w:val="1"/>
      <w:marLeft w:val="0"/>
      <w:marRight w:val="0"/>
      <w:marTop w:val="0"/>
      <w:marBottom w:val="0"/>
      <w:divBdr>
        <w:top w:val="none" w:sz="0" w:space="0" w:color="auto"/>
        <w:left w:val="none" w:sz="0" w:space="0" w:color="auto"/>
        <w:bottom w:val="none" w:sz="0" w:space="0" w:color="auto"/>
        <w:right w:val="none" w:sz="0" w:space="0" w:color="auto"/>
      </w:divBdr>
    </w:div>
    <w:div w:id="40324089">
      <w:bodyDiv w:val="1"/>
      <w:marLeft w:val="0"/>
      <w:marRight w:val="0"/>
      <w:marTop w:val="0"/>
      <w:marBottom w:val="0"/>
      <w:divBdr>
        <w:top w:val="none" w:sz="0" w:space="0" w:color="auto"/>
        <w:left w:val="none" w:sz="0" w:space="0" w:color="auto"/>
        <w:bottom w:val="none" w:sz="0" w:space="0" w:color="auto"/>
        <w:right w:val="none" w:sz="0" w:space="0" w:color="auto"/>
      </w:divBdr>
    </w:div>
    <w:div w:id="41447473">
      <w:bodyDiv w:val="1"/>
      <w:marLeft w:val="0"/>
      <w:marRight w:val="0"/>
      <w:marTop w:val="0"/>
      <w:marBottom w:val="0"/>
      <w:divBdr>
        <w:top w:val="none" w:sz="0" w:space="0" w:color="auto"/>
        <w:left w:val="none" w:sz="0" w:space="0" w:color="auto"/>
        <w:bottom w:val="none" w:sz="0" w:space="0" w:color="auto"/>
        <w:right w:val="none" w:sz="0" w:space="0" w:color="auto"/>
      </w:divBdr>
    </w:div>
    <w:div w:id="43650084">
      <w:bodyDiv w:val="1"/>
      <w:marLeft w:val="0"/>
      <w:marRight w:val="0"/>
      <w:marTop w:val="0"/>
      <w:marBottom w:val="0"/>
      <w:divBdr>
        <w:top w:val="none" w:sz="0" w:space="0" w:color="auto"/>
        <w:left w:val="none" w:sz="0" w:space="0" w:color="auto"/>
        <w:bottom w:val="none" w:sz="0" w:space="0" w:color="auto"/>
        <w:right w:val="none" w:sz="0" w:space="0" w:color="auto"/>
      </w:divBdr>
    </w:div>
    <w:div w:id="47731652">
      <w:bodyDiv w:val="1"/>
      <w:marLeft w:val="0"/>
      <w:marRight w:val="0"/>
      <w:marTop w:val="0"/>
      <w:marBottom w:val="0"/>
      <w:divBdr>
        <w:top w:val="none" w:sz="0" w:space="0" w:color="auto"/>
        <w:left w:val="none" w:sz="0" w:space="0" w:color="auto"/>
        <w:bottom w:val="none" w:sz="0" w:space="0" w:color="auto"/>
        <w:right w:val="none" w:sz="0" w:space="0" w:color="auto"/>
      </w:divBdr>
    </w:div>
    <w:div w:id="51583479">
      <w:bodyDiv w:val="1"/>
      <w:marLeft w:val="0"/>
      <w:marRight w:val="0"/>
      <w:marTop w:val="0"/>
      <w:marBottom w:val="0"/>
      <w:divBdr>
        <w:top w:val="none" w:sz="0" w:space="0" w:color="auto"/>
        <w:left w:val="none" w:sz="0" w:space="0" w:color="auto"/>
        <w:bottom w:val="none" w:sz="0" w:space="0" w:color="auto"/>
        <w:right w:val="none" w:sz="0" w:space="0" w:color="auto"/>
      </w:divBdr>
    </w:div>
    <w:div w:id="51932776">
      <w:bodyDiv w:val="1"/>
      <w:marLeft w:val="0"/>
      <w:marRight w:val="0"/>
      <w:marTop w:val="0"/>
      <w:marBottom w:val="0"/>
      <w:divBdr>
        <w:top w:val="none" w:sz="0" w:space="0" w:color="auto"/>
        <w:left w:val="none" w:sz="0" w:space="0" w:color="auto"/>
        <w:bottom w:val="none" w:sz="0" w:space="0" w:color="auto"/>
        <w:right w:val="none" w:sz="0" w:space="0" w:color="auto"/>
      </w:divBdr>
    </w:div>
    <w:div w:id="52312117">
      <w:bodyDiv w:val="1"/>
      <w:marLeft w:val="0"/>
      <w:marRight w:val="0"/>
      <w:marTop w:val="0"/>
      <w:marBottom w:val="0"/>
      <w:divBdr>
        <w:top w:val="none" w:sz="0" w:space="0" w:color="auto"/>
        <w:left w:val="none" w:sz="0" w:space="0" w:color="auto"/>
        <w:bottom w:val="none" w:sz="0" w:space="0" w:color="auto"/>
        <w:right w:val="none" w:sz="0" w:space="0" w:color="auto"/>
      </w:divBdr>
    </w:div>
    <w:div w:id="53820293">
      <w:bodyDiv w:val="1"/>
      <w:marLeft w:val="0"/>
      <w:marRight w:val="0"/>
      <w:marTop w:val="0"/>
      <w:marBottom w:val="0"/>
      <w:divBdr>
        <w:top w:val="none" w:sz="0" w:space="0" w:color="auto"/>
        <w:left w:val="none" w:sz="0" w:space="0" w:color="auto"/>
        <w:bottom w:val="none" w:sz="0" w:space="0" w:color="auto"/>
        <w:right w:val="none" w:sz="0" w:space="0" w:color="auto"/>
      </w:divBdr>
    </w:div>
    <w:div w:id="54745711">
      <w:bodyDiv w:val="1"/>
      <w:marLeft w:val="0"/>
      <w:marRight w:val="0"/>
      <w:marTop w:val="0"/>
      <w:marBottom w:val="0"/>
      <w:divBdr>
        <w:top w:val="none" w:sz="0" w:space="0" w:color="auto"/>
        <w:left w:val="none" w:sz="0" w:space="0" w:color="auto"/>
        <w:bottom w:val="none" w:sz="0" w:space="0" w:color="auto"/>
        <w:right w:val="none" w:sz="0" w:space="0" w:color="auto"/>
      </w:divBdr>
    </w:div>
    <w:div w:id="64691369">
      <w:bodyDiv w:val="1"/>
      <w:marLeft w:val="0"/>
      <w:marRight w:val="0"/>
      <w:marTop w:val="0"/>
      <w:marBottom w:val="0"/>
      <w:divBdr>
        <w:top w:val="none" w:sz="0" w:space="0" w:color="auto"/>
        <w:left w:val="none" w:sz="0" w:space="0" w:color="auto"/>
        <w:bottom w:val="none" w:sz="0" w:space="0" w:color="auto"/>
        <w:right w:val="none" w:sz="0" w:space="0" w:color="auto"/>
      </w:divBdr>
    </w:div>
    <w:div w:id="72318402">
      <w:bodyDiv w:val="1"/>
      <w:marLeft w:val="0"/>
      <w:marRight w:val="0"/>
      <w:marTop w:val="0"/>
      <w:marBottom w:val="0"/>
      <w:divBdr>
        <w:top w:val="none" w:sz="0" w:space="0" w:color="auto"/>
        <w:left w:val="none" w:sz="0" w:space="0" w:color="auto"/>
        <w:bottom w:val="none" w:sz="0" w:space="0" w:color="auto"/>
        <w:right w:val="none" w:sz="0" w:space="0" w:color="auto"/>
      </w:divBdr>
    </w:div>
    <w:div w:id="74787376">
      <w:bodyDiv w:val="1"/>
      <w:marLeft w:val="0"/>
      <w:marRight w:val="0"/>
      <w:marTop w:val="0"/>
      <w:marBottom w:val="0"/>
      <w:divBdr>
        <w:top w:val="none" w:sz="0" w:space="0" w:color="auto"/>
        <w:left w:val="none" w:sz="0" w:space="0" w:color="auto"/>
        <w:bottom w:val="none" w:sz="0" w:space="0" w:color="auto"/>
        <w:right w:val="none" w:sz="0" w:space="0" w:color="auto"/>
      </w:divBdr>
    </w:div>
    <w:div w:id="84232032">
      <w:bodyDiv w:val="1"/>
      <w:marLeft w:val="0"/>
      <w:marRight w:val="0"/>
      <w:marTop w:val="0"/>
      <w:marBottom w:val="0"/>
      <w:divBdr>
        <w:top w:val="none" w:sz="0" w:space="0" w:color="auto"/>
        <w:left w:val="none" w:sz="0" w:space="0" w:color="auto"/>
        <w:bottom w:val="none" w:sz="0" w:space="0" w:color="auto"/>
        <w:right w:val="none" w:sz="0" w:space="0" w:color="auto"/>
      </w:divBdr>
    </w:div>
    <w:div w:id="88815586">
      <w:bodyDiv w:val="1"/>
      <w:marLeft w:val="0"/>
      <w:marRight w:val="0"/>
      <w:marTop w:val="0"/>
      <w:marBottom w:val="0"/>
      <w:divBdr>
        <w:top w:val="none" w:sz="0" w:space="0" w:color="auto"/>
        <w:left w:val="none" w:sz="0" w:space="0" w:color="auto"/>
        <w:bottom w:val="none" w:sz="0" w:space="0" w:color="auto"/>
        <w:right w:val="none" w:sz="0" w:space="0" w:color="auto"/>
      </w:divBdr>
    </w:div>
    <w:div w:id="96289986">
      <w:bodyDiv w:val="1"/>
      <w:marLeft w:val="0"/>
      <w:marRight w:val="0"/>
      <w:marTop w:val="0"/>
      <w:marBottom w:val="0"/>
      <w:divBdr>
        <w:top w:val="none" w:sz="0" w:space="0" w:color="auto"/>
        <w:left w:val="none" w:sz="0" w:space="0" w:color="auto"/>
        <w:bottom w:val="none" w:sz="0" w:space="0" w:color="auto"/>
        <w:right w:val="none" w:sz="0" w:space="0" w:color="auto"/>
      </w:divBdr>
    </w:div>
    <w:div w:id="100035629">
      <w:bodyDiv w:val="1"/>
      <w:marLeft w:val="0"/>
      <w:marRight w:val="0"/>
      <w:marTop w:val="0"/>
      <w:marBottom w:val="0"/>
      <w:divBdr>
        <w:top w:val="none" w:sz="0" w:space="0" w:color="auto"/>
        <w:left w:val="none" w:sz="0" w:space="0" w:color="auto"/>
        <w:bottom w:val="none" w:sz="0" w:space="0" w:color="auto"/>
        <w:right w:val="none" w:sz="0" w:space="0" w:color="auto"/>
      </w:divBdr>
    </w:div>
    <w:div w:id="100758516">
      <w:bodyDiv w:val="1"/>
      <w:marLeft w:val="0"/>
      <w:marRight w:val="0"/>
      <w:marTop w:val="0"/>
      <w:marBottom w:val="0"/>
      <w:divBdr>
        <w:top w:val="none" w:sz="0" w:space="0" w:color="auto"/>
        <w:left w:val="none" w:sz="0" w:space="0" w:color="auto"/>
        <w:bottom w:val="none" w:sz="0" w:space="0" w:color="auto"/>
        <w:right w:val="none" w:sz="0" w:space="0" w:color="auto"/>
      </w:divBdr>
    </w:div>
    <w:div w:id="111555573">
      <w:bodyDiv w:val="1"/>
      <w:marLeft w:val="0"/>
      <w:marRight w:val="0"/>
      <w:marTop w:val="0"/>
      <w:marBottom w:val="0"/>
      <w:divBdr>
        <w:top w:val="none" w:sz="0" w:space="0" w:color="auto"/>
        <w:left w:val="none" w:sz="0" w:space="0" w:color="auto"/>
        <w:bottom w:val="none" w:sz="0" w:space="0" w:color="auto"/>
        <w:right w:val="none" w:sz="0" w:space="0" w:color="auto"/>
      </w:divBdr>
    </w:div>
    <w:div w:id="116920350">
      <w:bodyDiv w:val="1"/>
      <w:marLeft w:val="0"/>
      <w:marRight w:val="0"/>
      <w:marTop w:val="0"/>
      <w:marBottom w:val="0"/>
      <w:divBdr>
        <w:top w:val="none" w:sz="0" w:space="0" w:color="auto"/>
        <w:left w:val="none" w:sz="0" w:space="0" w:color="auto"/>
        <w:bottom w:val="none" w:sz="0" w:space="0" w:color="auto"/>
        <w:right w:val="none" w:sz="0" w:space="0" w:color="auto"/>
      </w:divBdr>
    </w:div>
    <w:div w:id="119232718">
      <w:bodyDiv w:val="1"/>
      <w:marLeft w:val="0"/>
      <w:marRight w:val="0"/>
      <w:marTop w:val="0"/>
      <w:marBottom w:val="0"/>
      <w:divBdr>
        <w:top w:val="none" w:sz="0" w:space="0" w:color="auto"/>
        <w:left w:val="none" w:sz="0" w:space="0" w:color="auto"/>
        <w:bottom w:val="none" w:sz="0" w:space="0" w:color="auto"/>
        <w:right w:val="none" w:sz="0" w:space="0" w:color="auto"/>
      </w:divBdr>
    </w:div>
    <w:div w:id="120534878">
      <w:bodyDiv w:val="1"/>
      <w:marLeft w:val="0"/>
      <w:marRight w:val="0"/>
      <w:marTop w:val="0"/>
      <w:marBottom w:val="0"/>
      <w:divBdr>
        <w:top w:val="none" w:sz="0" w:space="0" w:color="auto"/>
        <w:left w:val="none" w:sz="0" w:space="0" w:color="auto"/>
        <w:bottom w:val="none" w:sz="0" w:space="0" w:color="auto"/>
        <w:right w:val="none" w:sz="0" w:space="0" w:color="auto"/>
      </w:divBdr>
    </w:div>
    <w:div w:id="126749227">
      <w:bodyDiv w:val="1"/>
      <w:marLeft w:val="0"/>
      <w:marRight w:val="0"/>
      <w:marTop w:val="0"/>
      <w:marBottom w:val="0"/>
      <w:divBdr>
        <w:top w:val="none" w:sz="0" w:space="0" w:color="auto"/>
        <w:left w:val="none" w:sz="0" w:space="0" w:color="auto"/>
        <w:bottom w:val="none" w:sz="0" w:space="0" w:color="auto"/>
        <w:right w:val="none" w:sz="0" w:space="0" w:color="auto"/>
      </w:divBdr>
    </w:div>
    <w:div w:id="127817254">
      <w:bodyDiv w:val="1"/>
      <w:marLeft w:val="0"/>
      <w:marRight w:val="0"/>
      <w:marTop w:val="0"/>
      <w:marBottom w:val="0"/>
      <w:divBdr>
        <w:top w:val="none" w:sz="0" w:space="0" w:color="auto"/>
        <w:left w:val="none" w:sz="0" w:space="0" w:color="auto"/>
        <w:bottom w:val="none" w:sz="0" w:space="0" w:color="auto"/>
        <w:right w:val="none" w:sz="0" w:space="0" w:color="auto"/>
      </w:divBdr>
    </w:div>
    <w:div w:id="129326221">
      <w:bodyDiv w:val="1"/>
      <w:marLeft w:val="0"/>
      <w:marRight w:val="0"/>
      <w:marTop w:val="0"/>
      <w:marBottom w:val="0"/>
      <w:divBdr>
        <w:top w:val="none" w:sz="0" w:space="0" w:color="auto"/>
        <w:left w:val="none" w:sz="0" w:space="0" w:color="auto"/>
        <w:bottom w:val="none" w:sz="0" w:space="0" w:color="auto"/>
        <w:right w:val="none" w:sz="0" w:space="0" w:color="auto"/>
      </w:divBdr>
    </w:div>
    <w:div w:id="132453399">
      <w:bodyDiv w:val="1"/>
      <w:marLeft w:val="0"/>
      <w:marRight w:val="0"/>
      <w:marTop w:val="0"/>
      <w:marBottom w:val="0"/>
      <w:divBdr>
        <w:top w:val="none" w:sz="0" w:space="0" w:color="auto"/>
        <w:left w:val="none" w:sz="0" w:space="0" w:color="auto"/>
        <w:bottom w:val="none" w:sz="0" w:space="0" w:color="auto"/>
        <w:right w:val="none" w:sz="0" w:space="0" w:color="auto"/>
      </w:divBdr>
    </w:div>
    <w:div w:id="137693433">
      <w:bodyDiv w:val="1"/>
      <w:marLeft w:val="0"/>
      <w:marRight w:val="0"/>
      <w:marTop w:val="0"/>
      <w:marBottom w:val="0"/>
      <w:divBdr>
        <w:top w:val="none" w:sz="0" w:space="0" w:color="auto"/>
        <w:left w:val="none" w:sz="0" w:space="0" w:color="auto"/>
        <w:bottom w:val="none" w:sz="0" w:space="0" w:color="auto"/>
        <w:right w:val="none" w:sz="0" w:space="0" w:color="auto"/>
      </w:divBdr>
    </w:div>
    <w:div w:id="143282657">
      <w:bodyDiv w:val="1"/>
      <w:marLeft w:val="0"/>
      <w:marRight w:val="0"/>
      <w:marTop w:val="0"/>
      <w:marBottom w:val="0"/>
      <w:divBdr>
        <w:top w:val="none" w:sz="0" w:space="0" w:color="auto"/>
        <w:left w:val="none" w:sz="0" w:space="0" w:color="auto"/>
        <w:bottom w:val="none" w:sz="0" w:space="0" w:color="auto"/>
        <w:right w:val="none" w:sz="0" w:space="0" w:color="auto"/>
      </w:divBdr>
    </w:div>
    <w:div w:id="146744910">
      <w:bodyDiv w:val="1"/>
      <w:marLeft w:val="0"/>
      <w:marRight w:val="0"/>
      <w:marTop w:val="0"/>
      <w:marBottom w:val="0"/>
      <w:divBdr>
        <w:top w:val="none" w:sz="0" w:space="0" w:color="auto"/>
        <w:left w:val="none" w:sz="0" w:space="0" w:color="auto"/>
        <w:bottom w:val="none" w:sz="0" w:space="0" w:color="auto"/>
        <w:right w:val="none" w:sz="0" w:space="0" w:color="auto"/>
      </w:divBdr>
    </w:div>
    <w:div w:id="154154956">
      <w:bodyDiv w:val="1"/>
      <w:marLeft w:val="0"/>
      <w:marRight w:val="0"/>
      <w:marTop w:val="0"/>
      <w:marBottom w:val="0"/>
      <w:divBdr>
        <w:top w:val="none" w:sz="0" w:space="0" w:color="auto"/>
        <w:left w:val="none" w:sz="0" w:space="0" w:color="auto"/>
        <w:bottom w:val="none" w:sz="0" w:space="0" w:color="auto"/>
        <w:right w:val="none" w:sz="0" w:space="0" w:color="auto"/>
      </w:divBdr>
    </w:div>
    <w:div w:id="155583676">
      <w:bodyDiv w:val="1"/>
      <w:marLeft w:val="0"/>
      <w:marRight w:val="0"/>
      <w:marTop w:val="0"/>
      <w:marBottom w:val="0"/>
      <w:divBdr>
        <w:top w:val="none" w:sz="0" w:space="0" w:color="auto"/>
        <w:left w:val="none" w:sz="0" w:space="0" w:color="auto"/>
        <w:bottom w:val="none" w:sz="0" w:space="0" w:color="auto"/>
        <w:right w:val="none" w:sz="0" w:space="0" w:color="auto"/>
      </w:divBdr>
    </w:div>
    <w:div w:id="157617729">
      <w:bodyDiv w:val="1"/>
      <w:marLeft w:val="0"/>
      <w:marRight w:val="0"/>
      <w:marTop w:val="0"/>
      <w:marBottom w:val="0"/>
      <w:divBdr>
        <w:top w:val="none" w:sz="0" w:space="0" w:color="auto"/>
        <w:left w:val="none" w:sz="0" w:space="0" w:color="auto"/>
        <w:bottom w:val="none" w:sz="0" w:space="0" w:color="auto"/>
        <w:right w:val="none" w:sz="0" w:space="0" w:color="auto"/>
      </w:divBdr>
    </w:div>
    <w:div w:id="168062352">
      <w:bodyDiv w:val="1"/>
      <w:marLeft w:val="0"/>
      <w:marRight w:val="0"/>
      <w:marTop w:val="0"/>
      <w:marBottom w:val="0"/>
      <w:divBdr>
        <w:top w:val="none" w:sz="0" w:space="0" w:color="auto"/>
        <w:left w:val="none" w:sz="0" w:space="0" w:color="auto"/>
        <w:bottom w:val="none" w:sz="0" w:space="0" w:color="auto"/>
        <w:right w:val="none" w:sz="0" w:space="0" w:color="auto"/>
      </w:divBdr>
    </w:div>
    <w:div w:id="170722066">
      <w:bodyDiv w:val="1"/>
      <w:marLeft w:val="0"/>
      <w:marRight w:val="0"/>
      <w:marTop w:val="0"/>
      <w:marBottom w:val="0"/>
      <w:divBdr>
        <w:top w:val="none" w:sz="0" w:space="0" w:color="auto"/>
        <w:left w:val="none" w:sz="0" w:space="0" w:color="auto"/>
        <w:bottom w:val="none" w:sz="0" w:space="0" w:color="auto"/>
        <w:right w:val="none" w:sz="0" w:space="0" w:color="auto"/>
      </w:divBdr>
    </w:div>
    <w:div w:id="180820089">
      <w:bodyDiv w:val="1"/>
      <w:marLeft w:val="0"/>
      <w:marRight w:val="0"/>
      <w:marTop w:val="0"/>
      <w:marBottom w:val="0"/>
      <w:divBdr>
        <w:top w:val="none" w:sz="0" w:space="0" w:color="auto"/>
        <w:left w:val="none" w:sz="0" w:space="0" w:color="auto"/>
        <w:bottom w:val="none" w:sz="0" w:space="0" w:color="auto"/>
        <w:right w:val="none" w:sz="0" w:space="0" w:color="auto"/>
      </w:divBdr>
    </w:div>
    <w:div w:id="182785725">
      <w:bodyDiv w:val="1"/>
      <w:marLeft w:val="0"/>
      <w:marRight w:val="0"/>
      <w:marTop w:val="0"/>
      <w:marBottom w:val="0"/>
      <w:divBdr>
        <w:top w:val="none" w:sz="0" w:space="0" w:color="auto"/>
        <w:left w:val="none" w:sz="0" w:space="0" w:color="auto"/>
        <w:bottom w:val="none" w:sz="0" w:space="0" w:color="auto"/>
        <w:right w:val="none" w:sz="0" w:space="0" w:color="auto"/>
      </w:divBdr>
    </w:div>
    <w:div w:id="187761475">
      <w:bodyDiv w:val="1"/>
      <w:marLeft w:val="0"/>
      <w:marRight w:val="0"/>
      <w:marTop w:val="0"/>
      <w:marBottom w:val="0"/>
      <w:divBdr>
        <w:top w:val="none" w:sz="0" w:space="0" w:color="auto"/>
        <w:left w:val="none" w:sz="0" w:space="0" w:color="auto"/>
        <w:bottom w:val="none" w:sz="0" w:space="0" w:color="auto"/>
        <w:right w:val="none" w:sz="0" w:space="0" w:color="auto"/>
      </w:divBdr>
    </w:div>
    <w:div w:id="198007538">
      <w:bodyDiv w:val="1"/>
      <w:marLeft w:val="0"/>
      <w:marRight w:val="0"/>
      <w:marTop w:val="0"/>
      <w:marBottom w:val="0"/>
      <w:divBdr>
        <w:top w:val="none" w:sz="0" w:space="0" w:color="auto"/>
        <w:left w:val="none" w:sz="0" w:space="0" w:color="auto"/>
        <w:bottom w:val="none" w:sz="0" w:space="0" w:color="auto"/>
        <w:right w:val="none" w:sz="0" w:space="0" w:color="auto"/>
      </w:divBdr>
    </w:div>
    <w:div w:id="206187476">
      <w:bodyDiv w:val="1"/>
      <w:marLeft w:val="0"/>
      <w:marRight w:val="0"/>
      <w:marTop w:val="0"/>
      <w:marBottom w:val="0"/>
      <w:divBdr>
        <w:top w:val="none" w:sz="0" w:space="0" w:color="auto"/>
        <w:left w:val="none" w:sz="0" w:space="0" w:color="auto"/>
        <w:bottom w:val="none" w:sz="0" w:space="0" w:color="auto"/>
        <w:right w:val="none" w:sz="0" w:space="0" w:color="auto"/>
      </w:divBdr>
    </w:div>
    <w:div w:id="206837246">
      <w:bodyDiv w:val="1"/>
      <w:marLeft w:val="0"/>
      <w:marRight w:val="0"/>
      <w:marTop w:val="0"/>
      <w:marBottom w:val="0"/>
      <w:divBdr>
        <w:top w:val="none" w:sz="0" w:space="0" w:color="auto"/>
        <w:left w:val="none" w:sz="0" w:space="0" w:color="auto"/>
        <w:bottom w:val="none" w:sz="0" w:space="0" w:color="auto"/>
        <w:right w:val="none" w:sz="0" w:space="0" w:color="auto"/>
      </w:divBdr>
    </w:div>
    <w:div w:id="208759567">
      <w:bodyDiv w:val="1"/>
      <w:marLeft w:val="0"/>
      <w:marRight w:val="0"/>
      <w:marTop w:val="0"/>
      <w:marBottom w:val="0"/>
      <w:divBdr>
        <w:top w:val="none" w:sz="0" w:space="0" w:color="auto"/>
        <w:left w:val="none" w:sz="0" w:space="0" w:color="auto"/>
        <w:bottom w:val="none" w:sz="0" w:space="0" w:color="auto"/>
        <w:right w:val="none" w:sz="0" w:space="0" w:color="auto"/>
      </w:divBdr>
    </w:div>
    <w:div w:id="215161985">
      <w:bodyDiv w:val="1"/>
      <w:marLeft w:val="0"/>
      <w:marRight w:val="0"/>
      <w:marTop w:val="0"/>
      <w:marBottom w:val="0"/>
      <w:divBdr>
        <w:top w:val="none" w:sz="0" w:space="0" w:color="auto"/>
        <w:left w:val="none" w:sz="0" w:space="0" w:color="auto"/>
        <w:bottom w:val="none" w:sz="0" w:space="0" w:color="auto"/>
        <w:right w:val="none" w:sz="0" w:space="0" w:color="auto"/>
      </w:divBdr>
    </w:div>
    <w:div w:id="218129659">
      <w:bodyDiv w:val="1"/>
      <w:marLeft w:val="0"/>
      <w:marRight w:val="0"/>
      <w:marTop w:val="0"/>
      <w:marBottom w:val="0"/>
      <w:divBdr>
        <w:top w:val="none" w:sz="0" w:space="0" w:color="auto"/>
        <w:left w:val="none" w:sz="0" w:space="0" w:color="auto"/>
        <w:bottom w:val="none" w:sz="0" w:space="0" w:color="auto"/>
        <w:right w:val="none" w:sz="0" w:space="0" w:color="auto"/>
      </w:divBdr>
    </w:div>
    <w:div w:id="224993338">
      <w:bodyDiv w:val="1"/>
      <w:marLeft w:val="0"/>
      <w:marRight w:val="0"/>
      <w:marTop w:val="0"/>
      <w:marBottom w:val="0"/>
      <w:divBdr>
        <w:top w:val="none" w:sz="0" w:space="0" w:color="auto"/>
        <w:left w:val="none" w:sz="0" w:space="0" w:color="auto"/>
        <w:bottom w:val="none" w:sz="0" w:space="0" w:color="auto"/>
        <w:right w:val="none" w:sz="0" w:space="0" w:color="auto"/>
      </w:divBdr>
    </w:div>
    <w:div w:id="235363578">
      <w:bodyDiv w:val="1"/>
      <w:marLeft w:val="0"/>
      <w:marRight w:val="0"/>
      <w:marTop w:val="0"/>
      <w:marBottom w:val="0"/>
      <w:divBdr>
        <w:top w:val="none" w:sz="0" w:space="0" w:color="auto"/>
        <w:left w:val="none" w:sz="0" w:space="0" w:color="auto"/>
        <w:bottom w:val="none" w:sz="0" w:space="0" w:color="auto"/>
        <w:right w:val="none" w:sz="0" w:space="0" w:color="auto"/>
      </w:divBdr>
    </w:div>
    <w:div w:id="236786691">
      <w:bodyDiv w:val="1"/>
      <w:marLeft w:val="0"/>
      <w:marRight w:val="0"/>
      <w:marTop w:val="0"/>
      <w:marBottom w:val="0"/>
      <w:divBdr>
        <w:top w:val="none" w:sz="0" w:space="0" w:color="auto"/>
        <w:left w:val="none" w:sz="0" w:space="0" w:color="auto"/>
        <w:bottom w:val="none" w:sz="0" w:space="0" w:color="auto"/>
        <w:right w:val="none" w:sz="0" w:space="0" w:color="auto"/>
      </w:divBdr>
    </w:div>
    <w:div w:id="245265949">
      <w:bodyDiv w:val="1"/>
      <w:marLeft w:val="0"/>
      <w:marRight w:val="0"/>
      <w:marTop w:val="0"/>
      <w:marBottom w:val="0"/>
      <w:divBdr>
        <w:top w:val="none" w:sz="0" w:space="0" w:color="auto"/>
        <w:left w:val="none" w:sz="0" w:space="0" w:color="auto"/>
        <w:bottom w:val="none" w:sz="0" w:space="0" w:color="auto"/>
        <w:right w:val="none" w:sz="0" w:space="0" w:color="auto"/>
      </w:divBdr>
    </w:div>
    <w:div w:id="245843684">
      <w:bodyDiv w:val="1"/>
      <w:marLeft w:val="0"/>
      <w:marRight w:val="0"/>
      <w:marTop w:val="0"/>
      <w:marBottom w:val="0"/>
      <w:divBdr>
        <w:top w:val="none" w:sz="0" w:space="0" w:color="auto"/>
        <w:left w:val="none" w:sz="0" w:space="0" w:color="auto"/>
        <w:bottom w:val="none" w:sz="0" w:space="0" w:color="auto"/>
        <w:right w:val="none" w:sz="0" w:space="0" w:color="auto"/>
      </w:divBdr>
    </w:div>
    <w:div w:id="247538711">
      <w:bodyDiv w:val="1"/>
      <w:marLeft w:val="0"/>
      <w:marRight w:val="0"/>
      <w:marTop w:val="0"/>
      <w:marBottom w:val="0"/>
      <w:divBdr>
        <w:top w:val="none" w:sz="0" w:space="0" w:color="auto"/>
        <w:left w:val="none" w:sz="0" w:space="0" w:color="auto"/>
        <w:bottom w:val="none" w:sz="0" w:space="0" w:color="auto"/>
        <w:right w:val="none" w:sz="0" w:space="0" w:color="auto"/>
      </w:divBdr>
    </w:div>
    <w:div w:id="252200807">
      <w:bodyDiv w:val="1"/>
      <w:marLeft w:val="0"/>
      <w:marRight w:val="0"/>
      <w:marTop w:val="0"/>
      <w:marBottom w:val="0"/>
      <w:divBdr>
        <w:top w:val="none" w:sz="0" w:space="0" w:color="auto"/>
        <w:left w:val="none" w:sz="0" w:space="0" w:color="auto"/>
        <w:bottom w:val="none" w:sz="0" w:space="0" w:color="auto"/>
        <w:right w:val="none" w:sz="0" w:space="0" w:color="auto"/>
      </w:divBdr>
    </w:div>
    <w:div w:id="255015937">
      <w:bodyDiv w:val="1"/>
      <w:marLeft w:val="0"/>
      <w:marRight w:val="0"/>
      <w:marTop w:val="0"/>
      <w:marBottom w:val="0"/>
      <w:divBdr>
        <w:top w:val="none" w:sz="0" w:space="0" w:color="auto"/>
        <w:left w:val="none" w:sz="0" w:space="0" w:color="auto"/>
        <w:bottom w:val="none" w:sz="0" w:space="0" w:color="auto"/>
        <w:right w:val="none" w:sz="0" w:space="0" w:color="auto"/>
      </w:divBdr>
    </w:div>
    <w:div w:id="263848563">
      <w:bodyDiv w:val="1"/>
      <w:marLeft w:val="0"/>
      <w:marRight w:val="0"/>
      <w:marTop w:val="0"/>
      <w:marBottom w:val="0"/>
      <w:divBdr>
        <w:top w:val="none" w:sz="0" w:space="0" w:color="auto"/>
        <w:left w:val="none" w:sz="0" w:space="0" w:color="auto"/>
        <w:bottom w:val="none" w:sz="0" w:space="0" w:color="auto"/>
        <w:right w:val="none" w:sz="0" w:space="0" w:color="auto"/>
      </w:divBdr>
    </w:div>
    <w:div w:id="265384981">
      <w:bodyDiv w:val="1"/>
      <w:marLeft w:val="0"/>
      <w:marRight w:val="0"/>
      <w:marTop w:val="0"/>
      <w:marBottom w:val="0"/>
      <w:divBdr>
        <w:top w:val="none" w:sz="0" w:space="0" w:color="auto"/>
        <w:left w:val="none" w:sz="0" w:space="0" w:color="auto"/>
        <w:bottom w:val="none" w:sz="0" w:space="0" w:color="auto"/>
        <w:right w:val="none" w:sz="0" w:space="0" w:color="auto"/>
      </w:divBdr>
    </w:div>
    <w:div w:id="268509253">
      <w:bodyDiv w:val="1"/>
      <w:marLeft w:val="0"/>
      <w:marRight w:val="0"/>
      <w:marTop w:val="0"/>
      <w:marBottom w:val="0"/>
      <w:divBdr>
        <w:top w:val="none" w:sz="0" w:space="0" w:color="auto"/>
        <w:left w:val="none" w:sz="0" w:space="0" w:color="auto"/>
        <w:bottom w:val="none" w:sz="0" w:space="0" w:color="auto"/>
        <w:right w:val="none" w:sz="0" w:space="0" w:color="auto"/>
      </w:divBdr>
    </w:div>
    <w:div w:id="279073480">
      <w:bodyDiv w:val="1"/>
      <w:marLeft w:val="0"/>
      <w:marRight w:val="0"/>
      <w:marTop w:val="0"/>
      <w:marBottom w:val="0"/>
      <w:divBdr>
        <w:top w:val="none" w:sz="0" w:space="0" w:color="auto"/>
        <w:left w:val="none" w:sz="0" w:space="0" w:color="auto"/>
        <w:bottom w:val="none" w:sz="0" w:space="0" w:color="auto"/>
        <w:right w:val="none" w:sz="0" w:space="0" w:color="auto"/>
      </w:divBdr>
    </w:div>
    <w:div w:id="292322749">
      <w:bodyDiv w:val="1"/>
      <w:marLeft w:val="0"/>
      <w:marRight w:val="0"/>
      <w:marTop w:val="0"/>
      <w:marBottom w:val="0"/>
      <w:divBdr>
        <w:top w:val="none" w:sz="0" w:space="0" w:color="auto"/>
        <w:left w:val="none" w:sz="0" w:space="0" w:color="auto"/>
        <w:bottom w:val="none" w:sz="0" w:space="0" w:color="auto"/>
        <w:right w:val="none" w:sz="0" w:space="0" w:color="auto"/>
      </w:divBdr>
    </w:div>
    <w:div w:id="298534269">
      <w:bodyDiv w:val="1"/>
      <w:marLeft w:val="0"/>
      <w:marRight w:val="0"/>
      <w:marTop w:val="0"/>
      <w:marBottom w:val="0"/>
      <w:divBdr>
        <w:top w:val="none" w:sz="0" w:space="0" w:color="auto"/>
        <w:left w:val="none" w:sz="0" w:space="0" w:color="auto"/>
        <w:bottom w:val="none" w:sz="0" w:space="0" w:color="auto"/>
        <w:right w:val="none" w:sz="0" w:space="0" w:color="auto"/>
      </w:divBdr>
    </w:div>
    <w:div w:id="300842977">
      <w:bodyDiv w:val="1"/>
      <w:marLeft w:val="0"/>
      <w:marRight w:val="0"/>
      <w:marTop w:val="0"/>
      <w:marBottom w:val="0"/>
      <w:divBdr>
        <w:top w:val="none" w:sz="0" w:space="0" w:color="auto"/>
        <w:left w:val="none" w:sz="0" w:space="0" w:color="auto"/>
        <w:bottom w:val="none" w:sz="0" w:space="0" w:color="auto"/>
        <w:right w:val="none" w:sz="0" w:space="0" w:color="auto"/>
      </w:divBdr>
    </w:div>
    <w:div w:id="309213369">
      <w:bodyDiv w:val="1"/>
      <w:marLeft w:val="0"/>
      <w:marRight w:val="0"/>
      <w:marTop w:val="0"/>
      <w:marBottom w:val="0"/>
      <w:divBdr>
        <w:top w:val="none" w:sz="0" w:space="0" w:color="auto"/>
        <w:left w:val="none" w:sz="0" w:space="0" w:color="auto"/>
        <w:bottom w:val="none" w:sz="0" w:space="0" w:color="auto"/>
        <w:right w:val="none" w:sz="0" w:space="0" w:color="auto"/>
      </w:divBdr>
    </w:div>
    <w:div w:id="319500734">
      <w:bodyDiv w:val="1"/>
      <w:marLeft w:val="0"/>
      <w:marRight w:val="0"/>
      <w:marTop w:val="0"/>
      <w:marBottom w:val="0"/>
      <w:divBdr>
        <w:top w:val="none" w:sz="0" w:space="0" w:color="auto"/>
        <w:left w:val="none" w:sz="0" w:space="0" w:color="auto"/>
        <w:bottom w:val="none" w:sz="0" w:space="0" w:color="auto"/>
        <w:right w:val="none" w:sz="0" w:space="0" w:color="auto"/>
      </w:divBdr>
    </w:div>
    <w:div w:id="320618274">
      <w:bodyDiv w:val="1"/>
      <w:marLeft w:val="0"/>
      <w:marRight w:val="0"/>
      <w:marTop w:val="0"/>
      <w:marBottom w:val="0"/>
      <w:divBdr>
        <w:top w:val="none" w:sz="0" w:space="0" w:color="auto"/>
        <w:left w:val="none" w:sz="0" w:space="0" w:color="auto"/>
        <w:bottom w:val="none" w:sz="0" w:space="0" w:color="auto"/>
        <w:right w:val="none" w:sz="0" w:space="0" w:color="auto"/>
      </w:divBdr>
    </w:div>
    <w:div w:id="322658465">
      <w:bodyDiv w:val="1"/>
      <w:marLeft w:val="0"/>
      <w:marRight w:val="0"/>
      <w:marTop w:val="0"/>
      <w:marBottom w:val="0"/>
      <w:divBdr>
        <w:top w:val="none" w:sz="0" w:space="0" w:color="auto"/>
        <w:left w:val="none" w:sz="0" w:space="0" w:color="auto"/>
        <w:bottom w:val="none" w:sz="0" w:space="0" w:color="auto"/>
        <w:right w:val="none" w:sz="0" w:space="0" w:color="auto"/>
      </w:divBdr>
    </w:div>
    <w:div w:id="326133371">
      <w:bodyDiv w:val="1"/>
      <w:marLeft w:val="0"/>
      <w:marRight w:val="0"/>
      <w:marTop w:val="0"/>
      <w:marBottom w:val="0"/>
      <w:divBdr>
        <w:top w:val="none" w:sz="0" w:space="0" w:color="auto"/>
        <w:left w:val="none" w:sz="0" w:space="0" w:color="auto"/>
        <w:bottom w:val="none" w:sz="0" w:space="0" w:color="auto"/>
        <w:right w:val="none" w:sz="0" w:space="0" w:color="auto"/>
      </w:divBdr>
    </w:div>
    <w:div w:id="328363122">
      <w:bodyDiv w:val="1"/>
      <w:marLeft w:val="0"/>
      <w:marRight w:val="0"/>
      <w:marTop w:val="0"/>
      <w:marBottom w:val="0"/>
      <w:divBdr>
        <w:top w:val="none" w:sz="0" w:space="0" w:color="auto"/>
        <w:left w:val="none" w:sz="0" w:space="0" w:color="auto"/>
        <w:bottom w:val="none" w:sz="0" w:space="0" w:color="auto"/>
        <w:right w:val="none" w:sz="0" w:space="0" w:color="auto"/>
      </w:divBdr>
    </w:div>
    <w:div w:id="330958998">
      <w:bodyDiv w:val="1"/>
      <w:marLeft w:val="0"/>
      <w:marRight w:val="0"/>
      <w:marTop w:val="0"/>
      <w:marBottom w:val="0"/>
      <w:divBdr>
        <w:top w:val="none" w:sz="0" w:space="0" w:color="auto"/>
        <w:left w:val="none" w:sz="0" w:space="0" w:color="auto"/>
        <w:bottom w:val="none" w:sz="0" w:space="0" w:color="auto"/>
        <w:right w:val="none" w:sz="0" w:space="0" w:color="auto"/>
      </w:divBdr>
    </w:div>
    <w:div w:id="342510628">
      <w:bodyDiv w:val="1"/>
      <w:marLeft w:val="0"/>
      <w:marRight w:val="0"/>
      <w:marTop w:val="0"/>
      <w:marBottom w:val="0"/>
      <w:divBdr>
        <w:top w:val="none" w:sz="0" w:space="0" w:color="auto"/>
        <w:left w:val="none" w:sz="0" w:space="0" w:color="auto"/>
        <w:bottom w:val="none" w:sz="0" w:space="0" w:color="auto"/>
        <w:right w:val="none" w:sz="0" w:space="0" w:color="auto"/>
      </w:divBdr>
    </w:div>
    <w:div w:id="343436152">
      <w:bodyDiv w:val="1"/>
      <w:marLeft w:val="0"/>
      <w:marRight w:val="0"/>
      <w:marTop w:val="0"/>
      <w:marBottom w:val="0"/>
      <w:divBdr>
        <w:top w:val="none" w:sz="0" w:space="0" w:color="auto"/>
        <w:left w:val="none" w:sz="0" w:space="0" w:color="auto"/>
        <w:bottom w:val="none" w:sz="0" w:space="0" w:color="auto"/>
        <w:right w:val="none" w:sz="0" w:space="0" w:color="auto"/>
      </w:divBdr>
    </w:div>
    <w:div w:id="356319434">
      <w:bodyDiv w:val="1"/>
      <w:marLeft w:val="0"/>
      <w:marRight w:val="0"/>
      <w:marTop w:val="0"/>
      <w:marBottom w:val="0"/>
      <w:divBdr>
        <w:top w:val="none" w:sz="0" w:space="0" w:color="auto"/>
        <w:left w:val="none" w:sz="0" w:space="0" w:color="auto"/>
        <w:bottom w:val="none" w:sz="0" w:space="0" w:color="auto"/>
        <w:right w:val="none" w:sz="0" w:space="0" w:color="auto"/>
      </w:divBdr>
    </w:div>
    <w:div w:id="361630785">
      <w:bodyDiv w:val="1"/>
      <w:marLeft w:val="0"/>
      <w:marRight w:val="0"/>
      <w:marTop w:val="0"/>
      <w:marBottom w:val="0"/>
      <w:divBdr>
        <w:top w:val="none" w:sz="0" w:space="0" w:color="auto"/>
        <w:left w:val="none" w:sz="0" w:space="0" w:color="auto"/>
        <w:bottom w:val="none" w:sz="0" w:space="0" w:color="auto"/>
        <w:right w:val="none" w:sz="0" w:space="0" w:color="auto"/>
      </w:divBdr>
    </w:div>
    <w:div w:id="363945245">
      <w:bodyDiv w:val="1"/>
      <w:marLeft w:val="0"/>
      <w:marRight w:val="0"/>
      <w:marTop w:val="0"/>
      <w:marBottom w:val="0"/>
      <w:divBdr>
        <w:top w:val="none" w:sz="0" w:space="0" w:color="auto"/>
        <w:left w:val="none" w:sz="0" w:space="0" w:color="auto"/>
        <w:bottom w:val="none" w:sz="0" w:space="0" w:color="auto"/>
        <w:right w:val="none" w:sz="0" w:space="0" w:color="auto"/>
      </w:divBdr>
    </w:div>
    <w:div w:id="367337957">
      <w:bodyDiv w:val="1"/>
      <w:marLeft w:val="0"/>
      <w:marRight w:val="0"/>
      <w:marTop w:val="0"/>
      <w:marBottom w:val="0"/>
      <w:divBdr>
        <w:top w:val="none" w:sz="0" w:space="0" w:color="auto"/>
        <w:left w:val="none" w:sz="0" w:space="0" w:color="auto"/>
        <w:bottom w:val="none" w:sz="0" w:space="0" w:color="auto"/>
        <w:right w:val="none" w:sz="0" w:space="0" w:color="auto"/>
      </w:divBdr>
    </w:div>
    <w:div w:id="369652618">
      <w:bodyDiv w:val="1"/>
      <w:marLeft w:val="0"/>
      <w:marRight w:val="0"/>
      <w:marTop w:val="0"/>
      <w:marBottom w:val="0"/>
      <w:divBdr>
        <w:top w:val="none" w:sz="0" w:space="0" w:color="auto"/>
        <w:left w:val="none" w:sz="0" w:space="0" w:color="auto"/>
        <w:bottom w:val="none" w:sz="0" w:space="0" w:color="auto"/>
        <w:right w:val="none" w:sz="0" w:space="0" w:color="auto"/>
      </w:divBdr>
    </w:div>
    <w:div w:id="372850210">
      <w:bodyDiv w:val="1"/>
      <w:marLeft w:val="0"/>
      <w:marRight w:val="0"/>
      <w:marTop w:val="0"/>
      <w:marBottom w:val="0"/>
      <w:divBdr>
        <w:top w:val="none" w:sz="0" w:space="0" w:color="auto"/>
        <w:left w:val="none" w:sz="0" w:space="0" w:color="auto"/>
        <w:bottom w:val="none" w:sz="0" w:space="0" w:color="auto"/>
        <w:right w:val="none" w:sz="0" w:space="0" w:color="auto"/>
      </w:divBdr>
    </w:div>
    <w:div w:id="380323068">
      <w:bodyDiv w:val="1"/>
      <w:marLeft w:val="0"/>
      <w:marRight w:val="0"/>
      <w:marTop w:val="0"/>
      <w:marBottom w:val="0"/>
      <w:divBdr>
        <w:top w:val="none" w:sz="0" w:space="0" w:color="auto"/>
        <w:left w:val="none" w:sz="0" w:space="0" w:color="auto"/>
        <w:bottom w:val="none" w:sz="0" w:space="0" w:color="auto"/>
        <w:right w:val="none" w:sz="0" w:space="0" w:color="auto"/>
      </w:divBdr>
    </w:div>
    <w:div w:id="380711736">
      <w:bodyDiv w:val="1"/>
      <w:marLeft w:val="0"/>
      <w:marRight w:val="0"/>
      <w:marTop w:val="0"/>
      <w:marBottom w:val="0"/>
      <w:divBdr>
        <w:top w:val="none" w:sz="0" w:space="0" w:color="auto"/>
        <w:left w:val="none" w:sz="0" w:space="0" w:color="auto"/>
        <w:bottom w:val="none" w:sz="0" w:space="0" w:color="auto"/>
        <w:right w:val="none" w:sz="0" w:space="0" w:color="auto"/>
      </w:divBdr>
    </w:div>
    <w:div w:id="388577704">
      <w:bodyDiv w:val="1"/>
      <w:marLeft w:val="0"/>
      <w:marRight w:val="0"/>
      <w:marTop w:val="0"/>
      <w:marBottom w:val="0"/>
      <w:divBdr>
        <w:top w:val="none" w:sz="0" w:space="0" w:color="auto"/>
        <w:left w:val="none" w:sz="0" w:space="0" w:color="auto"/>
        <w:bottom w:val="none" w:sz="0" w:space="0" w:color="auto"/>
        <w:right w:val="none" w:sz="0" w:space="0" w:color="auto"/>
      </w:divBdr>
    </w:div>
    <w:div w:id="390544199">
      <w:bodyDiv w:val="1"/>
      <w:marLeft w:val="0"/>
      <w:marRight w:val="0"/>
      <w:marTop w:val="0"/>
      <w:marBottom w:val="0"/>
      <w:divBdr>
        <w:top w:val="none" w:sz="0" w:space="0" w:color="auto"/>
        <w:left w:val="none" w:sz="0" w:space="0" w:color="auto"/>
        <w:bottom w:val="none" w:sz="0" w:space="0" w:color="auto"/>
        <w:right w:val="none" w:sz="0" w:space="0" w:color="auto"/>
      </w:divBdr>
    </w:div>
    <w:div w:id="393890643">
      <w:bodyDiv w:val="1"/>
      <w:marLeft w:val="0"/>
      <w:marRight w:val="0"/>
      <w:marTop w:val="0"/>
      <w:marBottom w:val="0"/>
      <w:divBdr>
        <w:top w:val="none" w:sz="0" w:space="0" w:color="auto"/>
        <w:left w:val="none" w:sz="0" w:space="0" w:color="auto"/>
        <w:bottom w:val="none" w:sz="0" w:space="0" w:color="auto"/>
        <w:right w:val="none" w:sz="0" w:space="0" w:color="auto"/>
      </w:divBdr>
    </w:div>
    <w:div w:id="395665292">
      <w:bodyDiv w:val="1"/>
      <w:marLeft w:val="0"/>
      <w:marRight w:val="0"/>
      <w:marTop w:val="0"/>
      <w:marBottom w:val="0"/>
      <w:divBdr>
        <w:top w:val="none" w:sz="0" w:space="0" w:color="auto"/>
        <w:left w:val="none" w:sz="0" w:space="0" w:color="auto"/>
        <w:bottom w:val="none" w:sz="0" w:space="0" w:color="auto"/>
        <w:right w:val="none" w:sz="0" w:space="0" w:color="auto"/>
      </w:divBdr>
    </w:div>
    <w:div w:id="396169274">
      <w:bodyDiv w:val="1"/>
      <w:marLeft w:val="0"/>
      <w:marRight w:val="0"/>
      <w:marTop w:val="0"/>
      <w:marBottom w:val="0"/>
      <w:divBdr>
        <w:top w:val="none" w:sz="0" w:space="0" w:color="auto"/>
        <w:left w:val="none" w:sz="0" w:space="0" w:color="auto"/>
        <w:bottom w:val="none" w:sz="0" w:space="0" w:color="auto"/>
        <w:right w:val="none" w:sz="0" w:space="0" w:color="auto"/>
      </w:divBdr>
    </w:div>
    <w:div w:id="398747886">
      <w:bodyDiv w:val="1"/>
      <w:marLeft w:val="0"/>
      <w:marRight w:val="0"/>
      <w:marTop w:val="0"/>
      <w:marBottom w:val="0"/>
      <w:divBdr>
        <w:top w:val="none" w:sz="0" w:space="0" w:color="auto"/>
        <w:left w:val="none" w:sz="0" w:space="0" w:color="auto"/>
        <w:bottom w:val="none" w:sz="0" w:space="0" w:color="auto"/>
        <w:right w:val="none" w:sz="0" w:space="0" w:color="auto"/>
      </w:divBdr>
    </w:div>
    <w:div w:id="403917778">
      <w:bodyDiv w:val="1"/>
      <w:marLeft w:val="0"/>
      <w:marRight w:val="0"/>
      <w:marTop w:val="0"/>
      <w:marBottom w:val="0"/>
      <w:divBdr>
        <w:top w:val="none" w:sz="0" w:space="0" w:color="auto"/>
        <w:left w:val="none" w:sz="0" w:space="0" w:color="auto"/>
        <w:bottom w:val="none" w:sz="0" w:space="0" w:color="auto"/>
        <w:right w:val="none" w:sz="0" w:space="0" w:color="auto"/>
      </w:divBdr>
    </w:div>
    <w:div w:id="408964128">
      <w:bodyDiv w:val="1"/>
      <w:marLeft w:val="0"/>
      <w:marRight w:val="0"/>
      <w:marTop w:val="0"/>
      <w:marBottom w:val="0"/>
      <w:divBdr>
        <w:top w:val="none" w:sz="0" w:space="0" w:color="auto"/>
        <w:left w:val="none" w:sz="0" w:space="0" w:color="auto"/>
        <w:bottom w:val="none" w:sz="0" w:space="0" w:color="auto"/>
        <w:right w:val="none" w:sz="0" w:space="0" w:color="auto"/>
      </w:divBdr>
    </w:div>
    <w:div w:id="413433395">
      <w:bodyDiv w:val="1"/>
      <w:marLeft w:val="0"/>
      <w:marRight w:val="0"/>
      <w:marTop w:val="0"/>
      <w:marBottom w:val="0"/>
      <w:divBdr>
        <w:top w:val="none" w:sz="0" w:space="0" w:color="auto"/>
        <w:left w:val="none" w:sz="0" w:space="0" w:color="auto"/>
        <w:bottom w:val="none" w:sz="0" w:space="0" w:color="auto"/>
        <w:right w:val="none" w:sz="0" w:space="0" w:color="auto"/>
      </w:divBdr>
    </w:div>
    <w:div w:id="425157637">
      <w:bodyDiv w:val="1"/>
      <w:marLeft w:val="0"/>
      <w:marRight w:val="0"/>
      <w:marTop w:val="0"/>
      <w:marBottom w:val="0"/>
      <w:divBdr>
        <w:top w:val="none" w:sz="0" w:space="0" w:color="auto"/>
        <w:left w:val="none" w:sz="0" w:space="0" w:color="auto"/>
        <w:bottom w:val="none" w:sz="0" w:space="0" w:color="auto"/>
        <w:right w:val="none" w:sz="0" w:space="0" w:color="auto"/>
      </w:divBdr>
    </w:div>
    <w:div w:id="425267114">
      <w:bodyDiv w:val="1"/>
      <w:marLeft w:val="0"/>
      <w:marRight w:val="0"/>
      <w:marTop w:val="0"/>
      <w:marBottom w:val="0"/>
      <w:divBdr>
        <w:top w:val="none" w:sz="0" w:space="0" w:color="auto"/>
        <w:left w:val="none" w:sz="0" w:space="0" w:color="auto"/>
        <w:bottom w:val="none" w:sz="0" w:space="0" w:color="auto"/>
        <w:right w:val="none" w:sz="0" w:space="0" w:color="auto"/>
      </w:divBdr>
    </w:div>
    <w:div w:id="426342693">
      <w:bodyDiv w:val="1"/>
      <w:marLeft w:val="0"/>
      <w:marRight w:val="0"/>
      <w:marTop w:val="0"/>
      <w:marBottom w:val="0"/>
      <w:divBdr>
        <w:top w:val="none" w:sz="0" w:space="0" w:color="auto"/>
        <w:left w:val="none" w:sz="0" w:space="0" w:color="auto"/>
        <w:bottom w:val="none" w:sz="0" w:space="0" w:color="auto"/>
        <w:right w:val="none" w:sz="0" w:space="0" w:color="auto"/>
      </w:divBdr>
    </w:div>
    <w:div w:id="434910313">
      <w:bodyDiv w:val="1"/>
      <w:marLeft w:val="0"/>
      <w:marRight w:val="0"/>
      <w:marTop w:val="0"/>
      <w:marBottom w:val="0"/>
      <w:divBdr>
        <w:top w:val="none" w:sz="0" w:space="0" w:color="auto"/>
        <w:left w:val="none" w:sz="0" w:space="0" w:color="auto"/>
        <w:bottom w:val="none" w:sz="0" w:space="0" w:color="auto"/>
        <w:right w:val="none" w:sz="0" w:space="0" w:color="auto"/>
      </w:divBdr>
    </w:div>
    <w:div w:id="441345716">
      <w:bodyDiv w:val="1"/>
      <w:marLeft w:val="0"/>
      <w:marRight w:val="0"/>
      <w:marTop w:val="0"/>
      <w:marBottom w:val="0"/>
      <w:divBdr>
        <w:top w:val="none" w:sz="0" w:space="0" w:color="auto"/>
        <w:left w:val="none" w:sz="0" w:space="0" w:color="auto"/>
        <w:bottom w:val="none" w:sz="0" w:space="0" w:color="auto"/>
        <w:right w:val="none" w:sz="0" w:space="0" w:color="auto"/>
      </w:divBdr>
    </w:div>
    <w:div w:id="445395733">
      <w:bodyDiv w:val="1"/>
      <w:marLeft w:val="0"/>
      <w:marRight w:val="0"/>
      <w:marTop w:val="0"/>
      <w:marBottom w:val="0"/>
      <w:divBdr>
        <w:top w:val="none" w:sz="0" w:space="0" w:color="auto"/>
        <w:left w:val="none" w:sz="0" w:space="0" w:color="auto"/>
        <w:bottom w:val="none" w:sz="0" w:space="0" w:color="auto"/>
        <w:right w:val="none" w:sz="0" w:space="0" w:color="auto"/>
      </w:divBdr>
    </w:div>
    <w:div w:id="452408745">
      <w:bodyDiv w:val="1"/>
      <w:marLeft w:val="0"/>
      <w:marRight w:val="0"/>
      <w:marTop w:val="0"/>
      <w:marBottom w:val="0"/>
      <w:divBdr>
        <w:top w:val="none" w:sz="0" w:space="0" w:color="auto"/>
        <w:left w:val="none" w:sz="0" w:space="0" w:color="auto"/>
        <w:bottom w:val="none" w:sz="0" w:space="0" w:color="auto"/>
        <w:right w:val="none" w:sz="0" w:space="0" w:color="auto"/>
      </w:divBdr>
    </w:div>
    <w:div w:id="453140647">
      <w:bodyDiv w:val="1"/>
      <w:marLeft w:val="0"/>
      <w:marRight w:val="0"/>
      <w:marTop w:val="0"/>
      <w:marBottom w:val="0"/>
      <w:divBdr>
        <w:top w:val="none" w:sz="0" w:space="0" w:color="auto"/>
        <w:left w:val="none" w:sz="0" w:space="0" w:color="auto"/>
        <w:bottom w:val="none" w:sz="0" w:space="0" w:color="auto"/>
        <w:right w:val="none" w:sz="0" w:space="0" w:color="auto"/>
      </w:divBdr>
    </w:div>
    <w:div w:id="454300222">
      <w:bodyDiv w:val="1"/>
      <w:marLeft w:val="0"/>
      <w:marRight w:val="0"/>
      <w:marTop w:val="0"/>
      <w:marBottom w:val="0"/>
      <w:divBdr>
        <w:top w:val="none" w:sz="0" w:space="0" w:color="auto"/>
        <w:left w:val="none" w:sz="0" w:space="0" w:color="auto"/>
        <w:bottom w:val="none" w:sz="0" w:space="0" w:color="auto"/>
        <w:right w:val="none" w:sz="0" w:space="0" w:color="auto"/>
      </w:divBdr>
    </w:div>
    <w:div w:id="454523145">
      <w:bodyDiv w:val="1"/>
      <w:marLeft w:val="0"/>
      <w:marRight w:val="0"/>
      <w:marTop w:val="0"/>
      <w:marBottom w:val="0"/>
      <w:divBdr>
        <w:top w:val="none" w:sz="0" w:space="0" w:color="auto"/>
        <w:left w:val="none" w:sz="0" w:space="0" w:color="auto"/>
        <w:bottom w:val="none" w:sz="0" w:space="0" w:color="auto"/>
        <w:right w:val="none" w:sz="0" w:space="0" w:color="auto"/>
      </w:divBdr>
    </w:div>
    <w:div w:id="455609364">
      <w:bodyDiv w:val="1"/>
      <w:marLeft w:val="0"/>
      <w:marRight w:val="0"/>
      <w:marTop w:val="0"/>
      <w:marBottom w:val="0"/>
      <w:divBdr>
        <w:top w:val="none" w:sz="0" w:space="0" w:color="auto"/>
        <w:left w:val="none" w:sz="0" w:space="0" w:color="auto"/>
        <w:bottom w:val="none" w:sz="0" w:space="0" w:color="auto"/>
        <w:right w:val="none" w:sz="0" w:space="0" w:color="auto"/>
      </w:divBdr>
    </w:div>
    <w:div w:id="456222343">
      <w:bodyDiv w:val="1"/>
      <w:marLeft w:val="0"/>
      <w:marRight w:val="0"/>
      <w:marTop w:val="0"/>
      <w:marBottom w:val="0"/>
      <w:divBdr>
        <w:top w:val="none" w:sz="0" w:space="0" w:color="auto"/>
        <w:left w:val="none" w:sz="0" w:space="0" w:color="auto"/>
        <w:bottom w:val="none" w:sz="0" w:space="0" w:color="auto"/>
        <w:right w:val="none" w:sz="0" w:space="0" w:color="auto"/>
      </w:divBdr>
    </w:div>
    <w:div w:id="466246141">
      <w:bodyDiv w:val="1"/>
      <w:marLeft w:val="0"/>
      <w:marRight w:val="0"/>
      <w:marTop w:val="0"/>
      <w:marBottom w:val="0"/>
      <w:divBdr>
        <w:top w:val="none" w:sz="0" w:space="0" w:color="auto"/>
        <w:left w:val="none" w:sz="0" w:space="0" w:color="auto"/>
        <w:bottom w:val="none" w:sz="0" w:space="0" w:color="auto"/>
        <w:right w:val="none" w:sz="0" w:space="0" w:color="auto"/>
      </w:divBdr>
    </w:div>
    <w:div w:id="482818712">
      <w:bodyDiv w:val="1"/>
      <w:marLeft w:val="0"/>
      <w:marRight w:val="0"/>
      <w:marTop w:val="0"/>
      <w:marBottom w:val="0"/>
      <w:divBdr>
        <w:top w:val="none" w:sz="0" w:space="0" w:color="auto"/>
        <w:left w:val="none" w:sz="0" w:space="0" w:color="auto"/>
        <w:bottom w:val="none" w:sz="0" w:space="0" w:color="auto"/>
        <w:right w:val="none" w:sz="0" w:space="0" w:color="auto"/>
      </w:divBdr>
    </w:div>
    <w:div w:id="484126460">
      <w:bodyDiv w:val="1"/>
      <w:marLeft w:val="0"/>
      <w:marRight w:val="0"/>
      <w:marTop w:val="0"/>
      <w:marBottom w:val="0"/>
      <w:divBdr>
        <w:top w:val="none" w:sz="0" w:space="0" w:color="auto"/>
        <w:left w:val="none" w:sz="0" w:space="0" w:color="auto"/>
        <w:bottom w:val="none" w:sz="0" w:space="0" w:color="auto"/>
        <w:right w:val="none" w:sz="0" w:space="0" w:color="auto"/>
      </w:divBdr>
    </w:div>
    <w:div w:id="499659045">
      <w:bodyDiv w:val="1"/>
      <w:marLeft w:val="0"/>
      <w:marRight w:val="0"/>
      <w:marTop w:val="0"/>
      <w:marBottom w:val="0"/>
      <w:divBdr>
        <w:top w:val="none" w:sz="0" w:space="0" w:color="auto"/>
        <w:left w:val="none" w:sz="0" w:space="0" w:color="auto"/>
        <w:bottom w:val="none" w:sz="0" w:space="0" w:color="auto"/>
        <w:right w:val="none" w:sz="0" w:space="0" w:color="auto"/>
      </w:divBdr>
    </w:div>
    <w:div w:id="506166533">
      <w:bodyDiv w:val="1"/>
      <w:marLeft w:val="0"/>
      <w:marRight w:val="0"/>
      <w:marTop w:val="0"/>
      <w:marBottom w:val="0"/>
      <w:divBdr>
        <w:top w:val="none" w:sz="0" w:space="0" w:color="auto"/>
        <w:left w:val="none" w:sz="0" w:space="0" w:color="auto"/>
        <w:bottom w:val="none" w:sz="0" w:space="0" w:color="auto"/>
        <w:right w:val="none" w:sz="0" w:space="0" w:color="auto"/>
      </w:divBdr>
    </w:div>
    <w:div w:id="515460964">
      <w:bodyDiv w:val="1"/>
      <w:marLeft w:val="0"/>
      <w:marRight w:val="0"/>
      <w:marTop w:val="0"/>
      <w:marBottom w:val="0"/>
      <w:divBdr>
        <w:top w:val="none" w:sz="0" w:space="0" w:color="auto"/>
        <w:left w:val="none" w:sz="0" w:space="0" w:color="auto"/>
        <w:bottom w:val="none" w:sz="0" w:space="0" w:color="auto"/>
        <w:right w:val="none" w:sz="0" w:space="0" w:color="auto"/>
      </w:divBdr>
    </w:div>
    <w:div w:id="518348986">
      <w:bodyDiv w:val="1"/>
      <w:marLeft w:val="0"/>
      <w:marRight w:val="0"/>
      <w:marTop w:val="0"/>
      <w:marBottom w:val="0"/>
      <w:divBdr>
        <w:top w:val="none" w:sz="0" w:space="0" w:color="auto"/>
        <w:left w:val="none" w:sz="0" w:space="0" w:color="auto"/>
        <w:bottom w:val="none" w:sz="0" w:space="0" w:color="auto"/>
        <w:right w:val="none" w:sz="0" w:space="0" w:color="auto"/>
      </w:divBdr>
    </w:div>
    <w:div w:id="519583463">
      <w:bodyDiv w:val="1"/>
      <w:marLeft w:val="0"/>
      <w:marRight w:val="0"/>
      <w:marTop w:val="0"/>
      <w:marBottom w:val="0"/>
      <w:divBdr>
        <w:top w:val="none" w:sz="0" w:space="0" w:color="auto"/>
        <w:left w:val="none" w:sz="0" w:space="0" w:color="auto"/>
        <w:bottom w:val="none" w:sz="0" w:space="0" w:color="auto"/>
        <w:right w:val="none" w:sz="0" w:space="0" w:color="auto"/>
      </w:divBdr>
    </w:div>
    <w:div w:id="525020402">
      <w:bodyDiv w:val="1"/>
      <w:marLeft w:val="0"/>
      <w:marRight w:val="0"/>
      <w:marTop w:val="0"/>
      <w:marBottom w:val="0"/>
      <w:divBdr>
        <w:top w:val="none" w:sz="0" w:space="0" w:color="auto"/>
        <w:left w:val="none" w:sz="0" w:space="0" w:color="auto"/>
        <w:bottom w:val="none" w:sz="0" w:space="0" w:color="auto"/>
        <w:right w:val="none" w:sz="0" w:space="0" w:color="auto"/>
      </w:divBdr>
      <w:divsChild>
        <w:div w:id="36592946">
          <w:marLeft w:val="0"/>
          <w:marRight w:val="0"/>
          <w:marTop w:val="0"/>
          <w:marBottom w:val="0"/>
          <w:divBdr>
            <w:top w:val="none" w:sz="0" w:space="0" w:color="auto"/>
            <w:left w:val="none" w:sz="0" w:space="0" w:color="auto"/>
            <w:bottom w:val="none" w:sz="0" w:space="0" w:color="auto"/>
            <w:right w:val="none" w:sz="0" w:space="0" w:color="auto"/>
          </w:divBdr>
          <w:divsChild>
            <w:div w:id="14987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6248">
      <w:bodyDiv w:val="1"/>
      <w:marLeft w:val="0"/>
      <w:marRight w:val="0"/>
      <w:marTop w:val="0"/>
      <w:marBottom w:val="0"/>
      <w:divBdr>
        <w:top w:val="none" w:sz="0" w:space="0" w:color="auto"/>
        <w:left w:val="none" w:sz="0" w:space="0" w:color="auto"/>
        <w:bottom w:val="none" w:sz="0" w:space="0" w:color="auto"/>
        <w:right w:val="none" w:sz="0" w:space="0" w:color="auto"/>
      </w:divBdr>
    </w:div>
    <w:div w:id="532959994">
      <w:bodyDiv w:val="1"/>
      <w:marLeft w:val="0"/>
      <w:marRight w:val="0"/>
      <w:marTop w:val="0"/>
      <w:marBottom w:val="0"/>
      <w:divBdr>
        <w:top w:val="none" w:sz="0" w:space="0" w:color="auto"/>
        <w:left w:val="none" w:sz="0" w:space="0" w:color="auto"/>
        <w:bottom w:val="none" w:sz="0" w:space="0" w:color="auto"/>
        <w:right w:val="none" w:sz="0" w:space="0" w:color="auto"/>
      </w:divBdr>
    </w:div>
    <w:div w:id="536549885">
      <w:bodyDiv w:val="1"/>
      <w:marLeft w:val="0"/>
      <w:marRight w:val="0"/>
      <w:marTop w:val="0"/>
      <w:marBottom w:val="0"/>
      <w:divBdr>
        <w:top w:val="none" w:sz="0" w:space="0" w:color="auto"/>
        <w:left w:val="none" w:sz="0" w:space="0" w:color="auto"/>
        <w:bottom w:val="none" w:sz="0" w:space="0" w:color="auto"/>
        <w:right w:val="none" w:sz="0" w:space="0" w:color="auto"/>
      </w:divBdr>
    </w:div>
    <w:div w:id="540752871">
      <w:bodyDiv w:val="1"/>
      <w:marLeft w:val="0"/>
      <w:marRight w:val="0"/>
      <w:marTop w:val="0"/>
      <w:marBottom w:val="0"/>
      <w:divBdr>
        <w:top w:val="none" w:sz="0" w:space="0" w:color="auto"/>
        <w:left w:val="none" w:sz="0" w:space="0" w:color="auto"/>
        <w:bottom w:val="none" w:sz="0" w:space="0" w:color="auto"/>
        <w:right w:val="none" w:sz="0" w:space="0" w:color="auto"/>
      </w:divBdr>
    </w:div>
    <w:div w:id="545143322">
      <w:bodyDiv w:val="1"/>
      <w:marLeft w:val="0"/>
      <w:marRight w:val="0"/>
      <w:marTop w:val="0"/>
      <w:marBottom w:val="0"/>
      <w:divBdr>
        <w:top w:val="none" w:sz="0" w:space="0" w:color="auto"/>
        <w:left w:val="none" w:sz="0" w:space="0" w:color="auto"/>
        <w:bottom w:val="none" w:sz="0" w:space="0" w:color="auto"/>
        <w:right w:val="none" w:sz="0" w:space="0" w:color="auto"/>
      </w:divBdr>
    </w:div>
    <w:div w:id="547110195">
      <w:bodyDiv w:val="1"/>
      <w:marLeft w:val="0"/>
      <w:marRight w:val="0"/>
      <w:marTop w:val="0"/>
      <w:marBottom w:val="0"/>
      <w:divBdr>
        <w:top w:val="none" w:sz="0" w:space="0" w:color="auto"/>
        <w:left w:val="none" w:sz="0" w:space="0" w:color="auto"/>
        <w:bottom w:val="none" w:sz="0" w:space="0" w:color="auto"/>
        <w:right w:val="none" w:sz="0" w:space="0" w:color="auto"/>
      </w:divBdr>
    </w:div>
    <w:div w:id="553009701">
      <w:bodyDiv w:val="1"/>
      <w:marLeft w:val="0"/>
      <w:marRight w:val="0"/>
      <w:marTop w:val="0"/>
      <w:marBottom w:val="0"/>
      <w:divBdr>
        <w:top w:val="none" w:sz="0" w:space="0" w:color="auto"/>
        <w:left w:val="none" w:sz="0" w:space="0" w:color="auto"/>
        <w:bottom w:val="none" w:sz="0" w:space="0" w:color="auto"/>
        <w:right w:val="none" w:sz="0" w:space="0" w:color="auto"/>
      </w:divBdr>
    </w:div>
    <w:div w:id="564998436">
      <w:bodyDiv w:val="1"/>
      <w:marLeft w:val="0"/>
      <w:marRight w:val="0"/>
      <w:marTop w:val="0"/>
      <w:marBottom w:val="0"/>
      <w:divBdr>
        <w:top w:val="none" w:sz="0" w:space="0" w:color="auto"/>
        <w:left w:val="none" w:sz="0" w:space="0" w:color="auto"/>
        <w:bottom w:val="none" w:sz="0" w:space="0" w:color="auto"/>
        <w:right w:val="none" w:sz="0" w:space="0" w:color="auto"/>
      </w:divBdr>
    </w:div>
    <w:div w:id="565185440">
      <w:bodyDiv w:val="1"/>
      <w:marLeft w:val="0"/>
      <w:marRight w:val="0"/>
      <w:marTop w:val="0"/>
      <w:marBottom w:val="0"/>
      <w:divBdr>
        <w:top w:val="none" w:sz="0" w:space="0" w:color="auto"/>
        <w:left w:val="none" w:sz="0" w:space="0" w:color="auto"/>
        <w:bottom w:val="none" w:sz="0" w:space="0" w:color="auto"/>
        <w:right w:val="none" w:sz="0" w:space="0" w:color="auto"/>
      </w:divBdr>
    </w:div>
    <w:div w:id="576592095">
      <w:bodyDiv w:val="1"/>
      <w:marLeft w:val="0"/>
      <w:marRight w:val="0"/>
      <w:marTop w:val="0"/>
      <w:marBottom w:val="0"/>
      <w:divBdr>
        <w:top w:val="none" w:sz="0" w:space="0" w:color="auto"/>
        <w:left w:val="none" w:sz="0" w:space="0" w:color="auto"/>
        <w:bottom w:val="none" w:sz="0" w:space="0" w:color="auto"/>
        <w:right w:val="none" w:sz="0" w:space="0" w:color="auto"/>
      </w:divBdr>
    </w:div>
    <w:div w:id="591551590">
      <w:bodyDiv w:val="1"/>
      <w:marLeft w:val="0"/>
      <w:marRight w:val="0"/>
      <w:marTop w:val="0"/>
      <w:marBottom w:val="0"/>
      <w:divBdr>
        <w:top w:val="none" w:sz="0" w:space="0" w:color="auto"/>
        <w:left w:val="none" w:sz="0" w:space="0" w:color="auto"/>
        <w:bottom w:val="none" w:sz="0" w:space="0" w:color="auto"/>
        <w:right w:val="none" w:sz="0" w:space="0" w:color="auto"/>
      </w:divBdr>
    </w:div>
    <w:div w:id="592512211">
      <w:bodyDiv w:val="1"/>
      <w:marLeft w:val="0"/>
      <w:marRight w:val="0"/>
      <w:marTop w:val="0"/>
      <w:marBottom w:val="0"/>
      <w:divBdr>
        <w:top w:val="none" w:sz="0" w:space="0" w:color="auto"/>
        <w:left w:val="none" w:sz="0" w:space="0" w:color="auto"/>
        <w:bottom w:val="none" w:sz="0" w:space="0" w:color="auto"/>
        <w:right w:val="none" w:sz="0" w:space="0" w:color="auto"/>
      </w:divBdr>
    </w:div>
    <w:div w:id="594167075">
      <w:bodyDiv w:val="1"/>
      <w:marLeft w:val="0"/>
      <w:marRight w:val="0"/>
      <w:marTop w:val="0"/>
      <w:marBottom w:val="0"/>
      <w:divBdr>
        <w:top w:val="none" w:sz="0" w:space="0" w:color="auto"/>
        <w:left w:val="none" w:sz="0" w:space="0" w:color="auto"/>
        <w:bottom w:val="none" w:sz="0" w:space="0" w:color="auto"/>
        <w:right w:val="none" w:sz="0" w:space="0" w:color="auto"/>
      </w:divBdr>
    </w:div>
    <w:div w:id="595793997">
      <w:bodyDiv w:val="1"/>
      <w:marLeft w:val="0"/>
      <w:marRight w:val="0"/>
      <w:marTop w:val="0"/>
      <w:marBottom w:val="0"/>
      <w:divBdr>
        <w:top w:val="none" w:sz="0" w:space="0" w:color="auto"/>
        <w:left w:val="none" w:sz="0" w:space="0" w:color="auto"/>
        <w:bottom w:val="none" w:sz="0" w:space="0" w:color="auto"/>
        <w:right w:val="none" w:sz="0" w:space="0" w:color="auto"/>
      </w:divBdr>
    </w:div>
    <w:div w:id="596451886">
      <w:bodyDiv w:val="1"/>
      <w:marLeft w:val="0"/>
      <w:marRight w:val="0"/>
      <w:marTop w:val="0"/>
      <w:marBottom w:val="0"/>
      <w:divBdr>
        <w:top w:val="none" w:sz="0" w:space="0" w:color="auto"/>
        <w:left w:val="none" w:sz="0" w:space="0" w:color="auto"/>
        <w:bottom w:val="none" w:sz="0" w:space="0" w:color="auto"/>
        <w:right w:val="none" w:sz="0" w:space="0" w:color="auto"/>
      </w:divBdr>
    </w:div>
    <w:div w:id="599606073">
      <w:bodyDiv w:val="1"/>
      <w:marLeft w:val="0"/>
      <w:marRight w:val="0"/>
      <w:marTop w:val="0"/>
      <w:marBottom w:val="0"/>
      <w:divBdr>
        <w:top w:val="none" w:sz="0" w:space="0" w:color="auto"/>
        <w:left w:val="none" w:sz="0" w:space="0" w:color="auto"/>
        <w:bottom w:val="none" w:sz="0" w:space="0" w:color="auto"/>
        <w:right w:val="none" w:sz="0" w:space="0" w:color="auto"/>
      </w:divBdr>
    </w:div>
    <w:div w:id="614140269">
      <w:bodyDiv w:val="1"/>
      <w:marLeft w:val="0"/>
      <w:marRight w:val="0"/>
      <w:marTop w:val="0"/>
      <w:marBottom w:val="0"/>
      <w:divBdr>
        <w:top w:val="none" w:sz="0" w:space="0" w:color="auto"/>
        <w:left w:val="none" w:sz="0" w:space="0" w:color="auto"/>
        <w:bottom w:val="none" w:sz="0" w:space="0" w:color="auto"/>
        <w:right w:val="none" w:sz="0" w:space="0" w:color="auto"/>
      </w:divBdr>
    </w:div>
    <w:div w:id="618222852">
      <w:bodyDiv w:val="1"/>
      <w:marLeft w:val="0"/>
      <w:marRight w:val="0"/>
      <w:marTop w:val="0"/>
      <w:marBottom w:val="0"/>
      <w:divBdr>
        <w:top w:val="none" w:sz="0" w:space="0" w:color="auto"/>
        <w:left w:val="none" w:sz="0" w:space="0" w:color="auto"/>
        <w:bottom w:val="none" w:sz="0" w:space="0" w:color="auto"/>
        <w:right w:val="none" w:sz="0" w:space="0" w:color="auto"/>
      </w:divBdr>
    </w:div>
    <w:div w:id="628435058">
      <w:bodyDiv w:val="1"/>
      <w:marLeft w:val="0"/>
      <w:marRight w:val="0"/>
      <w:marTop w:val="0"/>
      <w:marBottom w:val="0"/>
      <w:divBdr>
        <w:top w:val="none" w:sz="0" w:space="0" w:color="auto"/>
        <w:left w:val="none" w:sz="0" w:space="0" w:color="auto"/>
        <w:bottom w:val="none" w:sz="0" w:space="0" w:color="auto"/>
        <w:right w:val="none" w:sz="0" w:space="0" w:color="auto"/>
      </w:divBdr>
    </w:div>
    <w:div w:id="628560407">
      <w:bodyDiv w:val="1"/>
      <w:marLeft w:val="0"/>
      <w:marRight w:val="0"/>
      <w:marTop w:val="0"/>
      <w:marBottom w:val="0"/>
      <w:divBdr>
        <w:top w:val="none" w:sz="0" w:space="0" w:color="auto"/>
        <w:left w:val="none" w:sz="0" w:space="0" w:color="auto"/>
        <w:bottom w:val="none" w:sz="0" w:space="0" w:color="auto"/>
        <w:right w:val="none" w:sz="0" w:space="0" w:color="auto"/>
      </w:divBdr>
    </w:div>
    <w:div w:id="629633437">
      <w:bodyDiv w:val="1"/>
      <w:marLeft w:val="0"/>
      <w:marRight w:val="0"/>
      <w:marTop w:val="0"/>
      <w:marBottom w:val="0"/>
      <w:divBdr>
        <w:top w:val="none" w:sz="0" w:space="0" w:color="auto"/>
        <w:left w:val="none" w:sz="0" w:space="0" w:color="auto"/>
        <w:bottom w:val="none" w:sz="0" w:space="0" w:color="auto"/>
        <w:right w:val="none" w:sz="0" w:space="0" w:color="auto"/>
      </w:divBdr>
    </w:div>
    <w:div w:id="630282448">
      <w:bodyDiv w:val="1"/>
      <w:marLeft w:val="0"/>
      <w:marRight w:val="0"/>
      <w:marTop w:val="0"/>
      <w:marBottom w:val="0"/>
      <w:divBdr>
        <w:top w:val="none" w:sz="0" w:space="0" w:color="auto"/>
        <w:left w:val="none" w:sz="0" w:space="0" w:color="auto"/>
        <w:bottom w:val="none" w:sz="0" w:space="0" w:color="auto"/>
        <w:right w:val="none" w:sz="0" w:space="0" w:color="auto"/>
      </w:divBdr>
    </w:div>
    <w:div w:id="631248924">
      <w:bodyDiv w:val="1"/>
      <w:marLeft w:val="0"/>
      <w:marRight w:val="0"/>
      <w:marTop w:val="0"/>
      <w:marBottom w:val="0"/>
      <w:divBdr>
        <w:top w:val="none" w:sz="0" w:space="0" w:color="auto"/>
        <w:left w:val="none" w:sz="0" w:space="0" w:color="auto"/>
        <w:bottom w:val="none" w:sz="0" w:space="0" w:color="auto"/>
        <w:right w:val="none" w:sz="0" w:space="0" w:color="auto"/>
      </w:divBdr>
    </w:div>
    <w:div w:id="641926460">
      <w:bodyDiv w:val="1"/>
      <w:marLeft w:val="0"/>
      <w:marRight w:val="0"/>
      <w:marTop w:val="0"/>
      <w:marBottom w:val="0"/>
      <w:divBdr>
        <w:top w:val="none" w:sz="0" w:space="0" w:color="auto"/>
        <w:left w:val="none" w:sz="0" w:space="0" w:color="auto"/>
        <w:bottom w:val="none" w:sz="0" w:space="0" w:color="auto"/>
        <w:right w:val="none" w:sz="0" w:space="0" w:color="auto"/>
      </w:divBdr>
    </w:div>
    <w:div w:id="643394782">
      <w:bodyDiv w:val="1"/>
      <w:marLeft w:val="0"/>
      <w:marRight w:val="0"/>
      <w:marTop w:val="0"/>
      <w:marBottom w:val="0"/>
      <w:divBdr>
        <w:top w:val="none" w:sz="0" w:space="0" w:color="auto"/>
        <w:left w:val="none" w:sz="0" w:space="0" w:color="auto"/>
        <w:bottom w:val="none" w:sz="0" w:space="0" w:color="auto"/>
        <w:right w:val="none" w:sz="0" w:space="0" w:color="auto"/>
      </w:divBdr>
    </w:div>
    <w:div w:id="643703857">
      <w:bodyDiv w:val="1"/>
      <w:marLeft w:val="0"/>
      <w:marRight w:val="0"/>
      <w:marTop w:val="0"/>
      <w:marBottom w:val="0"/>
      <w:divBdr>
        <w:top w:val="none" w:sz="0" w:space="0" w:color="auto"/>
        <w:left w:val="none" w:sz="0" w:space="0" w:color="auto"/>
        <w:bottom w:val="none" w:sz="0" w:space="0" w:color="auto"/>
        <w:right w:val="none" w:sz="0" w:space="0" w:color="auto"/>
      </w:divBdr>
    </w:div>
    <w:div w:id="647436771">
      <w:bodyDiv w:val="1"/>
      <w:marLeft w:val="0"/>
      <w:marRight w:val="0"/>
      <w:marTop w:val="0"/>
      <w:marBottom w:val="0"/>
      <w:divBdr>
        <w:top w:val="none" w:sz="0" w:space="0" w:color="auto"/>
        <w:left w:val="none" w:sz="0" w:space="0" w:color="auto"/>
        <w:bottom w:val="none" w:sz="0" w:space="0" w:color="auto"/>
        <w:right w:val="none" w:sz="0" w:space="0" w:color="auto"/>
      </w:divBdr>
    </w:div>
    <w:div w:id="647589981">
      <w:bodyDiv w:val="1"/>
      <w:marLeft w:val="0"/>
      <w:marRight w:val="0"/>
      <w:marTop w:val="0"/>
      <w:marBottom w:val="0"/>
      <w:divBdr>
        <w:top w:val="none" w:sz="0" w:space="0" w:color="auto"/>
        <w:left w:val="none" w:sz="0" w:space="0" w:color="auto"/>
        <w:bottom w:val="none" w:sz="0" w:space="0" w:color="auto"/>
        <w:right w:val="none" w:sz="0" w:space="0" w:color="auto"/>
      </w:divBdr>
    </w:div>
    <w:div w:id="650141879">
      <w:bodyDiv w:val="1"/>
      <w:marLeft w:val="0"/>
      <w:marRight w:val="0"/>
      <w:marTop w:val="0"/>
      <w:marBottom w:val="0"/>
      <w:divBdr>
        <w:top w:val="none" w:sz="0" w:space="0" w:color="auto"/>
        <w:left w:val="none" w:sz="0" w:space="0" w:color="auto"/>
        <w:bottom w:val="none" w:sz="0" w:space="0" w:color="auto"/>
        <w:right w:val="none" w:sz="0" w:space="0" w:color="auto"/>
      </w:divBdr>
    </w:div>
    <w:div w:id="656349022">
      <w:bodyDiv w:val="1"/>
      <w:marLeft w:val="0"/>
      <w:marRight w:val="0"/>
      <w:marTop w:val="0"/>
      <w:marBottom w:val="0"/>
      <w:divBdr>
        <w:top w:val="none" w:sz="0" w:space="0" w:color="auto"/>
        <w:left w:val="none" w:sz="0" w:space="0" w:color="auto"/>
        <w:bottom w:val="none" w:sz="0" w:space="0" w:color="auto"/>
        <w:right w:val="none" w:sz="0" w:space="0" w:color="auto"/>
      </w:divBdr>
    </w:div>
    <w:div w:id="656961443">
      <w:bodyDiv w:val="1"/>
      <w:marLeft w:val="0"/>
      <w:marRight w:val="0"/>
      <w:marTop w:val="0"/>
      <w:marBottom w:val="0"/>
      <w:divBdr>
        <w:top w:val="none" w:sz="0" w:space="0" w:color="auto"/>
        <w:left w:val="none" w:sz="0" w:space="0" w:color="auto"/>
        <w:bottom w:val="none" w:sz="0" w:space="0" w:color="auto"/>
        <w:right w:val="none" w:sz="0" w:space="0" w:color="auto"/>
      </w:divBdr>
    </w:div>
    <w:div w:id="658652047">
      <w:bodyDiv w:val="1"/>
      <w:marLeft w:val="0"/>
      <w:marRight w:val="0"/>
      <w:marTop w:val="0"/>
      <w:marBottom w:val="0"/>
      <w:divBdr>
        <w:top w:val="none" w:sz="0" w:space="0" w:color="auto"/>
        <w:left w:val="none" w:sz="0" w:space="0" w:color="auto"/>
        <w:bottom w:val="none" w:sz="0" w:space="0" w:color="auto"/>
        <w:right w:val="none" w:sz="0" w:space="0" w:color="auto"/>
      </w:divBdr>
    </w:div>
    <w:div w:id="663363600">
      <w:bodyDiv w:val="1"/>
      <w:marLeft w:val="0"/>
      <w:marRight w:val="0"/>
      <w:marTop w:val="0"/>
      <w:marBottom w:val="0"/>
      <w:divBdr>
        <w:top w:val="none" w:sz="0" w:space="0" w:color="auto"/>
        <w:left w:val="none" w:sz="0" w:space="0" w:color="auto"/>
        <w:bottom w:val="none" w:sz="0" w:space="0" w:color="auto"/>
        <w:right w:val="none" w:sz="0" w:space="0" w:color="auto"/>
      </w:divBdr>
    </w:div>
    <w:div w:id="669675718">
      <w:bodyDiv w:val="1"/>
      <w:marLeft w:val="0"/>
      <w:marRight w:val="0"/>
      <w:marTop w:val="0"/>
      <w:marBottom w:val="0"/>
      <w:divBdr>
        <w:top w:val="none" w:sz="0" w:space="0" w:color="auto"/>
        <w:left w:val="none" w:sz="0" w:space="0" w:color="auto"/>
        <w:bottom w:val="none" w:sz="0" w:space="0" w:color="auto"/>
        <w:right w:val="none" w:sz="0" w:space="0" w:color="auto"/>
      </w:divBdr>
    </w:div>
    <w:div w:id="676738738">
      <w:bodyDiv w:val="1"/>
      <w:marLeft w:val="0"/>
      <w:marRight w:val="0"/>
      <w:marTop w:val="0"/>
      <w:marBottom w:val="0"/>
      <w:divBdr>
        <w:top w:val="none" w:sz="0" w:space="0" w:color="auto"/>
        <w:left w:val="none" w:sz="0" w:space="0" w:color="auto"/>
        <w:bottom w:val="none" w:sz="0" w:space="0" w:color="auto"/>
        <w:right w:val="none" w:sz="0" w:space="0" w:color="auto"/>
      </w:divBdr>
    </w:div>
    <w:div w:id="686564334">
      <w:bodyDiv w:val="1"/>
      <w:marLeft w:val="0"/>
      <w:marRight w:val="0"/>
      <w:marTop w:val="0"/>
      <w:marBottom w:val="0"/>
      <w:divBdr>
        <w:top w:val="none" w:sz="0" w:space="0" w:color="auto"/>
        <w:left w:val="none" w:sz="0" w:space="0" w:color="auto"/>
        <w:bottom w:val="none" w:sz="0" w:space="0" w:color="auto"/>
        <w:right w:val="none" w:sz="0" w:space="0" w:color="auto"/>
      </w:divBdr>
    </w:div>
    <w:div w:id="686909978">
      <w:bodyDiv w:val="1"/>
      <w:marLeft w:val="0"/>
      <w:marRight w:val="0"/>
      <w:marTop w:val="0"/>
      <w:marBottom w:val="0"/>
      <w:divBdr>
        <w:top w:val="none" w:sz="0" w:space="0" w:color="auto"/>
        <w:left w:val="none" w:sz="0" w:space="0" w:color="auto"/>
        <w:bottom w:val="none" w:sz="0" w:space="0" w:color="auto"/>
        <w:right w:val="none" w:sz="0" w:space="0" w:color="auto"/>
      </w:divBdr>
    </w:div>
    <w:div w:id="691224607">
      <w:bodyDiv w:val="1"/>
      <w:marLeft w:val="0"/>
      <w:marRight w:val="0"/>
      <w:marTop w:val="0"/>
      <w:marBottom w:val="0"/>
      <w:divBdr>
        <w:top w:val="none" w:sz="0" w:space="0" w:color="auto"/>
        <w:left w:val="none" w:sz="0" w:space="0" w:color="auto"/>
        <w:bottom w:val="none" w:sz="0" w:space="0" w:color="auto"/>
        <w:right w:val="none" w:sz="0" w:space="0" w:color="auto"/>
      </w:divBdr>
    </w:div>
    <w:div w:id="693574937">
      <w:bodyDiv w:val="1"/>
      <w:marLeft w:val="0"/>
      <w:marRight w:val="0"/>
      <w:marTop w:val="0"/>
      <w:marBottom w:val="0"/>
      <w:divBdr>
        <w:top w:val="none" w:sz="0" w:space="0" w:color="auto"/>
        <w:left w:val="none" w:sz="0" w:space="0" w:color="auto"/>
        <w:bottom w:val="none" w:sz="0" w:space="0" w:color="auto"/>
        <w:right w:val="none" w:sz="0" w:space="0" w:color="auto"/>
      </w:divBdr>
    </w:div>
    <w:div w:id="696008425">
      <w:bodyDiv w:val="1"/>
      <w:marLeft w:val="0"/>
      <w:marRight w:val="0"/>
      <w:marTop w:val="0"/>
      <w:marBottom w:val="0"/>
      <w:divBdr>
        <w:top w:val="none" w:sz="0" w:space="0" w:color="auto"/>
        <w:left w:val="none" w:sz="0" w:space="0" w:color="auto"/>
        <w:bottom w:val="none" w:sz="0" w:space="0" w:color="auto"/>
        <w:right w:val="none" w:sz="0" w:space="0" w:color="auto"/>
      </w:divBdr>
    </w:div>
    <w:div w:id="697852549">
      <w:bodyDiv w:val="1"/>
      <w:marLeft w:val="0"/>
      <w:marRight w:val="0"/>
      <w:marTop w:val="0"/>
      <w:marBottom w:val="0"/>
      <w:divBdr>
        <w:top w:val="none" w:sz="0" w:space="0" w:color="auto"/>
        <w:left w:val="none" w:sz="0" w:space="0" w:color="auto"/>
        <w:bottom w:val="none" w:sz="0" w:space="0" w:color="auto"/>
        <w:right w:val="none" w:sz="0" w:space="0" w:color="auto"/>
      </w:divBdr>
    </w:div>
    <w:div w:id="698166614">
      <w:bodyDiv w:val="1"/>
      <w:marLeft w:val="0"/>
      <w:marRight w:val="0"/>
      <w:marTop w:val="0"/>
      <w:marBottom w:val="0"/>
      <w:divBdr>
        <w:top w:val="none" w:sz="0" w:space="0" w:color="auto"/>
        <w:left w:val="none" w:sz="0" w:space="0" w:color="auto"/>
        <w:bottom w:val="none" w:sz="0" w:space="0" w:color="auto"/>
        <w:right w:val="none" w:sz="0" w:space="0" w:color="auto"/>
      </w:divBdr>
    </w:div>
    <w:div w:id="700546756">
      <w:bodyDiv w:val="1"/>
      <w:marLeft w:val="0"/>
      <w:marRight w:val="0"/>
      <w:marTop w:val="0"/>
      <w:marBottom w:val="0"/>
      <w:divBdr>
        <w:top w:val="none" w:sz="0" w:space="0" w:color="auto"/>
        <w:left w:val="none" w:sz="0" w:space="0" w:color="auto"/>
        <w:bottom w:val="none" w:sz="0" w:space="0" w:color="auto"/>
        <w:right w:val="none" w:sz="0" w:space="0" w:color="auto"/>
      </w:divBdr>
    </w:div>
    <w:div w:id="700859336">
      <w:bodyDiv w:val="1"/>
      <w:marLeft w:val="0"/>
      <w:marRight w:val="0"/>
      <w:marTop w:val="0"/>
      <w:marBottom w:val="0"/>
      <w:divBdr>
        <w:top w:val="none" w:sz="0" w:space="0" w:color="auto"/>
        <w:left w:val="none" w:sz="0" w:space="0" w:color="auto"/>
        <w:bottom w:val="none" w:sz="0" w:space="0" w:color="auto"/>
        <w:right w:val="none" w:sz="0" w:space="0" w:color="auto"/>
      </w:divBdr>
    </w:div>
    <w:div w:id="702830212">
      <w:bodyDiv w:val="1"/>
      <w:marLeft w:val="0"/>
      <w:marRight w:val="0"/>
      <w:marTop w:val="0"/>
      <w:marBottom w:val="0"/>
      <w:divBdr>
        <w:top w:val="none" w:sz="0" w:space="0" w:color="auto"/>
        <w:left w:val="none" w:sz="0" w:space="0" w:color="auto"/>
        <w:bottom w:val="none" w:sz="0" w:space="0" w:color="auto"/>
        <w:right w:val="none" w:sz="0" w:space="0" w:color="auto"/>
      </w:divBdr>
    </w:div>
    <w:div w:id="709107522">
      <w:bodyDiv w:val="1"/>
      <w:marLeft w:val="0"/>
      <w:marRight w:val="0"/>
      <w:marTop w:val="0"/>
      <w:marBottom w:val="0"/>
      <w:divBdr>
        <w:top w:val="none" w:sz="0" w:space="0" w:color="auto"/>
        <w:left w:val="none" w:sz="0" w:space="0" w:color="auto"/>
        <w:bottom w:val="none" w:sz="0" w:space="0" w:color="auto"/>
        <w:right w:val="none" w:sz="0" w:space="0" w:color="auto"/>
      </w:divBdr>
    </w:div>
    <w:div w:id="711273392">
      <w:bodyDiv w:val="1"/>
      <w:marLeft w:val="0"/>
      <w:marRight w:val="0"/>
      <w:marTop w:val="0"/>
      <w:marBottom w:val="0"/>
      <w:divBdr>
        <w:top w:val="none" w:sz="0" w:space="0" w:color="auto"/>
        <w:left w:val="none" w:sz="0" w:space="0" w:color="auto"/>
        <w:bottom w:val="none" w:sz="0" w:space="0" w:color="auto"/>
        <w:right w:val="none" w:sz="0" w:space="0" w:color="auto"/>
      </w:divBdr>
    </w:div>
    <w:div w:id="712195016">
      <w:bodyDiv w:val="1"/>
      <w:marLeft w:val="0"/>
      <w:marRight w:val="0"/>
      <w:marTop w:val="0"/>
      <w:marBottom w:val="0"/>
      <w:divBdr>
        <w:top w:val="none" w:sz="0" w:space="0" w:color="auto"/>
        <w:left w:val="none" w:sz="0" w:space="0" w:color="auto"/>
        <w:bottom w:val="none" w:sz="0" w:space="0" w:color="auto"/>
        <w:right w:val="none" w:sz="0" w:space="0" w:color="auto"/>
      </w:divBdr>
    </w:div>
    <w:div w:id="715742952">
      <w:bodyDiv w:val="1"/>
      <w:marLeft w:val="0"/>
      <w:marRight w:val="0"/>
      <w:marTop w:val="0"/>
      <w:marBottom w:val="0"/>
      <w:divBdr>
        <w:top w:val="none" w:sz="0" w:space="0" w:color="auto"/>
        <w:left w:val="none" w:sz="0" w:space="0" w:color="auto"/>
        <w:bottom w:val="none" w:sz="0" w:space="0" w:color="auto"/>
        <w:right w:val="none" w:sz="0" w:space="0" w:color="auto"/>
      </w:divBdr>
    </w:div>
    <w:div w:id="717431899">
      <w:bodyDiv w:val="1"/>
      <w:marLeft w:val="0"/>
      <w:marRight w:val="0"/>
      <w:marTop w:val="0"/>
      <w:marBottom w:val="0"/>
      <w:divBdr>
        <w:top w:val="none" w:sz="0" w:space="0" w:color="auto"/>
        <w:left w:val="none" w:sz="0" w:space="0" w:color="auto"/>
        <w:bottom w:val="none" w:sz="0" w:space="0" w:color="auto"/>
        <w:right w:val="none" w:sz="0" w:space="0" w:color="auto"/>
      </w:divBdr>
    </w:div>
    <w:div w:id="717706078">
      <w:bodyDiv w:val="1"/>
      <w:marLeft w:val="0"/>
      <w:marRight w:val="0"/>
      <w:marTop w:val="0"/>
      <w:marBottom w:val="0"/>
      <w:divBdr>
        <w:top w:val="none" w:sz="0" w:space="0" w:color="auto"/>
        <w:left w:val="none" w:sz="0" w:space="0" w:color="auto"/>
        <w:bottom w:val="none" w:sz="0" w:space="0" w:color="auto"/>
        <w:right w:val="none" w:sz="0" w:space="0" w:color="auto"/>
      </w:divBdr>
    </w:div>
    <w:div w:id="721094823">
      <w:bodyDiv w:val="1"/>
      <w:marLeft w:val="0"/>
      <w:marRight w:val="0"/>
      <w:marTop w:val="0"/>
      <w:marBottom w:val="0"/>
      <w:divBdr>
        <w:top w:val="none" w:sz="0" w:space="0" w:color="auto"/>
        <w:left w:val="none" w:sz="0" w:space="0" w:color="auto"/>
        <w:bottom w:val="none" w:sz="0" w:space="0" w:color="auto"/>
        <w:right w:val="none" w:sz="0" w:space="0" w:color="auto"/>
      </w:divBdr>
    </w:div>
    <w:div w:id="723675016">
      <w:bodyDiv w:val="1"/>
      <w:marLeft w:val="0"/>
      <w:marRight w:val="0"/>
      <w:marTop w:val="0"/>
      <w:marBottom w:val="0"/>
      <w:divBdr>
        <w:top w:val="none" w:sz="0" w:space="0" w:color="auto"/>
        <w:left w:val="none" w:sz="0" w:space="0" w:color="auto"/>
        <w:bottom w:val="none" w:sz="0" w:space="0" w:color="auto"/>
        <w:right w:val="none" w:sz="0" w:space="0" w:color="auto"/>
      </w:divBdr>
    </w:div>
    <w:div w:id="728454055">
      <w:bodyDiv w:val="1"/>
      <w:marLeft w:val="0"/>
      <w:marRight w:val="0"/>
      <w:marTop w:val="0"/>
      <w:marBottom w:val="0"/>
      <w:divBdr>
        <w:top w:val="none" w:sz="0" w:space="0" w:color="auto"/>
        <w:left w:val="none" w:sz="0" w:space="0" w:color="auto"/>
        <w:bottom w:val="none" w:sz="0" w:space="0" w:color="auto"/>
        <w:right w:val="none" w:sz="0" w:space="0" w:color="auto"/>
      </w:divBdr>
    </w:div>
    <w:div w:id="740061514">
      <w:bodyDiv w:val="1"/>
      <w:marLeft w:val="0"/>
      <w:marRight w:val="0"/>
      <w:marTop w:val="0"/>
      <w:marBottom w:val="0"/>
      <w:divBdr>
        <w:top w:val="none" w:sz="0" w:space="0" w:color="auto"/>
        <w:left w:val="none" w:sz="0" w:space="0" w:color="auto"/>
        <w:bottom w:val="none" w:sz="0" w:space="0" w:color="auto"/>
        <w:right w:val="none" w:sz="0" w:space="0" w:color="auto"/>
      </w:divBdr>
    </w:div>
    <w:div w:id="743795114">
      <w:bodyDiv w:val="1"/>
      <w:marLeft w:val="0"/>
      <w:marRight w:val="0"/>
      <w:marTop w:val="0"/>
      <w:marBottom w:val="0"/>
      <w:divBdr>
        <w:top w:val="none" w:sz="0" w:space="0" w:color="auto"/>
        <w:left w:val="none" w:sz="0" w:space="0" w:color="auto"/>
        <w:bottom w:val="none" w:sz="0" w:space="0" w:color="auto"/>
        <w:right w:val="none" w:sz="0" w:space="0" w:color="auto"/>
      </w:divBdr>
    </w:div>
    <w:div w:id="755175163">
      <w:bodyDiv w:val="1"/>
      <w:marLeft w:val="0"/>
      <w:marRight w:val="0"/>
      <w:marTop w:val="0"/>
      <w:marBottom w:val="0"/>
      <w:divBdr>
        <w:top w:val="none" w:sz="0" w:space="0" w:color="auto"/>
        <w:left w:val="none" w:sz="0" w:space="0" w:color="auto"/>
        <w:bottom w:val="none" w:sz="0" w:space="0" w:color="auto"/>
        <w:right w:val="none" w:sz="0" w:space="0" w:color="auto"/>
      </w:divBdr>
    </w:div>
    <w:div w:id="767848268">
      <w:bodyDiv w:val="1"/>
      <w:marLeft w:val="0"/>
      <w:marRight w:val="0"/>
      <w:marTop w:val="0"/>
      <w:marBottom w:val="0"/>
      <w:divBdr>
        <w:top w:val="none" w:sz="0" w:space="0" w:color="auto"/>
        <w:left w:val="none" w:sz="0" w:space="0" w:color="auto"/>
        <w:bottom w:val="none" w:sz="0" w:space="0" w:color="auto"/>
        <w:right w:val="none" w:sz="0" w:space="0" w:color="auto"/>
      </w:divBdr>
    </w:div>
    <w:div w:id="777412575">
      <w:bodyDiv w:val="1"/>
      <w:marLeft w:val="0"/>
      <w:marRight w:val="0"/>
      <w:marTop w:val="0"/>
      <w:marBottom w:val="0"/>
      <w:divBdr>
        <w:top w:val="none" w:sz="0" w:space="0" w:color="auto"/>
        <w:left w:val="none" w:sz="0" w:space="0" w:color="auto"/>
        <w:bottom w:val="none" w:sz="0" w:space="0" w:color="auto"/>
        <w:right w:val="none" w:sz="0" w:space="0" w:color="auto"/>
      </w:divBdr>
    </w:div>
    <w:div w:id="778064539">
      <w:bodyDiv w:val="1"/>
      <w:marLeft w:val="0"/>
      <w:marRight w:val="0"/>
      <w:marTop w:val="0"/>
      <w:marBottom w:val="0"/>
      <w:divBdr>
        <w:top w:val="none" w:sz="0" w:space="0" w:color="auto"/>
        <w:left w:val="none" w:sz="0" w:space="0" w:color="auto"/>
        <w:bottom w:val="none" w:sz="0" w:space="0" w:color="auto"/>
        <w:right w:val="none" w:sz="0" w:space="0" w:color="auto"/>
      </w:divBdr>
    </w:div>
    <w:div w:id="784618917">
      <w:bodyDiv w:val="1"/>
      <w:marLeft w:val="0"/>
      <w:marRight w:val="0"/>
      <w:marTop w:val="0"/>
      <w:marBottom w:val="0"/>
      <w:divBdr>
        <w:top w:val="none" w:sz="0" w:space="0" w:color="auto"/>
        <w:left w:val="none" w:sz="0" w:space="0" w:color="auto"/>
        <w:bottom w:val="none" w:sz="0" w:space="0" w:color="auto"/>
        <w:right w:val="none" w:sz="0" w:space="0" w:color="auto"/>
      </w:divBdr>
      <w:divsChild>
        <w:div w:id="35741253">
          <w:marLeft w:val="0"/>
          <w:marRight w:val="0"/>
          <w:marTop w:val="0"/>
          <w:marBottom w:val="0"/>
          <w:divBdr>
            <w:top w:val="none" w:sz="0" w:space="0" w:color="auto"/>
            <w:left w:val="none" w:sz="0" w:space="0" w:color="auto"/>
            <w:bottom w:val="none" w:sz="0" w:space="0" w:color="auto"/>
            <w:right w:val="none" w:sz="0" w:space="0" w:color="auto"/>
          </w:divBdr>
        </w:div>
      </w:divsChild>
    </w:div>
    <w:div w:id="785269330">
      <w:bodyDiv w:val="1"/>
      <w:marLeft w:val="0"/>
      <w:marRight w:val="0"/>
      <w:marTop w:val="0"/>
      <w:marBottom w:val="0"/>
      <w:divBdr>
        <w:top w:val="none" w:sz="0" w:space="0" w:color="auto"/>
        <w:left w:val="none" w:sz="0" w:space="0" w:color="auto"/>
        <w:bottom w:val="none" w:sz="0" w:space="0" w:color="auto"/>
        <w:right w:val="none" w:sz="0" w:space="0" w:color="auto"/>
      </w:divBdr>
    </w:div>
    <w:div w:id="789980175">
      <w:bodyDiv w:val="1"/>
      <w:marLeft w:val="0"/>
      <w:marRight w:val="0"/>
      <w:marTop w:val="0"/>
      <w:marBottom w:val="0"/>
      <w:divBdr>
        <w:top w:val="none" w:sz="0" w:space="0" w:color="auto"/>
        <w:left w:val="none" w:sz="0" w:space="0" w:color="auto"/>
        <w:bottom w:val="none" w:sz="0" w:space="0" w:color="auto"/>
        <w:right w:val="none" w:sz="0" w:space="0" w:color="auto"/>
      </w:divBdr>
    </w:div>
    <w:div w:id="793253834">
      <w:bodyDiv w:val="1"/>
      <w:marLeft w:val="0"/>
      <w:marRight w:val="0"/>
      <w:marTop w:val="0"/>
      <w:marBottom w:val="0"/>
      <w:divBdr>
        <w:top w:val="none" w:sz="0" w:space="0" w:color="auto"/>
        <w:left w:val="none" w:sz="0" w:space="0" w:color="auto"/>
        <w:bottom w:val="none" w:sz="0" w:space="0" w:color="auto"/>
        <w:right w:val="none" w:sz="0" w:space="0" w:color="auto"/>
      </w:divBdr>
    </w:div>
    <w:div w:id="796534129">
      <w:bodyDiv w:val="1"/>
      <w:marLeft w:val="0"/>
      <w:marRight w:val="0"/>
      <w:marTop w:val="0"/>
      <w:marBottom w:val="0"/>
      <w:divBdr>
        <w:top w:val="none" w:sz="0" w:space="0" w:color="auto"/>
        <w:left w:val="none" w:sz="0" w:space="0" w:color="auto"/>
        <w:bottom w:val="none" w:sz="0" w:space="0" w:color="auto"/>
        <w:right w:val="none" w:sz="0" w:space="0" w:color="auto"/>
      </w:divBdr>
    </w:div>
    <w:div w:id="803502848">
      <w:bodyDiv w:val="1"/>
      <w:marLeft w:val="0"/>
      <w:marRight w:val="0"/>
      <w:marTop w:val="0"/>
      <w:marBottom w:val="0"/>
      <w:divBdr>
        <w:top w:val="none" w:sz="0" w:space="0" w:color="auto"/>
        <w:left w:val="none" w:sz="0" w:space="0" w:color="auto"/>
        <w:bottom w:val="none" w:sz="0" w:space="0" w:color="auto"/>
        <w:right w:val="none" w:sz="0" w:space="0" w:color="auto"/>
      </w:divBdr>
    </w:div>
    <w:div w:id="815681805">
      <w:bodyDiv w:val="1"/>
      <w:marLeft w:val="0"/>
      <w:marRight w:val="0"/>
      <w:marTop w:val="0"/>
      <w:marBottom w:val="0"/>
      <w:divBdr>
        <w:top w:val="none" w:sz="0" w:space="0" w:color="auto"/>
        <w:left w:val="none" w:sz="0" w:space="0" w:color="auto"/>
        <w:bottom w:val="none" w:sz="0" w:space="0" w:color="auto"/>
        <w:right w:val="none" w:sz="0" w:space="0" w:color="auto"/>
      </w:divBdr>
    </w:div>
    <w:div w:id="831219895">
      <w:bodyDiv w:val="1"/>
      <w:marLeft w:val="0"/>
      <w:marRight w:val="0"/>
      <w:marTop w:val="0"/>
      <w:marBottom w:val="0"/>
      <w:divBdr>
        <w:top w:val="none" w:sz="0" w:space="0" w:color="auto"/>
        <w:left w:val="none" w:sz="0" w:space="0" w:color="auto"/>
        <w:bottom w:val="none" w:sz="0" w:space="0" w:color="auto"/>
        <w:right w:val="none" w:sz="0" w:space="0" w:color="auto"/>
      </w:divBdr>
    </w:div>
    <w:div w:id="832798178">
      <w:bodyDiv w:val="1"/>
      <w:marLeft w:val="0"/>
      <w:marRight w:val="0"/>
      <w:marTop w:val="0"/>
      <w:marBottom w:val="0"/>
      <w:divBdr>
        <w:top w:val="none" w:sz="0" w:space="0" w:color="auto"/>
        <w:left w:val="none" w:sz="0" w:space="0" w:color="auto"/>
        <w:bottom w:val="none" w:sz="0" w:space="0" w:color="auto"/>
        <w:right w:val="none" w:sz="0" w:space="0" w:color="auto"/>
      </w:divBdr>
    </w:div>
    <w:div w:id="847715463">
      <w:bodyDiv w:val="1"/>
      <w:marLeft w:val="0"/>
      <w:marRight w:val="0"/>
      <w:marTop w:val="0"/>
      <w:marBottom w:val="0"/>
      <w:divBdr>
        <w:top w:val="none" w:sz="0" w:space="0" w:color="auto"/>
        <w:left w:val="none" w:sz="0" w:space="0" w:color="auto"/>
        <w:bottom w:val="none" w:sz="0" w:space="0" w:color="auto"/>
        <w:right w:val="none" w:sz="0" w:space="0" w:color="auto"/>
      </w:divBdr>
    </w:div>
    <w:div w:id="850266609">
      <w:bodyDiv w:val="1"/>
      <w:marLeft w:val="0"/>
      <w:marRight w:val="0"/>
      <w:marTop w:val="0"/>
      <w:marBottom w:val="0"/>
      <w:divBdr>
        <w:top w:val="none" w:sz="0" w:space="0" w:color="auto"/>
        <w:left w:val="none" w:sz="0" w:space="0" w:color="auto"/>
        <w:bottom w:val="none" w:sz="0" w:space="0" w:color="auto"/>
        <w:right w:val="none" w:sz="0" w:space="0" w:color="auto"/>
      </w:divBdr>
    </w:div>
    <w:div w:id="851451213">
      <w:bodyDiv w:val="1"/>
      <w:marLeft w:val="0"/>
      <w:marRight w:val="0"/>
      <w:marTop w:val="0"/>
      <w:marBottom w:val="0"/>
      <w:divBdr>
        <w:top w:val="none" w:sz="0" w:space="0" w:color="auto"/>
        <w:left w:val="none" w:sz="0" w:space="0" w:color="auto"/>
        <w:bottom w:val="none" w:sz="0" w:space="0" w:color="auto"/>
        <w:right w:val="none" w:sz="0" w:space="0" w:color="auto"/>
      </w:divBdr>
    </w:div>
    <w:div w:id="853035065">
      <w:bodyDiv w:val="1"/>
      <w:marLeft w:val="0"/>
      <w:marRight w:val="0"/>
      <w:marTop w:val="0"/>
      <w:marBottom w:val="0"/>
      <w:divBdr>
        <w:top w:val="none" w:sz="0" w:space="0" w:color="auto"/>
        <w:left w:val="none" w:sz="0" w:space="0" w:color="auto"/>
        <w:bottom w:val="none" w:sz="0" w:space="0" w:color="auto"/>
        <w:right w:val="none" w:sz="0" w:space="0" w:color="auto"/>
      </w:divBdr>
    </w:div>
    <w:div w:id="854733571">
      <w:bodyDiv w:val="1"/>
      <w:marLeft w:val="0"/>
      <w:marRight w:val="0"/>
      <w:marTop w:val="0"/>
      <w:marBottom w:val="0"/>
      <w:divBdr>
        <w:top w:val="none" w:sz="0" w:space="0" w:color="auto"/>
        <w:left w:val="none" w:sz="0" w:space="0" w:color="auto"/>
        <w:bottom w:val="none" w:sz="0" w:space="0" w:color="auto"/>
        <w:right w:val="none" w:sz="0" w:space="0" w:color="auto"/>
      </w:divBdr>
    </w:div>
    <w:div w:id="854734483">
      <w:bodyDiv w:val="1"/>
      <w:marLeft w:val="0"/>
      <w:marRight w:val="0"/>
      <w:marTop w:val="0"/>
      <w:marBottom w:val="0"/>
      <w:divBdr>
        <w:top w:val="none" w:sz="0" w:space="0" w:color="auto"/>
        <w:left w:val="none" w:sz="0" w:space="0" w:color="auto"/>
        <w:bottom w:val="none" w:sz="0" w:space="0" w:color="auto"/>
        <w:right w:val="none" w:sz="0" w:space="0" w:color="auto"/>
      </w:divBdr>
    </w:div>
    <w:div w:id="869336250">
      <w:bodyDiv w:val="1"/>
      <w:marLeft w:val="0"/>
      <w:marRight w:val="0"/>
      <w:marTop w:val="0"/>
      <w:marBottom w:val="0"/>
      <w:divBdr>
        <w:top w:val="none" w:sz="0" w:space="0" w:color="auto"/>
        <w:left w:val="none" w:sz="0" w:space="0" w:color="auto"/>
        <w:bottom w:val="none" w:sz="0" w:space="0" w:color="auto"/>
        <w:right w:val="none" w:sz="0" w:space="0" w:color="auto"/>
      </w:divBdr>
    </w:div>
    <w:div w:id="875308780">
      <w:bodyDiv w:val="1"/>
      <w:marLeft w:val="0"/>
      <w:marRight w:val="0"/>
      <w:marTop w:val="0"/>
      <w:marBottom w:val="0"/>
      <w:divBdr>
        <w:top w:val="none" w:sz="0" w:space="0" w:color="auto"/>
        <w:left w:val="none" w:sz="0" w:space="0" w:color="auto"/>
        <w:bottom w:val="none" w:sz="0" w:space="0" w:color="auto"/>
        <w:right w:val="none" w:sz="0" w:space="0" w:color="auto"/>
      </w:divBdr>
    </w:div>
    <w:div w:id="877006695">
      <w:bodyDiv w:val="1"/>
      <w:marLeft w:val="0"/>
      <w:marRight w:val="0"/>
      <w:marTop w:val="0"/>
      <w:marBottom w:val="0"/>
      <w:divBdr>
        <w:top w:val="none" w:sz="0" w:space="0" w:color="auto"/>
        <w:left w:val="none" w:sz="0" w:space="0" w:color="auto"/>
        <w:bottom w:val="none" w:sz="0" w:space="0" w:color="auto"/>
        <w:right w:val="none" w:sz="0" w:space="0" w:color="auto"/>
      </w:divBdr>
    </w:div>
    <w:div w:id="886646247">
      <w:bodyDiv w:val="1"/>
      <w:marLeft w:val="0"/>
      <w:marRight w:val="0"/>
      <w:marTop w:val="0"/>
      <w:marBottom w:val="0"/>
      <w:divBdr>
        <w:top w:val="none" w:sz="0" w:space="0" w:color="auto"/>
        <w:left w:val="none" w:sz="0" w:space="0" w:color="auto"/>
        <w:bottom w:val="none" w:sz="0" w:space="0" w:color="auto"/>
        <w:right w:val="none" w:sz="0" w:space="0" w:color="auto"/>
      </w:divBdr>
    </w:div>
    <w:div w:id="895241705">
      <w:bodyDiv w:val="1"/>
      <w:marLeft w:val="0"/>
      <w:marRight w:val="0"/>
      <w:marTop w:val="0"/>
      <w:marBottom w:val="0"/>
      <w:divBdr>
        <w:top w:val="none" w:sz="0" w:space="0" w:color="auto"/>
        <w:left w:val="none" w:sz="0" w:space="0" w:color="auto"/>
        <w:bottom w:val="none" w:sz="0" w:space="0" w:color="auto"/>
        <w:right w:val="none" w:sz="0" w:space="0" w:color="auto"/>
      </w:divBdr>
    </w:div>
    <w:div w:id="904343604">
      <w:bodyDiv w:val="1"/>
      <w:marLeft w:val="0"/>
      <w:marRight w:val="0"/>
      <w:marTop w:val="0"/>
      <w:marBottom w:val="0"/>
      <w:divBdr>
        <w:top w:val="none" w:sz="0" w:space="0" w:color="auto"/>
        <w:left w:val="none" w:sz="0" w:space="0" w:color="auto"/>
        <w:bottom w:val="none" w:sz="0" w:space="0" w:color="auto"/>
        <w:right w:val="none" w:sz="0" w:space="0" w:color="auto"/>
      </w:divBdr>
    </w:div>
    <w:div w:id="904875000">
      <w:bodyDiv w:val="1"/>
      <w:marLeft w:val="0"/>
      <w:marRight w:val="0"/>
      <w:marTop w:val="0"/>
      <w:marBottom w:val="0"/>
      <w:divBdr>
        <w:top w:val="none" w:sz="0" w:space="0" w:color="auto"/>
        <w:left w:val="none" w:sz="0" w:space="0" w:color="auto"/>
        <w:bottom w:val="none" w:sz="0" w:space="0" w:color="auto"/>
        <w:right w:val="none" w:sz="0" w:space="0" w:color="auto"/>
      </w:divBdr>
    </w:div>
    <w:div w:id="904878329">
      <w:bodyDiv w:val="1"/>
      <w:marLeft w:val="0"/>
      <w:marRight w:val="0"/>
      <w:marTop w:val="0"/>
      <w:marBottom w:val="0"/>
      <w:divBdr>
        <w:top w:val="none" w:sz="0" w:space="0" w:color="auto"/>
        <w:left w:val="none" w:sz="0" w:space="0" w:color="auto"/>
        <w:bottom w:val="none" w:sz="0" w:space="0" w:color="auto"/>
        <w:right w:val="none" w:sz="0" w:space="0" w:color="auto"/>
      </w:divBdr>
    </w:div>
    <w:div w:id="907308658">
      <w:bodyDiv w:val="1"/>
      <w:marLeft w:val="0"/>
      <w:marRight w:val="0"/>
      <w:marTop w:val="0"/>
      <w:marBottom w:val="0"/>
      <w:divBdr>
        <w:top w:val="none" w:sz="0" w:space="0" w:color="auto"/>
        <w:left w:val="none" w:sz="0" w:space="0" w:color="auto"/>
        <w:bottom w:val="none" w:sz="0" w:space="0" w:color="auto"/>
        <w:right w:val="none" w:sz="0" w:space="0" w:color="auto"/>
      </w:divBdr>
    </w:div>
    <w:div w:id="910892323">
      <w:bodyDiv w:val="1"/>
      <w:marLeft w:val="0"/>
      <w:marRight w:val="0"/>
      <w:marTop w:val="0"/>
      <w:marBottom w:val="0"/>
      <w:divBdr>
        <w:top w:val="none" w:sz="0" w:space="0" w:color="auto"/>
        <w:left w:val="none" w:sz="0" w:space="0" w:color="auto"/>
        <w:bottom w:val="none" w:sz="0" w:space="0" w:color="auto"/>
        <w:right w:val="none" w:sz="0" w:space="0" w:color="auto"/>
      </w:divBdr>
    </w:div>
    <w:div w:id="913007100">
      <w:bodyDiv w:val="1"/>
      <w:marLeft w:val="0"/>
      <w:marRight w:val="0"/>
      <w:marTop w:val="0"/>
      <w:marBottom w:val="0"/>
      <w:divBdr>
        <w:top w:val="none" w:sz="0" w:space="0" w:color="auto"/>
        <w:left w:val="none" w:sz="0" w:space="0" w:color="auto"/>
        <w:bottom w:val="none" w:sz="0" w:space="0" w:color="auto"/>
        <w:right w:val="none" w:sz="0" w:space="0" w:color="auto"/>
      </w:divBdr>
    </w:div>
    <w:div w:id="916286478">
      <w:bodyDiv w:val="1"/>
      <w:marLeft w:val="0"/>
      <w:marRight w:val="0"/>
      <w:marTop w:val="0"/>
      <w:marBottom w:val="0"/>
      <w:divBdr>
        <w:top w:val="none" w:sz="0" w:space="0" w:color="auto"/>
        <w:left w:val="none" w:sz="0" w:space="0" w:color="auto"/>
        <w:bottom w:val="none" w:sz="0" w:space="0" w:color="auto"/>
        <w:right w:val="none" w:sz="0" w:space="0" w:color="auto"/>
      </w:divBdr>
    </w:div>
    <w:div w:id="920259184">
      <w:bodyDiv w:val="1"/>
      <w:marLeft w:val="0"/>
      <w:marRight w:val="0"/>
      <w:marTop w:val="0"/>
      <w:marBottom w:val="0"/>
      <w:divBdr>
        <w:top w:val="none" w:sz="0" w:space="0" w:color="auto"/>
        <w:left w:val="none" w:sz="0" w:space="0" w:color="auto"/>
        <w:bottom w:val="none" w:sz="0" w:space="0" w:color="auto"/>
        <w:right w:val="none" w:sz="0" w:space="0" w:color="auto"/>
      </w:divBdr>
    </w:div>
    <w:div w:id="920531775">
      <w:bodyDiv w:val="1"/>
      <w:marLeft w:val="0"/>
      <w:marRight w:val="0"/>
      <w:marTop w:val="0"/>
      <w:marBottom w:val="0"/>
      <w:divBdr>
        <w:top w:val="none" w:sz="0" w:space="0" w:color="auto"/>
        <w:left w:val="none" w:sz="0" w:space="0" w:color="auto"/>
        <w:bottom w:val="none" w:sz="0" w:space="0" w:color="auto"/>
        <w:right w:val="none" w:sz="0" w:space="0" w:color="auto"/>
      </w:divBdr>
    </w:div>
    <w:div w:id="927272621">
      <w:bodyDiv w:val="1"/>
      <w:marLeft w:val="0"/>
      <w:marRight w:val="0"/>
      <w:marTop w:val="0"/>
      <w:marBottom w:val="0"/>
      <w:divBdr>
        <w:top w:val="none" w:sz="0" w:space="0" w:color="auto"/>
        <w:left w:val="none" w:sz="0" w:space="0" w:color="auto"/>
        <w:bottom w:val="none" w:sz="0" w:space="0" w:color="auto"/>
        <w:right w:val="none" w:sz="0" w:space="0" w:color="auto"/>
      </w:divBdr>
    </w:div>
    <w:div w:id="929234990">
      <w:bodyDiv w:val="1"/>
      <w:marLeft w:val="0"/>
      <w:marRight w:val="0"/>
      <w:marTop w:val="0"/>
      <w:marBottom w:val="0"/>
      <w:divBdr>
        <w:top w:val="none" w:sz="0" w:space="0" w:color="auto"/>
        <w:left w:val="none" w:sz="0" w:space="0" w:color="auto"/>
        <w:bottom w:val="none" w:sz="0" w:space="0" w:color="auto"/>
        <w:right w:val="none" w:sz="0" w:space="0" w:color="auto"/>
      </w:divBdr>
    </w:div>
    <w:div w:id="932010382">
      <w:bodyDiv w:val="1"/>
      <w:marLeft w:val="0"/>
      <w:marRight w:val="0"/>
      <w:marTop w:val="0"/>
      <w:marBottom w:val="0"/>
      <w:divBdr>
        <w:top w:val="none" w:sz="0" w:space="0" w:color="auto"/>
        <w:left w:val="none" w:sz="0" w:space="0" w:color="auto"/>
        <w:bottom w:val="none" w:sz="0" w:space="0" w:color="auto"/>
        <w:right w:val="none" w:sz="0" w:space="0" w:color="auto"/>
      </w:divBdr>
    </w:div>
    <w:div w:id="936906570">
      <w:bodyDiv w:val="1"/>
      <w:marLeft w:val="0"/>
      <w:marRight w:val="0"/>
      <w:marTop w:val="0"/>
      <w:marBottom w:val="0"/>
      <w:divBdr>
        <w:top w:val="none" w:sz="0" w:space="0" w:color="auto"/>
        <w:left w:val="none" w:sz="0" w:space="0" w:color="auto"/>
        <w:bottom w:val="none" w:sz="0" w:space="0" w:color="auto"/>
        <w:right w:val="none" w:sz="0" w:space="0" w:color="auto"/>
      </w:divBdr>
    </w:div>
    <w:div w:id="938830802">
      <w:bodyDiv w:val="1"/>
      <w:marLeft w:val="0"/>
      <w:marRight w:val="0"/>
      <w:marTop w:val="0"/>
      <w:marBottom w:val="0"/>
      <w:divBdr>
        <w:top w:val="none" w:sz="0" w:space="0" w:color="auto"/>
        <w:left w:val="none" w:sz="0" w:space="0" w:color="auto"/>
        <w:bottom w:val="none" w:sz="0" w:space="0" w:color="auto"/>
        <w:right w:val="none" w:sz="0" w:space="0" w:color="auto"/>
      </w:divBdr>
    </w:div>
    <w:div w:id="939027010">
      <w:bodyDiv w:val="1"/>
      <w:marLeft w:val="0"/>
      <w:marRight w:val="0"/>
      <w:marTop w:val="0"/>
      <w:marBottom w:val="0"/>
      <w:divBdr>
        <w:top w:val="none" w:sz="0" w:space="0" w:color="auto"/>
        <w:left w:val="none" w:sz="0" w:space="0" w:color="auto"/>
        <w:bottom w:val="none" w:sz="0" w:space="0" w:color="auto"/>
        <w:right w:val="none" w:sz="0" w:space="0" w:color="auto"/>
      </w:divBdr>
    </w:div>
    <w:div w:id="939030240">
      <w:bodyDiv w:val="1"/>
      <w:marLeft w:val="0"/>
      <w:marRight w:val="0"/>
      <w:marTop w:val="0"/>
      <w:marBottom w:val="0"/>
      <w:divBdr>
        <w:top w:val="none" w:sz="0" w:space="0" w:color="auto"/>
        <w:left w:val="none" w:sz="0" w:space="0" w:color="auto"/>
        <w:bottom w:val="none" w:sz="0" w:space="0" w:color="auto"/>
        <w:right w:val="none" w:sz="0" w:space="0" w:color="auto"/>
      </w:divBdr>
    </w:div>
    <w:div w:id="942031662">
      <w:bodyDiv w:val="1"/>
      <w:marLeft w:val="0"/>
      <w:marRight w:val="0"/>
      <w:marTop w:val="0"/>
      <w:marBottom w:val="0"/>
      <w:divBdr>
        <w:top w:val="none" w:sz="0" w:space="0" w:color="auto"/>
        <w:left w:val="none" w:sz="0" w:space="0" w:color="auto"/>
        <w:bottom w:val="none" w:sz="0" w:space="0" w:color="auto"/>
        <w:right w:val="none" w:sz="0" w:space="0" w:color="auto"/>
      </w:divBdr>
    </w:div>
    <w:div w:id="944574607">
      <w:bodyDiv w:val="1"/>
      <w:marLeft w:val="0"/>
      <w:marRight w:val="0"/>
      <w:marTop w:val="0"/>
      <w:marBottom w:val="0"/>
      <w:divBdr>
        <w:top w:val="none" w:sz="0" w:space="0" w:color="auto"/>
        <w:left w:val="none" w:sz="0" w:space="0" w:color="auto"/>
        <w:bottom w:val="none" w:sz="0" w:space="0" w:color="auto"/>
        <w:right w:val="none" w:sz="0" w:space="0" w:color="auto"/>
      </w:divBdr>
    </w:div>
    <w:div w:id="946355651">
      <w:bodyDiv w:val="1"/>
      <w:marLeft w:val="0"/>
      <w:marRight w:val="0"/>
      <w:marTop w:val="0"/>
      <w:marBottom w:val="0"/>
      <w:divBdr>
        <w:top w:val="none" w:sz="0" w:space="0" w:color="auto"/>
        <w:left w:val="none" w:sz="0" w:space="0" w:color="auto"/>
        <w:bottom w:val="none" w:sz="0" w:space="0" w:color="auto"/>
        <w:right w:val="none" w:sz="0" w:space="0" w:color="auto"/>
      </w:divBdr>
    </w:div>
    <w:div w:id="949165650">
      <w:bodyDiv w:val="1"/>
      <w:marLeft w:val="0"/>
      <w:marRight w:val="0"/>
      <w:marTop w:val="0"/>
      <w:marBottom w:val="0"/>
      <w:divBdr>
        <w:top w:val="none" w:sz="0" w:space="0" w:color="auto"/>
        <w:left w:val="none" w:sz="0" w:space="0" w:color="auto"/>
        <w:bottom w:val="none" w:sz="0" w:space="0" w:color="auto"/>
        <w:right w:val="none" w:sz="0" w:space="0" w:color="auto"/>
      </w:divBdr>
    </w:div>
    <w:div w:id="950092732">
      <w:bodyDiv w:val="1"/>
      <w:marLeft w:val="0"/>
      <w:marRight w:val="0"/>
      <w:marTop w:val="0"/>
      <w:marBottom w:val="0"/>
      <w:divBdr>
        <w:top w:val="none" w:sz="0" w:space="0" w:color="auto"/>
        <w:left w:val="none" w:sz="0" w:space="0" w:color="auto"/>
        <w:bottom w:val="none" w:sz="0" w:space="0" w:color="auto"/>
        <w:right w:val="none" w:sz="0" w:space="0" w:color="auto"/>
      </w:divBdr>
    </w:div>
    <w:div w:id="953170060">
      <w:bodyDiv w:val="1"/>
      <w:marLeft w:val="0"/>
      <w:marRight w:val="0"/>
      <w:marTop w:val="0"/>
      <w:marBottom w:val="0"/>
      <w:divBdr>
        <w:top w:val="none" w:sz="0" w:space="0" w:color="auto"/>
        <w:left w:val="none" w:sz="0" w:space="0" w:color="auto"/>
        <w:bottom w:val="none" w:sz="0" w:space="0" w:color="auto"/>
        <w:right w:val="none" w:sz="0" w:space="0" w:color="auto"/>
      </w:divBdr>
    </w:div>
    <w:div w:id="955528897">
      <w:bodyDiv w:val="1"/>
      <w:marLeft w:val="0"/>
      <w:marRight w:val="0"/>
      <w:marTop w:val="0"/>
      <w:marBottom w:val="0"/>
      <w:divBdr>
        <w:top w:val="none" w:sz="0" w:space="0" w:color="auto"/>
        <w:left w:val="none" w:sz="0" w:space="0" w:color="auto"/>
        <w:bottom w:val="none" w:sz="0" w:space="0" w:color="auto"/>
        <w:right w:val="none" w:sz="0" w:space="0" w:color="auto"/>
      </w:divBdr>
    </w:div>
    <w:div w:id="958727667">
      <w:bodyDiv w:val="1"/>
      <w:marLeft w:val="0"/>
      <w:marRight w:val="0"/>
      <w:marTop w:val="0"/>
      <w:marBottom w:val="0"/>
      <w:divBdr>
        <w:top w:val="none" w:sz="0" w:space="0" w:color="auto"/>
        <w:left w:val="none" w:sz="0" w:space="0" w:color="auto"/>
        <w:bottom w:val="none" w:sz="0" w:space="0" w:color="auto"/>
        <w:right w:val="none" w:sz="0" w:space="0" w:color="auto"/>
      </w:divBdr>
    </w:div>
    <w:div w:id="962619771">
      <w:bodyDiv w:val="1"/>
      <w:marLeft w:val="0"/>
      <w:marRight w:val="0"/>
      <w:marTop w:val="0"/>
      <w:marBottom w:val="0"/>
      <w:divBdr>
        <w:top w:val="none" w:sz="0" w:space="0" w:color="auto"/>
        <w:left w:val="none" w:sz="0" w:space="0" w:color="auto"/>
        <w:bottom w:val="none" w:sz="0" w:space="0" w:color="auto"/>
        <w:right w:val="none" w:sz="0" w:space="0" w:color="auto"/>
      </w:divBdr>
    </w:div>
    <w:div w:id="963734117">
      <w:bodyDiv w:val="1"/>
      <w:marLeft w:val="0"/>
      <w:marRight w:val="0"/>
      <w:marTop w:val="0"/>
      <w:marBottom w:val="0"/>
      <w:divBdr>
        <w:top w:val="none" w:sz="0" w:space="0" w:color="auto"/>
        <w:left w:val="none" w:sz="0" w:space="0" w:color="auto"/>
        <w:bottom w:val="none" w:sz="0" w:space="0" w:color="auto"/>
        <w:right w:val="none" w:sz="0" w:space="0" w:color="auto"/>
      </w:divBdr>
    </w:div>
    <w:div w:id="988442338">
      <w:bodyDiv w:val="1"/>
      <w:marLeft w:val="0"/>
      <w:marRight w:val="0"/>
      <w:marTop w:val="0"/>
      <w:marBottom w:val="0"/>
      <w:divBdr>
        <w:top w:val="none" w:sz="0" w:space="0" w:color="auto"/>
        <w:left w:val="none" w:sz="0" w:space="0" w:color="auto"/>
        <w:bottom w:val="none" w:sz="0" w:space="0" w:color="auto"/>
        <w:right w:val="none" w:sz="0" w:space="0" w:color="auto"/>
      </w:divBdr>
    </w:div>
    <w:div w:id="993485724">
      <w:bodyDiv w:val="1"/>
      <w:marLeft w:val="0"/>
      <w:marRight w:val="0"/>
      <w:marTop w:val="0"/>
      <w:marBottom w:val="0"/>
      <w:divBdr>
        <w:top w:val="none" w:sz="0" w:space="0" w:color="auto"/>
        <w:left w:val="none" w:sz="0" w:space="0" w:color="auto"/>
        <w:bottom w:val="none" w:sz="0" w:space="0" w:color="auto"/>
        <w:right w:val="none" w:sz="0" w:space="0" w:color="auto"/>
      </w:divBdr>
    </w:div>
    <w:div w:id="993528089">
      <w:bodyDiv w:val="1"/>
      <w:marLeft w:val="0"/>
      <w:marRight w:val="0"/>
      <w:marTop w:val="0"/>
      <w:marBottom w:val="0"/>
      <w:divBdr>
        <w:top w:val="none" w:sz="0" w:space="0" w:color="auto"/>
        <w:left w:val="none" w:sz="0" w:space="0" w:color="auto"/>
        <w:bottom w:val="none" w:sz="0" w:space="0" w:color="auto"/>
        <w:right w:val="none" w:sz="0" w:space="0" w:color="auto"/>
      </w:divBdr>
    </w:div>
    <w:div w:id="996491753">
      <w:bodyDiv w:val="1"/>
      <w:marLeft w:val="0"/>
      <w:marRight w:val="0"/>
      <w:marTop w:val="0"/>
      <w:marBottom w:val="0"/>
      <w:divBdr>
        <w:top w:val="none" w:sz="0" w:space="0" w:color="auto"/>
        <w:left w:val="none" w:sz="0" w:space="0" w:color="auto"/>
        <w:bottom w:val="none" w:sz="0" w:space="0" w:color="auto"/>
        <w:right w:val="none" w:sz="0" w:space="0" w:color="auto"/>
      </w:divBdr>
    </w:div>
    <w:div w:id="998458345">
      <w:bodyDiv w:val="1"/>
      <w:marLeft w:val="0"/>
      <w:marRight w:val="0"/>
      <w:marTop w:val="0"/>
      <w:marBottom w:val="0"/>
      <w:divBdr>
        <w:top w:val="none" w:sz="0" w:space="0" w:color="auto"/>
        <w:left w:val="none" w:sz="0" w:space="0" w:color="auto"/>
        <w:bottom w:val="none" w:sz="0" w:space="0" w:color="auto"/>
        <w:right w:val="none" w:sz="0" w:space="0" w:color="auto"/>
      </w:divBdr>
    </w:div>
    <w:div w:id="999576798">
      <w:bodyDiv w:val="1"/>
      <w:marLeft w:val="0"/>
      <w:marRight w:val="0"/>
      <w:marTop w:val="0"/>
      <w:marBottom w:val="0"/>
      <w:divBdr>
        <w:top w:val="none" w:sz="0" w:space="0" w:color="auto"/>
        <w:left w:val="none" w:sz="0" w:space="0" w:color="auto"/>
        <w:bottom w:val="none" w:sz="0" w:space="0" w:color="auto"/>
        <w:right w:val="none" w:sz="0" w:space="0" w:color="auto"/>
      </w:divBdr>
    </w:div>
    <w:div w:id="999579369">
      <w:bodyDiv w:val="1"/>
      <w:marLeft w:val="0"/>
      <w:marRight w:val="0"/>
      <w:marTop w:val="0"/>
      <w:marBottom w:val="0"/>
      <w:divBdr>
        <w:top w:val="none" w:sz="0" w:space="0" w:color="auto"/>
        <w:left w:val="none" w:sz="0" w:space="0" w:color="auto"/>
        <w:bottom w:val="none" w:sz="0" w:space="0" w:color="auto"/>
        <w:right w:val="none" w:sz="0" w:space="0" w:color="auto"/>
      </w:divBdr>
    </w:div>
    <w:div w:id="1001198493">
      <w:bodyDiv w:val="1"/>
      <w:marLeft w:val="0"/>
      <w:marRight w:val="0"/>
      <w:marTop w:val="0"/>
      <w:marBottom w:val="0"/>
      <w:divBdr>
        <w:top w:val="none" w:sz="0" w:space="0" w:color="auto"/>
        <w:left w:val="none" w:sz="0" w:space="0" w:color="auto"/>
        <w:bottom w:val="none" w:sz="0" w:space="0" w:color="auto"/>
        <w:right w:val="none" w:sz="0" w:space="0" w:color="auto"/>
      </w:divBdr>
    </w:div>
    <w:div w:id="1029986490">
      <w:bodyDiv w:val="1"/>
      <w:marLeft w:val="0"/>
      <w:marRight w:val="0"/>
      <w:marTop w:val="0"/>
      <w:marBottom w:val="0"/>
      <w:divBdr>
        <w:top w:val="none" w:sz="0" w:space="0" w:color="auto"/>
        <w:left w:val="none" w:sz="0" w:space="0" w:color="auto"/>
        <w:bottom w:val="none" w:sz="0" w:space="0" w:color="auto"/>
        <w:right w:val="none" w:sz="0" w:space="0" w:color="auto"/>
      </w:divBdr>
    </w:div>
    <w:div w:id="1029993928">
      <w:bodyDiv w:val="1"/>
      <w:marLeft w:val="0"/>
      <w:marRight w:val="0"/>
      <w:marTop w:val="0"/>
      <w:marBottom w:val="0"/>
      <w:divBdr>
        <w:top w:val="none" w:sz="0" w:space="0" w:color="auto"/>
        <w:left w:val="none" w:sz="0" w:space="0" w:color="auto"/>
        <w:bottom w:val="none" w:sz="0" w:space="0" w:color="auto"/>
        <w:right w:val="none" w:sz="0" w:space="0" w:color="auto"/>
      </w:divBdr>
    </w:div>
    <w:div w:id="1032000277">
      <w:bodyDiv w:val="1"/>
      <w:marLeft w:val="0"/>
      <w:marRight w:val="0"/>
      <w:marTop w:val="0"/>
      <w:marBottom w:val="0"/>
      <w:divBdr>
        <w:top w:val="none" w:sz="0" w:space="0" w:color="auto"/>
        <w:left w:val="none" w:sz="0" w:space="0" w:color="auto"/>
        <w:bottom w:val="none" w:sz="0" w:space="0" w:color="auto"/>
        <w:right w:val="none" w:sz="0" w:space="0" w:color="auto"/>
      </w:divBdr>
    </w:div>
    <w:div w:id="1034110898">
      <w:bodyDiv w:val="1"/>
      <w:marLeft w:val="0"/>
      <w:marRight w:val="0"/>
      <w:marTop w:val="0"/>
      <w:marBottom w:val="0"/>
      <w:divBdr>
        <w:top w:val="none" w:sz="0" w:space="0" w:color="auto"/>
        <w:left w:val="none" w:sz="0" w:space="0" w:color="auto"/>
        <w:bottom w:val="none" w:sz="0" w:space="0" w:color="auto"/>
        <w:right w:val="none" w:sz="0" w:space="0" w:color="auto"/>
      </w:divBdr>
    </w:div>
    <w:div w:id="1034504114">
      <w:bodyDiv w:val="1"/>
      <w:marLeft w:val="0"/>
      <w:marRight w:val="0"/>
      <w:marTop w:val="0"/>
      <w:marBottom w:val="0"/>
      <w:divBdr>
        <w:top w:val="none" w:sz="0" w:space="0" w:color="auto"/>
        <w:left w:val="none" w:sz="0" w:space="0" w:color="auto"/>
        <w:bottom w:val="none" w:sz="0" w:space="0" w:color="auto"/>
        <w:right w:val="none" w:sz="0" w:space="0" w:color="auto"/>
      </w:divBdr>
    </w:div>
    <w:div w:id="1036155823">
      <w:bodyDiv w:val="1"/>
      <w:marLeft w:val="0"/>
      <w:marRight w:val="0"/>
      <w:marTop w:val="0"/>
      <w:marBottom w:val="0"/>
      <w:divBdr>
        <w:top w:val="none" w:sz="0" w:space="0" w:color="auto"/>
        <w:left w:val="none" w:sz="0" w:space="0" w:color="auto"/>
        <w:bottom w:val="none" w:sz="0" w:space="0" w:color="auto"/>
        <w:right w:val="none" w:sz="0" w:space="0" w:color="auto"/>
      </w:divBdr>
    </w:div>
    <w:div w:id="1037466192">
      <w:bodyDiv w:val="1"/>
      <w:marLeft w:val="0"/>
      <w:marRight w:val="0"/>
      <w:marTop w:val="0"/>
      <w:marBottom w:val="0"/>
      <w:divBdr>
        <w:top w:val="none" w:sz="0" w:space="0" w:color="auto"/>
        <w:left w:val="none" w:sz="0" w:space="0" w:color="auto"/>
        <w:bottom w:val="none" w:sz="0" w:space="0" w:color="auto"/>
        <w:right w:val="none" w:sz="0" w:space="0" w:color="auto"/>
      </w:divBdr>
    </w:div>
    <w:div w:id="1038699279">
      <w:bodyDiv w:val="1"/>
      <w:marLeft w:val="0"/>
      <w:marRight w:val="0"/>
      <w:marTop w:val="0"/>
      <w:marBottom w:val="0"/>
      <w:divBdr>
        <w:top w:val="none" w:sz="0" w:space="0" w:color="auto"/>
        <w:left w:val="none" w:sz="0" w:space="0" w:color="auto"/>
        <w:bottom w:val="none" w:sz="0" w:space="0" w:color="auto"/>
        <w:right w:val="none" w:sz="0" w:space="0" w:color="auto"/>
      </w:divBdr>
    </w:div>
    <w:div w:id="1042823599">
      <w:bodyDiv w:val="1"/>
      <w:marLeft w:val="0"/>
      <w:marRight w:val="0"/>
      <w:marTop w:val="0"/>
      <w:marBottom w:val="0"/>
      <w:divBdr>
        <w:top w:val="none" w:sz="0" w:space="0" w:color="auto"/>
        <w:left w:val="none" w:sz="0" w:space="0" w:color="auto"/>
        <w:bottom w:val="none" w:sz="0" w:space="0" w:color="auto"/>
        <w:right w:val="none" w:sz="0" w:space="0" w:color="auto"/>
      </w:divBdr>
    </w:div>
    <w:div w:id="1072654105">
      <w:bodyDiv w:val="1"/>
      <w:marLeft w:val="0"/>
      <w:marRight w:val="0"/>
      <w:marTop w:val="0"/>
      <w:marBottom w:val="0"/>
      <w:divBdr>
        <w:top w:val="none" w:sz="0" w:space="0" w:color="auto"/>
        <w:left w:val="none" w:sz="0" w:space="0" w:color="auto"/>
        <w:bottom w:val="none" w:sz="0" w:space="0" w:color="auto"/>
        <w:right w:val="none" w:sz="0" w:space="0" w:color="auto"/>
      </w:divBdr>
    </w:div>
    <w:div w:id="1079013200">
      <w:bodyDiv w:val="1"/>
      <w:marLeft w:val="0"/>
      <w:marRight w:val="0"/>
      <w:marTop w:val="0"/>
      <w:marBottom w:val="0"/>
      <w:divBdr>
        <w:top w:val="none" w:sz="0" w:space="0" w:color="auto"/>
        <w:left w:val="none" w:sz="0" w:space="0" w:color="auto"/>
        <w:bottom w:val="none" w:sz="0" w:space="0" w:color="auto"/>
        <w:right w:val="none" w:sz="0" w:space="0" w:color="auto"/>
      </w:divBdr>
    </w:div>
    <w:div w:id="1080326356">
      <w:bodyDiv w:val="1"/>
      <w:marLeft w:val="0"/>
      <w:marRight w:val="0"/>
      <w:marTop w:val="0"/>
      <w:marBottom w:val="0"/>
      <w:divBdr>
        <w:top w:val="none" w:sz="0" w:space="0" w:color="auto"/>
        <w:left w:val="none" w:sz="0" w:space="0" w:color="auto"/>
        <w:bottom w:val="none" w:sz="0" w:space="0" w:color="auto"/>
        <w:right w:val="none" w:sz="0" w:space="0" w:color="auto"/>
      </w:divBdr>
    </w:div>
    <w:div w:id="1082722277">
      <w:bodyDiv w:val="1"/>
      <w:marLeft w:val="0"/>
      <w:marRight w:val="0"/>
      <w:marTop w:val="0"/>
      <w:marBottom w:val="0"/>
      <w:divBdr>
        <w:top w:val="none" w:sz="0" w:space="0" w:color="auto"/>
        <w:left w:val="none" w:sz="0" w:space="0" w:color="auto"/>
        <w:bottom w:val="none" w:sz="0" w:space="0" w:color="auto"/>
        <w:right w:val="none" w:sz="0" w:space="0" w:color="auto"/>
      </w:divBdr>
    </w:div>
    <w:div w:id="1085489993">
      <w:bodyDiv w:val="1"/>
      <w:marLeft w:val="0"/>
      <w:marRight w:val="0"/>
      <w:marTop w:val="0"/>
      <w:marBottom w:val="0"/>
      <w:divBdr>
        <w:top w:val="none" w:sz="0" w:space="0" w:color="auto"/>
        <w:left w:val="none" w:sz="0" w:space="0" w:color="auto"/>
        <w:bottom w:val="none" w:sz="0" w:space="0" w:color="auto"/>
        <w:right w:val="none" w:sz="0" w:space="0" w:color="auto"/>
      </w:divBdr>
    </w:div>
    <w:div w:id="1088229923">
      <w:bodyDiv w:val="1"/>
      <w:marLeft w:val="0"/>
      <w:marRight w:val="0"/>
      <w:marTop w:val="0"/>
      <w:marBottom w:val="0"/>
      <w:divBdr>
        <w:top w:val="none" w:sz="0" w:space="0" w:color="auto"/>
        <w:left w:val="none" w:sz="0" w:space="0" w:color="auto"/>
        <w:bottom w:val="none" w:sz="0" w:space="0" w:color="auto"/>
        <w:right w:val="none" w:sz="0" w:space="0" w:color="auto"/>
      </w:divBdr>
    </w:div>
    <w:div w:id="1096176649">
      <w:bodyDiv w:val="1"/>
      <w:marLeft w:val="0"/>
      <w:marRight w:val="0"/>
      <w:marTop w:val="0"/>
      <w:marBottom w:val="0"/>
      <w:divBdr>
        <w:top w:val="none" w:sz="0" w:space="0" w:color="auto"/>
        <w:left w:val="none" w:sz="0" w:space="0" w:color="auto"/>
        <w:bottom w:val="none" w:sz="0" w:space="0" w:color="auto"/>
        <w:right w:val="none" w:sz="0" w:space="0" w:color="auto"/>
      </w:divBdr>
    </w:div>
    <w:div w:id="1097940498">
      <w:bodyDiv w:val="1"/>
      <w:marLeft w:val="0"/>
      <w:marRight w:val="0"/>
      <w:marTop w:val="0"/>
      <w:marBottom w:val="0"/>
      <w:divBdr>
        <w:top w:val="none" w:sz="0" w:space="0" w:color="auto"/>
        <w:left w:val="none" w:sz="0" w:space="0" w:color="auto"/>
        <w:bottom w:val="none" w:sz="0" w:space="0" w:color="auto"/>
        <w:right w:val="none" w:sz="0" w:space="0" w:color="auto"/>
      </w:divBdr>
    </w:div>
    <w:div w:id="1101417266">
      <w:bodyDiv w:val="1"/>
      <w:marLeft w:val="0"/>
      <w:marRight w:val="0"/>
      <w:marTop w:val="0"/>
      <w:marBottom w:val="0"/>
      <w:divBdr>
        <w:top w:val="none" w:sz="0" w:space="0" w:color="auto"/>
        <w:left w:val="none" w:sz="0" w:space="0" w:color="auto"/>
        <w:bottom w:val="none" w:sz="0" w:space="0" w:color="auto"/>
        <w:right w:val="none" w:sz="0" w:space="0" w:color="auto"/>
      </w:divBdr>
    </w:div>
    <w:div w:id="1102456673">
      <w:bodyDiv w:val="1"/>
      <w:marLeft w:val="0"/>
      <w:marRight w:val="0"/>
      <w:marTop w:val="0"/>
      <w:marBottom w:val="0"/>
      <w:divBdr>
        <w:top w:val="none" w:sz="0" w:space="0" w:color="auto"/>
        <w:left w:val="none" w:sz="0" w:space="0" w:color="auto"/>
        <w:bottom w:val="none" w:sz="0" w:space="0" w:color="auto"/>
        <w:right w:val="none" w:sz="0" w:space="0" w:color="auto"/>
      </w:divBdr>
      <w:divsChild>
        <w:div w:id="568536736">
          <w:marLeft w:val="0"/>
          <w:marRight w:val="0"/>
          <w:marTop w:val="0"/>
          <w:marBottom w:val="0"/>
          <w:divBdr>
            <w:top w:val="none" w:sz="0" w:space="0" w:color="auto"/>
            <w:left w:val="none" w:sz="0" w:space="0" w:color="auto"/>
            <w:bottom w:val="none" w:sz="0" w:space="0" w:color="auto"/>
            <w:right w:val="none" w:sz="0" w:space="0" w:color="auto"/>
          </w:divBdr>
        </w:div>
      </w:divsChild>
    </w:div>
    <w:div w:id="1102647863">
      <w:bodyDiv w:val="1"/>
      <w:marLeft w:val="0"/>
      <w:marRight w:val="0"/>
      <w:marTop w:val="0"/>
      <w:marBottom w:val="0"/>
      <w:divBdr>
        <w:top w:val="none" w:sz="0" w:space="0" w:color="auto"/>
        <w:left w:val="none" w:sz="0" w:space="0" w:color="auto"/>
        <w:bottom w:val="none" w:sz="0" w:space="0" w:color="auto"/>
        <w:right w:val="none" w:sz="0" w:space="0" w:color="auto"/>
      </w:divBdr>
    </w:div>
    <w:div w:id="1111046997">
      <w:bodyDiv w:val="1"/>
      <w:marLeft w:val="0"/>
      <w:marRight w:val="0"/>
      <w:marTop w:val="0"/>
      <w:marBottom w:val="0"/>
      <w:divBdr>
        <w:top w:val="none" w:sz="0" w:space="0" w:color="auto"/>
        <w:left w:val="none" w:sz="0" w:space="0" w:color="auto"/>
        <w:bottom w:val="none" w:sz="0" w:space="0" w:color="auto"/>
        <w:right w:val="none" w:sz="0" w:space="0" w:color="auto"/>
      </w:divBdr>
    </w:div>
    <w:div w:id="1116019147">
      <w:bodyDiv w:val="1"/>
      <w:marLeft w:val="0"/>
      <w:marRight w:val="0"/>
      <w:marTop w:val="0"/>
      <w:marBottom w:val="0"/>
      <w:divBdr>
        <w:top w:val="none" w:sz="0" w:space="0" w:color="auto"/>
        <w:left w:val="none" w:sz="0" w:space="0" w:color="auto"/>
        <w:bottom w:val="none" w:sz="0" w:space="0" w:color="auto"/>
        <w:right w:val="none" w:sz="0" w:space="0" w:color="auto"/>
      </w:divBdr>
    </w:div>
    <w:div w:id="1127240733">
      <w:bodyDiv w:val="1"/>
      <w:marLeft w:val="0"/>
      <w:marRight w:val="0"/>
      <w:marTop w:val="0"/>
      <w:marBottom w:val="0"/>
      <w:divBdr>
        <w:top w:val="none" w:sz="0" w:space="0" w:color="auto"/>
        <w:left w:val="none" w:sz="0" w:space="0" w:color="auto"/>
        <w:bottom w:val="none" w:sz="0" w:space="0" w:color="auto"/>
        <w:right w:val="none" w:sz="0" w:space="0" w:color="auto"/>
      </w:divBdr>
    </w:div>
    <w:div w:id="1128939653">
      <w:bodyDiv w:val="1"/>
      <w:marLeft w:val="0"/>
      <w:marRight w:val="0"/>
      <w:marTop w:val="0"/>
      <w:marBottom w:val="0"/>
      <w:divBdr>
        <w:top w:val="none" w:sz="0" w:space="0" w:color="auto"/>
        <w:left w:val="none" w:sz="0" w:space="0" w:color="auto"/>
        <w:bottom w:val="none" w:sz="0" w:space="0" w:color="auto"/>
        <w:right w:val="none" w:sz="0" w:space="0" w:color="auto"/>
      </w:divBdr>
    </w:div>
    <w:div w:id="1134519973">
      <w:bodyDiv w:val="1"/>
      <w:marLeft w:val="0"/>
      <w:marRight w:val="0"/>
      <w:marTop w:val="0"/>
      <w:marBottom w:val="0"/>
      <w:divBdr>
        <w:top w:val="none" w:sz="0" w:space="0" w:color="auto"/>
        <w:left w:val="none" w:sz="0" w:space="0" w:color="auto"/>
        <w:bottom w:val="none" w:sz="0" w:space="0" w:color="auto"/>
        <w:right w:val="none" w:sz="0" w:space="0" w:color="auto"/>
      </w:divBdr>
    </w:div>
    <w:div w:id="1146320496">
      <w:bodyDiv w:val="1"/>
      <w:marLeft w:val="0"/>
      <w:marRight w:val="0"/>
      <w:marTop w:val="0"/>
      <w:marBottom w:val="0"/>
      <w:divBdr>
        <w:top w:val="none" w:sz="0" w:space="0" w:color="auto"/>
        <w:left w:val="none" w:sz="0" w:space="0" w:color="auto"/>
        <w:bottom w:val="none" w:sz="0" w:space="0" w:color="auto"/>
        <w:right w:val="none" w:sz="0" w:space="0" w:color="auto"/>
      </w:divBdr>
    </w:div>
    <w:div w:id="1153109570">
      <w:bodyDiv w:val="1"/>
      <w:marLeft w:val="0"/>
      <w:marRight w:val="0"/>
      <w:marTop w:val="0"/>
      <w:marBottom w:val="0"/>
      <w:divBdr>
        <w:top w:val="none" w:sz="0" w:space="0" w:color="auto"/>
        <w:left w:val="none" w:sz="0" w:space="0" w:color="auto"/>
        <w:bottom w:val="none" w:sz="0" w:space="0" w:color="auto"/>
        <w:right w:val="none" w:sz="0" w:space="0" w:color="auto"/>
      </w:divBdr>
    </w:div>
    <w:div w:id="1154880322">
      <w:bodyDiv w:val="1"/>
      <w:marLeft w:val="0"/>
      <w:marRight w:val="0"/>
      <w:marTop w:val="0"/>
      <w:marBottom w:val="0"/>
      <w:divBdr>
        <w:top w:val="none" w:sz="0" w:space="0" w:color="auto"/>
        <w:left w:val="none" w:sz="0" w:space="0" w:color="auto"/>
        <w:bottom w:val="none" w:sz="0" w:space="0" w:color="auto"/>
        <w:right w:val="none" w:sz="0" w:space="0" w:color="auto"/>
      </w:divBdr>
    </w:div>
    <w:div w:id="1160003621">
      <w:bodyDiv w:val="1"/>
      <w:marLeft w:val="0"/>
      <w:marRight w:val="0"/>
      <w:marTop w:val="0"/>
      <w:marBottom w:val="0"/>
      <w:divBdr>
        <w:top w:val="none" w:sz="0" w:space="0" w:color="auto"/>
        <w:left w:val="none" w:sz="0" w:space="0" w:color="auto"/>
        <w:bottom w:val="none" w:sz="0" w:space="0" w:color="auto"/>
        <w:right w:val="none" w:sz="0" w:space="0" w:color="auto"/>
      </w:divBdr>
    </w:div>
    <w:div w:id="1161972427">
      <w:bodyDiv w:val="1"/>
      <w:marLeft w:val="0"/>
      <w:marRight w:val="0"/>
      <w:marTop w:val="0"/>
      <w:marBottom w:val="0"/>
      <w:divBdr>
        <w:top w:val="none" w:sz="0" w:space="0" w:color="auto"/>
        <w:left w:val="none" w:sz="0" w:space="0" w:color="auto"/>
        <w:bottom w:val="none" w:sz="0" w:space="0" w:color="auto"/>
        <w:right w:val="none" w:sz="0" w:space="0" w:color="auto"/>
      </w:divBdr>
    </w:div>
    <w:div w:id="1163619436">
      <w:bodyDiv w:val="1"/>
      <w:marLeft w:val="0"/>
      <w:marRight w:val="0"/>
      <w:marTop w:val="0"/>
      <w:marBottom w:val="0"/>
      <w:divBdr>
        <w:top w:val="none" w:sz="0" w:space="0" w:color="auto"/>
        <w:left w:val="none" w:sz="0" w:space="0" w:color="auto"/>
        <w:bottom w:val="none" w:sz="0" w:space="0" w:color="auto"/>
        <w:right w:val="none" w:sz="0" w:space="0" w:color="auto"/>
      </w:divBdr>
    </w:div>
    <w:div w:id="1169255277">
      <w:bodyDiv w:val="1"/>
      <w:marLeft w:val="0"/>
      <w:marRight w:val="0"/>
      <w:marTop w:val="0"/>
      <w:marBottom w:val="0"/>
      <w:divBdr>
        <w:top w:val="none" w:sz="0" w:space="0" w:color="auto"/>
        <w:left w:val="none" w:sz="0" w:space="0" w:color="auto"/>
        <w:bottom w:val="none" w:sz="0" w:space="0" w:color="auto"/>
        <w:right w:val="none" w:sz="0" w:space="0" w:color="auto"/>
      </w:divBdr>
    </w:div>
    <w:div w:id="1174763909">
      <w:bodyDiv w:val="1"/>
      <w:marLeft w:val="0"/>
      <w:marRight w:val="0"/>
      <w:marTop w:val="0"/>
      <w:marBottom w:val="0"/>
      <w:divBdr>
        <w:top w:val="none" w:sz="0" w:space="0" w:color="auto"/>
        <w:left w:val="none" w:sz="0" w:space="0" w:color="auto"/>
        <w:bottom w:val="none" w:sz="0" w:space="0" w:color="auto"/>
        <w:right w:val="none" w:sz="0" w:space="0" w:color="auto"/>
      </w:divBdr>
    </w:div>
    <w:div w:id="1178227947">
      <w:bodyDiv w:val="1"/>
      <w:marLeft w:val="0"/>
      <w:marRight w:val="0"/>
      <w:marTop w:val="0"/>
      <w:marBottom w:val="0"/>
      <w:divBdr>
        <w:top w:val="none" w:sz="0" w:space="0" w:color="auto"/>
        <w:left w:val="none" w:sz="0" w:space="0" w:color="auto"/>
        <w:bottom w:val="none" w:sz="0" w:space="0" w:color="auto"/>
        <w:right w:val="none" w:sz="0" w:space="0" w:color="auto"/>
      </w:divBdr>
    </w:div>
    <w:div w:id="1178538980">
      <w:bodyDiv w:val="1"/>
      <w:marLeft w:val="0"/>
      <w:marRight w:val="0"/>
      <w:marTop w:val="0"/>
      <w:marBottom w:val="0"/>
      <w:divBdr>
        <w:top w:val="none" w:sz="0" w:space="0" w:color="auto"/>
        <w:left w:val="none" w:sz="0" w:space="0" w:color="auto"/>
        <w:bottom w:val="none" w:sz="0" w:space="0" w:color="auto"/>
        <w:right w:val="none" w:sz="0" w:space="0" w:color="auto"/>
      </w:divBdr>
    </w:div>
    <w:div w:id="1186670700">
      <w:bodyDiv w:val="1"/>
      <w:marLeft w:val="0"/>
      <w:marRight w:val="0"/>
      <w:marTop w:val="0"/>
      <w:marBottom w:val="0"/>
      <w:divBdr>
        <w:top w:val="none" w:sz="0" w:space="0" w:color="auto"/>
        <w:left w:val="none" w:sz="0" w:space="0" w:color="auto"/>
        <w:bottom w:val="none" w:sz="0" w:space="0" w:color="auto"/>
        <w:right w:val="none" w:sz="0" w:space="0" w:color="auto"/>
      </w:divBdr>
    </w:div>
    <w:div w:id="1192962833">
      <w:bodyDiv w:val="1"/>
      <w:marLeft w:val="0"/>
      <w:marRight w:val="0"/>
      <w:marTop w:val="0"/>
      <w:marBottom w:val="0"/>
      <w:divBdr>
        <w:top w:val="none" w:sz="0" w:space="0" w:color="auto"/>
        <w:left w:val="none" w:sz="0" w:space="0" w:color="auto"/>
        <w:bottom w:val="none" w:sz="0" w:space="0" w:color="auto"/>
        <w:right w:val="none" w:sz="0" w:space="0" w:color="auto"/>
      </w:divBdr>
    </w:div>
    <w:div w:id="1195268913">
      <w:bodyDiv w:val="1"/>
      <w:marLeft w:val="0"/>
      <w:marRight w:val="0"/>
      <w:marTop w:val="0"/>
      <w:marBottom w:val="0"/>
      <w:divBdr>
        <w:top w:val="none" w:sz="0" w:space="0" w:color="auto"/>
        <w:left w:val="none" w:sz="0" w:space="0" w:color="auto"/>
        <w:bottom w:val="none" w:sz="0" w:space="0" w:color="auto"/>
        <w:right w:val="none" w:sz="0" w:space="0" w:color="auto"/>
      </w:divBdr>
    </w:div>
    <w:div w:id="1198010499">
      <w:bodyDiv w:val="1"/>
      <w:marLeft w:val="0"/>
      <w:marRight w:val="0"/>
      <w:marTop w:val="0"/>
      <w:marBottom w:val="0"/>
      <w:divBdr>
        <w:top w:val="none" w:sz="0" w:space="0" w:color="auto"/>
        <w:left w:val="none" w:sz="0" w:space="0" w:color="auto"/>
        <w:bottom w:val="none" w:sz="0" w:space="0" w:color="auto"/>
        <w:right w:val="none" w:sz="0" w:space="0" w:color="auto"/>
      </w:divBdr>
    </w:div>
    <w:div w:id="1198855864">
      <w:bodyDiv w:val="1"/>
      <w:marLeft w:val="0"/>
      <w:marRight w:val="0"/>
      <w:marTop w:val="0"/>
      <w:marBottom w:val="0"/>
      <w:divBdr>
        <w:top w:val="none" w:sz="0" w:space="0" w:color="auto"/>
        <w:left w:val="none" w:sz="0" w:space="0" w:color="auto"/>
        <w:bottom w:val="none" w:sz="0" w:space="0" w:color="auto"/>
        <w:right w:val="none" w:sz="0" w:space="0" w:color="auto"/>
      </w:divBdr>
    </w:div>
    <w:div w:id="1199663529">
      <w:bodyDiv w:val="1"/>
      <w:marLeft w:val="0"/>
      <w:marRight w:val="0"/>
      <w:marTop w:val="0"/>
      <w:marBottom w:val="0"/>
      <w:divBdr>
        <w:top w:val="none" w:sz="0" w:space="0" w:color="auto"/>
        <w:left w:val="none" w:sz="0" w:space="0" w:color="auto"/>
        <w:bottom w:val="none" w:sz="0" w:space="0" w:color="auto"/>
        <w:right w:val="none" w:sz="0" w:space="0" w:color="auto"/>
      </w:divBdr>
    </w:div>
    <w:div w:id="1206984897">
      <w:bodyDiv w:val="1"/>
      <w:marLeft w:val="0"/>
      <w:marRight w:val="0"/>
      <w:marTop w:val="0"/>
      <w:marBottom w:val="0"/>
      <w:divBdr>
        <w:top w:val="none" w:sz="0" w:space="0" w:color="auto"/>
        <w:left w:val="none" w:sz="0" w:space="0" w:color="auto"/>
        <w:bottom w:val="none" w:sz="0" w:space="0" w:color="auto"/>
        <w:right w:val="none" w:sz="0" w:space="0" w:color="auto"/>
      </w:divBdr>
    </w:div>
    <w:div w:id="1221215340">
      <w:bodyDiv w:val="1"/>
      <w:marLeft w:val="0"/>
      <w:marRight w:val="0"/>
      <w:marTop w:val="0"/>
      <w:marBottom w:val="0"/>
      <w:divBdr>
        <w:top w:val="none" w:sz="0" w:space="0" w:color="auto"/>
        <w:left w:val="none" w:sz="0" w:space="0" w:color="auto"/>
        <w:bottom w:val="none" w:sz="0" w:space="0" w:color="auto"/>
        <w:right w:val="none" w:sz="0" w:space="0" w:color="auto"/>
      </w:divBdr>
    </w:div>
    <w:div w:id="1227033641">
      <w:bodyDiv w:val="1"/>
      <w:marLeft w:val="0"/>
      <w:marRight w:val="0"/>
      <w:marTop w:val="0"/>
      <w:marBottom w:val="0"/>
      <w:divBdr>
        <w:top w:val="none" w:sz="0" w:space="0" w:color="auto"/>
        <w:left w:val="none" w:sz="0" w:space="0" w:color="auto"/>
        <w:bottom w:val="none" w:sz="0" w:space="0" w:color="auto"/>
        <w:right w:val="none" w:sz="0" w:space="0" w:color="auto"/>
      </w:divBdr>
    </w:div>
    <w:div w:id="1236160924">
      <w:bodyDiv w:val="1"/>
      <w:marLeft w:val="0"/>
      <w:marRight w:val="0"/>
      <w:marTop w:val="0"/>
      <w:marBottom w:val="0"/>
      <w:divBdr>
        <w:top w:val="none" w:sz="0" w:space="0" w:color="auto"/>
        <w:left w:val="none" w:sz="0" w:space="0" w:color="auto"/>
        <w:bottom w:val="none" w:sz="0" w:space="0" w:color="auto"/>
        <w:right w:val="none" w:sz="0" w:space="0" w:color="auto"/>
      </w:divBdr>
    </w:div>
    <w:div w:id="1239823615">
      <w:bodyDiv w:val="1"/>
      <w:marLeft w:val="0"/>
      <w:marRight w:val="0"/>
      <w:marTop w:val="0"/>
      <w:marBottom w:val="0"/>
      <w:divBdr>
        <w:top w:val="none" w:sz="0" w:space="0" w:color="auto"/>
        <w:left w:val="none" w:sz="0" w:space="0" w:color="auto"/>
        <w:bottom w:val="none" w:sz="0" w:space="0" w:color="auto"/>
        <w:right w:val="none" w:sz="0" w:space="0" w:color="auto"/>
      </w:divBdr>
    </w:div>
    <w:div w:id="1241939218">
      <w:bodyDiv w:val="1"/>
      <w:marLeft w:val="0"/>
      <w:marRight w:val="0"/>
      <w:marTop w:val="0"/>
      <w:marBottom w:val="0"/>
      <w:divBdr>
        <w:top w:val="none" w:sz="0" w:space="0" w:color="auto"/>
        <w:left w:val="none" w:sz="0" w:space="0" w:color="auto"/>
        <w:bottom w:val="none" w:sz="0" w:space="0" w:color="auto"/>
        <w:right w:val="none" w:sz="0" w:space="0" w:color="auto"/>
      </w:divBdr>
    </w:div>
    <w:div w:id="1243373095">
      <w:bodyDiv w:val="1"/>
      <w:marLeft w:val="0"/>
      <w:marRight w:val="0"/>
      <w:marTop w:val="0"/>
      <w:marBottom w:val="0"/>
      <w:divBdr>
        <w:top w:val="none" w:sz="0" w:space="0" w:color="auto"/>
        <w:left w:val="none" w:sz="0" w:space="0" w:color="auto"/>
        <w:bottom w:val="none" w:sz="0" w:space="0" w:color="auto"/>
        <w:right w:val="none" w:sz="0" w:space="0" w:color="auto"/>
      </w:divBdr>
    </w:div>
    <w:div w:id="1245995209">
      <w:bodyDiv w:val="1"/>
      <w:marLeft w:val="0"/>
      <w:marRight w:val="0"/>
      <w:marTop w:val="0"/>
      <w:marBottom w:val="0"/>
      <w:divBdr>
        <w:top w:val="none" w:sz="0" w:space="0" w:color="auto"/>
        <w:left w:val="none" w:sz="0" w:space="0" w:color="auto"/>
        <w:bottom w:val="none" w:sz="0" w:space="0" w:color="auto"/>
        <w:right w:val="none" w:sz="0" w:space="0" w:color="auto"/>
      </w:divBdr>
    </w:div>
    <w:div w:id="1265454476">
      <w:bodyDiv w:val="1"/>
      <w:marLeft w:val="0"/>
      <w:marRight w:val="0"/>
      <w:marTop w:val="0"/>
      <w:marBottom w:val="0"/>
      <w:divBdr>
        <w:top w:val="none" w:sz="0" w:space="0" w:color="auto"/>
        <w:left w:val="none" w:sz="0" w:space="0" w:color="auto"/>
        <w:bottom w:val="none" w:sz="0" w:space="0" w:color="auto"/>
        <w:right w:val="none" w:sz="0" w:space="0" w:color="auto"/>
      </w:divBdr>
    </w:div>
    <w:div w:id="1265457304">
      <w:bodyDiv w:val="1"/>
      <w:marLeft w:val="0"/>
      <w:marRight w:val="0"/>
      <w:marTop w:val="0"/>
      <w:marBottom w:val="0"/>
      <w:divBdr>
        <w:top w:val="none" w:sz="0" w:space="0" w:color="auto"/>
        <w:left w:val="none" w:sz="0" w:space="0" w:color="auto"/>
        <w:bottom w:val="none" w:sz="0" w:space="0" w:color="auto"/>
        <w:right w:val="none" w:sz="0" w:space="0" w:color="auto"/>
      </w:divBdr>
    </w:div>
    <w:div w:id="1270890343">
      <w:bodyDiv w:val="1"/>
      <w:marLeft w:val="0"/>
      <w:marRight w:val="0"/>
      <w:marTop w:val="0"/>
      <w:marBottom w:val="0"/>
      <w:divBdr>
        <w:top w:val="none" w:sz="0" w:space="0" w:color="auto"/>
        <w:left w:val="none" w:sz="0" w:space="0" w:color="auto"/>
        <w:bottom w:val="none" w:sz="0" w:space="0" w:color="auto"/>
        <w:right w:val="none" w:sz="0" w:space="0" w:color="auto"/>
      </w:divBdr>
    </w:div>
    <w:div w:id="1272124939">
      <w:bodyDiv w:val="1"/>
      <w:marLeft w:val="0"/>
      <w:marRight w:val="0"/>
      <w:marTop w:val="0"/>
      <w:marBottom w:val="0"/>
      <w:divBdr>
        <w:top w:val="none" w:sz="0" w:space="0" w:color="auto"/>
        <w:left w:val="none" w:sz="0" w:space="0" w:color="auto"/>
        <w:bottom w:val="none" w:sz="0" w:space="0" w:color="auto"/>
        <w:right w:val="none" w:sz="0" w:space="0" w:color="auto"/>
      </w:divBdr>
    </w:div>
    <w:div w:id="1277519543">
      <w:bodyDiv w:val="1"/>
      <w:marLeft w:val="0"/>
      <w:marRight w:val="0"/>
      <w:marTop w:val="0"/>
      <w:marBottom w:val="0"/>
      <w:divBdr>
        <w:top w:val="none" w:sz="0" w:space="0" w:color="auto"/>
        <w:left w:val="none" w:sz="0" w:space="0" w:color="auto"/>
        <w:bottom w:val="none" w:sz="0" w:space="0" w:color="auto"/>
        <w:right w:val="none" w:sz="0" w:space="0" w:color="auto"/>
      </w:divBdr>
    </w:div>
    <w:div w:id="1293901474">
      <w:bodyDiv w:val="1"/>
      <w:marLeft w:val="0"/>
      <w:marRight w:val="0"/>
      <w:marTop w:val="0"/>
      <w:marBottom w:val="0"/>
      <w:divBdr>
        <w:top w:val="none" w:sz="0" w:space="0" w:color="auto"/>
        <w:left w:val="none" w:sz="0" w:space="0" w:color="auto"/>
        <w:bottom w:val="none" w:sz="0" w:space="0" w:color="auto"/>
        <w:right w:val="none" w:sz="0" w:space="0" w:color="auto"/>
      </w:divBdr>
    </w:div>
    <w:div w:id="1296984820">
      <w:bodyDiv w:val="1"/>
      <w:marLeft w:val="0"/>
      <w:marRight w:val="0"/>
      <w:marTop w:val="0"/>
      <w:marBottom w:val="0"/>
      <w:divBdr>
        <w:top w:val="none" w:sz="0" w:space="0" w:color="auto"/>
        <w:left w:val="none" w:sz="0" w:space="0" w:color="auto"/>
        <w:bottom w:val="none" w:sz="0" w:space="0" w:color="auto"/>
        <w:right w:val="none" w:sz="0" w:space="0" w:color="auto"/>
      </w:divBdr>
    </w:div>
    <w:div w:id="1300649127">
      <w:bodyDiv w:val="1"/>
      <w:marLeft w:val="0"/>
      <w:marRight w:val="0"/>
      <w:marTop w:val="0"/>
      <w:marBottom w:val="0"/>
      <w:divBdr>
        <w:top w:val="none" w:sz="0" w:space="0" w:color="auto"/>
        <w:left w:val="none" w:sz="0" w:space="0" w:color="auto"/>
        <w:bottom w:val="none" w:sz="0" w:space="0" w:color="auto"/>
        <w:right w:val="none" w:sz="0" w:space="0" w:color="auto"/>
      </w:divBdr>
    </w:div>
    <w:div w:id="1305039484">
      <w:bodyDiv w:val="1"/>
      <w:marLeft w:val="0"/>
      <w:marRight w:val="0"/>
      <w:marTop w:val="0"/>
      <w:marBottom w:val="0"/>
      <w:divBdr>
        <w:top w:val="none" w:sz="0" w:space="0" w:color="auto"/>
        <w:left w:val="none" w:sz="0" w:space="0" w:color="auto"/>
        <w:bottom w:val="none" w:sz="0" w:space="0" w:color="auto"/>
        <w:right w:val="none" w:sz="0" w:space="0" w:color="auto"/>
      </w:divBdr>
    </w:div>
    <w:div w:id="1308196476">
      <w:bodyDiv w:val="1"/>
      <w:marLeft w:val="0"/>
      <w:marRight w:val="0"/>
      <w:marTop w:val="0"/>
      <w:marBottom w:val="0"/>
      <w:divBdr>
        <w:top w:val="none" w:sz="0" w:space="0" w:color="auto"/>
        <w:left w:val="none" w:sz="0" w:space="0" w:color="auto"/>
        <w:bottom w:val="none" w:sz="0" w:space="0" w:color="auto"/>
        <w:right w:val="none" w:sz="0" w:space="0" w:color="auto"/>
      </w:divBdr>
    </w:div>
    <w:div w:id="1310137641">
      <w:bodyDiv w:val="1"/>
      <w:marLeft w:val="0"/>
      <w:marRight w:val="0"/>
      <w:marTop w:val="0"/>
      <w:marBottom w:val="0"/>
      <w:divBdr>
        <w:top w:val="none" w:sz="0" w:space="0" w:color="auto"/>
        <w:left w:val="none" w:sz="0" w:space="0" w:color="auto"/>
        <w:bottom w:val="none" w:sz="0" w:space="0" w:color="auto"/>
        <w:right w:val="none" w:sz="0" w:space="0" w:color="auto"/>
      </w:divBdr>
    </w:div>
    <w:div w:id="1310750942">
      <w:bodyDiv w:val="1"/>
      <w:marLeft w:val="0"/>
      <w:marRight w:val="0"/>
      <w:marTop w:val="0"/>
      <w:marBottom w:val="0"/>
      <w:divBdr>
        <w:top w:val="none" w:sz="0" w:space="0" w:color="auto"/>
        <w:left w:val="none" w:sz="0" w:space="0" w:color="auto"/>
        <w:bottom w:val="none" w:sz="0" w:space="0" w:color="auto"/>
        <w:right w:val="none" w:sz="0" w:space="0" w:color="auto"/>
      </w:divBdr>
    </w:div>
    <w:div w:id="1314213720">
      <w:bodyDiv w:val="1"/>
      <w:marLeft w:val="0"/>
      <w:marRight w:val="0"/>
      <w:marTop w:val="0"/>
      <w:marBottom w:val="0"/>
      <w:divBdr>
        <w:top w:val="none" w:sz="0" w:space="0" w:color="auto"/>
        <w:left w:val="none" w:sz="0" w:space="0" w:color="auto"/>
        <w:bottom w:val="none" w:sz="0" w:space="0" w:color="auto"/>
        <w:right w:val="none" w:sz="0" w:space="0" w:color="auto"/>
      </w:divBdr>
    </w:div>
    <w:div w:id="1314216071">
      <w:bodyDiv w:val="1"/>
      <w:marLeft w:val="0"/>
      <w:marRight w:val="0"/>
      <w:marTop w:val="0"/>
      <w:marBottom w:val="0"/>
      <w:divBdr>
        <w:top w:val="none" w:sz="0" w:space="0" w:color="auto"/>
        <w:left w:val="none" w:sz="0" w:space="0" w:color="auto"/>
        <w:bottom w:val="none" w:sz="0" w:space="0" w:color="auto"/>
        <w:right w:val="none" w:sz="0" w:space="0" w:color="auto"/>
      </w:divBdr>
    </w:div>
    <w:div w:id="1315380235">
      <w:bodyDiv w:val="1"/>
      <w:marLeft w:val="0"/>
      <w:marRight w:val="0"/>
      <w:marTop w:val="0"/>
      <w:marBottom w:val="0"/>
      <w:divBdr>
        <w:top w:val="none" w:sz="0" w:space="0" w:color="auto"/>
        <w:left w:val="none" w:sz="0" w:space="0" w:color="auto"/>
        <w:bottom w:val="none" w:sz="0" w:space="0" w:color="auto"/>
        <w:right w:val="none" w:sz="0" w:space="0" w:color="auto"/>
      </w:divBdr>
    </w:div>
    <w:div w:id="1318194220">
      <w:bodyDiv w:val="1"/>
      <w:marLeft w:val="0"/>
      <w:marRight w:val="0"/>
      <w:marTop w:val="0"/>
      <w:marBottom w:val="0"/>
      <w:divBdr>
        <w:top w:val="none" w:sz="0" w:space="0" w:color="auto"/>
        <w:left w:val="none" w:sz="0" w:space="0" w:color="auto"/>
        <w:bottom w:val="none" w:sz="0" w:space="0" w:color="auto"/>
        <w:right w:val="none" w:sz="0" w:space="0" w:color="auto"/>
      </w:divBdr>
    </w:div>
    <w:div w:id="1325671178">
      <w:bodyDiv w:val="1"/>
      <w:marLeft w:val="0"/>
      <w:marRight w:val="0"/>
      <w:marTop w:val="0"/>
      <w:marBottom w:val="0"/>
      <w:divBdr>
        <w:top w:val="none" w:sz="0" w:space="0" w:color="auto"/>
        <w:left w:val="none" w:sz="0" w:space="0" w:color="auto"/>
        <w:bottom w:val="none" w:sz="0" w:space="0" w:color="auto"/>
        <w:right w:val="none" w:sz="0" w:space="0" w:color="auto"/>
      </w:divBdr>
    </w:div>
    <w:div w:id="1330449200">
      <w:bodyDiv w:val="1"/>
      <w:marLeft w:val="0"/>
      <w:marRight w:val="0"/>
      <w:marTop w:val="0"/>
      <w:marBottom w:val="0"/>
      <w:divBdr>
        <w:top w:val="none" w:sz="0" w:space="0" w:color="auto"/>
        <w:left w:val="none" w:sz="0" w:space="0" w:color="auto"/>
        <w:bottom w:val="none" w:sz="0" w:space="0" w:color="auto"/>
        <w:right w:val="none" w:sz="0" w:space="0" w:color="auto"/>
      </w:divBdr>
    </w:div>
    <w:div w:id="1330598947">
      <w:bodyDiv w:val="1"/>
      <w:marLeft w:val="0"/>
      <w:marRight w:val="0"/>
      <w:marTop w:val="0"/>
      <w:marBottom w:val="0"/>
      <w:divBdr>
        <w:top w:val="none" w:sz="0" w:space="0" w:color="auto"/>
        <w:left w:val="none" w:sz="0" w:space="0" w:color="auto"/>
        <w:bottom w:val="none" w:sz="0" w:space="0" w:color="auto"/>
        <w:right w:val="none" w:sz="0" w:space="0" w:color="auto"/>
      </w:divBdr>
    </w:div>
    <w:div w:id="1330600453">
      <w:bodyDiv w:val="1"/>
      <w:marLeft w:val="0"/>
      <w:marRight w:val="0"/>
      <w:marTop w:val="0"/>
      <w:marBottom w:val="0"/>
      <w:divBdr>
        <w:top w:val="none" w:sz="0" w:space="0" w:color="auto"/>
        <w:left w:val="none" w:sz="0" w:space="0" w:color="auto"/>
        <w:bottom w:val="none" w:sz="0" w:space="0" w:color="auto"/>
        <w:right w:val="none" w:sz="0" w:space="0" w:color="auto"/>
      </w:divBdr>
    </w:div>
    <w:div w:id="1336811269">
      <w:bodyDiv w:val="1"/>
      <w:marLeft w:val="0"/>
      <w:marRight w:val="0"/>
      <w:marTop w:val="0"/>
      <w:marBottom w:val="0"/>
      <w:divBdr>
        <w:top w:val="none" w:sz="0" w:space="0" w:color="auto"/>
        <w:left w:val="none" w:sz="0" w:space="0" w:color="auto"/>
        <w:bottom w:val="none" w:sz="0" w:space="0" w:color="auto"/>
        <w:right w:val="none" w:sz="0" w:space="0" w:color="auto"/>
      </w:divBdr>
    </w:div>
    <w:div w:id="1342469296">
      <w:bodyDiv w:val="1"/>
      <w:marLeft w:val="0"/>
      <w:marRight w:val="0"/>
      <w:marTop w:val="0"/>
      <w:marBottom w:val="0"/>
      <w:divBdr>
        <w:top w:val="none" w:sz="0" w:space="0" w:color="auto"/>
        <w:left w:val="none" w:sz="0" w:space="0" w:color="auto"/>
        <w:bottom w:val="none" w:sz="0" w:space="0" w:color="auto"/>
        <w:right w:val="none" w:sz="0" w:space="0" w:color="auto"/>
      </w:divBdr>
    </w:div>
    <w:div w:id="1347289907">
      <w:bodyDiv w:val="1"/>
      <w:marLeft w:val="0"/>
      <w:marRight w:val="0"/>
      <w:marTop w:val="0"/>
      <w:marBottom w:val="0"/>
      <w:divBdr>
        <w:top w:val="none" w:sz="0" w:space="0" w:color="auto"/>
        <w:left w:val="none" w:sz="0" w:space="0" w:color="auto"/>
        <w:bottom w:val="none" w:sz="0" w:space="0" w:color="auto"/>
        <w:right w:val="none" w:sz="0" w:space="0" w:color="auto"/>
      </w:divBdr>
    </w:div>
    <w:div w:id="1349480068">
      <w:bodyDiv w:val="1"/>
      <w:marLeft w:val="0"/>
      <w:marRight w:val="0"/>
      <w:marTop w:val="0"/>
      <w:marBottom w:val="0"/>
      <w:divBdr>
        <w:top w:val="none" w:sz="0" w:space="0" w:color="auto"/>
        <w:left w:val="none" w:sz="0" w:space="0" w:color="auto"/>
        <w:bottom w:val="none" w:sz="0" w:space="0" w:color="auto"/>
        <w:right w:val="none" w:sz="0" w:space="0" w:color="auto"/>
      </w:divBdr>
    </w:div>
    <w:div w:id="1351761321">
      <w:bodyDiv w:val="1"/>
      <w:marLeft w:val="0"/>
      <w:marRight w:val="0"/>
      <w:marTop w:val="0"/>
      <w:marBottom w:val="0"/>
      <w:divBdr>
        <w:top w:val="none" w:sz="0" w:space="0" w:color="auto"/>
        <w:left w:val="none" w:sz="0" w:space="0" w:color="auto"/>
        <w:bottom w:val="none" w:sz="0" w:space="0" w:color="auto"/>
        <w:right w:val="none" w:sz="0" w:space="0" w:color="auto"/>
      </w:divBdr>
    </w:div>
    <w:div w:id="1355765040">
      <w:bodyDiv w:val="1"/>
      <w:marLeft w:val="0"/>
      <w:marRight w:val="0"/>
      <w:marTop w:val="0"/>
      <w:marBottom w:val="0"/>
      <w:divBdr>
        <w:top w:val="none" w:sz="0" w:space="0" w:color="auto"/>
        <w:left w:val="none" w:sz="0" w:space="0" w:color="auto"/>
        <w:bottom w:val="none" w:sz="0" w:space="0" w:color="auto"/>
        <w:right w:val="none" w:sz="0" w:space="0" w:color="auto"/>
      </w:divBdr>
    </w:div>
    <w:div w:id="1357081043">
      <w:bodyDiv w:val="1"/>
      <w:marLeft w:val="0"/>
      <w:marRight w:val="0"/>
      <w:marTop w:val="0"/>
      <w:marBottom w:val="0"/>
      <w:divBdr>
        <w:top w:val="none" w:sz="0" w:space="0" w:color="auto"/>
        <w:left w:val="none" w:sz="0" w:space="0" w:color="auto"/>
        <w:bottom w:val="none" w:sz="0" w:space="0" w:color="auto"/>
        <w:right w:val="none" w:sz="0" w:space="0" w:color="auto"/>
      </w:divBdr>
    </w:div>
    <w:div w:id="1361005332">
      <w:bodyDiv w:val="1"/>
      <w:marLeft w:val="0"/>
      <w:marRight w:val="0"/>
      <w:marTop w:val="0"/>
      <w:marBottom w:val="0"/>
      <w:divBdr>
        <w:top w:val="none" w:sz="0" w:space="0" w:color="auto"/>
        <w:left w:val="none" w:sz="0" w:space="0" w:color="auto"/>
        <w:bottom w:val="none" w:sz="0" w:space="0" w:color="auto"/>
        <w:right w:val="none" w:sz="0" w:space="0" w:color="auto"/>
      </w:divBdr>
    </w:div>
    <w:div w:id="1367758788">
      <w:bodyDiv w:val="1"/>
      <w:marLeft w:val="0"/>
      <w:marRight w:val="0"/>
      <w:marTop w:val="0"/>
      <w:marBottom w:val="0"/>
      <w:divBdr>
        <w:top w:val="none" w:sz="0" w:space="0" w:color="auto"/>
        <w:left w:val="none" w:sz="0" w:space="0" w:color="auto"/>
        <w:bottom w:val="none" w:sz="0" w:space="0" w:color="auto"/>
        <w:right w:val="none" w:sz="0" w:space="0" w:color="auto"/>
      </w:divBdr>
    </w:div>
    <w:div w:id="1381975223">
      <w:bodyDiv w:val="1"/>
      <w:marLeft w:val="0"/>
      <w:marRight w:val="0"/>
      <w:marTop w:val="0"/>
      <w:marBottom w:val="0"/>
      <w:divBdr>
        <w:top w:val="none" w:sz="0" w:space="0" w:color="auto"/>
        <w:left w:val="none" w:sz="0" w:space="0" w:color="auto"/>
        <w:bottom w:val="none" w:sz="0" w:space="0" w:color="auto"/>
        <w:right w:val="none" w:sz="0" w:space="0" w:color="auto"/>
      </w:divBdr>
    </w:div>
    <w:div w:id="1393383405">
      <w:bodyDiv w:val="1"/>
      <w:marLeft w:val="0"/>
      <w:marRight w:val="0"/>
      <w:marTop w:val="0"/>
      <w:marBottom w:val="0"/>
      <w:divBdr>
        <w:top w:val="none" w:sz="0" w:space="0" w:color="auto"/>
        <w:left w:val="none" w:sz="0" w:space="0" w:color="auto"/>
        <w:bottom w:val="none" w:sz="0" w:space="0" w:color="auto"/>
        <w:right w:val="none" w:sz="0" w:space="0" w:color="auto"/>
      </w:divBdr>
    </w:div>
    <w:div w:id="1411731589">
      <w:bodyDiv w:val="1"/>
      <w:marLeft w:val="0"/>
      <w:marRight w:val="0"/>
      <w:marTop w:val="0"/>
      <w:marBottom w:val="0"/>
      <w:divBdr>
        <w:top w:val="none" w:sz="0" w:space="0" w:color="auto"/>
        <w:left w:val="none" w:sz="0" w:space="0" w:color="auto"/>
        <w:bottom w:val="none" w:sz="0" w:space="0" w:color="auto"/>
        <w:right w:val="none" w:sz="0" w:space="0" w:color="auto"/>
      </w:divBdr>
    </w:div>
    <w:div w:id="1414158194">
      <w:bodyDiv w:val="1"/>
      <w:marLeft w:val="0"/>
      <w:marRight w:val="0"/>
      <w:marTop w:val="0"/>
      <w:marBottom w:val="0"/>
      <w:divBdr>
        <w:top w:val="none" w:sz="0" w:space="0" w:color="auto"/>
        <w:left w:val="none" w:sz="0" w:space="0" w:color="auto"/>
        <w:bottom w:val="none" w:sz="0" w:space="0" w:color="auto"/>
        <w:right w:val="none" w:sz="0" w:space="0" w:color="auto"/>
      </w:divBdr>
    </w:div>
    <w:div w:id="1417241509">
      <w:bodyDiv w:val="1"/>
      <w:marLeft w:val="0"/>
      <w:marRight w:val="0"/>
      <w:marTop w:val="0"/>
      <w:marBottom w:val="0"/>
      <w:divBdr>
        <w:top w:val="none" w:sz="0" w:space="0" w:color="auto"/>
        <w:left w:val="none" w:sz="0" w:space="0" w:color="auto"/>
        <w:bottom w:val="none" w:sz="0" w:space="0" w:color="auto"/>
        <w:right w:val="none" w:sz="0" w:space="0" w:color="auto"/>
      </w:divBdr>
    </w:div>
    <w:div w:id="1418818697">
      <w:bodyDiv w:val="1"/>
      <w:marLeft w:val="0"/>
      <w:marRight w:val="0"/>
      <w:marTop w:val="0"/>
      <w:marBottom w:val="0"/>
      <w:divBdr>
        <w:top w:val="none" w:sz="0" w:space="0" w:color="auto"/>
        <w:left w:val="none" w:sz="0" w:space="0" w:color="auto"/>
        <w:bottom w:val="none" w:sz="0" w:space="0" w:color="auto"/>
        <w:right w:val="none" w:sz="0" w:space="0" w:color="auto"/>
      </w:divBdr>
    </w:div>
    <w:div w:id="1423381016">
      <w:bodyDiv w:val="1"/>
      <w:marLeft w:val="0"/>
      <w:marRight w:val="0"/>
      <w:marTop w:val="0"/>
      <w:marBottom w:val="0"/>
      <w:divBdr>
        <w:top w:val="none" w:sz="0" w:space="0" w:color="auto"/>
        <w:left w:val="none" w:sz="0" w:space="0" w:color="auto"/>
        <w:bottom w:val="none" w:sz="0" w:space="0" w:color="auto"/>
        <w:right w:val="none" w:sz="0" w:space="0" w:color="auto"/>
      </w:divBdr>
    </w:div>
    <w:div w:id="1424182269">
      <w:bodyDiv w:val="1"/>
      <w:marLeft w:val="0"/>
      <w:marRight w:val="0"/>
      <w:marTop w:val="0"/>
      <w:marBottom w:val="0"/>
      <w:divBdr>
        <w:top w:val="none" w:sz="0" w:space="0" w:color="auto"/>
        <w:left w:val="none" w:sz="0" w:space="0" w:color="auto"/>
        <w:bottom w:val="none" w:sz="0" w:space="0" w:color="auto"/>
        <w:right w:val="none" w:sz="0" w:space="0" w:color="auto"/>
      </w:divBdr>
    </w:div>
    <w:div w:id="1429544834">
      <w:bodyDiv w:val="1"/>
      <w:marLeft w:val="0"/>
      <w:marRight w:val="0"/>
      <w:marTop w:val="0"/>
      <w:marBottom w:val="0"/>
      <w:divBdr>
        <w:top w:val="none" w:sz="0" w:space="0" w:color="auto"/>
        <w:left w:val="none" w:sz="0" w:space="0" w:color="auto"/>
        <w:bottom w:val="none" w:sz="0" w:space="0" w:color="auto"/>
        <w:right w:val="none" w:sz="0" w:space="0" w:color="auto"/>
      </w:divBdr>
    </w:div>
    <w:div w:id="1433277617">
      <w:bodyDiv w:val="1"/>
      <w:marLeft w:val="0"/>
      <w:marRight w:val="0"/>
      <w:marTop w:val="0"/>
      <w:marBottom w:val="0"/>
      <w:divBdr>
        <w:top w:val="none" w:sz="0" w:space="0" w:color="auto"/>
        <w:left w:val="none" w:sz="0" w:space="0" w:color="auto"/>
        <w:bottom w:val="none" w:sz="0" w:space="0" w:color="auto"/>
        <w:right w:val="none" w:sz="0" w:space="0" w:color="auto"/>
      </w:divBdr>
    </w:div>
    <w:div w:id="1452087177">
      <w:bodyDiv w:val="1"/>
      <w:marLeft w:val="0"/>
      <w:marRight w:val="0"/>
      <w:marTop w:val="0"/>
      <w:marBottom w:val="0"/>
      <w:divBdr>
        <w:top w:val="none" w:sz="0" w:space="0" w:color="auto"/>
        <w:left w:val="none" w:sz="0" w:space="0" w:color="auto"/>
        <w:bottom w:val="none" w:sz="0" w:space="0" w:color="auto"/>
        <w:right w:val="none" w:sz="0" w:space="0" w:color="auto"/>
      </w:divBdr>
    </w:div>
    <w:div w:id="1452743396">
      <w:bodyDiv w:val="1"/>
      <w:marLeft w:val="0"/>
      <w:marRight w:val="0"/>
      <w:marTop w:val="0"/>
      <w:marBottom w:val="0"/>
      <w:divBdr>
        <w:top w:val="none" w:sz="0" w:space="0" w:color="auto"/>
        <w:left w:val="none" w:sz="0" w:space="0" w:color="auto"/>
        <w:bottom w:val="none" w:sz="0" w:space="0" w:color="auto"/>
        <w:right w:val="none" w:sz="0" w:space="0" w:color="auto"/>
      </w:divBdr>
    </w:div>
    <w:div w:id="1453286919">
      <w:bodyDiv w:val="1"/>
      <w:marLeft w:val="0"/>
      <w:marRight w:val="0"/>
      <w:marTop w:val="0"/>
      <w:marBottom w:val="0"/>
      <w:divBdr>
        <w:top w:val="none" w:sz="0" w:space="0" w:color="auto"/>
        <w:left w:val="none" w:sz="0" w:space="0" w:color="auto"/>
        <w:bottom w:val="none" w:sz="0" w:space="0" w:color="auto"/>
        <w:right w:val="none" w:sz="0" w:space="0" w:color="auto"/>
      </w:divBdr>
    </w:div>
    <w:div w:id="1455296161">
      <w:bodyDiv w:val="1"/>
      <w:marLeft w:val="0"/>
      <w:marRight w:val="0"/>
      <w:marTop w:val="0"/>
      <w:marBottom w:val="0"/>
      <w:divBdr>
        <w:top w:val="none" w:sz="0" w:space="0" w:color="auto"/>
        <w:left w:val="none" w:sz="0" w:space="0" w:color="auto"/>
        <w:bottom w:val="none" w:sz="0" w:space="0" w:color="auto"/>
        <w:right w:val="none" w:sz="0" w:space="0" w:color="auto"/>
      </w:divBdr>
    </w:div>
    <w:div w:id="1455515186">
      <w:bodyDiv w:val="1"/>
      <w:marLeft w:val="0"/>
      <w:marRight w:val="0"/>
      <w:marTop w:val="0"/>
      <w:marBottom w:val="0"/>
      <w:divBdr>
        <w:top w:val="none" w:sz="0" w:space="0" w:color="auto"/>
        <w:left w:val="none" w:sz="0" w:space="0" w:color="auto"/>
        <w:bottom w:val="none" w:sz="0" w:space="0" w:color="auto"/>
        <w:right w:val="none" w:sz="0" w:space="0" w:color="auto"/>
      </w:divBdr>
    </w:div>
    <w:div w:id="1456410829">
      <w:bodyDiv w:val="1"/>
      <w:marLeft w:val="0"/>
      <w:marRight w:val="0"/>
      <w:marTop w:val="0"/>
      <w:marBottom w:val="0"/>
      <w:divBdr>
        <w:top w:val="none" w:sz="0" w:space="0" w:color="auto"/>
        <w:left w:val="none" w:sz="0" w:space="0" w:color="auto"/>
        <w:bottom w:val="none" w:sz="0" w:space="0" w:color="auto"/>
        <w:right w:val="none" w:sz="0" w:space="0" w:color="auto"/>
      </w:divBdr>
    </w:div>
    <w:div w:id="1456488928">
      <w:bodyDiv w:val="1"/>
      <w:marLeft w:val="0"/>
      <w:marRight w:val="0"/>
      <w:marTop w:val="0"/>
      <w:marBottom w:val="0"/>
      <w:divBdr>
        <w:top w:val="none" w:sz="0" w:space="0" w:color="auto"/>
        <w:left w:val="none" w:sz="0" w:space="0" w:color="auto"/>
        <w:bottom w:val="none" w:sz="0" w:space="0" w:color="auto"/>
        <w:right w:val="none" w:sz="0" w:space="0" w:color="auto"/>
      </w:divBdr>
    </w:div>
    <w:div w:id="1456831604">
      <w:bodyDiv w:val="1"/>
      <w:marLeft w:val="0"/>
      <w:marRight w:val="0"/>
      <w:marTop w:val="0"/>
      <w:marBottom w:val="0"/>
      <w:divBdr>
        <w:top w:val="none" w:sz="0" w:space="0" w:color="auto"/>
        <w:left w:val="none" w:sz="0" w:space="0" w:color="auto"/>
        <w:bottom w:val="none" w:sz="0" w:space="0" w:color="auto"/>
        <w:right w:val="none" w:sz="0" w:space="0" w:color="auto"/>
      </w:divBdr>
    </w:div>
    <w:div w:id="1466854488">
      <w:bodyDiv w:val="1"/>
      <w:marLeft w:val="0"/>
      <w:marRight w:val="0"/>
      <w:marTop w:val="0"/>
      <w:marBottom w:val="0"/>
      <w:divBdr>
        <w:top w:val="none" w:sz="0" w:space="0" w:color="auto"/>
        <w:left w:val="none" w:sz="0" w:space="0" w:color="auto"/>
        <w:bottom w:val="none" w:sz="0" w:space="0" w:color="auto"/>
        <w:right w:val="none" w:sz="0" w:space="0" w:color="auto"/>
      </w:divBdr>
    </w:div>
    <w:div w:id="1470129205">
      <w:bodyDiv w:val="1"/>
      <w:marLeft w:val="0"/>
      <w:marRight w:val="0"/>
      <w:marTop w:val="0"/>
      <w:marBottom w:val="0"/>
      <w:divBdr>
        <w:top w:val="none" w:sz="0" w:space="0" w:color="auto"/>
        <w:left w:val="none" w:sz="0" w:space="0" w:color="auto"/>
        <w:bottom w:val="none" w:sz="0" w:space="0" w:color="auto"/>
        <w:right w:val="none" w:sz="0" w:space="0" w:color="auto"/>
      </w:divBdr>
    </w:div>
    <w:div w:id="1470630886">
      <w:bodyDiv w:val="1"/>
      <w:marLeft w:val="0"/>
      <w:marRight w:val="0"/>
      <w:marTop w:val="0"/>
      <w:marBottom w:val="0"/>
      <w:divBdr>
        <w:top w:val="none" w:sz="0" w:space="0" w:color="auto"/>
        <w:left w:val="none" w:sz="0" w:space="0" w:color="auto"/>
        <w:bottom w:val="none" w:sz="0" w:space="0" w:color="auto"/>
        <w:right w:val="none" w:sz="0" w:space="0" w:color="auto"/>
      </w:divBdr>
    </w:div>
    <w:div w:id="1476489253">
      <w:bodyDiv w:val="1"/>
      <w:marLeft w:val="0"/>
      <w:marRight w:val="0"/>
      <w:marTop w:val="0"/>
      <w:marBottom w:val="0"/>
      <w:divBdr>
        <w:top w:val="none" w:sz="0" w:space="0" w:color="auto"/>
        <w:left w:val="none" w:sz="0" w:space="0" w:color="auto"/>
        <w:bottom w:val="none" w:sz="0" w:space="0" w:color="auto"/>
        <w:right w:val="none" w:sz="0" w:space="0" w:color="auto"/>
      </w:divBdr>
    </w:div>
    <w:div w:id="1477987948">
      <w:bodyDiv w:val="1"/>
      <w:marLeft w:val="0"/>
      <w:marRight w:val="0"/>
      <w:marTop w:val="0"/>
      <w:marBottom w:val="0"/>
      <w:divBdr>
        <w:top w:val="none" w:sz="0" w:space="0" w:color="auto"/>
        <w:left w:val="none" w:sz="0" w:space="0" w:color="auto"/>
        <w:bottom w:val="none" w:sz="0" w:space="0" w:color="auto"/>
        <w:right w:val="none" w:sz="0" w:space="0" w:color="auto"/>
      </w:divBdr>
    </w:div>
    <w:div w:id="1478841925">
      <w:bodyDiv w:val="1"/>
      <w:marLeft w:val="0"/>
      <w:marRight w:val="0"/>
      <w:marTop w:val="0"/>
      <w:marBottom w:val="0"/>
      <w:divBdr>
        <w:top w:val="none" w:sz="0" w:space="0" w:color="auto"/>
        <w:left w:val="none" w:sz="0" w:space="0" w:color="auto"/>
        <w:bottom w:val="none" w:sz="0" w:space="0" w:color="auto"/>
        <w:right w:val="none" w:sz="0" w:space="0" w:color="auto"/>
      </w:divBdr>
    </w:div>
    <w:div w:id="1481728403">
      <w:bodyDiv w:val="1"/>
      <w:marLeft w:val="0"/>
      <w:marRight w:val="0"/>
      <w:marTop w:val="0"/>
      <w:marBottom w:val="0"/>
      <w:divBdr>
        <w:top w:val="none" w:sz="0" w:space="0" w:color="auto"/>
        <w:left w:val="none" w:sz="0" w:space="0" w:color="auto"/>
        <w:bottom w:val="none" w:sz="0" w:space="0" w:color="auto"/>
        <w:right w:val="none" w:sz="0" w:space="0" w:color="auto"/>
      </w:divBdr>
    </w:div>
    <w:div w:id="1492481940">
      <w:bodyDiv w:val="1"/>
      <w:marLeft w:val="0"/>
      <w:marRight w:val="0"/>
      <w:marTop w:val="0"/>
      <w:marBottom w:val="0"/>
      <w:divBdr>
        <w:top w:val="none" w:sz="0" w:space="0" w:color="auto"/>
        <w:left w:val="none" w:sz="0" w:space="0" w:color="auto"/>
        <w:bottom w:val="none" w:sz="0" w:space="0" w:color="auto"/>
        <w:right w:val="none" w:sz="0" w:space="0" w:color="auto"/>
      </w:divBdr>
    </w:div>
    <w:div w:id="1493643695">
      <w:bodyDiv w:val="1"/>
      <w:marLeft w:val="0"/>
      <w:marRight w:val="0"/>
      <w:marTop w:val="0"/>
      <w:marBottom w:val="0"/>
      <w:divBdr>
        <w:top w:val="none" w:sz="0" w:space="0" w:color="auto"/>
        <w:left w:val="none" w:sz="0" w:space="0" w:color="auto"/>
        <w:bottom w:val="none" w:sz="0" w:space="0" w:color="auto"/>
        <w:right w:val="none" w:sz="0" w:space="0" w:color="auto"/>
      </w:divBdr>
    </w:div>
    <w:div w:id="1495753958">
      <w:bodyDiv w:val="1"/>
      <w:marLeft w:val="0"/>
      <w:marRight w:val="0"/>
      <w:marTop w:val="0"/>
      <w:marBottom w:val="0"/>
      <w:divBdr>
        <w:top w:val="none" w:sz="0" w:space="0" w:color="auto"/>
        <w:left w:val="none" w:sz="0" w:space="0" w:color="auto"/>
        <w:bottom w:val="none" w:sz="0" w:space="0" w:color="auto"/>
        <w:right w:val="none" w:sz="0" w:space="0" w:color="auto"/>
      </w:divBdr>
    </w:div>
    <w:div w:id="1505632230">
      <w:bodyDiv w:val="1"/>
      <w:marLeft w:val="0"/>
      <w:marRight w:val="0"/>
      <w:marTop w:val="0"/>
      <w:marBottom w:val="0"/>
      <w:divBdr>
        <w:top w:val="none" w:sz="0" w:space="0" w:color="auto"/>
        <w:left w:val="none" w:sz="0" w:space="0" w:color="auto"/>
        <w:bottom w:val="none" w:sz="0" w:space="0" w:color="auto"/>
        <w:right w:val="none" w:sz="0" w:space="0" w:color="auto"/>
      </w:divBdr>
    </w:div>
    <w:div w:id="1509440105">
      <w:bodyDiv w:val="1"/>
      <w:marLeft w:val="0"/>
      <w:marRight w:val="0"/>
      <w:marTop w:val="0"/>
      <w:marBottom w:val="0"/>
      <w:divBdr>
        <w:top w:val="none" w:sz="0" w:space="0" w:color="auto"/>
        <w:left w:val="none" w:sz="0" w:space="0" w:color="auto"/>
        <w:bottom w:val="none" w:sz="0" w:space="0" w:color="auto"/>
        <w:right w:val="none" w:sz="0" w:space="0" w:color="auto"/>
      </w:divBdr>
    </w:div>
    <w:div w:id="1514219583">
      <w:bodyDiv w:val="1"/>
      <w:marLeft w:val="0"/>
      <w:marRight w:val="0"/>
      <w:marTop w:val="0"/>
      <w:marBottom w:val="0"/>
      <w:divBdr>
        <w:top w:val="none" w:sz="0" w:space="0" w:color="auto"/>
        <w:left w:val="none" w:sz="0" w:space="0" w:color="auto"/>
        <w:bottom w:val="none" w:sz="0" w:space="0" w:color="auto"/>
        <w:right w:val="none" w:sz="0" w:space="0" w:color="auto"/>
      </w:divBdr>
    </w:div>
    <w:div w:id="1517957886">
      <w:bodyDiv w:val="1"/>
      <w:marLeft w:val="0"/>
      <w:marRight w:val="0"/>
      <w:marTop w:val="0"/>
      <w:marBottom w:val="0"/>
      <w:divBdr>
        <w:top w:val="none" w:sz="0" w:space="0" w:color="auto"/>
        <w:left w:val="none" w:sz="0" w:space="0" w:color="auto"/>
        <w:bottom w:val="none" w:sz="0" w:space="0" w:color="auto"/>
        <w:right w:val="none" w:sz="0" w:space="0" w:color="auto"/>
      </w:divBdr>
    </w:div>
    <w:div w:id="1524980801">
      <w:bodyDiv w:val="1"/>
      <w:marLeft w:val="0"/>
      <w:marRight w:val="0"/>
      <w:marTop w:val="0"/>
      <w:marBottom w:val="0"/>
      <w:divBdr>
        <w:top w:val="none" w:sz="0" w:space="0" w:color="auto"/>
        <w:left w:val="none" w:sz="0" w:space="0" w:color="auto"/>
        <w:bottom w:val="none" w:sz="0" w:space="0" w:color="auto"/>
        <w:right w:val="none" w:sz="0" w:space="0" w:color="auto"/>
      </w:divBdr>
    </w:div>
    <w:div w:id="1528981740">
      <w:bodyDiv w:val="1"/>
      <w:marLeft w:val="0"/>
      <w:marRight w:val="0"/>
      <w:marTop w:val="0"/>
      <w:marBottom w:val="0"/>
      <w:divBdr>
        <w:top w:val="none" w:sz="0" w:space="0" w:color="auto"/>
        <w:left w:val="none" w:sz="0" w:space="0" w:color="auto"/>
        <w:bottom w:val="none" w:sz="0" w:space="0" w:color="auto"/>
        <w:right w:val="none" w:sz="0" w:space="0" w:color="auto"/>
      </w:divBdr>
    </w:div>
    <w:div w:id="1531454694">
      <w:bodyDiv w:val="1"/>
      <w:marLeft w:val="0"/>
      <w:marRight w:val="0"/>
      <w:marTop w:val="0"/>
      <w:marBottom w:val="0"/>
      <w:divBdr>
        <w:top w:val="none" w:sz="0" w:space="0" w:color="auto"/>
        <w:left w:val="none" w:sz="0" w:space="0" w:color="auto"/>
        <w:bottom w:val="none" w:sz="0" w:space="0" w:color="auto"/>
        <w:right w:val="none" w:sz="0" w:space="0" w:color="auto"/>
      </w:divBdr>
    </w:div>
    <w:div w:id="1541165358">
      <w:bodyDiv w:val="1"/>
      <w:marLeft w:val="0"/>
      <w:marRight w:val="0"/>
      <w:marTop w:val="0"/>
      <w:marBottom w:val="0"/>
      <w:divBdr>
        <w:top w:val="none" w:sz="0" w:space="0" w:color="auto"/>
        <w:left w:val="none" w:sz="0" w:space="0" w:color="auto"/>
        <w:bottom w:val="none" w:sz="0" w:space="0" w:color="auto"/>
        <w:right w:val="none" w:sz="0" w:space="0" w:color="auto"/>
      </w:divBdr>
    </w:div>
    <w:div w:id="1546335797">
      <w:bodyDiv w:val="1"/>
      <w:marLeft w:val="0"/>
      <w:marRight w:val="0"/>
      <w:marTop w:val="0"/>
      <w:marBottom w:val="0"/>
      <w:divBdr>
        <w:top w:val="none" w:sz="0" w:space="0" w:color="auto"/>
        <w:left w:val="none" w:sz="0" w:space="0" w:color="auto"/>
        <w:bottom w:val="none" w:sz="0" w:space="0" w:color="auto"/>
        <w:right w:val="none" w:sz="0" w:space="0" w:color="auto"/>
      </w:divBdr>
    </w:div>
    <w:div w:id="1547446499">
      <w:bodyDiv w:val="1"/>
      <w:marLeft w:val="0"/>
      <w:marRight w:val="0"/>
      <w:marTop w:val="0"/>
      <w:marBottom w:val="0"/>
      <w:divBdr>
        <w:top w:val="none" w:sz="0" w:space="0" w:color="auto"/>
        <w:left w:val="none" w:sz="0" w:space="0" w:color="auto"/>
        <w:bottom w:val="none" w:sz="0" w:space="0" w:color="auto"/>
        <w:right w:val="none" w:sz="0" w:space="0" w:color="auto"/>
      </w:divBdr>
    </w:div>
    <w:div w:id="1554347258">
      <w:bodyDiv w:val="1"/>
      <w:marLeft w:val="0"/>
      <w:marRight w:val="0"/>
      <w:marTop w:val="0"/>
      <w:marBottom w:val="0"/>
      <w:divBdr>
        <w:top w:val="none" w:sz="0" w:space="0" w:color="auto"/>
        <w:left w:val="none" w:sz="0" w:space="0" w:color="auto"/>
        <w:bottom w:val="none" w:sz="0" w:space="0" w:color="auto"/>
        <w:right w:val="none" w:sz="0" w:space="0" w:color="auto"/>
      </w:divBdr>
    </w:div>
    <w:div w:id="1558852900">
      <w:bodyDiv w:val="1"/>
      <w:marLeft w:val="0"/>
      <w:marRight w:val="0"/>
      <w:marTop w:val="0"/>
      <w:marBottom w:val="0"/>
      <w:divBdr>
        <w:top w:val="none" w:sz="0" w:space="0" w:color="auto"/>
        <w:left w:val="none" w:sz="0" w:space="0" w:color="auto"/>
        <w:bottom w:val="none" w:sz="0" w:space="0" w:color="auto"/>
        <w:right w:val="none" w:sz="0" w:space="0" w:color="auto"/>
      </w:divBdr>
    </w:div>
    <w:div w:id="1559510164">
      <w:bodyDiv w:val="1"/>
      <w:marLeft w:val="0"/>
      <w:marRight w:val="0"/>
      <w:marTop w:val="0"/>
      <w:marBottom w:val="0"/>
      <w:divBdr>
        <w:top w:val="none" w:sz="0" w:space="0" w:color="auto"/>
        <w:left w:val="none" w:sz="0" w:space="0" w:color="auto"/>
        <w:bottom w:val="none" w:sz="0" w:space="0" w:color="auto"/>
        <w:right w:val="none" w:sz="0" w:space="0" w:color="auto"/>
      </w:divBdr>
    </w:div>
    <w:div w:id="1564868725">
      <w:bodyDiv w:val="1"/>
      <w:marLeft w:val="0"/>
      <w:marRight w:val="0"/>
      <w:marTop w:val="0"/>
      <w:marBottom w:val="0"/>
      <w:divBdr>
        <w:top w:val="none" w:sz="0" w:space="0" w:color="auto"/>
        <w:left w:val="none" w:sz="0" w:space="0" w:color="auto"/>
        <w:bottom w:val="none" w:sz="0" w:space="0" w:color="auto"/>
        <w:right w:val="none" w:sz="0" w:space="0" w:color="auto"/>
      </w:divBdr>
    </w:div>
    <w:div w:id="1572159844">
      <w:bodyDiv w:val="1"/>
      <w:marLeft w:val="0"/>
      <w:marRight w:val="0"/>
      <w:marTop w:val="0"/>
      <w:marBottom w:val="0"/>
      <w:divBdr>
        <w:top w:val="none" w:sz="0" w:space="0" w:color="auto"/>
        <w:left w:val="none" w:sz="0" w:space="0" w:color="auto"/>
        <w:bottom w:val="none" w:sz="0" w:space="0" w:color="auto"/>
        <w:right w:val="none" w:sz="0" w:space="0" w:color="auto"/>
      </w:divBdr>
    </w:div>
    <w:div w:id="1573807244">
      <w:bodyDiv w:val="1"/>
      <w:marLeft w:val="0"/>
      <w:marRight w:val="0"/>
      <w:marTop w:val="0"/>
      <w:marBottom w:val="0"/>
      <w:divBdr>
        <w:top w:val="none" w:sz="0" w:space="0" w:color="auto"/>
        <w:left w:val="none" w:sz="0" w:space="0" w:color="auto"/>
        <w:bottom w:val="none" w:sz="0" w:space="0" w:color="auto"/>
        <w:right w:val="none" w:sz="0" w:space="0" w:color="auto"/>
      </w:divBdr>
    </w:div>
    <w:div w:id="1575315796">
      <w:bodyDiv w:val="1"/>
      <w:marLeft w:val="0"/>
      <w:marRight w:val="0"/>
      <w:marTop w:val="0"/>
      <w:marBottom w:val="0"/>
      <w:divBdr>
        <w:top w:val="none" w:sz="0" w:space="0" w:color="auto"/>
        <w:left w:val="none" w:sz="0" w:space="0" w:color="auto"/>
        <w:bottom w:val="none" w:sz="0" w:space="0" w:color="auto"/>
        <w:right w:val="none" w:sz="0" w:space="0" w:color="auto"/>
      </w:divBdr>
    </w:div>
    <w:div w:id="1576236099">
      <w:bodyDiv w:val="1"/>
      <w:marLeft w:val="0"/>
      <w:marRight w:val="0"/>
      <w:marTop w:val="0"/>
      <w:marBottom w:val="0"/>
      <w:divBdr>
        <w:top w:val="none" w:sz="0" w:space="0" w:color="auto"/>
        <w:left w:val="none" w:sz="0" w:space="0" w:color="auto"/>
        <w:bottom w:val="none" w:sz="0" w:space="0" w:color="auto"/>
        <w:right w:val="none" w:sz="0" w:space="0" w:color="auto"/>
      </w:divBdr>
    </w:div>
    <w:div w:id="1579288016">
      <w:bodyDiv w:val="1"/>
      <w:marLeft w:val="0"/>
      <w:marRight w:val="0"/>
      <w:marTop w:val="0"/>
      <w:marBottom w:val="0"/>
      <w:divBdr>
        <w:top w:val="none" w:sz="0" w:space="0" w:color="auto"/>
        <w:left w:val="none" w:sz="0" w:space="0" w:color="auto"/>
        <w:bottom w:val="none" w:sz="0" w:space="0" w:color="auto"/>
        <w:right w:val="none" w:sz="0" w:space="0" w:color="auto"/>
      </w:divBdr>
    </w:div>
    <w:div w:id="1581983340">
      <w:bodyDiv w:val="1"/>
      <w:marLeft w:val="0"/>
      <w:marRight w:val="0"/>
      <w:marTop w:val="0"/>
      <w:marBottom w:val="0"/>
      <w:divBdr>
        <w:top w:val="none" w:sz="0" w:space="0" w:color="auto"/>
        <w:left w:val="none" w:sz="0" w:space="0" w:color="auto"/>
        <w:bottom w:val="none" w:sz="0" w:space="0" w:color="auto"/>
        <w:right w:val="none" w:sz="0" w:space="0" w:color="auto"/>
      </w:divBdr>
    </w:div>
    <w:div w:id="1582324346">
      <w:bodyDiv w:val="1"/>
      <w:marLeft w:val="0"/>
      <w:marRight w:val="0"/>
      <w:marTop w:val="0"/>
      <w:marBottom w:val="0"/>
      <w:divBdr>
        <w:top w:val="none" w:sz="0" w:space="0" w:color="auto"/>
        <w:left w:val="none" w:sz="0" w:space="0" w:color="auto"/>
        <w:bottom w:val="none" w:sz="0" w:space="0" w:color="auto"/>
        <w:right w:val="none" w:sz="0" w:space="0" w:color="auto"/>
      </w:divBdr>
    </w:div>
    <w:div w:id="1584416192">
      <w:bodyDiv w:val="1"/>
      <w:marLeft w:val="0"/>
      <w:marRight w:val="0"/>
      <w:marTop w:val="0"/>
      <w:marBottom w:val="0"/>
      <w:divBdr>
        <w:top w:val="none" w:sz="0" w:space="0" w:color="auto"/>
        <w:left w:val="none" w:sz="0" w:space="0" w:color="auto"/>
        <w:bottom w:val="none" w:sz="0" w:space="0" w:color="auto"/>
        <w:right w:val="none" w:sz="0" w:space="0" w:color="auto"/>
      </w:divBdr>
    </w:div>
    <w:div w:id="1585609423">
      <w:bodyDiv w:val="1"/>
      <w:marLeft w:val="0"/>
      <w:marRight w:val="0"/>
      <w:marTop w:val="0"/>
      <w:marBottom w:val="0"/>
      <w:divBdr>
        <w:top w:val="none" w:sz="0" w:space="0" w:color="auto"/>
        <w:left w:val="none" w:sz="0" w:space="0" w:color="auto"/>
        <w:bottom w:val="none" w:sz="0" w:space="0" w:color="auto"/>
        <w:right w:val="none" w:sz="0" w:space="0" w:color="auto"/>
      </w:divBdr>
    </w:div>
    <w:div w:id="1590964021">
      <w:bodyDiv w:val="1"/>
      <w:marLeft w:val="0"/>
      <w:marRight w:val="0"/>
      <w:marTop w:val="0"/>
      <w:marBottom w:val="0"/>
      <w:divBdr>
        <w:top w:val="none" w:sz="0" w:space="0" w:color="auto"/>
        <w:left w:val="none" w:sz="0" w:space="0" w:color="auto"/>
        <w:bottom w:val="none" w:sz="0" w:space="0" w:color="auto"/>
        <w:right w:val="none" w:sz="0" w:space="0" w:color="auto"/>
      </w:divBdr>
    </w:div>
    <w:div w:id="1593246203">
      <w:bodyDiv w:val="1"/>
      <w:marLeft w:val="0"/>
      <w:marRight w:val="0"/>
      <w:marTop w:val="0"/>
      <w:marBottom w:val="0"/>
      <w:divBdr>
        <w:top w:val="none" w:sz="0" w:space="0" w:color="auto"/>
        <w:left w:val="none" w:sz="0" w:space="0" w:color="auto"/>
        <w:bottom w:val="none" w:sz="0" w:space="0" w:color="auto"/>
        <w:right w:val="none" w:sz="0" w:space="0" w:color="auto"/>
      </w:divBdr>
    </w:div>
    <w:div w:id="1595161244">
      <w:bodyDiv w:val="1"/>
      <w:marLeft w:val="0"/>
      <w:marRight w:val="0"/>
      <w:marTop w:val="0"/>
      <w:marBottom w:val="0"/>
      <w:divBdr>
        <w:top w:val="none" w:sz="0" w:space="0" w:color="auto"/>
        <w:left w:val="none" w:sz="0" w:space="0" w:color="auto"/>
        <w:bottom w:val="none" w:sz="0" w:space="0" w:color="auto"/>
        <w:right w:val="none" w:sz="0" w:space="0" w:color="auto"/>
      </w:divBdr>
    </w:div>
    <w:div w:id="1599756803">
      <w:bodyDiv w:val="1"/>
      <w:marLeft w:val="0"/>
      <w:marRight w:val="0"/>
      <w:marTop w:val="0"/>
      <w:marBottom w:val="0"/>
      <w:divBdr>
        <w:top w:val="none" w:sz="0" w:space="0" w:color="auto"/>
        <w:left w:val="none" w:sz="0" w:space="0" w:color="auto"/>
        <w:bottom w:val="none" w:sz="0" w:space="0" w:color="auto"/>
        <w:right w:val="none" w:sz="0" w:space="0" w:color="auto"/>
      </w:divBdr>
    </w:div>
    <w:div w:id="1601988428">
      <w:bodyDiv w:val="1"/>
      <w:marLeft w:val="0"/>
      <w:marRight w:val="0"/>
      <w:marTop w:val="0"/>
      <w:marBottom w:val="0"/>
      <w:divBdr>
        <w:top w:val="none" w:sz="0" w:space="0" w:color="auto"/>
        <w:left w:val="none" w:sz="0" w:space="0" w:color="auto"/>
        <w:bottom w:val="none" w:sz="0" w:space="0" w:color="auto"/>
        <w:right w:val="none" w:sz="0" w:space="0" w:color="auto"/>
      </w:divBdr>
    </w:div>
    <w:div w:id="1602108654">
      <w:bodyDiv w:val="1"/>
      <w:marLeft w:val="0"/>
      <w:marRight w:val="0"/>
      <w:marTop w:val="0"/>
      <w:marBottom w:val="0"/>
      <w:divBdr>
        <w:top w:val="none" w:sz="0" w:space="0" w:color="auto"/>
        <w:left w:val="none" w:sz="0" w:space="0" w:color="auto"/>
        <w:bottom w:val="none" w:sz="0" w:space="0" w:color="auto"/>
        <w:right w:val="none" w:sz="0" w:space="0" w:color="auto"/>
      </w:divBdr>
    </w:div>
    <w:div w:id="1604650212">
      <w:bodyDiv w:val="1"/>
      <w:marLeft w:val="0"/>
      <w:marRight w:val="0"/>
      <w:marTop w:val="0"/>
      <w:marBottom w:val="0"/>
      <w:divBdr>
        <w:top w:val="none" w:sz="0" w:space="0" w:color="auto"/>
        <w:left w:val="none" w:sz="0" w:space="0" w:color="auto"/>
        <w:bottom w:val="none" w:sz="0" w:space="0" w:color="auto"/>
        <w:right w:val="none" w:sz="0" w:space="0" w:color="auto"/>
      </w:divBdr>
    </w:div>
    <w:div w:id="1607420570">
      <w:bodyDiv w:val="1"/>
      <w:marLeft w:val="0"/>
      <w:marRight w:val="0"/>
      <w:marTop w:val="0"/>
      <w:marBottom w:val="0"/>
      <w:divBdr>
        <w:top w:val="none" w:sz="0" w:space="0" w:color="auto"/>
        <w:left w:val="none" w:sz="0" w:space="0" w:color="auto"/>
        <w:bottom w:val="none" w:sz="0" w:space="0" w:color="auto"/>
        <w:right w:val="none" w:sz="0" w:space="0" w:color="auto"/>
      </w:divBdr>
    </w:div>
    <w:div w:id="1616013010">
      <w:bodyDiv w:val="1"/>
      <w:marLeft w:val="0"/>
      <w:marRight w:val="0"/>
      <w:marTop w:val="0"/>
      <w:marBottom w:val="0"/>
      <w:divBdr>
        <w:top w:val="none" w:sz="0" w:space="0" w:color="auto"/>
        <w:left w:val="none" w:sz="0" w:space="0" w:color="auto"/>
        <w:bottom w:val="none" w:sz="0" w:space="0" w:color="auto"/>
        <w:right w:val="none" w:sz="0" w:space="0" w:color="auto"/>
      </w:divBdr>
    </w:div>
    <w:div w:id="1618638179">
      <w:bodyDiv w:val="1"/>
      <w:marLeft w:val="0"/>
      <w:marRight w:val="0"/>
      <w:marTop w:val="0"/>
      <w:marBottom w:val="0"/>
      <w:divBdr>
        <w:top w:val="none" w:sz="0" w:space="0" w:color="auto"/>
        <w:left w:val="none" w:sz="0" w:space="0" w:color="auto"/>
        <w:bottom w:val="none" w:sz="0" w:space="0" w:color="auto"/>
        <w:right w:val="none" w:sz="0" w:space="0" w:color="auto"/>
      </w:divBdr>
    </w:div>
    <w:div w:id="1620335125">
      <w:bodyDiv w:val="1"/>
      <w:marLeft w:val="0"/>
      <w:marRight w:val="0"/>
      <w:marTop w:val="0"/>
      <w:marBottom w:val="0"/>
      <w:divBdr>
        <w:top w:val="none" w:sz="0" w:space="0" w:color="auto"/>
        <w:left w:val="none" w:sz="0" w:space="0" w:color="auto"/>
        <w:bottom w:val="none" w:sz="0" w:space="0" w:color="auto"/>
        <w:right w:val="none" w:sz="0" w:space="0" w:color="auto"/>
      </w:divBdr>
    </w:div>
    <w:div w:id="1620643783">
      <w:bodyDiv w:val="1"/>
      <w:marLeft w:val="0"/>
      <w:marRight w:val="0"/>
      <w:marTop w:val="0"/>
      <w:marBottom w:val="0"/>
      <w:divBdr>
        <w:top w:val="none" w:sz="0" w:space="0" w:color="auto"/>
        <w:left w:val="none" w:sz="0" w:space="0" w:color="auto"/>
        <w:bottom w:val="none" w:sz="0" w:space="0" w:color="auto"/>
        <w:right w:val="none" w:sz="0" w:space="0" w:color="auto"/>
      </w:divBdr>
    </w:div>
    <w:div w:id="1621375033">
      <w:bodyDiv w:val="1"/>
      <w:marLeft w:val="0"/>
      <w:marRight w:val="0"/>
      <w:marTop w:val="0"/>
      <w:marBottom w:val="0"/>
      <w:divBdr>
        <w:top w:val="none" w:sz="0" w:space="0" w:color="auto"/>
        <w:left w:val="none" w:sz="0" w:space="0" w:color="auto"/>
        <w:bottom w:val="none" w:sz="0" w:space="0" w:color="auto"/>
        <w:right w:val="none" w:sz="0" w:space="0" w:color="auto"/>
      </w:divBdr>
    </w:div>
    <w:div w:id="1624340741">
      <w:bodyDiv w:val="1"/>
      <w:marLeft w:val="0"/>
      <w:marRight w:val="0"/>
      <w:marTop w:val="0"/>
      <w:marBottom w:val="0"/>
      <w:divBdr>
        <w:top w:val="none" w:sz="0" w:space="0" w:color="auto"/>
        <w:left w:val="none" w:sz="0" w:space="0" w:color="auto"/>
        <w:bottom w:val="none" w:sz="0" w:space="0" w:color="auto"/>
        <w:right w:val="none" w:sz="0" w:space="0" w:color="auto"/>
      </w:divBdr>
    </w:div>
    <w:div w:id="1648701597">
      <w:bodyDiv w:val="1"/>
      <w:marLeft w:val="0"/>
      <w:marRight w:val="0"/>
      <w:marTop w:val="0"/>
      <w:marBottom w:val="0"/>
      <w:divBdr>
        <w:top w:val="none" w:sz="0" w:space="0" w:color="auto"/>
        <w:left w:val="none" w:sz="0" w:space="0" w:color="auto"/>
        <w:bottom w:val="none" w:sz="0" w:space="0" w:color="auto"/>
        <w:right w:val="none" w:sz="0" w:space="0" w:color="auto"/>
      </w:divBdr>
    </w:div>
    <w:div w:id="1648709006">
      <w:bodyDiv w:val="1"/>
      <w:marLeft w:val="0"/>
      <w:marRight w:val="0"/>
      <w:marTop w:val="0"/>
      <w:marBottom w:val="0"/>
      <w:divBdr>
        <w:top w:val="none" w:sz="0" w:space="0" w:color="auto"/>
        <w:left w:val="none" w:sz="0" w:space="0" w:color="auto"/>
        <w:bottom w:val="none" w:sz="0" w:space="0" w:color="auto"/>
        <w:right w:val="none" w:sz="0" w:space="0" w:color="auto"/>
      </w:divBdr>
    </w:div>
    <w:div w:id="1650286374">
      <w:bodyDiv w:val="1"/>
      <w:marLeft w:val="0"/>
      <w:marRight w:val="0"/>
      <w:marTop w:val="0"/>
      <w:marBottom w:val="0"/>
      <w:divBdr>
        <w:top w:val="none" w:sz="0" w:space="0" w:color="auto"/>
        <w:left w:val="none" w:sz="0" w:space="0" w:color="auto"/>
        <w:bottom w:val="none" w:sz="0" w:space="0" w:color="auto"/>
        <w:right w:val="none" w:sz="0" w:space="0" w:color="auto"/>
      </w:divBdr>
    </w:div>
    <w:div w:id="1652514456">
      <w:bodyDiv w:val="1"/>
      <w:marLeft w:val="0"/>
      <w:marRight w:val="0"/>
      <w:marTop w:val="0"/>
      <w:marBottom w:val="0"/>
      <w:divBdr>
        <w:top w:val="none" w:sz="0" w:space="0" w:color="auto"/>
        <w:left w:val="none" w:sz="0" w:space="0" w:color="auto"/>
        <w:bottom w:val="none" w:sz="0" w:space="0" w:color="auto"/>
        <w:right w:val="none" w:sz="0" w:space="0" w:color="auto"/>
      </w:divBdr>
    </w:div>
    <w:div w:id="1652638137">
      <w:bodyDiv w:val="1"/>
      <w:marLeft w:val="0"/>
      <w:marRight w:val="0"/>
      <w:marTop w:val="0"/>
      <w:marBottom w:val="0"/>
      <w:divBdr>
        <w:top w:val="none" w:sz="0" w:space="0" w:color="auto"/>
        <w:left w:val="none" w:sz="0" w:space="0" w:color="auto"/>
        <w:bottom w:val="none" w:sz="0" w:space="0" w:color="auto"/>
        <w:right w:val="none" w:sz="0" w:space="0" w:color="auto"/>
      </w:divBdr>
    </w:div>
    <w:div w:id="1654261703">
      <w:bodyDiv w:val="1"/>
      <w:marLeft w:val="0"/>
      <w:marRight w:val="0"/>
      <w:marTop w:val="0"/>
      <w:marBottom w:val="0"/>
      <w:divBdr>
        <w:top w:val="none" w:sz="0" w:space="0" w:color="auto"/>
        <w:left w:val="none" w:sz="0" w:space="0" w:color="auto"/>
        <w:bottom w:val="none" w:sz="0" w:space="0" w:color="auto"/>
        <w:right w:val="none" w:sz="0" w:space="0" w:color="auto"/>
      </w:divBdr>
    </w:div>
    <w:div w:id="1661880608">
      <w:bodyDiv w:val="1"/>
      <w:marLeft w:val="0"/>
      <w:marRight w:val="0"/>
      <w:marTop w:val="0"/>
      <w:marBottom w:val="0"/>
      <w:divBdr>
        <w:top w:val="none" w:sz="0" w:space="0" w:color="auto"/>
        <w:left w:val="none" w:sz="0" w:space="0" w:color="auto"/>
        <w:bottom w:val="none" w:sz="0" w:space="0" w:color="auto"/>
        <w:right w:val="none" w:sz="0" w:space="0" w:color="auto"/>
      </w:divBdr>
    </w:div>
    <w:div w:id="1662393565">
      <w:bodyDiv w:val="1"/>
      <w:marLeft w:val="0"/>
      <w:marRight w:val="0"/>
      <w:marTop w:val="0"/>
      <w:marBottom w:val="0"/>
      <w:divBdr>
        <w:top w:val="none" w:sz="0" w:space="0" w:color="auto"/>
        <w:left w:val="none" w:sz="0" w:space="0" w:color="auto"/>
        <w:bottom w:val="none" w:sz="0" w:space="0" w:color="auto"/>
        <w:right w:val="none" w:sz="0" w:space="0" w:color="auto"/>
      </w:divBdr>
    </w:div>
    <w:div w:id="1665737380">
      <w:bodyDiv w:val="1"/>
      <w:marLeft w:val="0"/>
      <w:marRight w:val="0"/>
      <w:marTop w:val="0"/>
      <w:marBottom w:val="0"/>
      <w:divBdr>
        <w:top w:val="none" w:sz="0" w:space="0" w:color="auto"/>
        <w:left w:val="none" w:sz="0" w:space="0" w:color="auto"/>
        <w:bottom w:val="none" w:sz="0" w:space="0" w:color="auto"/>
        <w:right w:val="none" w:sz="0" w:space="0" w:color="auto"/>
      </w:divBdr>
    </w:div>
    <w:div w:id="1672173832">
      <w:bodyDiv w:val="1"/>
      <w:marLeft w:val="0"/>
      <w:marRight w:val="0"/>
      <w:marTop w:val="0"/>
      <w:marBottom w:val="0"/>
      <w:divBdr>
        <w:top w:val="none" w:sz="0" w:space="0" w:color="auto"/>
        <w:left w:val="none" w:sz="0" w:space="0" w:color="auto"/>
        <w:bottom w:val="none" w:sz="0" w:space="0" w:color="auto"/>
        <w:right w:val="none" w:sz="0" w:space="0" w:color="auto"/>
      </w:divBdr>
    </w:div>
    <w:div w:id="1676495323">
      <w:bodyDiv w:val="1"/>
      <w:marLeft w:val="0"/>
      <w:marRight w:val="0"/>
      <w:marTop w:val="0"/>
      <w:marBottom w:val="0"/>
      <w:divBdr>
        <w:top w:val="none" w:sz="0" w:space="0" w:color="auto"/>
        <w:left w:val="none" w:sz="0" w:space="0" w:color="auto"/>
        <w:bottom w:val="none" w:sz="0" w:space="0" w:color="auto"/>
        <w:right w:val="none" w:sz="0" w:space="0" w:color="auto"/>
      </w:divBdr>
    </w:div>
    <w:div w:id="1680043183">
      <w:bodyDiv w:val="1"/>
      <w:marLeft w:val="0"/>
      <w:marRight w:val="0"/>
      <w:marTop w:val="0"/>
      <w:marBottom w:val="0"/>
      <w:divBdr>
        <w:top w:val="none" w:sz="0" w:space="0" w:color="auto"/>
        <w:left w:val="none" w:sz="0" w:space="0" w:color="auto"/>
        <w:bottom w:val="none" w:sz="0" w:space="0" w:color="auto"/>
        <w:right w:val="none" w:sz="0" w:space="0" w:color="auto"/>
      </w:divBdr>
    </w:div>
    <w:div w:id="1680307532">
      <w:bodyDiv w:val="1"/>
      <w:marLeft w:val="0"/>
      <w:marRight w:val="0"/>
      <w:marTop w:val="0"/>
      <w:marBottom w:val="0"/>
      <w:divBdr>
        <w:top w:val="none" w:sz="0" w:space="0" w:color="auto"/>
        <w:left w:val="none" w:sz="0" w:space="0" w:color="auto"/>
        <w:bottom w:val="none" w:sz="0" w:space="0" w:color="auto"/>
        <w:right w:val="none" w:sz="0" w:space="0" w:color="auto"/>
      </w:divBdr>
    </w:div>
    <w:div w:id="1681929021">
      <w:bodyDiv w:val="1"/>
      <w:marLeft w:val="0"/>
      <w:marRight w:val="0"/>
      <w:marTop w:val="0"/>
      <w:marBottom w:val="0"/>
      <w:divBdr>
        <w:top w:val="none" w:sz="0" w:space="0" w:color="auto"/>
        <w:left w:val="none" w:sz="0" w:space="0" w:color="auto"/>
        <w:bottom w:val="none" w:sz="0" w:space="0" w:color="auto"/>
        <w:right w:val="none" w:sz="0" w:space="0" w:color="auto"/>
      </w:divBdr>
    </w:div>
    <w:div w:id="1686130371">
      <w:bodyDiv w:val="1"/>
      <w:marLeft w:val="0"/>
      <w:marRight w:val="0"/>
      <w:marTop w:val="0"/>
      <w:marBottom w:val="0"/>
      <w:divBdr>
        <w:top w:val="none" w:sz="0" w:space="0" w:color="auto"/>
        <w:left w:val="none" w:sz="0" w:space="0" w:color="auto"/>
        <w:bottom w:val="none" w:sz="0" w:space="0" w:color="auto"/>
        <w:right w:val="none" w:sz="0" w:space="0" w:color="auto"/>
      </w:divBdr>
    </w:div>
    <w:div w:id="1687825057">
      <w:bodyDiv w:val="1"/>
      <w:marLeft w:val="0"/>
      <w:marRight w:val="0"/>
      <w:marTop w:val="0"/>
      <w:marBottom w:val="0"/>
      <w:divBdr>
        <w:top w:val="none" w:sz="0" w:space="0" w:color="auto"/>
        <w:left w:val="none" w:sz="0" w:space="0" w:color="auto"/>
        <w:bottom w:val="none" w:sz="0" w:space="0" w:color="auto"/>
        <w:right w:val="none" w:sz="0" w:space="0" w:color="auto"/>
      </w:divBdr>
    </w:div>
    <w:div w:id="1692291952">
      <w:bodyDiv w:val="1"/>
      <w:marLeft w:val="0"/>
      <w:marRight w:val="0"/>
      <w:marTop w:val="0"/>
      <w:marBottom w:val="0"/>
      <w:divBdr>
        <w:top w:val="none" w:sz="0" w:space="0" w:color="auto"/>
        <w:left w:val="none" w:sz="0" w:space="0" w:color="auto"/>
        <w:bottom w:val="none" w:sz="0" w:space="0" w:color="auto"/>
        <w:right w:val="none" w:sz="0" w:space="0" w:color="auto"/>
      </w:divBdr>
    </w:div>
    <w:div w:id="1703244657">
      <w:bodyDiv w:val="1"/>
      <w:marLeft w:val="0"/>
      <w:marRight w:val="0"/>
      <w:marTop w:val="0"/>
      <w:marBottom w:val="0"/>
      <w:divBdr>
        <w:top w:val="none" w:sz="0" w:space="0" w:color="auto"/>
        <w:left w:val="none" w:sz="0" w:space="0" w:color="auto"/>
        <w:bottom w:val="none" w:sz="0" w:space="0" w:color="auto"/>
        <w:right w:val="none" w:sz="0" w:space="0" w:color="auto"/>
      </w:divBdr>
    </w:div>
    <w:div w:id="1710102305">
      <w:bodyDiv w:val="1"/>
      <w:marLeft w:val="0"/>
      <w:marRight w:val="0"/>
      <w:marTop w:val="0"/>
      <w:marBottom w:val="0"/>
      <w:divBdr>
        <w:top w:val="none" w:sz="0" w:space="0" w:color="auto"/>
        <w:left w:val="none" w:sz="0" w:space="0" w:color="auto"/>
        <w:bottom w:val="none" w:sz="0" w:space="0" w:color="auto"/>
        <w:right w:val="none" w:sz="0" w:space="0" w:color="auto"/>
      </w:divBdr>
    </w:div>
    <w:div w:id="1712152621">
      <w:bodyDiv w:val="1"/>
      <w:marLeft w:val="0"/>
      <w:marRight w:val="0"/>
      <w:marTop w:val="0"/>
      <w:marBottom w:val="0"/>
      <w:divBdr>
        <w:top w:val="none" w:sz="0" w:space="0" w:color="auto"/>
        <w:left w:val="none" w:sz="0" w:space="0" w:color="auto"/>
        <w:bottom w:val="none" w:sz="0" w:space="0" w:color="auto"/>
        <w:right w:val="none" w:sz="0" w:space="0" w:color="auto"/>
      </w:divBdr>
    </w:div>
    <w:div w:id="1716275551">
      <w:bodyDiv w:val="1"/>
      <w:marLeft w:val="0"/>
      <w:marRight w:val="0"/>
      <w:marTop w:val="0"/>
      <w:marBottom w:val="0"/>
      <w:divBdr>
        <w:top w:val="none" w:sz="0" w:space="0" w:color="auto"/>
        <w:left w:val="none" w:sz="0" w:space="0" w:color="auto"/>
        <w:bottom w:val="none" w:sz="0" w:space="0" w:color="auto"/>
        <w:right w:val="none" w:sz="0" w:space="0" w:color="auto"/>
      </w:divBdr>
    </w:div>
    <w:div w:id="1718040661">
      <w:bodyDiv w:val="1"/>
      <w:marLeft w:val="0"/>
      <w:marRight w:val="0"/>
      <w:marTop w:val="0"/>
      <w:marBottom w:val="0"/>
      <w:divBdr>
        <w:top w:val="none" w:sz="0" w:space="0" w:color="auto"/>
        <w:left w:val="none" w:sz="0" w:space="0" w:color="auto"/>
        <w:bottom w:val="none" w:sz="0" w:space="0" w:color="auto"/>
        <w:right w:val="none" w:sz="0" w:space="0" w:color="auto"/>
      </w:divBdr>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26369822">
      <w:bodyDiv w:val="1"/>
      <w:marLeft w:val="0"/>
      <w:marRight w:val="0"/>
      <w:marTop w:val="0"/>
      <w:marBottom w:val="0"/>
      <w:divBdr>
        <w:top w:val="none" w:sz="0" w:space="0" w:color="auto"/>
        <w:left w:val="none" w:sz="0" w:space="0" w:color="auto"/>
        <w:bottom w:val="none" w:sz="0" w:space="0" w:color="auto"/>
        <w:right w:val="none" w:sz="0" w:space="0" w:color="auto"/>
      </w:divBdr>
    </w:div>
    <w:div w:id="1729917311">
      <w:bodyDiv w:val="1"/>
      <w:marLeft w:val="0"/>
      <w:marRight w:val="0"/>
      <w:marTop w:val="0"/>
      <w:marBottom w:val="0"/>
      <w:divBdr>
        <w:top w:val="none" w:sz="0" w:space="0" w:color="auto"/>
        <w:left w:val="none" w:sz="0" w:space="0" w:color="auto"/>
        <w:bottom w:val="none" w:sz="0" w:space="0" w:color="auto"/>
        <w:right w:val="none" w:sz="0" w:space="0" w:color="auto"/>
      </w:divBdr>
    </w:div>
    <w:div w:id="1736120820">
      <w:bodyDiv w:val="1"/>
      <w:marLeft w:val="0"/>
      <w:marRight w:val="0"/>
      <w:marTop w:val="0"/>
      <w:marBottom w:val="0"/>
      <w:divBdr>
        <w:top w:val="none" w:sz="0" w:space="0" w:color="auto"/>
        <w:left w:val="none" w:sz="0" w:space="0" w:color="auto"/>
        <w:bottom w:val="none" w:sz="0" w:space="0" w:color="auto"/>
        <w:right w:val="none" w:sz="0" w:space="0" w:color="auto"/>
      </w:divBdr>
    </w:div>
    <w:div w:id="1736388662">
      <w:bodyDiv w:val="1"/>
      <w:marLeft w:val="0"/>
      <w:marRight w:val="0"/>
      <w:marTop w:val="0"/>
      <w:marBottom w:val="0"/>
      <w:divBdr>
        <w:top w:val="none" w:sz="0" w:space="0" w:color="auto"/>
        <w:left w:val="none" w:sz="0" w:space="0" w:color="auto"/>
        <w:bottom w:val="none" w:sz="0" w:space="0" w:color="auto"/>
        <w:right w:val="none" w:sz="0" w:space="0" w:color="auto"/>
      </w:divBdr>
    </w:div>
    <w:div w:id="1736930152">
      <w:bodyDiv w:val="1"/>
      <w:marLeft w:val="0"/>
      <w:marRight w:val="0"/>
      <w:marTop w:val="0"/>
      <w:marBottom w:val="0"/>
      <w:divBdr>
        <w:top w:val="none" w:sz="0" w:space="0" w:color="auto"/>
        <w:left w:val="none" w:sz="0" w:space="0" w:color="auto"/>
        <w:bottom w:val="none" w:sz="0" w:space="0" w:color="auto"/>
        <w:right w:val="none" w:sz="0" w:space="0" w:color="auto"/>
      </w:divBdr>
    </w:div>
    <w:div w:id="1741750916">
      <w:bodyDiv w:val="1"/>
      <w:marLeft w:val="0"/>
      <w:marRight w:val="0"/>
      <w:marTop w:val="0"/>
      <w:marBottom w:val="0"/>
      <w:divBdr>
        <w:top w:val="none" w:sz="0" w:space="0" w:color="auto"/>
        <w:left w:val="none" w:sz="0" w:space="0" w:color="auto"/>
        <w:bottom w:val="none" w:sz="0" w:space="0" w:color="auto"/>
        <w:right w:val="none" w:sz="0" w:space="0" w:color="auto"/>
      </w:divBdr>
    </w:div>
    <w:div w:id="1742485329">
      <w:bodyDiv w:val="1"/>
      <w:marLeft w:val="0"/>
      <w:marRight w:val="0"/>
      <w:marTop w:val="0"/>
      <w:marBottom w:val="0"/>
      <w:divBdr>
        <w:top w:val="none" w:sz="0" w:space="0" w:color="auto"/>
        <w:left w:val="none" w:sz="0" w:space="0" w:color="auto"/>
        <w:bottom w:val="none" w:sz="0" w:space="0" w:color="auto"/>
        <w:right w:val="none" w:sz="0" w:space="0" w:color="auto"/>
      </w:divBdr>
    </w:div>
    <w:div w:id="1743134306">
      <w:bodyDiv w:val="1"/>
      <w:marLeft w:val="0"/>
      <w:marRight w:val="0"/>
      <w:marTop w:val="0"/>
      <w:marBottom w:val="0"/>
      <w:divBdr>
        <w:top w:val="none" w:sz="0" w:space="0" w:color="auto"/>
        <w:left w:val="none" w:sz="0" w:space="0" w:color="auto"/>
        <w:bottom w:val="none" w:sz="0" w:space="0" w:color="auto"/>
        <w:right w:val="none" w:sz="0" w:space="0" w:color="auto"/>
      </w:divBdr>
    </w:div>
    <w:div w:id="1747606333">
      <w:bodyDiv w:val="1"/>
      <w:marLeft w:val="0"/>
      <w:marRight w:val="0"/>
      <w:marTop w:val="0"/>
      <w:marBottom w:val="0"/>
      <w:divBdr>
        <w:top w:val="none" w:sz="0" w:space="0" w:color="auto"/>
        <w:left w:val="none" w:sz="0" w:space="0" w:color="auto"/>
        <w:bottom w:val="none" w:sz="0" w:space="0" w:color="auto"/>
        <w:right w:val="none" w:sz="0" w:space="0" w:color="auto"/>
      </w:divBdr>
    </w:div>
    <w:div w:id="1749109224">
      <w:bodyDiv w:val="1"/>
      <w:marLeft w:val="0"/>
      <w:marRight w:val="0"/>
      <w:marTop w:val="0"/>
      <w:marBottom w:val="0"/>
      <w:divBdr>
        <w:top w:val="none" w:sz="0" w:space="0" w:color="auto"/>
        <w:left w:val="none" w:sz="0" w:space="0" w:color="auto"/>
        <w:bottom w:val="none" w:sz="0" w:space="0" w:color="auto"/>
        <w:right w:val="none" w:sz="0" w:space="0" w:color="auto"/>
      </w:divBdr>
    </w:div>
    <w:div w:id="1759323878">
      <w:bodyDiv w:val="1"/>
      <w:marLeft w:val="0"/>
      <w:marRight w:val="0"/>
      <w:marTop w:val="0"/>
      <w:marBottom w:val="0"/>
      <w:divBdr>
        <w:top w:val="none" w:sz="0" w:space="0" w:color="auto"/>
        <w:left w:val="none" w:sz="0" w:space="0" w:color="auto"/>
        <w:bottom w:val="none" w:sz="0" w:space="0" w:color="auto"/>
        <w:right w:val="none" w:sz="0" w:space="0" w:color="auto"/>
      </w:divBdr>
    </w:div>
    <w:div w:id="1760710205">
      <w:bodyDiv w:val="1"/>
      <w:marLeft w:val="0"/>
      <w:marRight w:val="0"/>
      <w:marTop w:val="0"/>
      <w:marBottom w:val="0"/>
      <w:divBdr>
        <w:top w:val="none" w:sz="0" w:space="0" w:color="auto"/>
        <w:left w:val="none" w:sz="0" w:space="0" w:color="auto"/>
        <w:bottom w:val="none" w:sz="0" w:space="0" w:color="auto"/>
        <w:right w:val="none" w:sz="0" w:space="0" w:color="auto"/>
      </w:divBdr>
    </w:div>
    <w:div w:id="1761751984">
      <w:bodyDiv w:val="1"/>
      <w:marLeft w:val="0"/>
      <w:marRight w:val="0"/>
      <w:marTop w:val="0"/>
      <w:marBottom w:val="0"/>
      <w:divBdr>
        <w:top w:val="none" w:sz="0" w:space="0" w:color="auto"/>
        <w:left w:val="none" w:sz="0" w:space="0" w:color="auto"/>
        <w:bottom w:val="none" w:sz="0" w:space="0" w:color="auto"/>
        <w:right w:val="none" w:sz="0" w:space="0" w:color="auto"/>
      </w:divBdr>
    </w:div>
    <w:div w:id="1765566574">
      <w:bodyDiv w:val="1"/>
      <w:marLeft w:val="0"/>
      <w:marRight w:val="0"/>
      <w:marTop w:val="0"/>
      <w:marBottom w:val="0"/>
      <w:divBdr>
        <w:top w:val="none" w:sz="0" w:space="0" w:color="auto"/>
        <w:left w:val="none" w:sz="0" w:space="0" w:color="auto"/>
        <w:bottom w:val="none" w:sz="0" w:space="0" w:color="auto"/>
        <w:right w:val="none" w:sz="0" w:space="0" w:color="auto"/>
      </w:divBdr>
    </w:div>
    <w:div w:id="1767068415">
      <w:bodyDiv w:val="1"/>
      <w:marLeft w:val="0"/>
      <w:marRight w:val="0"/>
      <w:marTop w:val="0"/>
      <w:marBottom w:val="0"/>
      <w:divBdr>
        <w:top w:val="none" w:sz="0" w:space="0" w:color="auto"/>
        <w:left w:val="none" w:sz="0" w:space="0" w:color="auto"/>
        <w:bottom w:val="none" w:sz="0" w:space="0" w:color="auto"/>
        <w:right w:val="none" w:sz="0" w:space="0" w:color="auto"/>
      </w:divBdr>
    </w:div>
    <w:div w:id="1767656018">
      <w:bodyDiv w:val="1"/>
      <w:marLeft w:val="0"/>
      <w:marRight w:val="0"/>
      <w:marTop w:val="0"/>
      <w:marBottom w:val="0"/>
      <w:divBdr>
        <w:top w:val="none" w:sz="0" w:space="0" w:color="auto"/>
        <w:left w:val="none" w:sz="0" w:space="0" w:color="auto"/>
        <w:bottom w:val="none" w:sz="0" w:space="0" w:color="auto"/>
        <w:right w:val="none" w:sz="0" w:space="0" w:color="auto"/>
      </w:divBdr>
    </w:div>
    <w:div w:id="1770735824">
      <w:bodyDiv w:val="1"/>
      <w:marLeft w:val="0"/>
      <w:marRight w:val="0"/>
      <w:marTop w:val="0"/>
      <w:marBottom w:val="0"/>
      <w:divBdr>
        <w:top w:val="none" w:sz="0" w:space="0" w:color="auto"/>
        <w:left w:val="none" w:sz="0" w:space="0" w:color="auto"/>
        <w:bottom w:val="none" w:sz="0" w:space="0" w:color="auto"/>
        <w:right w:val="none" w:sz="0" w:space="0" w:color="auto"/>
      </w:divBdr>
    </w:div>
    <w:div w:id="1771463900">
      <w:bodyDiv w:val="1"/>
      <w:marLeft w:val="0"/>
      <w:marRight w:val="0"/>
      <w:marTop w:val="0"/>
      <w:marBottom w:val="0"/>
      <w:divBdr>
        <w:top w:val="none" w:sz="0" w:space="0" w:color="auto"/>
        <w:left w:val="none" w:sz="0" w:space="0" w:color="auto"/>
        <w:bottom w:val="none" w:sz="0" w:space="0" w:color="auto"/>
        <w:right w:val="none" w:sz="0" w:space="0" w:color="auto"/>
      </w:divBdr>
    </w:div>
    <w:div w:id="1772503233">
      <w:bodyDiv w:val="1"/>
      <w:marLeft w:val="0"/>
      <w:marRight w:val="0"/>
      <w:marTop w:val="0"/>
      <w:marBottom w:val="0"/>
      <w:divBdr>
        <w:top w:val="none" w:sz="0" w:space="0" w:color="auto"/>
        <w:left w:val="none" w:sz="0" w:space="0" w:color="auto"/>
        <w:bottom w:val="none" w:sz="0" w:space="0" w:color="auto"/>
        <w:right w:val="none" w:sz="0" w:space="0" w:color="auto"/>
      </w:divBdr>
    </w:div>
    <w:div w:id="1773163080">
      <w:bodyDiv w:val="1"/>
      <w:marLeft w:val="0"/>
      <w:marRight w:val="0"/>
      <w:marTop w:val="0"/>
      <w:marBottom w:val="0"/>
      <w:divBdr>
        <w:top w:val="none" w:sz="0" w:space="0" w:color="auto"/>
        <w:left w:val="none" w:sz="0" w:space="0" w:color="auto"/>
        <w:bottom w:val="none" w:sz="0" w:space="0" w:color="auto"/>
        <w:right w:val="none" w:sz="0" w:space="0" w:color="auto"/>
      </w:divBdr>
    </w:div>
    <w:div w:id="1775050170">
      <w:bodyDiv w:val="1"/>
      <w:marLeft w:val="0"/>
      <w:marRight w:val="0"/>
      <w:marTop w:val="0"/>
      <w:marBottom w:val="0"/>
      <w:divBdr>
        <w:top w:val="none" w:sz="0" w:space="0" w:color="auto"/>
        <w:left w:val="none" w:sz="0" w:space="0" w:color="auto"/>
        <w:bottom w:val="none" w:sz="0" w:space="0" w:color="auto"/>
        <w:right w:val="none" w:sz="0" w:space="0" w:color="auto"/>
      </w:divBdr>
    </w:div>
    <w:div w:id="1777286207">
      <w:bodyDiv w:val="1"/>
      <w:marLeft w:val="0"/>
      <w:marRight w:val="0"/>
      <w:marTop w:val="0"/>
      <w:marBottom w:val="0"/>
      <w:divBdr>
        <w:top w:val="none" w:sz="0" w:space="0" w:color="auto"/>
        <w:left w:val="none" w:sz="0" w:space="0" w:color="auto"/>
        <w:bottom w:val="none" w:sz="0" w:space="0" w:color="auto"/>
        <w:right w:val="none" w:sz="0" w:space="0" w:color="auto"/>
      </w:divBdr>
    </w:div>
    <w:div w:id="1777865050">
      <w:bodyDiv w:val="1"/>
      <w:marLeft w:val="0"/>
      <w:marRight w:val="0"/>
      <w:marTop w:val="0"/>
      <w:marBottom w:val="0"/>
      <w:divBdr>
        <w:top w:val="none" w:sz="0" w:space="0" w:color="auto"/>
        <w:left w:val="none" w:sz="0" w:space="0" w:color="auto"/>
        <w:bottom w:val="none" w:sz="0" w:space="0" w:color="auto"/>
        <w:right w:val="none" w:sz="0" w:space="0" w:color="auto"/>
      </w:divBdr>
    </w:div>
    <w:div w:id="1781342219">
      <w:bodyDiv w:val="1"/>
      <w:marLeft w:val="0"/>
      <w:marRight w:val="0"/>
      <w:marTop w:val="0"/>
      <w:marBottom w:val="0"/>
      <w:divBdr>
        <w:top w:val="none" w:sz="0" w:space="0" w:color="auto"/>
        <w:left w:val="none" w:sz="0" w:space="0" w:color="auto"/>
        <w:bottom w:val="none" w:sz="0" w:space="0" w:color="auto"/>
        <w:right w:val="none" w:sz="0" w:space="0" w:color="auto"/>
      </w:divBdr>
    </w:div>
    <w:div w:id="1791581340">
      <w:bodyDiv w:val="1"/>
      <w:marLeft w:val="0"/>
      <w:marRight w:val="0"/>
      <w:marTop w:val="0"/>
      <w:marBottom w:val="0"/>
      <w:divBdr>
        <w:top w:val="none" w:sz="0" w:space="0" w:color="auto"/>
        <w:left w:val="none" w:sz="0" w:space="0" w:color="auto"/>
        <w:bottom w:val="none" w:sz="0" w:space="0" w:color="auto"/>
        <w:right w:val="none" w:sz="0" w:space="0" w:color="auto"/>
      </w:divBdr>
    </w:div>
    <w:div w:id="1792746949">
      <w:bodyDiv w:val="1"/>
      <w:marLeft w:val="0"/>
      <w:marRight w:val="0"/>
      <w:marTop w:val="0"/>
      <w:marBottom w:val="0"/>
      <w:divBdr>
        <w:top w:val="none" w:sz="0" w:space="0" w:color="auto"/>
        <w:left w:val="none" w:sz="0" w:space="0" w:color="auto"/>
        <w:bottom w:val="none" w:sz="0" w:space="0" w:color="auto"/>
        <w:right w:val="none" w:sz="0" w:space="0" w:color="auto"/>
      </w:divBdr>
    </w:div>
    <w:div w:id="1796294407">
      <w:bodyDiv w:val="1"/>
      <w:marLeft w:val="0"/>
      <w:marRight w:val="0"/>
      <w:marTop w:val="0"/>
      <w:marBottom w:val="0"/>
      <w:divBdr>
        <w:top w:val="none" w:sz="0" w:space="0" w:color="auto"/>
        <w:left w:val="none" w:sz="0" w:space="0" w:color="auto"/>
        <w:bottom w:val="none" w:sz="0" w:space="0" w:color="auto"/>
        <w:right w:val="none" w:sz="0" w:space="0" w:color="auto"/>
      </w:divBdr>
    </w:div>
    <w:div w:id="1802066604">
      <w:bodyDiv w:val="1"/>
      <w:marLeft w:val="0"/>
      <w:marRight w:val="0"/>
      <w:marTop w:val="0"/>
      <w:marBottom w:val="0"/>
      <w:divBdr>
        <w:top w:val="none" w:sz="0" w:space="0" w:color="auto"/>
        <w:left w:val="none" w:sz="0" w:space="0" w:color="auto"/>
        <w:bottom w:val="none" w:sz="0" w:space="0" w:color="auto"/>
        <w:right w:val="none" w:sz="0" w:space="0" w:color="auto"/>
      </w:divBdr>
    </w:div>
    <w:div w:id="1802266389">
      <w:bodyDiv w:val="1"/>
      <w:marLeft w:val="0"/>
      <w:marRight w:val="0"/>
      <w:marTop w:val="0"/>
      <w:marBottom w:val="0"/>
      <w:divBdr>
        <w:top w:val="none" w:sz="0" w:space="0" w:color="auto"/>
        <w:left w:val="none" w:sz="0" w:space="0" w:color="auto"/>
        <w:bottom w:val="none" w:sz="0" w:space="0" w:color="auto"/>
        <w:right w:val="none" w:sz="0" w:space="0" w:color="auto"/>
      </w:divBdr>
    </w:div>
    <w:div w:id="1802768241">
      <w:bodyDiv w:val="1"/>
      <w:marLeft w:val="0"/>
      <w:marRight w:val="0"/>
      <w:marTop w:val="0"/>
      <w:marBottom w:val="0"/>
      <w:divBdr>
        <w:top w:val="none" w:sz="0" w:space="0" w:color="auto"/>
        <w:left w:val="none" w:sz="0" w:space="0" w:color="auto"/>
        <w:bottom w:val="none" w:sz="0" w:space="0" w:color="auto"/>
        <w:right w:val="none" w:sz="0" w:space="0" w:color="auto"/>
      </w:divBdr>
    </w:div>
    <w:div w:id="1809200239">
      <w:bodyDiv w:val="1"/>
      <w:marLeft w:val="0"/>
      <w:marRight w:val="0"/>
      <w:marTop w:val="0"/>
      <w:marBottom w:val="0"/>
      <w:divBdr>
        <w:top w:val="none" w:sz="0" w:space="0" w:color="auto"/>
        <w:left w:val="none" w:sz="0" w:space="0" w:color="auto"/>
        <w:bottom w:val="none" w:sz="0" w:space="0" w:color="auto"/>
        <w:right w:val="none" w:sz="0" w:space="0" w:color="auto"/>
      </w:divBdr>
    </w:div>
    <w:div w:id="1813518225">
      <w:bodyDiv w:val="1"/>
      <w:marLeft w:val="0"/>
      <w:marRight w:val="0"/>
      <w:marTop w:val="0"/>
      <w:marBottom w:val="0"/>
      <w:divBdr>
        <w:top w:val="none" w:sz="0" w:space="0" w:color="auto"/>
        <w:left w:val="none" w:sz="0" w:space="0" w:color="auto"/>
        <w:bottom w:val="none" w:sz="0" w:space="0" w:color="auto"/>
        <w:right w:val="none" w:sz="0" w:space="0" w:color="auto"/>
      </w:divBdr>
    </w:div>
    <w:div w:id="1822578897">
      <w:bodyDiv w:val="1"/>
      <w:marLeft w:val="0"/>
      <w:marRight w:val="0"/>
      <w:marTop w:val="0"/>
      <w:marBottom w:val="0"/>
      <w:divBdr>
        <w:top w:val="none" w:sz="0" w:space="0" w:color="auto"/>
        <w:left w:val="none" w:sz="0" w:space="0" w:color="auto"/>
        <w:bottom w:val="none" w:sz="0" w:space="0" w:color="auto"/>
        <w:right w:val="none" w:sz="0" w:space="0" w:color="auto"/>
      </w:divBdr>
    </w:div>
    <w:div w:id="1826237643">
      <w:bodyDiv w:val="1"/>
      <w:marLeft w:val="0"/>
      <w:marRight w:val="0"/>
      <w:marTop w:val="0"/>
      <w:marBottom w:val="0"/>
      <w:divBdr>
        <w:top w:val="none" w:sz="0" w:space="0" w:color="auto"/>
        <w:left w:val="none" w:sz="0" w:space="0" w:color="auto"/>
        <w:bottom w:val="none" w:sz="0" w:space="0" w:color="auto"/>
        <w:right w:val="none" w:sz="0" w:space="0" w:color="auto"/>
      </w:divBdr>
    </w:div>
    <w:div w:id="1835145250">
      <w:bodyDiv w:val="1"/>
      <w:marLeft w:val="0"/>
      <w:marRight w:val="0"/>
      <w:marTop w:val="0"/>
      <w:marBottom w:val="0"/>
      <w:divBdr>
        <w:top w:val="none" w:sz="0" w:space="0" w:color="auto"/>
        <w:left w:val="none" w:sz="0" w:space="0" w:color="auto"/>
        <w:bottom w:val="none" w:sz="0" w:space="0" w:color="auto"/>
        <w:right w:val="none" w:sz="0" w:space="0" w:color="auto"/>
      </w:divBdr>
    </w:div>
    <w:div w:id="1836460546">
      <w:bodyDiv w:val="1"/>
      <w:marLeft w:val="0"/>
      <w:marRight w:val="0"/>
      <w:marTop w:val="0"/>
      <w:marBottom w:val="0"/>
      <w:divBdr>
        <w:top w:val="none" w:sz="0" w:space="0" w:color="auto"/>
        <w:left w:val="none" w:sz="0" w:space="0" w:color="auto"/>
        <w:bottom w:val="none" w:sz="0" w:space="0" w:color="auto"/>
        <w:right w:val="none" w:sz="0" w:space="0" w:color="auto"/>
      </w:divBdr>
    </w:div>
    <w:div w:id="1845127260">
      <w:bodyDiv w:val="1"/>
      <w:marLeft w:val="0"/>
      <w:marRight w:val="0"/>
      <w:marTop w:val="0"/>
      <w:marBottom w:val="0"/>
      <w:divBdr>
        <w:top w:val="none" w:sz="0" w:space="0" w:color="auto"/>
        <w:left w:val="none" w:sz="0" w:space="0" w:color="auto"/>
        <w:bottom w:val="none" w:sz="0" w:space="0" w:color="auto"/>
        <w:right w:val="none" w:sz="0" w:space="0" w:color="auto"/>
      </w:divBdr>
    </w:div>
    <w:div w:id="1850439018">
      <w:bodyDiv w:val="1"/>
      <w:marLeft w:val="0"/>
      <w:marRight w:val="0"/>
      <w:marTop w:val="0"/>
      <w:marBottom w:val="0"/>
      <w:divBdr>
        <w:top w:val="none" w:sz="0" w:space="0" w:color="auto"/>
        <w:left w:val="none" w:sz="0" w:space="0" w:color="auto"/>
        <w:bottom w:val="none" w:sz="0" w:space="0" w:color="auto"/>
        <w:right w:val="none" w:sz="0" w:space="0" w:color="auto"/>
      </w:divBdr>
    </w:div>
    <w:div w:id="1856073466">
      <w:bodyDiv w:val="1"/>
      <w:marLeft w:val="0"/>
      <w:marRight w:val="0"/>
      <w:marTop w:val="0"/>
      <w:marBottom w:val="0"/>
      <w:divBdr>
        <w:top w:val="none" w:sz="0" w:space="0" w:color="auto"/>
        <w:left w:val="none" w:sz="0" w:space="0" w:color="auto"/>
        <w:bottom w:val="none" w:sz="0" w:space="0" w:color="auto"/>
        <w:right w:val="none" w:sz="0" w:space="0" w:color="auto"/>
      </w:divBdr>
    </w:div>
    <w:div w:id="1858692052">
      <w:bodyDiv w:val="1"/>
      <w:marLeft w:val="0"/>
      <w:marRight w:val="0"/>
      <w:marTop w:val="0"/>
      <w:marBottom w:val="0"/>
      <w:divBdr>
        <w:top w:val="none" w:sz="0" w:space="0" w:color="auto"/>
        <w:left w:val="none" w:sz="0" w:space="0" w:color="auto"/>
        <w:bottom w:val="none" w:sz="0" w:space="0" w:color="auto"/>
        <w:right w:val="none" w:sz="0" w:space="0" w:color="auto"/>
      </w:divBdr>
    </w:div>
    <w:div w:id="1864900152">
      <w:bodyDiv w:val="1"/>
      <w:marLeft w:val="0"/>
      <w:marRight w:val="0"/>
      <w:marTop w:val="0"/>
      <w:marBottom w:val="0"/>
      <w:divBdr>
        <w:top w:val="none" w:sz="0" w:space="0" w:color="auto"/>
        <w:left w:val="none" w:sz="0" w:space="0" w:color="auto"/>
        <w:bottom w:val="none" w:sz="0" w:space="0" w:color="auto"/>
        <w:right w:val="none" w:sz="0" w:space="0" w:color="auto"/>
      </w:divBdr>
    </w:div>
    <w:div w:id="1870951704">
      <w:bodyDiv w:val="1"/>
      <w:marLeft w:val="0"/>
      <w:marRight w:val="0"/>
      <w:marTop w:val="0"/>
      <w:marBottom w:val="0"/>
      <w:divBdr>
        <w:top w:val="none" w:sz="0" w:space="0" w:color="auto"/>
        <w:left w:val="none" w:sz="0" w:space="0" w:color="auto"/>
        <w:bottom w:val="none" w:sz="0" w:space="0" w:color="auto"/>
        <w:right w:val="none" w:sz="0" w:space="0" w:color="auto"/>
      </w:divBdr>
    </w:div>
    <w:div w:id="1875606561">
      <w:bodyDiv w:val="1"/>
      <w:marLeft w:val="0"/>
      <w:marRight w:val="0"/>
      <w:marTop w:val="0"/>
      <w:marBottom w:val="0"/>
      <w:divBdr>
        <w:top w:val="none" w:sz="0" w:space="0" w:color="auto"/>
        <w:left w:val="none" w:sz="0" w:space="0" w:color="auto"/>
        <w:bottom w:val="none" w:sz="0" w:space="0" w:color="auto"/>
        <w:right w:val="none" w:sz="0" w:space="0" w:color="auto"/>
      </w:divBdr>
    </w:div>
    <w:div w:id="1877963009">
      <w:bodyDiv w:val="1"/>
      <w:marLeft w:val="0"/>
      <w:marRight w:val="0"/>
      <w:marTop w:val="0"/>
      <w:marBottom w:val="0"/>
      <w:divBdr>
        <w:top w:val="none" w:sz="0" w:space="0" w:color="auto"/>
        <w:left w:val="none" w:sz="0" w:space="0" w:color="auto"/>
        <w:bottom w:val="none" w:sz="0" w:space="0" w:color="auto"/>
        <w:right w:val="none" w:sz="0" w:space="0" w:color="auto"/>
      </w:divBdr>
    </w:div>
    <w:div w:id="1883400022">
      <w:bodyDiv w:val="1"/>
      <w:marLeft w:val="0"/>
      <w:marRight w:val="0"/>
      <w:marTop w:val="0"/>
      <w:marBottom w:val="0"/>
      <w:divBdr>
        <w:top w:val="none" w:sz="0" w:space="0" w:color="auto"/>
        <w:left w:val="none" w:sz="0" w:space="0" w:color="auto"/>
        <w:bottom w:val="none" w:sz="0" w:space="0" w:color="auto"/>
        <w:right w:val="none" w:sz="0" w:space="0" w:color="auto"/>
      </w:divBdr>
    </w:div>
    <w:div w:id="1886061596">
      <w:bodyDiv w:val="1"/>
      <w:marLeft w:val="0"/>
      <w:marRight w:val="0"/>
      <w:marTop w:val="0"/>
      <w:marBottom w:val="0"/>
      <w:divBdr>
        <w:top w:val="none" w:sz="0" w:space="0" w:color="auto"/>
        <w:left w:val="none" w:sz="0" w:space="0" w:color="auto"/>
        <w:bottom w:val="none" w:sz="0" w:space="0" w:color="auto"/>
        <w:right w:val="none" w:sz="0" w:space="0" w:color="auto"/>
      </w:divBdr>
    </w:div>
    <w:div w:id="1890455462">
      <w:bodyDiv w:val="1"/>
      <w:marLeft w:val="0"/>
      <w:marRight w:val="0"/>
      <w:marTop w:val="0"/>
      <w:marBottom w:val="0"/>
      <w:divBdr>
        <w:top w:val="none" w:sz="0" w:space="0" w:color="auto"/>
        <w:left w:val="none" w:sz="0" w:space="0" w:color="auto"/>
        <w:bottom w:val="none" w:sz="0" w:space="0" w:color="auto"/>
        <w:right w:val="none" w:sz="0" w:space="0" w:color="auto"/>
      </w:divBdr>
    </w:div>
    <w:div w:id="1892112204">
      <w:bodyDiv w:val="1"/>
      <w:marLeft w:val="0"/>
      <w:marRight w:val="0"/>
      <w:marTop w:val="0"/>
      <w:marBottom w:val="0"/>
      <w:divBdr>
        <w:top w:val="none" w:sz="0" w:space="0" w:color="auto"/>
        <w:left w:val="none" w:sz="0" w:space="0" w:color="auto"/>
        <w:bottom w:val="none" w:sz="0" w:space="0" w:color="auto"/>
        <w:right w:val="none" w:sz="0" w:space="0" w:color="auto"/>
      </w:divBdr>
    </w:div>
    <w:div w:id="1896768988">
      <w:bodyDiv w:val="1"/>
      <w:marLeft w:val="0"/>
      <w:marRight w:val="0"/>
      <w:marTop w:val="0"/>
      <w:marBottom w:val="0"/>
      <w:divBdr>
        <w:top w:val="none" w:sz="0" w:space="0" w:color="auto"/>
        <w:left w:val="none" w:sz="0" w:space="0" w:color="auto"/>
        <w:bottom w:val="none" w:sz="0" w:space="0" w:color="auto"/>
        <w:right w:val="none" w:sz="0" w:space="0" w:color="auto"/>
      </w:divBdr>
    </w:div>
    <w:div w:id="1898931244">
      <w:bodyDiv w:val="1"/>
      <w:marLeft w:val="0"/>
      <w:marRight w:val="0"/>
      <w:marTop w:val="0"/>
      <w:marBottom w:val="0"/>
      <w:divBdr>
        <w:top w:val="none" w:sz="0" w:space="0" w:color="auto"/>
        <w:left w:val="none" w:sz="0" w:space="0" w:color="auto"/>
        <w:bottom w:val="none" w:sz="0" w:space="0" w:color="auto"/>
        <w:right w:val="none" w:sz="0" w:space="0" w:color="auto"/>
      </w:divBdr>
    </w:div>
    <w:div w:id="1900434508">
      <w:bodyDiv w:val="1"/>
      <w:marLeft w:val="0"/>
      <w:marRight w:val="0"/>
      <w:marTop w:val="0"/>
      <w:marBottom w:val="0"/>
      <w:divBdr>
        <w:top w:val="none" w:sz="0" w:space="0" w:color="auto"/>
        <w:left w:val="none" w:sz="0" w:space="0" w:color="auto"/>
        <w:bottom w:val="none" w:sz="0" w:space="0" w:color="auto"/>
        <w:right w:val="none" w:sz="0" w:space="0" w:color="auto"/>
      </w:divBdr>
    </w:div>
    <w:div w:id="1904438539">
      <w:bodyDiv w:val="1"/>
      <w:marLeft w:val="0"/>
      <w:marRight w:val="0"/>
      <w:marTop w:val="0"/>
      <w:marBottom w:val="0"/>
      <w:divBdr>
        <w:top w:val="none" w:sz="0" w:space="0" w:color="auto"/>
        <w:left w:val="none" w:sz="0" w:space="0" w:color="auto"/>
        <w:bottom w:val="none" w:sz="0" w:space="0" w:color="auto"/>
        <w:right w:val="none" w:sz="0" w:space="0" w:color="auto"/>
      </w:divBdr>
    </w:div>
    <w:div w:id="1905682231">
      <w:bodyDiv w:val="1"/>
      <w:marLeft w:val="0"/>
      <w:marRight w:val="0"/>
      <w:marTop w:val="0"/>
      <w:marBottom w:val="0"/>
      <w:divBdr>
        <w:top w:val="none" w:sz="0" w:space="0" w:color="auto"/>
        <w:left w:val="none" w:sz="0" w:space="0" w:color="auto"/>
        <w:bottom w:val="none" w:sz="0" w:space="0" w:color="auto"/>
        <w:right w:val="none" w:sz="0" w:space="0" w:color="auto"/>
      </w:divBdr>
    </w:div>
    <w:div w:id="1907645969">
      <w:bodyDiv w:val="1"/>
      <w:marLeft w:val="0"/>
      <w:marRight w:val="0"/>
      <w:marTop w:val="0"/>
      <w:marBottom w:val="0"/>
      <w:divBdr>
        <w:top w:val="none" w:sz="0" w:space="0" w:color="auto"/>
        <w:left w:val="none" w:sz="0" w:space="0" w:color="auto"/>
        <w:bottom w:val="none" w:sz="0" w:space="0" w:color="auto"/>
        <w:right w:val="none" w:sz="0" w:space="0" w:color="auto"/>
      </w:divBdr>
    </w:div>
    <w:div w:id="1914468089">
      <w:bodyDiv w:val="1"/>
      <w:marLeft w:val="0"/>
      <w:marRight w:val="0"/>
      <w:marTop w:val="0"/>
      <w:marBottom w:val="0"/>
      <w:divBdr>
        <w:top w:val="none" w:sz="0" w:space="0" w:color="auto"/>
        <w:left w:val="none" w:sz="0" w:space="0" w:color="auto"/>
        <w:bottom w:val="none" w:sz="0" w:space="0" w:color="auto"/>
        <w:right w:val="none" w:sz="0" w:space="0" w:color="auto"/>
      </w:divBdr>
    </w:div>
    <w:div w:id="1919633238">
      <w:bodyDiv w:val="1"/>
      <w:marLeft w:val="0"/>
      <w:marRight w:val="0"/>
      <w:marTop w:val="0"/>
      <w:marBottom w:val="0"/>
      <w:divBdr>
        <w:top w:val="none" w:sz="0" w:space="0" w:color="auto"/>
        <w:left w:val="none" w:sz="0" w:space="0" w:color="auto"/>
        <w:bottom w:val="none" w:sz="0" w:space="0" w:color="auto"/>
        <w:right w:val="none" w:sz="0" w:space="0" w:color="auto"/>
      </w:divBdr>
    </w:div>
    <w:div w:id="1919751492">
      <w:bodyDiv w:val="1"/>
      <w:marLeft w:val="0"/>
      <w:marRight w:val="0"/>
      <w:marTop w:val="0"/>
      <w:marBottom w:val="0"/>
      <w:divBdr>
        <w:top w:val="none" w:sz="0" w:space="0" w:color="auto"/>
        <w:left w:val="none" w:sz="0" w:space="0" w:color="auto"/>
        <w:bottom w:val="none" w:sz="0" w:space="0" w:color="auto"/>
        <w:right w:val="none" w:sz="0" w:space="0" w:color="auto"/>
      </w:divBdr>
    </w:div>
    <w:div w:id="1922330290">
      <w:bodyDiv w:val="1"/>
      <w:marLeft w:val="0"/>
      <w:marRight w:val="0"/>
      <w:marTop w:val="0"/>
      <w:marBottom w:val="0"/>
      <w:divBdr>
        <w:top w:val="none" w:sz="0" w:space="0" w:color="auto"/>
        <w:left w:val="none" w:sz="0" w:space="0" w:color="auto"/>
        <w:bottom w:val="none" w:sz="0" w:space="0" w:color="auto"/>
        <w:right w:val="none" w:sz="0" w:space="0" w:color="auto"/>
      </w:divBdr>
    </w:div>
    <w:div w:id="1927689244">
      <w:bodyDiv w:val="1"/>
      <w:marLeft w:val="0"/>
      <w:marRight w:val="0"/>
      <w:marTop w:val="0"/>
      <w:marBottom w:val="0"/>
      <w:divBdr>
        <w:top w:val="none" w:sz="0" w:space="0" w:color="auto"/>
        <w:left w:val="none" w:sz="0" w:space="0" w:color="auto"/>
        <w:bottom w:val="none" w:sz="0" w:space="0" w:color="auto"/>
        <w:right w:val="none" w:sz="0" w:space="0" w:color="auto"/>
      </w:divBdr>
    </w:div>
    <w:div w:id="1927839424">
      <w:bodyDiv w:val="1"/>
      <w:marLeft w:val="0"/>
      <w:marRight w:val="0"/>
      <w:marTop w:val="0"/>
      <w:marBottom w:val="0"/>
      <w:divBdr>
        <w:top w:val="none" w:sz="0" w:space="0" w:color="auto"/>
        <w:left w:val="none" w:sz="0" w:space="0" w:color="auto"/>
        <w:bottom w:val="none" w:sz="0" w:space="0" w:color="auto"/>
        <w:right w:val="none" w:sz="0" w:space="0" w:color="auto"/>
      </w:divBdr>
    </w:div>
    <w:div w:id="1928418322">
      <w:bodyDiv w:val="1"/>
      <w:marLeft w:val="0"/>
      <w:marRight w:val="0"/>
      <w:marTop w:val="0"/>
      <w:marBottom w:val="0"/>
      <w:divBdr>
        <w:top w:val="none" w:sz="0" w:space="0" w:color="auto"/>
        <w:left w:val="none" w:sz="0" w:space="0" w:color="auto"/>
        <w:bottom w:val="none" w:sz="0" w:space="0" w:color="auto"/>
        <w:right w:val="none" w:sz="0" w:space="0" w:color="auto"/>
      </w:divBdr>
    </w:div>
    <w:div w:id="1929658449">
      <w:bodyDiv w:val="1"/>
      <w:marLeft w:val="0"/>
      <w:marRight w:val="0"/>
      <w:marTop w:val="0"/>
      <w:marBottom w:val="0"/>
      <w:divBdr>
        <w:top w:val="none" w:sz="0" w:space="0" w:color="auto"/>
        <w:left w:val="none" w:sz="0" w:space="0" w:color="auto"/>
        <w:bottom w:val="none" w:sz="0" w:space="0" w:color="auto"/>
        <w:right w:val="none" w:sz="0" w:space="0" w:color="auto"/>
      </w:divBdr>
    </w:div>
    <w:div w:id="1930701014">
      <w:bodyDiv w:val="1"/>
      <w:marLeft w:val="0"/>
      <w:marRight w:val="0"/>
      <w:marTop w:val="0"/>
      <w:marBottom w:val="0"/>
      <w:divBdr>
        <w:top w:val="none" w:sz="0" w:space="0" w:color="auto"/>
        <w:left w:val="none" w:sz="0" w:space="0" w:color="auto"/>
        <w:bottom w:val="none" w:sz="0" w:space="0" w:color="auto"/>
        <w:right w:val="none" w:sz="0" w:space="0" w:color="auto"/>
      </w:divBdr>
    </w:div>
    <w:div w:id="1936817198">
      <w:bodyDiv w:val="1"/>
      <w:marLeft w:val="0"/>
      <w:marRight w:val="0"/>
      <w:marTop w:val="0"/>
      <w:marBottom w:val="0"/>
      <w:divBdr>
        <w:top w:val="none" w:sz="0" w:space="0" w:color="auto"/>
        <w:left w:val="none" w:sz="0" w:space="0" w:color="auto"/>
        <w:bottom w:val="none" w:sz="0" w:space="0" w:color="auto"/>
        <w:right w:val="none" w:sz="0" w:space="0" w:color="auto"/>
      </w:divBdr>
    </w:div>
    <w:div w:id="1950775332">
      <w:bodyDiv w:val="1"/>
      <w:marLeft w:val="0"/>
      <w:marRight w:val="0"/>
      <w:marTop w:val="0"/>
      <w:marBottom w:val="0"/>
      <w:divBdr>
        <w:top w:val="none" w:sz="0" w:space="0" w:color="auto"/>
        <w:left w:val="none" w:sz="0" w:space="0" w:color="auto"/>
        <w:bottom w:val="none" w:sz="0" w:space="0" w:color="auto"/>
        <w:right w:val="none" w:sz="0" w:space="0" w:color="auto"/>
      </w:divBdr>
    </w:div>
    <w:div w:id="1954508615">
      <w:bodyDiv w:val="1"/>
      <w:marLeft w:val="0"/>
      <w:marRight w:val="0"/>
      <w:marTop w:val="0"/>
      <w:marBottom w:val="0"/>
      <w:divBdr>
        <w:top w:val="none" w:sz="0" w:space="0" w:color="auto"/>
        <w:left w:val="none" w:sz="0" w:space="0" w:color="auto"/>
        <w:bottom w:val="none" w:sz="0" w:space="0" w:color="auto"/>
        <w:right w:val="none" w:sz="0" w:space="0" w:color="auto"/>
      </w:divBdr>
    </w:div>
    <w:div w:id="1955021519">
      <w:bodyDiv w:val="1"/>
      <w:marLeft w:val="0"/>
      <w:marRight w:val="0"/>
      <w:marTop w:val="0"/>
      <w:marBottom w:val="0"/>
      <w:divBdr>
        <w:top w:val="none" w:sz="0" w:space="0" w:color="auto"/>
        <w:left w:val="none" w:sz="0" w:space="0" w:color="auto"/>
        <w:bottom w:val="none" w:sz="0" w:space="0" w:color="auto"/>
        <w:right w:val="none" w:sz="0" w:space="0" w:color="auto"/>
      </w:divBdr>
    </w:div>
    <w:div w:id="1955406410">
      <w:bodyDiv w:val="1"/>
      <w:marLeft w:val="0"/>
      <w:marRight w:val="0"/>
      <w:marTop w:val="0"/>
      <w:marBottom w:val="0"/>
      <w:divBdr>
        <w:top w:val="none" w:sz="0" w:space="0" w:color="auto"/>
        <w:left w:val="none" w:sz="0" w:space="0" w:color="auto"/>
        <w:bottom w:val="none" w:sz="0" w:space="0" w:color="auto"/>
        <w:right w:val="none" w:sz="0" w:space="0" w:color="auto"/>
      </w:divBdr>
    </w:div>
    <w:div w:id="1956403662">
      <w:bodyDiv w:val="1"/>
      <w:marLeft w:val="0"/>
      <w:marRight w:val="0"/>
      <w:marTop w:val="0"/>
      <w:marBottom w:val="0"/>
      <w:divBdr>
        <w:top w:val="none" w:sz="0" w:space="0" w:color="auto"/>
        <w:left w:val="none" w:sz="0" w:space="0" w:color="auto"/>
        <w:bottom w:val="none" w:sz="0" w:space="0" w:color="auto"/>
        <w:right w:val="none" w:sz="0" w:space="0" w:color="auto"/>
      </w:divBdr>
    </w:div>
    <w:div w:id="1958290097">
      <w:bodyDiv w:val="1"/>
      <w:marLeft w:val="0"/>
      <w:marRight w:val="0"/>
      <w:marTop w:val="0"/>
      <w:marBottom w:val="0"/>
      <w:divBdr>
        <w:top w:val="none" w:sz="0" w:space="0" w:color="auto"/>
        <w:left w:val="none" w:sz="0" w:space="0" w:color="auto"/>
        <w:bottom w:val="none" w:sz="0" w:space="0" w:color="auto"/>
        <w:right w:val="none" w:sz="0" w:space="0" w:color="auto"/>
      </w:divBdr>
    </w:div>
    <w:div w:id="1959339204">
      <w:bodyDiv w:val="1"/>
      <w:marLeft w:val="0"/>
      <w:marRight w:val="0"/>
      <w:marTop w:val="0"/>
      <w:marBottom w:val="0"/>
      <w:divBdr>
        <w:top w:val="none" w:sz="0" w:space="0" w:color="auto"/>
        <w:left w:val="none" w:sz="0" w:space="0" w:color="auto"/>
        <w:bottom w:val="none" w:sz="0" w:space="0" w:color="auto"/>
        <w:right w:val="none" w:sz="0" w:space="0" w:color="auto"/>
      </w:divBdr>
    </w:div>
    <w:div w:id="1967157079">
      <w:bodyDiv w:val="1"/>
      <w:marLeft w:val="0"/>
      <w:marRight w:val="0"/>
      <w:marTop w:val="0"/>
      <w:marBottom w:val="0"/>
      <w:divBdr>
        <w:top w:val="none" w:sz="0" w:space="0" w:color="auto"/>
        <w:left w:val="none" w:sz="0" w:space="0" w:color="auto"/>
        <w:bottom w:val="none" w:sz="0" w:space="0" w:color="auto"/>
        <w:right w:val="none" w:sz="0" w:space="0" w:color="auto"/>
      </w:divBdr>
    </w:div>
    <w:div w:id="1967858309">
      <w:bodyDiv w:val="1"/>
      <w:marLeft w:val="0"/>
      <w:marRight w:val="0"/>
      <w:marTop w:val="0"/>
      <w:marBottom w:val="0"/>
      <w:divBdr>
        <w:top w:val="none" w:sz="0" w:space="0" w:color="auto"/>
        <w:left w:val="none" w:sz="0" w:space="0" w:color="auto"/>
        <w:bottom w:val="none" w:sz="0" w:space="0" w:color="auto"/>
        <w:right w:val="none" w:sz="0" w:space="0" w:color="auto"/>
      </w:divBdr>
    </w:div>
    <w:div w:id="1969698516">
      <w:bodyDiv w:val="1"/>
      <w:marLeft w:val="0"/>
      <w:marRight w:val="0"/>
      <w:marTop w:val="0"/>
      <w:marBottom w:val="0"/>
      <w:divBdr>
        <w:top w:val="none" w:sz="0" w:space="0" w:color="auto"/>
        <w:left w:val="none" w:sz="0" w:space="0" w:color="auto"/>
        <w:bottom w:val="none" w:sz="0" w:space="0" w:color="auto"/>
        <w:right w:val="none" w:sz="0" w:space="0" w:color="auto"/>
      </w:divBdr>
    </w:div>
    <w:div w:id="1972133502">
      <w:bodyDiv w:val="1"/>
      <w:marLeft w:val="0"/>
      <w:marRight w:val="0"/>
      <w:marTop w:val="0"/>
      <w:marBottom w:val="0"/>
      <w:divBdr>
        <w:top w:val="none" w:sz="0" w:space="0" w:color="auto"/>
        <w:left w:val="none" w:sz="0" w:space="0" w:color="auto"/>
        <w:bottom w:val="none" w:sz="0" w:space="0" w:color="auto"/>
        <w:right w:val="none" w:sz="0" w:space="0" w:color="auto"/>
      </w:divBdr>
    </w:div>
    <w:div w:id="1978949985">
      <w:bodyDiv w:val="1"/>
      <w:marLeft w:val="0"/>
      <w:marRight w:val="0"/>
      <w:marTop w:val="0"/>
      <w:marBottom w:val="0"/>
      <w:divBdr>
        <w:top w:val="none" w:sz="0" w:space="0" w:color="auto"/>
        <w:left w:val="none" w:sz="0" w:space="0" w:color="auto"/>
        <w:bottom w:val="none" w:sz="0" w:space="0" w:color="auto"/>
        <w:right w:val="none" w:sz="0" w:space="0" w:color="auto"/>
      </w:divBdr>
    </w:div>
    <w:div w:id="1979601602">
      <w:bodyDiv w:val="1"/>
      <w:marLeft w:val="0"/>
      <w:marRight w:val="0"/>
      <w:marTop w:val="0"/>
      <w:marBottom w:val="0"/>
      <w:divBdr>
        <w:top w:val="none" w:sz="0" w:space="0" w:color="auto"/>
        <w:left w:val="none" w:sz="0" w:space="0" w:color="auto"/>
        <w:bottom w:val="none" w:sz="0" w:space="0" w:color="auto"/>
        <w:right w:val="none" w:sz="0" w:space="0" w:color="auto"/>
      </w:divBdr>
    </w:div>
    <w:div w:id="1982691876">
      <w:bodyDiv w:val="1"/>
      <w:marLeft w:val="0"/>
      <w:marRight w:val="0"/>
      <w:marTop w:val="0"/>
      <w:marBottom w:val="0"/>
      <w:divBdr>
        <w:top w:val="none" w:sz="0" w:space="0" w:color="auto"/>
        <w:left w:val="none" w:sz="0" w:space="0" w:color="auto"/>
        <w:bottom w:val="none" w:sz="0" w:space="0" w:color="auto"/>
        <w:right w:val="none" w:sz="0" w:space="0" w:color="auto"/>
      </w:divBdr>
    </w:div>
    <w:div w:id="1986397786">
      <w:bodyDiv w:val="1"/>
      <w:marLeft w:val="0"/>
      <w:marRight w:val="0"/>
      <w:marTop w:val="0"/>
      <w:marBottom w:val="0"/>
      <w:divBdr>
        <w:top w:val="none" w:sz="0" w:space="0" w:color="auto"/>
        <w:left w:val="none" w:sz="0" w:space="0" w:color="auto"/>
        <w:bottom w:val="none" w:sz="0" w:space="0" w:color="auto"/>
        <w:right w:val="none" w:sz="0" w:space="0" w:color="auto"/>
      </w:divBdr>
    </w:div>
    <w:div w:id="1987585913">
      <w:bodyDiv w:val="1"/>
      <w:marLeft w:val="0"/>
      <w:marRight w:val="0"/>
      <w:marTop w:val="0"/>
      <w:marBottom w:val="0"/>
      <w:divBdr>
        <w:top w:val="none" w:sz="0" w:space="0" w:color="auto"/>
        <w:left w:val="none" w:sz="0" w:space="0" w:color="auto"/>
        <w:bottom w:val="none" w:sz="0" w:space="0" w:color="auto"/>
        <w:right w:val="none" w:sz="0" w:space="0" w:color="auto"/>
      </w:divBdr>
    </w:div>
    <w:div w:id="1990283991">
      <w:bodyDiv w:val="1"/>
      <w:marLeft w:val="0"/>
      <w:marRight w:val="0"/>
      <w:marTop w:val="0"/>
      <w:marBottom w:val="0"/>
      <w:divBdr>
        <w:top w:val="none" w:sz="0" w:space="0" w:color="auto"/>
        <w:left w:val="none" w:sz="0" w:space="0" w:color="auto"/>
        <w:bottom w:val="none" w:sz="0" w:space="0" w:color="auto"/>
        <w:right w:val="none" w:sz="0" w:space="0" w:color="auto"/>
      </w:divBdr>
    </w:div>
    <w:div w:id="1991250285">
      <w:bodyDiv w:val="1"/>
      <w:marLeft w:val="0"/>
      <w:marRight w:val="0"/>
      <w:marTop w:val="0"/>
      <w:marBottom w:val="0"/>
      <w:divBdr>
        <w:top w:val="none" w:sz="0" w:space="0" w:color="auto"/>
        <w:left w:val="none" w:sz="0" w:space="0" w:color="auto"/>
        <w:bottom w:val="none" w:sz="0" w:space="0" w:color="auto"/>
        <w:right w:val="none" w:sz="0" w:space="0" w:color="auto"/>
      </w:divBdr>
    </w:div>
    <w:div w:id="1999069056">
      <w:bodyDiv w:val="1"/>
      <w:marLeft w:val="0"/>
      <w:marRight w:val="0"/>
      <w:marTop w:val="0"/>
      <w:marBottom w:val="0"/>
      <w:divBdr>
        <w:top w:val="none" w:sz="0" w:space="0" w:color="auto"/>
        <w:left w:val="none" w:sz="0" w:space="0" w:color="auto"/>
        <w:bottom w:val="none" w:sz="0" w:space="0" w:color="auto"/>
        <w:right w:val="none" w:sz="0" w:space="0" w:color="auto"/>
      </w:divBdr>
    </w:div>
    <w:div w:id="1999071168">
      <w:bodyDiv w:val="1"/>
      <w:marLeft w:val="0"/>
      <w:marRight w:val="0"/>
      <w:marTop w:val="0"/>
      <w:marBottom w:val="0"/>
      <w:divBdr>
        <w:top w:val="none" w:sz="0" w:space="0" w:color="auto"/>
        <w:left w:val="none" w:sz="0" w:space="0" w:color="auto"/>
        <w:bottom w:val="none" w:sz="0" w:space="0" w:color="auto"/>
        <w:right w:val="none" w:sz="0" w:space="0" w:color="auto"/>
      </w:divBdr>
    </w:div>
    <w:div w:id="1999724698">
      <w:bodyDiv w:val="1"/>
      <w:marLeft w:val="0"/>
      <w:marRight w:val="0"/>
      <w:marTop w:val="0"/>
      <w:marBottom w:val="0"/>
      <w:divBdr>
        <w:top w:val="none" w:sz="0" w:space="0" w:color="auto"/>
        <w:left w:val="none" w:sz="0" w:space="0" w:color="auto"/>
        <w:bottom w:val="none" w:sz="0" w:space="0" w:color="auto"/>
        <w:right w:val="none" w:sz="0" w:space="0" w:color="auto"/>
      </w:divBdr>
    </w:div>
    <w:div w:id="2001343866">
      <w:bodyDiv w:val="1"/>
      <w:marLeft w:val="0"/>
      <w:marRight w:val="0"/>
      <w:marTop w:val="0"/>
      <w:marBottom w:val="0"/>
      <w:divBdr>
        <w:top w:val="none" w:sz="0" w:space="0" w:color="auto"/>
        <w:left w:val="none" w:sz="0" w:space="0" w:color="auto"/>
        <w:bottom w:val="none" w:sz="0" w:space="0" w:color="auto"/>
        <w:right w:val="none" w:sz="0" w:space="0" w:color="auto"/>
      </w:divBdr>
    </w:div>
    <w:div w:id="2001346397">
      <w:bodyDiv w:val="1"/>
      <w:marLeft w:val="0"/>
      <w:marRight w:val="0"/>
      <w:marTop w:val="0"/>
      <w:marBottom w:val="0"/>
      <w:divBdr>
        <w:top w:val="none" w:sz="0" w:space="0" w:color="auto"/>
        <w:left w:val="none" w:sz="0" w:space="0" w:color="auto"/>
        <w:bottom w:val="none" w:sz="0" w:space="0" w:color="auto"/>
        <w:right w:val="none" w:sz="0" w:space="0" w:color="auto"/>
      </w:divBdr>
    </w:div>
    <w:div w:id="2007394624">
      <w:bodyDiv w:val="1"/>
      <w:marLeft w:val="0"/>
      <w:marRight w:val="0"/>
      <w:marTop w:val="0"/>
      <w:marBottom w:val="0"/>
      <w:divBdr>
        <w:top w:val="none" w:sz="0" w:space="0" w:color="auto"/>
        <w:left w:val="none" w:sz="0" w:space="0" w:color="auto"/>
        <w:bottom w:val="none" w:sz="0" w:space="0" w:color="auto"/>
        <w:right w:val="none" w:sz="0" w:space="0" w:color="auto"/>
      </w:divBdr>
    </w:div>
    <w:div w:id="2014991266">
      <w:bodyDiv w:val="1"/>
      <w:marLeft w:val="0"/>
      <w:marRight w:val="0"/>
      <w:marTop w:val="0"/>
      <w:marBottom w:val="0"/>
      <w:divBdr>
        <w:top w:val="none" w:sz="0" w:space="0" w:color="auto"/>
        <w:left w:val="none" w:sz="0" w:space="0" w:color="auto"/>
        <w:bottom w:val="none" w:sz="0" w:space="0" w:color="auto"/>
        <w:right w:val="none" w:sz="0" w:space="0" w:color="auto"/>
      </w:divBdr>
    </w:div>
    <w:div w:id="2017417431">
      <w:bodyDiv w:val="1"/>
      <w:marLeft w:val="0"/>
      <w:marRight w:val="0"/>
      <w:marTop w:val="0"/>
      <w:marBottom w:val="0"/>
      <w:divBdr>
        <w:top w:val="none" w:sz="0" w:space="0" w:color="auto"/>
        <w:left w:val="none" w:sz="0" w:space="0" w:color="auto"/>
        <w:bottom w:val="none" w:sz="0" w:space="0" w:color="auto"/>
        <w:right w:val="none" w:sz="0" w:space="0" w:color="auto"/>
      </w:divBdr>
    </w:div>
    <w:div w:id="2020083945">
      <w:bodyDiv w:val="1"/>
      <w:marLeft w:val="0"/>
      <w:marRight w:val="0"/>
      <w:marTop w:val="0"/>
      <w:marBottom w:val="0"/>
      <w:divBdr>
        <w:top w:val="none" w:sz="0" w:space="0" w:color="auto"/>
        <w:left w:val="none" w:sz="0" w:space="0" w:color="auto"/>
        <w:bottom w:val="none" w:sz="0" w:space="0" w:color="auto"/>
        <w:right w:val="none" w:sz="0" w:space="0" w:color="auto"/>
      </w:divBdr>
    </w:div>
    <w:div w:id="2027292510">
      <w:bodyDiv w:val="1"/>
      <w:marLeft w:val="0"/>
      <w:marRight w:val="0"/>
      <w:marTop w:val="0"/>
      <w:marBottom w:val="0"/>
      <w:divBdr>
        <w:top w:val="none" w:sz="0" w:space="0" w:color="auto"/>
        <w:left w:val="none" w:sz="0" w:space="0" w:color="auto"/>
        <w:bottom w:val="none" w:sz="0" w:space="0" w:color="auto"/>
        <w:right w:val="none" w:sz="0" w:space="0" w:color="auto"/>
      </w:divBdr>
    </w:div>
    <w:div w:id="2027752874">
      <w:bodyDiv w:val="1"/>
      <w:marLeft w:val="0"/>
      <w:marRight w:val="0"/>
      <w:marTop w:val="0"/>
      <w:marBottom w:val="0"/>
      <w:divBdr>
        <w:top w:val="none" w:sz="0" w:space="0" w:color="auto"/>
        <w:left w:val="none" w:sz="0" w:space="0" w:color="auto"/>
        <w:bottom w:val="none" w:sz="0" w:space="0" w:color="auto"/>
        <w:right w:val="none" w:sz="0" w:space="0" w:color="auto"/>
      </w:divBdr>
    </w:div>
    <w:div w:id="2033262472">
      <w:bodyDiv w:val="1"/>
      <w:marLeft w:val="0"/>
      <w:marRight w:val="0"/>
      <w:marTop w:val="0"/>
      <w:marBottom w:val="0"/>
      <w:divBdr>
        <w:top w:val="none" w:sz="0" w:space="0" w:color="auto"/>
        <w:left w:val="none" w:sz="0" w:space="0" w:color="auto"/>
        <w:bottom w:val="none" w:sz="0" w:space="0" w:color="auto"/>
        <w:right w:val="none" w:sz="0" w:space="0" w:color="auto"/>
      </w:divBdr>
    </w:div>
    <w:div w:id="2036929969">
      <w:bodyDiv w:val="1"/>
      <w:marLeft w:val="0"/>
      <w:marRight w:val="0"/>
      <w:marTop w:val="0"/>
      <w:marBottom w:val="0"/>
      <w:divBdr>
        <w:top w:val="none" w:sz="0" w:space="0" w:color="auto"/>
        <w:left w:val="none" w:sz="0" w:space="0" w:color="auto"/>
        <w:bottom w:val="none" w:sz="0" w:space="0" w:color="auto"/>
        <w:right w:val="none" w:sz="0" w:space="0" w:color="auto"/>
      </w:divBdr>
    </w:div>
    <w:div w:id="2049599805">
      <w:bodyDiv w:val="1"/>
      <w:marLeft w:val="0"/>
      <w:marRight w:val="0"/>
      <w:marTop w:val="0"/>
      <w:marBottom w:val="0"/>
      <w:divBdr>
        <w:top w:val="none" w:sz="0" w:space="0" w:color="auto"/>
        <w:left w:val="none" w:sz="0" w:space="0" w:color="auto"/>
        <w:bottom w:val="none" w:sz="0" w:space="0" w:color="auto"/>
        <w:right w:val="none" w:sz="0" w:space="0" w:color="auto"/>
      </w:divBdr>
    </w:div>
    <w:div w:id="2050033583">
      <w:bodyDiv w:val="1"/>
      <w:marLeft w:val="0"/>
      <w:marRight w:val="0"/>
      <w:marTop w:val="0"/>
      <w:marBottom w:val="0"/>
      <w:divBdr>
        <w:top w:val="none" w:sz="0" w:space="0" w:color="auto"/>
        <w:left w:val="none" w:sz="0" w:space="0" w:color="auto"/>
        <w:bottom w:val="none" w:sz="0" w:space="0" w:color="auto"/>
        <w:right w:val="none" w:sz="0" w:space="0" w:color="auto"/>
      </w:divBdr>
    </w:div>
    <w:div w:id="2050252592">
      <w:bodyDiv w:val="1"/>
      <w:marLeft w:val="0"/>
      <w:marRight w:val="0"/>
      <w:marTop w:val="0"/>
      <w:marBottom w:val="0"/>
      <w:divBdr>
        <w:top w:val="none" w:sz="0" w:space="0" w:color="auto"/>
        <w:left w:val="none" w:sz="0" w:space="0" w:color="auto"/>
        <w:bottom w:val="none" w:sz="0" w:space="0" w:color="auto"/>
        <w:right w:val="none" w:sz="0" w:space="0" w:color="auto"/>
      </w:divBdr>
    </w:div>
    <w:div w:id="2052344818">
      <w:bodyDiv w:val="1"/>
      <w:marLeft w:val="0"/>
      <w:marRight w:val="0"/>
      <w:marTop w:val="0"/>
      <w:marBottom w:val="0"/>
      <w:divBdr>
        <w:top w:val="none" w:sz="0" w:space="0" w:color="auto"/>
        <w:left w:val="none" w:sz="0" w:space="0" w:color="auto"/>
        <w:bottom w:val="none" w:sz="0" w:space="0" w:color="auto"/>
        <w:right w:val="none" w:sz="0" w:space="0" w:color="auto"/>
      </w:divBdr>
    </w:div>
    <w:div w:id="2052920240">
      <w:bodyDiv w:val="1"/>
      <w:marLeft w:val="0"/>
      <w:marRight w:val="0"/>
      <w:marTop w:val="0"/>
      <w:marBottom w:val="0"/>
      <w:divBdr>
        <w:top w:val="none" w:sz="0" w:space="0" w:color="auto"/>
        <w:left w:val="none" w:sz="0" w:space="0" w:color="auto"/>
        <w:bottom w:val="none" w:sz="0" w:space="0" w:color="auto"/>
        <w:right w:val="none" w:sz="0" w:space="0" w:color="auto"/>
      </w:divBdr>
    </w:div>
    <w:div w:id="2053771861">
      <w:bodyDiv w:val="1"/>
      <w:marLeft w:val="0"/>
      <w:marRight w:val="0"/>
      <w:marTop w:val="0"/>
      <w:marBottom w:val="0"/>
      <w:divBdr>
        <w:top w:val="none" w:sz="0" w:space="0" w:color="auto"/>
        <w:left w:val="none" w:sz="0" w:space="0" w:color="auto"/>
        <w:bottom w:val="none" w:sz="0" w:space="0" w:color="auto"/>
        <w:right w:val="none" w:sz="0" w:space="0" w:color="auto"/>
      </w:divBdr>
    </w:div>
    <w:div w:id="2077316335">
      <w:bodyDiv w:val="1"/>
      <w:marLeft w:val="0"/>
      <w:marRight w:val="0"/>
      <w:marTop w:val="0"/>
      <w:marBottom w:val="0"/>
      <w:divBdr>
        <w:top w:val="none" w:sz="0" w:space="0" w:color="auto"/>
        <w:left w:val="none" w:sz="0" w:space="0" w:color="auto"/>
        <w:bottom w:val="none" w:sz="0" w:space="0" w:color="auto"/>
        <w:right w:val="none" w:sz="0" w:space="0" w:color="auto"/>
      </w:divBdr>
    </w:div>
    <w:div w:id="2083526297">
      <w:bodyDiv w:val="1"/>
      <w:marLeft w:val="0"/>
      <w:marRight w:val="0"/>
      <w:marTop w:val="0"/>
      <w:marBottom w:val="0"/>
      <w:divBdr>
        <w:top w:val="none" w:sz="0" w:space="0" w:color="auto"/>
        <w:left w:val="none" w:sz="0" w:space="0" w:color="auto"/>
        <w:bottom w:val="none" w:sz="0" w:space="0" w:color="auto"/>
        <w:right w:val="none" w:sz="0" w:space="0" w:color="auto"/>
      </w:divBdr>
    </w:div>
    <w:div w:id="2083677531">
      <w:bodyDiv w:val="1"/>
      <w:marLeft w:val="0"/>
      <w:marRight w:val="0"/>
      <w:marTop w:val="0"/>
      <w:marBottom w:val="0"/>
      <w:divBdr>
        <w:top w:val="none" w:sz="0" w:space="0" w:color="auto"/>
        <w:left w:val="none" w:sz="0" w:space="0" w:color="auto"/>
        <w:bottom w:val="none" w:sz="0" w:space="0" w:color="auto"/>
        <w:right w:val="none" w:sz="0" w:space="0" w:color="auto"/>
      </w:divBdr>
    </w:div>
    <w:div w:id="2084797460">
      <w:bodyDiv w:val="1"/>
      <w:marLeft w:val="0"/>
      <w:marRight w:val="0"/>
      <w:marTop w:val="0"/>
      <w:marBottom w:val="0"/>
      <w:divBdr>
        <w:top w:val="none" w:sz="0" w:space="0" w:color="auto"/>
        <w:left w:val="none" w:sz="0" w:space="0" w:color="auto"/>
        <w:bottom w:val="none" w:sz="0" w:space="0" w:color="auto"/>
        <w:right w:val="none" w:sz="0" w:space="0" w:color="auto"/>
      </w:divBdr>
    </w:div>
    <w:div w:id="2084833980">
      <w:bodyDiv w:val="1"/>
      <w:marLeft w:val="0"/>
      <w:marRight w:val="0"/>
      <w:marTop w:val="0"/>
      <w:marBottom w:val="0"/>
      <w:divBdr>
        <w:top w:val="none" w:sz="0" w:space="0" w:color="auto"/>
        <w:left w:val="none" w:sz="0" w:space="0" w:color="auto"/>
        <w:bottom w:val="none" w:sz="0" w:space="0" w:color="auto"/>
        <w:right w:val="none" w:sz="0" w:space="0" w:color="auto"/>
      </w:divBdr>
    </w:div>
    <w:div w:id="2085373519">
      <w:bodyDiv w:val="1"/>
      <w:marLeft w:val="0"/>
      <w:marRight w:val="0"/>
      <w:marTop w:val="0"/>
      <w:marBottom w:val="0"/>
      <w:divBdr>
        <w:top w:val="none" w:sz="0" w:space="0" w:color="auto"/>
        <w:left w:val="none" w:sz="0" w:space="0" w:color="auto"/>
        <w:bottom w:val="none" w:sz="0" w:space="0" w:color="auto"/>
        <w:right w:val="none" w:sz="0" w:space="0" w:color="auto"/>
      </w:divBdr>
    </w:div>
    <w:div w:id="2085908477">
      <w:bodyDiv w:val="1"/>
      <w:marLeft w:val="0"/>
      <w:marRight w:val="0"/>
      <w:marTop w:val="0"/>
      <w:marBottom w:val="0"/>
      <w:divBdr>
        <w:top w:val="none" w:sz="0" w:space="0" w:color="auto"/>
        <w:left w:val="none" w:sz="0" w:space="0" w:color="auto"/>
        <w:bottom w:val="none" w:sz="0" w:space="0" w:color="auto"/>
        <w:right w:val="none" w:sz="0" w:space="0" w:color="auto"/>
      </w:divBdr>
    </w:div>
    <w:div w:id="2086098705">
      <w:bodyDiv w:val="1"/>
      <w:marLeft w:val="0"/>
      <w:marRight w:val="0"/>
      <w:marTop w:val="0"/>
      <w:marBottom w:val="0"/>
      <w:divBdr>
        <w:top w:val="none" w:sz="0" w:space="0" w:color="auto"/>
        <w:left w:val="none" w:sz="0" w:space="0" w:color="auto"/>
        <w:bottom w:val="none" w:sz="0" w:space="0" w:color="auto"/>
        <w:right w:val="none" w:sz="0" w:space="0" w:color="auto"/>
      </w:divBdr>
    </w:div>
    <w:div w:id="2092580287">
      <w:bodyDiv w:val="1"/>
      <w:marLeft w:val="0"/>
      <w:marRight w:val="0"/>
      <w:marTop w:val="0"/>
      <w:marBottom w:val="0"/>
      <w:divBdr>
        <w:top w:val="none" w:sz="0" w:space="0" w:color="auto"/>
        <w:left w:val="none" w:sz="0" w:space="0" w:color="auto"/>
        <w:bottom w:val="none" w:sz="0" w:space="0" w:color="auto"/>
        <w:right w:val="none" w:sz="0" w:space="0" w:color="auto"/>
      </w:divBdr>
    </w:div>
    <w:div w:id="2095660936">
      <w:bodyDiv w:val="1"/>
      <w:marLeft w:val="0"/>
      <w:marRight w:val="0"/>
      <w:marTop w:val="0"/>
      <w:marBottom w:val="0"/>
      <w:divBdr>
        <w:top w:val="none" w:sz="0" w:space="0" w:color="auto"/>
        <w:left w:val="none" w:sz="0" w:space="0" w:color="auto"/>
        <w:bottom w:val="none" w:sz="0" w:space="0" w:color="auto"/>
        <w:right w:val="none" w:sz="0" w:space="0" w:color="auto"/>
      </w:divBdr>
    </w:div>
    <w:div w:id="2099324235">
      <w:bodyDiv w:val="1"/>
      <w:marLeft w:val="0"/>
      <w:marRight w:val="0"/>
      <w:marTop w:val="0"/>
      <w:marBottom w:val="0"/>
      <w:divBdr>
        <w:top w:val="none" w:sz="0" w:space="0" w:color="auto"/>
        <w:left w:val="none" w:sz="0" w:space="0" w:color="auto"/>
        <w:bottom w:val="none" w:sz="0" w:space="0" w:color="auto"/>
        <w:right w:val="none" w:sz="0" w:space="0" w:color="auto"/>
      </w:divBdr>
    </w:div>
    <w:div w:id="2100443098">
      <w:bodyDiv w:val="1"/>
      <w:marLeft w:val="0"/>
      <w:marRight w:val="0"/>
      <w:marTop w:val="0"/>
      <w:marBottom w:val="0"/>
      <w:divBdr>
        <w:top w:val="none" w:sz="0" w:space="0" w:color="auto"/>
        <w:left w:val="none" w:sz="0" w:space="0" w:color="auto"/>
        <w:bottom w:val="none" w:sz="0" w:space="0" w:color="auto"/>
        <w:right w:val="none" w:sz="0" w:space="0" w:color="auto"/>
      </w:divBdr>
    </w:div>
    <w:div w:id="2102067252">
      <w:bodyDiv w:val="1"/>
      <w:marLeft w:val="0"/>
      <w:marRight w:val="0"/>
      <w:marTop w:val="0"/>
      <w:marBottom w:val="0"/>
      <w:divBdr>
        <w:top w:val="none" w:sz="0" w:space="0" w:color="auto"/>
        <w:left w:val="none" w:sz="0" w:space="0" w:color="auto"/>
        <w:bottom w:val="none" w:sz="0" w:space="0" w:color="auto"/>
        <w:right w:val="none" w:sz="0" w:space="0" w:color="auto"/>
      </w:divBdr>
    </w:div>
    <w:div w:id="2103381037">
      <w:bodyDiv w:val="1"/>
      <w:marLeft w:val="0"/>
      <w:marRight w:val="0"/>
      <w:marTop w:val="0"/>
      <w:marBottom w:val="0"/>
      <w:divBdr>
        <w:top w:val="none" w:sz="0" w:space="0" w:color="auto"/>
        <w:left w:val="none" w:sz="0" w:space="0" w:color="auto"/>
        <w:bottom w:val="none" w:sz="0" w:space="0" w:color="auto"/>
        <w:right w:val="none" w:sz="0" w:space="0" w:color="auto"/>
      </w:divBdr>
    </w:div>
    <w:div w:id="2107849458">
      <w:bodyDiv w:val="1"/>
      <w:marLeft w:val="0"/>
      <w:marRight w:val="0"/>
      <w:marTop w:val="0"/>
      <w:marBottom w:val="0"/>
      <w:divBdr>
        <w:top w:val="none" w:sz="0" w:space="0" w:color="auto"/>
        <w:left w:val="none" w:sz="0" w:space="0" w:color="auto"/>
        <w:bottom w:val="none" w:sz="0" w:space="0" w:color="auto"/>
        <w:right w:val="none" w:sz="0" w:space="0" w:color="auto"/>
      </w:divBdr>
    </w:div>
    <w:div w:id="2107966238">
      <w:bodyDiv w:val="1"/>
      <w:marLeft w:val="0"/>
      <w:marRight w:val="0"/>
      <w:marTop w:val="0"/>
      <w:marBottom w:val="0"/>
      <w:divBdr>
        <w:top w:val="none" w:sz="0" w:space="0" w:color="auto"/>
        <w:left w:val="none" w:sz="0" w:space="0" w:color="auto"/>
        <w:bottom w:val="none" w:sz="0" w:space="0" w:color="auto"/>
        <w:right w:val="none" w:sz="0" w:space="0" w:color="auto"/>
      </w:divBdr>
    </w:div>
    <w:div w:id="2117169497">
      <w:bodyDiv w:val="1"/>
      <w:marLeft w:val="0"/>
      <w:marRight w:val="0"/>
      <w:marTop w:val="0"/>
      <w:marBottom w:val="0"/>
      <w:divBdr>
        <w:top w:val="none" w:sz="0" w:space="0" w:color="auto"/>
        <w:left w:val="none" w:sz="0" w:space="0" w:color="auto"/>
        <w:bottom w:val="none" w:sz="0" w:space="0" w:color="auto"/>
        <w:right w:val="none" w:sz="0" w:space="0" w:color="auto"/>
      </w:divBdr>
    </w:div>
    <w:div w:id="2120680073">
      <w:bodyDiv w:val="1"/>
      <w:marLeft w:val="0"/>
      <w:marRight w:val="0"/>
      <w:marTop w:val="0"/>
      <w:marBottom w:val="0"/>
      <w:divBdr>
        <w:top w:val="none" w:sz="0" w:space="0" w:color="auto"/>
        <w:left w:val="none" w:sz="0" w:space="0" w:color="auto"/>
        <w:bottom w:val="none" w:sz="0" w:space="0" w:color="auto"/>
        <w:right w:val="none" w:sz="0" w:space="0" w:color="auto"/>
      </w:divBdr>
    </w:div>
    <w:div w:id="2130510460">
      <w:bodyDiv w:val="1"/>
      <w:marLeft w:val="0"/>
      <w:marRight w:val="0"/>
      <w:marTop w:val="0"/>
      <w:marBottom w:val="0"/>
      <w:divBdr>
        <w:top w:val="none" w:sz="0" w:space="0" w:color="auto"/>
        <w:left w:val="none" w:sz="0" w:space="0" w:color="auto"/>
        <w:bottom w:val="none" w:sz="0" w:space="0" w:color="auto"/>
        <w:right w:val="none" w:sz="0" w:space="0" w:color="auto"/>
      </w:divBdr>
    </w:div>
    <w:div w:id="2131512850">
      <w:bodyDiv w:val="1"/>
      <w:marLeft w:val="0"/>
      <w:marRight w:val="0"/>
      <w:marTop w:val="0"/>
      <w:marBottom w:val="0"/>
      <w:divBdr>
        <w:top w:val="none" w:sz="0" w:space="0" w:color="auto"/>
        <w:left w:val="none" w:sz="0" w:space="0" w:color="auto"/>
        <w:bottom w:val="none" w:sz="0" w:space="0" w:color="auto"/>
        <w:right w:val="none" w:sz="0" w:space="0" w:color="auto"/>
      </w:divBdr>
    </w:div>
    <w:div w:id="2133163658">
      <w:bodyDiv w:val="1"/>
      <w:marLeft w:val="0"/>
      <w:marRight w:val="0"/>
      <w:marTop w:val="0"/>
      <w:marBottom w:val="0"/>
      <w:divBdr>
        <w:top w:val="none" w:sz="0" w:space="0" w:color="auto"/>
        <w:left w:val="none" w:sz="0" w:space="0" w:color="auto"/>
        <w:bottom w:val="none" w:sz="0" w:space="0" w:color="auto"/>
        <w:right w:val="none" w:sz="0" w:space="0" w:color="auto"/>
      </w:divBdr>
    </w:div>
    <w:div w:id="2138521558">
      <w:bodyDiv w:val="1"/>
      <w:marLeft w:val="0"/>
      <w:marRight w:val="0"/>
      <w:marTop w:val="0"/>
      <w:marBottom w:val="0"/>
      <w:divBdr>
        <w:top w:val="none" w:sz="0" w:space="0" w:color="auto"/>
        <w:left w:val="none" w:sz="0" w:space="0" w:color="auto"/>
        <w:bottom w:val="none" w:sz="0" w:space="0" w:color="auto"/>
        <w:right w:val="none" w:sz="0" w:space="0" w:color="auto"/>
      </w:divBdr>
    </w:div>
    <w:div w:id="2141416254">
      <w:bodyDiv w:val="1"/>
      <w:marLeft w:val="0"/>
      <w:marRight w:val="0"/>
      <w:marTop w:val="0"/>
      <w:marBottom w:val="0"/>
      <w:divBdr>
        <w:top w:val="none" w:sz="0" w:space="0" w:color="auto"/>
        <w:left w:val="none" w:sz="0" w:space="0" w:color="auto"/>
        <w:bottom w:val="none" w:sz="0" w:space="0" w:color="auto"/>
        <w:right w:val="none" w:sz="0" w:space="0" w:color="auto"/>
      </w:divBdr>
    </w:div>
    <w:div w:id="214167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emf"/><Relationship Id="rId21" Type="http://schemas.openxmlformats.org/officeDocument/2006/relationships/image" Target="media/image13.emf"/><Relationship Id="rId42" Type="http://schemas.openxmlformats.org/officeDocument/2006/relationships/image" Target="media/image34.emf"/><Relationship Id="rId63" Type="http://schemas.openxmlformats.org/officeDocument/2006/relationships/image" Target="media/image55.emf"/><Relationship Id="rId84" Type="http://schemas.openxmlformats.org/officeDocument/2006/relationships/image" Target="media/image76.emf"/><Relationship Id="rId138" Type="http://schemas.openxmlformats.org/officeDocument/2006/relationships/image" Target="media/image130.emf"/><Relationship Id="rId159" Type="http://schemas.openxmlformats.org/officeDocument/2006/relationships/image" Target="media/image149.png"/><Relationship Id="rId170" Type="http://schemas.openxmlformats.org/officeDocument/2006/relationships/image" Target="media/image160.png"/><Relationship Id="rId191" Type="http://schemas.openxmlformats.org/officeDocument/2006/relationships/fontTable" Target="fontTable.xml"/><Relationship Id="rId107" Type="http://schemas.openxmlformats.org/officeDocument/2006/relationships/image" Target="media/image99.emf"/><Relationship Id="rId11" Type="http://schemas.openxmlformats.org/officeDocument/2006/relationships/image" Target="media/image3.emf"/><Relationship Id="rId32" Type="http://schemas.openxmlformats.org/officeDocument/2006/relationships/image" Target="media/image24.emf"/><Relationship Id="rId53" Type="http://schemas.openxmlformats.org/officeDocument/2006/relationships/image" Target="media/image45.emf"/><Relationship Id="rId74" Type="http://schemas.openxmlformats.org/officeDocument/2006/relationships/image" Target="media/image66.emf"/><Relationship Id="rId128" Type="http://schemas.openxmlformats.org/officeDocument/2006/relationships/image" Target="media/image120.emf"/><Relationship Id="rId149" Type="http://schemas.openxmlformats.org/officeDocument/2006/relationships/image" Target="media/image140.png"/><Relationship Id="rId5" Type="http://schemas.openxmlformats.org/officeDocument/2006/relationships/webSettings" Target="webSettings.xml"/><Relationship Id="rId95" Type="http://schemas.openxmlformats.org/officeDocument/2006/relationships/image" Target="media/image87.emf"/><Relationship Id="rId160" Type="http://schemas.openxmlformats.org/officeDocument/2006/relationships/image" Target="media/image150.svg"/><Relationship Id="rId181" Type="http://schemas.openxmlformats.org/officeDocument/2006/relationships/hyperlink" Target="https://app.powerbi.com/view?r=eyJrIjoiZDQ4MjVjNGYtODZiYi00ZDFlLTllODYtNDBhZThkYzc0ZDNlIiwidCI6IjFkNGY3YjIxLWM4YzYtNGZlYS1iMzMwLWM0MWNmNzJjNTdkYyIsImMiOjl9&amp;pageName=ReportSectione55efdd03814d2bb8ff3" TargetMode="External"/><Relationship Id="rId22" Type="http://schemas.openxmlformats.org/officeDocument/2006/relationships/image" Target="media/image14.emf"/><Relationship Id="rId43" Type="http://schemas.openxmlformats.org/officeDocument/2006/relationships/image" Target="media/image35.emf"/><Relationship Id="rId64" Type="http://schemas.openxmlformats.org/officeDocument/2006/relationships/image" Target="media/image56.emf"/><Relationship Id="rId118" Type="http://schemas.openxmlformats.org/officeDocument/2006/relationships/image" Target="media/image110.emf"/><Relationship Id="rId139" Type="http://schemas.openxmlformats.org/officeDocument/2006/relationships/image" Target="media/image131.emf"/><Relationship Id="rId85" Type="http://schemas.openxmlformats.org/officeDocument/2006/relationships/image" Target="media/image77.emf"/><Relationship Id="rId150" Type="http://schemas.openxmlformats.org/officeDocument/2006/relationships/image" Target="media/image141.png"/><Relationship Id="rId171" Type="http://schemas.openxmlformats.org/officeDocument/2006/relationships/image" Target="media/image161.svg"/><Relationship Id="rId192" Type="http://schemas.openxmlformats.org/officeDocument/2006/relationships/theme" Target="theme/theme1.xml"/><Relationship Id="rId12" Type="http://schemas.openxmlformats.org/officeDocument/2006/relationships/image" Target="media/image4.emf"/><Relationship Id="rId33" Type="http://schemas.openxmlformats.org/officeDocument/2006/relationships/image" Target="media/image25.emf"/><Relationship Id="rId108" Type="http://schemas.openxmlformats.org/officeDocument/2006/relationships/image" Target="media/image100.emf"/><Relationship Id="rId129" Type="http://schemas.openxmlformats.org/officeDocument/2006/relationships/image" Target="media/image121.emf"/><Relationship Id="rId54" Type="http://schemas.openxmlformats.org/officeDocument/2006/relationships/image" Target="media/image46.emf"/><Relationship Id="rId75" Type="http://schemas.openxmlformats.org/officeDocument/2006/relationships/image" Target="media/image67.emf"/><Relationship Id="rId96" Type="http://schemas.openxmlformats.org/officeDocument/2006/relationships/image" Target="media/image88.emf"/><Relationship Id="rId140" Type="http://schemas.openxmlformats.org/officeDocument/2006/relationships/image" Target="media/image132.emf"/><Relationship Id="rId161" Type="http://schemas.openxmlformats.org/officeDocument/2006/relationships/image" Target="media/image151.png"/><Relationship Id="rId182" Type="http://schemas.openxmlformats.org/officeDocument/2006/relationships/hyperlink" Target="https://app.powerbi.com/view?r=eyJrIjoiZGM5Yzk5NTItNjhjOS00OWE4LThjZGYtNjk5ZjBmNTVkNDhlIiwidCI6IjFkNGY3YjIxLWM4YzYtNGZlYS1iMzMwLWM0MWNmNzJjNTdkYyIsImMiOjl9&amp;pageName=ReportSection00d91f5458d4e5cda903" TargetMode="External"/><Relationship Id="rId6" Type="http://schemas.openxmlformats.org/officeDocument/2006/relationships/footnotes" Target="footnotes.xml"/><Relationship Id="rId23" Type="http://schemas.openxmlformats.org/officeDocument/2006/relationships/image" Target="media/image15.emf"/><Relationship Id="rId119" Type="http://schemas.openxmlformats.org/officeDocument/2006/relationships/image" Target="media/image111.emf"/><Relationship Id="rId44" Type="http://schemas.openxmlformats.org/officeDocument/2006/relationships/image" Target="media/image36.emf"/><Relationship Id="rId65" Type="http://schemas.openxmlformats.org/officeDocument/2006/relationships/image" Target="media/image57.emf"/><Relationship Id="rId86" Type="http://schemas.openxmlformats.org/officeDocument/2006/relationships/image" Target="media/image78.emf"/><Relationship Id="rId130" Type="http://schemas.openxmlformats.org/officeDocument/2006/relationships/image" Target="media/image122.emf"/><Relationship Id="rId151" Type="http://schemas.openxmlformats.org/officeDocument/2006/relationships/hyperlink" Target="https://public.tableau.com/app/profile/cepej/viz/GenderEqualityEN/GenderEquality" TargetMode="External"/><Relationship Id="rId172" Type="http://schemas.openxmlformats.org/officeDocument/2006/relationships/image" Target="media/image162.png"/><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101.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image" Target="media/image96.emf"/><Relationship Id="rId120" Type="http://schemas.openxmlformats.org/officeDocument/2006/relationships/image" Target="media/image112.emf"/><Relationship Id="rId125" Type="http://schemas.openxmlformats.org/officeDocument/2006/relationships/image" Target="media/image117.emf"/><Relationship Id="rId141" Type="http://schemas.openxmlformats.org/officeDocument/2006/relationships/image" Target="media/image133.emf"/><Relationship Id="rId146" Type="http://schemas.openxmlformats.org/officeDocument/2006/relationships/image" Target="media/image138.emf"/><Relationship Id="rId167" Type="http://schemas.openxmlformats.org/officeDocument/2006/relationships/image" Target="media/image157.png"/><Relationship Id="rId188" Type="http://schemas.openxmlformats.org/officeDocument/2006/relationships/image" Target="media/image171.jpg"/><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162" Type="http://schemas.openxmlformats.org/officeDocument/2006/relationships/image" Target="media/image152.png"/><Relationship Id="rId183" Type="http://schemas.openxmlformats.org/officeDocument/2006/relationships/image" Target="media/image169.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emf"/><Relationship Id="rId115" Type="http://schemas.openxmlformats.org/officeDocument/2006/relationships/image" Target="media/image107.emf"/><Relationship Id="rId131" Type="http://schemas.openxmlformats.org/officeDocument/2006/relationships/image" Target="media/image123.emf"/><Relationship Id="rId136" Type="http://schemas.openxmlformats.org/officeDocument/2006/relationships/image" Target="media/image128.emf"/><Relationship Id="rId157" Type="http://schemas.openxmlformats.org/officeDocument/2006/relationships/image" Target="media/image147.png"/><Relationship Id="rId178" Type="http://schemas.openxmlformats.org/officeDocument/2006/relationships/image" Target="media/image168.emf"/><Relationship Id="rId61" Type="http://schemas.openxmlformats.org/officeDocument/2006/relationships/image" Target="media/image53.emf"/><Relationship Id="rId82" Type="http://schemas.openxmlformats.org/officeDocument/2006/relationships/image" Target="media/image74.emf"/><Relationship Id="rId152" Type="http://schemas.openxmlformats.org/officeDocument/2006/relationships/image" Target="media/image142.png"/><Relationship Id="rId173" Type="http://schemas.openxmlformats.org/officeDocument/2006/relationships/image" Target="media/image163.svg"/><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image" Target="media/image97.emf"/><Relationship Id="rId126" Type="http://schemas.openxmlformats.org/officeDocument/2006/relationships/image" Target="media/image118.emf"/><Relationship Id="rId147" Type="http://schemas.openxmlformats.org/officeDocument/2006/relationships/image" Target="media/image139.emf"/><Relationship Id="rId168" Type="http://schemas.openxmlformats.org/officeDocument/2006/relationships/image" Target="media/image158.png"/><Relationship Id="rId8" Type="http://schemas.openxmlformats.org/officeDocument/2006/relationships/image" Target="media/image1.jpeg"/><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emf"/><Relationship Id="rId98" Type="http://schemas.openxmlformats.org/officeDocument/2006/relationships/image" Target="media/image90.emf"/><Relationship Id="rId121" Type="http://schemas.openxmlformats.org/officeDocument/2006/relationships/image" Target="media/image113.emf"/><Relationship Id="rId142" Type="http://schemas.openxmlformats.org/officeDocument/2006/relationships/image" Target="media/image134.emf"/><Relationship Id="rId163" Type="http://schemas.openxmlformats.org/officeDocument/2006/relationships/image" Target="media/image153.png"/><Relationship Id="rId184" Type="http://schemas.openxmlformats.org/officeDocument/2006/relationships/image" Target="media/image170.emf"/><Relationship Id="rId189" Type="http://schemas.openxmlformats.org/officeDocument/2006/relationships/hyperlink" Target="mailto:posta@msp.gov.cz" TargetMode="External"/><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emf"/><Relationship Id="rId67" Type="http://schemas.openxmlformats.org/officeDocument/2006/relationships/image" Target="media/image59.emf"/><Relationship Id="rId116" Type="http://schemas.openxmlformats.org/officeDocument/2006/relationships/image" Target="media/image108.emf"/><Relationship Id="rId137" Type="http://schemas.openxmlformats.org/officeDocument/2006/relationships/image" Target="media/image129.emf"/><Relationship Id="rId158" Type="http://schemas.openxmlformats.org/officeDocument/2006/relationships/image" Target="media/image148.emf"/><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image" Target="media/image54.emf"/><Relationship Id="rId83" Type="http://schemas.openxmlformats.org/officeDocument/2006/relationships/image" Target="media/image75.emf"/><Relationship Id="rId88" Type="http://schemas.openxmlformats.org/officeDocument/2006/relationships/image" Target="media/image80.emf"/><Relationship Id="rId111" Type="http://schemas.openxmlformats.org/officeDocument/2006/relationships/image" Target="media/image103.emf"/><Relationship Id="rId132" Type="http://schemas.openxmlformats.org/officeDocument/2006/relationships/image" Target="media/image124.emf"/><Relationship Id="rId153" Type="http://schemas.openxmlformats.org/officeDocument/2006/relationships/image" Target="media/image143.svg"/><Relationship Id="rId174" Type="http://schemas.openxmlformats.org/officeDocument/2006/relationships/image" Target="media/image164.png"/><Relationship Id="rId179" Type="http://schemas.openxmlformats.org/officeDocument/2006/relationships/hyperlink" Target="https://www.coe.int/en/web/cepej/home" TargetMode="External"/><Relationship Id="rId190" Type="http://schemas.openxmlformats.org/officeDocument/2006/relationships/hyperlink" Target="http://www.justice.cz/" TargetMode="External"/><Relationship Id="rId15" Type="http://schemas.openxmlformats.org/officeDocument/2006/relationships/image" Target="media/image7.emf"/><Relationship Id="rId36" Type="http://schemas.openxmlformats.org/officeDocument/2006/relationships/image" Target="media/image28.emf"/><Relationship Id="rId57" Type="http://schemas.openxmlformats.org/officeDocument/2006/relationships/image" Target="media/image49.emf"/><Relationship Id="rId106" Type="http://schemas.openxmlformats.org/officeDocument/2006/relationships/image" Target="media/image98.emf"/><Relationship Id="rId127" Type="http://schemas.openxmlformats.org/officeDocument/2006/relationships/image" Target="media/image119.emf"/><Relationship Id="rId10" Type="http://schemas.openxmlformats.org/officeDocument/2006/relationships/hyperlink" Target="https://cslav.justice.cz/InfoData/uvod.html" TargetMode="External"/><Relationship Id="rId31" Type="http://schemas.openxmlformats.org/officeDocument/2006/relationships/image" Target="media/image23.emf"/><Relationship Id="rId52" Type="http://schemas.openxmlformats.org/officeDocument/2006/relationships/image" Target="media/image44.emf"/><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122" Type="http://schemas.openxmlformats.org/officeDocument/2006/relationships/image" Target="media/image114.emf"/><Relationship Id="rId143" Type="http://schemas.openxmlformats.org/officeDocument/2006/relationships/image" Target="media/image135.emf"/><Relationship Id="rId148" Type="http://schemas.openxmlformats.org/officeDocument/2006/relationships/hyperlink" Target="https://commission.europa.eu/strategy-and-policy/policies/justice-and-fundamental-rights/upholding-rule-law/eu-justice-scoreboard_en" TargetMode="External"/><Relationship Id="rId164" Type="http://schemas.openxmlformats.org/officeDocument/2006/relationships/image" Target="media/image154.png"/><Relationship Id="rId169" Type="http://schemas.openxmlformats.org/officeDocument/2006/relationships/image" Target="media/image159.svg"/><Relationship Id="rId185" Type="http://schemas.openxmlformats.org/officeDocument/2006/relationships/package" Target="embeddings/Microsoft_Excel_Macro-Enabled_Worksheet.xlsm"/><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cslav.justice.cz/InfoData/uvod.html" TargetMode="External"/><Relationship Id="rId26" Type="http://schemas.openxmlformats.org/officeDocument/2006/relationships/image" Target="media/image18.emf"/><Relationship Id="rId47" Type="http://schemas.openxmlformats.org/officeDocument/2006/relationships/image" Target="media/image39.emf"/><Relationship Id="rId68" Type="http://schemas.openxmlformats.org/officeDocument/2006/relationships/image" Target="media/image60.emf"/><Relationship Id="rId89" Type="http://schemas.openxmlformats.org/officeDocument/2006/relationships/image" Target="media/image81.emf"/><Relationship Id="rId112" Type="http://schemas.openxmlformats.org/officeDocument/2006/relationships/image" Target="media/image104.emf"/><Relationship Id="rId133" Type="http://schemas.openxmlformats.org/officeDocument/2006/relationships/image" Target="media/image125.emf"/><Relationship Id="rId154" Type="http://schemas.openxmlformats.org/officeDocument/2006/relationships/image" Target="media/image144.png"/><Relationship Id="rId175" Type="http://schemas.openxmlformats.org/officeDocument/2006/relationships/image" Target="media/image165.png"/><Relationship Id="rId16" Type="http://schemas.openxmlformats.org/officeDocument/2006/relationships/image" Target="media/image8.emf"/><Relationship Id="rId37" Type="http://schemas.openxmlformats.org/officeDocument/2006/relationships/image" Target="media/image29.emf"/><Relationship Id="rId58" Type="http://schemas.openxmlformats.org/officeDocument/2006/relationships/image" Target="media/image50.emf"/><Relationship Id="rId79" Type="http://schemas.openxmlformats.org/officeDocument/2006/relationships/image" Target="media/image71.emf"/><Relationship Id="rId102" Type="http://schemas.openxmlformats.org/officeDocument/2006/relationships/image" Target="media/image94.emf"/><Relationship Id="rId123" Type="http://schemas.openxmlformats.org/officeDocument/2006/relationships/image" Target="media/image115.emf"/><Relationship Id="rId144" Type="http://schemas.openxmlformats.org/officeDocument/2006/relationships/image" Target="media/image136.emf"/><Relationship Id="rId90" Type="http://schemas.openxmlformats.org/officeDocument/2006/relationships/image" Target="media/image82.emf"/><Relationship Id="rId165" Type="http://schemas.openxmlformats.org/officeDocument/2006/relationships/image" Target="media/image155.svg"/><Relationship Id="rId186" Type="http://schemas.openxmlformats.org/officeDocument/2006/relationships/footer" Target="footer1.xml"/><Relationship Id="rId27" Type="http://schemas.openxmlformats.org/officeDocument/2006/relationships/image" Target="media/image19.emf"/><Relationship Id="rId48" Type="http://schemas.openxmlformats.org/officeDocument/2006/relationships/image" Target="media/image40.emf"/><Relationship Id="rId69" Type="http://schemas.openxmlformats.org/officeDocument/2006/relationships/image" Target="media/image61.emf"/><Relationship Id="rId113" Type="http://schemas.openxmlformats.org/officeDocument/2006/relationships/image" Target="media/image105.emf"/><Relationship Id="rId134" Type="http://schemas.openxmlformats.org/officeDocument/2006/relationships/image" Target="media/image126.emf"/><Relationship Id="rId80" Type="http://schemas.openxmlformats.org/officeDocument/2006/relationships/image" Target="media/image72.emf"/><Relationship Id="rId155" Type="http://schemas.openxmlformats.org/officeDocument/2006/relationships/image" Target="media/image145.svg"/><Relationship Id="rId176" Type="http://schemas.openxmlformats.org/officeDocument/2006/relationships/image" Target="media/image166.emf"/><Relationship Id="rId17" Type="http://schemas.openxmlformats.org/officeDocument/2006/relationships/image" Target="media/image9.emf"/><Relationship Id="rId38" Type="http://schemas.openxmlformats.org/officeDocument/2006/relationships/image" Target="media/image30.emf"/><Relationship Id="rId59" Type="http://schemas.openxmlformats.org/officeDocument/2006/relationships/image" Target="media/image51.emf"/><Relationship Id="rId103" Type="http://schemas.openxmlformats.org/officeDocument/2006/relationships/image" Target="media/image95.emf"/><Relationship Id="rId124" Type="http://schemas.openxmlformats.org/officeDocument/2006/relationships/image" Target="media/image116.emf"/><Relationship Id="rId70" Type="http://schemas.openxmlformats.org/officeDocument/2006/relationships/image" Target="media/image62.emf"/><Relationship Id="rId91" Type="http://schemas.openxmlformats.org/officeDocument/2006/relationships/image" Target="media/image83.emf"/><Relationship Id="rId145" Type="http://schemas.openxmlformats.org/officeDocument/2006/relationships/image" Target="media/image137.emf"/><Relationship Id="rId166" Type="http://schemas.openxmlformats.org/officeDocument/2006/relationships/image" Target="media/image156.png"/><Relationship Id="rId187" Type="http://schemas.openxmlformats.org/officeDocument/2006/relationships/hyperlink" Target="https://www.justice.cz/" TargetMode="External"/><Relationship Id="rId1" Type="http://schemas.openxmlformats.org/officeDocument/2006/relationships/customXml" Target="../customXml/item1.xml"/><Relationship Id="rId28" Type="http://schemas.openxmlformats.org/officeDocument/2006/relationships/image" Target="media/image20.emf"/><Relationship Id="rId49" Type="http://schemas.openxmlformats.org/officeDocument/2006/relationships/image" Target="media/image41.emf"/><Relationship Id="rId114" Type="http://schemas.openxmlformats.org/officeDocument/2006/relationships/image" Target="media/image106.emf"/><Relationship Id="rId60" Type="http://schemas.openxmlformats.org/officeDocument/2006/relationships/image" Target="media/image52.emf"/><Relationship Id="rId81" Type="http://schemas.openxmlformats.org/officeDocument/2006/relationships/image" Target="media/image73.emf"/><Relationship Id="rId135" Type="http://schemas.openxmlformats.org/officeDocument/2006/relationships/image" Target="media/image127.emf"/><Relationship Id="rId156" Type="http://schemas.openxmlformats.org/officeDocument/2006/relationships/image" Target="media/image146.png"/><Relationship Id="rId177" Type="http://schemas.openxmlformats.org/officeDocument/2006/relationships/image" Target="media/image167.emf"/></Relationships>
</file>

<file path=word/_rels/footnotes.xml.rels><?xml version="1.0" encoding="UTF-8" standalone="yes"?>
<Relationships xmlns="http://schemas.openxmlformats.org/package/2006/relationships"><Relationship Id="rId3" Type="http://schemas.openxmlformats.org/officeDocument/2006/relationships/hyperlink" Target="https://app.powerbi.com/view?r=eyJrIjoiNmZlNDU3NzMtOTgzZi00YTgyLTk5MjQtZTgzZjQ0OTAzNWZlIiwidCI6IjFkNGY3YjIxLWM4YzYtNGZlYS1iMzMwLWM0MWNmNzJjNTdkYyIsImMiOjl9&amp;pageName=ReportSection8481bde5a3a30911678b" TargetMode="External"/><Relationship Id="rId2" Type="http://schemas.openxmlformats.org/officeDocument/2006/relationships/hyperlink" Target="https://app.powerbi.com/view?r=eyJrIjoiZGM5Yzk5NTItNjhjOS00OWE4LThjZGYtNjk5ZjBmNTVkNDhlIiwidCI6IjFkNGY3YjIxLWM4YzYtNGZlYS1iMzMwLWM0MWNmNzJjNTdkYyIsImMiOjl9&amp;pageName=ReportSection00d91f5458d4e5cda903" TargetMode="External"/><Relationship Id="rId1" Type="http://schemas.openxmlformats.org/officeDocument/2006/relationships/hyperlink" Target="https://app.powerbi.com/view?r=eyJrIjoiZDQ4MjVjNGYtODZiYi00ZDFlLTllODYtNDBhZThkYzc0ZDNlIiwidCI6IjFkNGY3YjIxLWM4YzYtNGZlYS1iMzMwLWM0MWNmNzJjNTdkYyIsImMiOjl9&amp;pageName=ReportSectione55efdd03814d2bb8ff3" TargetMode="External"/><Relationship Id="rId5" Type="http://schemas.openxmlformats.org/officeDocument/2006/relationships/hyperlink" Target="https://vdb.czso.cz/vdbvo2/faces/index.jsf?page=vystup-objekt&amp;pvokc=&amp;katalog=33157&amp;pvo=DEMDCR1A&amp;z=T" TargetMode="External"/><Relationship Id="rId4" Type="http://schemas.openxmlformats.org/officeDocument/2006/relationships/hyperlink" Target="https://www.justice.cz/web/msp/statisticke-udaje-z-oblasti-justic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DB692-5EEA-49E0-86B6-7A1E1DA0E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208</Pages>
  <Words>51920</Words>
  <Characters>306328</Characters>
  <Application>Microsoft Office Word</Application>
  <DocSecurity>0</DocSecurity>
  <Lines>2552</Lines>
  <Paragraphs>715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2025-07-16T07:50:00Z</dcterms:created>
  <dcterms:modified xsi:type="dcterms:W3CDTF">2025-07-16T07:50:00Z</dcterms:modified>
</cp:coreProperties>
</file>