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75BA" w14:textId="58AA412D" w:rsidR="00BD3B4B" w:rsidRPr="00BE0F58" w:rsidRDefault="00BD3B4B" w:rsidP="00A1611D">
      <w:pPr>
        <w:spacing w:before="120" w:after="0" w:line="240" w:lineRule="auto"/>
        <w:jc w:val="right"/>
        <w:rPr>
          <w:rFonts w:ascii="Times New Roman" w:hAnsi="Times New Roman" w:cs="Times New Roman"/>
          <w:bCs/>
          <w:sz w:val="24"/>
          <w:szCs w:val="24"/>
        </w:rPr>
      </w:pPr>
      <w:bookmarkStart w:id="0" w:name="_Hlk183244414"/>
      <w:r w:rsidRPr="00BE0F58">
        <w:rPr>
          <w:rFonts w:ascii="Times New Roman" w:hAnsi="Times New Roman" w:cs="Times New Roman"/>
          <w:bCs/>
          <w:sz w:val="24"/>
          <w:szCs w:val="24"/>
        </w:rPr>
        <w:t>I</w:t>
      </w:r>
      <w:r w:rsidR="002416E6" w:rsidRPr="00BE0F58">
        <w:rPr>
          <w:rFonts w:ascii="Times New Roman" w:hAnsi="Times New Roman" w:cs="Times New Roman"/>
          <w:bCs/>
          <w:sz w:val="24"/>
          <w:szCs w:val="24"/>
        </w:rPr>
        <w:t>V</w:t>
      </w:r>
      <w:r w:rsidRPr="00BE0F58">
        <w:rPr>
          <w:rFonts w:ascii="Times New Roman" w:hAnsi="Times New Roman" w:cs="Times New Roman"/>
          <w:bCs/>
          <w:sz w:val="24"/>
          <w:szCs w:val="24"/>
        </w:rPr>
        <w:t>.</w:t>
      </w:r>
    </w:p>
    <w:p w14:paraId="6A2572DE" w14:textId="184B0C35" w:rsidR="00BD3B4B" w:rsidRPr="00BE0F58" w:rsidRDefault="00BD3B4B" w:rsidP="00A1611D">
      <w:pPr>
        <w:spacing w:before="120" w:after="0" w:line="240" w:lineRule="auto"/>
        <w:jc w:val="center"/>
        <w:rPr>
          <w:rFonts w:ascii="Times New Roman" w:hAnsi="Times New Roman" w:cs="Times New Roman"/>
          <w:b/>
          <w:sz w:val="24"/>
          <w:szCs w:val="24"/>
        </w:rPr>
      </w:pPr>
      <w:r w:rsidRPr="00BE0F58">
        <w:rPr>
          <w:rFonts w:ascii="Times New Roman" w:hAnsi="Times New Roman" w:cs="Times New Roman"/>
          <w:b/>
          <w:sz w:val="24"/>
          <w:szCs w:val="24"/>
        </w:rPr>
        <w:t>DŮVODOVÁ ZPRÁVA</w:t>
      </w:r>
    </w:p>
    <w:p w14:paraId="4FAE9B81" w14:textId="77777777" w:rsidR="00824B9E" w:rsidRPr="00BE0F58" w:rsidRDefault="00824B9E" w:rsidP="00A1611D">
      <w:pPr>
        <w:spacing w:before="120" w:after="0" w:line="240" w:lineRule="auto"/>
        <w:jc w:val="center"/>
        <w:rPr>
          <w:rFonts w:ascii="Times New Roman" w:hAnsi="Times New Roman" w:cs="Times New Roman"/>
          <w:b/>
          <w:sz w:val="24"/>
          <w:szCs w:val="24"/>
        </w:rPr>
      </w:pPr>
    </w:p>
    <w:p w14:paraId="590B2162" w14:textId="090BA57A" w:rsidR="00824B9E" w:rsidRPr="00130D1D" w:rsidRDefault="00824B9E" w:rsidP="00A1611D">
      <w:pPr>
        <w:spacing w:before="120" w:after="0" w:line="240" w:lineRule="auto"/>
        <w:jc w:val="center"/>
        <w:rPr>
          <w:rFonts w:ascii="Times New Roman" w:hAnsi="Times New Roman" w:cs="Times New Roman"/>
          <w:b/>
          <w:spacing w:val="34"/>
          <w:sz w:val="24"/>
          <w:szCs w:val="24"/>
        </w:rPr>
      </w:pPr>
      <w:r w:rsidRPr="00130D1D">
        <w:rPr>
          <w:rFonts w:ascii="Times New Roman" w:hAnsi="Times New Roman" w:cs="Times New Roman"/>
          <w:b/>
          <w:spacing w:val="34"/>
          <w:sz w:val="24"/>
          <w:szCs w:val="24"/>
        </w:rPr>
        <w:t>Obecná část</w:t>
      </w:r>
    </w:p>
    <w:p w14:paraId="12200E4B" w14:textId="72D12032" w:rsidR="00BD3B4B" w:rsidRPr="00BE0F58" w:rsidRDefault="00BD3B4B" w:rsidP="00A1611D">
      <w:pPr>
        <w:spacing w:before="120" w:after="0" w:line="240" w:lineRule="auto"/>
        <w:rPr>
          <w:rFonts w:ascii="Times New Roman" w:hAnsi="Times New Roman" w:cs="Times New Roman"/>
          <w:b/>
          <w:sz w:val="24"/>
          <w:szCs w:val="24"/>
        </w:rPr>
      </w:pPr>
    </w:p>
    <w:p w14:paraId="4A81FB14" w14:textId="77777777" w:rsidR="0051223C" w:rsidRPr="00BE0F58" w:rsidRDefault="0051223C" w:rsidP="00A1611D">
      <w:pPr>
        <w:autoSpaceDE w:val="0"/>
        <w:autoSpaceDN w:val="0"/>
        <w:adjustRightInd w:val="0"/>
        <w:spacing w:before="120" w:after="0" w:line="240" w:lineRule="auto"/>
        <w:rPr>
          <w:rFonts w:ascii="Times New Roman" w:hAnsi="Times New Roman" w:cs="Times New Roman"/>
          <w:b/>
          <w:bCs/>
          <w:sz w:val="24"/>
          <w:szCs w:val="24"/>
        </w:rPr>
      </w:pPr>
      <w:r w:rsidRPr="00BE0F58">
        <w:rPr>
          <w:rFonts w:ascii="Times New Roman" w:hAnsi="Times New Roman" w:cs="Times New Roman"/>
          <w:b/>
          <w:bCs/>
          <w:sz w:val="24"/>
          <w:szCs w:val="24"/>
        </w:rPr>
        <w:t>Hodnocení dopadů regulace (RIA)</w:t>
      </w:r>
    </w:p>
    <w:p w14:paraId="778A1B5C" w14:textId="6FE2873B" w:rsidR="0051223C" w:rsidRPr="00BE0F58" w:rsidRDefault="0051223C" w:rsidP="00A1611D">
      <w:pPr>
        <w:autoSpaceDE w:val="0"/>
        <w:autoSpaceDN w:val="0"/>
        <w:adjustRightInd w:val="0"/>
        <w:spacing w:before="120" w:after="0" w:line="240" w:lineRule="auto"/>
        <w:jc w:val="both"/>
        <w:rPr>
          <w:rFonts w:ascii="Times New Roman" w:hAnsi="Times New Roman" w:cs="Times New Roman"/>
          <w:sz w:val="24"/>
          <w:szCs w:val="24"/>
        </w:rPr>
      </w:pPr>
      <w:r w:rsidRPr="00BE0F58">
        <w:rPr>
          <w:rFonts w:ascii="Times New Roman" w:hAnsi="Times New Roman" w:cs="Times New Roman"/>
          <w:sz w:val="24"/>
          <w:szCs w:val="24"/>
        </w:rPr>
        <w:t>Na základě výjimky udělené v souladu s čl. 76 odst. 2 Legislativních pravidel vlády a bodem 3. 8 písm. j) Obecných zásad pro hodnocení dopadů regulace (RIA)</w:t>
      </w:r>
      <w:r>
        <w:rPr>
          <w:rFonts w:ascii="Times New Roman" w:hAnsi="Times New Roman" w:cs="Times New Roman"/>
          <w:sz w:val="24"/>
          <w:szCs w:val="24"/>
        </w:rPr>
        <w:t xml:space="preserve"> ministrem pro legislativu a </w:t>
      </w:r>
      <w:r w:rsidRPr="00BE0F58">
        <w:rPr>
          <w:rFonts w:ascii="Times New Roman" w:hAnsi="Times New Roman" w:cs="Times New Roman"/>
          <w:sz w:val="24"/>
          <w:szCs w:val="24"/>
        </w:rPr>
        <w:t xml:space="preserve">předsedou Legislativní rady vlády (dopis č. j. </w:t>
      </w:r>
      <w:r>
        <w:rPr>
          <w:rFonts w:ascii="Times New Roman" w:hAnsi="Times New Roman" w:cs="Times New Roman"/>
          <w:sz w:val="24"/>
          <w:szCs w:val="24"/>
        </w:rPr>
        <w:t xml:space="preserve">38988-2024-20439 ze dne 31. </w:t>
      </w:r>
      <w:r w:rsidR="001C7BDF">
        <w:rPr>
          <w:rFonts w:ascii="Times New Roman" w:hAnsi="Times New Roman" w:cs="Times New Roman"/>
          <w:sz w:val="24"/>
          <w:szCs w:val="24"/>
        </w:rPr>
        <w:t xml:space="preserve">května </w:t>
      </w:r>
      <w:r>
        <w:rPr>
          <w:rFonts w:ascii="Times New Roman" w:hAnsi="Times New Roman" w:cs="Times New Roman"/>
          <w:sz w:val="24"/>
          <w:szCs w:val="24"/>
        </w:rPr>
        <w:t>2024</w:t>
      </w:r>
      <w:r w:rsidRPr="00BE0F58">
        <w:rPr>
          <w:rFonts w:ascii="Times New Roman" w:hAnsi="Times New Roman" w:cs="Times New Roman"/>
          <w:sz w:val="24"/>
          <w:szCs w:val="24"/>
        </w:rPr>
        <w:t xml:space="preserve">) nebylo hodnocení dopadů regulace zpracováno. </w:t>
      </w:r>
    </w:p>
    <w:p w14:paraId="0848843F" w14:textId="77777777" w:rsidR="0051223C" w:rsidRPr="00BE0F58" w:rsidRDefault="0051223C" w:rsidP="00A1611D">
      <w:pPr>
        <w:autoSpaceDE w:val="0"/>
        <w:autoSpaceDN w:val="0"/>
        <w:adjustRightInd w:val="0"/>
        <w:spacing w:before="120" w:after="0" w:line="240" w:lineRule="auto"/>
        <w:rPr>
          <w:rFonts w:ascii="Times New Roman" w:hAnsi="Times New Roman" w:cs="Times New Roman"/>
          <w:sz w:val="24"/>
          <w:szCs w:val="24"/>
        </w:rPr>
      </w:pPr>
    </w:p>
    <w:p w14:paraId="6106270C" w14:textId="77777777" w:rsidR="0051223C" w:rsidRPr="001243D8" w:rsidRDefault="0051223C" w:rsidP="00A1611D">
      <w:pPr>
        <w:spacing w:before="120" w:after="0" w:line="240" w:lineRule="auto"/>
        <w:jc w:val="both"/>
        <w:rPr>
          <w:rFonts w:ascii="Times New Roman" w:hAnsi="Times New Roman" w:cs="Times New Roman"/>
          <w:b/>
          <w:sz w:val="24"/>
          <w:szCs w:val="24"/>
        </w:rPr>
      </w:pPr>
      <w:r w:rsidRPr="00BE0F58">
        <w:rPr>
          <w:rFonts w:ascii="Times New Roman" w:hAnsi="Times New Roman" w:cs="Times New Roman"/>
          <w:b/>
          <w:sz w:val="24"/>
          <w:szCs w:val="24"/>
        </w:rPr>
        <w:t>Zhodnocení platného právního stavu, odůvodnění hlavních principů navrhované právní úpravy a vysvětlení nezbytnosti navrhované právní úpravy v jejím celku</w:t>
      </w:r>
    </w:p>
    <w:p w14:paraId="4414E01C" w14:textId="46E42CFD" w:rsidR="0051223C" w:rsidRPr="00BE0F58" w:rsidRDefault="0051223C" w:rsidP="00A1611D">
      <w:pPr>
        <w:pStyle w:val="Textpoznpodarou"/>
        <w:spacing w:before="120"/>
        <w:jc w:val="both"/>
        <w:rPr>
          <w:sz w:val="24"/>
          <w:szCs w:val="24"/>
        </w:rPr>
      </w:pPr>
      <w:r w:rsidRPr="00BE0F58">
        <w:rPr>
          <w:rFonts w:eastAsia="Times New Roman"/>
          <w:color w:val="000000"/>
          <w:sz w:val="24"/>
          <w:szCs w:val="24"/>
          <w:lang w:eastAsia="cs-CZ"/>
        </w:rPr>
        <w:t xml:space="preserve">V rámci Evropské unie byl přijat tzv. balíček </w:t>
      </w:r>
      <w:r>
        <w:rPr>
          <w:rFonts w:eastAsia="Times New Roman"/>
          <w:color w:val="000000"/>
          <w:sz w:val="24"/>
          <w:szCs w:val="24"/>
          <w:lang w:eastAsia="cs-CZ"/>
        </w:rPr>
        <w:t>o</w:t>
      </w:r>
      <w:r w:rsidRPr="00BE0F58">
        <w:rPr>
          <w:rFonts w:eastAsia="Times New Roman"/>
          <w:color w:val="000000"/>
          <w:sz w:val="24"/>
          <w:szCs w:val="24"/>
          <w:lang w:eastAsia="cs-CZ"/>
        </w:rPr>
        <w:t> e-důkaz</w:t>
      </w:r>
      <w:r>
        <w:rPr>
          <w:rFonts w:eastAsia="Times New Roman"/>
          <w:color w:val="000000"/>
          <w:sz w:val="24"/>
          <w:szCs w:val="24"/>
          <w:lang w:eastAsia="cs-CZ"/>
        </w:rPr>
        <w:t>ech</w:t>
      </w:r>
      <w:r w:rsidRPr="00BE0F58">
        <w:rPr>
          <w:rFonts w:eastAsia="Times New Roman"/>
          <w:color w:val="000000"/>
          <w:sz w:val="24"/>
          <w:szCs w:val="24"/>
          <w:lang w:eastAsia="cs-CZ"/>
        </w:rPr>
        <w:t xml:space="preserve">, který tvoří </w:t>
      </w:r>
      <w:r w:rsidRPr="00BE0F58">
        <w:rPr>
          <w:sz w:val="24"/>
          <w:szCs w:val="24"/>
        </w:rPr>
        <w:t>nařízení E</w:t>
      </w:r>
      <w:r>
        <w:rPr>
          <w:sz w:val="24"/>
          <w:szCs w:val="24"/>
        </w:rPr>
        <w:t>vropského parlamentu</w:t>
      </w:r>
      <w:r w:rsidRPr="00BE0F58">
        <w:rPr>
          <w:sz w:val="24"/>
          <w:szCs w:val="24"/>
        </w:rPr>
        <w:t xml:space="preserve"> a Rady (EU) 2023/1543 ze dne 12. července 2023 o evropském vydávacím příkazu a evropském </w:t>
      </w:r>
      <w:proofErr w:type="spellStart"/>
      <w:r w:rsidRPr="00BE0F58">
        <w:rPr>
          <w:sz w:val="24"/>
          <w:szCs w:val="24"/>
        </w:rPr>
        <w:t>uchovávacím</w:t>
      </w:r>
      <w:proofErr w:type="spellEnd"/>
      <w:r w:rsidRPr="00BE0F58">
        <w:rPr>
          <w:sz w:val="24"/>
          <w:szCs w:val="24"/>
        </w:rPr>
        <w:t xml:space="preserve"> příkazu pro elektronické důkazy v trestním řízení a pro výkon trestu odnětí svobody po skončení trestního řízení (dále jen „</w:t>
      </w:r>
      <w:r w:rsidR="002E0407">
        <w:rPr>
          <w:sz w:val="24"/>
          <w:szCs w:val="24"/>
        </w:rPr>
        <w:t>n</w:t>
      </w:r>
      <w:r w:rsidRPr="00BE0F58">
        <w:rPr>
          <w:sz w:val="24"/>
          <w:szCs w:val="24"/>
        </w:rPr>
        <w:t xml:space="preserve">ařízení“) a </w:t>
      </w:r>
      <w:r w:rsidR="00F85BF8">
        <w:rPr>
          <w:sz w:val="24"/>
          <w:szCs w:val="24"/>
        </w:rPr>
        <w:t xml:space="preserve">s ním související </w:t>
      </w:r>
      <w:r w:rsidRPr="00BE0F58">
        <w:rPr>
          <w:sz w:val="24"/>
          <w:szCs w:val="24"/>
        </w:rPr>
        <w:t>směrnice Evropského parlamentu a Rady (EU) 2023/1544 ze dne 12. července 2023, kterou se stanoví harmonizovaná pravidla pro určování určených provozoven a jmenování zástupců za účelem shromažďování elektronických důkazů v trestním řízení (dále jen „</w:t>
      </w:r>
      <w:r w:rsidR="00AF0905">
        <w:rPr>
          <w:sz w:val="24"/>
          <w:szCs w:val="24"/>
        </w:rPr>
        <w:t>s</w:t>
      </w:r>
      <w:r w:rsidRPr="00BE0F58">
        <w:rPr>
          <w:sz w:val="24"/>
          <w:szCs w:val="24"/>
        </w:rPr>
        <w:t>měrnice“).</w:t>
      </w:r>
      <w:r>
        <w:rPr>
          <w:sz w:val="24"/>
          <w:szCs w:val="24"/>
        </w:rPr>
        <w:t xml:space="preserve"> </w:t>
      </w:r>
      <w:r w:rsidRPr="00BE0F58">
        <w:rPr>
          <w:sz w:val="24"/>
          <w:szCs w:val="24"/>
        </w:rPr>
        <w:t xml:space="preserve">Cílem obou evropských předpisů je usnadnění a zrychlení přístupu policejních a justičních orgánů k elektronickým důkazům, které jsou uchovávány </w:t>
      </w:r>
      <w:r>
        <w:rPr>
          <w:sz w:val="24"/>
          <w:szCs w:val="24"/>
        </w:rPr>
        <w:t>poskytovateli služeb</w:t>
      </w:r>
      <w:r w:rsidR="00F85BF8" w:rsidRPr="00F85BF8">
        <w:rPr>
          <w:sz w:val="24"/>
          <w:szCs w:val="24"/>
        </w:rPr>
        <w:t xml:space="preserve"> </w:t>
      </w:r>
      <w:r w:rsidR="00F85BF8">
        <w:rPr>
          <w:sz w:val="24"/>
          <w:szCs w:val="24"/>
        </w:rPr>
        <w:t xml:space="preserve">sídlícími </w:t>
      </w:r>
      <w:r w:rsidR="00F85BF8" w:rsidRPr="00BE0F58">
        <w:rPr>
          <w:sz w:val="24"/>
          <w:szCs w:val="24"/>
        </w:rPr>
        <w:t>na území jiného státu</w:t>
      </w:r>
      <w:r w:rsidR="00F85BF8">
        <w:rPr>
          <w:sz w:val="24"/>
          <w:szCs w:val="24"/>
        </w:rPr>
        <w:t xml:space="preserve">, kteří </w:t>
      </w:r>
      <w:r>
        <w:rPr>
          <w:sz w:val="24"/>
          <w:szCs w:val="24"/>
        </w:rPr>
        <w:t>nabízejí služby na území Evropské unie</w:t>
      </w:r>
      <w:r w:rsidRPr="00BE0F58">
        <w:rPr>
          <w:sz w:val="24"/>
          <w:szCs w:val="24"/>
        </w:rPr>
        <w:t xml:space="preserve">. </w:t>
      </w:r>
      <w:r w:rsidRPr="00BE0F58">
        <w:rPr>
          <w:rFonts w:eastAsia="Times New Roman"/>
          <w:color w:val="000000"/>
          <w:sz w:val="24"/>
          <w:szCs w:val="24"/>
          <w:lang w:eastAsia="cs-CZ"/>
        </w:rPr>
        <w:t xml:space="preserve">Spolupráce podle </w:t>
      </w:r>
      <w:r w:rsidR="00667562">
        <w:rPr>
          <w:rFonts w:eastAsia="Times New Roman"/>
          <w:color w:val="000000"/>
          <w:sz w:val="24"/>
          <w:szCs w:val="24"/>
          <w:lang w:eastAsia="cs-CZ"/>
        </w:rPr>
        <w:t>n</w:t>
      </w:r>
      <w:r w:rsidRPr="00BE0F58">
        <w:rPr>
          <w:rFonts w:eastAsia="Times New Roman"/>
          <w:color w:val="000000"/>
          <w:sz w:val="24"/>
          <w:szCs w:val="24"/>
          <w:lang w:eastAsia="cs-CZ"/>
        </w:rPr>
        <w:t>ařízení se účastní Irsko a neúčastní se jí Dánsko.</w:t>
      </w:r>
    </w:p>
    <w:p w14:paraId="20E1F550" w14:textId="4DAB06A6" w:rsidR="004B154E" w:rsidRPr="00BE0F58" w:rsidRDefault="0051223C" w:rsidP="00A1611D">
      <w:pPr>
        <w:pStyle w:val="Textpoznpodarou"/>
        <w:spacing w:before="120"/>
        <w:jc w:val="both"/>
        <w:rPr>
          <w:rFonts w:eastAsia="Times New Roman"/>
          <w:bCs w:val="0"/>
          <w:sz w:val="24"/>
          <w:szCs w:val="24"/>
        </w:rPr>
      </w:pPr>
      <w:r w:rsidRPr="00BE0F58">
        <w:rPr>
          <w:sz w:val="24"/>
          <w:szCs w:val="24"/>
        </w:rPr>
        <w:t>Dosavadní evropský rámec pro přeshraniční získávání elektronických důkazů</w:t>
      </w:r>
      <w:r w:rsidR="00B4434E">
        <w:rPr>
          <w:sz w:val="24"/>
          <w:szCs w:val="24"/>
        </w:rPr>
        <w:t>,</w:t>
      </w:r>
      <w:r w:rsidRPr="00BE0F58">
        <w:rPr>
          <w:sz w:val="24"/>
          <w:szCs w:val="24"/>
        </w:rPr>
        <w:t xml:space="preserve"> </w:t>
      </w:r>
      <w:r w:rsidR="00B4434E" w:rsidRPr="00BE0F58">
        <w:rPr>
          <w:sz w:val="24"/>
          <w:szCs w:val="24"/>
        </w:rPr>
        <w:t>jimiž mohou být např. e-maily, zprávy na sociálních sítích, údaje z různých aplikací nebo dokumenty uložené v</w:t>
      </w:r>
      <w:r w:rsidR="00B4434E">
        <w:rPr>
          <w:sz w:val="24"/>
          <w:szCs w:val="24"/>
        </w:rPr>
        <w:t> </w:t>
      </w:r>
      <w:r w:rsidR="00B4434E" w:rsidRPr="00BE0F58">
        <w:rPr>
          <w:sz w:val="24"/>
          <w:szCs w:val="24"/>
        </w:rPr>
        <w:t>cloudu</w:t>
      </w:r>
      <w:r w:rsidR="00B4434E">
        <w:rPr>
          <w:sz w:val="24"/>
          <w:szCs w:val="24"/>
        </w:rPr>
        <w:t>,</w:t>
      </w:r>
      <w:r w:rsidR="00B4434E" w:rsidRPr="00BE0F58">
        <w:rPr>
          <w:sz w:val="24"/>
          <w:szCs w:val="24"/>
        </w:rPr>
        <w:t xml:space="preserve"> </w:t>
      </w:r>
      <w:r w:rsidRPr="00BE0F58">
        <w:rPr>
          <w:sz w:val="24"/>
          <w:szCs w:val="24"/>
        </w:rPr>
        <w:t xml:space="preserve">je založen na vzájemné právní pomoci v této oblasti, která je pro potřeby trestního řízení </w:t>
      </w:r>
      <w:r w:rsidR="00B4434E">
        <w:rPr>
          <w:sz w:val="24"/>
          <w:szCs w:val="24"/>
        </w:rPr>
        <w:t>ne</w:t>
      </w:r>
      <w:r w:rsidRPr="00BE0F58">
        <w:rPr>
          <w:sz w:val="24"/>
          <w:szCs w:val="24"/>
        </w:rPr>
        <w:t xml:space="preserve">příliš </w:t>
      </w:r>
      <w:r w:rsidR="00B4434E">
        <w:rPr>
          <w:sz w:val="24"/>
          <w:szCs w:val="24"/>
        </w:rPr>
        <w:t xml:space="preserve">vyhovující, neboť je relativně </w:t>
      </w:r>
      <w:r w:rsidRPr="00BE0F58">
        <w:rPr>
          <w:sz w:val="24"/>
          <w:szCs w:val="24"/>
        </w:rPr>
        <w:t xml:space="preserve">pomalá a komplikovaná, </w:t>
      </w:r>
      <w:r w:rsidR="00B4434E">
        <w:rPr>
          <w:sz w:val="24"/>
          <w:szCs w:val="24"/>
        </w:rPr>
        <w:t xml:space="preserve">zatímco </w:t>
      </w:r>
      <w:r w:rsidRPr="00BE0F58">
        <w:rPr>
          <w:sz w:val="24"/>
          <w:szCs w:val="24"/>
        </w:rPr>
        <w:t xml:space="preserve">elektronické důkazy je </w:t>
      </w:r>
      <w:r w:rsidR="00B4434E" w:rsidRPr="00BE0F58">
        <w:rPr>
          <w:sz w:val="24"/>
          <w:szCs w:val="24"/>
        </w:rPr>
        <w:t xml:space="preserve">s ohledem na jejich dočasnou a zranitelnou povahu </w:t>
      </w:r>
      <w:r w:rsidRPr="00BE0F58">
        <w:rPr>
          <w:sz w:val="24"/>
          <w:szCs w:val="24"/>
        </w:rPr>
        <w:t>třeba uchovat a zajistit co nejrychleji. Základem dosavadního právního rámce je s</w:t>
      </w:r>
      <w:r w:rsidRPr="00BE0F58">
        <w:rPr>
          <w:rFonts w:eastAsia="Times New Roman"/>
          <w:bCs w:val="0"/>
          <w:sz w:val="24"/>
          <w:szCs w:val="24"/>
          <w:lang w:eastAsia="cs-CZ"/>
        </w:rPr>
        <w:t xml:space="preserve">měrnice Evropského parlamentu a Rady 2014/41/EU </w:t>
      </w:r>
      <w:r w:rsidRPr="00BE0F58">
        <w:rPr>
          <w:rFonts w:eastAsia="Times New Roman"/>
          <w:bCs w:val="0"/>
          <w:color w:val="000000"/>
          <w:sz w:val="24"/>
          <w:szCs w:val="24"/>
          <w:lang w:eastAsia="cs-CZ"/>
        </w:rPr>
        <w:t>ze dne 3. dubna 2014 o evropském vyšetřovacím příkazu v trestních věcech,</w:t>
      </w:r>
      <w:r w:rsidRPr="00BE0F58">
        <w:rPr>
          <w:rFonts w:eastAsia="Times New Roman"/>
          <w:bCs w:val="0"/>
          <w:sz w:val="24"/>
          <w:szCs w:val="24"/>
          <w:lang w:eastAsia="cs-CZ"/>
        </w:rPr>
        <w:t xml:space="preserve"> která umožňuje vydat evropský vyšetřovací příkaz za účelem získání důkazu v jiném členském stát</w:t>
      </w:r>
      <w:r w:rsidR="0081576E">
        <w:rPr>
          <w:rFonts w:eastAsia="Times New Roman"/>
          <w:bCs w:val="0"/>
          <w:sz w:val="24"/>
          <w:szCs w:val="24"/>
          <w:lang w:eastAsia="cs-CZ"/>
        </w:rPr>
        <w:t>u</w:t>
      </w:r>
      <w:r w:rsidR="00075D74" w:rsidRPr="00075D74">
        <w:rPr>
          <w:rFonts w:eastAsia="Times New Roman"/>
          <w:bCs w:val="0"/>
          <w:color w:val="000000"/>
          <w:sz w:val="24"/>
          <w:szCs w:val="24"/>
          <w:lang w:eastAsia="cs-CZ"/>
        </w:rPr>
        <w:t xml:space="preserve"> </w:t>
      </w:r>
      <w:r w:rsidR="00075D74" w:rsidRPr="00BE0F58">
        <w:rPr>
          <w:rFonts w:eastAsia="Times New Roman"/>
          <w:bCs w:val="0"/>
          <w:color w:val="000000"/>
          <w:sz w:val="24"/>
          <w:szCs w:val="24"/>
          <w:lang w:eastAsia="cs-CZ"/>
        </w:rPr>
        <w:t>Evropské unie</w:t>
      </w:r>
      <w:r w:rsidR="00075D74">
        <w:rPr>
          <w:rFonts w:eastAsia="Times New Roman"/>
          <w:bCs w:val="0"/>
          <w:color w:val="000000"/>
          <w:sz w:val="24"/>
          <w:szCs w:val="24"/>
          <w:lang w:eastAsia="cs-CZ"/>
        </w:rPr>
        <w:t xml:space="preserve"> (dále jen „členský stát EU“)</w:t>
      </w:r>
      <w:r w:rsidRPr="00BE0F58">
        <w:rPr>
          <w:rFonts w:eastAsia="Times New Roman"/>
          <w:bCs w:val="0"/>
          <w:sz w:val="24"/>
          <w:szCs w:val="24"/>
          <w:lang w:eastAsia="cs-CZ"/>
        </w:rPr>
        <w:t xml:space="preserve">, </w:t>
      </w:r>
      <w:r w:rsidR="00B4434E">
        <w:rPr>
          <w:rFonts w:eastAsia="Times New Roman"/>
          <w:bCs w:val="0"/>
          <w:sz w:val="24"/>
          <w:szCs w:val="24"/>
          <w:lang w:eastAsia="cs-CZ"/>
        </w:rPr>
        <w:t>a</w:t>
      </w:r>
      <w:r w:rsidRPr="00BE0F58">
        <w:rPr>
          <w:rFonts w:eastAsia="Times New Roman"/>
          <w:bCs w:val="0"/>
          <w:color w:val="000000"/>
          <w:sz w:val="24"/>
          <w:szCs w:val="24"/>
          <w:lang w:eastAsia="cs-CZ"/>
        </w:rPr>
        <w:t xml:space="preserve"> Úmluva o vzájemné pomoci v trestních věcech mezi členskými státy Evropské unie, vypracovaná Radou na základě článku 34 Smlouvy o Evropské unii</w:t>
      </w:r>
      <w:r w:rsidR="00B4434E">
        <w:rPr>
          <w:rFonts w:eastAsia="Times New Roman"/>
          <w:bCs w:val="0"/>
          <w:color w:val="000000"/>
          <w:sz w:val="24"/>
          <w:szCs w:val="24"/>
          <w:lang w:eastAsia="cs-CZ"/>
        </w:rPr>
        <w:t xml:space="preserve"> (</w:t>
      </w:r>
      <w:proofErr w:type="spellStart"/>
      <w:r w:rsidR="00B4434E" w:rsidRPr="009D22D7">
        <w:rPr>
          <w:rFonts w:eastAsia="Times New Roman"/>
          <w:bCs w:val="0"/>
          <w:color w:val="000000"/>
          <w:sz w:val="24"/>
          <w:szCs w:val="24"/>
          <w:lang w:eastAsia="cs-CZ"/>
        </w:rPr>
        <w:t>vyhl</w:t>
      </w:r>
      <w:proofErr w:type="spellEnd"/>
      <w:r w:rsidR="00B4434E">
        <w:rPr>
          <w:rFonts w:eastAsia="Times New Roman"/>
          <w:bCs w:val="0"/>
          <w:color w:val="000000"/>
          <w:sz w:val="24"/>
          <w:szCs w:val="24"/>
          <w:lang w:eastAsia="cs-CZ"/>
        </w:rPr>
        <w:t>.</w:t>
      </w:r>
      <w:r w:rsidR="00B4434E" w:rsidRPr="009D22D7">
        <w:rPr>
          <w:rFonts w:eastAsia="Times New Roman"/>
          <w:bCs w:val="0"/>
          <w:color w:val="000000"/>
          <w:sz w:val="24"/>
          <w:szCs w:val="24"/>
          <w:lang w:eastAsia="cs-CZ"/>
        </w:rPr>
        <w:t xml:space="preserve"> pod č. 55/2006 Sb. m. s.)</w:t>
      </w:r>
      <w:r w:rsidRPr="00BE0F58">
        <w:rPr>
          <w:rFonts w:eastAsia="Times New Roman"/>
          <w:bCs w:val="0"/>
          <w:sz w:val="24"/>
          <w:szCs w:val="24"/>
          <w:lang w:eastAsia="cs-CZ"/>
        </w:rPr>
        <w:t xml:space="preserve">. </w:t>
      </w:r>
      <w:r w:rsidR="004B154E" w:rsidRPr="00BE0F58">
        <w:rPr>
          <w:rFonts w:eastAsia="Times New Roman"/>
          <w:sz w:val="24"/>
          <w:szCs w:val="24"/>
        </w:rPr>
        <w:t>Získání elektronických důkazů prostřednictvím</w:t>
      </w:r>
      <w:r w:rsidR="005C3126">
        <w:rPr>
          <w:rFonts w:eastAsia="Times New Roman"/>
          <w:sz w:val="24"/>
          <w:szCs w:val="24"/>
        </w:rPr>
        <w:t xml:space="preserve"> </w:t>
      </w:r>
      <w:r w:rsidR="004B154E" w:rsidRPr="00BE0F58">
        <w:rPr>
          <w:rFonts w:eastAsia="Times New Roman"/>
          <w:sz w:val="24"/>
          <w:szCs w:val="24"/>
        </w:rPr>
        <w:t>justiční spolupráce často s ohledem na</w:t>
      </w:r>
      <w:r w:rsidR="00B4434E">
        <w:rPr>
          <w:rFonts w:eastAsia="Times New Roman"/>
          <w:sz w:val="24"/>
          <w:szCs w:val="24"/>
        </w:rPr>
        <w:t> </w:t>
      </w:r>
      <w:r w:rsidR="004B154E" w:rsidRPr="00BE0F58">
        <w:rPr>
          <w:rFonts w:eastAsia="Times New Roman"/>
          <w:sz w:val="24"/>
          <w:szCs w:val="24"/>
        </w:rPr>
        <w:t>formálnost řízení trvá dlouho, takže může dojít k tomu, že požadované elektronické důkazy již nejsou v době vyřízení žádosti nebo příkazu k</w:t>
      </w:r>
      <w:r w:rsidR="004B154E">
        <w:rPr>
          <w:rFonts w:eastAsia="Times New Roman"/>
          <w:sz w:val="24"/>
          <w:szCs w:val="24"/>
        </w:rPr>
        <w:t> </w:t>
      </w:r>
      <w:r w:rsidR="004B154E" w:rsidRPr="00BE0F58">
        <w:rPr>
          <w:rFonts w:eastAsia="Times New Roman"/>
          <w:sz w:val="24"/>
          <w:szCs w:val="24"/>
        </w:rPr>
        <w:t>dispozici</w:t>
      </w:r>
      <w:r w:rsidR="004B154E">
        <w:rPr>
          <w:rFonts w:eastAsia="Times New Roman"/>
          <w:sz w:val="24"/>
          <w:szCs w:val="24"/>
        </w:rPr>
        <w:t>, k</w:t>
      </w:r>
      <w:r w:rsidR="004B154E" w:rsidRPr="00BE0F58">
        <w:rPr>
          <w:rFonts w:eastAsia="Times New Roman"/>
          <w:sz w:val="24"/>
          <w:szCs w:val="24"/>
        </w:rPr>
        <w:t>romě toho neexistuje žádný harmonizovaný rámec pro spolupráci s poskytovateli služeb</w:t>
      </w:r>
      <w:r w:rsidR="004B154E">
        <w:rPr>
          <w:rFonts w:eastAsia="Times New Roman"/>
          <w:sz w:val="24"/>
          <w:szCs w:val="24"/>
        </w:rPr>
        <w:t xml:space="preserve">. V </w:t>
      </w:r>
      <w:r w:rsidR="004B154E" w:rsidRPr="00BE0F58">
        <w:rPr>
          <w:rFonts w:eastAsia="Times New Roman"/>
          <w:sz w:val="24"/>
          <w:szCs w:val="24"/>
        </w:rPr>
        <w:t>důsledku toho je ve stále větší míře využívána dobrovolná přímá spolupráce s poskytovateli služeb</w:t>
      </w:r>
      <w:r w:rsidR="004B154E">
        <w:rPr>
          <w:rFonts w:eastAsia="Times New Roman"/>
          <w:sz w:val="24"/>
          <w:szCs w:val="24"/>
        </w:rPr>
        <w:t xml:space="preserve"> (</w:t>
      </w:r>
      <w:r w:rsidR="004B154E" w:rsidRPr="00BE0F58">
        <w:rPr>
          <w:rFonts w:eastAsia="Times New Roman"/>
          <w:sz w:val="24"/>
          <w:szCs w:val="24"/>
        </w:rPr>
        <w:t>někteří poskytovatelé z třetích zemí přijímají přímé žádosti o jiné než obsahové údaje, tak, jak jim to umožňuje jejich příslušné vnitrostátní právo</w:t>
      </w:r>
      <w:r w:rsidR="004B154E">
        <w:rPr>
          <w:rFonts w:eastAsia="Times New Roman"/>
          <w:sz w:val="24"/>
          <w:szCs w:val="24"/>
        </w:rPr>
        <w:t xml:space="preserve">) </w:t>
      </w:r>
      <w:r w:rsidR="004B154E" w:rsidRPr="00BE0F58">
        <w:rPr>
          <w:rFonts w:eastAsia="Times New Roman"/>
          <w:sz w:val="24"/>
          <w:szCs w:val="24"/>
        </w:rPr>
        <w:t xml:space="preserve">a používají se různé vnitrostátní nástroje, podmínky a postupy. Proto Evropská unie přistoupila k vytvoření jednotného rámce pro takovou přímou spolupráci s přeshraničními poskytovateli služeb při získávání elektronických důkazů. </w:t>
      </w:r>
    </w:p>
    <w:p w14:paraId="6FE66976" w14:textId="178CC22D" w:rsidR="0051223C" w:rsidRPr="00BE0F58" w:rsidRDefault="0051223C" w:rsidP="00A1611D">
      <w:pPr>
        <w:pStyle w:val="Textpoznpodarou"/>
        <w:spacing w:before="120"/>
        <w:jc w:val="both"/>
        <w:rPr>
          <w:rFonts w:eastAsia="Times New Roman"/>
          <w:bCs w:val="0"/>
          <w:sz w:val="24"/>
          <w:szCs w:val="24"/>
          <w:lang w:eastAsia="cs-CZ"/>
        </w:rPr>
      </w:pPr>
    </w:p>
    <w:p w14:paraId="7568C528" w14:textId="413A015B" w:rsidR="0051223C"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bCs/>
          <w:color w:val="000000"/>
          <w:sz w:val="24"/>
          <w:szCs w:val="24"/>
          <w:lang w:eastAsia="cs-CZ"/>
        </w:rPr>
        <w:lastRenderedPageBreak/>
        <w:t xml:space="preserve">Nařízení </w:t>
      </w:r>
      <w:r w:rsidRPr="00BE0F58">
        <w:rPr>
          <w:rFonts w:ascii="Times New Roman" w:eastAsia="Times New Roman" w:hAnsi="Times New Roman" w:cs="Times New Roman"/>
          <w:color w:val="000000"/>
          <w:sz w:val="24"/>
          <w:szCs w:val="24"/>
          <w:lang w:eastAsia="cs-CZ"/>
        </w:rPr>
        <w:t xml:space="preserve">stanoví pravidla, na jejichž základě je orgán členského státu EU oprávněn vydat </w:t>
      </w:r>
      <w:r w:rsidR="0067253A" w:rsidRPr="00BE0F58">
        <w:rPr>
          <w:rFonts w:ascii="Times New Roman" w:eastAsia="Times New Roman" w:hAnsi="Times New Roman" w:cs="Times New Roman"/>
          <w:color w:val="000000"/>
          <w:sz w:val="24"/>
          <w:szCs w:val="24"/>
          <w:lang w:eastAsia="cs-CZ"/>
        </w:rPr>
        <w:t>v</w:t>
      </w:r>
      <w:r w:rsidR="0067253A">
        <w:rPr>
          <w:rFonts w:ascii="Times New Roman" w:eastAsia="Times New Roman" w:hAnsi="Times New Roman" w:cs="Times New Roman"/>
          <w:color w:val="000000"/>
          <w:sz w:val="24"/>
          <w:szCs w:val="24"/>
          <w:lang w:eastAsia="cs-CZ"/>
        </w:rPr>
        <w:t> </w:t>
      </w:r>
      <w:r w:rsidR="0067253A" w:rsidRPr="00BE0F58">
        <w:rPr>
          <w:rFonts w:ascii="Times New Roman" w:eastAsia="Times New Roman" w:hAnsi="Times New Roman" w:cs="Times New Roman"/>
          <w:color w:val="000000"/>
          <w:sz w:val="24"/>
          <w:szCs w:val="24"/>
          <w:lang w:eastAsia="cs-CZ"/>
        </w:rPr>
        <w:t xml:space="preserve">trestním řízení </w:t>
      </w:r>
      <w:r w:rsidRPr="00BE0F58">
        <w:rPr>
          <w:rFonts w:ascii="Times New Roman" w:eastAsia="Times New Roman" w:hAnsi="Times New Roman" w:cs="Times New Roman"/>
          <w:color w:val="000000"/>
          <w:sz w:val="24"/>
          <w:szCs w:val="24"/>
          <w:lang w:eastAsia="cs-CZ"/>
        </w:rPr>
        <w:t>evropský vydávací příkaz nebo evropský uchovávací příkaz a nařídit poskytovateli služeb, který tyto služby nabízí v Evropské unii a je usazen v jiném členském státě</w:t>
      </w:r>
      <w:r w:rsidR="00075D74">
        <w:rPr>
          <w:rFonts w:ascii="Times New Roman" w:eastAsia="Times New Roman" w:hAnsi="Times New Roman" w:cs="Times New Roman"/>
          <w:color w:val="000000"/>
          <w:sz w:val="24"/>
          <w:szCs w:val="24"/>
          <w:lang w:eastAsia="cs-CZ"/>
        </w:rPr>
        <w:t xml:space="preserve"> EU</w:t>
      </w:r>
      <w:r w:rsidRPr="00BE0F58">
        <w:rPr>
          <w:rFonts w:ascii="Times New Roman" w:eastAsia="Times New Roman" w:hAnsi="Times New Roman" w:cs="Times New Roman"/>
          <w:color w:val="000000"/>
          <w:sz w:val="24"/>
          <w:szCs w:val="24"/>
          <w:lang w:eastAsia="cs-CZ"/>
        </w:rPr>
        <w:t xml:space="preserve"> nebo, není-li usazen, je zastoupen zástupcem v jiném členském státě</w:t>
      </w:r>
      <w:r w:rsidR="00075D74">
        <w:rPr>
          <w:rFonts w:ascii="Times New Roman" w:eastAsia="Times New Roman" w:hAnsi="Times New Roman" w:cs="Times New Roman"/>
          <w:color w:val="000000"/>
          <w:sz w:val="24"/>
          <w:szCs w:val="24"/>
          <w:lang w:eastAsia="cs-CZ"/>
        </w:rPr>
        <w:t xml:space="preserve"> EU</w:t>
      </w:r>
      <w:r w:rsidRPr="00BE0F58">
        <w:rPr>
          <w:rFonts w:ascii="Times New Roman" w:eastAsia="Times New Roman" w:hAnsi="Times New Roman" w:cs="Times New Roman"/>
          <w:color w:val="000000"/>
          <w:sz w:val="24"/>
          <w:szCs w:val="24"/>
          <w:lang w:eastAsia="cs-CZ"/>
        </w:rPr>
        <w:t xml:space="preserve">, aby vydal nebo uchoval pro účely trestního řízení elektronické důkazy bez ohledu na jejich umístění. </w:t>
      </w:r>
      <w:r>
        <w:rPr>
          <w:rFonts w:ascii="Times New Roman" w:eastAsia="Times New Roman" w:hAnsi="Times New Roman" w:cs="Times New Roman"/>
          <w:color w:val="000000"/>
          <w:sz w:val="24"/>
          <w:szCs w:val="24"/>
          <w:lang w:eastAsia="cs-CZ"/>
        </w:rPr>
        <w:t xml:space="preserve">Podle </w:t>
      </w:r>
      <w:r w:rsidR="00AF0905">
        <w:rPr>
          <w:rFonts w:ascii="Times New Roman" w:eastAsia="Times New Roman" w:hAnsi="Times New Roman" w:cs="Times New Roman"/>
          <w:color w:val="000000"/>
          <w:sz w:val="24"/>
          <w:szCs w:val="24"/>
          <w:lang w:eastAsia="cs-CZ"/>
        </w:rPr>
        <w:t>s</w:t>
      </w:r>
      <w:r w:rsidRPr="00837CA7">
        <w:rPr>
          <w:rFonts w:ascii="Times New Roman" w:eastAsia="Times New Roman" w:hAnsi="Times New Roman" w:cs="Times New Roman"/>
          <w:color w:val="000000"/>
          <w:sz w:val="24"/>
          <w:szCs w:val="24"/>
          <w:lang w:eastAsia="cs-CZ"/>
        </w:rPr>
        <w:t>měrnice mají poskytovatelé služeb usazení</w:t>
      </w:r>
      <w:r w:rsidRPr="00C75FC6">
        <w:rPr>
          <w:rFonts w:ascii="Times New Roman" w:eastAsia="Times New Roman" w:hAnsi="Times New Roman" w:cs="Times New Roman"/>
          <w:sz w:val="24"/>
          <w:szCs w:val="24"/>
          <w:lang w:eastAsia="cs-CZ"/>
        </w:rPr>
        <w:t xml:space="preserve"> v členských státech</w:t>
      </w:r>
      <w:r w:rsidR="006849AE">
        <w:rPr>
          <w:rFonts w:ascii="Times New Roman" w:eastAsia="Times New Roman" w:hAnsi="Times New Roman" w:cs="Times New Roman"/>
          <w:sz w:val="24"/>
          <w:szCs w:val="24"/>
          <w:lang w:eastAsia="cs-CZ"/>
        </w:rPr>
        <w:t xml:space="preserve"> EU</w:t>
      </w:r>
      <w:r w:rsidRPr="00C75FC6">
        <w:rPr>
          <w:rFonts w:ascii="Times New Roman" w:eastAsia="Times New Roman" w:hAnsi="Times New Roman" w:cs="Times New Roman"/>
          <w:sz w:val="24"/>
          <w:szCs w:val="24"/>
          <w:lang w:eastAsia="cs-CZ"/>
        </w:rPr>
        <w:t xml:space="preserve">, které se neúčastní </w:t>
      </w:r>
      <w:r w:rsidR="005C3126">
        <w:rPr>
          <w:rFonts w:ascii="Times New Roman" w:eastAsia="Times New Roman" w:hAnsi="Times New Roman" w:cs="Times New Roman"/>
          <w:sz w:val="24"/>
          <w:szCs w:val="24"/>
          <w:lang w:eastAsia="cs-CZ"/>
        </w:rPr>
        <w:t xml:space="preserve">spolupráce podle </w:t>
      </w:r>
      <w:r w:rsidR="002E0407">
        <w:rPr>
          <w:rFonts w:ascii="Times New Roman" w:eastAsia="Times New Roman" w:hAnsi="Times New Roman" w:cs="Times New Roman"/>
          <w:sz w:val="24"/>
          <w:szCs w:val="24"/>
          <w:lang w:eastAsia="cs-CZ"/>
        </w:rPr>
        <w:t>n</w:t>
      </w:r>
      <w:r w:rsidRPr="00C75FC6">
        <w:rPr>
          <w:rFonts w:ascii="Times New Roman" w:eastAsia="Times New Roman" w:hAnsi="Times New Roman" w:cs="Times New Roman"/>
          <w:sz w:val="24"/>
          <w:szCs w:val="24"/>
          <w:lang w:eastAsia="cs-CZ"/>
        </w:rPr>
        <w:t>ařízení, povinn</w:t>
      </w:r>
      <w:r>
        <w:rPr>
          <w:rFonts w:ascii="Times New Roman" w:eastAsia="Times New Roman" w:hAnsi="Times New Roman" w:cs="Times New Roman"/>
          <w:sz w:val="24"/>
          <w:szCs w:val="24"/>
          <w:lang w:eastAsia="cs-CZ"/>
        </w:rPr>
        <w:t>ost</w:t>
      </w:r>
      <w:r w:rsidRPr="00C75FC6">
        <w:rPr>
          <w:rFonts w:ascii="Times New Roman" w:eastAsia="Times New Roman" w:hAnsi="Times New Roman" w:cs="Times New Roman"/>
          <w:sz w:val="24"/>
          <w:szCs w:val="24"/>
          <w:lang w:eastAsia="cs-CZ"/>
        </w:rPr>
        <w:t xml:space="preserve"> zajistit, aby poskytovatelé služeb nabízející služby na</w:t>
      </w:r>
      <w:r w:rsidR="005C3126">
        <w:rPr>
          <w:rFonts w:ascii="Times New Roman" w:eastAsia="Times New Roman" w:hAnsi="Times New Roman" w:cs="Times New Roman"/>
          <w:sz w:val="24"/>
          <w:szCs w:val="24"/>
          <w:lang w:eastAsia="cs-CZ"/>
        </w:rPr>
        <w:t> </w:t>
      </w:r>
      <w:r w:rsidRPr="00C75FC6">
        <w:rPr>
          <w:rFonts w:ascii="Times New Roman" w:eastAsia="Times New Roman" w:hAnsi="Times New Roman" w:cs="Times New Roman"/>
          <w:sz w:val="24"/>
          <w:szCs w:val="24"/>
          <w:lang w:eastAsia="cs-CZ"/>
        </w:rPr>
        <w:t>jejich území jmenovali jednoho nebo více zástupců v členských státech</w:t>
      </w:r>
      <w:r w:rsidR="006849AE">
        <w:rPr>
          <w:rFonts w:ascii="Times New Roman" w:eastAsia="Times New Roman" w:hAnsi="Times New Roman" w:cs="Times New Roman"/>
          <w:sz w:val="24"/>
          <w:szCs w:val="24"/>
          <w:lang w:eastAsia="cs-CZ"/>
        </w:rPr>
        <w:t xml:space="preserve"> EU</w:t>
      </w:r>
      <w:r w:rsidRPr="00C75FC6">
        <w:rPr>
          <w:rFonts w:ascii="Times New Roman" w:eastAsia="Times New Roman" w:hAnsi="Times New Roman" w:cs="Times New Roman"/>
          <w:sz w:val="24"/>
          <w:szCs w:val="24"/>
          <w:lang w:eastAsia="cs-CZ"/>
        </w:rPr>
        <w:t>, které se těchto nástrojů účastní.</w:t>
      </w:r>
    </w:p>
    <w:p w14:paraId="4F6081F2" w14:textId="77777777" w:rsidR="0051223C" w:rsidRPr="00BE0F58" w:rsidRDefault="0051223C" w:rsidP="00A1611D">
      <w:pPr>
        <w:spacing w:before="120" w:after="0" w:line="240" w:lineRule="auto"/>
        <w:jc w:val="both"/>
        <w:rPr>
          <w:rFonts w:ascii="Times New Roman" w:eastAsia="Times New Roman" w:hAnsi="Times New Roman" w:cs="Times New Roman"/>
          <w:color w:val="000000"/>
          <w:sz w:val="24"/>
          <w:szCs w:val="24"/>
          <w:lang w:eastAsia="cs-CZ"/>
        </w:rPr>
      </w:pPr>
      <w:r w:rsidRPr="00837CA7">
        <w:rPr>
          <w:rFonts w:ascii="Times New Roman" w:eastAsia="Times New Roman" w:hAnsi="Times New Roman" w:cs="Times New Roman"/>
          <w:color w:val="000000"/>
          <w:sz w:val="24"/>
          <w:szCs w:val="24"/>
          <w:lang w:eastAsia="cs-CZ"/>
        </w:rPr>
        <w:t>Nařízení se nevztahuje na vnitrostátní případy, kdy orgány členského státu EU požadují elektronické</w:t>
      </w:r>
      <w:r w:rsidRPr="00BE0F58">
        <w:rPr>
          <w:rFonts w:ascii="Times New Roman" w:eastAsia="Times New Roman" w:hAnsi="Times New Roman" w:cs="Times New Roman"/>
          <w:color w:val="000000"/>
          <w:sz w:val="24"/>
          <w:szCs w:val="24"/>
          <w:lang w:eastAsia="cs-CZ"/>
        </w:rPr>
        <w:t xml:space="preserve"> důkazy po poskytovateli usazeném nebo zastoupeném na jeho území. </w:t>
      </w:r>
    </w:p>
    <w:p w14:paraId="446608D7" w14:textId="74912448" w:rsidR="0051223C"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bCs/>
          <w:sz w:val="24"/>
          <w:szCs w:val="24"/>
          <w:lang w:eastAsia="cs-CZ"/>
        </w:rPr>
        <w:t xml:space="preserve">Nařízení se vztahuje pouze na elektronické důkazy uložené </w:t>
      </w:r>
      <w:r w:rsidRPr="00BE0F58">
        <w:rPr>
          <w:rFonts w:ascii="Times New Roman" w:eastAsia="Times New Roman" w:hAnsi="Times New Roman" w:cs="Times New Roman"/>
          <w:sz w:val="24"/>
          <w:szCs w:val="24"/>
          <w:lang w:eastAsia="cs-CZ"/>
        </w:rPr>
        <w:t>poskytovatelem služeb v době obdržení evropského vydávacího příkazu nebo evropského uchovávacího příkazu</w:t>
      </w:r>
      <w:r w:rsidRPr="00BE0F58">
        <w:rPr>
          <w:rFonts w:ascii="Times New Roman" w:eastAsia="Times New Roman" w:hAnsi="Times New Roman" w:cs="Times New Roman"/>
          <w:bCs/>
          <w:sz w:val="24"/>
          <w:szCs w:val="24"/>
          <w:lang w:eastAsia="cs-CZ"/>
        </w:rPr>
        <w:t xml:space="preserve"> a neukládá</w:t>
      </w:r>
      <w:r w:rsidRPr="00BE0F58">
        <w:rPr>
          <w:rFonts w:ascii="Times New Roman" w:eastAsia="Times New Roman" w:hAnsi="Times New Roman" w:cs="Times New Roman"/>
          <w:sz w:val="24"/>
          <w:szCs w:val="24"/>
          <w:lang w:eastAsia="cs-CZ"/>
        </w:rPr>
        <w:t xml:space="preserve"> poskytovatelům služeb obecnou povinnost uchovávat </w:t>
      </w:r>
      <w:r w:rsidRPr="00BE0F58">
        <w:rPr>
          <w:rFonts w:ascii="Times New Roman" w:eastAsia="Times New Roman" w:hAnsi="Times New Roman" w:cs="Times New Roman"/>
          <w:bCs/>
          <w:sz w:val="24"/>
          <w:szCs w:val="24"/>
          <w:lang w:eastAsia="cs-CZ"/>
        </w:rPr>
        <w:t xml:space="preserve">určité </w:t>
      </w:r>
      <w:r w:rsidRPr="00BE0F58">
        <w:rPr>
          <w:rFonts w:ascii="Times New Roman" w:eastAsia="Times New Roman" w:hAnsi="Times New Roman" w:cs="Times New Roman"/>
          <w:sz w:val="24"/>
          <w:szCs w:val="24"/>
          <w:lang w:eastAsia="cs-CZ"/>
        </w:rPr>
        <w:t>údaje</w:t>
      </w:r>
      <w:r w:rsidRPr="00BE0F58">
        <w:rPr>
          <w:rFonts w:ascii="Times New Roman" w:eastAsia="Times New Roman" w:hAnsi="Times New Roman" w:cs="Times New Roman"/>
          <w:bCs/>
          <w:sz w:val="24"/>
          <w:szCs w:val="24"/>
          <w:lang w:eastAsia="cs-CZ"/>
        </w:rPr>
        <w:t xml:space="preserve"> (data retention)</w:t>
      </w:r>
      <w:r w:rsidRPr="00BE0F58">
        <w:rPr>
          <w:rFonts w:ascii="Times New Roman" w:eastAsia="Times New Roman" w:hAnsi="Times New Roman" w:cs="Times New Roman"/>
          <w:sz w:val="24"/>
          <w:szCs w:val="24"/>
          <w:lang w:eastAsia="cs-CZ"/>
        </w:rPr>
        <w:t xml:space="preserve">. </w:t>
      </w:r>
      <w:r w:rsidRPr="00BE0F58">
        <w:rPr>
          <w:rFonts w:ascii="Times New Roman" w:eastAsia="Times New Roman" w:hAnsi="Times New Roman" w:cs="Times New Roman"/>
          <w:bCs/>
          <w:sz w:val="24"/>
          <w:szCs w:val="24"/>
          <w:lang w:eastAsia="cs-CZ"/>
        </w:rPr>
        <w:t xml:space="preserve">Na základě </w:t>
      </w:r>
      <w:r w:rsidR="002E0407">
        <w:rPr>
          <w:rFonts w:ascii="Times New Roman" w:eastAsia="Times New Roman" w:hAnsi="Times New Roman" w:cs="Times New Roman"/>
          <w:bCs/>
          <w:sz w:val="24"/>
          <w:szCs w:val="24"/>
          <w:lang w:eastAsia="cs-CZ"/>
        </w:rPr>
        <w:t>n</w:t>
      </w:r>
      <w:r w:rsidRPr="00BE0F58">
        <w:rPr>
          <w:rFonts w:ascii="Times New Roman" w:eastAsia="Times New Roman" w:hAnsi="Times New Roman" w:cs="Times New Roman"/>
          <w:bCs/>
          <w:sz w:val="24"/>
          <w:szCs w:val="24"/>
          <w:lang w:eastAsia="cs-CZ"/>
        </w:rPr>
        <w:t xml:space="preserve">ařízení nelze požadovat sledování určitých dat do budoucna. </w:t>
      </w:r>
      <w:r w:rsidR="005C3126">
        <w:rPr>
          <w:rFonts w:ascii="Times New Roman" w:eastAsia="Times New Roman" w:hAnsi="Times New Roman" w:cs="Times New Roman"/>
          <w:bCs/>
          <w:sz w:val="24"/>
          <w:szCs w:val="24"/>
          <w:lang w:eastAsia="cs-CZ"/>
        </w:rPr>
        <w:t xml:space="preserve">Předmětem </w:t>
      </w:r>
      <w:r w:rsidR="005C3126" w:rsidRPr="00BE0F58">
        <w:rPr>
          <w:rFonts w:ascii="Times New Roman" w:eastAsia="Times New Roman" w:hAnsi="Times New Roman" w:cs="Times New Roman"/>
          <w:sz w:val="24"/>
          <w:szCs w:val="24"/>
          <w:lang w:eastAsia="cs-CZ"/>
        </w:rPr>
        <w:t>evropského vydávacího příkazu nebo evropského uchovávacího příkazu</w:t>
      </w:r>
      <w:r w:rsidR="005C3126" w:rsidRPr="00BE0F58">
        <w:rPr>
          <w:rFonts w:ascii="Times New Roman" w:eastAsia="Times New Roman" w:hAnsi="Times New Roman" w:cs="Times New Roman"/>
          <w:bCs/>
          <w:sz w:val="24"/>
          <w:szCs w:val="24"/>
          <w:lang w:eastAsia="cs-CZ"/>
        </w:rPr>
        <w:t xml:space="preserve"> </w:t>
      </w:r>
      <w:r w:rsidR="005C3126">
        <w:rPr>
          <w:rFonts w:ascii="Times New Roman" w:eastAsia="Times New Roman" w:hAnsi="Times New Roman" w:cs="Times New Roman"/>
          <w:bCs/>
          <w:sz w:val="24"/>
          <w:szCs w:val="24"/>
          <w:lang w:eastAsia="cs-CZ"/>
        </w:rPr>
        <w:t xml:space="preserve">mohou být </w:t>
      </w:r>
      <w:r w:rsidRPr="00BE0F58">
        <w:rPr>
          <w:rFonts w:ascii="Times New Roman" w:eastAsia="Times New Roman" w:hAnsi="Times New Roman" w:cs="Times New Roman"/>
          <w:sz w:val="24"/>
          <w:szCs w:val="24"/>
          <w:lang w:eastAsia="cs-CZ"/>
        </w:rPr>
        <w:t>údaj</w:t>
      </w:r>
      <w:r w:rsidR="005C3126">
        <w:rPr>
          <w:rFonts w:ascii="Times New Roman" w:eastAsia="Times New Roman" w:hAnsi="Times New Roman" w:cs="Times New Roman"/>
          <w:sz w:val="24"/>
          <w:szCs w:val="24"/>
          <w:lang w:eastAsia="cs-CZ"/>
        </w:rPr>
        <w:t>e</w:t>
      </w:r>
      <w:r w:rsidRPr="00BE0F58">
        <w:rPr>
          <w:rFonts w:ascii="Times New Roman" w:eastAsia="Times New Roman" w:hAnsi="Times New Roman" w:cs="Times New Roman"/>
          <w:sz w:val="24"/>
          <w:szCs w:val="24"/>
          <w:lang w:eastAsia="cs-CZ"/>
        </w:rPr>
        <w:t xml:space="preserve"> o účastníkovi, údaj</w:t>
      </w:r>
      <w:r w:rsidR="005C3126">
        <w:rPr>
          <w:rFonts w:ascii="Times New Roman" w:eastAsia="Times New Roman" w:hAnsi="Times New Roman" w:cs="Times New Roman"/>
          <w:sz w:val="24"/>
          <w:szCs w:val="24"/>
          <w:lang w:eastAsia="cs-CZ"/>
        </w:rPr>
        <w:t>e</w:t>
      </w:r>
      <w:r w:rsidRPr="00BE0F58">
        <w:rPr>
          <w:rFonts w:ascii="Times New Roman" w:eastAsia="Times New Roman" w:hAnsi="Times New Roman" w:cs="Times New Roman"/>
          <w:sz w:val="24"/>
          <w:szCs w:val="24"/>
          <w:lang w:eastAsia="cs-CZ"/>
        </w:rPr>
        <w:t xml:space="preserve"> o provozu </w:t>
      </w:r>
      <w:r w:rsidR="005C3126">
        <w:rPr>
          <w:rFonts w:ascii="Times New Roman" w:eastAsia="Times New Roman" w:hAnsi="Times New Roman" w:cs="Times New Roman"/>
          <w:sz w:val="24"/>
          <w:szCs w:val="24"/>
          <w:lang w:eastAsia="cs-CZ"/>
        </w:rPr>
        <w:t xml:space="preserve">nebo </w:t>
      </w:r>
      <w:r w:rsidRPr="00BE0F58">
        <w:rPr>
          <w:rFonts w:ascii="Times New Roman" w:eastAsia="Times New Roman" w:hAnsi="Times New Roman" w:cs="Times New Roman"/>
          <w:sz w:val="24"/>
          <w:szCs w:val="24"/>
          <w:lang w:eastAsia="cs-CZ"/>
        </w:rPr>
        <w:t>údaj</w:t>
      </w:r>
      <w:r w:rsidR="005C3126">
        <w:rPr>
          <w:rFonts w:ascii="Times New Roman" w:eastAsia="Times New Roman" w:hAnsi="Times New Roman" w:cs="Times New Roman"/>
          <w:sz w:val="24"/>
          <w:szCs w:val="24"/>
          <w:lang w:eastAsia="cs-CZ"/>
        </w:rPr>
        <w:t>e</w:t>
      </w:r>
      <w:r w:rsidRPr="00BE0F58">
        <w:rPr>
          <w:rFonts w:ascii="Times New Roman" w:eastAsia="Times New Roman" w:hAnsi="Times New Roman" w:cs="Times New Roman"/>
          <w:sz w:val="24"/>
          <w:szCs w:val="24"/>
          <w:lang w:eastAsia="cs-CZ"/>
        </w:rPr>
        <w:t xml:space="preserve"> o obsahu</w:t>
      </w:r>
      <w:r w:rsidR="005C3126">
        <w:rPr>
          <w:rFonts w:ascii="Times New Roman" w:eastAsia="Times New Roman" w:hAnsi="Times New Roman" w:cs="Times New Roman"/>
          <w:sz w:val="24"/>
          <w:szCs w:val="24"/>
          <w:lang w:eastAsia="cs-CZ"/>
        </w:rPr>
        <w:t xml:space="preserve">, nařízení </w:t>
      </w:r>
      <w:r w:rsidRPr="00BE0F58">
        <w:rPr>
          <w:rFonts w:ascii="Times New Roman" w:eastAsia="Times New Roman" w:hAnsi="Times New Roman" w:cs="Times New Roman"/>
          <w:sz w:val="24"/>
          <w:szCs w:val="24"/>
          <w:lang w:eastAsia="cs-CZ"/>
        </w:rPr>
        <w:t xml:space="preserve">stanoví podmínky, za kterých lze tyto údaje uchovat nebo vydat. </w:t>
      </w:r>
    </w:p>
    <w:p w14:paraId="3969367B" w14:textId="7F29C8DA" w:rsidR="00B71640" w:rsidRDefault="0051223C" w:rsidP="00A1611D">
      <w:pPr>
        <w:spacing w:before="120"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Nařízení předpokládá, že příslušné orgány a poskytovatelé služeb si budou zasílat osvědčení, příkazy a další informace prostřednictvím jednotného decentralizovaného informačního systému, </w:t>
      </w:r>
      <w:r w:rsidRPr="00885AAF">
        <w:rPr>
          <w:rFonts w:ascii="Times New Roman" w:hAnsi="Times New Roman" w:cs="Times New Roman"/>
          <w:sz w:val="24"/>
          <w:szCs w:val="24"/>
        </w:rPr>
        <w:t xml:space="preserve">který umožní rychlou, přímou, interoperabilní, udržitelnou, spolehlivou a bezpečnou přeshraniční elektronickou výměnu </w:t>
      </w:r>
      <w:r>
        <w:rPr>
          <w:rFonts w:ascii="Times New Roman" w:hAnsi="Times New Roman" w:cs="Times New Roman"/>
          <w:sz w:val="24"/>
          <w:szCs w:val="24"/>
        </w:rPr>
        <w:t xml:space="preserve">potřebných informací. </w:t>
      </w:r>
      <w:r w:rsidRPr="0095775A">
        <w:rPr>
          <w:rFonts w:ascii="Times New Roman" w:eastAsia="Times New Roman" w:hAnsi="Times New Roman" w:cs="Times New Roman"/>
          <w:sz w:val="24"/>
          <w:szCs w:val="24"/>
          <w:lang w:eastAsia="cs-CZ"/>
        </w:rPr>
        <w:t xml:space="preserve">Decentralizovaný informační systém by se měl skládat z informačních systémů členských států </w:t>
      </w:r>
      <w:r w:rsidR="00075D74">
        <w:rPr>
          <w:rFonts w:ascii="Times New Roman" w:eastAsia="Times New Roman" w:hAnsi="Times New Roman" w:cs="Times New Roman"/>
          <w:sz w:val="24"/>
          <w:szCs w:val="24"/>
          <w:lang w:eastAsia="cs-CZ"/>
        </w:rPr>
        <w:t xml:space="preserve">EU </w:t>
      </w:r>
      <w:r w:rsidRPr="0095775A">
        <w:rPr>
          <w:rFonts w:ascii="Times New Roman" w:eastAsia="Times New Roman" w:hAnsi="Times New Roman" w:cs="Times New Roman"/>
          <w:sz w:val="24"/>
          <w:szCs w:val="24"/>
          <w:lang w:eastAsia="cs-CZ"/>
        </w:rPr>
        <w:t xml:space="preserve">a agentur a subjektů </w:t>
      </w:r>
      <w:r>
        <w:rPr>
          <w:rFonts w:ascii="Times New Roman" w:eastAsia="Times New Roman" w:hAnsi="Times New Roman" w:cs="Times New Roman"/>
          <w:sz w:val="24"/>
          <w:szCs w:val="24"/>
          <w:lang w:eastAsia="cs-CZ"/>
        </w:rPr>
        <w:t>Evropské u</w:t>
      </w:r>
      <w:r w:rsidRPr="0095775A">
        <w:rPr>
          <w:rFonts w:ascii="Times New Roman" w:eastAsia="Times New Roman" w:hAnsi="Times New Roman" w:cs="Times New Roman"/>
          <w:sz w:val="24"/>
          <w:szCs w:val="24"/>
          <w:lang w:eastAsia="cs-CZ"/>
        </w:rPr>
        <w:t>nie a </w:t>
      </w:r>
      <w:r w:rsidR="00FA0707">
        <w:rPr>
          <w:rFonts w:ascii="Times New Roman" w:eastAsia="Times New Roman" w:hAnsi="Times New Roman" w:cs="Times New Roman"/>
          <w:sz w:val="24"/>
          <w:szCs w:val="24"/>
          <w:lang w:eastAsia="cs-CZ"/>
        </w:rPr>
        <w:t xml:space="preserve">z </w:t>
      </w:r>
      <w:r w:rsidRPr="0095775A">
        <w:rPr>
          <w:rFonts w:ascii="Times New Roman" w:eastAsia="Times New Roman" w:hAnsi="Times New Roman" w:cs="Times New Roman"/>
          <w:sz w:val="24"/>
          <w:szCs w:val="24"/>
          <w:lang w:eastAsia="cs-CZ"/>
        </w:rPr>
        <w:t xml:space="preserve">interoperabilních přístupových bodů, jejichž prostřednictvím </w:t>
      </w:r>
      <w:r w:rsidR="00FA0707">
        <w:rPr>
          <w:rFonts w:ascii="Times New Roman" w:eastAsia="Times New Roman" w:hAnsi="Times New Roman" w:cs="Times New Roman"/>
          <w:sz w:val="24"/>
          <w:szCs w:val="24"/>
          <w:lang w:eastAsia="cs-CZ"/>
        </w:rPr>
        <w:t xml:space="preserve">by měly být </w:t>
      </w:r>
      <w:r w:rsidRPr="0095775A">
        <w:rPr>
          <w:rFonts w:ascii="Times New Roman" w:eastAsia="Times New Roman" w:hAnsi="Times New Roman" w:cs="Times New Roman"/>
          <w:sz w:val="24"/>
          <w:szCs w:val="24"/>
          <w:lang w:eastAsia="cs-CZ"/>
        </w:rPr>
        <w:t xml:space="preserve">tyto systémy vzájemně propojeny. </w:t>
      </w:r>
    </w:p>
    <w:p w14:paraId="196DF779" w14:textId="7B725944" w:rsidR="0051223C" w:rsidRPr="0084411E" w:rsidRDefault="0051223C" w:rsidP="00A1611D">
      <w:pPr>
        <w:spacing w:before="120" w:after="0" w:line="240" w:lineRule="auto"/>
        <w:jc w:val="both"/>
        <w:rPr>
          <w:rFonts w:ascii="Times New Roman" w:hAnsi="Times New Roman" w:cs="Times New Roman"/>
          <w:sz w:val="24"/>
          <w:szCs w:val="24"/>
        </w:rPr>
      </w:pPr>
      <w:r w:rsidRPr="0095775A">
        <w:rPr>
          <w:rFonts w:ascii="Times New Roman" w:eastAsia="Times New Roman" w:hAnsi="Times New Roman" w:cs="Times New Roman"/>
          <w:sz w:val="24"/>
          <w:szCs w:val="24"/>
          <w:lang w:eastAsia="cs-CZ"/>
        </w:rPr>
        <w:t>Přístupové body decentralizovaného informačního systému by měly být založeny na</w:t>
      </w:r>
      <w:r w:rsidR="00B71640">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 xml:space="preserve">informačním </w:t>
      </w:r>
      <w:r w:rsidRPr="0095775A">
        <w:rPr>
          <w:rFonts w:ascii="Times New Roman" w:eastAsia="Times New Roman" w:hAnsi="Times New Roman" w:cs="Times New Roman"/>
          <w:sz w:val="24"/>
          <w:szCs w:val="24"/>
          <w:lang w:eastAsia="cs-CZ"/>
        </w:rPr>
        <w:t>systému e-CODEX</w:t>
      </w:r>
      <w:r>
        <w:rPr>
          <w:rFonts w:ascii="Times New Roman" w:eastAsia="Times New Roman" w:hAnsi="Times New Roman" w:cs="Times New Roman"/>
          <w:sz w:val="24"/>
          <w:szCs w:val="24"/>
          <w:lang w:eastAsia="cs-CZ"/>
        </w:rPr>
        <w:t xml:space="preserve">, </w:t>
      </w:r>
      <w:r w:rsidRPr="0095775A">
        <w:rPr>
          <w:rFonts w:ascii="Times New Roman" w:hAnsi="Times New Roman" w:cs="Times New Roman"/>
          <w:sz w:val="24"/>
          <w:szCs w:val="24"/>
        </w:rPr>
        <w:t xml:space="preserve">který slouží jako </w:t>
      </w:r>
      <w:proofErr w:type="spellStart"/>
      <w:r w:rsidRPr="0095775A">
        <w:rPr>
          <w:rFonts w:ascii="Times New Roman" w:hAnsi="Times New Roman" w:cs="Times New Roman"/>
          <w:sz w:val="24"/>
          <w:szCs w:val="24"/>
        </w:rPr>
        <w:t>backendová</w:t>
      </w:r>
      <w:proofErr w:type="spellEnd"/>
      <w:r w:rsidRPr="0095775A">
        <w:rPr>
          <w:rFonts w:ascii="Times New Roman" w:hAnsi="Times New Roman" w:cs="Times New Roman"/>
          <w:sz w:val="24"/>
          <w:szCs w:val="24"/>
        </w:rPr>
        <w:t xml:space="preserve"> platforma určen</w:t>
      </w:r>
      <w:r w:rsidR="00FA0707">
        <w:rPr>
          <w:rFonts w:ascii="Times New Roman" w:hAnsi="Times New Roman" w:cs="Times New Roman"/>
          <w:sz w:val="24"/>
          <w:szCs w:val="24"/>
        </w:rPr>
        <w:t>á</w:t>
      </w:r>
      <w:r w:rsidRPr="0095775A">
        <w:rPr>
          <w:rFonts w:ascii="Times New Roman" w:hAnsi="Times New Roman" w:cs="Times New Roman"/>
          <w:sz w:val="24"/>
          <w:szCs w:val="24"/>
        </w:rPr>
        <w:t xml:space="preserve"> pro</w:t>
      </w:r>
      <w:r w:rsidR="00B71640">
        <w:rPr>
          <w:rFonts w:ascii="Times New Roman" w:hAnsi="Times New Roman" w:cs="Times New Roman"/>
          <w:sz w:val="24"/>
          <w:szCs w:val="24"/>
        </w:rPr>
        <w:t> </w:t>
      </w:r>
      <w:r w:rsidRPr="0095775A">
        <w:rPr>
          <w:rFonts w:ascii="Times New Roman" w:hAnsi="Times New Roman" w:cs="Times New Roman"/>
          <w:sz w:val="24"/>
          <w:szCs w:val="24"/>
        </w:rPr>
        <w:t xml:space="preserve">zabezpečenou výměnu dat. Tento informační systém je upraven v nařízení Evropského parlamentu a Rady (EU) 2022/850 a je od června 2024 spravován </w:t>
      </w:r>
      <w:r>
        <w:rPr>
          <w:rFonts w:ascii="Times New Roman" w:hAnsi="Times New Roman" w:cs="Times New Roman"/>
          <w:sz w:val="24"/>
          <w:szCs w:val="24"/>
        </w:rPr>
        <w:t>E</w:t>
      </w:r>
      <w:r w:rsidRPr="0095775A">
        <w:rPr>
          <w:rFonts w:ascii="Times New Roman" w:hAnsi="Times New Roman" w:cs="Times New Roman"/>
          <w:sz w:val="24"/>
          <w:szCs w:val="24"/>
        </w:rPr>
        <w:t>vropskou agenturou pro</w:t>
      </w:r>
      <w:r w:rsidR="00B71640">
        <w:rPr>
          <w:rFonts w:ascii="Times New Roman" w:hAnsi="Times New Roman" w:cs="Times New Roman"/>
          <w:sz w:val="24"/>
          <w:szCs w:val="24"/>
        </w:rPr>
        <w:t> </w:t>
      </w:r>
      <w:r w:rsidRPr="0095775A">
        <w:rPr>
          <w:rFonts w:ascii="Times New Roman" w:hAnsi="Times New Roman" w:cs="Times New Roman"/>
          <w:sz w:val="24"/>
          <w:szCs w:val="24"/>
        </w:rPr>
        <w:t xml:space="preserve">provozní řízení rozsáhlých informačních systémů v prostoru svobody, bezpečnosti a práva </w:t>
      </w:r>
      <w:proofErr w:type="spellStart"/>
      <w:r w:rsidRPr="0095775A">
        <w:rPr>
          <w:rFonts w:ascii="Times New Roman" w:hAnsi="Times New Roman" w:cs="Times New Roman"/>
          <w:sz w:val="24"/>
          <w:szCs w:val="24"/>
        </w:rPr>
        <w:t>eu</w:t>
      </w:r>
      <w:proofErr w:type="spellEnd"/>
      <w:r w:rsidRPr="0095775A">
        <w:rPr>
          <w:rFonts w:ascii="Times New Roman" w:hAnsi="Times New Roman" w:cs="Times New Roman"/>
          <w:sz w:val="24"/>
          <w:szCs w:val="24"/>
        </w:rPr>
        <w:t>-LISA (dále jen „</w:t>
      </w:r>
      <w:proofErr w:type="spellStart"/>
      <w:r w:rsidRPr="0095775A">
        <w:rPr>
          <w:rFonts w:ascii="Times New Roman" w:hAnsi="Times New Roman" w:cs="Times New Roman"/>
          <w:sz w:val="24"/>
          <w:szCs w:val="24"/>
        </w:rPr>
        <w:t>eu</w:t>
      </w:r>
      <w:proofErr w:type="spellEnd"/>
      <w:r w:rsidRPr="0095775A">
        <w:rPr>
          <w:rFonts w:ascii="Times New Roman" w:hAnsi="Times New Roman" w:cs="Times New Roman"/>
          <w:sz w:val="24"/>
          <w:szCs w:val="24"/>
        </w:rPr>
        <w:t xml:space="preserve">-LISA“). Systém e-CODEX je členským státům </w:t>
      </w:r>
      <w:r>
        <w:rPr>
          <w:rFonts w:ascii="Times New Roman" w:hAnsi="Times New Roman" w:cs="Times New Roman"/>
          <w:sz w:val="24"/>
          <w:szCs w:val="24"/>
        </w:rPr>
        <w:t xml:space="preserve">EU </w:t>
      </w:r>
      <w:r w:rsidRPr="0095775A">
        <w:rPr>
          <w:rFonts w:ascii="Times New Roman" w:hAnsi="Times New Roman" w:cs="Times New Roman"/>
          <w:sz w:val="24"/>
          <w:szCs w:val="24"/>
        </w:rPr>
        <w:t>poskytován bezplatně, v podobě instalačních balí</w:t>
      </w:r>
      <w:r w:rsidR="00FA0707">
        <w:rPr>
          <w:rFonts w:ascii="Times New Roman" w:hAnsi="Times New Roman" w:cs="Times New Roman"/>
          <w:sz w:val="24"/>
          <w:szCs w:val="24"/>
        </w:rPr>
        <w:t>č</w:t>
      </w:r>
      <w:r w:rsidRPr="0095775A">
        <w:rPr>
          <w:rFonts w:ascii="Times New Roman" w:hAnsi="Times New Roman" w:cs="Times New Roman"/>
          <w:sz w:val="24"/>
          <w:szCs w:val="24"/>
        </w:rPr>
        <w:t xml:space="preserve">ků, přičemž vývoj zajišťuje </w:t>
      </w:r>
      <w:proofErr w:type="spellStart"/>
      <w:r w:rsidRPr="0095775A">
        <w:rPr>
          <w:rFonts w:ascii="Times New Roman" w:hAnsi="Times New Roman" w:cs="Times New Roman"/>
          <w:sz w:val="24"/>
          <w:szCs w:val="24"/>
        </w:rPr>
        <w:t>eu</w:t>
      </w:r>
      <w:proofErr w:type="spellEnd"/>
      <w:r w:rsidRPr="0095775A">
        <w:rPr>
          <w:rFonts w:ascii="Times New Roman" w:hAnsi="Times New Roman" w:cs="Times New Roman"/>
          <w:sz w:val="24"/>
          <w:szCs w:val="24"/>
        </w:rPr>
        <w:t>-LISA a</w:t>
      </w:r>
      <w:r w:rsidR="00B71640">
        <w:rPr>
          <w:rFonts w:ascii="Times New Roman" w:hAnsi="Times New Roman" w:cs="Times New Roman"/>
          <w:sz w:val="24"/>
          <w:szCs w:val="24"/>
        </w:rPr>
        <w:t> </w:t>
      </w:r>
      <w:r w:rsidR="00D96E05">
        <w:rPr>
          <w:rFonts w:ascii="Times New Roman" w:hAnsi="Times New Roman" w:cs="Times New Roman"/>
          <w:sz w:val="24"/>
          <w:szCs w:val="24"/>
        </w:rPr>
        <w:t>Evropská k</w:t>
      </w:r>
      <w:r w:rsidRPr="0095775A">
        <w:rPr>
          <w:rFonts w:ascii="Times New Roman" w:hAnsi="Times New Roman" w:cs="Times New Roman"/>
          <w:sz w:val="24"/>
          <w:szCs w:val="24"/>
        </w:rPr>
        <w:t>omise</w:t>
      </w:r>
      <w:r w:rsidR="00D96E05">
        <w:rPr>
          <w:rFonts w:ascii="Times New Roman" w:hAnsi="Times New Roman" w:cs="Times New Roman"/>
          <w:sz w:val="24"/>
          <w:szCs w:val="24"/>
        </w:rPr>
        <w:t xml:space="preserve"> (dále je „Komise“)</w:t>
      </w:r>
      <w:r w:rsidRPr="0095775A">
        <w:rPr>
          <w:rFonts w:ascii="Times New Roman" w:hAnsi="Times New Roman" w:cs="Times New Roman"/>
          <w:sz w:val="24"/>
          <w:szCs w:val="24"/>
        </w:rPr>
        <w:t>. Náklady</w:t>
      </w:r>
      <w:r w:rsidR="00295530">
        <w:rPr>
          <w:rFonts w:ascii="Times New Roman" w:hAnsi="Times New Roman" w:cs="Times New Roman"/>
          <w:sz w:val="24"/>
          <w:szCs w:val="24"/>
        </w:rPr>
        <w:t xml:space="preserve"> </w:t>
      </w:r>
      <w:r w:rsidRPr="0095775A">
        <w:rPr>
          <w:rFonts w:ascii="Times New Roman" w:hAnsi="Times New Roman" w:cs="Times New Roman"/>
          <w:sz w:val="24"/>
          <w:szCs w:val="24"/>
        </w:rPr>
        <w:t>na</w:t>
      </w:r>
      <w:r w:rsidR="00295530">
        <w:rPr>
          <w:rFonts w:ascii="Times New Roman" w:hAnsi="Times New Roman" w:cs="Times New Roman"/>
          <w:sz w:val="24"/>
          <w:szCs w:val="24"/>
        </w:rPr>
        <w:t> </w:t>
      </w:r>
      <w:r w:rsidRPr="0095775A">
        <w:rPr>
          <w:rFonts w:ascii="Times New Roman" w:hAnsi="Times New Roman" w:cs="Times New Roman"/>
          <w:sz w:val="24"/>
          <w:szCs w:val="24"/>
        </w:rPr>
        <w:t xml:space="preserve">implementaci e-CODEX ze strany členských států </w:t>
      </w:r>
      <w:r>
        <w:rPr>
          <w:rFonts w:ascii="Times New Roman" w:hAnsi="Times New Roman" w:cs="Times New Roman"/>
          <w:sz w:val="24"/>
          <w:szCs w:val="24"/>
        </w:rPr>
        <w:t xml:space="preserve">EU </w:t>
      </w:r>
      <w:r w:rsidRPr="0095775A">
        <w:rPr>
          <w:rFonts w:ascii="Times New Roman" w:hAnsi="Times New Roman" w:cs="Times New Roman"/>
          <w:sz w:val="24"/>
          <w:szCs w:val="24"/>
        </w:rPr>
        <w:t>spočívají v nasazení tohoto systému do architektury dané organizace/ministerstva v podobě tzv.</w:t>
      </w:r>
      <w:r w:rsidR="00B71640">
        <w:rPr>
          <w:rFonts w:ascii="Times New Roman" w:hAnsi="Times New Roman" w:cs="Times New Roman"/>
          <w:sz w:val="24"/>
          <w:szCs w:val="24"/>
        </w:rPr>
        <w:t> </w:t>
      </w:r>
      <w:r w:rsidRPr="0095775A">
        <w:rPr>
          <w:rFonts w:ascii="Times New Roman" w:hAnsi="Times New Roman" w:cs="Times New Roman"/>
          <w:sz w:val="24"/>
          <w:szCs w:val="24"/>
        </w:rPr>
        <w:t xml:space="preserve">„přístupového bodu e-CODEX“. </w:t>
      </w:r>
      <w:r w:rsidRPr="0084411E">
        <w:rPr>
          <w:rFonts w:ascii="Times New Roman" w:hAnsi="Times New Roman" w:cs="Times New Roman"/>
          <w:sz w:val="24"/>
          <w:szCs w:val="24"/>
        </w:rPr>
        <w:t>Člensk</w:t>
      </w:r>
      <w:r>
        <w:rPr>
          <w:rFonts w:ascii="Times New Roman" w:hAnsi="Times New Roman" w:cs="Times New Roman"/>
          <w:sz w:val="24"/>
          <w:szCs w:val="24"/>
        </w:rPr>
        <w:t>é</w:t>
      </w:r>
      <w:r w:rsidRPr="0084411E">
        <w:rPr>
          <w:rFonts w:ascii="Times New Roman" w:hAnsi="Times New Roman" w:cs="Times New Roman"/>
          <w:sz w:val="24"/>
          <w:szCs w:val="24"/>
        </w:rPr>
        <w:t xml:space="preserve"> stát</w:t>
      </w:r>
      <w:r>
        <w:rPr>
          <w:rFonts w:ascii="Times New Roman" w:hAnsi="Times New Roman" w:cs="Times New Roman"/>
          <w:sz w:val="24"/>
          <w:szCs w:val="24"/>
        </w:rPr>
        <w:t>y</w:t>
      </w:r>
      <w:r w:rsidRPr="0084411E">
        <w:rPr>
          <w:rFonts w:ascii="Times New Roman" w:hAnsi="Times New Roman" w:cs="Times New Roman"/>
          <w:sz w:val="24"/>
          <w:szCs w:val="24"/>
        </w:rPr>
        <w:t xml:space="preserve"> </w:t>
      </w:r>
      <w:r>
        <w:rPr>
          <w:rFonts w:ascii="Times New Roman" w:hAnsi="Times New Roman" w:cs="Times New Roman"/>
          <w:sz w:val="24"/>
          <w:szCs w:val="24"/>
        </w:rPr>
        <w:t xml:space="preserve">EU </w:t>
      </w:r>
      <w:r w:rsidRPr="0084411E">
        <w:rPr>
          <w:rFonts w:ascii="Times New Roman" w:hAnsi="Times New Roman" w:cs="Times New Roman"/>
          <w:sz w:val="24"/>
          <w:szCs w:val="24"/>
        </w:rPr>
        <w:t xml:space="preserve">musí v průběhu nasazení </w:t>
      </w:r>
      <w:r>
        <w:rPr>
          <w:rFonts w:ascii="Times New Roman" w:hAnsi="Times New Roman" w:cs="Times New Roman"/>
          <w:sz w:val="24"/>
          <w:szCs w:val="24"/>
        </w:rPr>
        <w:t xml:space="preserve">systému </w:t>
      </w:r>
      <w:r w:rsidRPr="0084411E">
        <w:rPr>
          <w:rFonts w:ascii="Times New Roman" w:hAnsi="Times New Roman" w:cs="Times New Roman"/>
          <w:sz w:val="24"/>
          <w:szCs w:val="24"/>
        </w:rPr>
        <w:t>zajistit všechny nutné integrace na</w:t>
      </w:r>
      <w:r w:rsidR="00B71640">
        <w:rPr>
          <w:rFonts w:ascii="Times New Roman" w:hAnsi="Times New Roman" w:cs="Times New Roman"/>
          <w:sz w:val="24"/>
          <w:szCs w:val="24"/>
        </w:rPr>
        <w:t> </w:t>
      </w:r>
      <w:r w:rsidRPr="0084411E">
        <w:rPr>
          <w:rFonts w:ascii="Times New Roman" w:hAnsi="Times New Roman" w:cs="Times New Roman"/>
          <w:sz w:val="24"/>
          <w:szCs w:val="24"/>
        </w:rPr>
        <w:t>informační</w:t>
      </w:r>
      <w:r w:rsidR="00B71640">
        <w:rPr>
          <w:rFonts w:ascii="Times New Roman" w:hAnsi="Times New Roman" w:cs="Times New Roman"/>
          <w:sz w:val="24"/>
          <w:szCs w:val="24"/>
        </w:rPr>
        <w:t xml:space="preserve"> </w:t>
      </w:r>
      <w:r w:rsidRPr="0084411E">
        <w:rPr>
          <w:rFonts w:ascii="Times New Roman" w:hAnsi="Times New Roman" w:cs="Times New Roman"/>
          <w:sz w:val="24"/>
          <w:szCs w:val="24"/>
        </w:rPr>
        <w:t>systémy a bezpečnostní prvky</w:t>
      </w:r>
      <w:r w:rsidR="00B71640">
        <w:rPr>
          <w:rFonts w:ascii="Times New Roman" w:hAnsi="Times New Roman" w:cs="Times New Roman"/>
          <w:sz w:val="24"/>
          <w:szCs w:val="24"/>
        </w:rPr>
        <w:t>, z</w:t>
      </w:r>
      <w:r w:rsidRPr="0084411E">
        <w:rPr>
          <w:rFonts w:ascii="Times New Roman" w:hAnsi="Times New Roman" w:cs="Times New Roman"/>
          <w:sz w:val="24"/>
          <w:szCs w:val="24"/>
        </w:rPr>
        <w:t>ároveň musí zajistit</w:t>
      </w:r>
      <w:r w:rsidR="00B71640">
        <w:rPr>
          <w:rFonts w:ascii="Times New Roman" w:hAnsi="Times New Roman" w:cs="Times New Roman"/>
          <w:sz w:val="24"/>
          <w:szCs w:val="24"/>
        </w:rPr>
        <w:t xml:space="preserve"> i </w:t>
      </w:r>
      <w:r w:rsidRPr="0084411E">
        <w:rPr>
          <w:rFonts w:ascii="Times New Roman" w:hAnsi="Times New Roman" w:cs="Times New Roman"/>
          <w:sz w:val="24"/>
          <w:szCs w:val="24"/>
        </w:rPr>
        <w:t xml:space="preserve">hardware a dostupnost systému. Po úspěšné implementaci přístupového bodu e-CODEX je nutné na přístupový bod napojit národní informační systém spravující daný přeshraniční </w:t>
      </w:r>
      <w:r w:rsidR="00573561">
        <w:rPr>
          <w:rFonts w:ascii="Times New Roman" w:hAnsi="Times New Roman" w:cs="Times New Roman"/>
          <w:sz w:val="24"/>
          <w:szCs w:val="24"/>
        </w:rPr>
        <w:t>justiční nástroj (</w:t>
      </w:r>
      <w:r w:rsidRPr="0084411E">
        <w:rPr>
          <w:rFonts w:ascii="Times New Roman" w:hAnsi="Times New Roman" w:cs="Times New Roman"/>
          <w:sz w:val="24"/>
          <w:szCs w:val="24"/>
        </w:rPr>
        <w:t>use-case</w:t>
      </w:r>
      <w:r w:rsidR="00573561">
        <w:rPr>
          <w:rFonts w:ascii="Times New Roman" w:hAnsi="Times New Roman" w:cs="Times New Roman"/>
          <w:sz w:val="24"/>
          <w:szCs w:val="24"/>
        </w:rPr>
        <w:t>)</w:t>
      </w:r>
      <w:r>
        <w:rPr>
          <w:rFonts w:ascii="Times New Roman" w:hAnsi="Times New Roman" w:cs="Times New Roman"/>
          <w:sz w:val="24"/>
          <w:szCs w:val="24"/>
        </w:rPr>
        <w:t>, tj.</w:t>
      </w:r>
      <w:r w:rsidR="00B71640">
        <w:rPr>
          <w:rFonts w:ascii="Times New Roman" w:hAnsi="Times New Roman" w:cs="Times New Roman"/>
          <w:sz w:val="24"/>
          <w:szCs w:val="24"/>
        </w:rPr>
        <w:t> </w:t>
      </w:r>
      <w:r w:rsidRPr="0084411E">
        <w:rPr>
          <w:rFonts w:ascii="Times New Roman" w:hAnsi="Times New Roman" w:cs="Times New Roman"/>
          <w:sz w:val="24"/>
          <w:szCs w:val="24"/>
        </w:rPr>
        <w:t>informační systém, který je schopen zajistit správu a</w:t>
      </w:r>
      <w:r w:rsidR="00B71640">
        <w:rPr>
          <w:rFonts w:ascii="Times New Roman" w:hAnsi="Times New Roman" w:cs="Times New Roman"/>
          <w:sz w:val="24"/>
          <w:szCs w:val="24"/>
        </w:rPr>
        <w:t> </w:t>
      </w:r>
      <w:r w:rsidRPr="0084411E">
        <w:rPr>
          <w:rFonts w:ascii="Times New Roman" w:hAnsi="Times New Roman" w:cs="Times New Roman"/>
          <w:sz w:val="24"/>
          <w:szCs w:val="24"/>
        </w:rPr>
        <w:t xml:space="preserve">vydávání evropských vydávacích příkazů a evropských </w:t>
      </w:r>
      <w:proofErr w:type="spellStart"/>
      <w:r w:rsidRPr="0084411E">
        <w:rPr>
          <w:rFonts w:ascii="Times New Roman" w:hAnsi="Times New Roman" w:cs="Times New Roman"/>
          <w:sz w:val="24"/>
          <w:szCs w:val="24"/>
        </w:rPr>
        <w:t>uchovávacích</w:t>
      </w:r>
      <w:proofErr w:type="spellEnd"/>
      <w:r w:rsidRPr="0084411E">
        <w:rPr>
          <w:rFonts w:ascii="Times New Roman" w:hAnsi="Times New Roman" w:cs="Times New Roman"/>
          <w:sz w:val="24"/>
          <w:szCs w:val="24"/>
        </w:rPr>
        <w:t xml:space="preserve"> příkazů. </w:t>
      </w:r>
    </w:p>
    <w:p w14:paraId="7D2FCF7D" w14:textId="6F6DA5B6" w:rsidR="0051223C" w:rsidRDefault="0051223C" w:rsidP="00A1611D">
      <w:pPr>
        <w:pStyle w:val="MSp-text"/>
        <w:spacing w:before="120" w:after="0"/>
        <w:ind w:firstLine="0"/>
      </w:pPr>
      <w:r>
        <w:t xml:space="preserve">Požadavky </w:t>
      </w:r>
      <w:r w:rsidR="002E0407">
        <w:t>n</w:t>
      </w:r>
      <w:r>
        <w:t xml:space="preserve">ařízení lze buď </w:t>
      </w:r>
      <w:r w:rsidRPr="002A6C8A">
        <w:t xml:space="preserve">implementovat do stávajícího národního informačního systému </w:t>
      </w:r>
      <w:r>
        <w:t xml:space="preserve">členských států EU, </w:t>
      </w:r>
      <w:r w:rsidRPr="002A6C8A">
        <w:t xml:space="preserve">nebo </w:t>
      </w:r>
      <w:r>
        <w:t xml:space="preserve">lze </w:t>
      </w:r>
      <w:r w:rsidRPr="002A6C8A">
        <w:t xml:space="preserve">využít </w:t>
      </w:r>
      <w:r w:rsidR="00573561">
        <w:t xml:space="preserve">informační systém, tzv. </w:t>
      </w:r>
      <w:r w:rsidRPr="002A6C8A">
        <w:t>referenční rozhraní</w:t>
      </w:r>
      <w:r w:rsidR="00573561">
        <w:t>,</w:t>
      </w:r>
      <w:r w:rsidRPr="002A6C8A">
        <w:t xml:space="preserve"> poskytovan</w:t>
      </w:r>
      <w:r w:rsidR="00573561">
        <w:t>ý</w:t>
      </w:r>
      <w:r w:rsidRPr="002A6C8A">
        <w:t xml:space="preserve"> Komisí členský</w:t>
      </w:r>
      <w:r w:rsidR="00573561">
        <w:t>m</w:t>
      </w:r>
      <w:r w:rsidRPr="002A6C8A">
        <w:t xml:space="preserve"> státům</w:t>
      </w:r>
      <w:r>
        <w:t xml:space="preserve"> EU</w:t>
      </w:r>
      <w:r w:rsidRPr="002A6C8A">
        <w:t xml:space="preserve">. </w:t>
      </w:r>
      <w:r>
        <w:t>Referenční rozhraní</w:t>
      </w:r>
      <w:r w:rsidRPr="002A6C8A">
        <w:t xml:space="preserve"> poskytované Komisí je vhodné využít za</w:t>
      </w:r>
      <w:r w:rsidR="00B71640">
        <w:t> </w:t>
      </w:r>
      <w:r w:rsidRPr="002A6C8A">
        <w:t>situace, kdy národní informační systém není možné napojit nebo náklady na implementaci převažují nad přínos</w:t>
      </w:r>
      <w:r>
        <w:t>em</w:t>
      </w:r>
      <w:r w:rsidRPr="002A6C8A">
        <w:t xml:space="preserve"> takovéhoto napojení. Pro tyto případy </w:t>
      </w:r>
      <w:proofErr w:type="gramStart"/>
      <w:r w:rsidRPr="002A6C8A">
        <w:t>vytváří</w:t>
      </w:r>
      <w:proofErr w:type="gramEnd"/>
      <w:r w:rsidRPr="002A6C8A">
        <w:t xml:space="preserve"> Komise pro jednotlivé use-</w:t>
      </w:r>
      <w:proofErr w:type="spellStart"/>
      <w:r w:rsidRPr="002A6C8A">
        <w:t>cas</w:t>
      </w:r>
      <w:r w:rsidR="00B71640">
        <w:t>e</w:t>
      </w:r>
      <w:r w:rsidR="00607EB3">
        <w:t>s</w:t>
      </w:r>
      <w:proofErr w:type="spellEnd"/>
      <w:r w:rsidRPr="002A6C8A">
        <w:t xml:space="preserve"> v přeshraniční justiční spolupráci jednoduché referenční rozhraní umožňující napojení na přístupové body systému e-CODEX, </w:t>
      </w:r>
      <w:r>
        <w:t>s jehož pomocí</w:t>
      </w:r>
      <w:r w:rsidRPr="002A6C8A">
        <w:t xml:space="preserve"> je možné daný use-case na</w:t>
      </w:r>
      <w:r w:rsidR="00DF5E09">
        <w:t> </w:t>
      </w:r>
      <w:r w:rsidRPr="002A6C8A">
        <w:t xml:space="preserve">národní úrovni realizovat. Referenční rozhraní je členským státům </w:t>
      </w:r>
      <w:r>
        <w:t xml:space="preserve">EU </w:t>
      </w:r>
      <w:r w:rsidRPr="002A6C8A">
        <w:t xml:space="preserve">poskytováno </w:t>
      </w:r>
      <w:r w:rsidRPr="002A6C8A">
        <w:lastRenderedPageBreak/>
        <w:t xml:space="preserve">bezplatně. Náklady na implementaci ze strany členských států </w:t>
      </w:r>
      <w:r>
        <w:t xml:space="preserve">EU </w:t>
      </w:r>
      <w:r w:rsidRPr="002A6C8A">
        <w:t>spočív</w:t>
      </w:r>
      <w:r>
        <w:t>ají</w:t>
      </w:r>
      <w:r w:rsidRPr="002A6C8A">
        <w:t xml:space="preserve"> v nasazení „referenčního rozhraní“ do</w:t>
      </w:r>
      <w:r w:rsidR="00B71640">
        <w:t> </w:t>
      </w:r>
      <w:r w:rsidRPr="002A6C8A">
        <w:t>architektury dané organizace/ministerstva, včetně nutných integrací na informační systémy a</w:t>
      </w:r>
      <w:r w:rsidR="00B71640">
        <w:t> </w:t>
      </w:r>
      <w:r w:rsidRPr="002A6C8A">
        <w:t>bezpečnostní prvky.</w:t>
      </w:r>
    </w:p>
    <w:p w14:paraId="26C98BF5" w14:textId="5F0367C9" w:rsidR="00B405A0" w:rsidRDefault="0051223C" w:rsidP="00A1611D">
      <w:pPr>
        <w:pStyle w:val="MSp-text"/>
        <w:spacing w:before="120" w:after="0"/>
        <w:ind w:firstLine="0"/>
      </w:pPr>
      <w:r w:rsidRPr="002A6C8A">
        <w:t>P</w:t>
      </w:r>
      <w:r>
        <w:t>ředpokládá se, že p</w:t>
      </w:r>
      <w:r w:rsidRPr="002A6C8A">
        <w:t>ro přeshraniční use-</w:t>
      </w:r>
      <w:proofErr w:type="spellStart"/>
      <w:r w:rsidRPr="002A6C8A">
        <w:t>case</w:t>
      </w:r>
      <w:r>
        <w:t>s</w:t>
      </w:r>
      <w:proofErr w:type="spellEnd"/>
      <w:r>
        <w:t>,</w:t>
      </w:r>
      <w:r w:rsidRPr="002A6C8A">
        <w:t xml:space="preserve"> kde agenda není provozována na základech výstupu projektu </w:t>
      </w:r>
      <w:r w:rsidRPr="00B702BC">
        <w:t xml:space="preserve">„Vývoj a implementace </w:t>
      </w:r>
      <w:proofErr w:type="spellStart"/>
      <w:r w:rsidRPr="00B702BC">
        <w:t>eISIR</w:t>
      </w:r>
      <w:proofErr w:type="spellEnd"/>
      <w:r w:rsidRPr="00B702BC">
        <w:t xml:space="preserve"> a jeho společných částí</w:t>
      </w:r>
      <w:r>
        <w:t>“</w:t>
      </w:r>
      <w:r w:rsidRPr="002A6C8A">
        <w:t>, tedy na plně elektronickém justičním spi</w:t>
      </w:r>
      <w:r>
        <w:t>su</w:t>
      </w:r>
      <w:r w:rsidRPr="002A6C8A">
        <w:t xml:space="preserve"> v podobě modulu </w:t>
      </w:r>
      <w:proofErr w:type="spellStart"/>
      <w:r w:rsidRPr="002A6C8A">
        <w:t>eSpis</w:t>
      </w:r>
      <w:proofErr w:type="spellEnd"/>
      <w:r w:rsidRPr="002A6C8A">
        <w:t>, bude využito referenční rozhraní poskytované ze strany Komise. Pouze v případě use-</w:t>
      </w:r>
      <w:proofErr w:type="spellStart"/>
      <w:r w:rsidRPr="002A6C8A">
        <w:t>cases</w:t>
      </w:r>
      <w:proofErr w:type="spellEnd"/>
      <w:r w:rsidRPr="002A6C8A">
        <w:t>, které spadají do oblasti působnosti státního zastupitelství, u kterého se připravuje nov</w:t>
      </w:r>
      <w:r w:rsidR="005E01C4">
        <w:t>ý</w:t>
      </w:r>
      <w:r w:rsidRPr="002A6C8A">
        <w:t xml:space="preserve"> informační agendov</w:t>
      </w:r>
      <w:r w:rsidR="005E01C4">
        <w:t>ý</w:t>
      </w:r>
      <w:r w:rsidRPr="002A6C8A">
        <w:t xml:space="preserve"> systém ELVIZ</w:t>
      </w:r>
      <w:r>
        <w:t xml:space="preserve"> na</w:t>
      </w:r>
      <w:r w:rsidR="005E01C4">
        <w:t> </w:t>
      </w:r>
      <w:r>
        <w:t xml:space="preserve">základech výstupů projektu </w:t>
      </w:r>
      <w:proofErr w:type="spellStart"/>
      <w:r>
        <w:t>eISIR</w:t>
      </w:r>
      <w:proofErr w:type="spellEnd"/>
      <w:r w:rsidRPr="002A6C8A">
        <w:t xml:space="preserve">, se předpokládá přímá implementace do tohoto národního informačního systému bez využití referenčního rozhraní. </w:t>
      </w:r>
    </w:p>
    <w:p w14:paraId="715E61FF" w14:textId="131E370A" w:rsidR="0051223C" w:rsidRPr="00B405A0" w:rsidRDefault="0051223C" w:rsidP="00A1611D">
      <w:pPr>
        <w:pStyle w:val="MSp-text"/>
        <w:spacing w:before="120" w:after="0"/>
        <w:ind w:firstLine="0"/>
      </w:pPr>
      <w:r w:rsidRPr="00B405A0">
        <w:rPr>
          <w:lang w:eastAsia="cs-CZ"/>
        </w:rPr>
        <w:t xml:space="preserve">Cílem předloženého návrhu je zajistit nezbytnou míru adaptace </w:t>
      </w:r>
      <w:r w:rsidR="002E0407">
        <w:rPr>
          <w:lang w:eastAsia="cs-CZ"/>
        </w:rPr>
        <w:t>n</w:t>
      </w:r>
      <w:r w:rsidRPr="00B405A0">
        <w:rPr>
          <w:lang w:eastAsia="cs-CZ"/>
        </w:rPr>
        <w:t>ařízení</w:t>
      </w:r>
      <w:r w:rsidR="005E01C4">
        <w:rPr>
          <w:lang w:eastAsia="cs-CZ"/>
        </w:rPr>
        <w:t xml:space="preserve">, což </w:t>
      </w:r>
      <w:r w:rsidRPr="00B405A0">
        <w:rPr>
          <w:color w:val="000000"/>
          <w:lang w:eastAsia="cs-CZ"/>
        </w:rPr>
        <w:t>je třeba provést</w:t>
      </w:r>
      <w:r w:rsidR="005E01C4">
        <w:rPr>
          <w:color w:val="000000"/>
          <w:lang w:eastAsia="cs-CZ"/>
        </w:rPr>
        <w:t xml:space="preserve"> </w:t>
      </w:r>
      <w:r w:rsidRPr="00B405A0">
        <w:rPr>
          <w:color w:val="000000"/>
          <w:lang w:eastAsia="cs-CZ"/>
        </w:rPr>
        <w:t xml:space="preserve">do 18. srpna 2026. </w:t>
      </w:r>
      <w:r w:rsidR="00B405A0" w:rsidRPr="00B405A0">
        <w:rPr>
          <w:bCs/>
          <w:color w:val="000000"/>
          <w:lang w:eastAsia="cs-CZ"/>
        </w:rPr>
        <w:t>Povinnost příslušných orgánů a poskytovatelů služeb používat</w:t>
      </w:r>
      <w:r w:rsidR="005E01C4">
        <w:rPr>
          <w:bCs/>
          <w:color w:val="000000"/>
          <w:lang w:eastAsia="cs-CZ"/>
        </w:rPr>
        <w:t xml:space="preserve"> </w:t>
      </w:r>
      <w:r w:rsidR="00B405A0" w:rsidRPr="00B405A0">
        <w:rPr>
          <w:bCs/>
          <w:color w:val="000000"/>
          <w:lang w:eastAsia="cs-CZ"/>
        </w:rPr>
        <w:t>decentralizovaný</w:t>
      </w:r>
      <w:r w:rsidR="005E01C4">
        <w:rPr>
          <w:bCs/>
          <w:color w:val="000000"/>
          <w:lang w:eastAsia="cs-CZ"/>
        </w:rPr>
        <w:t xml:space="preserve"> </w:t>
      </w:r>
      <w:r w:rsidR="00B405A0" w:rsidRPr="00B405A0">
        <w:rPr>
          <w:bCs/>
          <w:color w:val="000000"/>
          <w:lang w:eastAsia="cs-CZ"/>
        </w:rPr>
        <w:t xml:space="preserve">informační systém </w:t>
      </w:r>
      <w:r w:rsidR="00B405A0">
        <w:rPr>
          <w:bCs/>
          <w:color w:val="000000"/>
          <w:lang w:eastAsia="cs-CZ"/>
        </w:rPr>
        <w:t>pro vzájemnou</w:t>
      </w:r>
      <w:r w:rsidR="00B405A0" w:rsidRPr="00B405A0">
        <w:rPr>
          <w:bCs/>
          <w:color w:val="000000"/>
          <w:lang w:eastAsia="cs-CZ"/>
        </w:rPr>
        <w:t xml:space="preserve"> komunikaci se použije po uplynutí jednoho roku od přijetí prováděcích aktů uvedených v článku 25</w:t>
      </w:r>
      <w:r w:rsidR="00B405A0">
        <w:rPr>
          <w:bCs/>
          <w:color w:val="000000"/>
          <w:lang w:eastAsia="cs-CZ"/>
        </w:rPr>
        <w:t xml:space="preserve"> </w:t>
      </w:r>
      <w:r w:rsidR="002E0407">
        <w:rPr>
          <w:bCs/>
          <w:color w:val="000000"/>
          <w:lang w:eastAsia="cs-CZ"/>
        </w:rPr>
        <w:t>n</w:t>
      </w:r>
      <w:r w:rsidR="00B405A0">
        <w:rPr>
          <w:bCs/>
          <w:color w:val="000000"/>
          <w:lang w:eastAsia="cs-CZ"/>
        </w:rPr>
        <w:t>ařízení</w:t>
      </w:r>
      <w:r w:rsidR="00B405A0" w:rsidRPr="00B405A0">
        <w:rPr>
          <w:bCs/>
          <w:color w:val="000000"/>
          <w:lang w:eastAsia="cs-CZ"/>
        </w:rPr>
        <w:t>.</w:t>
      </w:r>
    </w:p>
    <w:p w14:paraId="42CB67DB" w14:textId="7CA7664F" w:rsidR="00C004D8" w:rsidRDefault="0051223C" w:rsidP="00A1611D">
      <w:pPr>
        <w:spacing w:before="120" w:after="0" w:line="240" w:lineRule="auto"/>
        <w:jc w:val="both"/>
        <w:rPr>
          <w:rFonts w:ascii="Times New Roman" w:hAnsi="Times New Roman" w:cs="Times New Roman"/>
          <w:bCs/>
          <w:sz w:val="24"/>
          <w:szCs w:val="24"/>
        </w:rPr>
      </w:pPr>
      <w:r w:rsidRPr="00BE0F58">
        <w:rPr>
          <w:rFonts w:ascii="Times New Roman" w:hAnsi="Times New Roman" w:cs="Times New Roman"/>
          <w:bCs/>
          <w:sz w:val="24"/>
          <w:szCs w:val="24"/>
        </w:rPr>
        <w:t>Pokud jde o českou právní úpravu, přeshraniční získávání důkazů v trestních věcech cestou justiční spolupráce je upraveno v zákoně č. 104/2013 Sb., o mezinárodní justiční spolupráci ve</w:t>
      </w:r>
      <w:r w:rsidR="001F5003">
        <w:rPr>
          <w:rFonts w:ascii="Times New Roman" w:hAnsi="Times New Roman" w:cs="Times New Roman"/>
          <w:bCs/>
          <w:sz w:val="24"/>
          <w:szCs w:val="24"/>
        </w:rPr>
        <w:t> </w:t>
      </w:r>
      <w:r w:rsidRPr="00BE0F58">
        <w:rPr>
          <w:rFonts w:ascii="Times New Roman" w:hAnsi="Times New Roman" w:cs="Times New Roman"/>
          <w:bCs/>
          <w:sz w:val="24"/>
          <w:szCs w:val="24"/>
        </w:rPr>
        <w:t xml:space="preserve">věcech trestních, ve znění pozdějších předpisů (dále jen „ZMJS“). Pro spolupráci v rámci Evropské unie se užije část pátá hlava XI ZMJS (evropský vyšetřovací příkaz), vůči nečlenským státům EU se použijí ustanovení o právní pomoci obsažená </w:t>
      </w:r>
      <w:r w:rsidR="001F5003">
        <w:rPr>
          <w:rFonts w:ascii="Times New Roman" w:hAnsi="Times New Roman" w:cs="Times New Roman"/>
          <w:bCs/>
          <w:sz w:val="24"/>
          <w:szCs w:val="24"/>
        </w:rPr>
        <w:t xml:space="preserve">v </w:t>
      </w:r>
      <w:r w:rsidRPr="00BE0F58">
        <w:rPr>
          <w:rFonts w:ascii="Times New Roman" w:hAnsi="Times New Roman" w:cs="Times New Roman"/>
          <w:bCs/>
          <w:sz w:val="24"/>
          <w:szCs w:val="24"/>
        </w:rPr>
        <w:t xml:space="preserve">části třetí hlavě I ZMJS, pokud se přednostně neužije mezinárodní smlouva. Tato ustanovení upravují postupy mezi justičními </w:t>
      </w:r>
      <w:r w:rsidR="00607EB3">
        <w:rPr>
          <w:rFonts w:ascii="Times New Roman" w:hAnsi="Times New Roman" w:cs="Times New Roman"/>
          <w:bCs/>
          <w:sz w:val="24"/>
          <w:szCs w:val="24"/>
        </w:rPr>
        <w:t>a</w:t>
      </w:r>
      <w:r w:rsidR="00DF5E09">
        <w:rPr>
          <w:rFonts w:ascii="Times New Roman" w:hAnsi="Times New Roman" w:cs="Times New Roman"/>
          <w:bCs/>
          <w:sz w:val="24"/>
          <w:szCs w:val="24"/>
        </w:rPr>
        <w:t> </w:t>
      </w:r>
      <w:r w:rsidR="00607EB3">
        <w:rPr>
          <w:rFonts w:ascii="Times New Roman" w:hAnsi="Times New Roman" w:cs="Times New Roman"/>
          <w:bCs/>
          <w:sz w:val="24"/>
          <w:szCs w:val="24"/>
        </w:rPr>
        <w:t xml:space="preserve">ústředními </w:t>
      </w:r>
      <w:r w:rsidRPr="00BE0F58">
        <w:rPr>
          <w:rFonts w:ascii="Times New Roman" w:hAnsi="Times New Roman" w:cs="Times New Roman"/>
          <w:bCs/>
          <w:sz w:val="24"/>
          <w:szCs w:val="24"/>
        </w:rPr>
        <w:t>orgány, nikoli přímou spolupráci se soukromými subjekty v jiném státu</w:t>
      </w:r>
      <w:r w:rsidR="00C004D8">
        <w:rPr>
          <w:rFonts w:ascii="Times New Roman" w:hAnsi="Times New Roman" w:cs="Times New Roman"/>
          <w:bCs/>
          <w:sz w:val="24"/>
          <w:szCs w:val="24"/>
        </w:rPr>
        <w:t>, kterou nařízení předpokládá</w:t>
      </w:r>
      <w:r w:rsidRPr="00BE0F58">
        <w:rPr>
          <w:rFonts w:ascii="Times New Roman" w:hAnsi="Times New Roman" w:cs="Times New Roman"/>
          <w:bCs/>
          <w:sz w:val="24"/>
          <w:szCs w:val="24"/>
        </w:rPr>
        <w:t>. Vzhledem</w:t>
      </w:r>
      <w:r w:rsidR="001F5003">
        <w:rPr>
          <w:rFonts w:ascii="Times New Roman" w:hAnsi="Times New Roman" w:cs="Times New Roman"/>
          <w:bCs/>
          <w:sz w:val="24"/>
          <w:szCs w:val="24"/>
        </w:rPr>
        <w:t xml:space="preserve"> </w:t>
      </w:r>
      <w:r w:rsidRPr="00BE0F58">
        <w:rPr>
          <w:rFonts w:ascii="Times New Roman" w:hAnsi="Times New Roman" w:cs="Times New Roman"/>
          <w:bCs/>
          <w:sz w:val="24"/>
          <w:szCs w:val="24"/>
        </w:rPr>
        <w:t>k</w:t>
      </w:r>
      <w:r w:rsidR="001F5003">
        <w:rPr>
          <w:rFonts w:ascii="Times New Roman" w:hAnsi="Times New Roman" w:cs="Times New Roman"/>
          <w:bCs/>
          <w:sz w:val="24"/>
          <w:szCs w:val="24"/>
        </w:rPr>
        <w:t> </w:t>
      </w:r>
      <w:r w:rsidRPr="00BE0F58">
        <w:rPr>
          <w:rFonts w:ascii="Times New Roman" w:hAnsi="Times New Roman" w:cs="Times New Roman"/>
          <w:bCs/>
          <w:sz w:val="24"/>
          <w:szCs w:val="24"/>
        </w:rPr>
        <w:t>uvedenému</w:t>
      </w:r>
      <w:r w:rsidR="001F5003">
        <w:rPr>
          <w:rFonts w:ascii="Times New Roman" w:hAnsi="Times New Roman" w:cs="Times New Roman"/>
          <w:bCs/>
          <w:sz w:val="24"/>
          <w:szCs w:val="24"/>
        </w:rPr>
        <w:t xml:space="preserve"> </w:t>
      </w:r>
      <w:r w:rsidRPr="00BE0F58">
        <w:rPr>
          <w:rFonts w:ascii="Times New Roman" w:hAnsi="Times New Roman" w:cs="Times New Roman"/>
          <w:bCs/>
          <w:sz w:val="24"/>
          <w:szCs w:val="24"/>
        </w:rPr>
        <w:t xml:space="preserve">je třeba ZMJS doplnit o </w:t>
      </w:r>
      <w:r w:rsidR="00C004D8" w:rsidRPr="00BE0F58">
        <w:rPr>
          <w:rFonts w:ascii="Times New Roman" w:hAnsi="Times New Roman" w:cs="Times New Roman"/>
          <w:bCs/>
          <w:sz w:val="24"/>
          <w:szCs w:val="24"/>
        </w:rPr>
        <w:t xml:space="preserve">ustanovení </w:t>
      </w:r>
      <w:r w:rsidR="00C004D8">
        <w:rPr>
          <w:rFonts w:ascii="Times New Roman" w:hAnsi="Times New Roman" w:cs="Times New Roman"/>
          <w:bCs/>
          <w:sz w:val="24"/>
          <w:szCs w:val="24"/>
        </w:rPr>
        <w:t xml:space="preserve">umožňující řádnou aplikaci </w:t>
      </w:r>
      <w:r w:rsidR="002E0407">
        <w:rPr>
          <w:rFonts w:ascii="Times New Roman" w:hAnsi="Times New Roman" w:cs="Times New Roman"/>
          <w:bCs/>
          <w:sz w:val="24"/>
          <w:szCs w:val="24"/>
        </w:rPr>
        <w:t>n</w:t>
      </w:r>
      <w:r w:rsidRPr="00BE0F58">
        <w:rPr>
          <w:rFonts w:ascii="Times New Roman" w:hAnsi="Times New Roman" w:cs="Times New Roman"/>
          <w:bCs/>
          <w:sz w:val="24"/>
          <w:szCs w:val="24"/>
        </w:rPr>
        <w:t>ařízení, která by upravila specifika tohoto nového druhu spolupráce</w:t>
      </w:r>
      <w:r w:rsidR="00C004D8">
        <w:rPr>
          <w:rFonts w:ascii="Times New Roman" w:hAnsi="Times New Roman" w:cs="Times New Roman"/>
          <w:bCs/>
          <w:sz w:val="24"/>
          <w:szCs w:val="24"/>
        </w:rPr>
        <w:t>, zejména j</w:t>
      </w:r>
      <w:r w:rsidRPr="00BE0F58">
        <w:rPr>
          <w:rFonts w:ascii="Times New Roman" w:hAnsi="Times New Roman" w:cs="Times New Roman"/>
          <w:bCs/>
          <w:sz w:val="24"/>
          <w:szCs w:val="24"/>
        </w:rPr>
        <w:t>e třeba vymezit příslušnost orgánů k vydávání příkazů</w:t>
      </w:r>
      <w:r w:rsidR="00C004D8">
        <w:rPr>
          <w:rFonts w:ascii="Times New Roman" w:hAnsi="Times New Roman" w:cs="Times New Roman"/>
          <w:bCs/>
          <w:sz w:val="24"/>
          <w:szCs w:val="24"/>
        </w:rPr>
        <w:t xml:space="preserve"> a</w:t>
      </w:r>
      <w:r w:rsidRPr="00BE0F58">
        <w:rPr>
          <w:rFonts w:ascii="Times New Roman" w:hAnsi="Times New Roman" w:cs="Times New Roman"/>
          <w:bCs/>
          <w:sz w:val="24"/>
          <w:szCs w:val="24"/>
        </w:rPr>
        <w:t xml:space="preserve"> k uznání příkazů vydaných orgány jiných členských států EU, </w:t>
      </w:r>
      <w:r w:rsidR="00C004D8">
        <w:rPr>
          <w:rFonts w:ascii="Times New Roman" w:hAnsi="Times New Roman" w:cs="Times New Roman"/>
          <w:bCs/>
          <w:sz w:val="24"/>
          <w:szCs w:val="24"/>
        </w:rPr>
        <w:t xml:space="preserve">stanovit </w:t>
      </w:r>
      <w:r w:rsidRPr="00BE0F58">
        <w:rPr>
          <w:rFonts w:ascii="Times New Roman" w:hAnsi="Times New Roman" w:cs="Times New Roman"/>
          <w:bCs/>
          <w:sz w:val="24"/>
          <w:szCs w:val="24"/>
        </w:rPr>
        <w:t>sankce za</w:t>
      </w:r>
      <w:r w:rsidR="00C004D8">
        <w:rPr>
          <w:rFonts w:ascii="Times New Roman" w:hAnsi="Times New Roman" w:cs="Times New Roman"/>
          <w:bCs/>
          <w:sz w:val="24"/>
          <w:szCs w:val="24"/>
        </w:rPr>
        <w:t> </w:t>
      </w:r>
      <w:r w:rsidRPr="00BE0F58">
        <w:rPr>
          <w:rFonts w:ascii="Times New Roman" w:hAnsi="Times New Roman" w:cs="Times New Roman"/>
          <w:bCs/>
          <w:sz w:val="24"/>
          <w:szCs w:val="24"/>
        </w:rPr>
        <w:t xml:space="preserve">porušení povinností poskytovatelů služeb vyhovět příkazu apod. </w:t>
      </w:r>
    </w:p>
    <w:p w14:paraId="6D5824AB" w14:textId="00F5552A" w:rsidR="0051223C" w:rsidRPr="00BE0F58" w:rsidRDefault="0051223C" w:rsidP="00A1611D">
      <w:pPr>
        <w:spacing w:before="120" w:after="0" w:line="240" w:lineRule="auto"/>
        <w:jc w:val="both"/>
        <w:rPr>
          <w:rFonts w:ascii="Times New Roman" w:hAnsi="Times New Roman" w:cs="Times New Roman"/>
          <w:bCs/>
          <w:sz w:val="24"/>
          <w:szCs w:val="24"/>
        </w:rPr>
      </w:pPr>
      <w:r w:rsidRPr="00BE0F58">
        <w:rPr>
          <w:rFonts w:ascii="Times New Roman" w:hAnsi="Times New Roman" w:cs="Times New Roman"/>
          <w:bCs/>
          <w:sz w:val="24"/>
          <w:szCs w:val="24"/>
        </w:rPr>
        <w:t xml:space="preserve">Takové doplnění nevybočuje z předmětu úpravy ZMJS. </w:t>
      </w:r>
      <w:r w:rsidRPr="00BE0F58">
        <w:rPr>
          <w:rFonts w:ascii="Times New Roman" w:eastAsia="Times New Roman" w:hAnsi="Times New Roman" w:cs="Times New Roman"/>
          <w:sz w:val="24"/>
          <w:szCs w:val="24"/>
        </w:rPr>
        <w:t>Mezinárodní justiční spolupráci v</w:t>
      </w:r>
      <w:r w:rsidR="002A7000">
        <w:rPr>
          <w:rFonts w:ascii="Times New Roman" w:eastAsia="Times New Roman" w:hAnsi="Times New Roman" w:cs="Times New Roman"/>
          <w:sz w:val="24"/>
          <w:szCs w:val="24"/>
        </w:rPr>
        <w:t> </w:t>
      </w:r>
      <w:r w:rsidRPr="00BE0F58">
        <w:rPr>
          <w:rFonts w:ascii="Times New Roman" w:eastAsia="Times New Roman" w:hAnsi="Times New Roman" w:cs="Times New Roman"/>
          <w:sz w:val="24"/>
          <w:szCs w:val="24"/>
        </w:rPr>
        <w:t>trestních věcech lze vymezit jako součinnost poskytovanou jedním státem druhému státu při uskutečňování jeho trestní pravomoci. Uvedená součinnost zpravidla spočívá v aktivním provádění úkonů trestního řízení orgány jednoho státu na jeho území pro účely trestního řízení vedeného v druhém stát</w:t>
      </w:r>
      <w:r w:rsidR="006849AE">
        <w:rPr>
          <w:rFonts w:ascii="Times New Roman" w:eastAsia="Times New Roman" w:hAnsi="Times New Roman" w:cs="Times New Roman"/>
          <w:sz w:val="24"/>
          <w:szCs w:val="24"/>
        </w:rPr>
        <w:t>u</w:t>
      </w:r>
      <w:r w:rsidRPr="00BE0F58">
        <w:rPr>
          <w:rFonts w:ascii="Times New Roman" w:eastAsia="Times New Roman" w:hAnsi="Times New Roman" w:cs="Times New Roman"/>
          <w:sz w:val="24"/>
          <w:szCs w:val="24"/>
        </w:rPr>
        <w:t xml:space="preserve">, může se však jednat i o součinnost pasivní, kdy jeden stát umožní, byť ve velmi omezeném rozsahu, na svém území provedení úkonů trestního řízení orgány druhého státu pro trestní řízení v něm vedené (např. u přeshraničního sledování, přeshraničního odposlechu či videokonference). Mezinárodní justiční spolupráci ve věcech trestních nelze chápat pouze </w:t>
      </w:r>
      <w:r w:rsidRPr="00BE0F58">
        <w:rPr>
          <w:rFonts w:ascii="Times New Roman" w:hAnsi="Times New Roman" w:cs="Times New Roman"/>
          <w:sz w:val="24"/>
          <w:szCs w:val="24"/>
        </w:rPr>
        <w:t>jako spolupráci mezi justičními orgány</w:t>
      </w:r>
      <w:r w:rsidR="002A7000">
        <w:rPr>
          <w:rFonts w:ascii="Times New Roman" w:hAnsi="Times New Roman" w:cs="Times New Roman"/>
          <w:sz w:val="24"/>
          <w:szCs w:val="24"/>
        </w:rPr>
        <w:t>,</w:t>
      </w:r>
      <w:r w:rsidR="001B388C">
        <w:rPr>
          <w:rFonts w:ascii="Times New Roman" w:hAnsi="Times New Roman" w:cs="Times New Roman"/>
          <w:sz w:val="24"/>
          <w:szCs w:val="24"/>
        </w:rPr>
        <w:t xml:space="preserve"> </w:t>
      </w:r>
      <w:r w:rsidR="002A7000">
        <w:rPr>
          <w:rFonts w:ascii="Times New Roman" w:hAnsi="Times New Roman" w:cs="Times New Roman"/>
          <w:sz w:val="24"/>
          <w:szCs w:val="24"/>
        </w:rPr>
        <w:t>m</w:t>
      </w:r>
      <w:r w:rsidRPr="00BE0F58">
        <w:rPr>
          <w:rFonts w:ascii="Times New Roman" w:hAnsi="Times New Roman" w:cs="Times New Roman"/>
          <w:sz w:val="24"/>
          <w:szCs w:val="24"/>
        </w:rPr>
        <w:t>ezinárodní justiční spolupráce ve</w:t>
      </w:r>
      <w:r w:rsidR="002A7000">
        <w:rPr>
          <w:rFonts w:ascii="Times New Roman" w:hAnsi="Times New Roman" w:cs="Times New Roman"/>
          <w:sz w:val="24"/>
          <w:szCs w:val="24"/>
        </w:rPr>
        <w:t> </w:t>
      </w:r>
      <w:r w:rsidRPr="00BE0F58">
        <w:rPr>
          <w:rFonts w:ascii="Times New Roman" w:hAnsi="Times New Roman" w:cs="Times New Roman"/>
          <w:sz w:val="24"/>
          <w:szCs w:val="24"/>
        </w:rPr>
        <w:t>věcech trestních se běžně účastní i jiné orgány než justiční (typicky policejní orgány)</w:t>
      </w:r>
      <w:r w:rsidR="002A7000">
        <w:rPr>
          <w:rFonts w:ascii="Times New Roman" w:hAnsi="Times New Roman" w:cs="Times New Roman"/>
          <w:sz w:val="24"/>
          <w:szCs w:val="24"/>
        </w:rPr>
        <w:t xml:space="preserve"> </w:t>
      </w:r>
      <w:r w:rsidRPr="00BE0F58">
        <w:rPr>
          <w:rFonts w:ascii="Times New Roman" w:hAnsi="Times New Roman" w:cs="Times New Roman"/>
          <w:sz w:val="24"/>
          <w:szCs w:val="24"/>
        </w:rPr>
        <w:t>i</w:t>
      </w:r>
      <w:r w:rsidR="002A7000">
        <w:rPr>
          <w:rFonts w:ascii="Times New Roman" w:hAnsi="Times New Roman" w:cs="Times New Roman"/>
          <w:sz w:val="24"/>
          <w:szCs w:val="24"/>
        </w:rPr>
        <w:t> </w:t>
      </w:r>
      <w:r w:rsidRPr="00BE0F58">
        <w:rPr>
          <w:rFonts w:ascii="Times New Roman" w:hAnsi="Times New Roman" w:cs="Times New Roman"/>
          <w:sz w:val="24"/>
          <w:szCs w:val="24"/>
        </w:rPr>
        <w:t xml:space="preserve">soukromé subjekty </w:t>
      </w:r>
      <w:r w:rsidR="002A7000">
        <w:rPr>
          <w:rFonts w:ascii="Times New Roman" w:hAnsi="Times New Roman" w:cs="Times New Roman"/>
          <w:sz w:val="24"/>
          <w:szCs w:val="24"/>
        </w:rPr>
        <w:t>(</w:t>
      </w:r>
      <w:r w:rsidRPr="00BE0F58">
        <w:rPr>
          <w:rFonts w:ascii="Times New Roman" w:hAnsi="Times New Roman" w:cs="Times New Roman"/>
          <w:sz w:val="24"/>
          <w:szCs w:val="24"/>
        </w:rPr>
        <w:t>např. u doručování písemností do ciziny poštou</w:t>
      </w:r>
      <w:r w:rsidR="002A7000">
        <w:rPr>
          <w:rFonts w:ascii="Times New Roman" w:hAnsi="Times New Roman" w:cs="Times New Roman"/>
          <w:sz w:val="24"/>
          <w:szCs w:val="24"/>
        </w:rPr>
        <w:t>)</w:t>
      </w:r>
      <w:r w:rsidRPr="00BE0F58">
        <w:rPr>
          <w:rFonts w:ascii="Times New Roman" w:hAnsi="Times New Roman" w:cs="Times New Roman"/>
          <w:sz w:val="24"/>
          <w:szCs w:val="24"/>
        </w:rPr>
        <w:t>.</w:t>
      </w:r>
      <w:r w:rsidR="002A7000">
        <w:rPr>
          <w:rFonts w:ascii="Times New Roman" w:hAnsi="Times New Roman" w:cs="Times New Roman"/>
          <w:sz w:val="24"/>
          <w:szCs w:val="24"/>
        </w:rPr>
        <w:t xml:space="preserve"> </w:t>
      </w:r>
      <w:r w:rsidRPr="00BE0F58">
        <w:rPr>
          <w:rFonts w:ascii="Times New Roman" w:hAnsi="Times New Roman" w:cs="Times New Roman"/>
          <w:sz w:val="24"/>
          <w:szCs w:val="24"/>
        </w:rPr>
        <w:t xml:space="preserve">Ostatně právním základem </w:t>
      </w:r>
      <w:r w:rsidR="002E0407">
        <w:rPr>
          <w:rFonts w:ascii="Times New Roman" w:hAnsi="Times New Roman" w:cs="Times New Roman"/>
          <w:sz w:val="24"/>
          <w:szCs w:val="24"/>
        </w:rPr>
        <w:t>n</w:t>
      </w:r>
      <w:r w:rsidRPr="00BE0F58">
        <w:rPr>
          <w:rFonts w:ascii="Times New Roman" w:hAnsi="Times New Roman" w:cs="Times New Roman"/>
          <w:sz w:val="24"/>
          <w:szCs w:val="24"/>
        </w:rPr>
        <w:t>ařízení je čl</w:t>
      </w:r>
      <w:r w:rsidR="00AF0905">
        <w:rPr>
          <w:rFonts w:ascii="Times New Roman" w:hAnsi="Times New Roman" w:cs="Times New Roman"/>
          <w:sz w:val="24"/>
          <w:szCs w:val="24"/>
        </w:rPr>
        <w:t>ánek</w:t>
      </w:r>
      <w:r w:rsidRPr="00BE0F58">
        <w:rPr>
          <w:rFonts w:ascii="Times New Roman" w:hAnsi="Times New Roman" w:cs="Times New Roman"/>
          <w:sz w:val="24"/>
          <w:szCs w:val="24"/>
        </w:rPr>
        <w:t xml:space="preserve"> 82 odst. 1 Smlouvy o fungování EU, který upravuje justiční spolupráci v trestních věcech. </w:t>
      </w:r>
      <w:r w:rsidR="002A7000">
        <w:rPr>
          <w:rFonts w:ascii="Times New Roman" w:eastAsia="Times New Roman" w:hAnsi="Times New Roman" w:cs="Times New Roman"/>
          <w:sz w:val="24"/>
          <w:szCs w:val="24"/>
        </w:rPr>
        <w:t>S</w:t>
      </w:r>
      <w:r w:rsidRPr="00BE0F58">
        <w:rPr>
          <w:rFonts w:ascii="Times New Roman" w:eastAsia="Times New Roman" w:hAnsi="Times New Roman" w:cs="Times New Roman"/>
          <w:sz w:val="24"/>
          <w:szCs w:val="24"/>
        </w:rPr>
        <w:t xml:space="preserve">polupráce podle </w:t>
      </w:r>
      <w:r w:rsidR="002E0407">
        <w:rPr>
          <w:rFonts w:ascii="Times New Roman" w:eastAsia="Times New Roman" w:hAnsi="Times New Roman" w:cs="Times New Roman"/>
          <w:sz w:val="24"/>
          <w:szCs w:val="24"/>
        </w:rPr>
        <w:t>n</w:t>
      </w:r>
      <w:r w:rsidRPr="00BE0F58">
        <w:rPr>
          <w:rFonts w:ascii="Times New Roman" w:eastAsia="Times New Roman" w:hAnsi="Times New Roman" w:cs="Times New Roman"/>
          <w:sz w:val="24"/>
          <w:szCs w:val="24"/>
        </w:rPr>
        <w:t xml:space="preserve">ařízení </w:t>
      </w:r>
      <w:r w:rsidR="001B388C">
        <w:rPr>
          <w:rFonts w:ascii="Times New Roman" w:eastAsia="Times New Roman" w:hAnsi="Times New Roman" w:cs="Times New Roman"/>
          <w:sz w:val="24"/>
          <w:szCs w:val="24"/>
        </w:rPr>
        <w:t xml:space="preserve">tak </w:t>
      </w:r>
      <w:r w:rsidRPr="00BE0F58">
        <w:rPr>
          <w:rFonts w:ascii="Times New Roman" w:eastAsia="Times New Roman" w:hAnsi="Times New Roman" w:cs="Times New Roman"/>
          <w:sz w:val="24"/>
          <w:szCs w:val="24"/>
        </w:rPr>
        <w:t>spadá pod pojem mezinárodní justiční spolupráce v trestních věcech.</w:t>
      </w:r>
    </w:p>
    <w:p w14:paraId="20A1C232" w14:textId="344B915B" w:rsidR="00C07624" w:rsidRPr="00C07624" w:rsidRDefault="0051223C" w:rsidP="00C07624">
      <w:pPr>
        <w:pStyle w:val="Nzev"/>
        <w:spacing w:before="120" w:after="0" w:line="240" w:lineRule="auto"/>
        <w:jc w:val="both"/>
        <w:rPr>
          <w:color w:val="auto"/>
        </w:rPr>
      </w:pPr>
      <w:r w:rsidRPr="00BE0F58">
        <w:t xml:space="preserve">Nařízení je doprovázeno </w:t>
      </w:r>
      <w:r w:rsidR="00AF0905">
        <w:t>s</w:t>
      </w:r>
      <w:r w:rsidRPr="00BE0F58">
        <w:t>měrnic</w:t>
      </w:r>
      <w:r w:rsidR="002A7000">
        <w:t>í</w:t>
      </w:r>
      <w:r w:rsidRPr="00BE0F58">
        <w:t xml:space="preserve"> stanovující</w:t>
      </w:r>
      <w:r w:rsidR="002A7000">
        <w:t xml:space="preserve"> blíže specifikovaným</w:t>
      </w:r>
      <w:r w:rsidRPr="00BE0F58">
        <w:t xml:space="preserve"> poskytovatelům služeb povinnost zřídit si na území daného členského státu </w:t>
      </w:r>
      <w:r w:rsidR="00075D74">
        <w:t xml:space="preserve">EU </w:t>
      </w:r>
      <w:r>
        <w:t>určenou provozovnu či jmenovat zástupce (dále jen „adresát“), a to v závislosti na místě usazení poskytovatele služby</w:t>
      </w:r>
      <w:r w:rsidRPr="00BE0F58">
        <w:t xml:space="preserve">. Právě ten by měl v budoucnu přijímat a vykonávat příkazy k vydání a uchování elektronických důkazů. Tento </w:t>
      </w:r>
      <w:r>
        <w:t>adresát</w:t>
      </w:r>
      <w:r w:rsidRPr="00BE0F58">
        <w:t xml:space="preserve"> může provedení příkazu odmítnout </w:t>
      </w:r>
      <w:r w:rsidR="002A7000">
        <w:t xml:space="preserve">pouze </w:t>
      </w:r>
      <w:r w:rsidRPr="00BE0F58">
        <w:t xml:space="preserve">ze stanovených důvodů (např. </w:t>
      </w:r>
      <w:r w:rsidR="002A7000">
        <w:t xml:space="preserve">pro </w:t>
      </w:r>
      <w:r w:rsidRPr="00BE0F58">
        <w:t>rozpor s právem třetího státu)</w:t>
      </w:r>
      <w:r w:rsidR="00F107E0">
        <w:t xml:space="preserve">, v </w:t>
      </w:r>
      <w:r w:rsidRPr="00BE0F58">
        <w:t xml:space="preserve">případě </w:t>
      </w:r>
      <w:r w:rsidR="002A7000">
        <w:t xml:space="preserve">odmítnutí příkazu </w:t>
      </w:r>
      <w:r w:rsidRPr="00BE0F58">
        <w:t>pak bude do procesu zapojen i</w:t>
      </w:r>
      <w:r w:rsidR="002A7000">
        <w:t> </w:t>
      </w:r>
      <w:r w:rsidRPr="00BE0F58">
        <w:t>příslušný orgán státu, ve</w:t>
      </w:r>
      <w:r w:rsidR="002A7000">
        <w:t> </w:t>
      </w:r>
      <w:r w:rsidRPr="00BE0F58">
        <w:t xml:space="preserve">kterém má být příkaz vykonán. Členské státy </w:t>
      </w:r>
      <w:r w:rsidR="00075D74">
        <w:t xml:space="preserve">EU </w:t>
      </w:r>
      <w:r w:rsidRPr="00BE0F58">
        <w:t>by rovněž měly zavést účinné a přiměřené sankce k případnému vynucení provedení příkazu</w:t>
      </w:r>
      <w:r>
        <w:t xml:space="preserve">. </w:t>
      </w:r>
      <w:r w:rsidRPr="00180F1D">
        <w:rPr>
          <w:lang w:eastAsia="cs-CZ"/>
        </w:rPr>
        <w:t>Implementac</w:t>
      </w:r>
      <w:r w:rsidR="00F107E0">
        <w:rPr>
          <w:lang w:eastAsia="cs-CZ"/>
        </w:rPr>
        <w:t xml:space="preserve">e </w:t>
      </w:r>
      <w:r w:rsidR="00F107E0">
        <w:rPr>
          <w:lang w:eastAsia="cs-CZ"/>
        </w:rPr>
        <w:lastRenderedPageBreak/>
        <w:t xml:space="preserve">této </w:t>
      </w:r>
      <w:r w:rsidR="00AF0905">
        <w:rPr>
          <w:lang w:eastAsia="cs-CZ"/>
        </w:rPr>
        <w:t>s</w:t>
      </w:r>
      <w:r w:rsidRPr="00180F1D">
        <w:rPr>
          <w:lang w:eastAsia="cs-CZ"/>
        </w:rPr>
        <w:t xml:space="preserve">měrnice je </w:t>
      </w:r>
      <w:r w:rsidR="00F107E0">
        <w:rPr>
          <w:lang w:eastAsia="cs-CZ"/>
        </w:rPr>
        <w:t xml:space="preserve">předmětem návrhu </w:t>
      </w:r>
      <w:r w:rsidRPr="00180F1D">
        <w:rPr>
          <w:lang w:eastAsia="cs-CZ"/>
        </w:rPr>
        <w:t>Ministerstva průmyslu a obchodu</w:t>
      </w:r>
      <w:r w:rsidR="00F107E0">
        <w:rPr>
          <w:lang w:eastAsia="cs-CZ"/>
        </w:rPr>
        <w:t xml:space="preserve"> na vydání zákona </w:t>
      </w:r>
      <w:r w:rsidR="00C07624" w:rsidRPr="00C07624">
        <w:rPr>
          <w:color w:val="auto"/>
        </w:rPr>
        <w:t>o</w:t>
      </w:r>
      <w:r w:rsidR="00DF5E09">
        <w:rPr>
          <w:color w:val="auto"/>
        </w:rPr>
        <w:t> </w:t>
      </w:r>
      <w:r w:rsidR="00C07624" w:rsidRPr="00C07624">
        <w:rPr>
          <w:color w:val="auto"/>
        </w:rPr>
        <w:t>určování provozoven a jmenování zástupců některých poskytovatelů služeb za účelem shromažďování elektronických důkazů v trestním řízení</w:t>
      </w:r>
      <w:r w:rsidR="00834ED4">
        <w:rPr>
          <w:color w:val="auto"/>
        </w:rPr>
        <w:t xml:space="preserve"> </w:t>
      </w:r>
      <w:r w:rsidR="00F107E0">
        <w:rPr>
          <w:lang w:eastAsia="cs-CZ"/>
        </w:rPr>
        <w:t xml:space="preserve">(č.j. </w:t>
      </w:r>
      <w:r w:rsidR="00F107E0" w:rsidRPr="009D22D7">
        <w:rPr>
          <w:lang w:eastAsia="cs-CZ"/>
        </w:rPr>
        <w:t>MPO 59450/24/71600/01000</w:t>
      </w:r>
      <w:r w:rsidR="00F107E0">
        <w:rPr>
          <w:lang w:eastAsia="cs-CZ"/>
        </w:rPr>
        <w:t>)</w:t>
      </w:r>
      <w:r w:rsidR="003B6F50">
        <w:t>. Předpokládá se, že aktualizovaný seznam určených provozoven a</w:t>
      </w:r>
      <w:r w:rsidR="002A7000">
        <w:t> </w:t>
      </w:r>
      <w:r w:rsidR="003B6F50">
        <w:t xml:space="preserve">zástupců poskytovatelů služeb bude dostupný na internetových stránkách </w:t>
      </w:r>
      <w:r w:rsidR="0017461F">
        <w:t>E</w:t>
      </w:r>
      <w:r w:rsidR="003B6F50">
        <w:t>vropské justiční sítě.</w:t>
      </w:r>
    </w:p>
    <w:p w14:paraId="3121E3FE" w14:textId="4B55D955" w:rsidR="00CD510E" w:rsidRDefault="00CD510E" w:rsidP="00A1611D">
      <w:pPr>
        <w:spacing w:before="120" w:after="0" w:line="240" w:lineRule="auto"/>
        <w:jc w:val="both"/>
        <w:rPr>
          <w:rFonts w:ascii="Times New Roman" w:hAnsi="Times New Roman" w:cs="Times New Roman"/>
          <w:sz w:val="24"/>
          <w:szCs w:val="24"/>
        </w:rPr>
      </w:pPr>
      <w:r w:rsidRPr="00D11A48">
        <w:rPr>
          <w:rFonts w:ascii="Times New Roman" w:hAnsi="Times New Roman" w:cs="Times New Roman"/>
          <w:sz w:val="24"/>
          <w:szCs w:val="24"/>
        </w:rPr>
        <w:t xml:space="preserve">Kromě tzv. balíčku o e-důkazech Evropská unie v posledních letech přijala </w:t>
      </w:r>
      <w:r w:rsidR="00F107E0" w:rsidRPr="00D11A48">
        <w:rPr>
          <w:rFonts w:ascii="Times New Roman" w:hAnsi="Times New Roman" w:cs="Times New Roman"/>
          <w:sz w:val="24"/>
          <w:szCs w:val="24"/>
        </w:rPr>
        <w:t xml:space="preserve">v oblasti digitalizace justice </w:t>
      </w:r>
      <w:r w:rsidRPr="00D11A48">
        <w:rPr>
          <w:rFonts w:ascii="Times New Roman" w:hAnsi="Times New Roman" w:cs="Times New Roman"/>
          <w:sz w:val="24"/>
          <w:szCs w:val="24"/>
        </w:rPr>
        <w:t xml:space="preserve">několik dalších </w:t>
      </w:r>
      <w:r>
        <w:rPr>
          <w:rFonts w:ascii="Times New Roman" w:hAnsi="Times New Roman" w:cs="Times New Roman"/>
          <w:sz w:val="24"/>
          <w:szCs w:val="24"/>
        </w:rPr>
        <w:t>předpisů</w:t>
      </w:r>
      <w:r w:rsidRPr="00D11A48">
        <w:rPr>
          <w:rFonts w:ascii="Times New Roman" w:hAnsi="Times New Roman" w:cs="Times New Roman"/>
          <w:sz w:val="24"/>
          <w:szCs w:val="24"/>
        </w:rPr>
        <w:t xml:space="preserve">, </w:t>
      </w:r>
      <w:r w:rsidR="003422CC">
        <w:rPr>
          <w:rFonts w:ascii="Times New Roman" w:hAnsi="Times New Roman" w:cs="Times New Roman"/>
          <w:sz w:val="24"/>
          <w:szCs w:val="24"/>
        </w:rPr>
        <w:t>jež s </w:t>
      </w:r>
      <w:r w:rsidR="002E0407">
        <w:rPr>
          <w:rFonts w:ascii="Times New Roman" w:hAnsi="Times New Roman" w:cs="Times New Roman"/>
          <w:sz w:val="24"/>
          <w:szCs w:val="24"/>
        </w:rPr>
        <w:t>n</w:t>
      </w:r>
      <w:r w:rsidR="003422CC">
        <w:rPr>
          <w:rFonts w:ascii="Times New Roman" w:hAnsi="Times New Roman" w:cs="Times New Roman"/>
          <w:sz w:val="24"/>
          <w:szCs w:val="24"/>
        </w:rPr>
        <w:t>ařízením úzce souvisí</w:t>
      </w:r>
      <w:r w:rsidR="00F107E0">
        <w:rPr>
          <w:rFonts w:ascii="Times New Roman" w:hAnsi="Times New Roman" w:cs="Times New Roman"/>
          <w:sz w:val="24"/>
          <w:szCs w:val="24"/>
        </w:rPr>
        <w:t xml:space="preserve"> a které se týkají </w:t>
      </w:r>
      <w:r w:rsidR="003422CC">
        <w:rPr>
          <w:rFonts w:ascii="Times New Roman" w:hAnsi="Times New Roman" w:cs="Times New Roman"/>
          <w:sz w:val="24"/>
          <w:szCs w:val="24"/>
        </w:rPr>
        <w:t>způsob</w:t>
      </w:r>
      <w:r w:rsidR="00F107E0">
        <w:rPr>
          <w:rFonts w:ascii="Times New Roman" w:hAnsi="Times New Roman" w:cs="Times New Roman"/>
          <w:sz w:val="24"/>
          <w:szCs w:val="24"/>
        </w:rPr>
        <w:t>u</w:t>
      </w:r>
      <w:r w:rsidR="003422CC">
        <w:rPr>
          <w:rFonts w:ascii="Times New Roman" w:hAnsi="Times New Roman" w:cs="Times New Roman"/>
          <w:sz w:val="24"/>
          <w:szCs w:val="24"/>
        </w:rPr>
        <w:t xml:space="preserve"> komunikace</w:t>
      </w:r>
      <w:r>
        <w:rPr>
          <w:rFonts w:ascii="Times New Roman" w:hAnsi="Times New Roman" w:cs="Times New Roman"/>
          <w:sz w:val="24"/>
          <w:szCs w:val="24"/>
        </w:rPr>
        <w:t xml:space="preserve">. Pro trestní oblast je relevantní </w:t>
      </w:r>
      <w:r w:rsidR="00734B63">
        <w:rPr>
          <w:rFonts w:ascii="Times New Roman" w:hAnsi="Times New Roman" w:cs="Times New Roman"/>
          <w:sz w:val="24"/>
          <w:szCs w:val="24"/>
        </w:rPr>
        <w:t xml:space="preserve">zejména </w:t>
      </w:r>
      <w:r w:rsidRPr="00D11A48">
        <w:rPr>
          <w:rFonts w:ascii="Times New Roman" w:hAnsi="Times New Roman" w:cs="Times New Roman"/>
          <w:sz w:val="24"/>
          <w:szCs w:val="24"/>
        </w:rPr>
        <w:t>nařízení Evropského parlamentu a Rady (EU) 2023/2844</w:t>
      </w:r>
      <w:r w:rsidR="004C65CD">
        <w:rPr>
          <w:rFonts w:ascii="Times New Roman" w:hAnsi="Times New Roman" w:cs="Times New Roman"/>
          <w:sz w:val="24"/>
          <w:szCs w:val="24"/>
        </w:rPr>
        <w:t xml:space="preserve"> </w:t>
      </w:r>
      <w:r w:rsidRPr="00D11A48">
        <w:rPr>
          <w:rFonts w:ascii="Times New Roman" w:hAnsi="Times New Roman" w:cs="Times New Roman"/>
          <w:sz w:val="24"/>
          <w:szCs w:val="24"/>
        </w:rPr>
        <w:t>ze</w:t>
      </w:r>
      <w:r>
        <w:rPr>
          <w:rFonts w:ascii="Times New Roman" w:hAnsi="Times New Roman" w:cs="Times New Roman"/>
          <w:sz w:val="24"/>
          <w:szCs w:val="24"/>
        </w:rPr>
        <w:t> </w:t>
      </w:r>
      <w:r w:rsidRPr="00D11A48">
        <w:rPr>
          <w:rFonts w:ascii="Times New Roman" w:hAnsi="Times New Roman" w:cs="Times New Roman"/>
          <w:sz w:val="24"/>
          <w:szCs w:val="24"/>
        </w:rPr>
        <w:t>dne 13. prosince 2023 o digitalizaci justiční spolupráce a přístupu ke</w:t>
      </w:r>
      <w:r w:rsidR="004C65CD">
        <w:rPr>
          <w:rFonts w:ascii="Times New Roman" w:hAnsi="Times New Roman" w:cs="Times New Roman"/>
          <w:sz w:val="24"/>
          <w:szCs w:val="24"/>
        </w:rPr>
        <w:t> </w:t>
      </w:r>
      <w:r w:rsidRPr="00D11A48">
        <w:rPr>
          <w:rFonts w:ascii="Times New Roman" w:hAnsi="Times New Roman" w:cs="Times New Roman"/>
          <w:sz w:val="24"/>
          <w:szCs w:val="24"/>
        </w:rPr>
        <w:t xml:space="preserve">spravedlnosti v přeshraničních občanských, obchodních a trestních věcech a o změně některých aktů v oblasti justiční spolupráce (dále jen „nařízení o digitalizaci justiční spolupráce“) a s ním úzce související </w:t>
      </w:r>
      <w:bookmarkStart w:id="1" w:name="_Hlk179968214"/>
      <w:r w:rsidRPr="00D11A48">
        <w:rPr>
          <w:rFonts w:ascii="Times New Roman" w:hAnsi="Times New Roman" w:cs="Times New Roman"/>
          <w:sz w:val="24"/>
          <w:szCs w:val="24"/>
        </w:rPr>
        <w:t>směrnic</w:t>
      </w:r>
      <w:r w:rsidR="007A5EA6">
        <w:rPr>
          <w:rFonts w:ascii="Times New Roman" w:hAnsi="Times New Roman" w:cs="Times New Roman"/>
          <w:sz w:val="24"/>
          <w:szCs w:val="24"/>
        </w:rPr>
        <w:t>e</w:t>
      </w:r>
      <w:r w:rsidRPr="00D11A48">
        <w:rPr>
          <w:rFonts w:ascii="Times New Roman" w:hAnsi="Times New Roman" w:cs="Times New Roman"/>
          <w:sz w:val="24"/>
          <w:szCs w:val="24"/>
        </w:rPr>
        <w:t xml:space="preserve"> Evropského parlamentu a Rady (EU) 2023/2843 ze dne 13. prosince 2023, kterou se mění směrnice Evropského parlamentu a Rady 2011/99/EU</w:t>
      </w:r>
      <w:r w:rsidR="004C65CD">
        <w:rPr>
          <w:rFonts w:ascii="Times New Roman" w:hAnsi="Times New Roman" w:cs="Times New Roman"/>
          <w:sz w:val="24"/>
          <w:szCs w:val="24"/>
        </w:rPr>
        <w:t xml:space="preserve"> </w:t>
      </w:r>
      <w:r w:rsidRPr="00D11A48">
        <w:rPr>
          <w:rFonts w:ascii="Times New Roman" w:hAnsi="Times New Roman" w:cs="Times New Roman"/>
          <w:sz w:val="24"/>
          <w:szCs w:val="24"/>
        </w:rPr>
        <w:t>a</w:t>
      </w:r>
      <w:r w:rsidR="004C65CD">
        <w:rPr>
          <w:rFonts w:ascii="Times New Roman" w:hAnsi="Times New Roman" w:cs="Times New Roman"/>
          <w:sz w:val="24"/>
          <w:szCs w:val="24"/>
        </w:rPr>
        <w:t xml:space="preserve"> </w:t>
      </w:r>
      <w:r w:rsidRPr="00D11A48">
        <w:rPr>
          <w:rFonts w:ascii="Times New Roman" w:hAnsi="Times New Roman" w:cs="Times New Roman"/>
          <w:sz w:val="24"/>
          <w:szCs w:val="24"/>
        </w:rPr>
        <w:t>2014/41/EU, směrnice Rady 2003/8/ES a rámcová rozhodnutí Rady 2002/584/SVV, 2003/577/SVV, 2005/214/SVV, 2006/783/SVV, 2008/909/SVV, 2008/947/SVV, 2009/829/SVV</w:t>
      </w:r>
      <w:r w:rsidR="004C65CD">
        <w:rPr>
          <w:rFonts w:ascii="Times New Roman" w:hAnsi="Times New Roman" w:cs="Times New Roman"/>
          <w:sz w:val="24"/>
          <w:szCs w:val="24"/>
        </w:rPr>
        <w:t xml:space="preserve"> </w:t>
      </w:r>
      <w:r w:rsidRPr="00D11A48">
        <w:rPr>
          <w:rFonts w:ascii="Times New Roman" w:hAnsi="Times New Roman" w:cs="Times New Roman"/>
          <w:sz w:val="24"/>
          <w:szCs w:val="24"/>
        </w:rPr>
        <w:t>a</w:t>
      </w:r>
      <w:r w:rsidR="004C65CD">
        <w:rPr>
          <w:rFonts w:ascii="Times New Roman" w:hAnsi="Times New Roman" w:cs="Times New Roman"/>
          <w:sz w:val="24"/>
          <w:szCs w:val="24"/>
        </w:rPr>
        <w:t xml:space="preserve"> </w:t>
      </w:r>
      <w:r w:rsidRPr="00D11A48">
        <w:rPr>
          <w:rFonts w:ascii="Times New Roman" w:hAnsi="Times New Roman" w:cs="Times New Roman"/>
          <w:sz w:val="24"/>
          <w:szCs w:val="24"/>
        </w:rPr>
        <w:t>2009/948/SV</w:t>
      </w:r>
      <w:bookmarkEnd w:id="1"/>
      <w:r w:rsidR="007A5EA6">
        <w:rPr>
          <w:rFonts w:ascii="Times New Roman" w:hAnsi="Times New Roman" w:cs="Times New Roman"/>
          <w:sz w:val="24"/>
          <w:szCs w:val="24"/>
        </w:rPr>
        <w:t>V</w:t>
      </w:r>
      <w:r w:rsidR="004C65CD">
        <w:rPr>
          <w:rFonts w:ascii="Times New Roman" w:hAnsi="Times New Roman" w:cs="Times New Roman"/>
          <w:sz w:val="24"/>
          <w:szCs w:val="24"/>
        </w:rPr>
        <w:t xml:space="preserve"> </w:t>
      </w:r>
      <w:r w:rsidRPr="00D11A48">
        <w:rPr>
          <w:rFonts w:ascii="Times New Roman" w:hAnsi="Times New Roman" w:cs="Times New Roman"/>
          <w:sz w:val="24"/>
          <w:szCs w:val="24"/>
        </w:rPr>
        <w:t xml:space="preserve">(dále jen „směrnice o digitalizaci justiční spolupráce“). </w:t>
      </w:r>
      <w:r>
        <w:rPr>
          <w:rFonts w:ascii="Times New Roman" w:hAnsi="Times New Roman" w:cs="Times New Roman"/>
          <w:sz w:val="24"/>
          <w:szCs w:val="24"/>
        </w:rPr>
        <w:t xml:space="preserve">Oba uvedené evropské předpisy představují </w:t>
      </w:r>
      <w:r w:rsidRPr="00A67AB3">
        <w:rPr>
          <w:rFonts w:ascii="Times New Roman" w:hAnsi="Times New Roman" w:cs="Times New Roman"/>
          <w:sz w:val="24"/>
          <w:szCs w:val="24"/>
        </w:rPr>
        <w:t>harmonizovan</w:t>
      </w:r>
      <w:r>
        <w:rPr>
          <w:rFonts w:ascii="Times New Roman" w:hAnsi="Times New Roman" w:cs="Times New Roman"/>
          <w:sz w:val="24"/>
          <w:szCs w:val="24"/>
        </w:rPr>
        <w:t>ý</w:t>
      </w:r>
      <w:r w:rsidRPr="00A67AB3">
        <w:rPr>
          <w:rFonts w:ascii="Times New Roman" w:hAnsi="Times New Roman" w:cs="Times New Roman"/>
          <w:sz w:val="24"/>
          <w:szCs w:val="24"/>
        </w:rPr>
        <w:t xml:space="preserve"> soubor pravidel pro digitalizaci</w:t>
      </w:r>
      <w:r w:rsidR="007A5EA6">
        <w:rPr>
          <w:rFonts w:ascii="Times New Roman" w:hAnsi="Times New Roman" w:cs="Times New Roman"/>
          <w:sz w:val="24"/>
          <w:szCs w:val="24"/>
        </w:rPr>
        <w:t xml:space="preserve"> justiční spolupráce</w:t>
      </w:r>
      <w:r w:rsidRPr="00A67AB3">
        <w:rPr>
          <w:rFonts w:ascii="Times New Roman" w:hAnsi="Times New Roman" w:cs="Times New Roman"/>
          <w:sz w:val="24"/>
          <w:szCs w:val="24"/>
        </w:rPr>
        <w:t xml:space="preserve">, jehož cílem je zlepšit účinnost a odolnost komunikačních toků </w:t>
      </w:r>
      <w:r w:rsidR="004C65CD">
        <w:rPr>
          <w:rFonts w:ascii="Times New Roman" w:hAnsi="Times New Roman" w:cs="Times New Roman"/>
          <w:sz w:val="24"/>
          <w:szCs w:val="24"/>
        </w:rPr>
        <w:t>při</w:t>
      </w:r>
      <w:r w:rsidRPr="00A67AB3">
        <w:rPr>
          <w:rFonts w:ascii="Times New Roman" w:hAnsi="Times New Roman" w:cs="Times New Roman"/>
          <w:sz w:val="24"/>
          <w:szCs w:val="24"/>
        </w:rPr>
        <w:t xml:space="preserve"> </w:t>
      </w:r>
      <w:r w:rsidR="004C65CD" w:rsidRPr="00A67AB3">
        <w:rPr>
          <w:rFonts w:ascii="Times New Roman" w:hAnsi="Times New Roman" w:cs="Times New Roman"/>
          <w:sz w:val="24"/>
          <w:szCs w:val="24"/>
        </w:rPr>
        <w:t>spolupr</w:t>
      </w:r>
      <w:r w:rsidR="004C65CD">
        <w:rPr>
          <w:rFonts w:ascii="Times New Roman" w:hAnsi="Times New Roman" w:cs="Times New Roman"/>
          <w:sz w:val="24"/>
          <w:szCs w:val="24"/>
        </w:rPr>
        <w:t xml:space="preserve">áci uskutečňované </w:t>
      </w:r>
      <w:r w:rsidR="004C65CD" w:rsidRPr="00A67AB3">
        <w:rPr>
          <w:rFonts w:ascii="Times New Roman" w:hAnsi="Times New Roman" w:cs="Times New Roman"/>
          <w:sz w:val="24"/>
          <w:szCs w:val="24"/>
        </w:rPr>
        <w:t>v rámci Evropské unie</w:t>
      </w:r>
      <w:r w:rsidR="004C65CD">
        <w:rPr>
          <w:rFonts w:ascii="Times New Roman" w:hAnsi="Times New Roman" w:cs="Times New Roman"/>
          <w:sz w:val="24"/>
          <w:szCs w:val="24"/>
        </w:rPr>
        <w:t xml:space="preserve"> </w:t>
      </w:r>
      <w:r w:rsidRPr="00A67AB3">
        <w:rPr>
          <w:rFonts w:ascii="Times New Roman" w:hAnsi="Times New Roman" w:cs="Times New Roman"/>
          <w:sz w:val="24"/>
          <w:szCs w:val="24"/>
        </w:rPr>
        <w:t>mezi justičními a jinými příslušnými orgány</w:t>
      </w:r>
      <w:r>
        <w:rPr>
          <w:rFonts w:ascii="Times New Roman" w:hAnsi="Times New Roman" w:cs="Times New Roman"/>
          <w:sz w:val="24"/>
          <w:szCs w:val="24"/>
        </w:rPr>
        <w:t>.</w:t>
      </w:r>
      <w:r w:rsidR="00B75CB4">
        <w:rPr>
          <w:rFonts w:ascii="Times New Roman" w:hAnsi="Times New Roman" w:cs="Times New Roman"/>
          <w:sz w:val="24"/>
          <w:szCs w:val="24"/>
        </w:rPr>
        <w:t xml:space="preserve"> V trestní oblasti přitom tyto předpisy upravují pouze způsob komunikace mezi příslušnými orgány účastnícími se justiční spolupráce ve věcech trestních, nedotýkají se způsobu komunikace mezi orgány ve</w:t>
      </w:r>
      <w:r w:rsidR="004C65CD">
        <w:rPr>
          <w:rFonts w:ascii="Times New Roman" w:hAnsi="Times New Roman" w:cs="Times New Roman"/>
          <w:sz w:val="24"/>
          <w:szCs w:val="24"/>
        </w:rPr>
        <w:t> </w:t>
      </w:r>
      <w:r w:rsidR="00B75CB4">
        <w:rPr>
          <w:rFonts w:ascii="Times New Roman" w:hAnsi="Times New Roman" w:cs="Times New Roman"/>
          <w:sz w:val="24"/>
          <w:szCs w:val="24"/>
        </w:rPr>
        <w:t>vnitrostátních případech nebo způsobu komunikace s osobami zúčastněnými na</w:t>
      </w:r>
      <w:r w:rsidR="004C65CD">
        <w:rPr>
          <w:rFonts w:ascii="Times New Roman" w:hAnsi="Times New Roman" w:cs="Times New Roman"/>
          <w:sz w:val="24"/>
          <w:szCs w:val="24"/>
        </w:rPr>
        <w:t> </w:t>
      </w:r>
      <w:r w:rsidR="00B75CB4">
        <w:rPr>
          <w:rFonts w:ascii="Times New Roman" w:hAnsi="Times New Roman" w:cs="Times New Roman"/>
          <w:sz w:val="24"/>
          <w:szCs w:val="24"/>
        </w:rPr>
        <w:t xml:space="preserve">řízení. </w:t>
      </w:r>
    </w:p>
    <w:p w14:paraId="7C345772" w14:textId="0793ADE7" w:rsidR="00CD510E" w:rsidRDefault="00CD510E"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Ú</w:t>
      </w:r>
      <w:r w:rsidRPr="00C57E94">
        <w:rPr>
          <w:rFonts w:ascii="Times New Roman" w:hAnsi="Times New Roman" w:cs="Times New Roman"/>
          <w:sz w:val="24"/>
          <w:szCs w:val="24"/>
        </w:rPr>
        <w:t>činná přeshraniční justiční spolupráce vyžaduje bezpečnou, spolehlivou a časově úspornou komunikaci mezi příslušnými orgán</w:t>
      </w:r>
      <w:r>
        <w:rPr>
          <w:rFonts w:ascii="Times New Roman" w:hAnsi="Times New Roman" w:cs="Times New Roman"/>
          <w:sz w:val="24"/>
          <w:szCs w:val="24"/>
        </w:rPr>
        <w:t xml:space="preserve">y. </w:t>
      </w:r>
      <w:r w:rsidR="007A5EA6">
        <w:rPr>
          <w:rFonts w:ascii="Times New Roman" w:hAnsi="Times New Roman" w:cs="Times New Roman"/>
          <w:sz w:val="24"/>
          <w:szCs w:val="24"/>
        </w:rPr>
        <w:t>N</w:t>
      </w:r>
      <w:r>
        <w:rPr>
          <w:rFonts w:ascii="Times New Roman" w:hAnsi="Times New Roman" w:cs="Times New Roman"/>
          <w:sz w:val="24"/>
          <w:szCs w:val="24"/>
        </w:rPr>
        <w:t xml:space="preserve">ařízení o digitalizaci justiční spolupráce </w:t>
      </w:r>
      <w:r w:rsidR="007A5EA6">
        <w:rPr>
          <w:rFonts w:ascii="Times New Roman" w:hAnsi="Times New Roman" w:cs="Times New Roman"/>
          <w:sz w:val="24"/>
          <w:szCs w:val="24"/>
        </w:rPr>
        <w:t xml:space="preserve">proto </w:t>
      </w:r>
      <w:r>
        <w:rPr>
          <w:rFonts w:ascii="Times New Roman" w:hAnsi="Times New Roman" w:cs="Times New Roman"/>
          <w:sz w:val="24"/>
          <w:szCs w:val="24"/>
        </w:rPr>
        <w:t xml:space="preserve">zavádí </w:t>
      </w:r>
      <w:r w:rsidR="000A13B4">
        <w:rPr>
          <w:rFonts w:ascii="Times New Roman" w:hAnsi="Times New Roman" w:cs="Times New Roman"/>
          <w:sz w:val="24"/>
          <w:szCs w:val="24"/>
        </w:rPr>
        <w:t xml:space="preserve">při přeshraniční justiční spolupráci </w:t>
      </w:r>
      <w:r>
        <w:rPr>
          <w:rFonts w:ascii="Times New Roman" w:hAnsi="Times New Roman" w:cs="Times New Roman"/>
          <w:sz w:val="24"/>
          <w:szCs w:val="24"/>
        </w:rPr>
        <w:t>nový způsob digitální komunikace mezi příslušnými orgány</w:t>
      </w:r>
      <w:r w:rsidR="007A5EA6">
        <w:rPr>
          <w:rFonts w:ascii="Times New Roman" w:hAnsi="Times New Roman" w:cs="Times New Roman"/>
          <w:sz w:val="24"/>
          <w:szCs w:val="24"/>
        </w:rPr>
        <w:t>.</w:t>
      </w:r>
      <w:r>
        <w:rPr>
          <w:rFonts w:ascii="Times New Roman" w:hAnsi="Times New Roman" w:cs="Times New Roman"/>
          <w:sz w:val="24"/>
          <w:szCs w:val="24"/>
        </w:rPr>
        <w:t xml:space="preserve"> </w:t>
      </w:r>
      <w:r w:rsidR="007A5EA6">
        <w:rPr>
          <w:rFonts w:ascii="Times New Roman" w:hAnsi="Times New Roman" w:cs="Times New Roman"/>
          <w:sz w:val="24"/>
          <w:szCs w:val="24"/>
        </w:rPr>
        <w:t>S</w:t>
      </w:r>
      <w:r>
        <w:rPr>
          <w:rFonts w:ascii="Times New Roman" w:hAnsi="Times New Roman" w:cs="Times New Roman"/>
          <w:sz w:val="24"/>
          <w:szCs w:val="24"/>
        </w:rPr>
        <w:t xml:space="preserve">měrnice o digitalizaci justiční spolupráce mění příslušné směrnice a rámcová rozhodnutí, aby spolupráce podle těchto </w:t>
      </w:r>
      <w:r w:rsidR="007A5EA6">
        <w:rPr>
          <w:rFonts w:ascii="Times New Roman" w:hAnsi="Times New Roman" w:cs="Times New Roman"/>
          <w:sz w:val="24"/>
          <w:szCs w:val="24"/>
        </w:rPr>
        <w:t xml:space="preserve">předpisů </w:t>
      </w:r>
      <w:r>
        <w:rPr>
          <w:rFonts w:ascii="Times New Roman" w:hAnsi="Times New Roman" w:cs="Times New Roman"/>
          <w:sz w:val="24"/>
          <w:szCs w:val="24"/>
        </w:rPr>
        <w:t>probíha</w:t>
      </w:r>
      <w:r w:rsidR="007A5EA6">
        <w:rPr>
          <w:rFonts w:ascii="Times New Roman" w:hAnsi="Times New Roman" w:cs="Times New Roman"/>
          <w:sz w:val="24"/>
          <w:szCs w:val="24"/>
        </w:rPr>
        <w:t xml:space="preserve">la </w:t>
      </w:r>
      <w:r>
        <w:rPr>
          <w:rFonts w:ascii="Times New Roman" w:hAnsi="Times New Roman" w:cs="Times New Roman"/>
          <w:sz w:val="24"/>
          <w:szCs w:val="24"/>
        </w:rPr>
        <w:t>způsobem uvedeným v článku 3 nařízení o digitalizaci justiční spolupráce.</w:t>
      </w:r>
      <w:r w:rsidRPr="00C57E94">
        <w:rPr>
          <w:rFonts w:ascii="Times New Roman" w:hAnsi="Times New Roman" w:cs="Times New Roman"/>
          <w:sz w:val="24"/>
          <w:szCs w:val="24"/>
        </w:rPr>
        <w:t xml:space="preserve"> </w:t>
      </w:r>
      <w:r>
        <w:rPr>
          <w:rFonts w:ascii="Times New Roman" w:hAnsi="Times New Roman" w:cs="Times New Roman"/>
          <w:sz w:val="24"/>
          <w:szCs w:val="24"/>
        </w:rPr>
        <w:t xml:space="preserve">Podle tohoto ustanovení musí komunikace mezi příslušnými orgány členských států </w:t>
      </w:r>
      <w:r w:rsidR="005D6C64">
        <w:rPr>
          <w:rFonts w:ascii="Times New Roman" w:hAnsi="Times New Roman" w:cs="Times New Roman"/>
          <w:sz w:val="24"/>
          <w:szCs w:val="24"/>
        </w:rPr>
        <w:t xml:space="preserve">EU </w:t>
      </w:r>
      <w:r>
        <w:rPr>
          <w:rFonts w:ascii="Times New Roman" w:hAnsi="Times New Roman" w:cs="Times New Roman"/>
          <w:sz w:val="24"/>
          <w:szCs w:val="24"/>
        </w:rPr>
        <w:t>probíhat</w:t>
      </w:r>
      <w:r w:rsidRPr="00F47889">
        <w:rPr>
          <w:rFonts w:ascii="Times New Roman" w:hAnsi="Times New Roman" w:cs="Times New Roman"/>
          <w:sz w:val="24"/>
          <w:szCs w:val="24"/>
        </w:rPr>
        <w:t xml:space="preserve"> prostřednictvím decentralizovaného informačního systému</w:t>
      </w:r>
      <w:r w:rsidR="007A5EA6">
        <w:rPr>
          <w:rFonts w:ascii="Times New Roman" w:hAnsi="Times New Roman" w:cs="Times New Roman"/>
          <w:sz w:val="24"/>
          <w:szCs w:val="24"/>
        </w:rPr>
        <w:t xml:space="preserve"> (k tomu srov. viz výše)</w:t>
      </w:r>
      <w:r w:rsidRPr="00F47889">
        <w:rPr>
          <w:rFonts w:ascii="Times New Roman" w:hAnsi="Times New Roman" w:cs="Times New Roman"/>
          <w:sz w:val="24"/>
          <w:szCs w:val="24"/>
        </w:rPr>
        <w:t>.</w:t>
      </w:r>
      <w:r>
        <w:rPr>
          <w:rFonts w:ascii="Times New Roman" w:hAnsi="Times New Roman" w:cs="Times New Roman"/>
          <w:sz w:val="24"/>
          <w:szCs w:val="24"/>
        </w:rPr>
        <w:t xml:space="preserve"> Výjimkou, kdy lze komunikaci vést alternativními prostředky, jsou případy, kdy komunikace </w:t>
      </w:r>
      <w:r w:rsidR="007A5EA6" w:rsidRPr="00F47889">
        <w:rPr>
          <w:rFonts w:ascii="Times New Roman" w:hAnsi="Times New Roman" w:cs="Times New Roman"/>
          <w:sz w:val="24"/>
          <w:szCs w:val="24"/>
        </w:rPr>
        <w:t>prostřednictvím decentralizovaného informačního systému</w:t>
      </w:r>
      <w:r w:rsidR="007A5EA6">
        <w:rPr>
          <w:rFonts w:ascii="Times New Roman" w:hAnsi="Times New Roman" w:cs="Times New Roman"/>
          <w:sz w:val="24"/>
          <w:szCs w:val="24"/>
        </w:rPr>
        <w:t xml:space="preserve"> </w:t>
      </w:r>
      <w:r>
        <w:rPr>
          <w:rFonts w:ascii="Times New Roman" w:hAnsi="Times New Roman" w:cs="Times New Roman"/>
          <w:sz w:val="24"/>
          <w:szCs w:val="24"/>
        </w:rPr>
        <w:t xml:space="preserve">není možná v důsledku </w:t>
      </w:r>
      <w:r w:rsidRPr="00F47889">
        <w:rPr>
          <w:rFonts w:ascii="Times New Roman" w:hAnsi="Times New Roman" w:cs="Times New Roman"/>
          <w:sz w:val="24"/>
          <w:szCs w:val="24"/>
        </w:rPr>
        <w:t>narušení decentralizovaného informačního systému</w:t>
      </w:r>
      <w:r w:rsidR="007A5EA6">
        <w:rPr>
          <w:rFonts w:ascii="Times New Roman" w:hAnsi="Times New Roman" w:cs="Times New Roman"/>
          <w:sz w:val="24"/>
          <w:szCs w:val="24"/>
        </w:rPr>
        <w:t xml:space="preserve"> (technická závada)</w:t>
      </w:r>
      <w:r>
        <w:rPr>
          <w:rFonts w:ascii="Times New Roman" w:hAnsi="Times New Roman" w:cs="Times New Roman"/>
          <w:sz w:val="24"/>
          <w:szCs w:val="24"/>
        </w:rPr>
        <w:t xml:space="preserve">, </w:t>
      </w:r>
      <w:r w:rsidRPr="00F47889">
        <w:rPr>
          <w:rFonts w:ascii="Times New Roman" w:hAnsi="Times New Roman" w:cs="Times New Roman"/>
          <w:sz w:val="24"/>
          <w:szCs w:val="24"/>
        </w:rPr>
        <w:t xml:space="preserve">fyzické nebo technické povahy předávaného materiálu </w:t>
      </w:r>
      <w:r w:rsidR="007A5EA6">
        <w:rPr>
          <w:rFonts w:ascii="Times New Roman" w:hAnsi="Times New Roman" w:cs="Times New Roman"/>
          <w:sz w:val="24"/>
          <w:szCs w:val="24"/>
        </w:rPr>
        <w:t>(</w:t>
      </w:r>
      <w:r w:rsidR="000A13B4">
        <w:rPr>
          <w:rFonts w:ascii="Times New Roman" w:hAnsi="Times New Roman" w:cs="Times New Roman"/>
          <w:sz w:val="24"/>
          <w:szCs w:val="24"/>
        </w:rPr>
        <w:t>jedná se o </w:t>
      </w:r>
      <w:r w:rsidR="007A5EA6">
        <w:rPr>
          <w:rFonts w:ascii="Times New Roman" w:hAnsi="Times New Roman" w:cs="Times New Roman"/>
          <w:sz w:val="24"/>
          <w:szCs w:val="24"/>
        </w:rPr>
        <w:t xml:space="preserve">důkaz, je potřeba listinný originál) </w:t>
      </w:r>
      <w:r w:rsidRPr="00F47889">
        <w:rPr>
          <w:rFonts w:ascii="Times New Roman" w:hAnsi="Times New Roman" w:cs="Times New Roman"/>
          <w:sz w:val="24"/>
          <w:szCs w:val="24"/>
        </w:rPr>
        <w:t>nebo</w:t>
      </w:r>
      <w:r>
        <w:rPr>
          <w:rFonts w:ascii="Times New Roman" w:hAnsi="Times New Roman" w:cs="Times New Roman"/>
          <w:sz w:val="24"/>
          <w:szCs w:val="24"/>
        </w:rPr>
        <w:t xml:space="preserve"> </w:t>
      </w:r>
      <w:r w:rsidR="000A13B4">
        <w:rPr>
          <w:rFonts w:ascii="Times New Roman" w:hAnsi="Times New Roman" w:cs="Times New Roman"/>
          <w:sz w:val="24"/>
          <w:szCs w:val="24"/>
        </w:rPr>
        <w:t xml:space="preserve">v důsledku </w:t>
      </w:r>
      <w:r>
        <w:rPr>
          <w:rFonts w:ascii="Times New Roman" w:hAnsi="Times New Roman" w:cs="Times New Roman"/>
          <w:sz w:val="24"/>
          <w:szCs w:val="24"/>
        </w:rPr>
        <w:t xml:space="preserve">zásahu </w:t>
      </w:r>
      <w:r w:rsidRPr="00F47889">
        <w:rPr>
          <w:rFonts w:ascii="Times New Roman" w:hAnsi="Times New Roman" w:cs="Times New Roman"/>
          <w:sz w:val="24"/>
          <w:szCs w:val="24"/>
        </w:rPr>
        <w:t>vyšší moci.</w:t>
      </w:r>
      <w:r w:rsidR="00D4727D">
        <w:rPr>
          <w:rFonts w:ascii="Times New Roman" w:hAnsi="Times New Roman" w:cs="Times New Roman"/>
          <w:sz w:val="24"/>
          <w:szCs w:val="24"/>
        </w:rPr>
        <w:t xml:space="preserve"> J</w:t>
      </w:r>
      <w:r>
        <w:rPr>
          <w:rFonts w:ascii="Times New Roman" w:hAnsi="Times New Roman" w:cs="Times New Roman"/>
          <w:sz w:val="24"/>
          <w:szCs w:val="24"/>
        </w:rPr>
        <w:t xml:space="preserve">iné komunikační prostředky </w:t>
      </w:r>
      <w:r w:rsidR="00D4727D">
        <w:rPr>
          <w:rFonts w:ascii="Times New Roman" w:hAnsi="Times New Roman" w:cs="Times New Roman"/>
          <w:sz w:val="24"/>
          <w:szCs w:val="24"/>
        </w:rPr>
        <w:t xml:space="preserve">lze použít </w:t>
      </w:r>
      <w:r>
        <w:rPr>
          <w:rFonts w:ascii="Times New Roman" w:hAnsi="Times New Roman" w:cs="Times New Roman"/>
          <w:sz w:val="24"/>
          <w:szCs w:val="24"/>
        </w:rPr>
        <w:t>také</w:t>
      </w:r>
      <w:r w:rsidR="00D4727D">
        <w:rPr>
          <w:rFonts w:ascii="Times New Roman" w:hAnsi="Times New Roman" w:cs="Times New Roman"/>
          <w:sz w:val="24"/>
          <w:szCs w:val="24"/>
        </w:rPr>
        <w:t xml:space="preserve"> tehdy, p</w:t>
      </w:r>
      <w:r>
        <w:rPr>
          <w:rFonts w:ascii="Times New Roman" w:hAnsi="Times New Roman" w:cs="Times New Roman"/>
          <w:sz w:val="24"/>
          <w:szCs w:val="24"/>
        </w:rPr>
        <w:t xml:space="preserve">okud </w:t>
      </w:r>
      <w:r w:rsidRPr="00F47889">
        <w:rPr>
          <w:rFonts w:ascii="Times New Roman" w:hAnsi="Times New Roman" w:cs="Times New Roman"/>
          <w:sz w:val="24"/>
          <w:szCs w:val="24"/>
        </w:rPr>
        <w:t>není použití decentralizovaného informačního systému v dané situaci vhodné</w:t>
      </w:r>
      <w:r w:rsidR="00D4727D">
        <w:rPr>
          <w:rFonts w:ascii="Times New Roman" w:hAnsi="Times New Roman" w:cs="Times New Roman"/>
          <w:sz w:val="24"/>
          <w:szCs w:val="24"/>
        </w:rPr>
        <w:t xml:space="preserve">, např. je možné zvolit jednodušší a </w:t>
      </w:r>
      <w:r w:rsidR="000A13B4">
        <w:rPr>
          <w:rFonts w:ascii="Times New Roman" w:hAnsi="Times New Roman" w:cs="Times New Roman"/>
          <w:sz w:val="24"/>
          <w:szCs w:val="24"/>
        </w:rPr>
        <w:t xml:space="preserve">méně formální </w:t>
      </w:r>
      <w:r w:rsidR="00D4727D">
        <w:rPr>
          <w:rFonts w:ascii="Times New Roman" w:hAnsi="Times New Roman" w:cs="Times New Roman"/>
          <w:sz w:val="24"/>
          <w:szCs w:val="24"/>
        </w:rPr>
        <w:t>způsob komunikace jako je e-mail</w:t>
      </w:r>
      <w:r w:rsidR="000A13B4">
        <w:rPr>
          <w:rFonts w:ascii="Times New Roman" w:hAnsi="Times New Roman" w:cs="Times New Roman"/>
          <w:sz w:val="24"/>
          <w:szCs w:val="24"/>
        </w:rPr>
        <w:t xml:space="preserve"> apod</w:t>
      </w:r>
      <w:r w:rsidR="00D4727D">
        <w:rPr>
          <w:rFonts w:ascii="Times New Roman" w:hAnsi="Times New Roman" w:cs="Times New Roman"/>
          <w:sz w:val="24"/>
          <w:szCs w:val="24"/>
        </w:rPr>
        <w:t xml:space="preserve">. </w:t>
      </w:r>
    </w:p>
    <w:p w14:paraId="7B98A92F" w14:textId="1FF76614" w:rsidR="0051223C" w:rsidRDefault="00CD510E"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D11A48">
        <w:rPr>
          <w:rFonts w:ascii="Times New Roman" w:hAnsi="Times New Roman" w:cs="Times New Roman"/>
          <w:sz w:val="24"/>
          <w:szCs w:val="24"/>
        </w:rPr>
        <w:t xml:space="preserve">ařízení o digitalizaci justiční spolupráce je přímo účinné a </w:t>
      </w:r>
      <w:r w:rsidR="000A13B4">
        <w:rPr>
          <w:rFonts w:ascii="Times New Roman" w:hAnsi="Times New Roman" w:cs="Times New Roman"/>
          <w:sz w:val="24"/>
          <w:szCs w:val="24"/>
        </w:rPr>
        <w:t xml:space="preserve">k jeho řádné aplikaci není zapotřebí </w:t>
      </w:r>
      <w:r w:rsidRPr="00D11A48">
        <w:rPr>
          <w:rFonts w:ascii="Times New Roman" w:hAnsi="Times New Roman" w:cs="Times New Roman"/>
          <w:sz w:val="24"/>
          <w:szCs w:val="24"/>
        </w:rPr>
        <w:t>česk</w:t>
      </w:r>
      <w:r w:rsidR="000A13B4">
        <w:rPr>
          <w:rFonts w:ascii="Times New Roman" w:hAnsi="Times New Roman" w:cs="Times New Roman"/>
          <w:sz w:val="24"/>
          <w:szCs w:val="24"/>
        </w:rPr>
        <w:t>ý</w:t>
      </w:r>
      <w:r w:rsidRPr="00D11A48">
        <w:rPr>
          <w:rFonts w:ascii="Times New Roman" w:hAnsi="Times New Roman" w:cs="Times New Roman"/>
          <w:sz w:val="24"/>
          <w:szCs w:val="24"/>
        </w:rPr>
        <w:t xml:space="preserve"> právní řád</w:t>
      </w:r>
      <w:r w:rsidR="000A13B4">
        <w:rPr>
          <w:rFonts w:ascii="Times New Roman" w:hAnsi="Times New Roman" w:cs="Times New Roman"/>
          <w:sz w:val="24"/>
          <w:szCs w:val="24"/>
        </w:rPr>
        <w:t xml:space="preserve"> adaptovat</w:t>
      </w:r>
      <w:r>
        <w:rPr>
          <w:rFonts w:ascii="Times New Roman" w:hAnsi="Times New Roman" w:cs="Times New Roman"/>
          <w:sz w:val="24"/>
          <w:szCs w:val="24"/>
        </w:rPr>
        <w:t>. S</w:t>
      </w:r>
      <w:r w:rsidRPr="00D11A48">
        <w:rPr>
          <w:rFonts w:ascii="Times New Roman" w:hAnsi="Times New Roman" w:cs="Times New Roman"/>
          <w:sz w:val="24"/>
          <w:szCs w:val="24"/>
        </w:rPr>
        <w:t>měrnic</w:t>
      </w:r>
      <w:r w:rsidR="000A13B4">
        <w:rPr>
          <w:rFonts w:ascii="Times New Roman" w:hAnsi="Times New Roman" w:cs="Times New Roman"/>
          <w:sz w:val="24"/>
          <w:szCs w:val="24"/>
        </w:rPr>
        <w:t>e</w:t>
      </w:r>
      <w:r w:rsidRPr="00D11A48">
        <w:rPr>
          <w:rFonts w:ascii="Times New Roman" w:hAnsi="Times New Roman" w:cs="Times New Roman"/>
          <w:sz w:val="24"/>
          <w:szCs w:val="24"/>
        </w:rPr>
        <w:t xml:space="preserve"> o digitalizaci justiční spolupráce</w:t>
      </w:r>
      <w:r>
        <w:rPr>
          <w:rFonts w:ascii="Times New Roman" w:hAnsi="Times New Roman" w:cs="Times New Roman"/>
          <w:sz w:val="24"/>
          <w:szCs w:val="24"/>
        </w:rPr>
        <w:t xml:space="preserve"> </w:t>
      </w:r>
      <w:r w:rsidR="000A13B4">
        <w:rPr>
          <w:rFonts w:ascii="Times New Roman" w:hAnsi="Times New Roman" w:cs="Times New Roman"/>
          <w:sz w:val="24"/>
          <w:szCs w:val="24"/>
        </w:rPr>
        <w:t>si vyžádá dílčí změny právního řádu</w:t>
      </w:r>
      <w:r>
        <w:rPr>
          <w:rFonts w:ascii="Times New Roman" w:hAnsi="Times New Roman" w:cs="Times New Roman"/>
          <w:sz w:val="24"/>
          <w:szCs w:val="24"/>
        </w:rPr>
        <w:t xml:space="preserve">, kdy </w:t>
      </w:r>
      <w:r w:rsidR="00467A9A">
        <w:rPr>
          <w:rFonts w:ascii="Times New Roman" w:hAnsi="Times New Roman" w:cs="Times New Roman"/>
          <w:sz w:val="24"/>
          <w:szCs w:val="24"/>
        </w:rPr>
        <w:t xml:space="preserve">je v ZMJS třeba u jednotlivých druhů justiční spolupráce stanovit, že justiční a ústřední orgány komunikují s příslušnými orgány jiných členských států </w:t>
      </w:r>
      <w:r w:rsidR="00075D74">
        <w:rPr>
          <w:rFonts w:ascii="Times New Roman" w:hAnsi="Times New Roman" w:cs="Times New Roman"/>
          <w:sz w:val="24"/>
          <w:szCs w:val="24"/>
        </w:rPr>
        <w:t xml:space="preserve">EU </w:t>
      </w:r>
      <w:r w:rsidR="006356C6">
        <w:rPr>
          <w:rFonts w:ascii="Times New Roman" w:hAnsi="Times New Roman" w:cs="Times New Roman"/>
          <w:sz w:val="24"/>
          <w:szCs w:val="24"/>
        </w:rPr>
        <w:t>v</w:t>
      </w:r>
      <w:r w:rsidR="00027B8C">
        <w:rPr>
          <w:rFonts w:ascii="Times New Roman" w:hAnsi="Times New Roman" w:cs="Times New Roman"/>
          <w:sz w:val="24"/>
          <w:szCs w:val="24"/>
        </w:rPr>
        <w:t> </w:t>
      </w:r>
      <w:r w:rsidR="006356C6">
        <w:rPr>
          <w:rFonts w:ascii="Times New Roman" w:hAnsi="Times New Roman" w:cs="Times New Roman"/>
          <w:sz w:val="24"/>
          <w:szCs w:val="24"/>
        </w:rPr>
        <w:t>souladu</w:t>
      </w:r>
      <w:r w:rsidR="00027B8C">
        <w:rPr>
          <w:rFonts w:ascii="Times New Roman" w:hAnsi="Times New Roman" w:cs="Times New Roman"/>
          <w:sz w:val="24"/>
          <w:szCs w:val="24"/>
        </w:rPr>
        <w:t xml:space="preserve"> </w:t>
      </w:r>
      <w:r w:rsidR="006356C6">
        <w:rPr>
          <w:rFonts w:ascii="Times New Roman" w:hAnsi="Times New Roman" w:cs="Times New Roman"/>
          <w:sz w:val="24"/>
          <w:szCs w:val="24"/>
        </w:rPr>
        <w:t>s</w:t>
      </w:r>
      <w:r w:rsidR="00027B8C">
        <w:rPr>
          <w:rFonts w:ascii="Times New Roman" w:hAnsi="Times New Roman" w:cs="Times New Roman"/>
          <w:sz w:val="24"/>
          <w:szCs w:val="24"/>
        </w:rPr>
        <w:t> </w:t>
      </w:r>
      <w:r w:rsidR="006356C6">
        <w:rPr>
          <w:rFonts w:ascii="Times New Roman" w:hAnsi="Times New Roman" w:cs="Times New Roman"/>
          <w:sz w:val="24"/>
          <w:szCs w:val="24"/>
        </w:rPr>
        <w:t>článkem</w:t>
      </w:r>
      <w:r w:rsidR="00027B8C">
        <w:rPr>
          <w:rFonts w:ascii="Times New Roman" w:hAnsi="Times New Roman" w:cs="Times New Roman"/>
          <w:sz w:val="24"/>
          <w:szCs w:val="24"/>
        </w:rPr>
        <w:t xml:space="preserve"> </w:t>
      </w:r>
      <w:r w:rsidR="006356C6">
        <w:rPr>
          <w:rFonts w:ascii="Times New Roman" w:hAnsi="Times New Roman" w:cs="Times New Roman"/>
          <w:sz w:val="24"/>
          <w:szCs w:val="24"/>
        </w:rPr>
        <w:t xml:space="preserve">3 nařízení </w:t>
      </w:r>
      <w:r w:rsidR="006356C6" w:rsidRPr="00D11A48">
        <w:rPr>
          <w:rFonts w:ascii="Times New Roman" w:hAnsi="Times New Roman" w:cs="Times New Roman"/>
          <w:sz w:val="24"/>
          <w:szCs w:val="24"/>
        </w:rPr>
        <w:t>o digitalizaci justiční spolupráce</w:t>
      </w:r>
      <w:r w:rsidR="006356C6">
        <w:rPr>
          <w:rFonts w:ascii="Times New Roman" w:hAnsi="Times New Roman" w:cs="Times New Roman"/>
          <w:sz w:val="24"/>
          <w:szCs w:val="24"/>
        </w:rPr>
        <w:t xml:space="preserve">, tj. </w:t>
      </w:r>
      <w:r w:rsidR="00467A9A">
        <w:rPr>
          <w:rFonts w:ascii="Times New Roman" w:hAnsi="Times New Roman" w:cs="Times New Roman"/>
          <w:sz w:val="24"/>
          <w:szCs w:val="24"/>
        </w:rPr>
        <w:t xml:space="preserve">primárně prostřednictvím </w:t>
      </w:r>
      <w:r w:rsidR="00467A9A" w:rsidRPr="00F47889">
        <w:rPr>
          <w:rFonts w:ascii="Times New Roman" w:hAnsi="Times New Roman" w:cs="Times New Roman"/>
          <w:sz w:val="24"/>
          <w:szCs w:val="24"/>
        </w:rPr>
        <w:t>decentralizovaného</w:t>
      </w:r>
      <w:r w:rsidR="00027B8C">
        <w:rPr>
          <w:rFonts w:ascii="Times New Roman" w:hAnsi="Times New Roman" w:cs="Times New Roman"/>
          <w:sz w:val="24"/>
          <w:szCs w:val="24"/>
        </w:rPr>
        <w:t xml:space="preserve"> </w:t>
      </w:r>
      <w:r w:rsidR="00467A9A" w:rsidRPr="00F47889">
        <w:rPr>
          <w:rFonts w:ascii="Times New Roman" w:hAnsi="Times New Roman" w:cs="Times New Roman"/>
          <w:sz w:val="24"/>
          <w:szCs w:val="24"/>
        </w:rPr>
        <w:t>informačního systému</w:t>
      </w:r>
      <w:r w:rsidR="00467A9A">
        <w:rPr>
          <w:rFonts w:ascii="Times New Roman" w:hAnsi="Times New Roman" w:cs="Times New Roman"/>
          <w:sz w:val="24"/>
          <w:szCs w:val="24"/>
        </w:rPr>
        <w:t xml:space="preserve">, pokud není takový způsob komunikace vyloučen </w:t>
      </w:r>
      <w:r w:rsidR="006356C6">
        <w:rPr>
          <w:rFonts w:ascii="Times New Roman" w:hAnsi="Times New Roman" w:cs="Times New Roman"/>
          <w:sz w:val="24"/>
          <w:szCs w:val="24"/>
        </w:rPr>
        <w:t xml:space="preserve">nebo není vhodný – směrnice o digitalizaci justiční spolupráce pak výslovně stanoví, v kterých případech se článek 3 nařízení o digitalizaci justiční spolupráce nepoužije </w:t>
      </w:r>
      <w:r w:rsidR="00467A9A">
        <w:rPr>
          <w:rFonts w:ascii="Times New Roman" w:hAnsi="Times New Roman" w:cs="Times New Roman"/>
          <w:sz w:val="24"/>
          <w:szCs w:val="24"/>
        </w:rPr>
        <w:t>(typicky u</w:t>
      </w:r>
      <w:r w:rsidR="00027B8C">
        <w:rPr>
          <w:rFonts w:ascii="Times New Roman" w:hAnsi="Times New Roman" w:cs="Times New Roman"/>
          <w:sz w:val="24"/>
          <w:szCs w:val="24"/>
        </w:rPr>
        <w:t> </w:t>
      </w:r>
      <w:r w:rsidR="00467A9A">
        <w:rPr>
          <w:rFonts w:ascii="Times New Roman" w:hAnsi="Times New Roman" w:cs="Times New Roman"/>
          <w:sz w:val="24"/>
          <w:szCs w:val="24"/>
        </w:rPr>
        <w:t>nejrůznějších konzultačních povinností).</w:t>
      </w:r>
      <w:r w:rsidR="00281B18">
        <w:rPr>
          <w:rFonts w:ascii="Times New Roman" w:hAnsi="Times New Roman" w:cs="Times New Roman"/>
          <w:sz w:val="24"/>
          <w:szCs w:val="24"/>
        </w:rPr>
        <w:t xml:space="preserve"> Datum, do kdy má být </w:t>
      </w:r>
      <w:r w:rsidR="00BC55AD">
        <w:rPr>
          <w:rFonts w:ascii="Times New Roman" w:hAnsi="Times New Roman" w:cs="Times New Roman"/>
          <w:sz w:val="24"/>
          <w:szCs w:val="24"/>
        </w:rPr>
        <w:t xml:space="preserve">dosaženo souladu vnitrostátního práva s požadavky </w:t>
      </w:r>
      <w:r w:rsidR="00281B18">
        <w:rPr>
          <w:rFonts w:ascii="Times New Roman" w:hAnsi="Times New Roman" w:cs="Times New Roman"/>
          <w:sz w:val="24"/>
          <w:szCs w:val="24"/>
        </w:rPr>
        <w:t xml:space="preserve">směrnice o </w:t>
      </w:r>
      <w:r w:rsidR="00281B18" w:rsidRPr="00D11A48">
        <w:rPr>
          <w:rFonts w:ascii="Times New Roman" w:hAnsi="Times New Roman" w:cs="Times New Roman"/>
          <w:sz w:val="24"/>
          <w:szCs w:val="24"/>
        </w:rPr>
        <w:t>digitalizaci justiční spolupráce</w:t>
      </w:r>
      <w:r w:rsidR="00281B18">
        <w:rPr>
          <w:rFonts w:ascii="Times New Roman" w:hAnsi="Times New Roman" w:cs="Times New Roman"/>
          <w:sz w:val="24"/>
          <w:szCs w:val="24"/>
        </w:rPr>
        <w:t xml:space="preserve">, se odvíjí od data </w:t>
      </w:r>
      <w:r w:rsidR="00281B18" w:rsidRPr="00281B18">
        <w:rPr>
          <w:rFonts w:ascii="Times New Roman" w:hAnsi="Times New Roman" w:cs="Times New Roman"/>
          <w:color w:val="333333"/>
          <w:sz w:val="24"/>
          <w:szCs w:val="24"/>
          <w:shd w:val="clear" w:color="auto" w:fill="FFFFFF"/>
        </w:rPr>
        <w:t>vstupu v platnost příslušného prováděcího aktu uvedeného v čl</w:t>
      </w:r>
      <w:r w:rsidR="00AF0905">
        <w:rPr>
          <w:rFonts w:ascii="Times New Roman" w:hAnsi="Times New Roman" w:cs="Times New Roman"/>
          <w:color w:val="333333"/>
          <w:sz w:val="24"/>
          <w:szCs w:val="24"/>
          <w:shd w:val="clear" w:color="auto" w:fill="FFFFFF"/>
        </w:rPr>
        <w:t>ánku</w:t>
      </w:r>
      <w:r w:rsidR="00281B18" w:rsidRPr="00281B18">
        <w:rPr>
          <w:rFonts w:ascii="Times New Roman" w:hAnsi="Times New Roman" w:cs="Times New Roman"/>
          <w:color w:val="333333"/>
          <w:sz w:val="24"/>
          <w:szCs w:val="24"/>
          <w:shd w:val="clear" w:color="auto" w:fill="FFFFFF"/>
        </w:rPr>
        <w:t xml:space="preserve"> 10 odst. 3 nařízení </w:t>
      </w:r>
      <w:r w:rsidR="00281B18" w:rsidRPr="00D11A48">
        <w:rPr>
          <w:rFonts w:ascii="Times New Roman" w:hAnsi="Times New Roman" w:cs="Times New Roman"/>
          <w:sz w:val="24"/>
          <w:szCs w:val="24"/>
        </w:rPr>
        <w:t>o</w:t>
      </w:r>
      <w:r w:rsidR="00027B8C">
        <w:rPr>
          <w:rFonts w:ascii="Times New Roman" w:hAnsi="Times New Roman" w:cs="Times New Roman"/>
          <w:sz w:val="24"/>
          <w:szCs w:val="24"/>
        </w:rPr>
        <w:t> </w:t>
      </w:r>
      <w:r w:rsidR="00281B18" w:rsidRPr="00D11A48">
        <w:rPr>
          <w:rFonts w:ascii="Times New Roman" w:hAnsi="Times New Roman" w:cs="Times New Roman"/>
          <w:sz w:val="24"/>
          <w:szCs w:val="24"/>
        </w:rPr>
        <w:t>digitalizaci justiční spolupráce</w:t>
      </w:r>
      <w:r w:rsidR="00281B18">
        <w:rPr>
          <w:rFonts w:ascii="Times New Roman" w:hAnsi="Times New Roman" w:cs="Times New Roman"/>
          <w:sz w:val="24"/>
          <w:szCs w:val="24"/>
        </w:rPr>
        <w:t>.</w:t>
      </w:r>
      <w:r w:rsidR="006B7B8A">
        <w:rPr>
          <w:rFonts w:ascii="Times New Roman" w:hAnsi="Times New Roman" w:cs="Times New Roman"/>
          <w:sz w:val="24"/>
          <w:szCs w:val="24"/>
        </w:rPr>
        <w:t xml:space="preserve"> </w:t>
      </w:r>
      <w:r w:rsidR="00281B18">
        <w:rPr>
          <w:rFonts w:ascii="Times New Roman" w:hAnsi="Times New Roman" w:cs="Times New Roman"/>
          <w:sz w:val="24"/>
          <w:szCs w:val="24"/>
        </w:rPr>
        <w:t>Tyto prováděcí akty jsou přijímány postupně zvlášť</w:t>
      </w:r>
      <w:r w:rsidR="00027B8C">
        <w:rPr>
          <w:rFonts w:ascii="Times New Roman" w:hAnsi="Times New Roman" w:cs="Times New Roman"/>
          <w:sz w:val="24"/>
          <w:szCs w:val="24"/>
        </w:rPr>
        <w:t xml:space="preserve"> </w:t>
      </w:r>
      <w:r w:rsidR="00281B18">
        <w:rPr>
          <w:rFonts w:ascii="Times New Roman" w:hAnsi="Times New Roman" w:cs="Times New Roman"/>
          <w:sz w:val="24"/>
          <w:szCs w:val="24"/>
        </w:rPr>
        <w:lastRenderedPageBreak/>
        <w:t>k</w:t>
      </w:r>
      <w:r w:rsidR="00027B8C">
        <w:rPr>
          <w:rFonts w:ascii="Times New Roman" w:hAnsi="Times New Roman" w:cs="Times New Roman"/>
          <w:sz w:val="24"/>
          <w:szCs w:val="24"/>
        </w:rPr>
        <w:t> </w:t>
      </w:r>
      <w:r w:rsidR="00281B18">
        <w:rPr>
          <w:rFonts w:ascii="Times New Roman" w:hAnsi="Times New Roman" w:cs="Times New Roman"/>
          <w:sz w:val="24"/>
          <w:szCs w:val="24"/>
        </w:rPr>
        <w:t>jednotlivým</w:t>
      </w:r>
      <w:r w:rsidR="00027B8C">
        <w:rPr>
          <w:rFonts w:ascii="Times New Roman" w:hAnsi="Times New Roman" w:cs="Times New Roman"/>
          <w:sz w:val="24"/>
          <w:szCs w:val="24"/>
        </w:rPr>
        <w:t xml:space="preserve"> </w:t>
      </w:r>
      <w:r w:rsidR="00281B18">
        <w:rPr>
          <w:rFonts w:ascii="Times New Roman" w:hAnsi="Times New Roman" w:cs="Times New Roman"/>
          <w:sz w:val="24"/>
          <w:szCs w:val="24"/>
        </w:rPr>
        <w:t xml:space="preserve">skupinám evropských předpisů upravujících justiční spolupráci ve věcech trestních, kdy jde v zásadě o technickou implementaci požadavků nařízení </w:t>
      </w:r>
      <w:r w:rsidR="00281B18" w:rsidRPr="00D11A48">
        <w:rPr>
          <w:rFonts w:ascii="Times New Roman" w:hAnsi="Times New Roman" w:cs="Times New Roman"/>
          <w:sz w:val="24"/>
          <w:szCs w:val="24"/>
        </w:rPr>
        <w:t>o digitalizaci justiční spolupráce</w:t>
      </w:r>
      <w:r w:rsidR="00281B18">
        <w:rPr>
          <w:rFonts w:ascii="Times New Roman" w:hAnsi="Times New Roman" w:cs="Times New Roman"/>
          <w:sz w:val="24"/>
          <w:szCs w:val="24"/>
        </w:rPr>
        <w:t xml:space="preserve"> </w:t>
      </w:r>
      <w:r w:rsidR="006B7B8A">
        <w:rPr>
          <w:rFonts w:ascii="Times New Roman" w:hAnsi="Times New Roman" w:cs="Times New Roman"/>
          <w:sz w:val="24"/>
          <w:szCs w:val="24"/>
        </w:rPr>
        <w:sym w:font="Symbol" w:char="F02D"/>
      </w:r>
      <w:r w:rsidR="006B7B8A">
        <w:rPr>
          <w:rFonts w:ascii="Times New Roman" w:hAnsi="Times New Roman" w:cs="Times New Roman"/>
          <w:sz w:val="24"/>
          <w:szCs w:val="24"/>
        </w:rPr>
        <w:t xml:space="preserve"> </w:t>
      </w:r>
      <w:r w:rsidR="00281B18">
        <w:rPr>
          <w:rFonts w:ascii="Times New Roman" w:hAnsi="Times New Roman" w:cs="Times New Roman"/>
          <w:sz w:val="24"/>
          <w:szCs w:val="24"/>
        </w:rPr>
        <w:t xml:space="preserve">prováděcí akty stanoví např. </w:t>
      </w:r>
      <w:r w:rsidR="00281B18" w:rsidRPr="00281B18">
        <w:rPr>
          <w:rFonts w:ascii="Times New Roman" w:eastAsia="Times New Roman" w:hAnsi="Times New Roman" w:cs="Times New Roman"/>
          <w:sz w:val="24"/>
          <w:szCs w:val="24"/>
          <w:lang w:eastAsia="cs-CZ"/>
        </w:rPr>
        <w:t>technick</w:t>
      </w:r>
      <w:r w:rsidR="00BC55AD">
        <w:rPr>
          <w:rFonts w:ascii="Times New Roman" w:eastAsia="Times New Roman" w:hAnsi="Times New Roman" w:cs="Times New Roman"/>
          <w:sz w:val="24"/>
          <w:szCs w:val="24"/>
          <w:lang w:eastAsia="cs-CZ"/>
        </w:rPr>
        <w:t>ou</w:t>
      </w:r>
      <w:r w:rsidR="00281B18" w:rsidRPr="00281B18">
        <w:rPr>
          <w:rFonts w:ascii="Times New Roman" w:eastAsia="Times New Roman" w:hAnsi="Times New Roman" w:cs="Times New Roman"/>
          <w:sz w:val="24"/>
          <w:szCs w:val="24"/>
          <w:lang w:eastAsia="cs-CZ"/>
        </w:rPr>
        <w:t xml:space="preserve"> specifikac</w:t>
      </w:r>
      <w:r w:rsidR="00BC55AD">
        <w:rPr>
          <w:rFonts w:ascii="Times New Roman" w:eastAsia="Times New Roman" w:hAnsi="Times New Roman" w:cs="Times New Roman"/>
          <w:sz w:val="24"/>
          <w:szCs w:val="24"/>
          <w:lang w:eastAsia="cs-CZ"/>
        </w:rPr>
        <w:t>i</w:t>
      </w:r>
      <w:r w:rsidR="00281B18" w:rsidRPr="00281B18">
        <w:rPr>
          <w:rFonts w:ascii="Times New Roman" w:eastAsia="Times New Roman" w:hAnsi="Times New Roman" w:cs="Times New Roman"/>
          <w:sz w:val="24"/>
          <w:szCs w:val="24"/>
          <w:lang w:eastAsia="cs-CZ"/>
        </w:rPr>
        <w:t xml:space="preserve"> způsobů komunikace elektronickými prostředky</w:t>
      </w:r>
      <w:r w:rsidR="00281B18">
        <w:rPr>
          <w:rFonts w:ascii="Times New Roman" w:eastAsia="Times New Roman" w:hAnsi="Times New Roman" w:cs="Times New Roman"/>
          <w:sz w:val="24"/>
          <w:szCs w:val="24"/>
          <w:lang w:eastAsia="cs-CZ"/>
        </w:rPr>
        <w:t>, technick</w:t>
      </w:r>
      <w:r w:rsidR="00BC55AD">
        <w:rPr>
          <w:rFonts w:ascii="Times New Roman" w:eastAsia="Times New Roman" w:hAnsi="Times New Roman" w:cs="Times New Roman"/>
          <w:sz w:val="24"/>
          <w:szCs w:val="24"/>
          <w:lang w:eastAsia="cs-CZ"/>
        </w:rPr>
        <w:t>ou</w:t>
      </w:r>
      <w:r w:rsidR="00281B18">
        <w:rPr>
          <w:rFonts w:ascii="Times New Roman" w:eastAsia="Times New Roman" w:hAnsi="Times New Roman" w:cs="Times New Roman"/>
          <w:sz w:val="24"/>
          <w:szCs w:val="24"/>
          <w:lang w:eastAsia="cs-CZ"/>
        </w:rPr>
        <w:t xml:space="preserve"> specifikac</w:t>
      </w:r>
      <w:r w:rsidR="00BC55AD">
        <w:rPr>
          <w:rFonts w:ascii="Times New Roman" w:eastAsia="Times New Roman" w:hAnsi="Times New Roman" w:cs="Times New Roman"/>
          <w:sz w:val="24"/>
          <w:szCs w:val="24"/>
          <w:lang w:eastAsia="cs-CZ"/>
        </w:rPr>
        <w:t>i</w:t>
      </w:r>
      <w:r w:rsidR="00281B18">
        <w:rPr>
          <w:rFonts w:ascii="Times New Roman" w:eastAsia="Times New Roman" w:hAnsi="Times New Roman" w:cs="Times New Roman"/>
          <w:sz w:val="24"/>
          <w:szCs w:val="24"/>
          <w:lang w:eastAsia="cs-CZ"/>
        </w:rPr>
        <w:t xml:space="preserve"> komunikačních protokolů, bezpečnostní standardy, časový harmonogram aj. Prováděcí akty budou přijímány postupně v časovém období od 17. ledna 2026 do 17. ledna 2029, přičemž členské státy EU mají povinnost mít příslušnou implementační právní úpravu </w:t>
      </w:r>
      <w:r w:rsidR="007A5EA6">
        <w:rPr>
          <w:rFonts w:ascii="Times New Roman" w:eastAsia="Times New Roman" w:hAnsi="Times New Roman" w:cs="Times New Roman"/>
          <w:sz w:val="24"/>
          <w:szCs w:val="24"/>
          <w:lang w:eastAsia="cs-CZ"/>
        </w:rPr>
        <w:t xml:space="preserve">platnou </w:t>
      </w:r>
      <w:r w:rsidR="00281B18">
        <w:rPr>
          <w:rFonts w:ascii="Times New Roman" w:eastAsia="Times New Roman" w:hAnsi="Times New Roman" w:cs="Times New Roman"/>
          <w:sz w:val="24"/>
          <w:szCs w:val="24"/>
          <w:lang w:eastAsia="cs-CZ"/>
        </w:rPr>
        <w:t xml:space="preserve">vždy do dvou let od vstupu příslušného právního aktu v platnost. </w:t>
      </w:r>
      <w:r w:rsidR="003B0825">
        <w:rPr>
          <w:rFonts w:ascii="Times New Roman" w:eastAsia="Times New Roman" w:hAnsi="Times New Roman" w:cs="Times New Roman"/>
          <w:sz w:val="24"/>
          <w:szCs w:val="24"/>
          <w:lang w:eastAsia="cs-CZ"/>
        </w:rPr>
        <w:t xml:space="preserve">Tato </w:t>
      </w:r>
      <w:r w:rsidR="00FF2AA7">
        <w:rPr>
          <w:rFonts w:ascii="Times New Roman" w:eastAsia="Times New Roman" w:hAnsi="Times New Roman" w:cs="Times New Roman"/>
          <w:sz w:val="24"/>
          <w:szCs w:val="24"/>
          <w:lang w:eastAsia="cs-CZ"/>
        </w:rPr>
        <w:t xml:space="preserve">dvouletá lhůta </w:t>
      </w:r>
      <w:r w:rsidR="003B0825">
        <w:rPr>
          <w:rFonts w:ascii="Times New Roman" w:eastAsia="Times New Roman" w:hAnsi="Times New Roman" w:cs="Times New Roman"/>
          <w:sz w:val="24"/>
          <w:szCs w:val="24"/>
          <w:lang w:eastAsia="cs-CZ"/>
        </w:rPr>
        <w:t>slouží k</w:t>
      </w:r>
      <w:r w:rsidR="00FF2AA7">
        <w:rPr>
          <w:rFonts w:ascii="Times New Roman" w:eastAsia="Times New Roman" w:hAnsi="Times New Roman" w:cs="Times New Roman"/>
          <w:sz w:val="24"/>
          <w:szCs w:val="24"/>
          <w:lang w:eastAsia="cs-CZ"/>
        </w:rPr>
        <w:t xml:space="preserve"> zajištění připravenosti </w:t>
      </w:r>
      <w:r w:rsidR="007A5EA6">
        <w:rPr>
          <w:rFonts w:ascii="Times New Roman" w:eastAsia="Times New Roman" w:hAnsi="Times New Roman" w:cs="Times New Roman"/>
          <w:sz w:val="24"/>
          <w:szCs w:val="24"/>
          <w:lang w:eastAsia="cs-CZ"/>
        </w:rPr>
        <w:t xml:space="preserve">vnitrostátních </w:t>
      </w:r>
      <w:r w:rsidR="00FF2AA7">
        <w:rPr>
          <w:rFonts w:ascii="Times New Roman" w:eastAsia="Times New Roman" w:hAnsi="Times New Roman" w:cs="Times New Roman"/>
          <w:sz w:val="24"/>
          <w:szCs w:val="24"/>
          <w:lang w:eastAsia="cs-CZ"/>
        </w:rPr>
        <w:t>orgánů používat decentralizovaný informační systém (zajištění jejich připojení k systému, proškolení aj.)</w:t>
      </w:r>
      <w:r w:rsidR="003B0825">
        <w:rPr>
          <w:rFonts w:ascii="Times New Roman" w:eastAsia="Times New Roman" w:hAnsi="Times New Roman" w:cs="Times New Roman"/>
          <w:sz w:val="24"/>
          <w:szCs w:val="24"/>
          <w:lang w:eastAsia="cs-CZ"/>
        </w:rPr>
        <w:t xml:space="preserve">. Implementační úprava pak bude účinná prvním dnem kalendářního měsíce následujícího po </w:t>
      </w:r>
      <w:r w:rsidR="00BC55AD">
        <w:rPr>
          <w:rFonts w:ascii="Times New Roman" w:eastAsia="Times New Roman" w:hAnsi="Times New Roman" w:cs="Times New Roman"/>
          <w:sz w:val="24"/>
          <w:szCs w:val="24"/>
          <w:lang w:eastAsia="cs-CZ"/>
        </w:rPr>
        <w:t>uplynutí této lhůty</w:t>
      </w:r>
      <w:r w:rsidR="00FF2AA7">
        <w:rPr>
          <w:rFonts w:ascii="Times New Roman" w:eastAsia="Times New Roman" w:hAnsi="Times New Roman" w:cs="Times New Roman"/>
          <w:sz w:val="24"/>
          <w:szCs w:val="24"/>
          <w:lang w:eastAsia="cs-CZ"/>
        </w:rPr>
        <w:t xml:space="preserve">. </w:t>
      </w:r>
    </w:p>
    <w:p w14:paraId="2D33EE3B" w14:textId="77777777" w:rsidR="00281B18" w:rsidRPr="00281B18" w:rsidRDefault="00281B18" w:rsidP="00A1611D">
      <w:pPr>
        <w:spacing w:before="120" w:after="0" w:line="240" w:lineRule="auto"/>
        <w:jc w:val="both"/>
        <w:rPr>
          <w:rFonts w:ascii="Times New Roman" w:hAnsi="Times New Roman" w:cs="Times New Roman"/>
          <w:sz w:val="24"/>
          <w:szCs w:val="24"/>
        </w:rPr>
      </w:pPr>
    </w:p>
    <w:p w14:paraId="2A9F7599" w14:textId="77777777" w:rsidR="0051223C" w:rsidRPr="00BE0F58" w:rsidRDefault="0051223C" w:rsidP="00A1611D">
      <w:pPr>
        <w:spacing w:before="120" w:after="0" w:line="240" w:lineRule="auto"/>
        <w:jc w:val="both"/>
        <w:rPr>
          <w:rFonts w:ascii="Times New Roman" w:eastAsia="Calibri" w:hAnsi="Times New Roman" w:cs="Times New Roman"/>
          <w:b/>
          <w:sz w:val="24"/>
          <w:szCs w:val="24"/>
        </w:rPr>
      </w:pPr>
      <w:r w:rsidRPr="00BE0F58">
        <w:rPr>
          <w:rFonts w:ascii="Times New Roman" w:eastAsia="Calibri" w:hAnsi="Times New Roman" w:cs="Times New Roman"/>
          <w:b/>
          <w:sz w:val="24"/>
          <w:szCs w:val="24"/>
        </w:rPr>
        <w:t>Zhodnocení souladu navrhované právní úpravy s ústavním pořádkem České republiky, mezinárodními smlouvami, jimiž je Česká republika vázána, a s předpisy Evropské unie, judikaturou soudních orgánů Evropské unie nebo obecnými právními zásadami práva Evropské unie a judikaturou ESLP</w:t>
      </w:r>
    </w:p>
    <w:p w14:paraId="426F3C6F" w14:textId="1EECDE27" w:rsidR="0051223C" w:rsidRPr="00BE0F58"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Navrhovaná právní úprava je v souladu s ústavním pořádkem Č</w:t>
      </w:r>
      <w:r w:rsidR="00027B8C">
        <w:rPr>
          <w:rFonts w:ascii="Times New Roman" w:eastAsia="Times New Roman" w:hAnsi="Times New Roman" w:cs="Times New Roman"/>
          <w:sz w:val="24"/>
          <w:szCs w:val="24"/>
          <w:lang w:eastAsia="cs-CZ"/>
        </w:rPr>
        <w:t>eské republiky</w:t>
      </w:r>
      <w:r w:rsidRPr="00BE0F58">
        <w:rPr>
          <w:rFonts w:ascii="Times New Roman" w:eastAsia="Times New Roman" w:hAnsi="Times New Roman" w:cs="Times New Roman"/>
          <w:sz w:val="24"/>
          <w:szCs w:val="24"/>
          <w:lang w:eastAsia="cs-CZ"/>
        </w:rPr>
        <w:t>, neboť v</w:t>
      </w:r>
      <w:r w:rsidR="00B66826">
        <w:rPr>
          <w:rFonts w:ascii="Times New Roman" w:eastAsia="Times New Roman" w:hAnsi="Times New Roman" w:cs="Times New Roman"/>
          <w:sz w:val="24"/>
          <w:szCs w:val="24"/>
          <w:lang w:eastAsia="cs-CZ"/>
        </w:rPr>
        <w:t xml:space="preserve"> úpravou dotčené oblasti (v </w:t>
      </w:r>
      <w:r w:rsidRPr="00BE0F58">
        <w:rPr>
          <w:rFonts w:ascii="Times New Roman" w:eastAsia="Times New Roman" w:hAnsi="Times New Roman" w:cs="Times New Roman"/>
          <w:sz w:val="24"/>
          <w:szCs w:val="24"/>
          <w:lang w:eastAsia="cs-CZ"/>
        </w:rPr>
        <w:t>oblasti justiční spolupráce</w:t>
      </w:r>
      <w:r w:rsidR="00B66826">
        <w:rPr>
          <w:rFonts w:ascii="Times New Roman" w:eastAsia="Times New Roman" w:hAnsi="Times New Roman" w:cs="Times New Roman"/>
          <w:sz w:val="24"/>
          <w:szCs w:val="24"/>
          <w:lang w:eastAsia="cs-CZ"/>
        </w:rPr>
        <w:t>)</w:t>
      </w:r>
      <w:r w:rsidRPr="00BE0F58">
        <w:rPr>
          <w:rFonts w:ascii="Times New Roman" w:eastAsia="Times New Roman" w:hAnsi="Times New Roman" w:cs="Times New Roman"/>
          <w:sz w:val="24"/>
          <w:szCs w:val="24"/>
          <w:lang w:eastAsia="cs-CZ"/>
        </w:rPr>
        <w:t xml:space="preserve"> nemění požadavky na zachování ochrany ústavně zaručených práv, zejména pokud jde o právo na ochranu nedotknutelnosti osoby a jejího soukromí podle článku 7 odst. 1 Listiny základních práv a svobod (dále jen „Listina“), právo na ochranu soukromého života a ochranu před neoprávněným shromažďováním, zveřejňováním nebo jiným zneužíváním údajů o své osobě podle článku 10 Listiny, právo na ochranu tajemství písemností a záznamů uchovávaných v soukromí nebo zasílaných poštou anebo jiným způsobem podle článku 13 Listiny a právo na soudní a jinou ochranu ve smyslu článků 36 až 40 Listiny. </w:t>
      </w:r>
    </w:p>
    <w:p w14:paraId="406E3D99" w14:textId="3F60A4BE" w:rsidR="0051223C" w:rsidRPr="00BE0F58"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 xml:space="preserve">Ve vztahu k článku 13 Listiny Ústavní soud uvedl, že ochrana poskytovaná tajemství zpráv podávaných telefonem, telegrafem nebo jiným podobným zařízením se netýká jen jejich vlastního obsahu, nýbrž i dalších údajů evidovaných při registraci telekomunikačního provozu ve vztahu ke konkrétním osobám [srov. např. nález ze dne 22. ledna 2001 </w:t>
      </w:r>
      <w:proofErr w:type="spellStart"/>
      <w:r w:rsidRPr="00BE0F58">
        <w:rPr>
          <w:rFonts w:ascii="Times New Roman" w:eastAsia="Times New Roman" w:hAnsi="Times New Roman" w:cs="Times New Roman"/>
          <w:sz w:val="24"/>
          <w:szCs w:val="24"/>
          <w:lang w:eastAsia="cs-CZ"/>
        </w:rPr>
        <w:t>sp</w:t>
      </w:r>
      <w:proofErr w:type="spellEnd"/>
      <w:r w:rsidRPr="00BE0F58">
        <w:rPr>
          <w:rFonts w:ascii="Times New Roman" w:eastAsia="Times New Roman" w:hAnsi="Times New Roman" w:cs="Times New Roman"/>
          <w:sz w:val="24"/>
          <w:szCs w:val="24"/>
          <w:lang w:eastAsia="cs-CZ"/>
        </w:rPr>
        <w:t>. zn. II.</w:t>
      </w:r>
      <w:r w:rsidR="00943D3C">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ÚS</w:t>
      </w:r>
      <w:r w:rsidR="00943D3C">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 xml:space="preserve">502/2000 (N 11/21 </w:t>
      </w:r>
      <w:proofErr w:type="spellStart"/>
      <w:r w:rsidRPr="00BE0F58">
        <w:rPr>
          <w:rFonts w:ascii="Times New Roman" w:eastAsia="Times New Roman" w:hAnsi="Times New Roman" w:cs="Times New Roman"/>
          <w:sz w:val="24"/>
          <w:szCs w:val="24"/>
          <w:lang w:eastAsia="cs-CZ"/>
        </w:rPr>
        <w:t>SbNU</w:t>
      </w:r>
      <w:proofErr w:type="spellEnd"/>
      <w:r w:rsidRPr="00BE0F58">
        <w:rPr>
          <w:rFonts w:ascii="Times New Roman" w:eastAsia="Times New Roman" w:hAnsi="Times New Roman" w:cs="Times New Roman"/>
          <w:sz w:val="24"/>
          <w:szCs w:val="24"/>
          <w:lang w:eastAsia="cs-CZ"/>
        </w:rPr>
        <w:t xml:space="preserve"> 83)</w:t>
      </w:r>
      <w:r w:rsidR="00943D3C">
        <w:rPr>
          <w:rFonts w:ascii="Times New Roman" w:eastAsia="Times New Roman" w:hAnsi="Times New Roman" w:cs="Times New Roman"/>
          <w:sz w:val="24"/>
          <w:szCs w:val="24"/>
          <w:lang w:eastAsia="cs-CZ"/>
        </w:rPr>
        <w:t>,</w:t>
      </w:r>
      <w:r w:rsidRPr="00BE0F58">
        <w:rPr>
          <w:rFonts w:ascii="Times New Roman" w:eastAsia="Times New Roman" w:hAnsi="Times New Roman" w:cs="Times New Roman"/>
          <w:sz w:val="24"/>
          <w:szCs w:val="24"/>
          <w:lang w:eastAsia="cs-CZ"/>
        </w:rPr>
        <w:t xml:space="preserve"> nález ze dne 13. února 2001 </w:t>
      </w:r>
      <w:proofErr w:type="spellStart"/>
      <w:r w:rsidRPr="00BE0F58">
        <w:rPr>
          <w:rFonts w:ascii="Times New Roman" w:eastAsia="Times New Roman" w:hAnsi="Times New Roman" w:cs="Times New Roman"/>
          <w:sz w:val="24"/>
          <w:szCs w:val="24"/>
          <w:lang w:eastAsia="cs-CZ"/>
        </w:rPr>
        <w:t>sp</w:t>
      </w:r>
      <w:proofErr w:type="spellEnd"/>
      <w:r w:rsidRPr="00BE0F58">
        <w:rPr>
          <w:rFonts w:ascii="Times New Roman" w:eastAsia="Times New Roman" w:hAnsi="Times New Roman" w:cs="Times New Roman"/>
          <w:sz w:val="24"/>
          <w:szCs w:val="24"/>
          <w:lang w:eastAsia="cs-CZ"/>
        </w:rPr>
        <w:t>. zn. IV. ÚS 536/2000 (N</w:t>
      </w:r>
      <w:r w:rsidR="00943D3C">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 xml:space="preserve">29/21 </w:t>
      </w:r>
      <w:proofErr w:type="spellStart"/>
      <w:r w:rsidRPr="00BE0F58">
        <w:rPr>
          <w:rFonts w:ascii="Times New Roman" w:eastAsia="Times New Roman" w:hAnsi="Times New Roman" w:cs="Times New Roman"/>
          <w:sz w:val="24"/>
          <w:szCs w:val="24"/>
          <w:lang w:eastAsia="cs-CZ"/>
        </w:rPr>
        <w:t>SbNU</w:t>
      </w:r>
      <w:proofErr w:type="spellEnd"/>
      <w:r w:rsidRPr="00BE0F58">
        <w:rPr>
          <w:rFonts w:ascii="Times New Roman" w:eastAsia="Times New Roman" w:hAnsi="Times New Roman" w:cs="Times New Roman"/>
          <w:sz w:val="24"/>
          <w:szCs w:val="24"/>
          <w:lang w:eastAsia="cs-CZ"/>
        </w:rPr>
        <w:t xml:space="preserve"> 251)</w:t>
      </w:r>
      <w:r w:rsidR="00943D3C">
        <w:rPr>
          <w:rFonts w:ascii="Times New Roman" w:eastAsia="Times New Roman" w:hAnsi="Times New Roman" w:cs="Times New Roman"/>
          <w:sz w:val="24"/>
          <w:szCs w:val="24"/>
          <w:lang w:eastAsia="cs-CZ"/>
        </w:rPr>
        <w:t>,</w:t>
      </w:r>
      <w:r w:rsidRPr="00BE0F58">
        <w:rPr>
          <w:rFonts w:ascii="Times New Roman" w:eastAsia="Times New Roman" w:hAnsi="Times New Roman" w:cs="Times New Roman"/>
          <w:sz w:val="24"/>
          <w:szCs w:val="24"/>
          <w:lang w:eastAsia="cs-CZ"/>
        </w:rPr>
        <w:t xml:space="preserve"> nález ze dne 27. srpna 2001 </w:t>
      </w:r>
      <w:proofErr w:type="spellStart"/>
      <w:r w:rsidRPr="00BE0F58">
        <w:rPr>
          <w:rFonts w:ascii="Times New Roman" w:eastAsia="Times New Roman" w:hAnsi="Times New Roman" w:cs="Times New Roman"/>
          <w:sz w:val="24"/>
          <w:szCs w:val="24"/>
          <w:lang w:eastAsia="cs-CZ"/>
        </w:rPr>
        <w:t>sp</w:t>
      </w:r>
      <w:proofErr w:type="spellEnd"/>
      <w:r w:rsidRPr="00BE0F58">
        <w:rPr>
          <w:rFonts w:ascii="Times New Roman" w:eastAsia="Times New Roman" w:hAnsi="Times New Roman" w:cs="Times New Roman"/>
          <w:sz w:val="24"/>
          <w:szCs w:val="24"/>
          <w:lang w:eastAsia="cs-CZ"/>
        </w:rPr>
        <w:t xml:space="preserve">. zn. IV. ÚS 78/01 (N 123/23 </w:t>
      </w:r>
      <w:proofErr w:type="spellStart"/>
      <w:r w:rsidRPr="00BE0F58">
        <w:rPr>
          <w:rFonts w:ascii="Times New Roman" w:eastAsia="Times New Roman" w:hAnsi="Times New Roman" w:cs="Times New Roman"/>
          <w:sz w:val="24"/>
          <w:szCs w:val="24"/>
          <w:lang w:eastAsia="cs-CZ"/>
        </w:rPr>
        <w:t>SbNU</w:t>
      </w:r>
      <w:proofErr w:type="spellEnd"/>
      <w:r w:rsidRPr="00BE0F58">
        <w:rPr>
          <w:rFonts w:ascii="Times New Roman" w:eastAsia="Times New Roman" w:hAnsi="Times New Roman" w:cs="Times New Roman"/>
          <w:sz w:val="24"/>
          <w:szCs w:val="24"/>
          <w:lang w:eastAsia="cs-CZ"/>
        </w:rPr>
        <w:t xml:space="preserve"> 197)</w:t>
      </w:r>
      <w:r w:rsidR="00943D3C">
        <w:rPr>
          <w:rFonts w:ascii="Times New Roman" w:eastAsia="Times New Roman" w:hAnsi="Times New Roman" w:cs="Times New Roman"/>
          <w:sz w:val="24"/>
          <w:szCs w:val="24"/>
          <w:lang w:eastAsia="cs-CZ"/>
        </w:rPr>
        <w:t>,</w:t>
      </w:r>
      <w:r w:rsidRPr="00BE0F58">
        <w:rPr>
          <w:rFonts w:ascii="Times New Roman" w:eastAsia="Times New Roman" w:hAnsi="Times New Roman" w:cs="Times New Roman"/>
          <w:sz w:val="24"/>
          <w:szCs w:val="24"/>
          <w:lang w:eastAsia="cs-CZ"/>
        </w:rPr>
        <w:t xml:space="preserve"> nález ze dne 13. září 2006 </w:t>
      </w:r>
      <w:proofErr w:type="spellStart"/>
      <w:r w:rsidRPr="00BE0F58">
        <w:rPr>
          <w:rFonts w:ascii="Times New Roman" w:eastAsia="Times New Roman" w:hAnsi="Times New Roman" w:cs="Times New Roman"/>
          <w:sz w:val="24"/>
          <w:szCs w:val="24"/>
          <w:lang w:eastAsia="cs-CZ"/>
        </w:rPr>
        <w:t>sp</w:t>
      </w:r>
      <w:proofErr w:type="spellEnd"/>
      <w:r w:rsidRPr="00BE0F58">
        <w:rPr>
          <w:rFonts w:ascii="Times New Roman" w:eastAsia="Times New Roman" w:hAnsi="Times New Roman" w:cs="Times New Roman"/>
          <w:sz w:val="24"/>
          <w:szCs w:val="24"/>
          <w:lang w:eastAsia="cs-CZ"/>
        </w:rPr>
        <w:t xml:space="preserve">. zn. I. ÚS 191/05 (N 161/42 </w:t>
      </w:r>
      <w:proofErr w:type="spellStart"/>
      <w:r w:rsidRPr="00BE0F58">
        <w:rPr>
          <w:rFonts w:ascii="Times New Roman" w:eastAsia="Times New Roman" w:hAnsi="Times New Roman" w:cs="Times New Roman"/>
          <w:sz w:val="24"/>
          <w:szCs w:val="24"/>
          <w:lang w:eastAsia="cs-CZ"/>
        </w:rPr>
        <w:t>SbNU</w:t>
      </w:r>
      <w:proofErr w:type="spellEnd"/>
      <w:r w:rsidRPr="00BE0F58">
        <w:rPr>
          <w:rFonts w:ascii="Times New Roman" w:eastAsia="Times New Roman" w:hAnsi="Times New Roman" w:cs="Times New Roman"/>
          <w:sz w:val="24"/>
          <w:szCs w:val="24"/>
          <w:lang w:eastAsia="cs-CZ"/>
        </w:rPr>
        <w:t xml:space="preserve"> 327)</w:t>
      </w:r>
      <w:r w:rsidR="00943D3C">
        <w:rPr>
          <w:rFonts w:ascii="Times New Roman" w:eastAsia="Times New Roman" w:hAnsi="Times New Roman" w:cs="Times New Roman"/>
          <w:sz w:val="24"/>
          <w:szCs w:val="24"/>
          <w:lang w:eastAsia="cs-CZ"/>
        </w:rPr>
        <w:t xml:space="preserve"> nebo</w:t>
      </w:r>
      <w:r w:rsidRPr="00BE0F58">
        <w:rPr>
          <w:rFonts w:ascii="Times New Roman" w:eastAsia="Times New Roman" w:hAnsi="Times New Roman" w:cs="Times New Roman"/>
          <w:sz w:val="24"/>
          <w:szCs w:val="24"/>
          <w:lang w:eastAsia="cs-CZ"/>
        </w:rPr>
        <w:t xml:space="preserve"> nález ze dne 27.</w:t>
      </w:r>
      <w:r w:rsidR="00943D3C">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 xml:space="preserve">září 2007 </w:t>
      </w:r>
      <w:proofErr w:type="spellStart"/>
      <w:r w:rsidRPr="00BE0F58">
        <w:rPr>
          <w:rFonts w:ascii="Times New Roman" w:eastAsia="Times New Roman" w:hAnsi="Times New Roman" w:cs="Times New Roman"/>
          <w:sz w:val="24"/>
          <w:szCs w:val="24"/>
          <w:lang w:eastAsia="cs-CZ"/>
        </w:rPr>
        <w:t>sp</w:t>
      </w:r>
      <w:proofErr w:type="spellEnd"/>
      <w:r w:rsidRPr="00BE0F58">
        <w:rPr>
          <w:rFonts w:ascii="Times New Roman" w:eastAsia="Times New Roman" w:hAnsi="Times New Roman" w:cs="Times New Roman"/>
          <w:sz w:val="24"/>
          <w:szCs w:val="24"/>
          <w:lang w:eastAsia="cs-CZ"/>
        </w:rPr>
        <w:t xml:space="preserve">. zn. II. ÚS 789/06 (N 150/46 </w:t>
      </w:r>
      <w:proofErr w:type="spellStart"/>
      <w:r w:rsidRPr="00BE0F58">
        <w:rPr>
          <w:rFonts w:ascii="Times New Roman" w:eastAsia="Times New Roman" w:hAnsi="Times New Roman" w:cs="Times New Roman"/>
          <w:sz w:val="24"/>
          <w:szCs w:val="24"/>
          <w:lang w:eastAsia="cs-CZ"/>
        </w:rPr>
        <w:t>SbNU</w:t>
      </w:r>
      <w:proofErr w:type="spellEnd"/>
      <w:r w:rsidRPr="00BE0F58">
        <w:rPr>
          <w:rFonts w:ascii="Times New Roman" w:eastAsia="Times New Roman" w:hAnsi="Times New Roman" w:cs="Times New Roman"/>
          <w:sz w:val="24"/>
          <w:szCs w:val="24"/>
          <w:lang w:eastAsia="cs-CZ"/>
        </w:rPr>
        <w:t xml:space="preserve"> 489)]. </w:t>
      </w:r>
    </w:p>
    <w:p w14:paraId="603DF72A" w14:textId="799CE97B" w:rsidR="0051223C" w:rsidRPr="00BE0F58"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Navrhovaná právní úprava ve spojení s </w:t>
      </w:r>
      <w:r w:rsidR="002E0407">
        <w:rPr>
          <w:rFonts w:ascii="Times New Roman" w:eastAsia="Times New Roman" w:hAnsi="Times New Roman" w:cs="Times New Roman"/>
          <w:sz w:val="24"/>
          <w:szCs w:val="24"/>
          <w:lang w:eastAsia="cs-CZ"/>
        </w:rPr>
        <w:t>n</w:t>
      </w:r>
      <w:r w:rsidRPr="00BE0F58">
        <w:rPr>
          <w:rFonts w:ascii="Times New Roman" w:eastAsia="Times New Roman" w:hAnsi="Times New Roman" w:cs="Times New Roman"/>
          <w:sz w:val="24"/>
          <w:szCs w:val="24"/>
          <w:lang w:eastAsia="cs-CZ"/>
        </w:rPr>
        <w:t>ařízením zaručuje dotčené osobě, aby byla o</w:t>
      </w:r>
      <w:r w:rsidR="00943D3C">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 xml:space="preserve">zásazích do svého soukromého života informována a měla zaručený účinný prostředek nápravy proti takovému zásahu. Příkaz požadující údaje o obsahu nebo provozu musí vydat soudce. </w:t>
      </w:r>
    </w:p>
    <w:p w14:paraId="443FE544" w14:textId="77777777" w:rsidR="0051223C" w:rsidRPr="00BE0F58"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 xml:space="preserve">Navrhovaná právní úprava je rovněž v souladu se závazky České republiky vyplývajícími z Evropské úmluvy o ochraně lidských práv a základních svobod (dále jen „Úmluva“) a jejích dodatkových protokolů, neboť nic nemění na zásadách, které se uplatňují v oblasti justiční spolupráce a trestního řízení již podle stávající právní úpravy. </w:t>
      </w:r>
    </w:p>
    <w:p w14:paraId="624B47D4" w14:textId="4BFA73A4" w:rsidR="0051223C" w:rsidRPr="00BE0F58"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 xml:space="preserve">Ve vztahu k mezinárodní justiční spolupráci jsou relevantní zejména rozsudky Evropského soudu pro lidská práva </w:t>
      </w:r>
      <w:r w:rsidR="00943D3C">
        <w:rPr>
          <w:rFonts w:ascii="Times New Roman" w:eastAsia="Times New Roman" w:hAnsi="Times New Roman" w:cs="Times New Roman"/>
          <w:sz w:val="24"/>
          <w:szCs w:val="24"/>
          <w:lang w:eastAsia="cs-CZ"/>
        </w:rPr>
        <w:t xml:space="preserve">(dále jen „ESLP“) </w:t>
      </w:r>
      <w:r w:rsidRPr="00BE0F58">
        <w:rPr>
          <w:rFonts w:ascii="Times New Roman" w:eastAsia="Times New Roman" w:hAnsi="Times New Roman" w:cs="Times New Roman"/>
          <w:sz w:val="24"/>
          <w:szCs w:val="24"/>
          <w:lang w:eastAsia="cs-CZ"/>
        </w:rPr>
        <w:t>zabývající se právem na spravedlivý proces podle článku 6 Úmluvy, a</w:t>
      </w:r>
      <w:r w:rsidR="00943D3C">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to zejména ve vztahu k zajištění účinných práv obhajoby</w:t>
      </w:r>
      <w:r w:rsidR="00943D3C">
        <w:rPr>
          <w:rFonts w:ascii="Times New Roman" w:eastAsia="Times New Roman" w:hAnsi="Times New Roman" w:cs="Times New Roman"/>
          <w:sz w:val="24"/>
          <w:szCs w:val="24"/>
          <w:lang w:eastAsia="cs-CZ"/>
        </w:rPr>
        <w:t xml:space="preserve"> –</w:t>
      </w:r>
      <w:r w:rsidRPr="00BE0F58">
        <w:rPr>
          <w:rFonts w:ascii="Times New Roman" w:eastAsia="Times New Roman" w:hAnsi="Times New Roman" w:cs="Times New Roman"/>
          <w:sz w:val="24"/>
          <w:szCs w:val="24"/>
          <w:lang w:eastAsia="cs-CZ"/>
        </w:rPr>
        <w:t xml:space="preserve"> uvést lze např. rozsudek ESLP ve věci </w:t>
      </w:r>
      <w:proofErr w:type="spellStart"/>
      <w:r w:rsidRPr="00BE0F58">
        <w:rPr>
          <w:rFonts w:ascii="Times New Roman" w:eastAsia="Times New Roman" w:hAnsi="Times New Roman" w:cs="Times New Roman"/>
          <w:sz w:val="24"/>
          <w:szCs w:val="24"/>
          <w:lang w:eastAsia="cs-CZ"/>
        </w:rPr>
        <w:t>Breukhoven</w:t>
      </w:r>
      <w:proofErr w:type="spellEnd"/>
      <w:r w:rsidRPr="00BE0F58">
        <w:rPr>
          <w:rFonts w:ascii="Times New Roman" w:eastAsia="Times New Roman" w:hAnsi="Times New Roman" w:cs="Times New Roman"/>
          <w:sz w:val="24"/>
          <w:szCs w:val="24"/>
          <w:lang w:eastAsia="cs-CZ"/>
        </w:rPr>
        <w:t xml:space="preserve"> proti Č</w:t>
      </w:r>
      <w:r w:rsidR="00027B8C">
        <w:rPr>
          <w:rFonts w:ascii="Times New Roman" w:eastAsia="Times New Roman" w:hAnsi="Times New Roman" w:cs="Times New Roman"/>
          <w:sz w:val="24"/>
          <w:szCs w:val="24"/>
          <w:lang w:eastAsia="cs-CZ"/>
        </w:rPr>
        <w:t>eské republice</w:t>
      </w:r>
      <w:r w:rsidRPr="00BE0F58">
        <w:rPr>
          <w:rFonts w:ascii="Times New Roman" w:eastAsia="Times New Roman" w:hAnsi="Times New Roman" w:cs="Times New Roman"/>
          <w:sz w:val="24"/>
          <w:szCs w:val="24"/>
          <w:lang w:eastAsia="cs-CZ"/>
        </w:rPr>
        <w:t xml:space="preserve"> ze dne 21. 7. 2011, č. 44438/06, rozsudek ESLP ve věci </w:t>
      </w:r>
      <w:proofErr w:type="spellStart"/>
      <w:r w:rsidRPr="00BE0F58">
        <w:rPr>
          <w:rFonts w:ascii="Times New Roman" w:eastAsia="Times New Roman" w:hAnsi="Times New Roman" w:cs="Times New Roman"/>
          <w:sz w:val="24"/>
          <w:szCs w:val="24"/>
          <w:lang w:eastAsia="cs-CZ"/>
        </w:rPr>
        <w:t>Fąfrowicz</w:t>
      </w:r>
      <w:proofErr w:type="spellEnd"/>
      <w:r w:rsidRPr="00BE0F58">
        <w:rPr>
          <w:rFonts w:ascii="Times New Roman" w:eastAsia="Times New Roman" w:hAnsi="Times New Roman" w:cs="Times New Roman"/>
          <w:sz w:val="24"/>
          <w:szCs w:val="24"/>
          <w:lang w:eastAsia="cs-CZ"/>
        </w:rPr>
        <w:t xml:space="preserve"> proti Polsku ze dne 17. 4. 2012, č. 43609/07, rozsudek ESLP ve věci Damir </w:t>
      </w:r>
      <w:proofErr w:type="spellStart"/>
      <w:r w:rsidRPr="00BE0F58">
        <w:rPr>
          <w:rFonts w:ascii="Times New Roman" w:eastAsia="Times New Roman" w:hAnsi="Times New Roman" w:cs="Times New Roman"/>
          <w:sz w:val="24"/>
          <w:szCs w:val="24"/>
          <w:lang w:eastAsia="cs-CZ"/>
        </w:rPr>
        <w:t>Sibgatullin</w:t>
      </w:r>
      <w:proofErr w:type="spellEnd"/>
      <w:r w:rsidRPr="00BE0F58">
        <w:rPr>
          <w:rFonts w:ascii="Times New Roman" w:eastAsia="Times New Roman" w:hAnsi="Times New Roman" w:cs="Times New Roman"/>
          <w:sz w:val="24"/>
          <w:szCs w:val="24"/>
          <w:lang w:eastAsia="cs-CZ"/>
        </w:rPr>
        <w:t xml:space="preserve"> proti Rusku ze dne 24. 4. 2012, č. 1413/05, rozsudek ESLP ve věci </w:t>
      </w:r>
      <w:proofErr w:type="spellStart"/>
      <w:r w:rsidRPr="00BE0F58">
        <w:rPr>
          <w:rFonts w:ascii="Times New Roman" w:eastAsia="Times New Roman" w:hAnsi="Times New Roman" w:cs="Times New Roman"/>
          <w:sz w:val="24"/>
          <w:szCs w:val="24"/>
          <w:lang w:eastAsia="cs-CZ"/>
        </w:rPr>
        <w:t>Tseber</w:t>
      </w:r>
      <w:proofErr w:type="spellEnd"/>
      <w:r w:rsidRPr="00BE0F58">
        <w:rPr>
          <w:rFonts w:ascii="Times New Roman" w:eastAsia="Times New Roman" w:hAnsi="Times New Roman" w:cs="Times New Roman"/>
          <w:sz w:val="24"/>
          <w:szCs w:val="24"/>
          <w:lang w:eastAsia="cs-CZ"/>
        </w:rPr>
        <w:t xml:space="preserve"> proti České republice ze dne 22. 11. 2012, č. 46203/08, rozsudek ESLP ve věci </w:t>
      </w:r>
      <w:proofErr w:type="spellStart"/>
      <w:r w:rsidRPr="00BE0F58">
        <w:rPr>
          <w:rFonts w:ascii="Times New Roman" w:eastAsia="Times New Roman" w:hAnsi="Times New Roman" w:cs="Times New Roman"/>
          <w:sz w:val="24"/>
          <w:szCs w:val="24"/>
          <w:lang w:eastAsia="cs-CZ"/>
        </w:rPr>
        <w:lastRenderedPageBreak/>
        <w:t>Zhukovskyi</w:t>
      </w:r>
      <w:proofErr w:type="spellEnd"/>
      <w:r w:rsidRPr="00BE0F58">
        <w:rPr>
          <w:rFonts w:ascii="Times New Roman" w:eastAsia="Times New Roman" w:hAnsi="Times New Roman" w:cs="Times New Roman"/>
          <w:sz w:val="24"/>
          <w:szCs w:val="24"/>
          <w:lang w:eastAsia="cs-CZ"/>
        </w:rPr>
        <w:t xml:space="preserve"> proti Ukrajině ze dne 3. 3. 2011, č. 31240/03, rozsudek ESLP ve věci A. M. proti Itálii ze dne 14. 12.1 999, č. 37019/97 nebo rozsudek ESLP ve věci </w:t>
      </w:r>
      <w:proofErr w:type="spellStart"/>
      <w:r w:rsidRPr="00BE0F58">
        <w:rPr>
          <w:rFonts w:ascii="Times New Roman" w:eastAsia="Times New Roman" w:hAnsi="Times New Roman" w:cs="Times New Roman"/>
          <w:sz w:val="24"/>
          <w:szCs w:val="24"/>
          <w:lang w:eastAsia="cs-CZ"/>
        </w:rPr>
        <w:t>Solakov</w:t>
      </w:r>
      <w:proofErr w:type="spellEnd"/>
      <w:r w:rsidRPr="00BE0F58">
        <w:rPr>
          <w:rFonts w:ascii="Times New Roman" w:eastAsia="Times New Roman" w:hAnsi="Times New Roman" w:cs="Times New Roman"/>
          <w:sz w:val="24"/>
          <w:szCs w:val="24"/>
          <w:lang w:eastAsia="cs-CZ"/>
        </w:rPr>
        <w:t xml:space="preserve"> proti Bývalé jugoslávské republice Makedonii ze dne 31. 10. 2001, č. 47023/99. </w:t>
      </w:r>
    </w:p>
    <w:p w14:paraId="7D0F7FF5" w14:textId="64091B18" w:rsidR="0051223C" w:rsidRPr="00BE0F58"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Ve vztahu k ochraně soukromí je relevantní článek 8 Úmluvy zaručující právo na respektování soukromého a rodinného života, obydlí a korespondence</w:t>
      </w:r>
      <w:r w:rsidR="00943D3C">
        <w:rPr>
          <w:rFonts w:ascii="Times New Roman" w:eastAsia="Times New Roman" w:hAnsi="Times New Roman" w:cs="Times New Roman"/>
          <w:sz w:val="24"/>
          <w:szCs w:val="24"/>
          <w:lang w:eastAsia="cs-CZ"/>
        </w:rPr>
        <w:t>. Z</w:t>
      </w:r>
      <w:r w:rsidRPr="00BE0F58">
        <w:rPr>
          <w:rFonts w:ascii="Times New Roman" w:eastAsia="Times New Roman" w:hAnsi="Times New Roman" w:cs="Times New Roman"/>
          <w:sz w:val="24"/>
          <w:szCs w:val="24"/>
          <w:lang w:eastAsia="cs-CZ"/>
        </w:rPr>
        <w:t>ásah do tohoto práva musí být odůvodněn legitimním zájmem</w:t>
      </w:r>
      <w:r w:rsidR="00943D3C">
        <w:rPr>
          <w:rFonts w:ascii="Times New Roman" w:eastAsia="Times New Roman" w:hAnsi="Times New Roman" w:cs="Times New Roman"/>
          <w:sz w:val="24"/>
          <w:szCs w:val="24"/>
          <w:lang w:eastAsia="cs-CZ"/>
        </w:rPr>
        <w:t xml:space="preserve">, jakým je </w:t>
      </w:r>
      <w:r w:rsidRPr="00BE0F58">
        <w:rPr>
          <w:rFonts w:ascii="Times New Roman" w:eastAsia="Times New Roman" w:hAnsi="Times New Roman" w:cs="Times New Roman"/>
          <w:sz w:val="24"/>
          <w:szCs w:val="24"/>
          <w:lang w:eastAsia="cs-CZ"/>
        </w:rPr>
        <w:t>ochran</w:t>
      </w:r>
      <w:r w:rsidR="00943D3C">
        <w:rPr>
          <w:rFonts w:ascii="Times New Roman" w:eastAsia="Times New Roman" w:hAnsi="Times New Roman" w:cs="Times New Roman"/>
          <w:sz w:val="24"/>
          <w:szCs w:val="24"/>
          <w:lang w:eastAsia="cs-CZ"/>
        </w:rPr>
        <w:t>a</w:t>
      </w:r>
      <w:r w:rsidRPr="00BE0F58">
        <w:rPr>
          <w:rFonts w:ascii="Times New Roman" w:eastAsia="Times New Roman" w:hAnsi="Times New Roman" w:cs="Times New Roman"/>
          <w:sz w:val="24"/>
          <w:szCs w:val="24"/>
          <w:lang w:eastAsia="cs-CZ"/>
        </w:rPr>
        <w:t xml:space="preserve"> národní bezpečnosti, veřejné bezpečnosti</w:t>
      </w:r>
      <w:r w:rsidR="00943D3C">
        <w:rPr>
          <w:rFonts w:ascii="Times New Roman" w:eastAsia="Times New Roman" w:hAnsi="Times New Roman" w:cs="Times New Roman"/>
          <w:sz w:val="24"/>
          <w:szCs w:val="24"/>
          <w:lang w:eastAsia="cs-CZ"/>
        </w:rPr>
        <w:t xml:space="preserve"> či</w:t>
      </w:r>
      <w:r w:rsidRPr="00BE0F58">
        <w:rPr>
          <w:rFonts w:ascii="Times New Roman" w:eastAsia="Times New Roman" w:hAnsi="Times New Roman" w:cs="Times New Roman"/>
          <w:sz w:val="24"/>
          <w:szCs w:val="24"/>
          <w:lang w:eastAsia="cs-CZ"/>
        </w:rPr>
        <w:t xml:space="preserve"> hospodářského blahobytu země, </w:t>
      </w:r>
      <w:r w:rsidR="00943D3C">
        <w:rPr>
          <w:rFonts w:ascii="Times New Roman" w:eastAsia="Times New Roman" w:hAnsi="Times New Roman" w:cs="Times New Roman"/>
          <w:sz w:val="24"/>
          <w:szCs w:val="24"/>
          <w:lang w:eastAsia="cs-CZ"/>
        </w:rPr>
        <w:t xml:space="preserve">zájem na </w:t>
      </w:r>
      <w:r w:rsidRPr="00BE0F58">
        <w:rPr>
          <w:rFonts w:ascii="Times New Roman" w:eastAsia="Times New Roman" w:hAnsi="Times New Roman" w:cs="Times New Roman"/>
          <w:sz w:val="24"/>
          <w:szCs w:val="24"/>
          <w:lang w:eastAsia="cs-CZ"/>
        </w:rPr>
        <w:t>předcházení nepokojům a zločinnosti, ochran</w:t>
      </w:r>
      <w:r w:rsidR="00943D3C">
        <w:rPr>
          <w:rFonts w:ascii="Times New Roman" w:eastAsia="Times New Roman" w:hAnsi="Times New Roman" w:cs="Times New Roman"/>
          <w:sz w:val="24"/>
          <w:szCs w:val="24"/>
          <w:lang w:eastAsia="cs-CZ"/>
        </w:rPr>
        <w:t>a</w:t>
      </w:r>
      <w:r w:rsidRPr="00BE0F58">
        <w:rPr>
          <w:rFonts w:ascii="Times New Roman" w:eastAsia="Times New Roman" w:hAnsi="Times New Roman" w:cs="Times New Roman"/>
          <w:sz w:val="24"/>
          <w:szCs w:val="24"/>
          <w:lang w:eastAsia="cs-CZ"/>
        </w:rPr>
        <w:t xml:space="preserve"> zdraví nebo morálky nebo ochran</w:t>
      </w:r>
      <w:r w:rsidR="00943D3C">
        <w:rPr>
          <w:rFonts w:ascii="Times New Roman" w:eastAsia="Times New Roman" w:hAnsi="Times New Roman" w:cs="Times New Roman"/>
          <w:sz w:val="24"/>
          <w:szCs w:val="24"/>
          <w:lang w:eastAsia="cs-CZ"/>
        </w:rPr>
        <w:t>a</w:t>
      </w:r>
      <w:r w:rsidRPr="00BE0F58">
        <w:rPr>
          <w:rFonts w:ascii="Times New Roman" w:eastAsia="Times New Roman" w:hAnsi="Times New Roman" w:cs="Times New Roman"/>
          <w:sz w:val="24"/>
          <w:szCs w:val="24"/>
          <w:lang w:eastAsia="cs-CZ"/>
        </w:rPr>
        <w:t xml:space="preserve"> práv a svobod jiných</w:t>
      </w:r>
      <w:r w:rsidR="00943D3C">
        <w:rPr>
          <w:rFonts w:ascii="Times New Roman" w:eastAsia="Times New Roman" w:hAnsi="Times New Roman" w:cs="Times New Roman"/>
          <w:sz w:val="24"/>
          <w:szCs w:val="24"/>
          <w:lang w:eastAsia="cs-CZ"/>
        </w:rPr>
        <w:t>,</w:t>
      </w:r>
      <w:r w:rsidRPr="00BE0F58">
        <w:rPr>
          <w:rFonts w:ascii="Times New Roman" w:eastAsia="Times New Roman" w:hAnsi="Times New Roman" w:cs="Times New Roman"/>
          <w:sz w:val="24"/>
          <w:szCs w:val="24"/>
          <w:lang w:eastAsia="cs-CZ"/>
        </w:rPr>
        <w:t xml:space="preserve"> musí být na základě zákona a </w:t>
      </w:r>
      <w:r w:rsidR="00943D3C">
        <w:rPr>
          <w:rFonts w:ascii="Times New Roman" w:eastAsia="Times New Roman" w:hAnsi="Times New Roman" w:cs="Times New Roman"/>
          <w:sz w:val="24"/>
          <w:szCs w:val="24"/>
          <w:lang w:eastAsia="cs-CZ"/>
        </w:rPr>
        <w:t xml:space="preserve">musí být </w:t>
      </w:r>
      <w:r w:rsidRPr="00BE0F58">
        <w:rPr>
          <w:rFonts w:ascii="Times New Roman" w:eastAsia="Times New Roman" w:hAnsi="Times New Roman" w:cs="Times New Roman"/>
          <w:sz w:val="24"/>
          <w:szCs w:val="24"/>
          <w:lang w:eastAsia="cs-CZ"/>
        </w:rPr>
        <w:t>nezbytný v demokratické společnosti. Uvedené požadavky jsou v navrhované právní úpravě ve</w:t>
      </w:r>
      <w:r w:rsidR="00943D3C">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spojení s </w:t>
      </w:r>
      <w:r w:rsidR="002E0407">
        <w:rPr>
          <w:rFonts w:ascii="Times New Roman" w:eastAsia="Times New Roman" w:hAnsi="Times New Roman" w:cs="Times New Roman"/>
          <w:sz w:val="24"/>
          <w:szCs w:val="24"/>
          <w:lang w:eastAsia="cs-CZ"/>
        </w:rPr>
        <w:t>n</w:t>
      </w:r>
      <w:r w:rsidRPr="00BE0F58">
        <w:rPr>
          <w:rFonts w:ascii="Times New Roman" w:eastAsia="Times New Roman" w:hAnsi="Times New Roman" w:cs="Times New Roman"/>
          <w:sz w:val="24"/>
          <w:szCs w:val="24"/>
          <w:lang w:eastAsia="cs-CZ"/>
        </w:rPr>
        <w:t>ařízením respektovány</w:t>
      </w:r>
      <w:r w:rsidR="00943D3C">
        <w:rPr>
          <w:rFonts w:ascii="Times New Roman" w:eastAsia="Times New Roman" w:hAnsi="Times New Roman" w:cs="Times New Roman"/>
          <w:sz w:val="24"/>
          <w:szCs w:val="24"/>
          <w:lang w:eastAsia="cs-CZ"/>
        </w:rPr>
        <w:t xml:space="preserve"> (</w:t>
      </w:r>
      <w:r w:rsidRPr="00BE0F58">
        <w:rPr>
          <w:rFonts w:ascii="Times New Roman" w:eastAsia="Times New Roman" w:hAnsi="Times New Roman" w:cs="Times New Roman"/>
          <w:sz w:val="24"/>
          <w:szCs w:val="24"/>
          <w:lang w:eastAsia="cs-CZ"/>
        </w:rPr>
        <w:t>údaj</w:t>
      </w:r>
      <w:r w:rsidR="00943D3C">
        <w:rPr>
          <w:rFonts w:ascii="Times New Roman" w:eastAsia="Times New Roman" w:hAnsi="Times New Roman" w:cs="Times New Roman"/>
          <w:sz w:val="24"/>
          <w:szCs w:val="24"/>
          <w:lang w:eastAsia="cs-CZ"/>
        </w:rPr>
        <w:t>e</w:t>
      </w:r>
      <w:r w:rsidRPr="00BE0F58">
        <w:rPr>
          <w:rFonts w:ascii="Times New Roman" w:eastAsia="Times New Roman" w:hAnsi="Times New Roman" w:cs="Times New Roman"/>
          <w:sz w:val="24"/>
          <w:szCs w:val="24"/>
          <w:lang w:eastAsia="cs-CZ"/>
        </w:rPr>
        <w:t xml:space="preserve"> o provozu a obsahu </w:t>
      </w:r>
      <w:r w:rsidR="00943D3C">
        <w:rPr>
          <w:rFonts w:ascii="Times New Roman" w:eastAsia="Times New Roman" w:hAnsi="Times New Roman" w:cs="Times New Roman"/>
          <w:sz w:val="24"/>
          <w:szCs w:val="24"/>
          <w:lang w:eastAsia="cs-CZ"/>
        </w:rPr>
        <w:t>mohou být vyžadovány pouze v souvislosti s řízení</w:t>
      </w:r>
      <w:r w:rsidR="001B388C">
        <w:rPr>
          <w:rFonts w:ascii="Times New Roman" w:eastAsia="Times New Roman" w:hAnsi="Times New Roman" w:cs="Times New Roman"/>
          <w:sz w:val="24"/>
          <w:szCs w:val="24"/>
          <w:lang w:eastAsia="cs-CZ"/>
        </w:rPr>
        <w:t>m</w:t>
      </w:r>
      <w:r w:rsidR="00943D3C">
        <w:rPr>
          <w:rFonts w:ascii="Times New Roman" w:eastAsia="Times New Roman" w:hAnsi="Times New Roman" w:cs="Times New Roman"/>
          <w:sz w:val="24"/>
          <w:szCs w:val="24"/>
          <w:lang w:eastAsia="cs-CZ"/>
        </w:rPr>
        <w:t xml:space="preserve"> o trestných činech </w:t>
      </w:r>
      <w:r w:rsidRPr="00BE0F58">
        <w:rPr>
          <w:rFonts w:ascii="Times New Roman" w:eastAsia="Times New Roman" w:hAnsi="Times New Roman" w:cs="Times New Roman"/>
          <w:sz w:val="24"/>
          <w:szCs w:val="24"/>
          <w:lang w:eastAsia="cs-CZ"/>
        </w:rPr>
        <w:t>vyšší typov</w:t>
      </w:r>
      <w:r w:rsidR="00943D3C">
        <w:rPr>
          <w:rFonts w:ascii="Times New Roman" w:eastAsia="Times New Roman" w:hAnsi="Times New Roman" w:cs="Times New Roman"/>
          <w:sz w:val="24"/>
          <w:szCs w:val="24"/>
          <w:lang w:eastAsia="cs-CZ"/>
        </w:rPr>
        <w:t>é</w:t>
      </w:r>
      <w:r w:rsidRPr="00BE0F58">
        <w:rPr>
          <w:rFonts w:ascii="Times New Roman" w:eastAsia="Times New Roman" w:hAnsi="Times New Roman" w:cs="Times New Roman"/>
          <w:sz w:val="24"/>
          <w:szCs w:val="24"/>
          <w:lang w:eastAsia="cs-CZ"/>
        </w:rPr>
        <w:t xml:space="preserve"> závažnost</w:t>
      </w:r>
      <w:r w:rsidR="00943D3C">
        <w:rPr>
          <w:rFonts w:ascii="Times New Roman" w:eastAsia="Times New Roman" w:hAnsi="Times New Roman" w:cs="Times New Roman"/>
          <w:sz w:val="24"/>
          <w:szCs w:val="24"/>
          <w:lang w:eastAsia="cs-CZ"/>
        </w:rPr>
        <w:t>i</w:t>
      </w:r>
      <w:r w:rsidRPr="00BE0F58">
        <w:rPr>
          <w:rFonts w:ascii="Times New Roman" w:eastAsia="Times New Roman" w:hAnsi="Times New Roman" w:cs="Times New Roman"/>
          <w:sz w:val="24"/>
          <w:szCs w:val="24"/>
          <w:lang w:eastAsia="cs-CZ"/>
        </w:rPr>
        <w:t>,</w:t>
      </w:r>
      <w:r w:rsidR="00943D3C">
        <w:rPr>
          <w:rFonts w:ascii="Times New Roman" w:eastAsia="Times New Roman" w:hAnsi="Times New Roman" w:cs="Times New Roman"/>
          <w:sz w:val="24"/>
          <w:szCs w:val="24"/>
          <w:lang w:eastAsia="cs-CZ"/>
        </w:rPr>
        <w:t xml:space="preserve"> kdy</w:t>
      </w:r>
      <w:r w:rsidRPr="00BE0F58">
        <w:rPr>
          <w:rFonts w:ascii="Times New Roman" w:eastAsia="Times New Roman" w:hAnsi="Times New Roman" w:cs="Times New Roman"/>
          <w:sz w:val="24"/>
          <w:szCs w:val="24"/>
          <w:lang w:eastAsia="cs-CZ"/>
        </w:rPr>
        <w:t xml:space="preserve"> sledovaným cílem je </w:t>
      </w:r>
      <w:r w:rsidR="00943D3C">
        <w:rPr>
          <w:rFonts w:ascii="Times New Roman" w:eastAsia="Times New Roman" w:hAnsi="Times New Roman" w:cs="Times New Roman"/>
          <w:sz w:val="24"/>
          <w:szCs w:val="24"/>
          <w:lang w:eastAsia="cs-CZ"/>
        </w:rPr>
        <w:t>t</w:t>
      </w:r>
      <w:r w:rsidRPr="00BE0F58">
        <w:rPr>
          <w:rFonts w:ascii="Times New Roman" w:eastAsia="Times New Roman" w:hAnsi="Times New Roman" w:cs="Times New Roman"/>
          <w:sz w:val="24"/>
          <w:szCs w:val="24"/>
          <w:lang w:eastAsia="cs-CZ"/>
        </w:rPr>
        <w:t xml:space="preserve">ak efektivní postihování </w:t>
      </w:r>
      <w:r w:rsidR="00943D3C">
        <w:rPr>
          <w:rFonts w:ascii="Times New Roman" w:eastAsia="Times New Roman" w:hAnsi="Times New Roman" w:cs="Times New Roman"/>
          <w:sz w:val="24"/>
          <w:szCs w:val="24"/>
          <w:lang w:eastAsia="cs-CZ"/>
        </w:rPr>
        <w:t xml:space="preserve">závažné </w:t>
      </w:r>
      <w:r w:rsidRPr="00BE0F58">
        <w:rPr>
          <w:rFonts w:ascii="Times New Roman" w:eastAsia="Times New Roman" w:hAnsi="Times New Roman" w:cs="Times New Roman"/>
          <w:sz w:val="24"/>
          <w:szCs w:val="24"/>
          <w:lang w:eastAsia="cs-CZ"/>
        </w:rPr>
        <w:t>trestné činnosti</w:t>
      </w:r>
      <w:r w:rsidR="00943D3C">
        <w:rPr>
          <w:rFonts w:ascii="Times New Roman" w:eastAsia="Times New Roman" w:hAnsi="Times New Roman" w:cs="Times New Roman"/>
          <w:sz w:val="24"/>
          <w:szCs w:val="24"/>
          <w:lang w:eastAsia="cs-CZ"/>
        </w:rPr>
        <w:t>)</w:t>
      </w:r>
      <w:r w:rsidRPr="00BE0F58">
        <w:rPr>
          <w:rFonts w:ascii="Times New Roman" w:eastAsia="Times New Roman" w:hAnsi="Times New Roman" w:cs="Times New Roman"/>
          <w:sz w:val="24"/>
          <w:szCs w:val="24"/>
          <w:lang w:eastAsia="cs-CZ"/>
        </w:rPr>
        <w:t xml:space="preserve">. </w:t>
      </w:r>
    </w:p>
    <w:p w14:paraId="56ACC214" w14:textId="4C614BBF" w:rsidR="0051223C" w:rsidRPr="00BE0F58"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Právo na soukromí a rodinný život je obecně chráněno také v článcích 17 a 23 Mezinárodního paktu o občanských a politických právech</w:t>
      </w:r>
      <w:r w:rsidR="00347F8D">
        <w:rPr>
          <w:rFonts w:ascii="Times New Roman" w:eastAsia="Times New Roman" w:hAnsi="Times New Roman" w:cs="Times New Roman"/>
          <w:sz w:val="24"/>
          <w:szCs w:val="24"/>
          <w:lang w:eastAsia="cs-CZ"/>
        </w:rPr>
        <w:t xml:space="preserve"> </w:t>
      </w:r>
      <w:r w:rsidR="00347F8D" w:rsidRPr="00BE0F58">
        <w:rPr>
          <w:rFonts w:ascii="Times New Roman" w:eastAsia="Times New Roman" w:hAnsi="Times New Roman" w:cs="Times New Roman"/>
          <w:sz w:val="24"/>
          <w:szCs w:val="24"/>
          <w:lang w:eastAsia="cs-CZ"/>
        </w:rPr>
        <w:t>(</w:t>
      </w:r>
      <w:proofErr w:type="spellStart"/>
      <w:r w:rsidR="00347F8D" w:rsidRPr="00BE0F58">
        <w:rPr>
          <w:rFonts w:ascii="Times New Roman" w:eastAsia="Times New Roman" w:hAnsi="Times New Roman" w:cs="Times New Roman"/>
          <w:sz w:val="24"/>
          <w:szCs w:val="24"/>
          <w:lang w:eastAsia="cs-CZ"/>
        </w:rPr>
        <w:t>vyhl</w:t>
      </w:r>
      <w:proofErr w:type="spellEnd"/>
      <w:r w:rsidR="00347F8D" w:rsidRPr="00BE0F58">
        <w:rPr>
          <w:rFonts w:ascii="Times New Roman" w:eastAsia="Times New Roman" w:hAnsi="Times New Roman" w:cs="Times New Roman"/>
          <w:sz w:val="24"/>
          <w:szCs w:val="24"/>
          <w:lang w:eastAsia="cs-CZ"/>
        </w:rPr>
        <w:t>. ve Sbírce zákonů pod č. 1</w:t>
      </w:r>
      <w:r w:rsidR="00347F8D">
        <w:rPr>
          <w:rFonts w:ascii="Times New Roman" w:eastAsia="Times New Roman" w:hAnsi="Times New Roman" w:cs="Times New Roman"/>
          <w:sz w:val="24"/>
          <w:szCs w:val="24"/>
          <w:lang w:eastAsia="cs-CZ"/>
        </w:rPr>
        <w:t>20</w:t>
      </w:r>
      <w:r w:rsidR="00347F8D" w:rsidRPr="00BE0F58">
        <w:rPr>
          <w:rFonts w:ascii="Times New Roman" w:eastAsia="Times New Roman" w:hAnsi="Times New Roman" w:cs="Times New Roman"/>
          <w:sz w:val="24"/>
          <w:szCs w:val="24"/>
          <w:lang w:eastAsia="cs-CZ"/>
        </w:rPr>
        <w:t>/19</w:t>
      </w:r>
      <w:r w:rsidR="00347F8D">
        <w:rPr>
          <w:rFonts w:ascii="Times New Roman" w:eastAsia="Times New Roman" w:hAnsi="Times New Roman" w:cs="Times New Roman"/>
          <w:sz w:val="24"/>
          <w:szCs w:val="24"/>
          <w:lang w:eastAsia="cs-CZ"/>
        </w:rPr>
        <w:t>76</w:t>
      </w:r>
      <w:r w:rsidR="00347F8D" w:rsidRPr="00BE0F58">
        <w:rPr>
          <w:rFonts w:ascii="Times New Roman" w:eastAsia="Times New Roman" w:hAnsi="Times New Roman" w:cs="Times New Roman"/>
          <w:sz w:val="24"/>
          <w:szCs w:val="24"/>
          <w:lang w:eastAsia="cs-CZ"/>
        </w:rPr>
        <w:t xml:space="preserve"> Sb.)</w:t>
      </w:r>
      <w:r w:rsidRPr="00BE0F58">
        <w:rPr>
          <w:rFonts w:ascii="Times New Roman" w:eastAsia="Times New Roman" w:hAnsi="Times New Roman" w:cs="Times New Roman"/>
          <w:sz w:val="24"/>
          <w:szCs w:val="24"/>
          <w:lang w:eastAsia="cs-CZ"/>
        </w:rPr>
        <w:t>. Ve</w:t>
      </w:r>
      <w:r w:rsidR="00347F8D">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vztahu k dítěti je pak právo na ochranu soukromí a rodinného života chráněno v článku 16 Úmluvy o právech dítěte (</w:t>
      </w:r>
      <w:proofErr w:type="spellStart"/>
      <w:r w:rsidRPr="00BE0F58">
        <w:rPr>
          <w:rFonts w:ascii="Times New Roman" w:eastAsia="Times New Roman" w:hAnsi="Times New Roman" w:cs="Times New Roman"/>
          <w:sz w:val="24"/>
          <w:szCs w:val="24"/>
          <w:lang w:eastAsia="cs-CZ"/>
        </w:rPr>
        <w:t>vyhl</w:t>
      </w:r>
      <w:proofErr w:type="spellEnd"/>
      <w:r w:rsidRPr="00BE0F58">
        <w:rPr>
          <w:rFonts w:ascii="Times New Roman" w:eastAsia="Times New Roman" w:hAnsi="Times New Roman" w:cs="Times New Roman"/>
          <w:sz w:val="24"/>
          <w:szCs w:val="24"/>
          <w:lang w:eastAsia="cs-CZ"/>
        </w:rPr>
        <w:t>. ve Sbírce zákonů pod č. 104/1991 Sb.).</w:t>
      </w:r>
    </w:p>
    <w:p w14:paraId="3C9E5EA5" w14:textId="2FF98CAE" w:rsidR="0051223C" w:rsidRDefault="0051223C" w:rsidP="00A1611D">
      <w:pPr>
        <w:spacing w:before="120" w:after="0" w:line="240" w:lineRule="auto"/>
        <w:jc w:val="both"/>
        <w:rPr>
          <w:rFonts w:ascii="Times New Roman" w:eastAsia="Times New Roman" w:hAnsi="Times New Roman" w:cs="Times New Roman"/>
          <w:color w:val="000000"/>
          <w:sz w:val="24"/>
          <w:szCs w:val="24"/>
          <w:lang w:eastAsia="cs-CZ"/>
        </w:rPr>
      </w:pPr>
      <w:r w:rsidRPr="00BE0F58">
        <w:rPr>
          <w:rFonts w:ascii="Times New Roman" w:eastAsia="Times New Roman" w:hAnsi="Times New Roman" w:cs="Times New Roman"/>
          <w:sz w:val="24"/>
          <w:szCs w:val="24"/>
          <w:lang w:eastAsia="cs-CZ"/>
        </w:rPr>
        <w:t>Pokud jde o mezinárodní smlouvy</w:t>
      </w:r>
      <w:r>
        <w:rPr>
          <w:rFonts w:ascii="Times New Roman" w:eastAsia="Times New Roman" w:hAnsi="Times New Roman" w:cs="Times New Roman"/>
          <w:sz w:val="24"/>
          <w:szCs w:val="24"/>
          <w:lang w:eastAsia="cs-CZ"/>
        </w:rPr>
        <w:t xml:space="preserve"> </w:t>
      </w:r>
      <w:r w:rsidR="00347F8D">
        <w:rPr>
          <w:rFonts w:ascii="Times New Roman" w:eastAsia="Times New Roman" w:hAnsi="Times New Roman" w:cs="Times New Roman"/>
          <w:sz w:val="24"/>
          <w:szCs w:val="24"/>
          <w:lang w:eastAsia="cs-CZ"/>
        </w:rPr>
        <w:t xml:space="preserve">uzavřené </w:t>
      </w:r>
      <w:r>
        <w:rPr>
          <w:rFonts w:ascii="Times New Roman" w:eastAsia="Times New Roman" w:hAnsi="Times New Roman" w:cs="Times New Roman"/>
          <w:sz w:val="24"/>
          <w:szCs w:val="24"/>
          <w:lang w:eastAsia="cs-CZ"/>
        </w:rPr>
        <w:t>v oblasti justiční spolupráce</w:t>
      </w:r>
      <w:r w:rsidRPr="00BE0F58">
        <w:rPr>
          <w:rFonts w:ascii="Times New Roman" w:eastAsia="Times New Roman" w:hAnsi="Times New Roman" w:cs="Times New Roman"/>
          <w:sz w:val="24"/>
          <w:szCs w:val="24"/>
          <w:lang w:eastAsia="cs-CZ"/>
        </w:rPr>
        <w:t xml:space="preserve">, vztah k nim vymezuje článek 32 </w:t>
      </w:r>
      <w:r w:rsidR="002E0407">
        <w:rPr>
          <w:rFonts w:ascii="Times New Roman" w:eastAsia="Times New Roman" w:hAnsi="Times New Roman" w:cs="Times New Roman"/>
          <w:sz w:val="24"/>
          <w:szCs w:val="24"/>
          <w:lang w:eastAsia="cs-CZ"/>
        </w:rPr>
        <w:t>n</w:t>
      </w:r>
      <w:r w:rsidRPr="00BE0F58">
        <w:rPr>
          <w:rFonts w:ascii="Times New Roman" w:eastAsia="Times New Roman" w:hAnsi="Times New Roman" w:cs="Times New Roman"/>
          <w:sz w:val="24"/>
          <w:szCs w:val="24"/>
          <w:lang w:eastAsia="cs-CZ"/>
        </w:rPr>
        <w:t xml:space="preserve">ařízení, který uvádí, </w:t>
      </w:r>
      <w:r>
        <w:rPr>
          <w:rFonts w:ascii="Times New Roman" w:eastAsia="Times New Roman" w:hAnsi="Times New Roman" w:cs="Times New Roman"/>
          <w:sz w:val="24"/>
          <w:szCs w:val="24"/>
          <w:lang w:eastAsia="cs-CZ"/>
        </w:rPr>
        <w:t xml:space="preserve">že </w:t>
      </w:r>
      <w:r w:rsidR="002E0407">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 xml:space="preserve">ařízením </w:t>
      </w:r>
      <w:r w:rsidRPr="00BE0F58">
        <w:rPr>
          <w:rFonts w:ascii="Times New Roman" w:eastAsia="Times New Roman" w:hAnsi="Times New Roman" w:cs="Times New Roman"/>
          <w:color w:val="000000"/>
          <w:sz w:val="24"/>
          <w:szCs w:val="24"/>
          <w:lang w:eastAsia="cs-CZ"/>
        </w:rPr>
        <w:t>nejsou dotčeny mezinárodní nástroje, dohody a ujednání o shromažďování důkazů, které spad</w:t>
      </w:r>
      <w:r w:rsidR="00347F8D">
        <w:rPr>
          <w:rFonts w:ascii="Times New Roman" w:eastAsia="Times New Roman" w:hAnsi="Times New Roman" w:cs="Times New Roman"/>
          <w:color w:val="000000"/>
          <w:sz w:val="24"/>
          <w:szCs w:val="24"/>
          <w:lang w:eastAsia="cs-CZ"/>
        </w:rPr>
        <w:t>ají</w:t>
      </w:r>
      <w:r w:rsidRPr="00BE0F58">
        <w:rPr>
          <w:rFonts w:ascii="Times New Roman" w:eastAsia="Times New Roman" w:hAnsi="Times New Roman" w:cs="Times New Roman"/>
          <w:color w:val="000000"/>
          <w:sz w:val="24"/>
          <w:szCs w:val="24"/>
          <w:lang w:eastAsia="cs-CZ"/>
        </w:rPr>
        <w:t xml:space="preserve"> do oblasti působnosti tohoto nařízení.</w:t>
      </w:r>
      <w:r>
        <w:rPr>
          <w:rFonts w:ascii="Times New Roman" w:eastAsia="Times New Roman" w:hAnsi="Times New Roman" w:cs="Times New Roman"/>
          <w:sz w:val="24"/>
          <w:szCs w:val="24"/>
          <w:lang w:eastAsia="cs-CZ"/>
        </w:rPr>
        <w:t xml:space="preserve"> </w:t>
      </w:r>
      <w:r w:rsidRPr="00BE0F58">
        <w:rPr>
          <w:rFonts w:ascii="Times New Roman" w:eastAsia="Times New Roman" w:hAnsi="Times New Roman" w:cs="Times New Roman"/>
          <w:color w:val="000000"/>
          <w:sz w:val="24"/>
          <w:szCs w:val="24"/>
          <w:lang w:eastAsia="cs-CZ"/>
        </w:rPr>
        <w:t xml:space="preserve">Členské státy </w:t>
      </w:r>
      <w:r>
        <w:rPr>
          <w:rFonts w:ascii="Times New Roman" w:eastAsia="Times New Roman" w:hAnsi="Times New Roman" w:cs="Times New Roman"/>
          <w:color w:val="000000"/>
          <w:sz w:val="24"/>
          <w:szCs w:val="24"/>
          <w:lang w:eastAsia="cs-CZ"/>
        </w:rPr>
        <w:t xml:space="preserve">EU jsou povinny </w:t>
      </w:r>
      <w:r w:rsidRPr="00BE0F58">
        <w:rPr>
          <w:rFonts w:ascii="Times New Roman" w:eastAsia="Times New Roman" w:hAnsi="Times New Roman" w:cs="Times New Roman"/>
          <w:color w:val="000000"/>
          <w:sz w:val="24"/>
          <w:szCs w:val="24"/>
          <w:lang w:eastAsia="cs-CZ"/>
        </w:rPr>
        <w:t>do 18. srpna 2026 oznám</w:t>
      </w:r>
      <w:r>
        <w:rPr>
          <w:rFonts w:ascii="Times New Roman" w:eastAsia="Times New Roman" w:hAnsi="Times New Roman" w:cs="Times New Roman"/>
          <w:color w:val="000000"/>
          <w:sz w:val="24"/>
          <w:szCs w:val="24"/>
          <w:lang w:eastAsia="cs-CZ"/>
        </w:rPr>
        <w:t>it</w:t>
      </w:r>
      <w:r w:rsidRPr="00BE0F58">
        <w:rPr>
          <w:rFonts w:ascii="Times New Roman" w:eastAsia="Times New Roman" w:hAnsi="Times New Roman" w:cs="Times New Roman"/>
          <w:color w:val="000000"/>
          <w:sz w:val="24"/>
          <w:szCs w:val="24"/>
          <w:lang w:eastAsia="cs-CZ"/>
        </w:rPr>
        <w:t xml:space="preserve"> Komisi nástroje, dohody a ujednání, kter</w:t>
      </w:r>
      <w:r>
        <w:rPr>
          <w:rFonts w:ascii="Times New Roman" w:eastAsia="Times New Roman" w:hAnsi="Times New Roman" w:cs="Times New Roman"/>
          <w:color w:val="000000"/>
          <w:sz w:val="24"/>
          <w:szCs w:val="24"/>
          <w:lang w:eastAsia="cs-CZ"/>
        </w:rPr>
        <w:t>á</w:t>
      </w:r>
      <w:r w:rsidRPr="00BE0F58">
        <w:rPr>
          <w:rFonts w:ascii="Times New Roman" w:eastAsia="Times New Roman" w:hAnsi="Times New Roman" w:cs="Times New Roman"/>
          <w:color w:val="000000"/>
          <w:sz w:val="24"/>
          <w:szCs w:val="24"/>
          <w:lang w:eastAsia="cs-CZ"/>
        </w:rPr>
        <w:t xml:space="preserve"> budou i nadále používat. Členské státy </w:t>
      </w:r>
      <w:r>
        <w:rPr>
          <w:rFonts w:ascii="Times New Roman" w:eastAsia="Times New Roman" w:hAnsi="Times New Roman" w:cs="Times New Roman"/>
          <w:color w:val="000000"/>
          <w:sz w:val="24"/>
          <w:szCs w:val="24"/>
          <w:lang w:eastAsia="cs-CZ"/>
        </w:rPr>
        <w:t xml:space="preserve">EU </w:t>
      </w:r>
      <w:r w:rsidRPr="00BE0F58">
        <w:rPr>
          <w:rFonts w:ascii="Times New Roman" w:eastAsia="Times New Roman" w:hAnsi="Times New Roman" w:cs="Times New Roman"/>
          <w:color w:val="000000"/>
          <w:sz w:val="24"/>
          <w:szCs w:val="24"/>
          <w:lang w:eastAsia="cs-CZ"/>
        </w:rPr>
        <w:t>rovněž oznámí Komisi nové dohody nebo ujednání do tří měsíců od jejich podpisu.</w:t>
      </w:r>
      <w:r>
        <w:rPr>
          <w:rFonts w:ascii="Times New Roman" w:eastAsia="Times New Roman" w:hAnsi="Times New Roman" w:cs="Times New Roman"/>
          <w:color w:val="000000"/>
          <w:sz w:val="24"/>
          <w:szCs w:val="24"/>
          <w:lang w:eastAsia="cs-CZ"/>
        </w:rPr>
        <w:t xml:space="preserve"> Česká republika takové oznámení učiní, přičemž lze předpokládat, že obsahově bude podobné </w:t>
      </w:r>
      <w:r w:rsidR="00347F8D">
        <w:rPr>
          <w:rFonts w:ascii="Times New Roman" w:eastAsia="Times New Roman" w:hAnsi="Times New Roman" w:cs="Times New Roman"/>
          <w:color w:val="000000"/>
          <w:sz w:val="24"/>
          <w:szCs w:val="24"/>
          <w:lang w:eastAsia="cs-CZ"/>
        </w:rPr>
        <w:t>oznámení, které bylo učiněno v návaznosti na </w:t>
      </w:r>
      <w:r>
        <w:rPr>
          <w:rFonts w:ascii="Times New Roman" w:eastAsia="Times New Roman" w:hAnsi="Times New Roman" w:cs="Times New Roman"/>
          <w:color w:val="000000"/>
          <w:sz w:val="24"/>
          <w:szCs w:val="24"/>
          <w:lang w:eastAsia="cs-CZ"/>
        </w:rPr>
        <w:t>směrnic</w:t>
      </w:r>
      <w:r w:rsidR="00347F8D">
        <w:rPr>
          <w:rFonts w:ascii="Times New Roman" w:eastAsia="Times New Roman" w:hAnsi="Times New Roman" w:cs="Times New Roman"/>
          <w:color w:val="000000"/>
          <w:sz w:val="24"/>
          <w:szCs w:val="24"/>
          <w:lang w:eastAsia="cs-CZ"/>
        </w:rPr>
        <w:t>i</w:t>
      </w:r>
      <w:r>
        <w:rPr>
          <w:rFonts w:ascii="Times New Roman" w:eastAsia="Times New Roman" w:hAnsi="Times New Roman" w:cs="Times New Roman"/>
          <w:color w:val="000000"/>
          <w:sz w:val="24"/>
          <w:szCs w:val="24"/>
          <w:lang w:eastAsia="cs-CZ"/>
        </w:rPr>
        <w:t xml:space="preserve"> </w:t>
      </w:r>
      <w:r w:rsidRPr="003C5515">
        <w:rPr>
          <w:rFonts w:ascii="Times New Roman" w:eastAsia="Times New Roman" w:hAnsi="Times New Roman" w:cs="Times New Roman"/>
          <w:color w:val="000000"/>
          <w:sz w:val="24"/>
          <w:szCs w:val="24"/>
          <w:lang w:eastAsia="cs-CZ"/>
        </w:rPr>
        <w:t xml:space="preserve">Evropského parlamentu a Rady 2014/41/EU ze dne 3. dubna 2014 </w:t>
      </w:r>
      <w:r>
        <w:rPr>
          <w:rFonts w:ascii="Times New Roman" w:eastAsia="Times New Roman" w:hAnsi="Times New Roman" w:cs="Times New Roman"/>
          <w:color w:val="000000"/>
          <w:sz w:val="24"/>
          <w:szCs w:val="24"/>
          <w:lang w:eastAsia="cs-CZ"/>
        </w:rPr>
        <w:t>o evropském vyšetřovacím příkazu</w:t>
      </w:r>
      <w:r w:rsidRPr="003C5515">
        <w:t xml:space="preserve"> </w:t>
      </w:r>
      <w:r w:rsidRPr="003C5515">
        <w:rPr>
          <w:rFonts w:ascii="Times New Roman" w:eastAsia="Times New Roman" w:hAnsi="Times New Roman" w:cs="Times New Roman"/>
          <w:color w:val="000000"/>
          <w:sz w:val="24"/>
          <w:szCs w:val="24"/>
          <w:lang w:eastAsia="cs-CZ"/>
        </w:rPr>
        <w:t>v trestních věcech</w:t>
      </w:r>
      <w:r>
        <w:rPr>
          <w:rFonts w:ascii="Times New Roman" w:eastAsia="Times New Roman" w:hAnsi="Times New Roman" w:cs="Times New Roman"/>
          <w:color w:val="000000"/>
          <w:sz w:val="24"/>
          <w:szCs w:val="24"/>
          <w:lang w:eastAsia="cs-CZ"/>
        </w:rPr>
        <w:t xml:space="preserve">, </w:t>
      </w:r>
      <w:r w:rsidR="00347F8D">
        <w:rPr>
          <w:rFonts w:ascii="Times New Roman" w:eastAsia="Times New Roman" w:hAnsi="Times New Roman" w:cs="Times New Roman"/>
          <w:color w:val="000000"/>
          <w:sz w:val="24"/>
          <w:szCs w:val="24"/>
          <w:lang w:eastAsia="cs-CZ"/>
        </w:rPr>
        <w:t xml:space="preserve">kdy </w:t>
      </w:r>
      <w:r>
        <w:rPr>
          <w:rFonts w:ascii="Times New Roman" w:eastAsia="Times New Roman" w:hAnsi="Times New Roman" w:cs="Times New Roman"/>
          <w:color w:val="000000"/>
          <w:sz w:val="24"/>
          <w:szCs w:val="24"/>
          <w:lang w:eastAsia="cs-CZ"/>
        </w:rPr>
        <w:t xml:space="preserve">pouze budou případně zohledněny nové sjednávané smlouvy v této oblasti. </w:t>
      </w:r>
    </w:p>
    <w:p w14:paraId="22A1B091" w14:textId="77777777" w:rsidR="0051223C" w:rsidRPr="00764901" w:rsidRDefault="0051223C" w:rsidP="00A1611D">
      <w:pPr>
        <w:spacing w:before="120"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Relevantními smlouvami v oblasti přeshraničního získávání elektronických důkazů jsou zejména:</w:t>
      </w:r>
    </w:p>
    <w:p w14:paraId="2FFF6F3D" w14:textId="77777777" w:rsidR="0051223C" w:rsidRPr="00295530" w:rsidRDefault="0051223C" w:rsidP="00A1611D">
      <w:pPr>
        <w:pStyle w:val="Odstavecseseznamem"/>
        <w:numPr>
          <w:ilvl w:val="0"/>
          <w:numId w:val="19"/>
        </w:numPr>
        <w:spacing w:before="120" w:after="0" w:line="240" w:lineRule="auto"/>
        <w:ind w:left="426" w:hanging="426"/>
        <w:contextualSpacing w:val="0"/>
        <w:jc w:val="both"/>
      </w:pPr>
      <w:r w:rsidRPr="00295530">
        <w:t>Evropská úmluva Rady Evropy o vzájemné pomoci ve věcech trestních ze dne 20. dubna 1959 (vyhlášená pod č. 550/1992 Sb.), jakož i její dva dodatkové protokoly a dvoustranné dohody uzavřené podle článku 26 této úmluvy,</w:t>
      </w:r>
    </w:p>
    <w:p w14:paraId="755B325A" w14:textId="446B69D2" w:rsidR="0051223C" w:rsidRPr="00295530" w:rsidRDefault="0051223C" w:rsidP="00A1611D">
      <w:pPr>
        <w:pStyle w:val="Odstavecseseznamem"/>
        <w:numPr>
          <w:ilvl w:val="0"/>
          <w:numId w:val="19"/>
        </w:numPr>
        <w:spacing w:before="120" w:after="0" w:line="240" w:lineRule="auto"/>
        <w:ind w:left="426" w:hanging="426"/>
        <w:contextualSpacing w:val="0"/>
        <w:jc w:val="both"/>
      </w:pPr>
      <w:r w:rsidRPr="00295530">
        <w:t>Úmluva o vzájemné pomoci v trestních věcech mezi členskými státy Evropské unie, vypracovaná Radou na základě článku 34 Smlouvy o Evropské unii (vyhlášená pod č.</w:t>
      </w:r>
      <w:r w:rsidR="001C7BDF">
        <w:t> </w:t>
      </w:r>
      <w:r w:rsidRPr="00295530">
        <w:t>55/2006 Sb.</w:t>
      </w:r>
      <w:r w:rsidR="00B4434E">
        <w:t xml:space="preserve"> </w:t>
      </w:r>
      <w:r w:rsidRPr="00295530">
        <w:t>m.</w:t>
      </w:r>
      <w:r w:rsidR="00B4434E">
        <w:t xml:space="preserve"> </w:t>
      </w:r>
      <w:r w:rsidRPr="00295530">
        <w:t>s.) a její protokol,</w:t>
      </w:r>
    </w:p>
    <w:p w14:paraId="46A79391" w14:textId="77777777" w:rsidR="0051223C" w:rsidRPr="00F86580" w:rsidRDefault="0051223C" w:rsidP="00A1611D">
      <w:pPr>
        <w:pStyle w:val="Odstavecseseznamem"/>
        <w:numPr>
          <w:ilvl w:val="0"/>
          <w:numId w:val="19"/>
        </w:numPr>
        <w:spacing w:before="120" w:after="0" w:line="240" w:lineRule="auto"/>
        <w:ind w:left="426" w:hanging="426"/>
        <w:contextualSpacing w:val="0"/>
        <w:jc w:val="both"/>
        <w:rPr>
          <w:rFonts w:eastAsia="Times New Roman"/>
          <w:lang w:eastAsia="cs-CZ"/>
        </w:rPr>
      </w:pPr>
      <w:r w:rsidRPr="00295530">
        <w:t>Úmluva Rady Evropy o počítačové kriminalitě, přijatá</w:t>
      </w:r>
      <w:r w:rsidRPr="00764901">
        <w:rPr>
          <w:rFonts w:eastAsia="Times New Roman"/>
          <w:bCs w:val="0"/>
          <w:lang w:eastAsia="cs-CZ"/>
        </w:rPr>
        <w:t xml:space="preserve"> v Budapešti dne 23. listopadu 2001</w:t>
      </w:r>
      <w:r>
        <w:rPr>
          <w:rFonts w:eastAsia="Times New Roman"/>
          <w:bCs w:val="0"/>
          <w:lang w:eastAsia="cs-CZ"/>
        </w:rPr>
        <w:t xml:space="preserve"> (vyhlášená pod č. 104/2013 Sb. m. s.).</w:t>
      </w:r>
    </w:p>
    <w:p w14:paraId="25D4F8AB" w14:textId="1396BBDE" w:rsidR="0051223C" w:rsidRPr="00AF24DF" w:rsidRDefault="0051223C" w:rsidP="00A1611D">
      <w:pPr>
        <w:spacing w:before="120" w:after="0" w:line="240" w:lineRule="auto"/>
        <w:jc w:val="both"/>
        <w:rPr>
          <w:rFonts w:ascii="Times New Roman" w:eastAsia="Times New Roman" w:hAnsi="Times New Roman" w:cs="Times New Roman"/>
          <w:sz w:val="24"/>
          <w:szCs w:val="24"/>
          <w:lang w:eastAsia="cs-CZ"/>
        </w:rPr>
      </w:pPr>
      <w:r w:rsidRPr="00C72E43">
        <w:rPr>
          <w:rFonts w:ascii="Times New Roman" w:eastAsia="Times New Roman" w:hAnsi="Times New Roman" w:cs="Times New Roman"/>
          <w:sz w:val="24"/>
          <w:szCs w:val="24"/>
          <w:lang w:eastAsia="cs-CZ"/>
        </w:rPr>
        <w:t xml:space="preserve">Aktuálně </w:t>
      </w:r>
      <w:r>
        <w:rPr>
          <w:rFonts w:ascii="Times New Roman" w:eastAsia="Times New Roman" w:hAnsi="Times New Roman" w:cs="Times New Roman"/>
          <w:sz w:val="24"/>
          <w:szCs w:val="24"/>
          <w:lang w:eastAsia="cs-CZ"/>
        </w:rPr>
        <w:t xml:space="preserve">byl v rámci Rady Evropy sjednán Druhý dodatkový protokol k Úmluvě </w:t>
      </w:r>
      <w:r w:rsidRPr="00A90456">
        <w:rPr>
          <w:rFonts w:ascii="Times New Roman" w:eastAsia="Times New Roman" w:hAnsi="Times New Roman" w:cs="Times New Roman"/>
          <w:sz w:val="24"/>
          <w:szCs w:val="24"/>
          <w:lang w:eastAsia="cs-CZ"/>
        </w:rPr>
        <w:t>o</w:t>
      </w:r>
      <w:r w:rsidR="001C7BDF">
        <w:rPr>
          <w:rFonts w:ascii="Times New Roman" w:eastAsia="Times New Roman" w:hAnsi="Times New Roman" w:cs="Times New Roman"/>
          <w:sz w:val="24"/>
          <w:szCs w:val="24"/>
          <w:lang w:eastAsia="cs-CZ"/>
        </w:rPr>
        <w:t> </w:t>
      </w:r>
      <w:r w:rsidRPr="00A90456">
        <w:rPr>
          <w:rFonts w:ascii="Times New Roman" w:eastAsia="Times New Roman" w:hAnsi="Times New Roman" w:cs="Times New Roman"/>
          <w:sz w:val="24"/>
          <w:szCs w:val="24"/>
          <w:lang w:eastAsia="cs-CZ"/>
        </w:rPr>
        <w:t xml:space="preserve">počítačové kriminalitě o posílené spolupráci a zpřístupňování elektronických důkazů, který Česká republika </w:t>
      </w:r>
      <w:r w:rsidRPr="00A90456">
        <w:rPr>
          <w:rFonts w:ascii="Times New Roman" w:hAnsi="Times New Roman" w:cs="Times New Roman"/>
          <w:sz w:val="24"/>
          <w:szCs w:val="24"/>
        </w:rPr>
        <w:t xml:space="preserve">podepsala dne 20. </w:t>
      </w:r>
      <w:r w:rsidR="001C7BDF">
        <w:rPr>
          <w:rFonts w:ascii="Times New Roman" w:hAnsi="Times New Roman" w:cs="Times New Roman"/>
          <w:sz w:val="24"/>
          <w:szCs w:val="24"/>
        </w:rPr>
        <w:t>června</w:t>
      </w:r>
      <w:r w:rsidRPr="00A90456">
        <w:rPr>
          <w:rFonts w:ascii="Times New Roman" w:hAnsi="Times New Roman" w:cs="Times New Roman"/>
          <w:sz w:val="24"/>
          <w:szCs w:val="24"/>
        </w:rPr>
        <w:t xml:space="preserve"> 2024, a to s výhradou ratifikace.</w:t>
      </w:r>
      <w:r w:rsidRPr="00A90456">
        <w:rPr>
          <w:rFonts w:ascii="Times New Roman" w:eastAsia="Times New Roman" w:hAnsi="Times New Roman" w:cs="Times New Roman"/>
          <w:sz w:val="24"/>
          <w:szCs w:val="24"/>
          <w:lang w:eastAsia="cs-CZ"/>
        </w:rPr>
        <w:t xml:space="preserve"> Předmětný dodatkový protokol upravuje mimo jiné přímou spolupráci se </w:t>
      </w:r>
      <w:r w:rsidRPr="00A90456">
        <w:rPr>
          <w:rFonts w:ascii="Times New Roman" w:hAnsi="Times New Roman" w:cs="Times New Roman"/>
          <w:color w:val="000000"/>
          <w:sz w:val="24"/>
          <w:szCs w:val="24"/>
        </w:rPr>
        <w:t>subjekty poskytujícími služby v oblasti registrace jmen domén</w:t>
      </w:r>
      <w:r w:rsidRPr="00A90456">
        <w:rPr>
          <w:rFonts w:ascii="Times New Roman" w:eastAsia="Times New Roman" w:hAnsi="Times New Roman" w:cs="Times New Roman"/>
          <w:sz w:val="24"/>
          <w:szCs w:val="24"/>
          <w:lang w:eastAsia="cs-CZ"/>
        </w:rPr>
        <w:t xml:space="preserve"> spočívající v možnosti žádat údaje </w:t>
      </w:r>
      <w:r w:rsidRPr="00A90456">
        <w:rPr>
          <w:rFonts w:ascii="Times New Roman" w:hAnsi="Times New Roman" w:cs="Times New Roman"/>
          <w:color w:val="000000"/>
          <w:sz w:val="24"/>
          <w:szCs w:val="24"/>
        </w:rPr>
        <w:t xml:space="preserve">s cílem identifikovat držitele registrace jména domény. Dále je upravena možnost žádat po poskytovateli služby </w:t>
      </w:r>
      <w:r w:rsidRPr="00A90456">
        <w:rPr>
          <w:rFonts w:ascii="Times New Roman" w:eastAsia="Times New Roman" w:hAnsi="Times New Roman" w:cs="Times New Roman"/>
          <w:sz w:val="24"/>
          <w:szCs w:val="24"/>
          <w:lang w:eastAsia="cs-CZ"/>
        </w:rPr>
        <w:t xml:space="preserve">údaje </w:t>
      </w:r>
      <w:r w:rsidRPr="00A90456">
        <w:rPr>
          <w:rFonts w:ascii="Times New Roman" w:hAnsi="Times New Roman" w:cs="Times New Roman"/>
          <w:color w:val="000000"/>
          <w:sz w:val="24"/>
          <w:szCs w:val="24"/>
        </w:rPr>
        <w:t>o</w:t>
      </w:r>
      <w:r w:rsidR="001C7BDF">
        <w:rPr>
          <w:rFonts w:ascii="Times New Roman" w:hAnsi="Times New Roman" w:cs="Times New Roman"/>
          <w:color w:val="000000"/>
          <w:sz w:val="24"/>
          <w:szCs w:val="24"/>
        </w:rPr>
        <w:t> </w:t>
      </w:r>
      <w:r w:rsidRPr="00A90456">
        <w:rPr>
          <w:rFonts w:ascii="Times New Roman" w:hAnsi="Times New Roman" w:cs="Times New Roman"/>
          <w:color w:val="000000"/>
          <w:sz w:val="24"/>
          <w:szCs w:val="24"/>
        </w:rPr>
        <w:t>účastníkovi,</w:t>
      </w:r>
      <w:r w:rsidRPr="00A90456">
        <w:rPr>
          <w:rFonts w:ascii="Times New Roman" w:hAnsi="Times New Roman" w:cs="Times New Roman"/>
          <w:color w:val="000000"/>
          <w:spacing w:val="41"/>
          <w:sz w:val="24"/>
          <w:szCs w:val="24"/>
        </w:rPr>
        <w:t xml:space="preserve"> </w:t>
      </w:r>
      <w:r w:rsidRPr="00A90456">
        <w:rPr>
          <w:rFonts w:ascii="Times New Roman" w:hAnsi="Times New Roman" w:cs="Times New Roman"/>
          <w:color w:val="000000"/>
          <w:sz w:val="24"/>
          <w:szCs w:val="24"/>
        </w:rPr>
        <w:t>které</w:t>
      </w:r>
      <w:r w:rsidRPr="00A90456">
        <w:rPr>
          <w:rFonts w:ascii="Times New Roman" w:hAnsi="Times New Roman" w:cs="Times New Roman"/>
          <w:color w:val="000000"/>
          <w:spacing w:val="40"/>
          <w:sz w:val="24"/>
          <w:szCs w:val="24"/>
        </w:rPr>
        <w:t xml:space="preserve"> </w:t>
      </w:r>
      <w:r w:rsidRPr="00A90456">
        <w:rPr>
          <w:rFonts w:ascii="Times New Roman" w:hAnsi="Times New Roman" w:cs="Times New Roman"/>
          <w:color w:val="000000"/>
          <w:sz w:val="24"/>
          <w:szCs w:val="24"/>
        </w:rPr>
        <w:t>má</w:t>
      </w:r>
      <w:r w:rsidRPr="00A90456">
        <w:rPr>
          <w:rFonts w:ascii="Times New Roman" w:hAnsi="Times New Roman" w:cs="Times New Roman"/>
          <w:color w:val="000000"/>
          <w:spacing w:val="40"/>
          <w:sz w:val="24"/>
          <w:szCs w:val="24"/>
        </w:rPr>
        <w:t xml:space="preserve"> </w:t>
      </w:r>
      <w:r w:rsidRPr="00A90456">
        <w:rPr>
          <w:rFonts w:ascii="Times New Roman" w:hAnsi="Times New Roman" w:cs="Times New Roman"/>
          <w:color w:val="000000"/>
          <w:sz w:val="24"/>
          <w:szCs w:val="24"/>
        </w:rPr>
        <w:t>uvedený</w:t>
      </w:r>
      <w:r w:rsidRPr="00A90456">
        <w:rPr>
          <w:rFonts w:ascii="Times New Roman" w:hAnsi="Times New Roman" w:cs="Times New Roman"/>
          <w:color w:val="000000"/>
          <w:spacing w:val="40"/>
          <w:sz w:val="24"/>
          <w:szCs w:val="24"/>
        </w:rPr>
        <w:t xml:space="preserve"> </w:t>
      </w:r>
      <w:r w:rsidRPr="00A90456">
        <w:rPr>
          <w:rFonts w:ascii="Times New Roman" w:hAnsi="Times New Roman" w:cs="Times New Roman"/>
          <w:color w:val="000000"/>
          <w:sz w:val="24"/>
          <w:szCs w:val="24"/>
        </w:rPr>
        <w:t>poskytovatel</w:t>
      </w:r>
      <w:r w:rsidRPr="00A90456">
        <w:rPr>
          <w:rFonts w:ascii="Times New Roman" w:hAnsi="Times New Roman" w:cs="Times New Roman"/>
          <w:color w:val="000000"/>
          <w:spacing w:val="41"/>
          <w:sz w:val="24"/>
          <w:szCs w:val="24"/>
        </w:rPr>
        <w:t xml:space="preserve"> </w:t>
      </w:r>
      <w:r w:rsidRPr="00A90456">
        <w:rPr>
          <w:rFonts w:ascii="Times New Roman" w:hAnsi="Times New Roman" w:cs="Times New Roman"/>
          <w:color w:val="000000"/>
          <w:sz w:val="24"/>
          <w:szCs w:val="24"/>
        </w:rPr>
        <w:t>služeb</w:t>
      </w:r>
      <w:r w:rsidRPr="00A90456">
        <w:rPr>
          <w:rFonts w:ascii="Times New Roman" w:hAnsi="Times New Roman" w:cs="Times New Roman"/>
          <w:color w:val="000000"/>
          <w:spacing w:val="40"/>
          <w:sz w:val="24"/>
          <w:szCs w:val="24"/>
        </w:rPr>
        <w:t xml:space="preserve"> </w:t>
      </w:r>
      <w:r w:rsidRPr="00A90456">
        <w:rPr>
          <w:rFonts w:ascii="Times New Roman" w:hAnsi="Times New Roman" w:cs="Times New Roman"/>
          <w:color w:val="000000"/>
          <w:sz w:val="24"/>
          <w:szCs w:val="24"/>
        </w:rPr>
        <w:t>ve</w:t>
      </w:r>
      <w:r w:rsidRPr="00A90456">
        <w:rPr>
          <w:rFonts w:ascii="Times New Roman" w:hAnsi="Times New Roman" w:cs="Times New Roman"/>
          <w:color w:val="000000"/>
          <w:spacing w:val="40"/>
          <w:sz w:val="24"/>
          <w:szCs w:val="24"/>
        </w:rPr>
        <w:t xml:space="preserve"> </w:t>
      </w:r>
      <w:r w:rsidRPr="00A90456">
        <w:rPr>
          <w:rFonts w:ascii="Times New Roman" w:hAnsi="Times New Roman" w:cs="Times New Roman"/>
          <w:color w:val="000000"/>
          <w:sz w:val="24"/>
          <w:szCs w:val="24"/>
        </w:rPr>
        <w:t>svém</w:t>
      </w:r>
      <w:r w:rsidRPr="00AF24DF">
        <w:rPr>
          <w:rFonts w:ascii="Times New Roman" w:hAnsi="Times New Roman" w:cs="Times New Roman"/>
          <w:color w:val="000000"/>
          <w:spacing w:val="41"/>
          <w:sz w:val="24"/>
          <w:szCs w:val="24"/>
        </w:rPr>
        <w:t xml:space="preserve"> </w:t>
      </w:r>
      <w:r w:rsidRPr="00AF24DF">
        <w:rPr>
          <w:rFonts w:ascii="Times New Roman" w:hAnsi="Times New Roman" w:cs="Times New Roman"/>
          <w:color w:val="000000"/>
          <w:spacing w:val="-3"/>
          <w:sz w:val="24"/>
          <w:szCs w:val="24"/>
        </w:rPr>
        <w:t>držení</w:t>
      </w:r>
      <w:r w:rsidRPr="00AF24DF">
        <w:rPr>
          <w:rFonts w:ascii="Times New Roman" w:hAnsi="Times New Roman" w:cs="Times New Roman"/>
          <w:sz w:val="24"/>
          <w:szCs w:val="24"/>
        </w:rPr>
        <w:t xml:space="preserve"> </w:t>
      </w:r>
      <w:r w:rsidRPr="00AF24DF">
        <w:rPr>
          <w:rFonts w:ascii="Times New Roman" w:hAnsi="Times New Roman" w:cs="Times New Roman"/>
          <w:color w:val="000000"/>
          <w:sz w:val="24"/>
          <w:szCs w:val="24"/>
        </w:rPr>
        <w:t>nebo pod svou kontrolou</w:t>
      </w:r>
      <w:r>
        <w:rPr>
          <w:rFonts w:ascii="Times New Roman" w:hAnsi="Times New Roman" w:cs="Times New Roman"/>
          <w:color w:val="000000"/>
          <w:sz w:val="24"/>
          <w:szCs w:val="24"/>
        </w:rPr>
        <w:t>. Pokud jde o data o účastníkovi a data o provozu, je možné se obrátit na orgán jiného smluvního státu s žádostí o</w:t>
      </w:r>
      <w:r w:rsidR="001C7BDF">
        <w:rPr>
          <w:rFonts w:ascii="Times New Roman" w:hAnsi="Times New Roman" w:cs="Times New Roman"/>
          <w:color w:val="000000"/>
          <w:sz w:val="24"/>
          <w:szCs w:val="24"/>
        </w:rPr>
        <w:t> </w:t>
      </w:r>
      <w:r>
        <w:rPr>
          <w:rFonts w:ascii="Times New Roman" w:hAnsi="Times New Roman" w:cs="Times New Roman"/>
          <w:color w:val="000000"/>
          <w:sz w:val="24"/>
          <w:szCs w:val="24"/>
        </w:rPr>
        <w:t xml:space="preserve">vymožení povinnosti poskytovatele taková data vydat. </w:t>
      </w:r>
    </w:p>
    <w:p w14:paraId="76548D89" w14:textId="1647DCC8" w:rsidR="0051223C" w:rsidRDefault="0051223C"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Další iniciativou na poli přeshraničního získávání elektronických důkazů bylo přijetí rozhodnutí </w:t>
      </w:r>
      <w:r w:rsidRPr="008A0070">
        <w:rPr>
          <w:rFonts w:ascii="Times New Roman" w:hAnsi="Times New Roman" w:cs="Times New Roman"/>
          <w:bCs/>
          <w:sz w:val="24"/>
          <w:szCs w:val="24"/>
        </w:rPr>
        <w:t>Ra</w:t>
      </w:r>
      <w:r>
        <w:rPr>
          <w:rFonts w:ascii="Times New Roman" w:hAnsi="Times New Roman" w:cs="Times New Roman"/>
          <w:bCs/>
          <w:sz w:val="24"/>
          <w:szCs w:val="24"/>
        </w:rPr>
        <w:t>dy</w:t>
      </w:r>
      <w:r w:rsidRPr="008A0070">
        <w:rPr>
          <w:rFonts w:ascii="Times New Roman" w:hAnsi="Times New Roman" w:cs="Times New Roman"/>
          <w:bCs/>
          <w:sz w:val="24"/>
          <w:szCs w:val="24"/>
        </w:rPr>
        <w:t xml:space="preserve"> EU dne 6. </w:t>
      </w:r>
      <w:r w:rsidR="001C7BDF">
        <w:rPr>
          <w:rFonts w:ascii="Times New Roman" w:hAnsi="Times New Roman" w:cs="Times New Roman"/>
          <w:bCs/>
          <w:sz w:val="24"/>
          <w:szCs w:val="24"/>
        </w:rPr>
        <w:t xml:space="preserve">června </w:t>
      </w:r>
      <w:r w:rsidRPr="008A0070">
        <w:rPr>
          <w:rFonts w:ascii="Times New Roman" w:hAnsi="Times New Roman" w:cs="Times New Roman"/>
          <w:bCs/>
          <w:sz w:val="24"/>
          <w:szCs w:val="24"/>
        </w:rPr>
        <w:t>2019</w:t>
      </w:r>
      <w:r>
        <w:rPr>
          <w:rFonts w:ascii="Times New Roman" w:hAnsi="Times New Roman" w:cs="Times New Roman"/>
          <w:bCs/>
          <w:sz w:val="24"/>
          <w:szCs w:val="24"/>
        </w:rPr>
        <w:t xml:space="preserve">, kterým Rada zmocnila </w:t>
      </w:r>
      <w:r w:rsidR="00D96E05">
        <w:rPr>
          <w:rFonts w:ascii="Times New Roman" w:hAnsi="Times New Roman" w:cs="Times New Roman"/>
          <w:bCs/>
          <w:sz w:val="24"/>
          <w:szCs w:val="24"/>
        </w:rPr>
        <w:t>K</w:t>
      </w:r>
      <w:r>
        <w:rPr>
          <w:rFonts w:ascii="Times New Roman" w:hAnsi="Times New Roman" w:cs="Times New Roman"/>
          <w:bCs/>
          <w:sz w:val="24"/>
          <w:szCs w:val="24"/>
        </w:rPr>
        <w:t xml:space="preserve">omisi </w:t>
      </w:r>
      <w:r w:rsidRPr="008A0070">
        <w:rPr>
          <w:rFonts w:ascii="Times New Roman" w:hAnsi="Times New Roman" w:cs="Times New Roman"/>
          <w:sz w:val="24"/>
          <w:szCs w:val="24"/>
        </w:rPr>
        <w:t>k zahájení jednání za</w:t>
      </w:r>
      <w:r w:rsidR="005A252E">
        <w:rPr>
          <w:rFonts w:ascii="Times New Roman" w:hAnsi="Times New Roman" w:cs="Times New Roman"/>
          <w:sz w:val="24"/>
          <w:szCs w:val="24"/>
        </w:rPr>
        <w:t> </w:t>
      </w:r>
      <w:r w:rsidRPr="008A0070">
        <w:rPr>
          <w:rFonts w:ascii="Times New Roman" w:hAnsi="Times New Roman" w:cs="Times New Roman"/>
          <w:sz w:val="24"/>
          <w:szCs w:val="24"/>
        </w:rPr>
        <w:t>účelem uzavření dohody mezi Evropskou unií a Spojenými státy americkými o</w:t>
      </w:r>
      <w:r w:rsidR="005A252E">
        <w:rPr>
          <w:rFonts w:ascii="Times New Roman" w:hAnsi="Times New Roman" w:cs="Times New Roman"/>
          <w:sz w:val="24"/>
          <w:szCs w:val="24"/>
        </w:rPr>
        <w:t> </w:t>
      </w:r>
      <w:r w:rsidRPr="008A0070">
        <w:rPr>
          <w:rFonts w:ascii="Times New Roman" w:hAnsi="Times New Roman" w:cs="Times New Roman"/>
          <w:sz w:val="24"/>
          <w:szCs w:val="24"/>
        </w:rPr>
        <w:t>přeshraničním přístupu k elektronickým důkazům pro justiční spolupráci v trestních věcech a</w:t>
      </w:r>
      <w:r w:rsidR="005A252E">
        <w:rPr>
          <w:rFonts w:ascii="Times New Roman" w:hAnsi="Times New Roman" w:cs="Times New Roman"/>
          <w:sz w:val="24"/>
          <w:szCs w:val="24"/>
        </w:rPr>
        <w:t> </w:t>
      </w:r>
      <w:r w:rsidRPr="008A0070">
        <w:rPr>
          <w:rFonts w:ascii="Times New Roman" w:hAnsi="Times New Roman" w:cs="Times New Roman"/>
          <w:sz w:val="24"/>
          <w:szCs w:val="24"/>
        </w:rPr>
        <w:t>dodatek k tomuto rozhodnutí obsahující vyjednávací směrnice</w:t>
      </w:r>
      <w:r>
        <w:rPr>
          <w:rFonts w:ascii="Times New Roman" w:hAnsi="Times New Roman" w:cs="Times New Roman"/>
          <w:sz w:val="24"/>
          <w:szCs w:val="24"/>
        </w:rPr>
        <w:t xml:space="preserve">. </w:t>
      </w:r>
      <w:r w:rsidRPr="008A0070">
        <w:rPr>
          <w:rFonts w:ascii="Times New Roman" w:hAnsi="Times New Roman" w:cs="Times New Roman"/>
          <w:bCs/>
          <w:sz w:val="24"/>
          <w:szCs w:val="24"/>
        </w:rPr>
        <w:t xml:space="preserve">Dohoda má být tzv. </w:t>
      </w:r>
      <w:proofErr w:type="spellStart"/>
      <w:r w:rsidRPr="008A0070">
        <w:rPr>
          <w:rFonts w:ascii="Times New Roman" w:hAnsi="Times New Roman" w:cs="Times New Roman"/>
          <w:bCs/>
          <w:i/>
          <w:iCs/>
          <w:sz w:val="24"/>
          <w:szCs w:val="24"/>
        </w:rPr>
        <w:t>executive</w:t>
      </w:r>
      <w:proofErr w:type="spellEnd"/>
      <w:r w:rsidRPr="008A0070">
        <w:rPr>
          <w:rFonts w:ascii="Times New Roman" w:hAnsi="Times New Roman" w:cs="Times New Roman"/>
          <w:bCs/>
          <w:i/>
          <w:iCs/>
          <w:sz w:val="24"/>
          <w:szCs w:val="24"/>
        </w:rPr>
        <w:t xml:space="preserve"> </w:t>
      </w:r>
      <w:proofErr w:type="spellStart"/>
      <w:r w:rsidRPr="008A0070">
        <w:rPr>
          <w:rFonts w:ascii="Times New Roman" w:hAnsi="Times New Roman" w:cs="Times New Roman"/>
          <w:bCs/>
          <w:i/>
          <w:iCs/>
          <w:sz w:val="24"/>
          <w:szCs w:val="24"/>
        </w:rPr>
        <w:t>agreement</w:t>
      </w:r>
      <w:proofErr w:type="spellEnd"/>
      <w:r w:rsidRPr="008A0070">
        <w:rPr>
          <w:rFonts w:ascii="Times New Roman" w:hAnsi="Times New Roman" w:cs="Times New Roman"/>
          <w:bCs/>
          <w:sz w:val="24"/>
          <w:szCs w:val="24"/>
        </w:rPr>
        <w:t xml:space="preserve"> ve smyslu amerického zákona stručně označovaného jako US Cloud </w:t>
      </w:r>
      <w:proofErr w:type="spellStart"/>
      <w:r w:rsidRPr="008A0070">
        <w:rPr>
          <w:rFonts w:ascii="Times New Roman" w:hAnsi="Times New Roman" w:cs="Times New Roman"/>
          <w:bCs/>
          <w:sz w:val="24"/>
          <w:szCs w:val="24"/>
        </w:rPr>
        <w:t>Act</w:t>
      </w:r>
      <w:proofErr w:type="spellEnd"/>
      <w:r w:rsidRPr="008A0070">
        <w:rPr>
          <w:rStyle w:val="Znakapoznpodarou"/>
          <w:rFonts w:ascii="Times New Roman" w:hAnsi="Times New Roman" w:cs="Times New Roman"/>
          <w:sz w:val="24"/>
          <w:szCs w:val="24"/>
        </w:rPr>
        <w:footnoteReference w:id="1"/>
      </w:r>
      <w:r w:rsidRPr="008A0070">
        <w:rPr>
          <w:rFonts w:ascii="Times New Roman" w:hAnsi="Times New Roman" w:cs="Times New Roman"/>
          <w:bCs/>
          <w:sz w:val="24"/>
          <w:szCs w:val="24"/>
        </w:rPr>
        <w:t xml:space="preserve"> a jejím účelem </w:t>
      </w:r>
      <w:r>
        <w:rPr>
          <w:rFonts w:ascii="Times New Roman" w:hAnsi="Times New Roman" w:cs="Times New Roman"/>
          <w:bCs/>
          <w:sz w:val="24"/>
          <w:szCs w:val="24"/>
        </w:rPr>
        <w:t xml:space="preserve">má být </w:t>
      </w:r>
      <w:r w:rsidRPr="008A0070">
        <w:rPr>
          <w:rFonts w:ascii="Times New Roman" w:hAnsi="Times New Roman" w:cs="Times New Roman"/>
          <w:sz w:val="24"/>
          <w:szCs w:val="24"/>
        </w:rPr>
        <w:t>řeš</w:t>
      </w:r>
      <w:r>
        <w:rPr>
          <w:rFonts w:ascii="Times New Roman" w:hAnsi="Times New Roman" w:cs="Times New Roman"/>
          <w:sz w:val="24"/>
          <w:szCs w:val="24"/>
        </w:rPr>
        <w:t>ení</w:t>
      </w:r>
      <w:r w:rsidRPr="008A0070">
        <w:rPr>
          <w:rFonts w:ascii="Times New Roman" w:hAnsi="Times New Roman" w:cs="Times New Roman"/>
          <w:sz w:val="24"/>
          <w:szCs w:val="24"/>
        </w:rPr>
        <w:t xml:space="preserve"> konflikt</w:t>
      </w:r>
      <w:r>
        <w:rPr>
          <w:rFonts w:ascii="Times New Roman" w:hAnsi="Times New Roman" w:cs="Times New Roman"/>
          <w:sz w:val="24"/>
          <w:szCs w:val="24"/>
        </w:rPr>
        <w:t>ů</w:t>
      </w:r>
      <w:r w:rsidRPr="008A0070">
        <w:rPr>
          <w:rFonts w:ascii="Times New Roman" w:hAnsi="Times New Roman" w:cs="Times New Roman"/>
          <w:sz w:val="24"/>
          <w:szCs w:val="24"/>
        </w:rPr>
        <w:t xml:space="preserve"> právních úprav, resp. odstran</w:t>
      </w:r>
      <w:r>
        <w:rPr>
          <w:rFonts w:ascii="Times New Roman" w:hAnsi="Times New Roman" w:cs="Times New Roman"/>
          <w:sz w:val="24"/>
          <w:szCs w:val="24"/>
        </w:rPr>
        <w:t>ění</w:t>
      </w:r>
      <w:r w:rsidRPr="008A0070">
        <w:rPr>
          <w:rFonts w:ascii="Times New Roman" w:hAnsi="Times New Roman" w:cs="Times New Roman"/>
          <w:sz w:val="24"/>
          <w:szCs w:val="24"/>
        </w:rPr>
        <w:t xml:space="preserve"> překáž</w:t>
      </w:r>
      <w:r>
        <w:rPr>
          <w:rFonts w:ascii="Times New Roman" w:hAnsi="Times New Roman" w:cs="Times New Roman"/>
          <w:sz w:val="24"/>
          <w:szCs w:val="24"/>
        </w:rPr>
        <w:t>ek</w:t>
      </w:r>
      <w:r w:rsidRPr="008A0070">
        <w:rPr>
          <w:rFonts w:ascii="Times New Roman" w:hAnsi="Times New Roman" w:cs="Times New Roman"/>
          <w:sz w:val="24"/>
          <w:szCs w:val="24"/>
        </w:rPr>
        <w:t>, které by poskytovatelům služeb na území jedné strany bránily poskytovat údaje na základě příkazů orgánů druhé strany.</w:t>
      </w:r>
      <w:r>
        <w:rPr>
          <w:rFonts w:ascii="Times New Roman" w:hAnsi="Times New Roman" w:cs="Times New Roman"/>
          <w:bCs/>
          <w:sz w:val="24"/>
          <w:szCs w:val="24"/>
        </w:rPr>
        <w:t xml:space="preserve"> </w:t>
      </w:r>
    </w:p>
    <w:p w14:paraId="24C6C3AC" w14:textId="4544B8C0" w:rsidR="0051223C" w:rsidRPr="00896A15" w:rsidRDefault="0051223C"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Uvedené smlouvy se uplatní paralelně vedle </w:t>
      </w:r>
      <w:r w:rsidR="002E0407">
        <w:rPr>
          <w:rFonts w:ascii="Times New Roman" w:hAnsi="Times New Roman" w:cs="Times New Roman"/>
          <w:bCs/>
          <w:sz w:val="24"/>
          <w:szCs w:val="24"/>
        </w:rPr>
        <w:t>n</w:t>
      </w:r>
      <w:r>
        <w:rPr>
          <w:rFonts w:ascii="Times New Roman" w:hAnsi="Times New Roman" w:cs="Times New Roman"/>
          <w:bCs/>
          <w:sz w:val="24"/>
          <w:szCs w:val="24"/>
        </w:rPr>
        <w:t xml:space="preserve">ařízení. </w:t>
      </w:r>
    </w:p>
    <w:p w14:paraId="784D5D8C" w14:textId="0F7498D7" w:rsidR="0051223C" w:rsidRPr="00BE0F58"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Pokud jde o bilaterální smlouvy</w:t>
      </w:r>
      <w:r w:rsidR="005A252E">
        <w:rPr>
          <w:rFonts w:ascii="Times New Roman" w:eastAsia="Times New Roman" w:hAnsi="Times New Roman" w:cs="Times New Roman"/>
          <w:sz w:val="24"/>
          <w:szCs w:val="24"/>
          <w:lang w:eastAsia="cs-CZ"/>
        </w:rPr>
        <w:t xml:space="preserve"> uzavřené </w:t>
      </w:r>
      <w:r w:rsidR="005A252E" w:rsidRPr="00BE0F58">
        <w:rPr>
          <w:rFonts w:ascii="Times New Roman" w:eastAsia="Times New Roman" w:hAnsi="Times New Roman" w:cs="Times New Roman"/>
          <w:sz w:val="24"/>
          <w:szCs w:val="24"/>
          <w:lang w:eastAsia="cs-CZ"/>
        </w:rPr>
        <w:t>v oblast</w:t>
      </w:r>
      <w:r w:rsidR="005A252E">
        <w:rPr>
          <w:rFonts w:ascii="Times New Roman" w:eastAsia="Times New Roman" w:hAnsi="Times New Roman" w:cs="Times New Roman"/>
          <w:sz w:val="24"/>
          <w:szCs w:val="24"/>
          <w:lang w:eastAsia="cs-CZ"/>
        </w:rPr>
        <w:t>i</w:t>
      </w:r>
      <w:r w:rsidR="005A252E" w:rsidRPr="00BE0F58">
        <w:rPr>
          <w:rFonts w:ascii="Times New Roman" w:eastAsia="Times New Roman" w:hAnsi="Times New Roman" w:cs="Times New Roman"/>
          <w:sz w:val="24"/>
          <w:szCs w:val="24"/>
          <w:lang w:eastAsia="cs-CZ"/>
        </w:rPr>
        <w:t xml:space="preserve"> justiční spolupráce v trestních věcech</w:t>
      </w:r>
      <w:r w:rsidR="005A252E">
        <w:rPr>
          <w:rFonts w:ascii="Times New Roman" w:eastAsia="Times New Roman" w:hAnsi="Times New Roman" w:cs="Times New Roman"/>
          <w:sz w:val="24"/>
          <w:szCs w:val="24"/>
          <w:lang w:eastAsia="cs-CZ"/>
        </w:rPr>
        <w:t xml:space="preserve"> Českou</w:t>
      </w:r>
      <w:r w:rsidRPr="00BE0F58">
        <w:rPr>
          <w:rFonts w:ascii="Times New Roman" w:eastAsia="Times New Roman" w:hAnsi="Times New Roman" w:cs="Times New Roman"/>
          <w:sz w:val="24"/>
          <w:szCs w:val="24"/>
          <w:lang w:eastAsia="cs-CZ"/>
        </w:rPr>
        <w:t xml:space="preserve"> </w:t>
      </w:r>
      <w:r w:rsidR="005A252E">
        <w:rPr>
          <w:rFonts w:ascii="Times New Roman" w:eastAsia="Times New Roman" w:hAnsi="Times New Roman" w:cs="Times New Roman"/>
          <w:sz w:val="24"/>
          <w:szCs w:val="24"/>
          <w:lang w:eastAsia="cs-CZ"/>
        </w:rPr>
        <w:t xml:space="preserve">republikou </w:t>
      </w:r>
      <w:r w:rsidRPr="00BE0F58">
        <w:rPr>
          <w:rFonts w:ascii="Times New Roman" w:eastAsia="Times New Roman" w:hAnsi="Times New Roman" w:cs="Times New Roman"/>
          <w:sz w:val="24"/>
          <w:szCs w:val="24"/>
          <w:lang w:eastAsia="cs-CZ"/>
        </w:rPr>
        <w:t>s jinými členskými státy</w:t>
      </w:r>
      <w:r w:rsidR="00075D74">
        <w:rPr>
          <w:rFonts w:ascii="Times New Roman" w:eastAsia="Times New Roman" w:hAnsi="Times New Roman" w:cs="Times New Roman"/>
          <w:sz w:val="24"/>
          <w:szCs w:val="24"/>
          <w:lang w:eastAsia="cs-CZ"/>
        </w:rPr>
        <w:t xml:space="preserve"> EU</w:t>
      </w:r>
      <w:r w:rsidRPr="00BE0F58">
        <w:rPr>
          <w:rFonts w:ascii="Times New Roman" w:eastAsia="Times New Roman" w:hAnsi="Times New Roman" w:cs="Times New Roman"/>
          <w:sz w:val="24"/>
          <w:szCs w:val="24"/>
          <w:lang w:eastAsia="cs-CZ"/>
        </w:rPr>
        <w:t xml:space="preserve">, </w:t>
      </w:r>
      <w:r w:rsidR="005A252E">
        <w:rPr>
          <w:rFonts w:ascii="Times New Roman" w:eastAsia="Times New Roman" w:hAnsi="Times New Roman" w:cs="Times New Roman"/>
          <w:sz w:val="24"/>
          <w:szCs w:val="24"/>
          <w:lang w:eastAsia="cs-CZ"/>
        </w:rPr>
        <w:t xml:space="preserve">jde </w:t>
      </w:r>
      <w:r w:rsidRPr="00BE0F58">
        <w:rPr>
          <w:rFonts w:ascii="Times New Roman" w:eastAsia="Times New Roman" w:hAnsi="Times New Roman" w:cs="Times New Roman"/>
          <w:sz w:val="24"/>
          <w:szCs w:val="24"/>
          <w:lang w:eastAsia="cs-CZ"/>
        </w:rPr>
        <w:t xml:space="preserve">zejména </w:t>
      </w:r>
      <w:r w:rsidR="005A252E">
        <w:rPr>
          <w:rFonts w:ascii="Times New Roman" w:eastAsia="Times New Roman" w:hAnsi="Times New Roman" w:cs="Times New Roman"/>
          <w:sz w:val="24"/>
          <w:szCs w:val="24"/>
          <w:lang w:eastAsia="cs-CZ"/>
        </w:rPr>
        <w:t xml:space="preserve">o smlouvy uzavřené </w:t>
      </w:r>
      <w:r w:rsidRPr="00BE0F58">
        <w:rPr>
          <w:rFonts w:ascii="Times New Roman" w:eastAsia="Times New Roman" w:hAnsi="Times New Roman" w:cs="Times New Roman"/>
          <w:sz w:val="24"/>
          <w:szCs w:val="24"/>
          <w:lang w:eastAsia="cs-CZ"/>
        </w:rPr>
        <w:t>s</w:t>
      </w:r>
      <w:r w:rsidR="005A252E">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Bulharskem, Chorvatskem, Itálií, Rakouskem, Rumunskem, Slovenskem, Slovinskem a</w:t>
      </w:r>
      <w:r w:rsidR="005A252E">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 xml:space="preserve">Německem. </w:t>
      </w:r>
    </w:p>
    <w:p w14:paraId="4B0AA950" w14:textId="02B98D57" w:rsidR="0051223C" w:rsidRDefault="0051223C" w:rsidP="00A1611D">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Z relevantních předpisů Evropské unie, které upravují oblast přeshraničního opatřování a</w:t>
      </w:r>
      <w:r w:rsidR="00DF2E06">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 xml:space="preserve">zajištění důkazů, </w:t>
      </w:r>
      <w:r>
        <w:rPr>
          <w:rFonts w:ascii="Times New Roman" w:eastAsia="Times New Roman" w:hAnsi="Times New Roman" w:cs="Times New Roman"/>
          <w:sz w:val="24"/>
          <w:szCs w:val="24"/>
          <w:lang w:eastAsia="cs-CZ"/>
        </w:rPr>
        <w:t xml:space="preserve">je zásadní </w:t>
      </w:r>
      <w:r w:rsidRPr="00BE0F58">
        <w:rPr>
          <w:rFonts w:ascii="Times New Roman" w:hAnsi="Times New Roman" w:cs="Times New Roman"/>
          <w:sz w:val="24"/>
          <w:szCs w:val="24"/>
        </w:rPr>
        <w:t>s</w:t>
      </w:r>
      <w:r w:rsidRPr="00BE0F58">
        <w:rPr>
          <w:rFonts w:ascii="Times New Roman" w:eastAsia="Times New Roman" w:hAnsi="Times New Roman" w:cs="Times New Roman"/>
          <w:sz w:val="24"/>
          <w:szCs w:val="24"/>
          <w:lang w:eastAsia="cs-CZ"/>
        </w:rPr>
        <w:t xml:space="preserve">měrnice Evropského parlamentu a Rady 2014/41/EU </w:t>
      </w:r>
      <w:r w:rsidRPr="00BE0F58">
        <w:rPr>
          <w:rFonts w:ascii="Times New Roman" w:eastAsia="Times New Roman" w:hAnsi="Times New Roman" w:cs="Times New Roman"/>
          <w:color w:val="000000"/>
          <w:sz w:val="24"/>
          <w:szCs w:val="24"/>
          <w:lang w:eastAsia="cs-CZ"/>
        </w:rPr>
        <w:t>ze dne 3.</w:t>
      </w:r>
      <w:r w:rsidR="00DF2E06">
        <w:rPr>
          <w:rFonts w:ascii="Times New Roman" w:eastAsia="Times New Roman" w:hAnsi="Times New Roman" w:cs="Times New Roman"/>
          <w:color w:val="000000"/>
          <w:sz w:val="24"/>
          <w:szCs w:val="24"/>
          <w:lang w:eastAsia="cs-CZ"/>
        </w:rPr>
        <w:t> </w:t>
      </w:r>
      <w:r w:rsidRPr="00BE0F58">
        <w:rPr>
          <w:rFonts w:ascii="Times New Roman" w:eastAsia="Times New Roman" w:hAnsi="Times New Roman" w:cs="Times New Roman"/>
          <w:color w:val="000000"/>
          <w:sz w:val="24"/>
          <w:szCs w:val="24"/>
          <w:lang w:eastAsia="cs-CZ"/>
        </w:rPr>
        <w:t>dubna 2014 o evropském vyšetřovacím příkazu v trestních věcech,</w:t>
      </w:r>
      <w:r>
        <w:rPr>
          <w:rFonts w:ascii="Times New Roman" w:eastAsia="Times New Roman" w:hAnsi="Times New Roman" w:cs="Times New Roman"/>
          <w:color w:val="000000"/>
          <w:sz w:val="24"/>
          <w:szCs w:val="24"/>
          <w:lang w:eastAsia="cs-CZ"/>
        </w:rPr>
        <w:t xml:space="preserve"> která se uplatní mezi členskými státy EU </w:t>
      </w:r>
      <w:r w:rsidR="005A252E">
        <w:rPr>
          <w:rFonts w:ascii="Times New Roman" w:eastAsia="Times New Roman" w:hAnsi="Times New Roman" w:cs="Times New Roman"/>
          <w:color w:val="000000"/>
          <w:sz w:val="24"/>
          <w:szCs w:val="24"/>
          <w:lang w:eastAsia="cs-CZ"/>
        </w:rPr>
        <w:t xml:space="preserve">(implementační úprava je obsažena v </w:t>
      </w:r>
      <w:r>
        <w:rPr>
          <w:rFonts w:ascii="Times New Roman" w:eastAsia="Times New Roman" w:hAnsi="Times New Roman" w:cs="Times New Roman"/>
          <w:color w:val="000000"/>
          <w:sz w:val="24"/>
          <w:szCs w:val="24"/>
          <w:lang w:eastAsia="cs-CZ"/>
        </w:rPr>
        <w:t>části páté hlav</w:t>
      </w:r>
      <w:r w:rsidR="005A252E">
        <w:rPr>
          <w:rFonts w:ascii="Times New Roman" w:eastAsia="Times New Roman" w:hAnsi="Times New Roman" w:cs="Times New Roman"/>
          <w:color w:val="000000"/>
          <w:sz w:val="24"/>
          <w:szCs w:val="24"/>
          <w:lang w:eastAsia="cs-CZ"/>
        </w:rPr>
        <w:t>ě</w:t>
      </w:r>
      <w:r>
        <w:rPr>
          <w:rFonts w:ascii="Times New Roman" w:eastAsia="Times New Roman" w:hAnsi="Times New Roman" w:cs="Times New Roman"/>
          <w:color w:val="000000"/>
          <w:sz w:val="24"/>
          <w:szCs w:val="24"/>
          <w:lang w:eastAsia="cs-CZ"/>
        </w:rPr>
        <w:t xml:space="preserve"> XI ZMJS</w:t>
      </w:r>
      <w:r w:rsidR="005A252E">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w:t>
      </w:r>
      <w:r w:rsidR="005A252E">
        <w:rPr>
          <w:rFonts w:ascii="Times New Roman" w:eastAsia="Times New Roman" w:hAnsi="Times New Roman" w:cs="Times New Roman"/>
          <w:color w:val="000000"/>
          <w:sz w:val="24"/>
          <w:szCs w:val="24"/>
          <w:lang w:eastAsia="cs-CZ"/>
        </w:rPr>
        <w:t>Této s</w:t>
      </w:r>
      <w:r>
        <w:rPr>
          <w:rFonts w:ascii="Times New Roman" w:eastAsia="Times New Roman" w:hAnsi="Times New Roman" w:cs="Times New Roman"/>
          <w:color w:val="000000"/>
          <w:sz w:val="24"/>
          <w:szCs w:val="24"/>
          <w:lang w:eastAsia="cs-CZ"/>
        </w:rPr>
        <w:t xml:space="preserve">měrnice se neúčastní Irsko a Dánsko, vůči kterým se užije </w:t>
      </w:r>
      <w:r w:rsidRPr="00BE0F58">
        <w:rPr>
          <w:rFonts w:ascii="Times New Roman" w:eastAsia="Times New Roman" w:hAnsi="Times New Roman" w:cs="Times New Roman"/>
          <w:sz w:val="24"/>
          <w:szCs w:val="24"/>
          <w:lang w:eastAsia="cs-CZ"/>
        </w:rPr>
        <w:t>rámcové rozhodnutí Rady 2003/577/SVV ze dne 22. července 2003 o výkonu příkazů k zajištění majetku nebo důkazních prostředků v Evropské unii, pokud jde o zajištění důkazních prostředků</w:t>
      </w:r>
      <w:r>
        <w:rPr>
          <w:rFonts w:ascii="Times New Roman" w:eastAsia="Times New Roman" w:hAnsi="Times New Roman" w:cs="Times New Roman"/>
          <w:sz w:val="24"/>
          <w:szCs w:val="24"/>
          <w:lang w:eastAsia="cs-CZ"/>
        </w:rPr>
        <w:t xml:space="preserve"> </w:t>
      </w:r>
      <w:r w:rsidR="005A252E">
        <w:rPr>
          <w:rFonts w:ascii="Times New Roman" w:eastAsia="Times New Roman" w:hAnsi="Times New Roman" w:cs="Times New Roman"/>
          <w:color w:val="000000"/>
          <w:sz w:val="24"/>
          <w:szCs w:val="24"/>
          <w:lang w:eastAsia="cs-CZ"/>
        </w:rPr>
        <w:t xml:space="preserve">(implementační úprava je obsažena v části </w:t>
      </w:r>
      <w:r w:rsidRPr="00BE0F58">
        <w:rPr>
          <w:rFonts w:ascii="Times New Roman" w:eastAsia="Times New Roman" w:hAnsi="Times New Roman" w:cs="Times New Roman"/>
          <w:sz w:val="24"/>
          <w:szCs w:val="24"/>
          <w:lang w:eastAsia="cs-CZ"/>
        </w:rPr>
        <w:t>páté hlav</w:t>
      </w:r>
      <w:r w:rsidR="005A252E">
        <w:rPr>
          <w:rFonts w:ascii="Times New Roman" w:eastAsia="Times New Roman" w:hAnsi="Times New Roman" w:cs="Times New Roman"/>
          <w:sz w:val="24"/>
          <w:szCs w:val="24"/>
          <w:lang w:eastAsia="cs-CZ"/>
        </w:rPr>
        <w:t>ě</w:t>
      </w:r>
      <w:r w:rsidRPr="00BE0F58">
        <w:rPr>
          <w:rFonts w:ascii="Times New Roman" w:eastAsia="Times New Roman" w:hAnsi="Times New Roman" w:cs="Times New Roman"/>
          <w:sz w:val="24"/>
          <w:szCs w:val="24"/>
          <w:lang w:eastAsia="cs-CZ"/>
        </w:rPr>
        <w:t xml:space="preserve"> III</w:t>
      </w:r>
      <w:r>
        <w:rPr>
          <w:rFonts w:ascii="Times New Roman" w:eastAsia="Times New Roman" w:hAnsi="Times New Roman" w:cs="Times New Roman"/>
          <w:sz w:val="24"/>
          <w:szCs w:val="24"/>
          <w:lang w:eastAsia="cs-CZ"/>
        </w:rPr>
        <w:t xml:space="preserve"> ZMJS</w:t>
      </w:r>
      <w:r w:rsidR="005A252E">
        <w:rPr>
          <w:rFonts w:ascii="Times New Roman" w:eastAsia="Times New Roman" w:hAnsi="Times New Roman" w:cs="Times New Roman"/>
          <w:sz w:val="24"/>
          <w:szCs w:val="24"/>
          <w:lang w:eastAsia="cs-CZ"/>
        </w:rPr>
        <w:t>)</w:t>
      </w:r>
      <w:r w:rsidRPr="00BE0F5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Nařízení se uplatní paralelně vedle uvedených předpisů EU</w:t>
      </w:r>
      <w:r w:rsidR="00DF2E06">
        <w:rPr>
          <w:rFonts w:ascii="Times New Roman" w:eastAsia="Times New Roman" w:hAnsi="Times New Roman" w:cs="Times New Roman"/>
          <w:sz w:val="24"/>
          <w:szCs w:val="24"/>
          <w:lang w:eastAsia="cs-CZ"/>
        </w:rPr>
        <w:t>, resp. vedle ustanovení tyto předpisy implementujících</w:t>
      </w:r>
      <w:r>
        <w:rPr>
          <w:rFonts w:ascii="Times New Roman" w:eastAsia="Times New Roman" w:hAnsi="Times New Roman" w:cs="Times New Roman"/>
          <w:sz w:val="24"/>
          <w:szCs w:val="24"/>
          <w:lang w:eastAsia="cs-CZ"/>
        </w:rPr>
        <w:t xml:space="preserve">, neboť upravuje přímou spolupráci s poskytovateli služeb, která </w:t>
      </w:r>
      <w:r w:rsidR="00DF2E06">
        <w:rPr>
          <w:rFonts w:ascii="Times New Roman" w:eastAsia="Times New Roman" w:hAnsi="Times New Roman" w:cs="Times New Roman"/>
          <w:sz w:val="24"/>
          <w:szCs w:val="24"/>
          <w:lang w:eastAsia="cs-CZ"/>
        </w:rPr>
        <w:t xml:space="preserve">ale nijak </w:t>
      </w:r>
      <w:r>
        <w:rPr>
          <w:rFonts w:ascii="Times New Roman" w:eastAsia="Times New Roman" w:hAnsi="Times New Roman" w:cs="Times New Roman"/>
          <w:sz w:val="24"/>
          <w:szCs w:val="24"/>
          <w:lang w:eastAsia="cs-CZ"/>
        </w:rPr>
        <w:t xml:space="preserve">nevylučuje </w:t>
      </w:r>
      <w:r w:rsidR="00DF2E06">
        <w:rPr>
          <w:rFonts w:ascii="Times New Roman" w:eastAsia="Times New Roman" w:hAnsi="Times New Roman" w:cs="Times New Roman"/>
          <w:sz w:val="24"/>
          <w:szCs w:val="24"/>
          <w:lang w:eastAsia="cs-CZ"/>
        </w:rPr>
        <w:t xml:space="preserve">využití </w:t>
      </w:r>
      <w:r>
        <w:rPr>
          <w:rFonts w:ascii="Times New Roman" w:eastAsia="Times New Roman" w:hAnsi="Times New Roman" w:cs="Times New Roman"/>
          <w:sz w:val="24"/>
          <w:szCs w:val="24"/>
          <w:lang w:eastAsia="cs-CZ"/>
        </w:rPr>
        <w:t>tradiční cest</w:t>
      </w:r>
      <w:r w:rsidR="00DF2E06">
        <w:rPr>
          <w:rFonts w:ascii="Times New Roman" w:eastAsia="Times New Roman" w:hAnsi="Times New Roman" w:cs="Times New Roman"/>
          <w:sz w:val="24"/>
          <w:szCs w:val="24"/>
          <w:lang w:eastAsia="cs-CZ"/>
        </w:rPr>
        <w:t>y</w:t>
      </w:r>
      <w:r>
        <w:rPr>
          <w:rFonts w:ascii="Times New Roman" w:eastAsia="Times New Roman" w:hAnsi="Times New Roman" w:cs="Times New Roman"/>
          <w:sz w:val="24"/>
          <w:szCs w:val="24"/>
          <w:lang w:eastAsia="cs-CZ"/>
        </w:rPr>
        <w:t xml:space="preserve"> </w:t>
      </w:r>
      <w:r w:rsidR="00DF2E0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klasické</w:t>
      </w:r>
      <w:r w:rsidR="00DF2E0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justiční spolupráce mezi orgány</w:t>
      </w:r>
      <w:r w:rsidR="005A252E">
        <w:rPr>
          <w:rFonts w:ascii="Times New Roman" w:eastAsia="Times New Roman" w:hAnsi="Times New Roman" w:cs="Times New Roman"/>
          <w:sz w:val="24"/>
          <w:szCs w:val="24"/>
          <w:lang w:eastAsia="cs-CZ"/>
        </w:rPr>
        <w:t xml:space="preserve"> – viz i </w:t>
      </w:r>
      <w:r>
        <w:rPr>
          <w:rFonts w:ascii="Times New Roman" w:eastAsia="Times New Roman" w:hAnsi="Times New Roman" w:cs="Times New Roman"/>
          <w:sz w:val="24"/>
          <w:szCs w:val="24"/>
          <w:lang w:eastAsia="cs-CZ"/>
        </w:rPr>
        <w:t xml:space="preserve">článek 32 </w:t>
      </w:r>
      <w:r w:rsidR="002E0407">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 xml:space="preserve">ařízení, podle něhož </w:t>
      </w:r>
      <w:r w:rsidR="002E0407">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 xml:space="preserve">ařízením nejsou dotčeny unijní předpisy o shromažďování důkazů, které spadá do oblasti působnosti </w:t>
      </w:r>
      <w:r w:rsidR="002E0407">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 xml:space="preserve">ařízení. Vzhledem k tomu, že </w:t>
      </w:r>
      <w:r w:rsidR="002E0407">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ařízení výše uvedenou směrnici a rámcové rozhodnutí neruší</w:t>
      </w:r>
      <w:r w:rsidR="00A40B10">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ani nemodifikuje</w:t>
      </w:r>
      <w:r w:rsidR="00A40B10">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a Česká republika je povinna provést tyto</w:t>
      </w:r>
      <w:r w:rsidR="00A40B10">
        <w:rPr>
          <w:rFonts w:ascii="Times New Roman" w:eastAsia="Times New Roman" w:hAnsi="Times New Roman" w:cs="Times New Roman"/>
          <w:sz w:val="24"/>
          <w:szCs w:val="24"/>
          <w:lang w:eastAsia="cs-CZ"/>
        </w:rPr>
        <w:t xml:space="preserve"> předpisy</w:t>
      </w:r>
      <w:r>
        <w:rPr>
          <w:rFonts w:ascii="Times New Roman" w:eastAsia="Times New Roman" w:hAnsi="Times New Roman" w:cs="Times New Roman"/>
          <w:sz w:val="24"/>
          <w:szCs w:val="24"/>
          <w:lang w:eastAsia="cs-CZ"/>
        </w:rPr>
        <w:t xml:space="preserve"> do svého právního řádu, je zřejmé, že musí umožnit jejich použitelnost vůči členským státům EU, které se budou těchto předpisů dovolávat. </w:t>
      </w:r>
    </w:p>
    <w:p w14:paraId="1144FEEC" w14:textId="5651B228" w:rsidR="00AC62D7" w:rsidRDefault="00AC62D7" w:rsidP="00A1611D">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Navrhovaná právní úprava dále zajišťuje implementaci směrnice o digitalizaci justiční spolupráce, s čímž souvisí přímo účinné nařízení o digitalizaci justiční spolupráce. </w:t>
      </w:r>
      <w:r w:rsidR="00BD407C">
        <w:rPr>
          <w:rFonts w:ascii="Times New Roman" w:eastAsia="Times New Roman" w:hAnsi="Times New Roman" w:cs="Times New Roman"/>
          <w:sz w:val="24"/>
          <w:szCs w:val="24"/>
          <w:lang w:eastAsia="cs-CZ"/>
        </w:rPr>
        <w:t>Tato směrnice mění následující evropské předpisy:</w:t>
      </w:r>
    </w:p>
    <w:p w14:paraId="15A1A293" w14:textId="02DAE593" w:rsidR="00BD407C" w:rsidRDefault="00BD407C" w:rsidP="00A1611D">
      <w:pPr>
        <w:pStyle w:val="Odstavecseseznamem"/>
        <w:numPr>
          <w:ilvl w:val="0"/>
          <w:numId w:val="19"/>
        </w:numPr>
        <w:spacing w:before="120" w:after="0" w:line="240" w:lineRule="auto"/>
        <w:ind w:left="426" w:hanging="426"/>
        <w:contextualSpacing w:val="0"/>
        <w:jc w:val="both"/>
      </w:pPr>
      <w:r w:rsidRPr="00BD407C">
        <w:t xml:space="preserve">rámcové rozhodnutí Rady </w:t>
      </w:r>
      <w:r>
        <w:t xml:space="preserve">2002/584/SVV </w:t>
      </w:r>
      <w:r w:rsidRPr="00BD407C">
        <w:t>ze dne 13. června 2002 o evropském zatýkacím rozkazu a postupech předávání mezi členskými státy</w:t>
      </w:r>
      <w:r>
        <w:t>,</w:t>
      </w:r>
    </w:p>
    <w:p w14:paraId="74E6AF40" w14:textId="6219C71A" w:rsidR="00BD407C" w:rsidRDefault="00BD407C" w:rsidP="00A1611D">
      <w:pPr>
        <w:pStyle w:val="Odstavecseseznamem"/>
        <w:numPr>
          <w:ilvl w:val="0"/>
          <w:numId w:val="19"/>
        </w:numPr>
        <w:spacing w:before="120" w:after="0" w:line="240" w:lineRule="auto"/>
        <w:ind w:left="426" w:hanging="426"/>
        <w:contextualSpacing w:val="0"/>
        <w:jc w:val="both"/>
      </w:pPr>
      <w:r w:rsidRPr="00BD407C">
        <w:t>rámcové</w:t>
      </w:r>
      <w:r>
        <w:t xml:space="preserve"> </w:t>
      </w:r>
      <w:r w:rsidRPr="00BD407C">
        <w:t>rozhodnutí Rady 2003/577/SVV ze dne 22. července 2003 o výkonu příkazů k zajištění majetku nebo důkazních prostředků v Evropské unii</w:t>
      </w:r>
      <w:r>
        <w:t>,</w:t>
      </w:r>
    </w:p>
    <w:p w14:paraId="50DE1FE3" w14:textId="1560CEF8" w:rsidR="00BD407C" w:rsidRDefault="00BD407C" w:rsidP="00A1611D">
      <w:pPr>
        <w:pStyle w:val="Odstavecseseznamem"/>
        <w:numPr>
          <w:ilvl w:val="0"/>
          <w:numId w:val="19"/>
        </w:numPr>
        <w:spacing w:before="120" w:after="0" w:line="240" w:lineRule="auto"/>
        <w:ind w:left="426" w:hanging="426"/>
        <w:contextualSpacing w:val="0"/>
        <w:jc w:val="both"/>
      </w:pPr>
      <w:r w:rsidRPr="00BD407C">
        <w:t>rámcové rozhodnutí Rady 2009/829/SVV ze dne 23. října 2009 o uplatnění zásady vzájemného uznávání na rozhodnutí o opatřeních dohledu jakožto alternativy zajišťovací vazby mezi členskými státy Evropské unie</w:t>
      </w:r>
      <w:r>
        <w:t>,</w:t>
      </w:r>
    </w:p>
    <w:p w14:paraId="747A2832" w14:textId="0AF3955D" w:rsidR="00BD407C" w:rsidRDefault="00BD407C" w:rsidP="00A1611D">
      <w:pPr>
        <w:pStyle w:val="Odstavecseseznamem"/>
        <w:numPr>
          <w:ilvl w:val="0"/>
          <w:numId w:val="19"/>
        </w:numPr>
        <w:spacing w:before="120" w:after="0" w:line="240" w:lineRule="auto"/>
        <w:ind w:left="426" w:hanging="426"/>
        <w:contextualSpacing w:val="0"/>
        <w:jc w:val="both"/>
      </w:pPr>
      <w:r w:rsidRPr="00BD407C">
        <w:t>rámcové rozhodnutí Rady 2009/948/SVV ze dne 30. listopadu 2009 o předcházení kompetenčním sporům při výkonu pravomoci v trestním řízení a jejich řešení,</w:t>
      </w:r>
    </w:p>
    <w:p w14:paraId="0D64F31D" w14:textId="0CD3B206" w:rsidR="00BD407C" w:rsidRDefault="00BD407C" w:rsidP="00A1611D">
      <w:pPr>
        <w:pStyle w:val="Odstavecseseznamem"/>
        <w:numPr>
          <w:ilvl w:val="0"/>
          <w:numId w:val="19"/>
        </w:numPr>
        <w:spacing w:before="120" w:after="0" w:line="240" w:lineRule="auto"/>
        <w:ind w:left="426" w:hanging="426"/>
        <w:contextualSpacing w:val="0"/>
        <w:jc w:val="both"/>
      </w:pPr>
      <w:r w:rsidRPr="00BD407C">
        <w:t>rámcové rozhodnutí Rady 2005/214/SVV ze dne 24. února 2005 o uplatňování zásady vzájemného uznávání peněžitých trestů a pokut</w:t>
      </w:r>
      <w:r>
        <w:t>,</w:t>
      </w:r>
    </w:p>
    <w:p w14:paraId="74CF5734" w14:textId="4C0A54E3" w:rsidR="00BD407C" w:rsidRDefault="00BD407C" w:rsidP="00A1611D">
      <w:pPr>
        <w:pStyle w:val="Odstavecseseznamem"/>
        <w:numPr>
          <w:ilvl w:val="0"/>
          <w:numId w:val="19"/>
        </w:numPr>
        <w:spacing w:before="120" w:after="0" w:line="240" w:lineRule="auto"/>
        <w:ind w:left="426" w:hanging="426"/>
        <w:contextualSpacing w:val="0"/>
        <w:jc w:val="both"/>
      </w:pPr>
      <w:r w:rsidRPr="00BD407C">
        <w:lastRenderedPageBreak/>
        <w:t>rámcové rozhodnutí Rady 2006/783/SVV ze dne 6. října 2006 o uplatňování zásady vzájemného uznávání příkazů ke konfiskaci</w:t>
      </w:r>
      <w:r>
        <w:t>,</w:t>
      </w:r>
    </w:p>
    <w:p w14:paraId="51516485" w14:textId="638C6430" w:rsidR="00BD407C" w:rsidRDefault="00BD407C" w:rsidP="00A1611D">
      <w:pPr>
        <w:pStyle w:val="Odstavecseseznamem"/>
        <w:numPr>
          <w:ilvl w:val="0"/>
          <w:numId w:val="19"/>
        </w:numPr>
        <w:spacing w:before="120" w:after="0" w:line="240" w:lineRule="auto"/>
        <w:ind w:left="426" w:hanging="426"/>
        <w:contextualSpacing w:val="0"/>
        <w:jc w:val="both"/>
      </w:pPr>
      <w:r w:rsidRPr="00BD407C">
        <w:t>rámcové rozhodnutí Rady 2008/909/SVV ze dne 27. listopadu 2008 o uplatňování zásady vzájemného uznávání rozsudků v trestních věcech, které ukládají trest odnětí svobody nebo opatření spojená se zbavením osobní svobody, za účelem jejich výkonu v Evropské unii</w:t>
      </w:r>
      <w:r>
        <w:t>,</w:t>
      </w:r>
    </w:p>
    <w:p w14:paraId="3A8A1B42" w14:textId="7D49108A" w:rsidR="00BD407C" w:rsidRDefault="00BD407C" w:rsidP="00A1611D">
      <w:pPr>
        <w:pStyle w:val="Odstavecseseznamem"/>
        <w:numPr>
          <w:ilvl w:val="0"/>
          <w:numId w:val="19"/>
        </w:numPr>
        <w:spacing w:before="120" w:after="0" w:line="240" w:lineRule="auto"/>
        <w:ind w:left="426" w:hanging="426"/>
        <w:contextualSpacing w:val="0"/>
        <w:jc w:val="both"/>
      </w:pPr>
      <w:r w:rsidRPr="00BD407C">
        <w:t>rámcové rozhodnutí Rady 2008/947/SVV ze dne 27. listopadu 2008 o uplatňování zásady vzájemného uznávání na rozsudky a rozhodnutí o probaci za účelem dohledu nad probačními opatřeními a alternativními tresty</w:t>
      </w:r>
      <w:r>
        <w:t>,</w:t>
      </w:r>
    </w:p>
    <w:p w14:paraId="5F447DC1" w14:textId="74359A57" w:rsidR="00BD407C" w:rsidRDefault="00BD407C" w:rsidP="00A1611D">
      <w:pPr>
        <w:pStyle w:val="Odstavecseseznamem"/>
        <w:numPr>
          <w:ilvl w:val="0"/>
          <w:numId w:val="19"/>
        </w:numPr>
        <w:spacing w:before="120" w:after="0" w:line="240" w:lineRule="auto"/>
        <w:ind w:left="426" w:hanging="426"/>
        <w:contextualSpacing w:val="0"/>
        <w:jc w:val="both"/>
      </w:pPr>
      <w:r w:rsidRPr="00BD407C">
        <w:t>směrnice 2011/99/EU ze dne 13. prosince 2011 o evropském ochranném příkazu</w:t>
      </w:r>
      <w:r>
        <w:t>,</w:t>
      </w:r>
    </w:p>
    <w:p w14:paraId="218F6851" w14:textId="41597683" w:rsidR="00BD407C" w:rsidRPr="00BD407C" w:rsidRDefault="00BD407C" w:rsidP="00A1611D">
      <w:pPr>
        <w:pStyle w:val="Odstavecseseznamem"/>
        <w:numPr>
          <w:ilvl w:val="0"/>
          <w:numId w:val="19"/>
        </w:numPr>
        <w:spacing w:before="120" w:after="0" w:line="240" w:lineRule="auto"/>
        <w:ind w:left="426" w:hanging="426"/>
        <w:contextualSpacing w:val="0"/>
        <w:jc w:val="both"/>
      </w:pPr>
      <w:r w:rsidRPr="00BD407C">
        <w:t>směrnice 2014/41/EU ze dne 3. dubna 2014 o evropském vyšetřovacím příkazu</w:t>
      </w:r>
      <w:r w:rsidR="00295530">
        <w:t xml:space="preserve"> </w:t>
      </w:r>
      <w:r w:rsidRPr="00BD407C">
        <w:t>v</w:t>
      </w:r>
      <w:r w:rsidR="00295530">
        <w:t> </w:t>
      </w:r>
      <w:r w:rsidRPr="00BD407C">
        <w:t>trestních věcech</w:t>
      </w:r>
      <w:r>
        <w:t>.</w:t>
      </w:r>
    </w:p>
    <w:p w14:paraId="730E39CD" w14:textId="77777777" w:rsidR="0051223C" w:rsidRDefault="0051223C" w:rsidP="00A1611D">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 xml:space="preserve">V rámci judikatury Evropského soudního dvora </w:t>
      </w:r>
      <w:r>
        <w:rPr>
          <w:rFonts w:ascii="Times New Roman" w:eastAsia="Times New Roman" w:hAnsi="Times New Roman" w:cs="Times New Roman"/>
          <w:sz w:val="24"/>
          <w:szCs w:val="24"/>
          <w:lang w:eastAsia="cs-CZ"/>
        </w:rPr>
        <w:t>v oblasti mezinárodní justiční spolupráce jsou ve vztahu k navržené právní úpravě relevantní zejména:</w:t>
      </w:r>
    </w:p>
    <w:p w14:paraId="03CC6237" w14:textId="075B39A2" w:rsidR="0051223C" w:rsidRPr="00295530" w:rsidRDefault="00075D74" w:rsidP="00A1611D">
      <w:pPr>
        <w:pStyle w:val="Odstavecseseznamem"/>
        <w:numPr>
          <w:ilvl w:val="0"/>
          <w:numId w:val="19"/>
        </w:numPr>
        <w:spacing w:before="120" w:after="0" w:line="240" w:lineRule="auto"/>
        <w:ind w:left="426" w:hanging="426"/>
        <w:contextualSpacing w:val="0"/>
        <w:jc w:val="both"/>
      </w:pPr>
      <w:r>
        <w:rPr>
          <w:rFonts w:eastAsia="Calibri"/>
          <w:lang w:eastAsia="cs-CZ"/>
        </w:rPr>
        <w:t>r</w:t>
      </w:r>
      <w:r w:rsidR="0051223C" w:rsidRPr="00AF1D0A">
        <w:rPr>
          <w:rFonts w:eastAsia="Calibri"/>
          <w:lang w:eastAsia="cs-CZ"/>
        </w:rPr>
        <w:t xml:space="preserve">ozsudek pátého senátu Soudního dvora EU ze dne 29. dubna 2021 ve věci C-665/20 PPU, z něhož vyplývá, že není v souladu s evropskými předpisy takové ustanovení právního </w:t>
      </w:r>
      <w:r w:rsidR="0051223C" w:rsidRPr="00295530">
        <w:t xml:space="preserve">řádu členského státu </w:t>
      </w:r>
      <w:r>
        <w:t>EU</w:t>
      </w:r>
      <w:r w:rsidR="0051223C" w:rsidRPr="00295530">
        <w:t>, které stanoví určitý důvod pro odmítnutí výkonu mezinárodní justiční spolupráce ve věcech trestních jako obligatorní, pokud je tento důvod v příslušném právním aktu Evropské unie formulován jako fakultativní</w:t>
      </w:r>
      <w:r>
        <w:t xml:space="preserve">, a </w:t>
      </w:r>
    </w:p>
    <w:p w14:paraId="52E08B75" w14:textId="68F02F58" w:rsidR="0051223C" w:rsidRPr="005E758C" w:rsidRDefault="00075D74" w:rsidP="00A1611D">
      <w:pPr>
        <w:pStyle w:val="Odstavecseseznamem"/>
        <w:numPr>
          <w:ilvl w:val="0"/>
          <w:numId w:val="19"/>
        </w:numPr>
        <w:spacing w:before="120" w:after="0" w:line="240" w:lineRule="auto"/>
        <w:ind w:left="426" w:hanging="426"/>
        <w:contextualSpacing w:val="0"/>
        <w:jc w:val="both"/>
        <w:rPr>
          <w:rFonts w:eastAsia="Times New Roman"/>
          <w:bCs w:val="0"/>
          <w:lang w:eastAsia="cs-CZ"/>
        </w:rPr>
      </w:pPr>
      <w:r>
        <w:t>r</w:t>
      </w:r>
      <w:r w:rsidR="0051223C" w:rsidRPr="00295530">
        <w:t xml:space="preserve">ozsudek Soudního dvora EU ze dne </w:t>
      </w:r>
      <w:r w:rsidR="0051223C" w:rsidRPr="00AF1D0A">
        <w:t xml:space="preserve">16. </w:t>
      </w:r>
      <w:r w:rsidR="001C7BDF">
        <w:t>prosince</w:t>
      </w:r>
      <w:r w:rsidR="0051223C" w:rsidRPr="00AF1D0A">
        <w:t xml:space="preserve"> 2021 ve věci C-724/19 HP, </w:t>
      </w:r>
      <w:r w:rsidR="0051223C">
        <w:t>z něhož vyplývá</w:t>
      </w:r>
      <w:r w:rsidR="0051223C" w:rsidRPr="00AF1D0A">
        <w:t xml:space="preserve">, že pokud podle vnitrostátního práva členského státu </w:t>
      </w:r>
      <w:r>
        <w:t>EU</w:t>
      </w:r>
      <w:r w:rsidR="0051223C" w:rsidRPr="00AF1D0A">
        <w:t xml:space="preserve"> má pravomoc nařídit vydání </w:t>
      </w:r>
      <w:r w:rsidR="0051223C" w:rsidRPr="00295530">
        <w:t>provozních a lokalizačních údajů v souvislosti s telekomunikačním provozem (podle českého trestního</w:t>
      </w:r>
      <w:r w:rsidR="0051223C" w:rsidRPr="00AF1D0A">
        <w:rPr>
          <w:color w:val="000000"/>
        </w:rPr>
        <w:t xml:space="preserve"> řádu jde o § 88a</w:t>
      </w:r>
      <w:r w:rsidR="0051223C">
        <w:rPr>
          <w:color w:val="000000"/>
        </w:rPr>
        <w:t xml:space="preserve"> tr. ř.</w:t>
      </w:r>
      <w:r w:rsidR="0051223C" w:rsidRPr="00AF1D0A">
        <w:rPr>
          <w:color w:val="000000"/>
        </w:rPr>
        <w:t>) výlučně soudce, pak není státní zástupce oprávněn sám vydat evropský vyšetřovací příkaz požadující provedení takového úkonu v jiném členském státu</w:t>
      </w:r>
      <w:r>
        <w:rPr>
          <w:color w:val="000000"/>
        </w:rPr>
        <w:t xml:space="preserve"> EU</w:t>
      </w:r>
      <w:r w:rsidR="0051223C" w:rsidRPr="00AF1D0A">
        <w:rPr>
          <w:color w:val="000000"/>
        </w:rPr>
        <w:t xml:space="preserve">. </w:t>
      </w:r>
    </w:p>
    <w:p w14:paraId="0B52D92E" w14:textId="77777777" w:rsidR="0051223C" w:rsidRPr="005E758C" w:rsidRDefault="0051223C" w:rsidP="00A1611D">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5E758C">
        <w:rPr>
          <w:rFonts w:ascii="Times New Roman" w:eastAsia="Times New Roman" w:hAnsi="Times New Roman" w:cs="Times New Roman"/>
          <w:sz w:val="24"/>
          <w:szCs w:val="24"/>
          <w:lang w:eastAsia="cs-CZ"/>
        </w:rPr>
        <w:t xml:space="preserve">Pokud jde o druhý z uvedených rozsudků, členské státy EU jej aplikují různými způsoby, přičemž za rovnocenné vydání příkazu se považuje i udělení souhlasu soudce s příkazem nebo potvrzení příkazu soudcem (formu potvrzení příkazu zvolila i Česká republika). </w:t>
      </w:r>
    </w:p>
    <w:p w14:paraId="01DEC197" w14:textId="59B5620B" w:rsidR="00AC62D7" w:rsidRPr="0051223C" w:rsidRDefault="0051223C" w:rsidP="00A1611D">
      <w:pPr>
        <w:autoSpaceDE w:val="0"/>
        <w:autoSpaceDN w:val="0"/>
        <w:adjustRightInd w:val="0"/>
        <w:spacing w:before="120" w:after="0" w:line="240" w:lineRule="auto"/>
        <w:jc w:val="both"/>
        <w:rPr>
          <w:rFonts w:ascii="Times New Roman" w:eastAsia="Calibri" w:hAnsi="Times New Roman" w:cs="Times New Roman"/>
          <w:bCs/>
          <w:sz w:val="24"/>
          <w:szCs w:val="24"/>
          <w:lang w:eastAsia="cs-CZ"/>
        </w:rPr>
      </w:pPr>
      <w:r w:rsidRPr="004F7B71">
        <w:rPr>
          <w:rFonts w:ascii="Times New Roman" w:eastAsia="Calibri" w:hAnsi="Times New Roman" w:cs="Times New Roman"/>
          <w:bCs/>
          <w:sz w:val="24"/>
          <w:szCs w:val="24"/>
          <w:lang w:eastAsia="cs-CZ"/>
        </w:rPr>
        <w:t xml:space="preserve">Navržená úprava </w:t>
      </w:r>
      <w:r>
        <w:rPr>
          <w:rFonts w:ascii="Times New Roman" w:eastAsia="Calibri" w:hAnsi="Times New Roman" w:cs="Times New Roman"/>
          <w:bCs/>
          <w:sz w:val="24"/>
          <w:szCs w:val="24"/>
          <w:lang w:eastAsia="cs-CZ"/>
        </w:rPr>
        <w:t xml:space="preserve">je s těmito rozhodnutími v souladu. </w:t>
      </w:r>
    </w:p>
    <w:p w14:paraId="1A7EC847" w14:textId="77777777" w:rsidR="00BD4285" w:rsidRDefault="00BD4285" w:rsidP="00A1611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p>
    <w:p w14:paraId="50077EC3" w14:textId="1A7520FA" w:rsidR="007B61F0" w:rsidRDefault="007B61F0" w:rsidP="00A1611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r w:rsidRPr="00BE0F58">
        <w:rPr>
          <w:rFonts w:ascii="Times New Roman" w:eastAsia="Calibri" w:hAnsi="Times New Roman" w:cs="Times New Roman"/>
          <w:b/>
          <w:sz w:val="24"/>
          <w:szCs w:val="24"/>
          <w:lang w:eastAsia="cs-CZ"/>
        </w:rPr>
        <w:t>Předpokládaný hospodářský a finanční dopad navrhované právní úpravy na státní rozpočet a ostatní veřejné rozpočty a na podnikatelské prostředí České republiky</w:t>
      </w:r>
    </w:p>
    <w:p w14:paraId="1C8E1D3B" w14:textId="6155208D" w:rsidR="006059DE" w:rsidRPr="006059DE" w:rsidRDefault="006059DE" w:rsidP="00A1611D">
      <w:pPr>
        <w:autoSpaceDE w:val="0"/>
        <w:autoSpaceDN w:val="0"/>
        <w:adjustRightInd w:val="0"/>
        <w:spacing w:before="120" w:after="0" w:line="240" w:lineRule="auto"/>
        <w:jc w:val="both"/>
        <w:rPr>
          <w:rFonts w:ascii="Times New Roman" w:eastAsia="Calibri" w:hAnsi="Times New Roman" w:cs="Times New Roman"/>
          <w:bCs/>
          <w:sz w:val="24"/>
          <w:szCs w:val="24"/>
          <w:lang w:eastAsia="cs-CZ"/>
        </w:rPr>
      </w:pPr>
      <w:r w:rsidRPr="006059DE">
        <w:rPr>
          <w:rFonts w:ascii="Times New Roman" w:eastAsia="Calibri" w:hAnsi="Times New Roman" w:cs="Times New Roman"/>
          <w:bCs/>
          <w:sz w:val="24"/>
          <w:szCs w:val="24"/>
          <w:lang w:eastAsia="cs-CZ"/>
        </w:rPr>
        <w:t xml:space="preserve">Finanční dopady spojené s technickou </w:t>
      </w:r>
      <w:r>
        <w:rPr>
          <w:rFonts w:ascii="Times New Roman" w:eastAsia="Calibri" w:hAnsi="Times New Roman" w:cs="Times New Roman"/>
          <w:bCs/>
          <w:sz w:val="24"/>
          <w:szCs w:val="24"/>
          <w:lang w:eastAsia="cs-CZ"/>
        </w:rPr>
        <w:t xml:space="preserve">adaptací </w:t>
      </w:r>
      <w:r w:rsidR="002E0407">
        <w:rPr>
          <w:rFonts w:ascii="Times New Roman" w:eastAsia="Calibri" w:hAnsi="Times New Roman" w:cs="Times New Roman"/>
          <w:bCs/>
          <w:sz w:val="24"/>
          <w:szCs w:val="24"/>
          <w:lang w:eastAsia="cs-CZ"/>
        </w:rPr>
        <w:t>n</w:t>
      </w:r>
      <w:r>
        <w:rPr>
          <w:rFonts w:ascii="Times New Roman" w:eastAsia="Calibri" w:hAnsi="Times New Roman" w:cs="Times New Roman"/>
          <w:bCs/>
          <w:sz w:val="24"/>
          <w:szCs w:val="24"/>
          <w:lang w:eastAsia="cs-CZ"/>
        </w:rPr>
        <w:t xml:space="preserve">ařízení </w:t>
      </w:r>
      <w:r w:rsidR="00064408">
        <w:rPr>
          <w:rFonts w:ascii="Times New Roman" w:eastAsia="Calibri" w:hAnsi="Times New Roman" w:cs="Times New Roman"/>
          <w:bCs/>
          <w:sz w:val="24"/>
          <w:szCs w:val="24"/>
          <w:lang w:eastAsia="cs-CZ"/>
        </w:rPr>
        <w:t>a směrnice o digitalizaci justiční spolupráce lze</w:t>
      </w:r>
      <w:r>
        <w:rPr>
          <w:rFonts w:ascii="Times New Roman" w:eastAsia="Calibri" w:hAnsi="Times New Roman" w:cs="Times New Roman"/>
          <w:bCs/>
          <w:sz w:val="24"/>
          <w:szCs w:val="24"/>
          <w:lang w:eastAsia="cs-CZ"/>
        </w:rPr>
        <w:t xml:space="preserve"> v</w:t>
      </w:r>
      <w:r w:rsidR="00064408">
        <w:rPr>
          <w:rFonts w:ascii="Times New Roman" w:eastAsia="Calibri" w:hAnsi="Times New Roman" w:cs="Times New Roman"/>
          <w:bCs/>
          <w:sz w:val="24"/>
          <w:szCs w:val="24"/>
          <w:lang w:eastAsia="cs-CZ"/>
        </w:rPr>
        <w:t> době přípravy tohoto návrhu</w:t>
      </w:r>
      <w:r>
        <w:rPr>
          <w:rFonts w:ascii="Times New Roman" w:eastAsia="Calibri" w:hAnsi="Times New Roman" w:cs="Times New Roman"/>
          <w:bCs/>
          <w:sz w:val="24"/>
          <w:szCs w:val="24"/>
          <w:lang w:eastAsia="cs-CZ"/>
        </w:rPr>
        <w:t xml:space="preserve"> </w:t>
      </w:r>
      <w:r w:rsidR="00064408">
        <w:rPr>
          <w:rFonts w:ascii="Times New Roman" w:eastAsia="Calibri" w:hAnsi="Times New Roman" w:cs="Times New Roman"/>
          <w:bCs/>
          <w:sz w:val="24"/>
          <w:szCs w:val="24"/>
          <w:lang w:eastAsia="cs-CZ"/>
        </w:rPr>
        <w:t xml:space="preserve">jen </w:t>
      </w:r>
      <w:r>
        <w:rPr>
          <w:rFonts w:ascii="Times New Roman" w:eastAsia="Calibri" w:hAnsi="Times New Roman" w:cs="Times New Roman"/>
          <w:bCs/>
          <w:sz w:val="24"/>
          <w:szCs w:val="24"/>
          <w:lang w:eastAsia="cs-CZ"/>
        </w:rPr>
        <w:t>velmi obtížn</w:t>
      </w:r>
      <w:r w:rsidR="00064408">
        <w:rPr>
          <w:rFonts w:ascii="Times New Roman" w:eastAsia="Calibri" w:hAnsi="Times New Roman" w:cs="Times New Roman"/>
          <w:bCs/>
          <w:sz w:val="24"/>
          <w:szCs w:val="24"/>
          <w:lang w:eastAsia="cs-CZ"/>
        </w:rPr>
        <w:t>ě</w:t>
      </w:r>
      <w:r>
        <w:rPr>
          <w:rFonts w:ascii="Times New Roman" w:eastAsia="Calibri" w:hAnsi="Times New Roman" w:cs="Times New Roman"/>
          <w:bCs/>
          <w:sz w:val="24"/>
          <w:szCs w:val="24"/>
          <w:lang w:eastAsia="cs-CZ"/>
        </w:rPr>
        <w:t xml:space="preserve"> odhadnout vzhledem k tomu, že jednání k těmto otázkám a příprava technických předpisů na úrovni Evropské unie</w:t>
      </w:r>
      <w:r w:rsidR="00064408">
        <w:rPr>
          <w:rFonts w:ascii="Times New Roman" w:eastAsia="Calibri" w:hAnsi="Times New Roman" w:cs="Times New Roman"/>
          <w:bCs/>
          <w:sz w:val="24"/>
          <w:szCs w:val="24"/>
          <w:lang w:eastAsia="cs-CZ"/>
        </w:rPr>
        <w:t>, jakož i</w:t>
      </w:r>
      <w:r w:rsidR="00DF2E06">
        <w:rPr>
          <w:rFonts w:ascii="Times New Roman" w:eastAsia="Calibri" w:hAnsi="Times New Roman" w:cs="Times New Roman"/>
          <w:bCs/>
          <w:sz w:val="24"/>
          <w:szCs w:val="24"/>
          <w:lang w:eastAsia="cs-CZ"/>
        </w:rPr>
        <w:t> </w:t>
      </w:r>
      <w:r w:rsidR="00064408">
        <w:rPr>
          <w:rFonts w:ascii="Times New Roman" w:eastAsia="Calibri" w:hAnsi="Times New Roman" w:cs="Times New Roman"/>
          <w:bCs/>
          <w:sz w:val="24"/>
          <w:szCs w:val="24"/>
          <w:lang w:eastAsia="cs-CZ"/>
        </w:rPr>
        <w:t>vnitrostátní technická realizace,</w:t>
      </w:r>
      <w:r>
        <w:rPr>
          <w:rFonts w:ascii="Times New Roman" w:eastAsia="Calibri" w:hAnsi="Times New Roman" w:cs="Times New Roman"/>
          <w:bCs/>
          <w:sz w:val="24"/>
          <w:szCs w:val="24"/>
          <w:lang w:eastAsia="cs-CZ"/>
        </w:rPr>
        <w:t xml:space="preserve"> teprve probíh</w:t>
      </w:r>
      <w:r w:rsidR="00542D13">
        <w:rPr>
          <w:rFonts w:ascii="Times New Roman" w:eastAsia="Calibri" w:hAnsi="Times New Roman" w:cs="Times New Roman"/>
          <w:bCs/>
          <w:sz w:val="24"/>
          <w:szCs w:val="24"/>
          <w:lang w:eastAsia="cs-CZ"/>
        </w:rPr>
        <w:t>ají</w:t>
      </w:r>
      <w:r>
        <w:rPr>
          <w:rFonts w:ascii="Times New Roman" w:eastAsia="Calibri" w:hAnsi="Times New Roman" w:cs="Times New Roman"/>
          <w:bCs/>
          <w:sz w:val="24"/>
          <w:szCs w:val="24"/>
          <w:lang w:eastAsia="cs-CZ"/>
        </w:rPr>
        <w:t xml:space="preserve">. </w:t>
      </w:r>
    </w:p>
    <w:p w14:paraId="6894C469" w14:textId="629616AF" w:rsidR="006059DE" w:rsidRPr="007958CD" w:rsidRDefault="00DF2E06" w:rsidP="00A1611D">
      <w:pPr>
        <w:tabs>
          <w:tab w:val="left" w:pos="6660"/>
        </w:tabs>
        <w:spacing w:before="120" w:after="0" w:line="240" w:lineRule="auto"/>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Náklady spojené s</w:t>
      </w:r>
      <w:r w:rsidR="00FF60D9">
        <w:rPr>
          <w:rFonts w:ascii="Times New Roman" w:eastAsia="MS Mincho" w:hAnsi="Times New Roman" w:cs="Times New Roman"/>
          <w:bCs/>
          <w:sz w:val="24"/>
          <w:szCs w:val="24"/>
        </w:rPr>
        <w:t xml:space="preserve"> </w:t>
      </w:r>
      <w:r w:rsidR="002E0407">
        <w:rPr>
          <w:rFonts w:ascii="Times New Roman" w:eastAsia="MS Mincho" w:hAnsi="Times New Roman" w:cs="Times New Roman"/>
          <w:bCs/>
          <w:sz w:val="24"/>
          <w:szCs w:val="24"/>
        </w:rPr>
        <w:t>n</w:t>
      </w:r>
      <w:r w:rsidR="006059DE" w:rsidRPr="007958CD">
        <w:rPr>
          <w:rFonts w:ascii="Times New Roman" w:eastAsia="MS Mincho" w:hAnsi="Times New Roman" w:cs="Times New Roman"/>
          <w:bCs/>
          <w:sz w:val="24"/>
          <w:szCs w:val="24"/>
        </w:rPr>
        <w:t>ařízení</w:t>
      </w:r>
      <w:r>
        <w:rPr>
          <w:rFonts w:ascii="Times New Roman" w:eastAsia="MS Mincho" w:hAnsi="Times New Roman" w:cs="Times New Roman"/>
          <w:bCs/>
          <w:sz w:val="24"/>
          <w:szCs w:val="24"/>
        </w:rPr>
        <w:t xml:space="preserve">m (nikoli tedy </w:t>
      </w:r>
      <w:r w:rsidR="00F47858">
        <w:rPr>
          <w:rFonts w:ascii="Times New Roman" w:eastAsia="MS Mincho" w:hAnsi="Times New Roman" w:cs="Times New Roman"/>
          <w:bCs/>
          <w:sz w:val="24"/>
          <w:szCs w:val="24"/>
        </w:rPr>
        <w:t>bezprostředně s adaptační úpravou) lze</w:t>
      </w:r>
      <w:r w:rsidR="006059DE" w:rsidRPr="007958CD">
        <w:rPr>
          <w:rFonts w:ascii="Times New Roman" w:eastAsia="MS Mincho" w:hAnsi="Times New Roman" w:cs="Times New Roman"/>
          <w:bCs/>
          <w:sz w:val="24"/>
          <w:szCs w:val="24"/>
        </w:rPr>
        <w:t xml:space="preserve"> předpoklád</w:t>
      </w:r>
      <w:r w:rsidR="00F47858">
        <w:rPr>
          <w:rFonts w:ascii="Times New Roman" w:eastAsia="MS Mincho" w:hAnsi="Times New Roman" w:cs="Times New Roman"/>
          <w:bCs/>
          <w:sz w:val="24"/>
          <w:szCs w:val="24"/>
        </w:rPr>
        <w:t>at</w:t>
      </w:r>
      <w:r w:rsidR="006059DE" w:rsidRPr="007958CD">
        <w:rPr>
          <w:rFonts w:ascii="Times New Roman" w:eastAsia="MS Mincho" w:hAnsi="Times New Roman" w:cs="Times New Roman"/>
          <w:bCs/>
          <w:sz w:val="24"/>
          <w:szCs w:val="24"/>
        </w:rPr>
        <w:t xml:space="preserve"> </w:t>
      </w:r>
      <w:r w:rsidR="00F47858">
        <w:rPr>
          <w:rFonts w:ascii="Times New Roman" w:eastAsia="MS Mincho" w:hAnsi="Times New Roman" w:cs="Times New Roman"/>
          <w:bCs/>
          <w:sz w:val="24"/>
          <w:szCs w:val="24"/>
        </w:rPr>
        <w:t xml:space="preserve">jednak </w:t>
      </w:r>
      <w:r w:rsidR="006059DE" w:rsidRPr="007958CD">
        <w:rPr>
          <w:rFonts w:ascii="Times New Roman" w:eastAsia="MS Mincho" w:hAnsi="Times New Roman" w:cs="Times New Roman"/>
          <w:bCs/>
          <w:sz w:val="24"/>
          <w:szCs w:val="24"/>
        </w:rPr>
        <w:t>v souvislosti se zřízením přístupových bodů</w:t>
      </w:r>
      <w:r w:rsidR="00F47858">
        <w:rPr>
          <w:rFonts w:ascii="Times New Roman" w:eastAsia="MS Mincho" w:hAnsi="Times New Roman" w:cs="Times New Roman"/>
          <w:bCs/>
          <w:sz w:val="24"/>
          <w:szCs w:val="24"/>
        </w:rPr>
        <w:t xml:space="preserve"> </w:t>
      </w:r>
      <w:r w:rsidR="006059DE" w:rsidRPr="007958CD">
        <w:rPr>
          <w:rFonts w:ascii="Times New Roman" w:eastAsia="MS Mincho" w:hAnsi="Times New Roman" w:cs="Times New Roman"/>
          <w:bCs/>
          <w:sz w:val="24"/>
          <w:szCs w:val="24"/>
        </w:rPr>
        <w:t>k decentralizovanému informačnímu systému,</w:t>
      </w:r>
      <w:r w:rsidR="00F47858">
        <w:rPr>
          <w:rFonts w:ascii="Times New Roman" w:eastAsia="MS Mincho" w:hAnsi="Times New Roman" w:cs="Times New Roman"/>
          <w:bCs/>
          <w:sz w:val="24"/>
          <w:szCs w:val="24"/>
        </w:rPr>
        <w:t xml:space="preserve"> které budou</w:t>
      </w:r>
      <w:r w:rsidR="006059DE" w:rsidRPr="007958CD">
        <w:rPr>
          <w:rFonts w:ascii="Times New Roman" w:eastAsia="MS Mincho" w:hAnsi="Times New Roman" w:cs="Times New Roman"/>
          <w:bCs/>
          <w:sz w:val="24"/>
          <w:szCs w:val="24"/>
        </w:rPr>
        <w:t xml:space="preserve"> </w:t>
      </w:r>
      <w:r w:rsidR="00F47858">
        <w:rPr>
          <w:rFonts w:ascii="Times New Roman" w:eastAsia="MS Mincho" w:hAnsi="Times New Roman" w:cs="Times New Roman"/>
          <w:bCs/>
          <w:sz w:val="24"/>
          <w:szCs w:val="24"/>
        </w:rPr>
        <w:t xml:space="preserve">sloužit k zasílání </w:t>
      </w:r>
      <w:r w:rsidR="00F47858" w:rsidRPr="007958CD">
        <w:rPr>
          <w:rFonts w:ascii="Times New Roman" w:eastAsia="MS Mincho" w:hAnsi="Times New Roman" w:cs="Times New Roman"/>
          <w:bCs/>
          <w:sz w:val="24"/>
          <w:szCs w:val="24"/>
        </w:rPr>
        <w:t>příkaz</w:t>
      </w:r>
      <w:r w:rsidR="00F47858">
        <w:rPr>
          <w:rFonts w:ascii="Times New Roman" w:eastAsia="MS Mincho" w:hAnsi="Times New Roman" w:cs="Times New Roman"/>
          <w:bCs/>
          <w:sz w:val="24"/>
          <w:szCs w:val="24"/>
        </w:rPr>
        <w:t xml:space="preserve">ů, </w:t>
      </w:r>
      <w:r w:rsidR="006059DE" w:rsidRPr="007958CD">
        <w:rPr>
          <w:rFonts w:ascii="Times New Roman" w:eastAsia="MS Mincho" w:hAnsi="Times New Roman" w:cs="Times New Roman"/>
          <w:bCs/>
          <w:sz w:val="24"/>
          <w:szCs w:val="24"/>
        </w:rPr>
        <w:t xml:space="preserve">a </w:t>
      </w:r>
      <w:r w:rsidR="00F47858">
        <w:rPr>
          <w:rFonts w:ascii="Times New Roman" w:eastAsia="MS Mincho" w:hAnsi="Times New Roman" w:cs="Times New Roman"/>
          <w:bCs/>
          <w:sz w:val="24"/>
          <w:szCs w:val="24"/>
        </w:rPr>
        <w:t xml:space="preserve">jednak </w:t>
      </w:r>
      <w:r w:rsidR="006059DE" w:rsidRPr="007958CD">
        <w:rPr>
          <w:rFonts w:ascii="Times New Roman" w:eastAsia="MS Mincho" w:hAnsi="Times New Roman" w:cs="Times New Roman"/>
          <w:bCs/>
          <w:sz w:val="24"/>
          <w:szCs w:val="24"/>
        </w:rPr>
        <w:t xml:space="preserve">se zajištěním interoperability národních informačních systémů s tímto systémem. Podle odhadů Komise budou v prvních dvou letech náklady </w:t>
      </w:r>
      <w:r w:rsidR="00F47858">
        <w:rPr>
          <w:rFonts w:ascii="Times New Roman" w:eastAsia="MS Mincho" w:hAnsi="Times New Roman" w:cs="Times New Roman"/>
          <w:bCs/>
          <w:sz w:val="24"/>
          <w:szCs w:val="24"/>
        </w:rPr>
        <w:t xml:space="preserve">každého členského státu EU </w:t>
      </w:r>
      <w:r w:rsidR="006059DE" w:rsidRPr="007958CD">
        <w:rPr>
          <w:rFonts w:ascii="Times New Roman" w:eastAsia="MS Mincho" w:hAnsi="Times New Roman" w:cs="Times New Roman"/>
          <w:bCs/>
          <w:sz w:val="24"/>
          <w:szCs w:val="24"/>
        </w:rPr>
        <w:t>na instalaci činit 100 000 EUR ročně, tj.</w:t>
      </w:r>
      <w:r w:rsidR="00F47858">
        <w:rPr>
          <w:rFonts w:ascii="Times New Roman" w:eastAsia="MS Mincho" w:hAnsi="Times New Roman" w:cs="Times New Roman"/>
          <w:bCs/>
          <w:sz w:val="24"/>
          <w:szCs w:val="24"/>
        </w:rPr>
        <w:t> </w:t>
      </w:r>
      <w:r w:rsidR="006059DE" w:rsidRPr="007958CD">
        <w:rPr>
          <w:rFonts w:ascii="Times New Roman" w:eastAsia="MS Mincho" w:hAnsi="Times New Roman" w:cs="Times New Roman"/>
          <w:bCs/>
          <w:sz w:val="24"/>
          <w:szCs w:val="24"/>
        </w:rPr>
        <w:t>cca</w:t>
      </w:r>
      <w:r w:rsidR="00F47858">
        <w:rPr>
          <w:rFonts w:ascii="Times New Roman" w:eastAsia="MS Mincho" w:hAnsi="Times New Roman" w:cs="Times New Roman"/>
          <w:bCs/>
          <w:sz w:val="24"/>
          <w:szCs w:val="24"/>
        </w:rPr>
        <w:t> </w:t>
      </w:r>
      <w:r w:rsidR="006059DE" w:rsidRPr="007958CD">
        <w:rPr>
          <w:rFonts w:ascii="Times New Roman" w:eastAsia="MS Mincho" w:hAnsi="Times New Roman" w:cs="Times New Roman"/>
          <w:bCs/>
          <w:sz w:val="24"/>
          <w:szCs w:val="24"/>
        </w:rPr>
        <w:t>2 400</w:t>
      </w:r>
      <w:r w:rsidR="00F47858">
        <w:rPr>
          <w:rFonts w:ascii="Times New Roman" w:eastAsia="MS Mincho" w:hAnsi="Times New Roman" w:cs="Times New Roman"/>
          <w:bCs/>
          <w:sz w:val="24"/>
          <w:szCs w:val="24"/>
        </w:rPr>
        <w:t> </w:t>
      </w:r>
      <w:r w:rsidR="006059DE" w:rsidRPr="007958CD">
        <w:rPr>
          <w:rFonts w:ascii="Times New Roman" w:eastAsia="MS Mincho" w:hAnsi="Times New Roman" w:cs="Times New Roman"/>
          <w:bCs/>
          <w:sz w:val="24"/>
          <w:szCs w:val="24"/>
        </w:rPr>
        <w:t>000</w:t>
      </w:r>
      <w:r w:rsidR="00F47858">
        <w:rPr>
          <w:rFonts w:ascii="Times New Roman" w:eastAsia="MS Mincho" w:hAnsi="Times New Roman" w:cs="Times New Roman"/>
          <w:bCs/>
          <w:sz w:val="24"/>
          <w:szCs w:val="24"/>
        </w:rPr>
        <w:t> </w:t>
      </w:r>
      <w:r w:rsidR="006059DE" w:rsidRPr="007958CD">
        <w:rPr>
          <w:rFonts w:ascii="Times New Roman" w:eastAsia="MS Mincho" w:hAnsi="Times New Roman" w:cs="Times New Roman"/>
          <w:bCs/>
          <w:sz w:val="24"/>
          <w:szCs w:val="24"/>
        </w:rPr>
        <w:t xml:space="preserve">Kč. Tato částka zahrnuje náklady na zařízení a lidské zdroje potřebné k jeho konfiguraci. Přibližně 200 000 EUR, tj. cca 4 800 000 Kč, bude potřeba na zajištění podpory pro rostoucí počet uživatelů. Od třetího roku účinnosti se nepředpokládají žádné náklady </w:t>
      </w:r>
      <w:r w:rsidR="006059DE" w:rsidRPr="007958CD">
        <w:rPr>
          <w:rFonts w:ascii="Times New Roman" w:eastAsia="MS Mincho" w:hAnsi="Times New Roman" w:cs="Times New Roman"/>
          <w:bCs/>
          <w:sz w:val="24"/>
          <w:szCs w:val="24"/>
        </w:rPr>
        <w:lastRenderedPageBreak/>
        <w:t>na</w:t>
      </w:r>
      <w:r w:rsidR="00F47858">
        <w:rPr>
          <w:rFonts w:ascii="Times New Roman" w:eastAsia="MS Mincho" w:hAnsi="Times New Roman" w:cs="Times New Roman"/>
          <w:bCs/>
          <w:sz w:val="24"/>
          <w:szCs w:val="24"/>
        </w:rPr>
        <w:t> </w:t>
      </w:r>
      <w:r w:rsidR="006059DE" w:rsidRPr="007958CD">
        <w:rPr>
          <w:rFonts w:ascii="Times New Roman" w:eastAsia="MS Mincho" w:hAnsi="Times New Roman" w:cs="Times New Roman"/>
          <w:bCs/>
          <w:sz w:val="24"/>
          <w:szCs w:val="24"/>
        </w:rPr>
        <w:t xml:space="preserve">hardware a instalaci, pouze náklady spojené s podporou uživatelů a údržbou systému. Ty se odhadují na 300 000 EUR ročně, tj. cca 7 200 000 Kč. </w:t>
      </w:r>
    </w:p>
    <w:p w14:paraId="2E3FE316" w14:textId="68D37789" w:rsidR="006059DE" w:rsidRDefault="006059DE" w:rsidP="00A1611D">
      <w:pPr>
        <w:spacing w:before="120" w:after="0" w:line="240" w:lineRule="auto"/>
        <w:jc w:val="both"/>
        <w:rPr>
          <w:rFonts w:ascii="Times New Roman" w:hAnsi="Times New Roman" w:cs="Times New Roman"/>
          <w:sz w:val="24"/>
          <w:szCs w:val="24"/>
        </w:rPr>
      </w:pPr>
      <w:r w:rsidRPr="007958CD">
        <w:rPr>
          <w:rFonts w:ascii="Times New Roman" w:hAnsi="Times New Roman" w:cs="Times New Roman"/>
          <w:sz w:val="24"/>
          <w:szCs w:val="24"/>
        </w:rPr>
        <w:t xml:space="preserve">Vzhledem k aktuálně </w:t>
      </w:r>
      <w:r w:rsidR="00F47858" w:rsidRPr="007958CD">
        <w:rPr>
          <w:rFonts w:ascii="Times New Roman" w:hAnsi="Times New Roman" w:cs="Times New Roman"/>
          <w:sz w:val="24"/>
          <w:szCs w:val="24"/>
        </w:rPr>
        <w:t xml:space="preserve">na úrovni Evropské unie </w:t>
      </w:r>
      <w:r w:rsidRPr="007958CD">
        <w:rPr>
          <w:rFonts w:ascii="Times New Roman" w:hAnsi="Times New Roman" w:cs="Times New Roman"/>
          <w:sz w:val="24"/>
          <w:szCs w:val="24"/>
        </w:rPr>
        <w:t>diskutovaným variantám architektonických řešení pro decentralizovaný informační systém pro e-důkazy lze nicméně spíše očekávat, že</w:t>
      </w:r>
      <w:r w:rsidR="00F47858">
        <w:rPr>
          <w:rFonts w:ascii="Times New Roman" w:hAnsi="Times New Roman" w:cs="Times New Roman"/>
          <w:sz w:val="24"/>
          <w:szCs w:val="24"/>
        </w:rPr>
        <w:t> </w:t>
      </w:r>
      <w:r w:rsidRPr="007958CD">
        <w:rPr>
          <w:rFonts w:ascii="Times New Roman" w:hAnsi="Times New Roman" w:cs="Times New Roman"/>
          <w:sz w:val="24"/>
          <w:szCs w:val="24"/>
        </w:rPr>
        <w:t xml:space="preserve">odhadované náklady jsou podhodnocené. Do celkových </w:t>
      </w:r>
      <w:r>
        <w:rPr>
          <w:rFonts w:ascii="Times New Roman" w:hAnsi="Times New Roman" w:cs="Times New Roman"/>
          <w:sz w:val="24"/>
          <w:szCs w:val="24"/>
        </w:rPr>
        <w:t xml:space="preserve">nákladů </w:t>
      </w:r>
      <w:r w:rsidRPr="007958CD">
        <w:rPr>
          <w:rFonts w:ascii="Times New Roman" w:hAnsi="Times New Roman" w:cs="Times New Roman"/>
          <w:sz w:val="24"/>
          <w:szCs w:val="24"/>
        </w:rPr>
        <w:t>je nutné zahrnout také náklady na integrac</w:t>
      </w:r>
      <w:r>
        <w:rPr>
          <w:rFonts w:ascii="Times New Roman" w:hAnsi="Times New Roman" w:cs="Times New Roman"/>
          <w:sz w:val="24"/>
          <w:szCs w:val="24"/>
        </w:rPr>
        <w:t>i</w:t>
      </w:r>
      <w:r w:rsidRPr="007958CD">
        <w:rPr>
          <w:rFonts w:ascii="Times New Roman" w:hAnsi="Times New Roman" w:cs="Times New Roman"/>
          <w:sz w:val="24"/>
          <w:szCs w:val="24"/>
        </w:rPr>
        <w:t xml:space="preserve"> dílčích informačních systém</w:t>
      </w:r>
      <w:r>
        <w:rPr>
          <w:rFonts w:ascii="Times New Roman" w:hAnsi="Times New Roman" w:cs="Times New Roman"/>
          <w:sz w:val="24"/>
          <w:szCs w:val="24"/>
        </w:rPr>
        <w:t xml:space="preserve">ů k zajištění </w:t>
      </w:r>
      <w:r w:rsidRPr="007958CD">
        <w:rPr>
          <w:rFonts w:ascii="Times New Roman" w:hAnsi="Times New Roman" w:cs="Times New Roman"/>
          <w:sz w:val="24"/>
          <w:szCs w:val="24"/>
        </w:rPr>
        <w:t xml:space="preserve">centralizace </w:t>
      </w:r>
      <w:r>
        <w:rPr>
          <w:rFonts w:ascii="Times New Roman" w:hAnsi="Times New Roman" w:cs="Times New Roman"/>
          <w:sz w:val="24"/>
          <w:szCs w:val="24"/>
        </w:rPr>
        <w:t>databáze justičních orgánů</w:t>
      </w:r>
      <w:r w:rsidRPr="007958CD">
        <w:rPr>
          <w:rFonts w:ascii="Times New Roman" w:hAnsi="Times New Roman" w:cs="Times New Roman"/>
          <w:sz w:val="24"/>
          <w:szCs w:val="24"/>
        </w:rPr>
        <w:t xml:space="preserve"> a </w:t>
      </w:r>
      <w:r>
        <w:rPr>
          <w:rFonts w:ascii="Times New Roman" w:hAnsi="Times New Roman" w:cs="Times New Roman"/>
          <w:sz w:val="24"/>
          <w:szCs w:val="24"/>
        </w:rPr>
        <w:t xml:space="preserve">následnou </w:t>
      </w:r>
      <w:r w:rsidRPr="007958CD">
        <w:rPr>
          <w:rFonts w:ascii="Times New Roman" w:hAnsi="Times New Roman" w:cs="Times New Roman"/>
          <w:sz w:val="24"/>
          <w:szCs w:val="24"/>
        </w:rPr>
        <w:t>správ</w:t>
      </w:r>
      <w:r>
        <w:rPr>
          <w:rFonts w:ascii="Times New Roman" w:hAnsi="Times New Roman" w:cs="Times New Roman"/>
          <w:sz w:val="24"/>
          <w:szCs w:val="24"/>
        </w:rPr>
        <w:t>u</w:t>
      </w:r>
      <w:r w:rsidRPr="007958CD">
        <w:rPr>
          <w:rFonts w:ascii="Times New Roman" w:hAnsi="Times New Roman" w:cs="Times New Roman"/>
          <w:sz w:val="24"/>
          <w:szCs w:val="24"/>
        </w:rPr>
        <w:t xml:space="preserve"> </w:t>
      </w:r>
      <w:r>
        <w:rPr>
          <w:rFonts w:ascii="Times New Roman" w:hAnsi="Times New Roman" w:cs="Times New Roman"/>
          <w:sz w:val="24"/>
          <w:szCs w:val="24"/>
        </w:rPr>
        <w:t>Ministerstvem spravedlnosti</w:t>
      </w:r>
      <w:r w:rsidRPr="007958CD">
        <w:rPr>
          <w:rFonts w:ascii="Times New Roman" w:hAnsi="Times New Roman" w:cs="Times New Roman"/>
          <w:sz w:val="24"/>
          <w:szCs w:val="24"/>
        </w:rPr>
        <w:t xml:space="preserve">. Navíc, v závislosti na zvoleném řešení na úrovni Evropské unie, je třeba počítat s navýšenými náklady na správu integrací a dostupnost systému ze strany </w:t>
      </w:r>
      <w:r>
        <w:rPr>
          <w:rFonts w:ascii="Times New Roman" w:hAnsi="Times New Roman" w:cs="Times New Roman"/>
          <w:sz w:val="24"/>
          <w:szCs w:val="24"/>
        </w:rPr>
        <w:t>Ministerstva spravedlnosti a velikost úložiště dat</w:t>
      </w:r>
      <w:r w:rsidRPr="007958CD">
        <w:rPr>
          <w:rFonts w:ascii="Times New Roman" w:hAnsi="Times New Roman" w:cs="Times New Roman"/>
          <w:sz w:val="24"/>
          <w:szCs w:val="24"/>
        </w:rPr>
        <w:t>. Dále je nutné zohlednit náklady spojené se správou a údržbou databáze CBD, kterou by měl dodavatel mít jako součást servisu a podpory. Předpokládá</w:t>
      </w:r>
      <w:r w:rsidR="00F47858">
        <w:rPr>
          <w:rFonts w:ascii="Times New Roman" w:hAnsi="Times New Roman" w:cs="Times New Roman"/>
          <w:sz w:val="24"/>
          <w:szCs w:val="24"/>
        </w:rPr>
        <w:t xml:space="preserve"> s</w:t>
      </w:r>
      <w:r w:rsidRPr="007958CD">
        <w:rPr>
          <w:rFonts w:ascii="Times New Roman" w:hAnsi="Times New Roman" w:cs="Times New Roman"/>
          <w:sz w:val="24"/>
          <w:szCs w:val="24"/>
        </w:rPr>
        <w:t>e tedy, že skutečné náklady mohou být vyšší, než uvádí Komise</w:t>
      </w:r>
      <w:r>
        <w:rPr>
          <w:rFonts w:ascii="Times New Roman" w:hAnsi="Times New Roman" w:cs="Times New Roman"/>
          <w:sz w:val="24"/>
          <w:szCs w:val="24"/>
        </w:rPr>
        <w:t xml:space="preserve">, konkrétně lze předpokládat jejich následující výši (bez DPH): </w:t>
      </w:r>
    </w:p>
    <w:p w14:paraId="63F78EE5" w14:textId="77777777" w:rsidR="006059DE" w:rsidRDefault="006059DE" w:rsidP="00A1611D">
      <w:pPr>
        <w:spacing w:before="120" w:after="0" w:line="240" w:lineRule="auto"/>
        <w:jc w:val="both"/>
        <w:rPr>
          <w:rFonts w:ascii="Times New Roman" w:hAnsi="Times New Roman" w:cs="Times New Roman"/>
          <w:sz w:val="24"/>
          <w:szCs w:val="24"/>
        </w:rPr>
      </w:pPr>
    </w:p>
    <w:p w14:paraId="690BDB3E" w14:textId="28EC3B51" w:rsidR="002A3864" w:rsidRPr="002A3864" w:rsidRDefault="00066551" w:rsidP="00A1611D">
      <w:pPr>
        <w:pStyle w:val="MSp-text"/>
        <w:spacing w:before="120" w:after="120"/>
        <w:ind w:firstLine="0"/>
        <w:jc w:val="center"/>
        <w:rPr>
          <w:b/>
          <w:bCs/>
        </w:rPr>
      </w:pPr>
      <w:r>
        <w:rPr>
          <w:b/>
          <w:bCs/>
        </w:rPr>
        <w:t>Tabul</w:t>
      </w:r>
      <w:r w:rsidR="002A3864">
        <w:rPr>
          <w:b/>
          <w:bCs/>
        </w:rPr>
        <w:t>k</w:t>
      </w:r>
      <w:r>
        <w:rPr>
          <w:b/>
          <w:bCs/>
        </w:rPr>
        <w:t xml:space="preserve">a č. 1 - </w:t>
      </w:r>
      <w:r w:rsidR="006059DE">
        <w:rPr>
          <w:b/>
          <w:bCs/>
        </w:rPr>
        <w:t>Předpokládaná výše nákladů (bez DPH)</w:t>
      </w:r>
    </w:p>
    <w:tbl>
      <w:tblPr>
        <w:tblW w:w="9072" w:type="dxa"/>
        <w:tblInd w:w="-10" w:type="dxa"/>
        <w:tblCellMar>
          <w:left w:w="0" w:type="dxa"/>
          <w:right w:w="0" w:type="dxa"/>
        </w:tblCellMar>
        <w:tblLook w:val="04A0" w:firstRow="1" w:lastRow="0" w:firstColumn="1" w:lastColumn="0" w:noHBand="0" w:noVBand="1"/>
      </w:tblPr>
      <w:tblGrid>
        <w:gridCol w:w="2253"/>
        <w:gridCol w:w="1431"/>
        <w:gridCol w:w="1560"/>
        <w:gridCol w:w="2269"/>
        <w:gridCol w:w="1559"/>
      </w:tblGrid>
      <w:tr w:rsidR="006059DE" w:rsidRPr="002A6C8A" w14:paraId="54E8E9A2" w14:textId="77777777" w:rsidTr="002A3864">
        <w:trPr>
          <w:trHeight w:val="600"/>
        </w:trPr>
        <w:tc>
          <w:tcPr>
            <w:tcW w:w="2253"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tcMar>
              <w:top w:w="0" w:type="dxa"/>
              <w:left w:w="70" w:type="dxa"/>
              <w:bottom w:w="0" w:type="dxa"/>
              <w:right w:w="70" w:type="dxa"/>
            </w:tcMar>
            <w:vAlign w:val="center"/>
            <w:hideMark/>
          </w:tcPr>
          <w:p w14:paraId="56A627FC" w14:textId="77777777" w:rsidR="006059DE" w:rsidRPr="0065210C" w:rsidRDefault="006059DE" w:rsidP="009D22D7">
            <w:pPr>
              <w:pStyle w:val="MSp-text"/>
              <w:spacing w:before="120" w:after="0"/>
              <w:ind w:firstLine="0"/>
              <w:jc w:val="center"/>
              <w:rPr>
                <w:b/>
                <w:bCs/>
              </w:rPr>
            </w:pPr>
            <w:r w:rsidRPr="0065210C">
              <w:rPr>
                <w:b/>
                <w:bCs/>
              </w:rPr>
              <w:t>období</w:t>
            </w:r>
          </w:p>
        </w:tc>
        <w:tc>
          <w:tcPr>
            <w:tcW w:w="1431" w:type="dxa"/>
            <w:tcBorders>
              <w:top w:val="single" w:sz="8" w:space="0" w:color="auto"/>
              <w:left w:val="nil"/>
              <w:bottom w:val="single" w:sz="8" w:space="0" w:color="auto"/>
              <w:right w:val="single" w:sz="8" w:space="0" w:color="auto"/>
            </w:tcBorders>
            <w:shd w:val="clear" w:color="auto" w:fill="8EAADB" w:themeFill="accent1" w:themeFillTint="99"/>
            <w:noWrap/>
            <w:tcMar>
              <w:top w:w="0" w:type="dxa"/>
              <w:left w:w="70" w:type="dxa"/>
              <w:bottom w:w="0" w:type="dxa"/>
              <w:right w:w="70" w:type="dxa"/>
            </w:tcMar>
            <w:vAlign w:val="center"/>
            <w:hideMark/>
          </w:tcPr>
          <w:p w14:paraId="3F58D054" w14:textId="77777777" w:rsidR="006059DE" w:rsidRPr="0065210C" w:rsidRDefault="006059DE" w:rsidP="009D22D7">
            <w:pPr>
              <w:pStyle w:val="MSp-text"/>
              <w:spacing w:before="120" w:after="0"/>
              <w:ind w:firstLine="0"/>
              <w:jc w:val="center"/>
              <w:rPr>
                <w:b/>
                <w:bCs/>
              </w:rPr>
            </w:pPr>
            <w:r w:rsidRPr="0065210C">
              <w:rPr>
                <w:b/>
                <w:bCs/>
              </w:rPr>
              <w:t>instalace + 30 %</w:t>
            </w:r>
          </w:p>
        </w:tc>
        <w:tc>
          <w:tcPr>
            <w:tcW w:w="1560" w:type="dxa"/>
            <w:tcBorders>
              <w:top w:val="single" w:sz="8" w:space="0" w:color="auto"/>
              <w:left w:val="nil"/>
              <w:bottom w:val="single" w:sz="8" w:space="0" w:color="auto"/>
              <w:right w:val="single" w:sz="8" w:space="0" w:color="auto"/>
            </w:tcBorders>
            <w:shd w:val="clear" w:color="auto" w:fill="8EAADB" w:themeFill="accent1" w:themeFillTint="99"/>
            <w:tcMar>
              <w:top w:w="0" w:type="dxa"/>
              <w:left w:w="70" w:type="dxa"/>
              <w:bottom w:w="0" w:type="dxa"/>
              <w:right w:w="70" w:type="dxa"/>
            </w:tcMar>
            <w:vAlign w:val="center"/>
            <w:hideMark/>
          </w:tcPr>
          <w:p w14:paraId="4D3D01ED" w14:textId="77777777" w:rsidR="006059DE" w:rsidRPr="0065210C" w:rsidRDefault="006059DE" w:rsidP="009D22D7">
            <w:pPr>
              <w:pStyle w:val="MSp-text"/>
              <w:spacing w:before="120" w:after="0"/>
              <w:ind w:firstLine="0"/>
              <w:jc w:val="center"/>
              <w:rPr>
                <w:b/>
                <w:bCs/>
              </w:rPr>
            </w:pPr>
            <w:r w:rsidRPr="0065210C">
              <w:rPr>
                <w:b/>
                <w:bCs/>
              </w:rPr>
              <w:t>podpora pro rostoucí počet uživatelů + 30 %</w:t>
            </w:r>
          </w:p>
        </w:tc>
        <w:tc>
          <w:tcPr>
            <w:tcW w:w="2269" w:type="dxa"/>
            <w:tcBorders>
              <w:top w:val="single" w:sz="8" w:space="0" w:color="auto"/>
              <w:left w:val="nil"/>
              <w:bottom w:val="single" w:sz="8" w:space="0" w:color="auto"/>
              <w:right w:val="single" w:sz="8" w:space="0" w:color="auto"/>
            </w:tcBorders>
            <w:shd w:val="clear" w:color="auto" w:fill="8EAADB" w:themeFill="accent1" w:themeFillTint="99"/>
            <w:tcMar>
              <w:top w:w="0" w:type="dxa"/>
              <w:left w:w="70" w:type="dxa"/>
              <w:bottom w:w="0" w:type="dxa"/>
              <w:right w:w="70" w:type="dxa"/>
            </w:tcMar>
            <w:vAlign w:val="center"/>
            <w:hideMark/>
          </w:tcPr>
          <w:p w14:paraId="387FD204" w14:textId="77777777" w:rsidR="006059DE" w:rsidRPr="0065210C" w:rsidRDefault="006059DE" w:rsidP="009D22D7">
            <w:pPr>
              <w:pStyle w:val="MSp-text"/>
              <w:spacing w:before="120" w:after="0"/>
              <w:ind w:firstLine="0"/>
              <w:jc w:val="center"/>
              <w:rPr>
                <w:b/>
                <w:bCs/>
              </w:rPr>
            </w:pPr>
            <w:r w:rsidRPr="0065210C">
              <w:rPr>
                <w:b/>
                <w:bCs/>
              </w:rPr>
              <w:t>podpora uživatelů a údržba IS + 30 %</w:t>
            </w:r>
          </w:p>
        </w:tc>
        <w:tc>
          <w:tcPr>
            <w:tcW w:w="1559" w:type="dxa"/>
            <w:tcBorders>
              <w:top w:val="single" w:sz="8" w:space="0" w:color="auto"/>
              <w:left w:val="nil"/>
              <w:bottom w:val="single" w:sz="8" w:space="0" w:color="auto"/>
              <w:right w:val="single" w:sz="8" w:space="0" w:color="auto"/>
            </w:tcBorders>
            <w:shd w:val="clear" w:color="auto" w:fill="8EAADB" w:themeFill="accent1" w:themeFillTint="99"/>
            <w:noWrap/>
            <w:tcMar>
              <w:top w:w="0" w:type="dxa"/>
              <w:left w:w="70" w:type="dxa"/>
              <w:bottom w:w="0" w:type="dxa"/>
              <w:right w:w="70" w:type="dxa"/>
            </w:tcMar>
            <w:vAlign w:val="center"/>
            <w:hideMark/>
          </w:tcPr>
          <w:p w14:paraId="7CE90B27" w14:textId="296EF700" w:rsidR="00F47858" w:rsidRDefault="006059DE" w:rsidP="009D22D7">
            <w:pPr>
              <w:pStyle w:val="MSp-text"/>
              <w:spacing w:before="120" w:after="0"/>
              <w:ind w:firstLine="0"/>
              <w:jc w:val="center"/>
              <w:rPr>
                <w:b/>
                <w:bCs/>
              </w:rPr>
            </w:pPr>
            <w:r w:rsidRPr="0065210C">
              <w:rPr>
                <w:b/>
                <w:bCs/>
              </w:rPr>
              <w:t>Celkem</w:t>
            </w:r>
          </w:p>
          <w:p w14:paraId="1AA8B308" w14:textId="5EEB1DF4" w:rsidR="006059DE" w:rsidRPr="009D22D7" w:rsidRDefault="00F47858" w:rsidP="009D22D7">
            <w:pPr>
              <w:pStyle w:val="MSp-text"/>
              <w:spacing w:before="120" w:after="0"/>
              <w:ind w:firstLine="0"/>
              <w:jc w:val="center"/>
            </w:pPr>
            <w:r w:rsidRPr="009D22D7">
              <w:t>(</w:t>
            </w:r>
            <w:r w:rsidRPr="002A3864">
              <w:t>v Kč)</w:t>
            </w:r>
          </w:p>
        </w:tc>
      </w:tr>
      <w:tr w:rsidR="006059DE" w:rsidRPr="002A6C8A" w14:paraId="75DB2305" w14:textId="77777777" w:rsidTr="002A3864">
        <w:trPr>
          <w:trHeight w:val="600"/>
        </w:trPr>
        <w:tc>
          <w:tcPr>
            <w:tcW w:w="225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57E0BE" w14:textId="77777777" w:rsidR="006059DE" w:rsidRPr="002A6C8A" w:rsidRDefault="006059DE" w:rsidP="00A1611D">
            <w:pPr>
              <w:pStyle w:val="MSp-text"/>
              <w:spacing w:before="120" w:after="0"/>
              <w:ind w:firstLine="0"/>
              <w:jc w:val="left"/>
            </w:pPr>
            <w:r w:rsidRPr="002A6C8A">
              <w:t>1. a 2. rok</w:t>
            </w:r>
          </w:p>
        </w:tc>
        <w:tc>
          <w:tcPr>
            <w:tcW w:w="14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559A48" w14:textId="5AE41204" w:rsidR="006059DE" w:rsidRPr="002A6C8A" w:rsidRDefault="006059DE" w:rsidP="009D22D7">
            <w:pPr>
              <w:pStyle w:val="MSp-text"/>
              <w:spacing w:before="120" w:after="0"/>
              <w:ind w:firstLine="0"/>
              <w:jc w:val="right"/>
            </w:pPr>
            <w:r w:rsidRPr="002A6C8A">
              <w:t>3 120 000</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0CC461" w14:textId="47BD918C" w:rsidR="006059DE" w:rsidRPr="002A6C8A" w:rsidRDefault="006059DE" w:rsidP="009D22D7">
            <w:pPr>
              <w:pStyle w:val="MSp-text"/>
              <w:spacing w:before="120" w:after="0"/>
              <w:ind w:firstLine="0"/>
              <w:jc w:val="right"/>
            </w:pPr>
            <w:r w:rsidRPr="002A6C8A">
              <w:t>6 240 000</w:t>
            </w:r>
          </w:p>
        </w:tc>
        <w:tc>
          <w:tcPr>
            <w:tcW w:w="22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D67967" w14:textId="0A1AB1C1" w:rsidR="006059DE" w:rsidRPr="002A6C8A" w:rsidRDefault="006059DE" w:rsidP="009D22D7">
            <w:pPr>
              <w:pStyle w:val="MSp-text"/>
              <w:spacing w:before="120" w:after="0"/>
              <w:ind w:firstLine="0"/>
              <w:jc w:val="right"/>
            </w:pPr>
            <w:r w:rsidRPr="002A6C8A">
              <w:t>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FC5F27" w14:textId="7E488146" w:rsidR="006059DE" w:rsidRPr="002A6C8A" w:rsidRDefault="006059DE" w:rsidP="009D22D7">
            <w:pPr>
              <w:pStyle w:val="MSp-text"/>
              <w:spacing w:before="120" w:after="0"/>
              <w:ind w:firstLine="0"/>
              <w:jc w:val="right"/>
            </w:pPr>
            <w:r w:rsidRPr="002A6C8A">
              <w:t>9 360 000</w:t>
            </w:r>
          </w:p>
        </w:tc>
      </w:tr>
      <w:tr w:rsidR="006059DE" w:rsidRPr="002A6C8A" w14:paraId="1870AF51" w14:textId="77777777" w:rsidTr="002A3864">
        <w:trPr>
          <w:trHeight w:val="600"/>
        </w:trPr>
        <w:tc>
          <w:tcPr>
            <w:tcW w:w="225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DB7E6F" w14:textId="77777777" w:rsidR="006059DE" w:rsidRPr="002A6C8A" w:rsidRDefault="006059DE" w:rsidP="00A1611D">
            <w:pPr>
              <w:pStyle w:val="MSp-text"/>
              <w:spacing w:before="120" w:after="0"/>
              <w:ind w:firstLine="0"/>
              <w:jc w:val="left"/>
            </w:pPr>
            <w:r w:rsidRPr="002A6C8A">
              <w:t xml:space="preserve">3. rok </w:t>
            </w:r>
            <w:r>
              <w:t>a následující léta – jde o trvalý výdaj</w:t>
            </w:r>
          </w:p>
        </w:tc>
        <w:tc>
          <w:tcPr>
            <w:tcW w:w="14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8E5FD5" w14:textId="29D9D4B5" w:rsidR="006059DE" w:rsidRPr="002A6C8A" w:rsidRDefault="006059DE" w:rsidP="009D22D7">
            <w:pPr>
              <w:pStyle w:val="MSp-text"/>
              <w:spacing w:before="120" w:after="0"/>
              <w:ind w:firstLine="0"/>
              <w:jc w:val="right"/>
            </w:pPr>
            <w:r w:rsidRPr="002A6C8A">
              <w:t>0</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FF63CB" w14:textId="701AEFA0" w:rsidR="006059DE" w:rsidRPr="002A6C8A" w:rsidRDefault="006059DE" w:rsidP="009D22D7">
            <w:pPr>
              <w:pStyle w:val="MSp-text"/>
              <w:spacing w:before="120" w:after="0"/>
              <w:ind w:firstLine="0"/>
              <w:jc w:val="right"/>
            </w:pPr>
            <w:r w:rsidRPr="002A6C8A">
              <w:t>0</w:t>
            </w:r>
          </w:p>
        </w:tc>
        <w:tc>
          <w:tcPr>
            <w:tcW w:w="22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A42E6E" w14:textId="2220F2CE" w:rsidR="006059DE" w:rsidRPr="002A6C8A" w:rsidRDefault="006059DE" w:rsidP="009D22D7">
            <w:pPr>
              <w:pStyle w:val="MSp-text"/>
              <w:spacing w:before="120" w:after="0"/>
              <w:ind w:firstLine="0"/>
              <w:jc w:val="right"/>
            </w:pPr>
            <w:r w:rsidRPr="002A6C8A">
              <w:t>9 360 000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95D09C" w14:textId="6616EA2E" w:rsidR="006059DE" w:rsidRPr="002A6C8A" w:rsidRDefault="006059DE" w:rsidP="009D22D7">
            <w:pPr>
              <w:pStyle w:val="MSp-text"/>
              <w:spacing w:before="120" w:after="0"/>
              <w:ind w:firstLine="0"/>
              <w:jc w:val="right"/>
            </w:pPr>
            <w:r w:rsidRPr="002A6C8A">
              <w:t>9 360 000</w:t>
            </w:r>
          </w:p>
        </w:tc>
      </w:tr>
    </w:tbl>
    <w:p w14:paraId="33133955" w14:textId="04CDD258" w:rsidR="006059DE" w:rsidRPr="00DC1F82" w:rsidRDefault="00B16581" w:rsidP="00A1611D">
      <w:pPr>
        <w:pStyle w:val="oj-doc-ti"/>
        <w:spacing w:before="120" w:beforeAutospacing="0" w:after="0" w:afterAutospacing="0"/>
        <w:jc w:val="both"/>
        <w:rPr>
          <w:rFonts w:ascii="Arial" w:hAnsi="Arial" w:cs="Arial"/>
          <w:color w:val="000000"/>
        </w:rPr>
      </w:pPr>
      <w:r w:rsidRPr="00B16581">
        <w:t xml:space="preserve">Uvedený odhad výše nákladů </w:t>
      </w:r>
      <w:r w:rsidR="00EC32F2">
        <w:t>se týká</w:t>
      </w:r>
      <w:r w:rsidRPr="00B16581">
        <w:t xml:space="preserve"> </w:t>
      </w:r>
      <w:r w:rsidR="00EC32F2">
        <w:t xml:space="preserve">pouze </w:t>
      </w:r>
      <w:r w:rsidRPr="00B16581">
        <w:t>náklad</w:t>
      </w:r>
      <w:r w:rsidR="00EC32F2">
        <w:t>ů</w:t>
      </w:r>
      <w:r w:rsidRPr="00B16581">
        <w:t xml:space="preserve"> spojen</w:t>
      </w:r>
      <w:r w:rsidR="00EC32F2">
        <w:t>ých</w:t>
      </w:r>
      <w:r w:rsidRPr="00B16581">
        <w:t xml:space="preserve"> s technickou realizací </w:t>
      </w:r>
      <w:r w:rsidR="002E0407">
        <w:t>n</w:t>
      </w:r>
      <w:r w:rsidRPr="00B16581">
        <w:t>ařízení</w:t>
      </w:r>
      <w:r>
        <w:t xml:space="preserve"> </w:t>
      </w:r>
      <w:r w:rsidR="00FF60D9">
        <w:t xml:space="preserve">(obdobné dopady lze očekávat </w:t>
      </w:r>
      <w:r>
        <w:t xml:space="preserve">i </w:t>
      </w:r>
      <w:r w:rsidR="00FF60D9">
        <w:t xml:space="preserve">u </w:t>
      </w:r>
      <w:r>
        <w:t>směrnice o digitalizaci justiční spol</w:t>
      </w:r>
      <w:r w:rsidR="00FC1919">
        <w:t>u</w:t>
      </w:r>
      <w:r>
        <w:t>práce</w:t>
      </w:r>
      <w:r w:rsidR="00FF60D9">
        <w:t>)</w:t>
      </w:r>
      <w:r w:rsidRPr="00B16581">
        <w:t>, nicméně p</w:t>
      </w:r>
      <w:r w:rsidR="006059DE" w:rsidRPr="00B16581">
        <w:t xml:space="preserve">řed </w:t>
      </w:r>
      <w:r>
        <w:t xml:space="preserve">touto </w:t>
      </w:r>
      <w:r w:rsidR="006059DE" w:rsidRPr="00B16581">
        <w:t xml:space="preserve">realizací </w:t>
      </w:r>
      <w:r>
        <w:t xml:space="preserve">je již třeba technicky implementovat (funkční požadavky) </w:t>
      </w:r>
      <w:r w:rsidR="006059DE" w:rsidRPr="00B16581">
        <w:t>systém</w:t>
      </w:r>
      <w:r>
        <w:t>u</w:t>
      </w:r>
      <w:r w:rsidR="006059DE" w:rsidRPr="00B16581">
        <w:t xml:space="preserve"> e-CODEX pro </w:t>
      </w:r>
      <w:r>
        <w:t>účely</w:t>
      </w:r>
      <w:r w:rsidR="00FC1919">
        <w:t xml:space="preserve"> nařízení </w:t>
      </w:r>
      <w:r w:rsidR="002A3864">
        <w:t xml:space="preserve">Evropského parlamentu </w:t>
      </w:r>
      <w:r w:rsidR="00FC1919">
        <w:t>a Rady (EU) 2020/1784</w:t>
      </w:r>
      <w:r>
        <w:t xml:space="preserve"> </w:t>
      </w:r>
      <w:r w:rsidR="00FC1919">
        <w:t>o doručování soudních a</w:t>
      </w:r>
      <w:r w:rsidR="002A3864">
        <w:t> </w:t>
      </w:r>
      <w:r w:rsidR="00FC1919">
        <w:t>mimosoudních písemností ve věcech občanských a obchodních v členských státech (doručování písemností)</w:t>
      </w:r>
      <w:r w:rsidR="00DC1F82">
        <w:t xml:space="preserve"> a </w:t>
      </w:r>
      <w:r w:rsidR="00DC1F82" w:rsidRPr="009D22D7">
        <w:rPr>
          <w:rStyle w:val="Siln"/>
          <w:b w:val="0"/>
          <w:bCs w:val="0"/>
          <w:shd w:val="clear" w:color="auto" w:fill="FFFFFF"/>
        </w:rPr>
        <w:t>nařízení Evropského parlamentu a Rady (EU) 2020/1783 o spolupráci soudů členských států při dokazování v občanských a obchodních věcech (dokazování),</w:t>
      </w:r>
      <w:r w:rsidR="00FC1919" w:rsidRPr="002A3864">
        <w:t xml:space="preserve"> </w:t>
      </w:r>
      <w:r w:rsidRPr="00DC1F82">
        <w:t>kter</w:t>
      </w:r>
      <w:r w:rsidR="00DC1F82">
        <w:t>á</w:t>
      </w:r>
      <w:r w:rsidRPr="00DC1F82">
        <w:t xml:space="preserve"> nabýv</w:t>
      </w:r>
      <w:r w:rsidR="00DC1F82">
        <w:t>ají</w:t>
      </w:r>
      <w:r w:rsidRPr="00DC1F82">
        <w:t xml:space="preserve"> účinnosti dříve než </w:t>
      </w:r>
      <w:r w:rsidR="002E0407">
        <w:t>n</w:t>
      </w:r>
      <w:r w:rsidRPr="00DC1F82">
        <w:t>ařízení</w:t>
      </w:r>
      <w:r w:rsidR="006059DE" w:rsidRPr="00DC1F82">
        <w:t xml:space="preserve">. </w:t>
      </w:r>
    </w:p>
    <w:p w14:paraId="038B4188" w14:textId="0091014B" w:rsidR="006059DE" w:rsidRPr="008F3E19" w:rsidRDefault="00412D4B"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Konečná výše finančních nákladů </w:t>
      </w:r>
      <w:r w:rsidR="00C75136">
        <w:rPr>
          <w:rFonts w:ascii="Times New Roman" w:hAnsi="Times New Roman" w:cs="Times New Roman"/>
          <w:sz w:val="24"/>
          <w:szCs w:val="24"/>
        </w:rPr>
        <w:t xml:space="preserve">spojená s technickou implementací požadavků </w:t>
      </w:r>
      <w:r w:rsidR="002E0407">
        <w:rPr>
          <w:rFonts w:ascii="Times New Roman" w:hAnsi="Times New Roman" w:cs="Times New Roman"/>
          <w:sz w:val="24"/>
          <w:szCs w:val="24"/>
        </w:rPr>
        <w:t>n</w:t>
      </w:r>
      <w:r w:rsidR="00C75136">
        <w:rPr>
          <w:rFonts w:ascii="Times New Roman" w:hAnsi="Times New Roman" w:cs="Times New Roman"/>
          <w:sz w:val="24"/>
          <w:szCs w:val="24"/>
        </w:rPr>
        <w:t>ařízení a</w:t>
      </w:r>
      <w:r w:rsidR="002A3864">
        <w:rPr>
          <w:rFonts w:ascii="Times New Roman" w:hAnsi="Times New Roman" w:cs="Times New Roman"/>
          <w:sz w:val="24"/>
          <w:szCs w:val="24"/>
        </w:rPr>
        <w:t> </w:t>
      </w:r>
      <w:r w:rsidR="00C75136">
        <w:rPr>
          <w:rFonts w:ascii="Times New Roman" w:hAnsi="Times New Roman" w:cs="Times New Roman"/>
          <w:sz w:val="24"/>
          <w:szCs w:val="24"/>
        </w:rPr>
        <w:t xml:space="preserve">směrnice o digitalizaci justiční spolupráce </w:t>
      </w:r>
      <w:r>
        <w:rPr>
          <w:rFonts w:ascii="Times New Roman" w:hAnsi="Times New Roman" w:cs="Times New Roman"/>
          <w:sz w:val="24"/>
          <w:szCs w:val="24"/>
        </w:rPr>
        <w:t xml:space="preserve">se </w:t>
      </w:r>
      <w:r w:rsidR="00C75136">
        <w:rPr>
          <w:rFonts w:ascii="Times New Roman" w:hAnsi="Times New Roman" w:cs="Times New Roman"/>
          <w:sz w:val="24"/>
          <w:szCs w:val="24"/>
        </w:rPr>
        <w:t xml:space="preserve">proto </w:t>
      </w:r>
      <w:r>
        <w:rPr>
          <w:rFonts w:ascii="Times New Roman" w:hAnsi="Times New Roman" w:cs="Times New Roman"/>
          <w:sz w:val="24"/>
          <w:szCs w:val="24"/>
        </w:rPr>
        <w:t xml:space="preserve">bude odvíjet od </w:t>
      </w:r>
      <w:r w:rsidR="006059DE" w:rsidRPr="00B16581">
        <w:rPr>
          <w:rFonts w:ascii="Times New Roman" w:hAnsi="Times New Roman" w:cs="Times New Roman"/>
          <w:sz w:val="24"/>
          <w:szCs w:val="24"/>
        </w:rPr>
        <w:t>zvolen</w:t>
      </w:r>
      <w:r>
        <w:rPr>
          <w:rFonts w:ascii="Times New Roman" w:hAnsi="Times New Roman" w:cs="Times New Roman"/>
          <w:sz w:val="24"/>
          <w:szCs w:val="24"/>
        </w:rPr>
        <w:t>ého</w:t>
      </w:r>
      <w:r w:rsidR="006059DE" w:rsidRPr="00B16581">
        <w:rPr>
          <w:rFonts w:ascii="Times New Roman" w:hAnsi="Times New Roman" w:cs="Times New Roman"/>
          <w:sz w:val="24"/>
          <w:szCs w:val="24"/>
        </w:rPr>
        <w:t xml:space="preserve"> architektonick</w:t>
      </w:r>
      <w:r>
        <w:rPr>
          <w:rFonts w:ascii="Times New Roman" w:hAnsi="Times New Roman" w:cs="Times New Roman"/>
          <w:sz w:val="24"/>
          <w:szCs w:val="24"/>
        </w:rPr>
        <w:t>ého</w:t>
      </w:r>
      <w:r w:rsidR="006059DE" w:rsidRPr="00B16581">
        <w:rPr>
          <w:rFonts w:ascii="Times New Roman" w:hAnsi="Times New Roman" w:cs="Times New Roman"/>
          <w:sz w:val="24"/>
          <w:szCs w:val="24"/>
        </w:rPr>
        <w:t xml:space="preserve"> návrh</w:t>
      </w:r>
      <w:r>
        <w:rPr>
          <w:rFonts w:ascii="Times New Roman" w:hAnsi="Times New Roman" w:cs="Times New Roman"/>
          <w:sz w:val="24"/>
          <w:szCs w:val="24"/>
        </w:rPr>
        <w:t>u</w:t>
      </w:r>
      <w:r w:rsidR="006059DE" w:rsidRPr="00B16581">
        <w:rPr>
          <w:rFonts w:ascii="Times New Roman" w:hAnsi="Times New Roman" w:cs="Times New Roman"/>
          <w:sz w:val="24"/>
          <w:szCs w:val="24"/>
        </w:rPr>
        <w:t xml:space="preserve"> řešení technické implementace. Pokud </w:t>
      </w:r>
      <w:r>
        <w:rPr>
          <w:rFonts w:ascii="Times New Roman" w:hAnsi="Times New Roman" w:cs="Times New Roman"/>
          <w:sz w:val="24"/>
          <w:szCs w:val="24"/>
        </w:rPr>
        <w:t xml:space="preserve">bude využita </w:t>
      </w:r>
      <w:r w:rsidR="006059DE" w:rsidRPr="00B16581">
        <w:rPr>
          <w:rFonts w:ascii="Times New Roman" w:hAnsi="Times New Roman" w:cs="Times New Roman"/>
          <w:sz w:val="24"/>
          <w:szCs w:val="24"/>
        </w:rPr>
        <w:t>již existující infrastruktur</w:t>
      </w:r>
      <w:r>
        <w:rPr>
          <w:rFonts w:ascii="Times New Roman" w:hAnsi="Times New Roman" w:cs="Times New Roman"/>
          <w:sz w:val="24"/>
          <w:szCs w:val="24"/>
        </w:rPr>
        <w:t>a</w:t>
      </w:r>
      <w:r w:rsidR="006059DE" w:rsidRPr="00B16581">
        <w:rPr>
          <w:rFonts w:ascii="Times New Roman" w:hAnsi="Times New Roman" w:cs="Times New Roman"/>
          <w:sz w:val="24"/>
          <w:szCs w:val="24"/>
        </w:rPr>
        <w:t xml:space="preserve"> a přístupový bod e-CODEX zřízený pro </w:t>
      </w:r>
      <w:r w:rsidR="00DC1F82">
        <w:rPr>
          <w:rFonts w:ascii="Times New Roman" w:hAnsi="Times New Roman" w:cs="Times New Roman"/>
          <w:sz w:val="24"/>
          <w:szCs w:val="24"/>
        </w:rPr>
        <w:t xml:space="preserve">citovaná </w:t>
      </w:r>
      <w:r w:rsidR="006059DE" w:rsidRPr="00B16581">
        <w:rPr>
          <w:rFonts w:ascii="Times New Roman" w:hAnsi="Times New Roman" w:cs="Times New Roman"/>
          <w:sz w:val="24"/>
          <w:szCs w:val="24"/>
        </w:rPr>
        <w:t>nařízení o doručování a</w:t>
      </w:r>
      <w:r w:rsidR="002A3864">
        <w:rPr>
          <w:rFonts w:ascii="Times New Roman" w:hAnsi="Times New Roman" w:cs="Times New Roman"/>
          <w:sz w:val="24"/>
          <w:szCs w:val="24"/>
        </w:rPr>
        <w:t> </w:t>
      </w:r>
      <w:r w:rsidR="006059DE" w:rsidRPr="00B16581">
        <w:rPr>
          <w:rFonts w:ascii="Times New Roman" w:hAnsi="Times New Roman" w:cs="Times New Roman"/>
          <w:sz w:val="24"/>
          <w:szCs w:val="24"/>
        </w:rPr>
        <w:t xml:space="preserve">dokazování, mohlo by </w:t>
      </w:r>
      <w:r w:rsidR="00DC1F82">
        <w:rPr>
          <w:rFonts w:ascii="Times New Roman" w:hAnsi="Times New Roman" w:cs="Times New Roman"/>
          <w:sz w:val="24"/>
          <w:szCs w:val="24"/>
        </w:rPr>
        <w:t xml:space="preserve">následně </w:t>
      </w:r>
      <w:r w:rsidR="006059DE" w:rsidRPr="00B16581">
        <w:rPr>
          <w:rFonts w:ascii="Times New Roman" w:hAnsi="Times New Roman" w:cs="Times New Roman"/>
          <w:sz w:val="24"/>
          <w:szCs w:val="24"/>
        </w:rPr>
        <w:t xml:space="preserve">s účinností jednotlivých </w:t>
      </w:r>
      <w:r w:rsidR="00DC1F82">
        <w:rPr>
          <w:rFonts w:ascii="Times New Roman" w:hAnsi="Times New Roman" w:cs="Times New Roman"/>
          <w:sz w:val="24"/>
          <w:szCs w:val="24"/>
        </w:rPr>
        <w:t xml:space="preserve">evropských předpisů v oblasti justiční spolupráce </w:t>
      </w:r>
      <w:r w:rsidR="006059DE" w:rsidRPr="00B16581">
        <w:rPr>
          <w:rFonts w:ascii="Times New Roman" w:hAnsi="Times New Roman" w:cs="Times New Roman"/>
          <w:sz w:val="24"/>
          <w:szCs w:val="24"/>
        </w:rPr>
        <w:t>docházet pouze ke škálování existující infrastruktury a rozšiřování o</w:t>
      </w:r>
      <w:r w:rsidR="002A3864">
        <w:rPr>
          <w:rFonts w:ascii="Times New Roman" w:hAnsi="Times New Roman" w:cs="Times New Roman"/>
          <w:sz w:val="24"/>
          <w:szCs w:val="24"/>
        </w:rPr>
        <w:t> </w:t>
      </w:r>
      <w:r w:rsidR="006059DE" w:rsidRPr="00B16581">
        <w:rPr>
          <w:rFonts w:ascii="Times New Roman" w:hAnsi="Times New Roman" w:cs="Times New Roman"/>
          <w:sz w:val="24"/>
          <w:szCs w:val="24"/>
        </w:rPr>
        <w:t xml:space="preserve">jednotlivé přeshraniční nástroje za předpokladu, že to bude technicky možné. Takové řešení </w:t>
      </w:r>
      <w:r w:rsidR="00064408">
        <w:rPr>
          <w:rFonts w:ascii="Times New Roman" w:hAnsi="Times New Roman" w:cs="Times New Roman"/>
          <w:sz w:val="24"/>
          <w:szCs w:val="24"/>
        </w:rPr>
        <w:t xml:space="preserve">by bylo </w:t>
      </w:r>
      <w:r w:rsidR="006059DE" w:rsidRPr="00B16581">
        <w:rPr>
          <w:rFonts w:ascii="Times New Roman" w:hAnsi="Times New Roman" w:cs="Times New Roman"/>
          <w:sz w:val="24"/>
          <w:szCs w:val="24"/>
        </w:rPr>
        <w:t xml:space="preserve">finančně </w:t>
      </w:r>
      <w:r w:rsidR="00064408">
        <w:rPr>
          <w:rFonts w:ascii="Times New Roman" w:hAnsi="Times New Roman" w:cs="Times New Roman"/>
          <w:sz w:val="24"/>
          <w:szCs w:val="24"/>
        </w:rPr>
        <w:t xml:space="preserve">mnohem </w:t>
      </w:r>
      <w:r w:rsidR="006059DE" w:rsidRPr="00B16581">
        <w:rPr>
          <w:rFonts w:ascii="Times New Roman" w:hAnsi="Times New Roman" w:cs="Times New Roman"/>
          <w:sz w:val="24"/>
          <w:szCs w:val="24"/>
        </w:rPr>
        <w:t>méně ná</w:t>
      </w:r>
      <w:r w:rsidR="00064408">
        <w:rPr>
          <w:rFonts w:ascii="Times New Roman" w:hAnsi="Times New Roman" w:cs="Times New Roman"/>
          <w:sz w:val="24"/>
          <w:szCs w:val="24"/>
        </w:rPr>
        <w:t>kladné</w:t>
      </w:r>
      <w:r w:rsidR="006059DE" w:rsidRPr="00B16581">
        <w:rPr>
          <w:rFonts w:ascii="Times New Roman" w:hAnsi="Times New Roman" w:cs="Times New Roman"/>
          <w:sz w:val="24"/>
          <w:szCs w:val="24"/>
        </w:rPr>
        <w:t xml:space="preserve">, než pokud </w:t>
      </w:r>
      <w:r w:rsidR="00064408">
        <w:rPr>
          <w:rFonts w:ascii="Times New Roman" w:hAnsi="Times New Roman" w:cs="Times New Roman"/>
          <w:sz w:val="24"/>
          <w:szCs w:val="24"/>
        </w:rPr>
        <w:t xml:space="preserve">by se </w:t>
      </w:r>
      <w:r w:rsidR="006059DE" w:rsidRPr="00B16581">
        <w:rPr>
          <w:rFonts w:ascii="Times New Roman" w:hAnsi="Times New Roman" w:cs="Times New Roman"/>
          <w:sz w:val="24"/>
          <w:szCs w:val="24"/>
        </w:rPr>
        <w:t xml:space="preserve">pro jednotlivé </w:t>
      </w:r>
      <w:r w:rsidR="00064408">
        <w:rPr>
          <w:rFonts w:ascii="Times New Roman" w:hAnsi="Times New Roman" w:cs="Times New Roman"/>
          <w:sz w:val="24"/>
          <w:szCs w:val="24"/>
        </w:rPr>
        <w:t xml:space="preserve">evropské předpisy </w:t>
      </w:r>
      <w:r w:rsidR="006059DE" w:rsidRPr="00B16581">
        <w:rPr>
          <w:rFonts w:ascii="Times New Roman" w:hAnsi="Times New Roman" w:cs="Times New Roman"/>
          <w:sz w:val="24"/>
          <w:szCs w:val="24"/>
        </w:rPr>
        <w:t>realizova</w:t>
      </w:r>
      <w:r w:rsidR="00064408">
        <w:rPr>
          <w:rFonts w:ascii="Times New Roman" w:hAnsi="Times New Roman" w:cs="Times New Roman"/>
          <w:sz w:val="24"/>
          <w:szCs w:val="24"/>
        </w:rPr>
        <w:t>ly</w:t>
      </w:r>
      <w:r w:rsidR="006059DE" w:rsidRPr="00B16581">
        <w:rPr>
          <w:rFonts w:ascii="Times New Roman" w:hAnsi="Times New Roman" w:cs="Times New Roman"/>
          <w:sz w:val="24"/>
          <w:szCs w:val="24"/>
        </w:rPr>
        <w:t xml:space="preserve"> samostatné instance systému e-CODEX v podobě nasazení samostatného přístupového bodu systému e-CODEX a samostatného referenčního rozhraní</w:t>
      </w:r>
      <w:r w:rsidR="00064408">
        <w:rPr>
          <w:rFonts w:ascii="Times New Roman" w:hAnsi="Times New Roman" w:cs="Times New Roman"/>
          <w:sz w:val="24"/>
          <w:szCs w:val="24"/>
        </w:rPr>
        <w:t>,</w:t>
      </w:r>
      <w:r w:rsidR="006059DE" w:rsidRPr="00B16581">
        <w:rPr>
          <w:rFonts w:ascii="Times New Roman" w:hAnsi="Times New Roman" w:cs="Times New Roman"/>
          <w:sz w:val="24"/>
          <w:szCs w:val="24"/>
        </w:rPr>
        <w:t xml:space="preserve"> jak to uvádí ve</w:t>
      </w:r>
      <w:r w:rsidR="002A3864">
        <w:rPr>
          <w:rFonts w:ascii="Times New Roman" w:hAnsi="Times New Roman" w:cs="Times New Roman"/>
          <w:sz w:val="24"/>
          <w:szCs w:val="24"/>
        </w:rPr>
        <w:t> </w:t>
      </w:r>
      <w:r w:rsidR="006059DE" w:rsidRPr="00B16581">
        <w:rPr>
          <w:rFonts w:ascii="Times New Roman" w:hAnsi="Times New Roman" w:cs="Times New Roman"/>
          <w:sz w:val="24"/>
          <w:szCs w:val="24"/>
        </w:rPr>
        <w:t xml:space="preserve">svém odhadu </w:t>
      </w:r>
      <w:r w:rsidR="00D96E05">
        <w:rPr>
          <w:rFonts w:ascii="Times New Roman" w:hAnsi="Times New Roman" w:cs="Times New Roman"/>
          <w:sz w:val="24"/>
          <w:szCs w:val="24"/>
        </w:rPr>
        <w:t>K</w:t>
      </w:r>
      <w:r w:rsidR="006059DE" w:rsidRPr="00B16581">
        <w:rPr>
          <w:rFonts w:ascii="Times New Roman" w:hAnsi="Times New Roman" w:cs="Times New Roman"/>
          <w:sz w:val="24"/>
          <w:szCs w:val="24"/>
        </w:rPr>
        <w:t xml:space="preserve">omise. </w:t>
      </w:r>
      <w:r w:rsidR="00064408" w:rsidRPr="008F3E19">
        <w:rPr>
          <w:rFonts w:ascii="Times New Roman" w:hAnsi="Times New Roman" w:cs="Times New Roman"/>
          <w:sz w:val="24"/>
          <w:szCs w:val="24"/>
        </w:rPr>
        <w:t>Protože však dosud nejsou známy všechny technické požadavky a specifikace u jednotlivých evropských předpisů, v době přípravy této novely dosud není známo, která z variant bude přicházet v</w:t>
      </w:r>
      <w:r w:rsidR="00E0430B" w:rsidRPr="008F3E19">
        <w:rPr>
          <w:rFonts w:ascii="Times New Roman" w:hAnsi="Times New Roman" w:cs="Times New Roman"/>
          <w:sz w:val="24"/>
          <w:szCs w:val="24"/>
        </w:rPr>
        <w:t> </w:t>
      </w:r>
      <w:r w:rsidR="00064408" w:rsidRPr="008F3E19">
        <w:rPr>
          <w:rFonts w:ascii="Times New Roman" w:hAnsi="Times New Roman" w:cs="Times New Roman"/>
          <w:sz w:val="24"/>
          <w:szCs w:val="24"/>
        </w:rPr>
        <w:t>úvahu</w:t>
      </w:r>
      <w:r w:rsidR="00E0430B" w:rsidRPr="008F3E19">
        <w:rPr>
          <w:rFonts w:ascii="Times New Roman" w:hAnsi="Times New Roman" w:cs="Times New Roman"/>
          <w:sz w:val="24"/>
          <w:szCs w:val="24"/>
        </w:rPr>
        <w:t xml:space="preserve"> </w:t>
      </w:r>
      <w:r w:rsidR="00E0430B" w:rsidRPr="008F3E19">
        <w:rPr>
          <w:rFonts w:ascii="Times New Roman" w:hAnsi="Times New Roman" w:cs="Times New Roman"/>
          <w:sz w:val="24"/>
          <w:szCs w:val="24"/>
        </w:rPr>
        <w:sym w:font="Symbol" w:char="F02D"/>
      </w:r>
      <w:r w:rsidR="00064408" w:rsidRPr="008F3E19">
        <w:rPr>
          <w:rFonts w:ascii="Times New Roman" w:hAnsi="Times New Roman" w:cs="Times New Roman"/>
          <w:sz w:val="24"/>
          <w:szCs w:val="24"/>
        </w:rPr>
        <w:t xml:space="preserve"> zda méně náročné nebo více náročné finanční řešení. </w:t>
      </w:r>
    </w:p>
    <w:p w14:paraId="29A8A314" w14:textId="417B8813" w:rsidR="006059DE" w:rsidRDefault="006059DE" w:rsidP="00A1611D">
      <w:pPr>
        <w:spacing w:before="120" w:after="0" w:line="240" w:lineRule="auto"/>
        <w:jc w:val="both"/>
        <w:rPr>
          <w:rFonts w:ascii="Times New Roman" w:hAnsi="Times New Roman" w:cs="Times New Roman"/>
          <w:sz w:val="24"/>
          <w:szCs w:val="24"/>
        </w:rPr>
      </w:pPr>
      <w:r w:rsidRPr="00B16581">
        <w:rPr>
          <w:rFonts w:ascii="Times New Roman" w:hAnsi="Times New Roman" w:cs="Times New Roman"/>
          <w:sz w:val="24"/>
          <w:szCs w:val="24"/>
        </w:rPr>
        <w:lastRenderedPageBreak/>
        <w:t xml:space="preserve">Proto </w:t>
      </w:r>
      <w:r w:rsidR="00064408">
        <w:rPr>
          <w:rFonts w:ascii="Times New Roman" w:hAnsi="Times New Roman" w:cs="Times New Roman"/>
          <w:sz w:val="24"/>
          <w:szCs w:val="24"/>
        </w:rPr>
        <w:t xml:space="preserve">lze </w:t>
      </w:r>
      <w:r w:rsidRPr="00B16581">
        <w:rPr>
          <w:rFonts w:ascii="Times New Roman" w:hAnsi="Times New Roman" w:cs="Times New Roman"/>
          <w:sz w:val="24"/>
          <w:szCs w:val="24"/>
        </w:rPr>
        <w:t>v tuto chvíli jen velmi obtížně odhadn</w:t>
      </w:r>
      <w:r w:rsidR="00064408">
        <w:rPr>
          <w:rFonts w:ascii="Times New Roman" w:hAnsi="Times New Roman" w:cs="Times New Roman"/>
          <w:sz w:val="24"/>
          <w:szCs w:val="24"/>
        </w:rPr>
        <w:t>out výši</w:t>
      </w:r>
      <w:r w:rsidRPr="00B16581">
        <w:rPr>
          <w:rFonts w:ascii="Times New Roman" w:hAnsi="Times New Roman" w:cs="Times New Roman"/>
          <w:sz w:val="24"/>
          <w:szCs w:val="24"/>
        </w:rPr>
        <w:t xml:space="preserve"> finanční</w:t>
      </w:r>
      <w:r w:rsidR="00064408">
        <w:rPr>
          <w:rFonts w:ascii="Times New Roman" w:hAnsi="Times New Roman" w:cs="Times New Roman"/>
          <w:sz w:val="24"/>
          <w:szCs w:val="24"/>
        </w:rPr>
        <w:t>ch</w:t>
      </w:r>
      <w:r w:rsidRPr="00B16581">
        <w:rPr>
          <w:rFonts w:ascii="Times New Roman" w:hAnsi="Times New Roman" w:cs="Times New Roman"/>
          <w:sz w:val="24"/>
          <w:szCs w:val="24"/>
        </w:rPr>
        <w:t xml:space="preserve"> náklad</w:t>
      </w:r>
      <w:r w:rsidR="00064408">
        <w:rPr>
          <w:rFonts w:ascii="Times New Roman" w:hAnsi="Times New Roman" w:cs="Times New Roman"/>
          <w:sz w:val="24"/>
          <w:szCs w:val="24"/>
        </w:rPr>
        <w:t>ů</w:t>
      </w:r>
      <w:r w:rsidRPr="00B16581">
        <w:rPr>
          <w:rFonts w:ascii="Times New Roman" w:hAnsi="Times New Roman" w:cs="Times New Roman"/>
          <w:sz w:val="24"/>
          <w:szCs w:val="24"/>
        </w:rPr>
        <w:t xml:space="preserve"> spojen</w:t>
      </w:r>
      <w:r w:rsidR="00064408">
        <w:rPr>
          <w:rFonts w:ascii="Times New Roman" w:hAnsi="Times New Roman" w:cs="Times New Roman"/>
          <w:sz w:val="24"/>
          <w:szCs w:val="24"/>
        </w:rPr>
        <w:t>ých</w:t>
      </w:r>
      <w:r w:rsidRPr="00B16581">
        <w:rPr>
          <w:rFonts w:ascii="Times New Roman" w:hAnsi="Times New Roman" w:cs="Times New Roman"/>
          <w:sz w:val="24"/>
          <w:szCs w:val="24"/>
        </w:rPr>
        <w:t xml:space="preserve"> </w:t>
      </w:r>
      <w:r w:rsidR="00064408">
        <w:rPr>
          <w:rFonts w:ascii="Times New Roman" w:hAnsi="Times New Roman" w:cs="Times New Roman"/>
          <w:sz w:val="24"/>
          <w:szCs w:val="24"/>
        </w:rPr>
        <w:t xml:space="preserve">přímo </w:t>
      </w:r>
      <w:r w:rsidRPr="00B16581">
        <w:rPr>
          <w:rFonts w:ascii="Times New Roman" w:hAnsi="Times New Roman" w:cs="Times New Roman"/>
          <w:sz w:val="24"/>
          <w:szCs w:val="24"/>
        </w:rPr>
        <w:t xml:space="preserve">s realizací </w:t>
      </w:r>
      <w:r w:rsidR="002E0407">
        <w:rPr>
          <w:rFonts w:ascii="Times New Roman" w:hAnsi="Times New Roman" w:cs="Times New Roman"/>
          <w:sz w:val="24"/>
          <w:szCs w:val="24"/>
        </w:rPr>
        <w:t>n</w:t>
      </w:r>
      <w:r w:rsidR="00064408">
        <w:rPr>
          <w:rFonts w:ascii="Times New Roman" w:hAnsi="Times New Roman" w:cs="Times New Roman"/>
          <w:sz w:val="24"/>
          <w:szCs w:val="24"/>
        </w:rPr>
        <w:t xml:space="preserve">ařízení a směrnice </w:t>
      </w:r>
      <w:r w:rsidRPr="00B16581">
        <w:rPr>
          <w:rFonts w:ascii="Times New Roman" w:hAnsi="Times New Roman" w:cs="Times New Roman"/>
          <w:sz w:val="24"/>
          <w:szCs w:val="24"/>
        </w:rPr>
        <w:t xml:space="preserve">o digitalizaci přeshraniční justiční spolupráce. Pokud bude možné z větší části použít referenční rozhraní a infrastrukturu </w:t>
      </w:r>
      <w:r w:rsidR="00064408">
        <w:rPr>
          <w:rFonts w:ascii="Times New Roman" w:hAnsi="Times New Roman" w:cs="Times New Roman"/>
          <w:sz w:val="24"/>
          <w:szCs w:val="24"/>
        </w:rPr>
        <w:t>vytvořené</w:t>
      </w:r>
      <w:r w:rsidRPr="00B16581">
        <w:rPr>
          <w:rFonts w:ascii="Times New Roman" w:hAnsi="Times New Roman" w:cs="Times New Roman"/>
          <w:sz w:val="24"/>
          <w:szCs w:val="24"/>
        </w:rPr>
        <w:t xml:space="preserve"> pro </w:t>
      </w:r>
      <w:r w:rsidR="00064408">
        <w:rPr>
          <w:rFonts w:ascii="Times New Roman" w:hAnsi="Times New Roman" w:cs="Times New Roman"/>
          <w:sz w:val="24"/>
          <w:szCs w:val="24"/>
        </w:rPr>
        <w:t xml:space="preserve">výše uvedená </w:t>
      </w:r>
      <w:r w:rsidRPr="00B16581">
        <w:rPr>
          <w:rFonts w:ascii="Times New Roman" w:hAnsi="Times New Roman" w:cs="Times New Roman"/>
          <w:sz w:val="24"/>
          <w:szCs w:val="24"/>
        </w:rPr>
        <w:t xml:space="preserve">nařízení o doručování a nařízení o dokazování, </w:t>
      </w:r>
      <w:r w:rsidR="00064408">
        <w:rPr>
          <w:rFonts w:ascii="Times New Roman" w:hAnsi="Times New Roman" w:cs="Times New Roman"/>
          <w:sz w:val="24"/>
          <w:szCs w:val="24"/>
        </w:rPr>
        <w:t xml:space="preserve">lze </w:t>
      </w:r>
      <w:r w:rsidR="004463E2">
        <w:rPr>
          <w:rFonts w:ascii="Times New Roman" w:hAnsi="Times New Roman" w:cs="Times New Roman"/>
          <w:sz w:val="24"/>
          <w:szCs w:val="24"/>
        </w:rPr>
        <w:t xml:space="preserve">méně nákladnou finanční variantu odhadem vyčíslit </w:t>
      </w:r>
      <w:r w:rsidR="00800FDF">
        <w:rPr>
          <w:rFonts w:ascii="Times New Roman" w:hAnsi="Times New Roman" w:cs="Times New Roman"/>
          <w:sz w:val="24"/>
          <w:szCs w:val="24"/>
        </w:rPr>
        <w:t xml:space="preserve">pro </w:t>
      </w:r>
      <w:r w:rsidR="002E0407">
        <w:rPr>
          <w:rFonts w:ascii="Times New Roman" w:hAnsi="Times New Roman" w:cs="Times New Roman"/>
          <w:sz w:val="24"/>
          <w:szCs w:val="24"/>
        </w:rPr>
        <w:t>n</w:t>
      </w:r>
      <w:r w:rsidR="00800FDF">
        <w:rPr>
          <w:rFonts w:ascii="Times New Roman" w:hAnsi="Times New Roman" w:cs="Times New Roman"/>
          <w:sz w:val="24"/>
          <w:szCs w:val="24"/>
        </w:rPr>
        <w:t xml:space="preserve">ařízení a stejně tak pro směrnici o digitalizaci justiční spolupráce </w:t>
      </w:r>
      <w:r w:rsidR="004463E2">
        <w:rPr>
          <w:rFonts w:ascii="Times New Roman" w:hAnsi="Times New Roman" w:cs="Times New Roman"/>
          <w:sz w:val="24"/>
          <w:szCs w:val="24"/>
        </w:rPr>
        <w:t>takto:</w:t>
      </w:r>
    </w:p>
    <w:p w14:paraId="5B48E574" w14:textId="77777777" w:rsidR="00E87E91" w:rsidRDefault="00E87E91" w:rsidP="00A1611D">
      <w:pPr>
        <w:pStyle w:val="MSp-text"/>
        <w:spacing w:before="120" w:after="0"/>
        <w:jc w:val="center"/>
      </w:pPr>
    </w:p>
    <w:p w14:paraId="64567701" w14:textId="12979971" w:rsidR="002A3864" w:rsidRPr="002A3864" w:rsidRDefault="00F271C3" w:rsidP="00A1611D">
      <w:pPr>
        <w:pStyle w:val="MSp-text"/>
        <w:spacing w:before="120" w:after="120"/>
        <w:ind w:firstLine="0"/>
        <w:jc w:val="center"/>
        <w:rPr>
          <w:b/>
          <w:bCs/>
        </w:rPr>
      </w:pPr>
      <w:r w:rsidRPr="00E87E91">
        <w:rPr>
          <w:b/>
          <w:bCs/>
        </w:rPr>
        <w:t xml:space="preserve">Tabulka č. 2 – </w:t>
      </w:r>
      <w:r w:rsidR="00E87E91" w:rsidRPr="00E87E91">
        <w:rPr>
          <w:b/>
          <w:bCs/>
        </w:rPr>
        <w:t>Předpokládaná</w:t>
      </w:r>
      <w:r w:rsidR="00E87E91">
        <w:rPr>
          <w:b/>
          <w:bCs/>
        </w:rPr>
        <w:t xml:space="preserve"> výše nákladů spojená s projektem e-CODEX (bez DPH)</w:t>
      </w:r>
    </w:p>
    <w:tbl>
      <w:tblPr>
        <w:tblW w:w="5000" w:type="pct"/>
        <w:tblCellMar>
          <w:left w:w="0" w:type="dxa"/>
          <w:right w:w="0" w:type="dxa"/>
        </w:tblCellMar>
        <w:tblLook w:val="04A0" w:firstRow="1" w:lastRow="0" w:firstColumn="1" w:lastColumn="0" w:noHBand="0" w:noVBand="1"/>
      </w:tblPr>
      <w:tblGrid>
        <w:gridCol w:w="6087"/>
        <w:gridCol w:w="2965"/>
      </w:tblGrid>
      <w:tr w:rsidR="00800FDF" w:rsidRPr="00B16581" w14:paraId="38D55B84" w14:textId="77777777" w:rsidTr="00800FDF">
        <w:trPr>
          <w:trHeight w:val="280"/>
        </w:trPr>
        <w:tc>
          <w:tcPr>
            <w:tcW w:w="3362" w:type="pct"/>
            <w:tcBorders>
              <w:top w:val="single" w:sz="8" w:space="0" w:color="auto"/>
              <w:left w:val="single" w:sz="8" w:space="0" w:color="auto"/>
              <w:bottom w:val="single" w:sz="8" w:space="0" w:color="auto"/>
              <w:right w:val="single" w:sz="8" w:space="0" w:color="auto"/>
            </w:tcBorders>
            <w:shd w:val="clear" w:color="auto" w:fill="8EAADB" w:themeFill="accent1" w:themeFillTint="99"/>
            <w:tcMar>
              <w:top w:w="28" w:type="dxa"/>
              <w:left w:w="57" w:type="dxa"/>
              <w:bottom w:w="28" w:type="dxa"/>
              <w:right w:w="57" w:type="dxa"/>
            </w:tcMar>
          </w:tcPr>
          <w:p w14:paraId="69FAB35A" w14:textId="5DB58610" w:rsidR="00800FDF" w:rsidRPr="00800FDF" w:rsidRDefault="00800FDF" w:rsidP="009D22D7">
            <w:pPr>
              <w:spacing w:before="120" w:after="0" w:line="240" w:lineRule="auto"/>
              <w:jc w:val="center"/>
              <w:rPr>
                <w:rFonts w:ascii="Times New Roman" w:hAnsi="Times New Roman" w:cs="Times New Roman"/>
                <w:b/>
                <w:bCs/>
                <w:color w:val="000000"/>
                <w:sz w:val="24"/>
                <w:szCs w:val="24"/>
              </w:rPr>
            </w:pPr>
            <w:r w:rsidRPr="00800FDF">
              <w:rPr>
                <w:rFonts w:ascii="Times New Roman" w:hAnsi="Times New Roman" w:cs="Times New Roman"/>
                <w:b/>
                <w:bCs/>
                <w:color w:val="000000"/>
                <w:sz w:val="24"/>
                <w:szCs w:val="24"/>
              </w:rPr>
              <w:t>Harmonogram projektu</w:t>
            </w:r>
            <w:r w:rsidR="00066551">
              <w:rPr>
                <w:rFonts w:ascii="Times New Roman" w:hAnsi="Times New Roman" w:cs="Times New Roman"/>
                <w:b/>
                <w:bCs/>
                <w:color w:val="000000"/>
                <w:sz w:val="24"/>
                <w:szCs w:val="24"/>
              </w:rPr>
              <w:t xml:space="preserve"> e-CODEX</w:t>
            </w:r>
          </w:p>
        </w:tc>
        <w:tc>
          <w:tcPr>
            <w:tcW w:w="1638" w:type="pct"/>
            <w:tcBorders>
              <w:top w:val="single" w:sz="8" w:space="0" w:color="auto"/>
              <w:left w:val="nil"/>
              <w:bottom w:val="single" w:sz="8" w:space="0" w:color="auto"/>
              <w:right w:val="single" w:sz="8" w:space="0" w:color="auto"/>
            </w:tcBorders>
            <w:shd w:val="clear" w:color="auto" w:fill="8EAADB" w:themeFill="accent1" w:themeFillTint="99"/>
            <w:tcMar>
              <w:top w:w="28" w:type="dxa"/>
              <w:left w:w="57" w:type="dxa"/>
              <w:bottom w:w="28" w:type="dxa"/>
              <w:right w:w="57" w:type="dxa"/>
            </w:tcMar>
          </w:tcPr>
          <w:p w14:paraId="51BF7416" w14:textId="0877A468" w:rsidR="00800FDF" w:rsidRPr="00B16581" w:rsidRDefault="00800FDF" w:rsidP="009D22D7">
            <w:pPr>
              <w:spacing w:before="120"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Výše nákladů</w:t>
            </w:r>
            <w:r w:rsidR="002A3864">
              <w:rPr>
                <w:rFonts w:ascii="Times New Roman" w:hAnsi="Times New Roman" w:cs="Times New Roman"/>
                <w:b/>
                <w:bCs/>
                <w:color w:val="000000"/>
                <w:sz w:val="24"/>
                <w:szCs w:val="24"/>
              </w:rPr>
              <w:t xml:space="preserve"> </w:t>
            </w:r>
            <w:r w:rsidR="002A3864" w:rsidRPr="009D22D7">
              <w:rPr>
                <w:rFonts w:ascii="Times New Roman" w:hAnsi="Times New Roman" w:cs="Times New Roman"/>
                <w:color w:val="000000"/>
                <w:sz w:val="24"/>
                <w:szCs w:val="24"/>
              </w:rPr>
              <w:t>(v Kč)</w:t>
            </w:r>
          </w:p>
        </w:tc>
      </w:tr>
      <w:tr w:rsidR="006059DE" w:rsidRPr="00B16581" w14:paraId="18978B13" w14:textId="77777777" w:rsidTr="00800FDF">
        <w:trPr>
          <w:trHeight w:val="280"/>
        </w:trPr>
        <w:tc>
          <w:tcPr>
            <w:tcW w:w="3362" w:type="pct"/>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584EF36" w14:textId="1C3FEF4F" w:rsidR="006059DE" w:rsidRPr="00B16581" w:rsidRDefault="006059DE" w:rsidP="00A1611D">
            <w:pPr>
              <w:spacing w:before="120" w:after="0" w:line="240" w:lineRule="auto"/>
              <w:jc w:val="both"/>
              <w:rPr>
                <w:rFonts w:ascii="Times New Roman" w:hAnsi="Times New Roman" w:cs="Times New Roman"/>
                <w:sz w:val="24"/>
                <w:szCs w:val="24"/>
              </w:rPr>
            </w:pPr>
            <w:r w:rsidRPr="00B16581">
              <w:rPr>
                <w:rFonts w:ascii="Times New Roman" w:hAnsi="Times New Roman" w:cs="Times New Roman"/>
                <w:color w:val="000000"/>
                <w:sz w:val="24"/>
                <w:szCs w:val="24"/>
              </w:rPr>
              <w:t>Realizace projektu</w:t>
            </w:r>
            <w:r w:rsidR="00800FDF">
              <w:rPr>
                <w:rFonts w:ascii="Times New Roman" w:hAnsi="Times New Roman" w:cs="Times New Roman"/>
                <w:color w:val="000000"/>
                <w:sz w:val="24"/>
                <w:szCs w:val="24"/>
              </w:rPr>
              <w:t xml:space="preserve"> (3. 11. 2024 - 30.4.2025)</w:t>
            </w:r>
          </w:p>
        </w:tc>
        <w:tc>
          <w:tcPr>
            <w:tcW w:w="1638"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hideMark/>
          </w:tcPr>
          <w:p w14:paraId="17D9C642" w14:textId="3BDE432C" w:rsidR="006059DE" w:rsidRPr="00800FDF" w:rsidRDefault="006059DE" w:rsidP="009D22D7">
            <w:pPr>
              <w:spacing w:before="120" w:after="0" w:line="240" w:lineRule="auto"/>
              <w:jc w:val="right"/>
              <w:rPr>
                <w:rFonts w:ascii="Times New Roman" w:hAnsi="Times New Roman" w:cs="Times New Roman"/>
                <w:sz w:val="24"/>
                <w:szCs w:val="24"/>
                <w14:ligatures w14:val="standardContextual"/>
              </w:rPr>
            </w:pPr>
            <w:r w:rsidRPr="00800FDF">
              <w:rPr>
                <w:rFonts w:ascii="Times New Roman" w:hAnsi="Times New Roman" w:cs="Times New Roman"/>
                <w:color w:val="000000"/>
                <w:sz w:val="24"/>
                <w:szCs w:val="24"/>
              </w:rPr>
              <w:t>2 000 000 až 6 000 000</w:t>
            </w:r>
          </w:p>
        </w:tc>
      </w:tr>
      <w:tr w:rsidR="006059DE" w:rsidRPr="00B16581" w14:paraId="175CF613" w14:textId="77777777" w:rsidTr="00800FDF">
        <w:trPr>
          <w:trHeight w:val="280"/>
        </w:trPr>
        <w:tc>
          <w:tcPr>
            <w:tcW w:w="3362"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08BF1B1E" w14:textId="1ED4B536" w:rsidR="006059DE" w:rsidRPr="00B16581" w:rsidRDefault="006059DE" w:rsidP="00A1611D">
            <w:pPr>
              <w:spacing w:before="120" w:after="0" w:line="240" w:lineRule="auto"/>
              <w:jc w:val="both"/>
              <w:rPr>
                <w:rFonts w:ascii="Times New Roman" w:hAnsi="Times New Roman" w:cs="Times New Roman"/>
                <w:sz w:val="24"/>
                <w:szCs w:val="24"/>
              </w:rPr>
            </w:pPr>
            <w:r w:rsidRPr="00B16581">
              <w:rPr>
                <w:rFonts w:ascii="Times New Roman" w:hAnsi="Times New Roman" w:cs="Times New Roman"/>
                <w:color w:val="000000"/>
                <w:sz w:val="24"/>
                <w:szCs w:val="24"/>
              </w:rPr>
              <w:t>Provoz/rozvoj po ukončení projektu</w:t>
            </w:r>
            <w:r w:rsidR="00800FDF">
              <w:rPr>
                <w:rFonts w:ascii="Times New Roman" w:hAnsi="Times New Roman" w:cs="Times New Roman"/>
                <w:color w:val="000000"/>
                <w:sz w:val="24"/>
                <w:szCs w:val="24"/>
              </w:rPr>
              <w:t xml:space="preserve"> (1. 5. 2025 – 31. 5. 2028)</w:t>
            </w:r>
          </w:p>
        </w:tc>
        <w:tc>
          <w:tcPr>
            <w:tcW w:w="1638" w:type="pct"/>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67FFEC1" w14:textId="34E5DDB1" w:rsidR="006059DE" w:rsidRPr="00800FDF" w:rsidRDefault="006059DE" w:rsidP="009D22D7">
            <w:pPr>
              <w:spacing w:before="120" w:after="0" w:line="240" w:lineRule="auto"/>
              <w:jc w:val="right"/>
              <w:rPr>
                <w:rFonts w:ascii="Times New Roman" w:hAnsi="Times New Roman" w:cs="Times New Roman"/>
                <w:sz w:val="24"/>
                <w:szCs w:val="24"/>
              </w:rPr>
            </w:pPr>
            <w:r w:rsidRPr="00800FDF">
              <w:rPr>
                <w:rFonts w:ascii="Times New Roman" w:hAnsi="Times New Roman" w:cs="Times New Roman"/>
                <w:color w:val="000000"/>
                <w:sz w:val="24"/>
                <w:szCs w:val="24"/>
              </w:rPr>
              <w:t>4 000 00</w:t>
            </w:r>
            <w:r w:rsidR="00E87E91">
              <w:rPr>
                <w:rFonts w:ascii="Times New Roman" w:hAnsi="Times New Roman" w:cs="Times New Roman"/>
                <w:color w:val="000000"/>
                <w:sz w:val="24"/>
                <w:szCs w:val="24"/>
              </w:rPr>
              <w:t>0</w:t>
            </w:r>
          </w:p>
        </w:tc>
      </w:tr>
      <w:tr w:rsidR="006059DE" w:rsidRPr="00B16581" w14:paraId="03659C29" w14:textId="77777777" w:rsidTr="00800FDF">
        <w:trPr>
          <w:trHeight w:val="280"/>
        </w:trPr>
        <w:tc>
          <w:tcPr>
            <w:tcW w:w="3362"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4590713" w14:textId="77777777" w:rsidR="006059DE" w:rsidRPr="00B16581" w:rsidRDefault="006059DE" w:rsidP="00A1611D">
            <w:pPr>
              <w:spacing w:before="120" w:after="0" w:line="240" w:lineRule="auto"/>
              <w:jc w:val="both"/>
              <w:rPr>
                <w:rFonts w:ascii="Times New Roman" w:hAnsi="Times New Roman" w:cs="Times New Roman"/>
                <w:sz w:val="24"/>
                <w:szCs w:val="24"/>
              </w:rPr>
            </w:pPr>
            <w:r w:rsidRPr="00B16581">
              <w:rPr>
                <w:rFonts w:ascii="Times New Roman" w:hAnsi="Times New Roman" w:cs="Times New Roman"/>
                <w:color w:val="000000"/>
                <w:sz w:val="24"/>
                <w:szCs w:val="24"/>
              </w:rPr>
              <w:t>Úprava stávajících národních informačních justičních systémů spojených s digitalizací přeshraničních justičních nástrojů</w:t>
            </w:r>
          </w:p>
        </w:tc>
        <w:tc>
          <w:tcPr>
            <w:tcW w:w="1638" w:type="pct"/>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6714B61" w14:textId="6C63E85D" w:rsidR="006059DE" w:rsidRPr="00800FDF" w:rsidRDefault="006059DE" w:rsidP="009D22D7">
            <w:pPr>
              <w:spacing w:before="120" w:after="0" w:line="240" w:lineRule="auto"/>
              <w:jc w:val="right"/>
              <w:rPr>
                <w:rFonts w:ascii="Times New Roman" w:hAnsi="Times New Roman" w:cs="Times New Roman"/>
                <w:sz w:val="24"/>
                <w:szCs w:val="24"/>
              </w:rPr>
            </w:pPr>
            <w:r w:rsidRPr="00800FDF">
              <w:rPr>
                <w:rFonts w:ascii="Times New Roman" w:hAnsi="Times New Roman" w:cs="Times New Roman"/>
                <w:color w:val="000000"/>
                <w:sz w:val="24"/>
                <w:szCs w:val="24"/>
              </w:rPr>
              <w:t xml:space="preserve">1 000 000 </w:t>
            </w:r>
          </w:p>
        </w:tc>
      </w:tr>
    </w:tbl>
    <w:p w14:paraId="0D9B00B7" w14:textId="3B202216" w:rsidR="00064408" w:rsidRPr="00B16581" w:rsidRDefault="00064408" w:rsidP="00A1611D">
      <w:pPr>
        <w:spacing w:before="120" w:after="0" w:line="240" w:lineRule="auto"/>
        <w:jc w:val="both"/>
        <w:rPr>
          <w:rFonts w:ascii="Times New Roman" w:hAnsi="Times New Roman" w:cs="Times New Roman"/>
          <w:sz w:val="24"/>
          <w:szCs w:val="24"/>
        </w:rPr>
      </w:pPr>
      <w:r w:rsidRPr="00B16581">
        <w:rPr>
          <w:rFonts w:ascii="Times New Roman" w:hAnsi="Times New Roman" w:cs="Times New Roman"/>
          <w:sz w:val="24"/>
          <w:szCs w:val="24"/>
        </w:rPr>
        <w:t xml:space="preserve">Pokud nebude technicky možné použít </w:t>
      </w:r>
      <w:r w:rsidR="00066551">
        <w:rPr>
          <w:rFonts w:ascii="Times New Roman" w:hAnsi="Times New Roman" w:cs="Times New Roman"/>
          <w:sz w:val="24"/>
          <w:szCs w:val="24"/>
        </w:rPr>
        <w:t xml:space="preserve">již vytvořené </w:t>
      </w:r>
      <w:r w:rsidRPr="00B16581">
        <w:rPr>
          <w:rFonts w:ascii="Times New Roman" w:hAnsi="Times New Roman" w:cs="Times New Roman"/>
          <w:sz w:val="24"/>
          <w:szCs w:val="24"/>
        </w:rPr>
        <w:t>referenční rozhraní a infrastruktur</w:t>
      </w:r>
      <w:r w:rsidR="00066551">
        <w:rPr>
          <w:rFonts w:ascii="Times New Roman" w:hAnsi="Times New Roman" w:cs="Times New Roman"/>
          <w:sz w:val="24"/>
          <w:szCs w:val="24"/>
        </w:rPr>
        <w:t xml:space="preserve">u pro účely </w:t>
      </w:r>
      <w:r w:rsidR="002E0407">
        <w:rPr>
          <w:rFonts w:ascii="Times New Roman" w:hAnsi="Times New Roman" w:cs="Times New Roman"/>
          <w:sz w:val="24"/>
          <w:szCs w:val="24"/>
        </w:rPr>
        <w:t>n</w:t>
      </w:r>
      <w:r w:rsidR="00066551">
        <w:rPr>
          <w:rFonts w:ascii="Times New Roman" w:hAnsi="Times New Roman" w:cs="Times New Roman"/>
          <w:sz w:val="24"/>
          <w:szCs w:val="24"/>
        </w:rPr>
        <w:t>ařízení a směrnice o digitalizaci justiční spolupráce</w:t>
      </w:r>
      <w:r w:rsidRPr="00B16581">
        <w:rPr>
          <w:rFonts w:ascii="Times New Roman" w:hAnsi="Times New Roman" w:cs="Times New Roman"/>
          <w:sz w:val="24"/>
          <w:szCs w:val="24"/>
        </w:rPr>
        <w:t xml:space="preserve">, </w:t>
      </w:r>
      <w:r w:rsidR="004806A7">
        <w:rPr>
          <w:rFonts w:ascii="Times New Roman" w:hAnsi="Times New Roman" w:cs="Times New Roman"/>
          <w:sz w:val="24"/>
          <w:szCs w:val="24"/>
        </w:rPr>
        <w:t>pak by byly náklady vyšší tak, jak je uvedeno v tabulce č. 1.</w:t>
      </w:r>
    </w:p>
    <w:p w14:paraId="63305ABE" w14:textId="6D50EEE7" w:rsidR="007958CD" w:rsidRPr="00F70024" w:rsidRDefault="00F70024" w:rsidP="00A1611D">
      <w:pPr>
        <w:spacing w:before="120" w:after="0" w:line="240" w:lineRule="auto"/>
        <w:jc w:val="both"/>
        <w:rPr>
          <w:rFonts w:ascii="Times New Roman" w:eastAsia="Calibri" w:hAnsi="Times New Roman" w:cs="Times New Roman"/>
          <w:sz w:val="24"/>
          <w:szCs w:val="24"/>
        </w:rPr>
      </w:pPr>
      <w:bookmarkStart w:id="2" w:name="_Hlk193464822"/>
      <w:r w:rsidRPr="00F70024">
        <w:rPr>
          <w:rFonts w:ascii="Times New Roman" w:hAnsi="Times New Roman" w:cs="Times New Roman"/>
          <w:sz w:val="24"/>
          <w:szCs w:val="24"/>
        </w:rPr>
        <w:t xml:space="preserve">Vzhledem k tomu, že tyto náklady nelze v současné době přesněji vyčíslit, </w:t>
      </w:r>
      <w:r w:rsidR="00782DFA" w:rsidRPr="00F70024">
        <w:rPr>
          <w:rFonts w:ascii="Times New Roman" w:hAnsi="Times New Roman" w:cs="Times New Roman"/>
          <w:sz w:val="24"/>
          <w:szCs w:val="24"/>
        </w:rPr>
        <w:t xml:space="preserve">Ministerstvo spravedlnosti </w:t>
      </w:r>
      <w:r w:rsidRPr="00F70024">
        <w:rPr>
          <w:rFonts w:ascii="Times New Roman" w:hAnsi="Times New Roman" w:cs="Times New Roman"/>
          <w:sz w:val="24"/>
          <w:szCs w:val="24"/>
        </w:rPr>
        <w:t xml:space="preserve">pokryje tyto náklady </w:t>
      </w:r>
      <w:r w:rsidRPr="00F70024">
        <w:rPr>
          <w:rFonts w:ascii="Times New Roman" w:eastAsia="Calibri" w:hAnsi="Times New Roman" w:cs="Times New Roman"/>
          <w:bCs/>
          <w:sz w:val="24"/>
          <w:szCs w:val="24"/>
        </w:rPr>
        <w:t xml:space="preserve">v rámci schválených a výdajových limitů </w:t>
      </w:r>
      <w:r w:rsidR="00941C48">
        <w:rPr>
          <w:rFonts w:ascii="Times New Roman" w:eastAsia="Calibri" w:hAnsi="Times New Roman" w:cs="Times New Roman"/>
          <w:bCs/>
          <w:sz w:val="24"/>
          <w:szCs w:val="24"/>
        </w:rPr>
        <w:t xml:space="preserve">své rozpočtové </w:t>
      </w:r>
      <w:r w:rsidRPr="00F70024">
        <w:rPr>
          <w:rFonts w:ascii="Times New Roman" w:eastAsia="Calibri" w:hAnsi="Times New Roman" w:cs="Times New Roman"/>
          <w:bCs/>
          <w:sz w:val="24"/>
          <w:szCs w:val="24"/>
        </w:rPr>
        <w:t>kapitol</w:t>
      </w:r>
      <w:r w:rsidR="00941C48">
        <w:rPr>
          <w:rFonts w:ascii="Times New Roman" w:eastAsia="Calibri" w:hAnsi="Times New Roman" w:cs="Times New Roman"/>
          <w:bCs/>
          <w:sz w:val="24"/>
          <w:szCs w:val="24"/>
        </w:rPr>
        <w:t>y</w:t>
      </w:r>
      <w:r w:rsidRPr="00F70024">
        <w:rPr>
          <w:rFonts w:ascii="Times New Roman" w:eastAsia="Calibri" w:hAnsi="Times New Roman" w:cs="Times New Roman"/>
          <w:bCs/>
          <w:sz w:val="24"/>
          <w:szCs w:val="24"/>
        </w:rPr>
        <w:t xml:space="preserve"> bez navyšujících požadavků na státní rozpočet.</w:t>
      </w:r>
    </w:p>
    <w:p w14:paraId="059CAE5F" w14:textId="7F765C12" w:rsidR="0049590A" w:rsidRPr="00F70024" w:rsidRDefault="005E06E5" w:rsidP="00A1611D">
      <w:pPr>
        <w:spacing w:before="120" w:after="0" w:line="240" w:lineRule="auto"/>
        <w:jc w:val="both"/>
        <w:rPr>
          <w:rFonts w:ascii="Times New Roman" w:eastAsia="Calibri" w:hAnsi="Times New Roman" w:cs="Times New Roman"/>
          <w:sz w:val="24"/>
          <w:szCs w:val="24"/>
        </w:rPr>
      </w:pPr>
      <w:bookmarkStart w:id="3" w:name="_Hlk193464796"/>
      <w:bookmarkEnd w:id="2"/>
      <w:r w:rsidRPr="0049590A">
        <w:rPr>
          <w:rFonts w:ascii="Times New Roman" w:hAnsi="Times New Roman" w:cs="Times New Roman"/>
          <w:sz w:val="24"/>
          <w:szCs w:val="24"/>
        </w:rPr>
        <w:t>Pokud jde o způsob připojení policejních orgánů, dosud není známé přesné technické řešení. Pokud p</w:t>
      </w:r>
      <w:r w:rsidR="006F1917" w:rsidRPr="0049590A">
        <w:rPr>
          <w:rFonts w:ascii="Times New Roman" w:hAnsi="Times New Roman" w:cs="Times New Roman"/>
          <w:sz w:val="24"/>
          <w:szCs w:val="24"/>
        </w:rPr>
        <w:t xml:space="preserve">olicejní orgány budou provozovat svůj vlastní přístupový bod </w:t>
      </w:r>
      <w:r w:rsidRPr="0049590A">
        <w:rPr>
          <w:rFonts w:ascii="Times New Roman" w:hAnsi="Times New Roman" w:cs="Times New Roman"/>
          <w:sz w:val="24"/>
          <w:szCs w:val="24"/>
        </w:rPr>
        <w:t xml:space="preserve">k </w:t>
      </w:r>
      <w:r w:rsidR="006F1917" w:rsidRPr="0049590A">
        <w:rPr>
          <w:rFonts w:ascii="Times New Roman" w:hAnsi="Times New Roman" w:cs="Times New Roman"/>
          <w:sz w:val="24"/>
          <w:szCs w:val="24"/>
        </w:rPr>
        <w:t>systému e-CODEX</w:t>
      </w:r>
      <w:r w:rsidRPr="0049590A">
        <w:rPr>
          <w:rFonts w:ascii="Times New Roman" w:hAnsi="Times New Roman" w:cs="Times New Roman"/>
          <w:sz w:val="24"/>
          <w:szCs w:val="24"/>
        </w:rPr>
        <w:t>, p</w:t>
      </w:r>
      <w:r w:rsidR="006F1917" w:rsidRPr="0049590A">
        <w:rPr>
          <w:rFonts w:ascii="Times New Roman" w:hAnsi="Times New Roman" w:cs="Times New Roman"/>
          <w:sz w:val="24"/>
          <w:szCs w:val="24"/>
        </w:rPr>
        <w:t>odle článk</w:t>
      </w:r>
      <w:r w:rsidR="00AF0905">
        <w:rPr>
          <w:rFonts w:ascii="Times New Roman" w:hAnsi="Times New Roman" w:cs="Times New Roman"/>
          <w:sz w:val="24"/>
          <w:szCs w:val="24"/>
        </w:rPr>
        <w:t>ů</w:t>
      </w:r>
      <w:r w:rsidR="006F1917" w:rsidRPr="0049590A">
        <w:rPr>
          <w:rFonts w:ascii="Times New Roman" w:hAnsi="Times New Roman" w:cs="Times New Roman"/>
          <w:sz w:val="24"/>
          <w:szCs w:val="24"/>
        </w:rPr>
        <w:t xml:space="preserve"> 8 a 9 nařízení Evropského parlamentu a Rady (EU) 2022/850 o systému e-CODEX a podle čl</w:t>
      </w:r>
      <w:r w:rsidR="00AF0905">
        <w:rPr>
          <w:rFonts w:ascii="Times New Roman" w:hAnsi="Times New Roman" w:cs="Times New Roman"/>
          <w:sz w:val="24"/>
          <w:szCs w:val="24"/>
        </w:rPr>
        <w:t>ánku</w:t>
      </w:r>
      <w:r w:rsidR="006F1917" w:rsidRPr="0049590A">
        <w:rPr>
          <w:rFonts w:ascii="Times New Roman" w:hAnsi="Times New Roman" w:cs="Times New Roman"/>
          <w:sz w:val="24"/>
          <w:szCs w:val="24"/>
        </w:rPr>
        <w:t xml:space="preserve"> 23 </w:t>
      </w:r>
      <w:r w:rsidR="002E0407">
        <w:rPr>
          <w:rFonts w:ascii="Times New Roman" w:hAnsi="Times New Roman" w:cs="Times New Roman"/>
          <w:sz w:val="24"/>
          <w:szCs w:val="24"/>
        </w:rPr>
        <w:t>n</w:t>
      </w:r>
      <w:r w:rsidR="006F1917" w:rsidRPr="0049590A">
        <w:rPr>
          <w:rFonts w:ascii="Times New Roman" w:hAnsi="Times New Roman" w:cs="Times New Roman"/>
          <w:sz w:val="24"/>
          <w:szCs w:val="24"/>
        </w:rPr>
        <w:t xml:space="preserve">ařízení </w:t>
      </w:r>
      <w:r w:rsidRPr="0049590A">
        <w:rPr>
          <w:rFonts w:ascii="Times New Roman" w:hAnsi="Times New Roman" w:cs="Times New Roman"/>
          <w:sz w:val="24"/>
          <w:szCs w:val="24"/>
        </w:rPr>
        <w:t xml:space="preserve">budou </w:t>
      </w:r>
      <w:r w:rsidR="006F1917" w:rsidRPr="0049590A">
        <w:rPr>
          <w:rFonts w:ascii="Times New Roman" w:hAnsi="Times New Roman" w:cs="Times New Roman"/>
          <w:sz w:val="24"/>
          <w:szCs w:val="24"/>
        </w:rPr>
        <w:t>náklady na instalaci, provoz a údržbu přístupových bodů systému e-CODEX</w:t>
      </w:r>
      <w:r w:rsidRPr="0049590A">
        <w:rPr>
          <w:rFonts w:ascii="Times New Roman" w:hAnsi="Times New Roman" w:cs="Times New Roman"/>
          <w:sz w:val="24"/>
          <w:szCs w:val="24"/>
        </w:rPr>
        <w:t xml:space="preserve"> hrazeny z rozpočtové kapitoly Ministerstva vnitra</w:t>
      </w:r>
      <w:r w:rsidR="00F4795E">
        <w:rPr>
          <w:rFonts w:ascii="Times New Roman" w:hAnsi="Times New Roman" w:cs="Times New Roman"/>
          <w:sz w:val="24"/>
          <w:szCs w:val="24"/>
        </w:rPr>
        <w:t xml:space="preserve"> </w:t>
      </w:r>
      <w:r w:rsidR="00F4795E">
        <w:rPr>
          <w:rFonts w:ascii="Times New Roman" w:hAnsi="Times New Roman"/>
          <w:sz w:val="24"/>
          <w:szCs w:val="24"/>
        </w:rPr>
        <w:t>(případně i jiných ministerstev, pokud by se k systému přímo připojovaly i jiné policejní orgány než Policie Č</w:t>
      </w:r>
      <w:r w:rsidR="00027B8C">
        <w:rPr>
          <w:rFonts w:ascii="Times New Roman" w:hAnsi="Times New Roman"/>
          <w:sz w:val="24"/>
          <w:szCs w:val="24"/>
        </w:rPr>
        <w:t>eské republiky</w:t>
      </w:r>
      <w:r w:rsidR="00F4795E">
        <w:rPr>
          <w:rFonts w:ascii="Times New Roman" w:hAnsi="Times New Roman"/>
          <w:sz w:val="24"/>
          <w:szCs w:val="24"/>
        </w:rPr>
        <w:t>)</w:t>
      </w:r>
      <w:r w:rsidR="006F1917" w:rsidRPr="0049590A">
        <w:rPr>
          <w:rFonts w:ascii="Times New Roman" w:hAnsi="Times New Roman" w:cs="Times New Roman"/>
          <w:sz w:val="24"/>
          <w:szCs w:val="24"/>
        </w:rPr>
        <w:t xml:space="preserve">. </w:t>
      </w:r>
      <w:r w:rsidRPr="0049590A">
        <w:rPr>
          <w:rFonts w:ascii="Times New Roman" w:hAnsi="Times New Roman" w:cs="Times New Roman"/>
          <w:sz w:val="24"/>
          <w:szCs w:val="24"/>
        </w:rPr>
        <w:t>Stejně tak, p</w:t>
      </w:r>
      <w:r w:rsidR="004A62AE" w:rsidRPr="0049590A">
        <w:rPr>
          <w:rFonts w:ascii="Times New Roman" w:hAnsi="Times New Roman" w:cs="Times New Roman"/>
          <w:sz w:val="24"/>
          <w:szCs w:val="24"/>
        </w:rPr>
        <w:t xml:space="preserve">okud </w:t>
      </w:r>
      <w:r w:rsidR="006F1917" w:rsidRPr="0049590A">
        <w:rPr>
          <w:rFonts w:ascii="Times New Roman" w:hAnsi="Times New Roman" w:cs="Times New Roman"/>
          <w:sz w:val="24"/>
          <w:szCs w:val="24"/>
        </w:rPr>
        <w:t>se policejní orgán</w:t>
      </w:r>
      <w:r w:rsidR="004A62AE" w:rsidRPr="0049590A">
        <w:rPr>
          <w:rFonts w:ascii="Times New Roman" w:hAnsi="Times New Roman" w:cs="Times New Roman"/>
          <w:sz w:val="24"/>
          <w:szCs w:val="24"/>
        </w:rPr>
        <w:t>y</w:t>
      </w:r>
      <w:r w:rsidR="006F1917" w:rsidRPr="0049590A">
        <w:rPr>
          <w:rFonts w:ascii="Times New Roman" w:hAnsi="Times New Roman" w:cs="Times New Roman"/>
          <w:sz w:val="24"/>
          <w:szCs w:val="24"/>
        </w:rPr>
        <w:t xml:space="preserve"> budou pouze připojovat na</w:t>
      </w:r>
      <w:r w:rsidR="00B1276D">
        <w:rPr>
          <w:rFonts w:ascii="Times New Roman" w:hAnsi="Times New Roman" w:cs="Times New Roman"/>
          <w:sz w:val="24"/>
          <w:szCs w:val="24"/>
        </w:rPr>
        <w:t> </w:t>
      </w:r>
      <w:r w:rsidR="006F1917" w:rsidRPr="0049590A">
        <w:rPr>
          <w:rFonts w:ascii="Times New Roman" w:hAnsi="Times New Roman" w:cs="Times New Roman"/>
          <w:sz w:val="24"/>
          <w:szCs w:val="24"/>
        </w:rPr>
        <w:t xml:space="preserve">již existující přístupový bod nebo informační systém provozující use-case, </w:t>
      </w:r>
      <w:r w:rsidRPr="0049590A">
        <w:rPr>
          <w:rFonts w:ascii="Times New Roman" w:hAnsi="Times New Roman" w:cs="Times New Roman"/>
          <w:sz w:val="24"/>
          <w:szCs w:val="24"/>
        </w:rPr>
        <w:t xml:space="preserve">budou </w:t>
      </w:r>
      <w:r w:rsidR="004A62AE" w:rsidRPr="0049590A">
        <w:rPr>
          <w:rFonts w:ascii="Times New Roman" w:hAnsi="Times New Roman" w:cs="Times New Roman"/>
          <w:sz w:val="24"/>
          <w:szCs w:val="24"/>
        </w:rPr>
        <w:t xml:space="preserve">náklady s tím spojené v souladu s </w:t>
      </w:r>
      <w:r w:rsidR="006F1917" w:rsidRPr="0049590A">
        <w:rPr>
          <w:rFonts w:ascii="Times New Roman" w:hAnsi="Times New Roman" w:cs="Times New Roman"/>
          <w:sz w:val="24"/>
          <w:szCs w:val="24"/>
        </w:rPr>
        <w:t>recitál</w:t>
      </w:r>
      <w:r w:rsidR="004A62AE" w:rsidRPr="0049590A">
        <w:rPr>
          <w:rFonts w:ascii="Times New Roman" w:hAnsi="Times New Roman" w:cs="Times New Roman"/>
          <w:sz w:val="24"/>
          <w:szCs w:val="24"/>
        </w:rPr>
        <w:t>em</w:t>
      </w:r>
      <w:r w:rsidR="006F1917" w:rsidRPr="0049590A">
        <w:rPr>
          <w:rFonts w:ascii="Times New Roman" w:hAnsi="Times New Roman" w:cs="Times New Roman"/>
          <w:sz w:val="24"/>
          <w:szCs w:val="24"/>
        </w:rPr>
        <w:t xml:space="preserve"> 88 a článk</w:t>
      </w:r>
      <w:r w:rsidR="004A62AE" w:rsidRPr="0049590A">
        <w:rPr>
          <w:rFonts w:ascii="Times New Roman" w:hAnsi="Times New Roman" w:cs="Times New Roman"/>
          <w:sz w:val="24"/>
          <w:szCs w:val="24"/>
        </w:rPr>
        <w:t xml:space="preserve">y </w:t>
      </w:r>
      <w:r w:rsidR="006F1917" w:rsidRPr="0049590A">
        <w:rPr>
          <w:rFonts w:ascii="Times New Roman" w:hAnsi="Times New Roman" w:cs="Times New Roman"/>
          <w:sz w:val="24"/>
          <w:szCs w:val="24"/>
        </w:rPr>
        <w:t xml:space="preserve">14 a 23 </w:t>
      </w:r>
      <w:r w:rsidR="002E0407">
        <w:rPr>
          <w:rFonts w:ascii="Times New Roman" w:hAnsi="Times New Roman" w:cs="Times New Roman"/>
          <w:sz w:val="24"/>
          <w:szCs w:val="24"/>
        </w:rPr>
        <w:t>n</w:t>
      </w:r>
      <w:r w:rsidR="006F1917" w:rsidRPr="0049590A">
        <w:rPr>
          <w:rFonts w:ascii="Times New Roman" w:hAnsi="Times New Roman" w:cs="Times New Roman"/>
          <w:sz w:val="24"/>
          <w:szCs w:val="24"/>
        </w:rPr>
        <w:t>ař</w:t>
      </w:r>
      <w:r w:rsidRPr="0049590A">
        <w:rPr>
          <w:rFonts w:ascii="Times New Roman" w:hAnsi="Times New Roman" w:cs="Times New Roman"/>
          <w:sz w:val="24"/>
          <w:szCs w:val="24"/>
        </w:rPr>
        <w:t>ízení rovněž hrazeny z rozpočtové kapitoly Ministerstva vnitra</w:t>
      </w:r>
      <w:r w:rsidR="00F4795E">
        <w:rPr>
          <w:rFonts w:ascii="Times New Roman" w:hAnsi="Times New Roman" w:cs="Times New Roman"/>
          <w:sz w:val="24"/>
          <w:szCs w:val="24"/>
        </w:rPr>
        <w:t xml:space="preserve"> (případně jiných ministerstev)</w:t>
      </w:r>
      <w:r w:rsidRPr="0049590A">
        <w:rPr>
          <w:rFonts w:ascii="Times New Roman" w:hAnsi="Times New Roman" w:cs="Times New Roman"/>
          <w:sz w:val="24"/>
          <w:szCs w:val="24"/>
        </w:rPr>
        <w:t xml:space="preserve">. V tuto chvíli nelze přesně stanovit výši nákladů s tím spojených, protože technické řešení je stále předmětem </w:t>
      </w:r>
      <w:proofErr w:type="gramStart"/>
      <w:r w:rsidRPr="0049590A">
        <w:rPr>
          <w:rFonts w:ascii="Times New Roman" w:hAnsi="Times New Roman" w:cs="Times New Roman"/>
          <w:sz w:val="24"/>
          <w:szCs w:val="24"/>
        </w:rPr>
        <w:t>diskuzí</w:t>
      </w:r>
      <w:proofErr w:type="gramEnd"/>
      <w:r w:rsidRPr="0049590A">
        <w:rPr>
          <w:rFonts w:ascii="Times New Roman" w:hAnsi="Times New Roman" w:cs="Times New Roman"/>
          <w:sz w:val="24"/>
          <w:szCs w:val="24"/>
        </w:rPr>
        <w:t xml:space="preserve"> probíhajících jak na evropské, tak na národní úrovni. Lze tedy pouze odhadovat, že </w:t>
      </w:r>
      <w:r w:rsidR="0049590A" w:rsidRPr="0049590A">
        <w:rPr>
          <w:rFonts w:ascii="Times New Roman" w:hAnsi="Times New Roman" w:cs="Times New Roman"/>
          <w:sz w:val="24"/>
          <w:szCs w:val="24"/>
        </w:rPr>
        <w:t xml:space="preserve">náklady s tím spojené mohou dosahovat výše </w:t>
      </w:r>
      <w:r w:rsidRPr="0049590A">
        <w:rPr>
          <w:rFonts w:ascii="Times New Roman" w:hAnsi="Times New Roman" w:cs="Times New Roman"/>
          <w:sz w:val="24"/>
          <w:szCs w:val="24"/>
        </w:rPr>
        <w:t>jednotek milionů</w:t>
      </w:r>
      <w:r w:rsidR="0049590A" w:rsidRPr="0049590A">
        <w:rPr>
          <w:rFonts w:ascii="Times New Roman" w:hAnsi="Times New Roman" w:cs="Times New Roman"/>
          <w:sz w:val="24"/>
          <w:szCs w:val="24"/>
        </w:rPr>
        <w:t xml:space="preserve"> Kč</w:t>
      </w:r>
      <w:r w:rsidR="00F70024">
        <w:rPr>
          <w:rFonts w:ascii="Times New Roman" w:hAnsi="Times New Roman" w:cs="Times New Roman"/>
          <w:sz w:val="24"/>
          <w:szCs w:val="24"/>
        </w:rPr>
        <w:t xml:space="preserve">. </w:t>
      </w:r>
      <w:r w:rsidR="00F70024" w:rsidRPr="00F70024">
        <w:rPr>
          <w:rFonts w:ascii="Times New Roman" w:hAnsi="Times New Roman" w:cs="Times New Roman"/>
          <w:sz w:val="24"/>
          <w:szCs w:val="24"/>
        </w:rPr>
        <w:t xml:space="preserve">Vzhledem k tomu, že tyto náklady nelze v současné době přesněji vyčíslit, Ministerstvo </w:t>
      </w:r>
      <w:r w:rsidR="00F70024">
        <w:rPr>
          <w:rFonts w:ascii="Times New Roman" w:hAnsi="Times New Roman" w:cs="Times New Roman"/>
          <w:sz w:val="24"/>
          <w:szCs w:val="24"/>
        </w:rPr>
        <w:t>vnitra (a případ</w:t>
      </w:r>
      <w:r w:rsidR="00FD6A9F">
        <w:rPr>
          <w:rFonts w:ascii="Times New Roman" w:hAnsi="Times New Roman" w:cs="Times New Roman"/>
          <w:sz w:val="24"/>
          <w:szCs w:val="24"/>
        </w:rPr>
        <w:t>n</w:t>
      </w:r>
      <w:r w:rsidR="00F70024">
        <w:rPr>
          <w:rFonts w:ascii="Times New Roman" w:hAnsi="Times New Roman" w:cs="Times New Roman"/>
          <w:sz w:val="24"/>
          <w:szCs w:val="24"/>
        </w:rPr>
        <w:t xml:space="preserve">ě jiné dotčené resorty) </w:t>
      </w:r>
      <w:r w:rsidR="00F70024" w:rsidRPr="00F70024">
        <w:rPr>
          <w:rFonts w:ascii="Times New Roman" w:hAnsi="Times New Roman" w:cs="Times New Roman"/>
          <w:sz w:val="24"/>
          <w:szCs w:val="24"/>
        </w:rPr>
        <w:t xml:space="preserve">pokryje tyto náklady </w:t>
      </w:r>
      <w:r w:rsidR="00F70024" w:rsidRPr="00F70024">
        <w:rPr>
          <w:rFonts w:ascii="Times New Roman" w:eastAsia="Calibri" w:hAnsi="Times New Roman" w:cs="Times New Roman"/>
          <w:bCs/>
          <w:sz w:val="24"/>
          <w:szCs w:val="24"/>
        </w:rPr>
        <w:t>v</w:t>
      </w:r>
      <w:r w:rsidR="00DF5E09">
        <w:rPr>
          <w:rFonts w:ascii="Times New Roman" w:eastAsia="Calibri" w:hAnsi="Times New Roman" w:cs="Times New Roman"/>
          <w:bCs/>
          <w:sz w:val="24"/>
          <w:szCs w:val="24"/>
        </w:rPr>
        <w:t> </w:t>
      </w:r>
      <w:r w:rsidR="00F70024" w:rsidRPr="00F70024">
        <w:rPr>
          <w:rFonts w:ascii="Times New Roman" w:eastAsia="Calibri" w:hAnsi="Times New Roman" w:cs="Times New Roman"/>
          <w:bCs/>
          <w:sz w:val="24"/>
          <w:szCs w:val="24"/>
        </w:rPr>
        <w:t xml:space="preserve">rámci schválených výdajových limitů </w:t>
      </w:r>
      <w:r w:rsidR="00941C48">
        <w:rPr>
          <w:rFonts w:ascii="Times New Roman" w:eastAsia="Calibri" w:hAnsi="Times New Roman" w:cs="Times New Roman"/>
          <w:bCs/>
          <w:sz w:val="24"/>
          <w:szCs w:val="24"/>
        </w:rPr>
        <w:t xml:space="preserve">své rozpočtové </w:t>
      </w:r>
      <w:r w:rsidR="00F70024" w:rsidRPr="00F70024">
        <w:rPr>
          <w:rFonts w:ascii="Times New Roman" w:eastAsia="Calibri" w:hAnsi="Times New Roman" w:cs="Times New Roman"/>
          <w:bCs/>
          <w:sz w:val="24"/>
          <w:szCs w:val="24"/>
        </w:rPr>
        <w:t>kapitol</w:t>
      </w:r>
      <w:r w:rsidR="00941C48">
        <w:rPr>
          <w:rFonts w:ascii="Times New Roman" w:eastAsia="Calibri" w:hAnsi="Times New Roman" w:cs="Times New Roman"/>
          <w:bCs/>
          <w:sz w:val="24"/>
          <w:szCs w:val="24"/>
        </w:rPr>
        <w:t>y</w:t>
      </w:r>
      <w:r w:rsidR="00F70024" w:rsidRPr="00F70024">
        <w:rPr>
          <w:rFonts w:ascii="Times New Roman" w:eastAsia="Calibri" w:hAnsi="Times New Roman" w:cs="Times New Roman"/>
          <w:bCs/>
          <w:sz w:val="24"/>
          <w:szCs w:val="24"/>
        </w:rPr>
        <w:t xml:space="preserve"> bez navyšujících požadavků na státní rozpočet.</w:t>
      </w:r>
    </w:p>
    <w:bookmarkEnd w:id="3"/>
    <w:p w14:paraId="4B62A50B" w14:textId="77777777" w:rsidR="00A57A16" w:rsidRDefault="003E4ABC" w:rsidP="00A1611D">
      <w:pPr>
        <w:spacing w:before="120"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Náklady spojené s </w:t>
      </w:r>
      <w:r w:rsidRPr="0049590A">
        <w:rPr>
          <w:rFonts w:ascii="Times New Roman" w:hAnsi="Times New Roman" w:cs="Times New Roman"/>
          <w:sz w:val="24"/>
          <w:szCs w:val="24"/>
        </w:rPr>
        <w:t>instalac</w:t>
      </w:r>
      <w:r>
        <w:rPr>
          <w:rFonts w:ascii="Times New Roman" w:hAnsi="Times New Roman" w:cs="Times New Roman"/>
          <w:sz w:val="24"/>
          <w:szCs w:val="24"/>
        </w:rPr>
        <w:t>í</w:t>
      </w:r>
      <w:r w:rsidRPr="0049590A">
        <w:rPr>
          <w:rFonts w:ascii="Times New Roman" w:hAnsi="Times New Roman" w:cs="Times New Roman"/>
          <w:sz w:val="24"/>
          <w:szCs w:val="24"/>
        </w:rPr>
        <w:t>, provoz</w:t>
      </w:r>
      <w:r>
        <w:rPr>
          <w:rFonts w:ascii="Times New Roman" w:hAnsi="Times New Roman" w:cs="Times New Roman"/>
          <w:sz w:val="24"/>
          <w:szCs w:val="24"/>
        </w:rPr>
        <w:t>em</w:t>
      </w:r>
      <w:r w:rsidRPr="0049590A">
        <w:rPr>
          <w:rFonts w:ascii="Times New Roman" w:hAnsi="Times New Roman" w:cs="Times New Roman"/>
          <w:sz w:val="24"/>
          <w:szCs w:val="24"/>
        </w:rPr>
        <w:t xml:space="preserve"> a údržb</w:t>
      </w:r>
      <w:r>
        <w:rPr>
          <w:rFonts w:ascii="Times New Roman" w:hAnsi="Times New Roman" w:cs="Times New Roman"/>
          <w:sz w:val="24"/>
          <w:szCs w:val="24"/>
        </w:rPr>
        <w:t>ou</w:t>
      </w:r>
      <w:r w:rsidRPr="0049590A">
        <w:rPr>
          <w:rFonts w:ascii="Times New Roman" w:hAnsi="Times New Roman" w:cs="Times New Roman"/>
          <w:sz w:val="24"/>
          <w:szCs w:val="24"/>
        </w:rPr>
        <w:t xml:space="preserve"> přístupových bodů</w:t>
      </w:r>
      <w:r>
        <w:rPr>
          <w:rFonts w:ascii="Times New Roman" w:hAnsi="Times New Roman" w:cs="Times New Roman"/>
          <w:sz w:val="24"/>
          <w:szCs w:val="24"/>
        </w:rPr>
        <w:t xml:space="preserve"> ponesou také poskytovatelé služeb, kteří se budou připojovat na území České republiky. </w:t>
      </w:r>
    </w:p>
    <w:p w14:paraId="2F447DDE" w14:textId="36455D18" w:rsidR="00C43E8B" w:rsidRPr="00F70024" w:rsidRDefault="00A57A16" w:rsidP="00A1611D">
      <w:pPr>
        <w:spacing w:before="120" w:after="0" w:line="240" w:lineRule="auto"/>
        <w:jc w:val="both"/>
        <w:rPr>
          <w:rFonts w:ascii="Times New Roman" w:eastAsia="Calibri" w:hAnsi="Times New Roman" w:cs="Times New Roman"/>
          <w:sz w:val="24"/>
          <w:szCs w:val="24"/>
        </w:rPr>
      </w:pPr>
      <w:r w:rsidRPr="00A57A16">
        <w:rPr>
          <w:rFonts w:ascii="Times New Roman" w:hAnsi="Times New Roman" w:cs="Times New Roman"/>
          <w:sz w:val="24"/>
          <w:szCs w:val="24"/>
        </w:rPr>
        <w:t xml:space="preserve">Podle článku 28 </w:t>
      </w:r>
      <w:r w:rsidR="002E0407">
        <w:rPr>
          <w:rFonts w:ascii="Times New Roman" w:hAnsi="Times New Roman" w:cs="Times New Roman"/>
          <w:sz w:val="24"/>
          <w:szCs w:val="24"/>
        </w:rPr>
        <w:t>n</w:t>
      </w:r>
      <w:r w:rsidRPr="00A57A16">
        <w:rPr>
          <w:rFonts w:ascii="Times New Roman" w:hAnsi="Times New Roman" w:cs="Times New Roman"/>
          <w:sz w:val="24"/>
          <w:szCs w:val="24"/>
        </w:rPr>
        <w:t xml:space="preserve">ařízení mají členské státy </w:t>
      </w:r>
      <w:r w:rsidR="00075D74">
        <w:rPr>
          <w:rFonts w:ascii="Times New Roman" w:hAnsi="Times New Roman" w:cs="Times New Roman"/>
          <w:sz w:val="24"/>
          <w:szCs w:val="24"/>
        </w:rPr>
        <w:t xml:space="preserve">EU </w:t>
      </w:r>
      <w:r w:rsidRPr="00A57A16">
        <w:rPr>
          <w:rFonts w:ascii="Times New Roman" w:hAnsi="Times New Roman" w:cs="Times New Roman"/>
          <w:sz w:val="24"/>
          <w:szCs w:val="24"/>
        </w:rPr>
        <w:t xml:space="preserve">předávat </w:t>
      </w:r>
      <w:r w:rsidR="00D96E05">
        <w:rPr>
          <w:rFonts w:ascii="Times New Roman" w:hAnsi="Times New Roman" w:cs="Times New Roman"/>
          <w:sz w:val="24"/>
          <w:szCs w:val="24"/>
        </w:rPr>
        <w:t>K</w:t>
      </w:r>
      <w:r w:rsidRPr="00A57A16">
        <w:rPr>
          <w:rFonts w:ascii="Times New Roman" w:hAnsi="Times New Roman" w:cs="Times New Roman"/>
          <w:sz w:val="24"/>
          <w:szCs w:val="24"/>
        </w:rPr>
        <w:t>omisi statistické údaje</w:t>
      </w:r>
      <w:r>
        <w:rPr>
          <w:rFonts w:ascii="Times New Roman" w:hAnsi="Times New Roman" w:cs="Times New Roman"/>
          <w:sz w:val="24"/>
          <w:szCs w:val="24"/>
        </w:rPr>
        <w:t xml:space="preserve"> </w:t>
      </w:r>
      <w:r w:rsidR="00B1276D">
        <w:rPr>
          <w:rFonts w:ascii="Times New Roman" w:hAnsi="Times New Roman" w:cs="Times New Roman"/>
          <w:sz w:val="24"/>
          <w:szCs w:val="24"/>
        </w:rPr>
        <w:t>v tomto článku specifikované</w:t>
      </w:r>
      <w:r>
        <w:rPr>
          <w:rFonts w:ascii="Times New Roman" w:hAnsi="Times New Roman" w:cs="Times New Roman"/>
          <w:sz w:val="24"/>
          <w:szCs w:val="24"/>
        </w:rPr>
        <w:t xml:space="preserve">. V </w:t>
      </w:r>
      <w:r w:rsidRPr="00A57A16">
        <w:rPr>
          <w:rFonts w:ascii="Times New Roman" w:hAnsi="Times New Roman" w:cs="Times New Roman"/>
          <w:sz w:val="24"/>
          <w:szCs w:val="24"/>
        </w:rPr>
        <w:t>odst</w:t>
      </w:r>
      <w:r>
        <w:rPr>
          <w:rFonts w:ascii="Times New Roman" w:hAnsi="Times New Roman" w:cs="Times New Roman"/>
          <w:sz w:val="24"/>
          <w:szCs w:val="24"/>
        </w:rPr>
        <w:t>avci</w:t>
      </w:r>
      <w:r w:rsidRPr="00A57A16">
        <w:rPr>
          <w:rFonts w:ascii="Times New Roman" w:hAnsi="Times New Roman" w:cs="Times New Roman"/>
          <w:sz w:val="24"/>
          <w:szCs w:val="24"/>
        </w:rPr>
        <w:t xml:space="preserve"> 3 </w:t>
      </w:r>
      <w:r>
        <w:rPr>
          <w:rFonts w:ascii="Times New Roman" w:hAnsi="Times New Roman" w:cs="Times New Roman"/>
          <w:sz w:val="24"/>
          <w:szCs w:val="24"/>
        </w:rPr>
        <w:t xml:space="preserve">daného článku se </w:t>
      </w:r>
      <w:r w:rsidRPr="00A57A16">
        <w:rPr>
          <w:rFonts w:ascii="Times New Roman" w:hAnsi="Times New Roman" w:cs="Times New Roman"/>
          <w:sz w:val="24"/>
          <w:szCs w:val="24"/>
        </w:rPr>
        <w:t>stanoví, že o</w:t>
      </w:r>
      <w:r w:rsidRPr="00A57A16">
        <w:rPr>
          <w:rFonts w:ascii="Times New Roman" w:hAnsi="Times New Roman" w:cs="Times New Roman"/>
          <w:sz w:val="24"/>
          <w:szCs w:val="24"/>
          <w:lang w:eastAsia="cs-CZ"/>
        </w:rPr>
        <w:t xml:space="preserve">de dne 18. srpna 2026 (účinnost </w:t>
      </w:r>
      <w:r w:rsidR="002E0407">
        <w:rPr>
          <w:rFonts w:ascii="Times New Roman" w:hAnsi="Times New Roman" w:cs="Times New Roman"/>
          <w:sz w:val="24"/>
          <w:szCs w:val="24"/>
          <w:lang w:eastAsia="cs-CZ"/>
        </w:rPr>
        <w:t>n</w:t>
      </w:r>
      <w:r w:rsidRPr="00A57A16">
        <w:rPr>
          <w:rFonts w:ascii="Times New Roman" w:hAnsi="Times New Roman" w:cs="Times New Roman"/>
          <w:sz w:val="24"/>
          <w:szCs w:val="24"/>
          <w:lang w:eastAsia="cs-CZ"/>
        </w:rPr>
        <w:t>ařízení) mohou být statisti</w:t>
      </w:r>
      <w:r w:rsidR="00C43E8B">
        <w:rPr>
          <w:rFonts w:ascii="Times New Roman" w:hAnsi="Times New Roman" w:cs="Times New Roman"/>
          <w:sz w:val="24"/>
          <w:szCs w:val="24"/>
          <w:lang w:eastAsia="cs-CZ"/>
        </w:rPr>
        <w:t>cké údaje</w:t>
      </w:r>
      <w:r w:rsidRPr="00A57A16">
        <w:rPr>
          <w:rFonts w:ascii="Times New Roman" w:hAnsi="Times New Roman" w:cs="Times New Roman"/>
          <w:sz w:val="24"/>
          <w:szCs w:val="24"/>
          <w:lang w:eastAsia="cs-CZ"/>
        </w:rPr>
        <w:t xml:space="preserve"> v případě výměny údajů prováděné prostřednictvím decentralizovaného informačního systému shromažďovány vnitrostátními portály pomocí počítačového programu.</w:t>
      </w:r>
      <w:r w:rsidR="00ED2941">
        <w:rPr>
          <w:rFonts w:ascii="Times New Roman" w:hAnsi="Times New Roman" w:cs="Times New Roman"/>
          <w:sz w:val="24"/>
          <w:szCs w:val="24"/>
          <w:lang w:eastAsia="cs-CZ"/>
        </w:rPr>
        <w:t xml:space="preserve"> Podle dostupných informací bude referenční rozhraní poskytované Komisí obsahovat většinu požadovaných statistických údajů a bude </w:t>
      </w:r>
      <w:r w:rsidR="00ED2941" w:rsidRPr="00ED2941">
        <w:rPr>
          <w:rFonts w:ascii="Times New Roman" w:hAnsi="Times New Roman" w:cs="Times New Roman"/>
          <w:sz w:val="24"/>
          <w:szCs w:val="24"/>
        </w:rPr>
        <w:t xml:space="preserve">umožňovat stažení sledovaných </w:t>
      </w:r>
      <w:r w:rsidR="00ED2941">
        <w:rPr>
          <w:rFonts w:ascii="Times New Roman" w:hAnsi="Times New Roman" w:cs="Times New Roman"/>
          <w:sz w:val="24"/>
          <w:szCs w:val="24"/>
        </w:rPr>
        <w:t>dat</w:t>
      </w:r>
      <w:r w:rsidR="00ED2941" w:rsidRPr="00ED2941">
        <w:rPr>
          <w:rFonts w:ascii="Times New Roman" w:hAnsi="Times New Roman" w:cs="Times New Roman"/>
          <w:sz w:val="24"/>
          <w:szCs w:val="24"/>
        </w:rPr>
        <w:t xml:space="preserve"> do formátu XML a MS Excel. </w:t>
      </w:r>
      <w:r w:rsidR="00ED2941">
        <w:rPr>
          <w:rFonts w:ascii="Times New Roman" w:hAnsi="Times New Roman" w:cs="Times New Roman"/>
          <w:sz w:val="24"/>
          <w:szCs w:val="24"/>
        </w:rPr>
        <w:t>Ministerstvo spravedlnosti tak bude vynakládat pouze náklady spojené s rozvojem datového skladu</w:t>
      </w:r>
      <w:r w:rsidR="006A71F1">
        <w:rPr>
          <w:rFonts w:ascii="Times New Roman" w:hAnsi="Times New Roman" w:cs="Times New Roman"/>
          <w:sz w:val="24"/>
          <w:szCs w:val="24"/>
        </w:rPr>
        <w:t xml:space="preserve">, v němž se </w:t>
      </w:r>
      <w:r w:rsidR="00ED2941" w:rsidRPr="006A71F1">
        <w:rPr>
          <w:rFonts w:ascii="Times New Roman" w:hAnsi="Times New Roman" w:cs="Times New Roman"/>
          <w:sz w:val="24"/>
          <w:szCs w:val="24"/>
        </w:rPr>
        <w:t xml:space="preserve">budou statistické </w:t>
      </w:r>
      <w:r w:rsidR="00ED2941" w:rsidRPr="006A71F1">
        <w:rPr>
          <w:rFonts w:ascii="Times New Roman" w:hAnsi="Times New Roman" w:cs="Times New Roman"/>
          <w:sz w:val="24"/>
          <w:szCs w:val="24"/>
        </w:rPr>
        <w:lastRenderedPageBreak/>
        <w:t>údaje z referenčního rozhraní ukládat</w:t>
      </w:r>
      <w:r w:rsidR="00B1276D">
        <w:rPr>
          <w:rFonts w:ascii="Times New Roman" w:hAnsi="Times New Roman" w:cs="Times New Roman"/>
          <w:sz w:val="24"/>
          <w:szCs w:val="24"/>
        </w:rPr>
        <w:t xml:space="preserve"> a z nějž se budou zasílat</w:t>
      </w:r>
      <w:r w:rsidR="00ED2941" w:rsidRPr="006A71F1">
        <w:rPr>
          <w:rFonts w:ascii="Times New Roman" w:hAnsi="Times New Roman" w:cs="Times New Roman"/>
          <w:sz w:val="24"/>
          <w:szCs w:val="24"/>
        </w:rPr>
        <w:t xml:space="preserve">. </w:t>
      </w:r>
      <w:r w:rsidR="006A71F1">
        <w:rPr>
          <w:rFonts w:ascii="Times New Roman" w:hAnsi="Times New Roman" w:cs="Times New Roman"/>
          <w:sz w:val="24"/>
          <w:szCs w:val="24"/>
        </w:rPr>
        <w:t xml:space="preserve">Přesný výčet </w:t>
      </w:r>
      <w:r w:rsidR="00ED2941" w:rsidRPr="006A71F1">
        <w:rPr>
          <w:rFonts w:ascii="Times New Roman" w:hAnsi="Times New Roman" w:cs="Times New Roman"/>
          <w:sz w:val="24"/>
          <w:szCs w:val="24"/>
        </w:rPr>
        <w:t>statistických údajů, které bude možné z referenčního rozhraní získat</w:t>
      </w:r>
      <w:r w:rsidR="00C43E8B">
        <w:rPr>
          <w:rFonts w:ascii="Times New Roman" w:hAnsi="Times New Roman" w:cs="Times New Roman"/>
          <w:sz w:val="24"/>
          <w:szCs w:val="24"/>
        </w:rPr>
        <w:t>,</w:t>
      </w:r>
      <w:r w:rsidR="00ED2941" w:rsidRPr="006A71F1">
        <w:rPr>
          <w:rFonts w:ascii="Times New Roman" w:hAnsi="Times New Roman" w:cs="Times New Roman"/>
          <w:sz w:val="24"/>
          <w:szCs w:val="24"/>
        </w:rPr>
        <w:t xml:space="preserve"> není v současné chvíli</w:t>
      </w:r>
      <w:r w:rsidR="00C43E8B">
        <w:rPr>
          <w:rFonts w:ascii="Times New Roman" w:hAnsi="Times New Roman" w:cs="Times New Roman"/>
          <w:sz w:val="24"/>
          <w:szCs w:val="24"/>
        </w:rPr>
        <w:t xml:space="preserve"> znám</w:t>
      </w:r>
      <w:r w:rsidR="00B1276D">
        <w:rPr>
          <w:rFonts w:ascii="Times New Roman" w:hAnsi="Times New Roman" w:cs="Times New Roman"/>
          <w:sz w:val="24"/>
          <w:szCs w:val="24"/>
        </w:rPr>
        <w:t>, protože u</w:t>
      </w:r>
      <w:r w:rsidR="00ED2941" w:rsidRPr="006A71F1">
        <w:rPr>
          <w:rFonts w:ascii="Times New Roman" w:hAnsi="Times New Roman" w:cs="Times New Roman"/>
          <w:sz w:val="24"/>
          <w:szCs w:val="24"/>
        </w:rPr>
        <w:t xml:space="preserve">vedená problematika bude </w:t>
      </w:r>
      <w:r w:rsidR="00B1276D" w:rsidRPr="006A71F1">
        <w:rPr>
          <w:rFonts w:ascii="Times New Roman" w:hAnsi="Times New Roman" w:cs="Times New Roman"/>
          <w:sz w:val="24"/>
          <w:szCs w:val="24"/>
        </w:rPr>
        <w:t xml:space="preserve">teprve </w:t>
      </w:r>
      <w:r w:rsidR="00ED2941" w:rsidRPr="006A71F1">
        <w:rPr>
          <w:rFonts w:ascii="Times New Roman" w:hAnsi="Times New Roman" w:cs="Times New Roman"/>
          <w:sz w:val="24"/>
          <w:szCs w:val="24"/>
        </w:rPr>
        <w:t xml:space="preserve">řešena v rámci vyjednávání </w:t>
      </w:r>
      <w:r w:rsidR="00C43E8B">
        <w:rPr>
          <w:rFonts w:ascii="Times New Roman" w:hAnsi="Times New Roman" w:cs="Times New Roman"/>
          <w:sz w:val="24"/>
          <w:szCs w:val="24"/>
        </w:rPr>
        <w:t xml:space="preserve">dokumentů </w:t>
      </w:r>
      <w:r w:rsidR="00ED2941" w:rsidRPr="006A71F1">
        <w:rPr>
          <w:rFonts w:ascii="Times New Roman" w:hAnsi="Times New Roman" w:cs="Times New Roman"/>
          <w:sz w:val="24"/>
          <w:szCs w:val="24"/>
        </w:rPr>
        <w:t>souvisejících</w:t>
      </w:r>
      <w:r w:rsidR="00C43E8B">
        <w:rPr>
          <w:rFonts w:ascii="Times New Roman" w:hAnsi="Times New Roman" w:cs="Times New Roman"/>
          <w:sz w:val="24"/>
          <w:szCs w:val="24"/>
        </w:rPr>
        <w:t xml:space="preserve"> s </w:t>
      </w:r>
      <w:r w:rsidR="002E0407">
        <w:rPr>
          <w:rFonts w:ascii="Times New Roman" w:hAnsi="Times New Roman" w:cs="Times New Roman"/>
          <w:sz w:val="24"/>
          <w:szCs w:val="24"/>
        </w:rPr>
        <w:t>n</w:t>
      </w:r>
      <w:r w:rsidR="00C43E8B">
        <w:rPr>
          <w:rFonts w:ascii="Times New Roman" w:hAnsi="Times New Roman" w:cs="Times New Roman"/>
          <w:sz w:val="24"/>
          <w:szCs w:val="24"/>
        </w:rPr>
        <w:t>ařízením</w:t>
      </w:r>
      <w:r w:rsidR="00ED2941" w:rsidRPr="006A71F1">
        <w:rPr>
          <w:rFonts w:ascii="Times New Roman" w:hAnsi="Times New Roman" w:cs="Times New Roman"/>
          <w:sz w:val="24"/>
          <w:szCs w:val="24"/>
        </w:rPr>
        <w:t xml:space="preserve"> na</w:t>
      </w:r>
      <w:r w:rsidR="00B1276D">
        <w:rPr>
          <w:rFonts w:ascii="Times New Roman" w:hAnsi="Times New Roman" w:cs="Times New Roman"/>
          <w:sz w:val="24"/>
          <w:szCs w:val="24"/>
        </w:rPr>
        <w:t> </w:t>
      </w:r>
      <w:r w:rsidR="00ED2941" w:rsidRPr="006A71F1">
        <w:rPr>
          <w:rFonts w:ascii="Times New Roman" w:hAnsi="Times New Roman" w:cs="Times New Roman"/>
          <w:sz w:val="24"/>
          <w:szCs w:val="24"/>
        </w:rPr>
        <w:t xml:space="preserve">úrovni pracovních skupin </w:t>
      </w:r>
      <w:r w:rsidR="00C43E8B">
        <w:rPr>
          <w:rFonts w:ascii="Times New Roman" w:hAnsi="Times New Roman" w:cs="Times New Roman"/>
          <w:sz w:val="24"/>
          <w:szCs w:val="24"/>
        </w:rPr>
        <w:t>Evropské k</w:t>
      </w:r>
      <w:r w:rsidR="00ED2941" w:rsidRPr="006A71F1">
        <w:rPr>
          <w:rFonts w:ascii="Times New Roman" w:hAnsi="Times New Roman" w:cs="Times New Roman"/>
          <w:sz w:val="24"/>
          <w:szCs w:val="24"/>
        </w:rPr>
        <w:t xml:space="preserve">omise. </w:t>
      </w:r>
      <w:r w:rsidR="00B1276D">
        <w:rPr>
          <w:rFonts w:ascii="Times New Roman" w:hAnsi="Times New Roman" w:cs="Times New Roman"/>
          <w:sz w:val="24"/>
          <w:szCs w:val="24"/>
        </w:rPr>
        <w:t>L</w:t>
      </w:r>
      <w:r w:rsidR="00ED2941" w:rsidRPr="006A71F1">
        <w:rPr>
          <w:rFonts w:ascii="Times New Roman" w:hAnsi="Times New Roman" w:cs="Times New Roman"/>
          <w:sz w:val="24"/>
          <w:szCs w:val="24"/>
        </w:rPr>
        <w:t xml:space="preserve">ze </w:t>
      </w:r>
      <w:r w:rsidR="00B1276D">
        <w:rPr>
          <w:rFonts w:ascii="Times New Roman" w:hAnsi="Times New Roman" w:cs="Times New Roman"/>
          <w:sz w:val="24"/>
          <w:szCs w:val="24"/>
        </w:rPr>
        <w:t xml:space="preserve">nicméně </w:t>
      </w:r>
      <w:r w:rsidR="00ED2941" w:rsidRPr="006A71F1">
        <w:rPr>
          <w:rFonts w:ascii="Times New Roman" w:hAnsi="Times New Roman" w:cs="Times New Roman"/>
          <w:sz w:val="24"/>
          <w:szCs w:val="24"/>
        </w:rPr>
        <w:t>předpokládat, že referenční rozhraní by mělo statisticky zaznamenávat údaje v rozsahu článku 28</w:t>
      </w:r>
      <w:r w:rsidR="00C43E8B">
        <w:rPr>
          <w:rFonts w:ascii="Times New Roman" w:hAnsi="Times New Roman" w:cs="Times New Roman"/>
          <w:sz w:val="24"/>
          <w:szCs w:val="24"/>
        </w:rPr>
        <w:t xml:space="preserve"> </w:t>
      </w:r>
      <w:r w:rsidR="00B1276D">
        <w:rPr>
          <w:rFonts w:ascii="Times New Roman" w:hAnsi="Times New Roman" w:cs="Times New Roman"/>
          <w:sz w:val="24"/>
          <w:szCs w:val="24"/>
        </w:rPr>
        <w:t xml:space="preserve">písm. </w:t>
      </w:r>
      <w:r w:rsidR="00B1276D" w:rsidRPr="006A71F1">
        <w:rPr>
          <w:rFonts w:ascii="Times New Roman" w:hAnsi="Times New Roman" w:cs="Times New Roman"/>
          <w:sz w:val="24"/>
          <w:szCs w:val="24"/>
        </w:rPr>
        <w:t>a) až g)</w:t>
      </w:r>
      <w:r w:rsidR="00B1276D">
        <w:rPr>
          <w:rFonts w:ascii="Times New Roman" w:hAnsi="Times New Roman" w:cs="Times New Roman"/>
          <w:sz w:val="24"/>
          <w:szCs w:val="24"/>
        </w:rPr>
        <w:t xml:space="preserve"> a</w:t>
      </w:r>
      <w:r w:rsidR="00B1276D" w:rsidRPr="006A71F1">
        <w:rPr>
          <w:rFonts w:ascii="Times New Roman" w:hAnsi="Times New Roman" w:cs="Times New Roman"/>
          <w:sz w:val="24"/>
          <w:szCs w:val="24"/>
        </w:rPr>
        <w:t xml:space="preserve"> i) </w:t>
      </w:r>
      <w:r w:rsidR="002E0407">
        <w:rPr>
          <w:rFonts w:ascii="Times New Roman" w:hAnsi="Times New Roman" w:cs="Times New Roman"/>
          <w:sz w:val="24"/>
          <w:szCs w:val="24"/>
        </w:rPr>
        <w:t>n</w:t>
      </w:r>
      <w:r w:rsidR="00C43E8B">
        <w:rPr>
          <w:rFonts w:ascii="Times New Roman" w:hAnsi="Times New Roman" w:cs="Times New Roman"/>
          <w:sz w:val="24"/>
          <w:szCs w:val="24"/>
        </w:rPr>
        <w:t>ařízení</w:t>
      </w:r>
      <w:r w:rsidR="00ED2941" w:rsidRPr="006A71F1">
        <w:rPr>
          <w:rFonts w:ascii="Times New Roman" w:hAnsi="Times New Roman" w:cs="Times New Roman"/>
          <w:sz w:val="24"/>
          <w:szCs w:val="24"/>
        </w:rPr>
        <w:t>. Ostatní</w:t>
      </w:r>
      <w:r w:rsidR="00B1276D">
        <w:rPr>
          <w:rFonts w:ascii="Times New Roman" w:hAnsi="Times New Roman" w:cs="Times New Roman"/>
          <w:sz w:val="24"/>
          <w:szCs w:val="24"/>
        </w:rPr>
        <w:t xml:space="preserve"> požadované</w:t>
      </w:r>
      <w:r w:rsidR="00ED2941" w:rsidRPr="006A71F1">
        <w:rPr>
          <w:rFonts w:ascii="Times New Roman" w:hAnsi="Times New Roman" w:cs="Times New Roman"/>
          <w:sz w:val="24"/>
          <w:szCs w:val="24"/>
        </w:rPr>
        <w:t xml:space="preserve"> statistické údaje</w:t>
      </w:r>
      <w:r w:rsidR="00C43E8B">
        <w:rPr>
          <w:rFonts w:ascii="Times New Roman" w:hAnsi="Times New Roman" w:cs="Times New Roman"/>
          <w:sz w:val="24"/>
          <w:szCs w:val="24"/>
        </w:rPr>
        <w:t xml:space="preserve">, </w:t>
      </w:r>
      <w:r w:rsidR="00ED2941" w:rsidRPr="006A71F1">
        <w:rPr>
          <w:rFonts w:ascii="Times New Roman" w:hAnsi="Times New Roman" w:cs="Times New Roman"/>
          <w:sz w:val="24"/>
          <w:szCs w:val="24"/>
        </w:rPr>
        <w:t>t</w:t>
      </w:r>
      <w:r w:rsidR="00C43E8B">
        <w:rPr>
          <w:rFonts w:ascii="Times New Roman" w:hAnsi="Times New Roman" w:cs="Times New Roman"/>
          <w:sz w:val="24"/>
          <w:szCs w:val="24"/>
        </w:rPr>
        <w:t xml:space="preserve">j. </w:t>
      </w:r>
      <w:r w:rsidR="00B1276D">
        <w:rPr>
          <w:rFonts w:ascii="Times New Roman" w:hAnsi="Times New Roman" w:cs="Times New Roman"/>
          <w:sz w:val="24"/>
          <w:szCs w:val="24"/>
        </w:rPr>
        <w:t xml:space="preserve">údaje </w:t>
      </w:r>
      <w:r w:rsidR="00C43E8B">
        <w:rPr>
          <w:rFonts w:ascii="Times New Roman" w:hAnsi="Times New Roman" w:cs="Times New Roman"/>
          <w:sz w:val="24"/>
          <w:szCs w:val="24"/>
        </w:rPr>
        <w:t>obsažené v</w:t>
      </w:r>
      <w:r w:rsidR="00B1276D">
        <w:rPr>
          <w:rFonts w:ascii="Times New Roman" w:hAnsi="Times New Roman" w:cs="Times New Roman"/>
          <w:sz w:val="24"/>
          <w:szCs w:val="24"/>
        </w:rPr>
        <w:t xml:space="preserve"> článku 28 </w:t>
      </w:r>
      <w:r w:rsidR="00C43E8B">
        <w:rPr>
          <w:rFonts w:ascii="Times New Roman" w:hAnsi="Times New Roman" w:cs="Times New Roman"/>
          <w:sz w:val="24"/>
          <w:szCs w:val="24"/>
        </w:rPr>
        <w:t xml:space="preserve">písm. </w:t>
      </w:r>
      <w:r w:rsidR="00ED2941" w:rsidRPr="006A71F1">
        <w:rPr>
          <w:rFonts w:ascii="Times New Roman" w:hAnsi="Times New Roman" w:cs="Times New Roman"/>
          <w:sz w:val="24"/>
          <w:szCs w:val="24"/>
        </w:rPr>
        <w:t>h) a j)</w:t>
      </w:r>
      <w:r w:rsidR="00B1276D">
        <w:rPr>
          <w:rFonts w:ascii="Times New Roman" w:hAnsi="Times New Roman" w:cs="Times New Roman"/>
          <w:sz w:val="24"/>
          <w:szCs w:val="24"/>
        </w:rPr>
        <w:t xml:space="preserve"> nařízení (účinné prostředky nápravy a platby poskytovatelům služeb), </w:t>
      </w:r>
      <w:r w:rsidR="00ED2941" w:rsidRPr="006A71F1">
        <w:rPr>
          <w:rFonts w:ascii="Times New Roman" w:hAnsi="Times New Roman" w:cs="Times New Roman"/>
          <w:sz w:val="24"/>
          <w:szCs w:val="24"/>
        </w:rPr>
        <w:t xml:space="preserve">referenční rozhraní </w:t>
      </w:r>
      <w:r w:rsidR="00B1276D">
        <w:rPr>
          <w:rFonts w:ascii="Times New Roman" w:hAnsi="Times New Roman" w:cs="Times New Roman"/>
          <w:sz w:val="24"/>
          <w:szCs w:val="24"/>
        </w:rPr>
        <w:t>nebude moci sledovat</w:t>
      </w:r>
      <w:r w:rsidR="00ED2941" w:rsidRPr="006A71F1">
        <w:rPr>
          <w:rFonts w:ascii="Times New Roman" w:hAnsi="Times New Roman" w:cs="Times New Roman"/>
          <w:sz w:val="24"/>
          <w:szCs w:val="24"/>
        </w:rPr>
        <w:t xml:space="preserve">. </w:t>
      </w:r>
      <w:r w:rsidR="00C43E8B">
        <w:rPr>
          <w:rFonts w:ascii="Times New Roman" w:hAnsi="Times New Roman" w:cs="Times New Roman"/>
          <w:sz w:val="24"/>
          <w:szCs w:val="24"/>
        </w:rPr>
        <w:t xml:space="preserve">Ve vztahu k těmto zbytkovým statistickým údajům </w:t>
      </w:r>
      <w:r w:rsidR="003A1268">
        <w:rPr>
          <w:rFonts w:ascii="Times New Roman" w:hAnsi="Times New Roman" w:cs="Times New Roman"/>
          <w:sz w:val="24"/>
          <w:szCs w:val="24"/>
        </w:rPr>
        <w:t>(a ve vztahu k ostatním statistickým údajů</w:t>
      </w:r>
      <w:r w:rsidR="00BF79AF">
        <w:rPr>
          <w:rFonts w:ascii="Times New Roman" w:hAnsi="Times New Roman" w:cs="Times New Roman"/>
          <w:sz w:val="24"/>
          <w:szCs w:val="24"/>
        </w:rPr>
        <w:t>m</w:t>
      </w:r>
      <w:r w:rsidR="003A1268">
        <w:rPr>
          <w:rFonts w:ascii="Times New Roman" w:hAnsi="Times New Roman" w:cs="Times New Roman"/>
          <w:sz w:val="24"/>
          <w:szCs w:val="24"/>
        </w:rPr>
        <w:t xml:space="preserve"> do doby zprovoznění decentralizovaného informačního systému) </w:t>
      </w:r>
      <w:r w:rsidR="00C43E8B">
        <w:rPr>
          <w:rFonts w:ascii="Times New Roman" w:hAnsi="Times New Roman" w:cs="Times New Roman"/>
          <w:sz w:val="24"/>
          <w:szCs w:val="24"/>
        </w:rPr>
        <w:t>vzniknou Ministerstvu spravedlnosti</w:t>
      </w:r>
      <w:r w:rsidR="00FD6A9F">
        <w:rPr>
          <w:rFonts w:ascii="Times New Roman" w:hAnsi="Times New Roman" w:cs="Times New Roman"/>
          <w:sz w:val="24"/>
          <w:szCs w:val="24"/>
        </w:rPr>
        <w:t xml:space="preserve"> </w:t>
      </w:r>
      <w:r w:rsidR="00C43E8B">
        <w:rPr>
          <w:rFonts w:ascii="Times New Roman" w:hAnsi="Times New Roman" w:cs="Times New Roman"/>
          <w:sz w:val="24"/>
          <w:szCs w:val="24"/>
        </w:rPr>
        <w:t xml:space="preserve">zvýšené finanční náklady </w:t>
      </w:r>
      <w:r w:rsidR="00C43E8B" w:rsidRPr="00C43E8B">
        <w:rPr>
          <w:rFonts w:ascii="Times New Roman" w:hAnsi="Times New Roman" w:cs="Times New Roman"/>
          <w:sz w:val="24"/>
          <w:szCs w:val="24"/>
        </w:rPr>
        <w:t>spojené s</w:t>
      </w:r>
      <w:r w:rsidR="00C43E8B">
        <w:rPr>
          <w:rFonts w:ascii="Times New Roman" w:hAnsi="Times New Roman" w:cs="Times New Roman"/>
          <w:sz w:val="24"/>
          <w:szCs w:val="24"/>
        </w:rPr>
        <w:t> </w:t>
      </w:r>
      <w:r w:rsidR="00C43E8B" w:rsidRPr="00C43E8B">
        <w:rPr>
          <w:rFonts w:ascii="Times New Roman" w:hAnsi="Times New Roman" w:cs="Times New Roman"/>
          <w:sz w:val="24"/>
          <w:szCs w:val="24"/>
        </w:rPr>
        <w:t>úprav</w:t>
      </w:r>
      <w:r w:rsidR="00C43E8B">
        <w:rPr>
          <w:rFonts w:ascii="Times New Roman" w:hAnsi="Times New Roman" w:cs="Times New Roman"/>
          <w:sz w:val="24"/>
          <w:szCs w:val="24"/>
        </w:rPr>
        <w:t xml:space="preserve">ou </w:t>
      </w:r>
      <w:r w:rsidR="00C43E8B" w:rsidRPr="00C43E8B">
        <w:rPr>
          <w:rFonts w:ascii="Times New Roman" w:hAnsi="Times New Roman" w:cs="Times New Roman"/>
          <w:sz w:val="24"/>
          <w:szCs w:val="24"/>
        </w:rPr>
        <w:t>informačních systémů (ISAS, ISYZ, ISVKS) a následn</w:t>
      </w:r>
      <w:r w:rsidR="00C43E8B">
        <w:rPr>
          <w:rFonts w:ascii="Times New Roman" w:hAnsi="Times New Roman" w:cs="Times New Roman"/>
          <w:sz w:val="24"/>
          <w:szCs w:val="24"/>
        </w:rPr>
        <w:t>ou</w:t>
      </w:r>
      <w:r w:rsidR="00C43E8B" w:rsidRPr="00C43E8B">
        <w:rPr>
          <w:rFonts w:ascii="Times New Roman" w:hAnsi="Times New Roman" w:cs="Times New Roman"/>
          <w:sz w:val="24"/>
          <w:szCs w:val="24"/>
        </w:rPr>
        <w:t xml:space="preserve"> úprav</w:t>
      </w:r>
      <w:r w:rsidR="00C43E8B">
        <w:rPr>
          <w:rFonts w:ascii="Times New Roman" w:hAnsi="Times New Roman" w:cs="Times New Roman"/>
          <w:sz w:val="24"/>
          <w:szCs w:val="24"/>
        </w:rPr>
        <w:t>ou</w:t>
      </w:r>
      <w:r w:rsidR="00C43E8B" w:rsidRPr="00C43E8B">
        <w:rPr>
          <w:rFonts w:ascii="Times New Roman" w:hAnsi="Times New Roman" w:cs="Times New Roman"/>
          <w:sz w:val="24"/>
          <w:szCs w:val="24"/>
        </w:rPr>
        <w:t xml:space="preserve"> datového skladu CSLAV, ve výši </w:t>
      </w:r>
      <w:r w:rsidR="00C43E8B">
        <w:rPr>
          <w:rFonts w:ascii="Times New Roman" w:hAnsi="Times New Roman" w:cs="Times New Roman"/>
          <w:sz w:val="24"/>
          <w:szCs w:val="24"/>
        </w:rPr>
        <w:t>přibližně</w:t>
      </w:r>
      <w:r w:rsidR="003A1268">
        <w:rPr>
          <w:rFonts w:ascii="Times New Roman" w:hAnsi="Times New Roman" w:cs="Times New Roman"/>
          <w:sz w:val="24"/>
          <w:szCs w:val="24"/>
        </w:rPr>
        <w:t xml:space="preserve"> 1</w:t>
      </w:r>
      <w:r w:rsidR="00C43E8B">
        <w:rPr>
          <w:rFonts w:ascii="Times New Roman" w:hAnsi="Times New Roman" w:cs="Times New Roman"/>
          <w:sz w:val="24"/>
          <w:szCs w:val="24"/>
        </w:rPr>
        <w:t xml:space="preserve"> milion</w:t>
      </w:r>
      <w:r w:rsidR="00C43E8B" w:rsidRPr="00C43E8B">
        <w:rPr>
          <w:rFonts w:ascii="Times New Roman" w:hAnsi="Times New Roman" w:cs="Times New Roman"/>
          <w:sz w:val="24"/>
          <w:szCs w:val="24"/>
        </w:rPr>
        <w:t xml:space="preserve"> Kč. </w:t>
      </w:r>
      <w:bookmarkStart w:id="4" w:name="_Hlk193464884"/>
      <w:r w:rsidR="00F70024">
        <w:rPr>
          <w:rFonts w:ascii="Times New Roman" w:hAnsi="Times New Roman" w:cs="Times New Roman"/>
          <w:sz w:val="24"/>
          <w:szCs w:val="24"/>
        </w:rPr>
        <w:t xml:space="preserve">Tyto zvýšené finanční náklady </w:t>
      </w:r>
      <w:r w:rsidR="00F70024" w:rsidRPr="00F70024">
        <w:rPr>
          <w:rFonts w:ascii="Times New Roman" w:hAnsi="Times New Roman" w:cs="Times New Roman"/>
          <w:sz w:val="24"/>
          <w:szCs w:val="24"/>
        </w:rPr>
        <w:t xml:space="preserve">Ministerstvo spravedlnosti pokryje </w:t>
      </w:r>
      <w:r w:rsidR="00F70024" w:rsidRPr="00F70024">
        <w:rPr>
          <w:rFonts w:ascii="Times New Roman" w:eastAsia="Calibri" w:hAnsi="Times New Roman" w:cs="Times New Roman"/>
          <w:bCs/>
          <w:sz w:val="24"/>
          <w:szCs w:val="24"/>
        </w:rPr>
        <w:t xml:space="preserve">v rámci schválených výdajových limitů </w:t>
      </w:r>
      <w:r w:rsidR="003C670B">
        <w:rPr>
          <w:rFonts w:ascii="Times New Roman" w:eastAsia="Calibri" w:hAnsi="Times New Roman" w:cs="Times New Roman"/>
          <w:bCs/>
          <w:sz w:val="24"/>
          <w:szCs w:val="24"/>
        </w:rPr>
        <w:t xml:space="preserve">své rozpočtové kapitoly </w:t>
      </w:r>
      <w:r w:rsidR="00F70024" w:rsidRPr="00F70024">
        <w:rPr>
          <w:rFonts w:ascii="Times New Roman" w:eastAsia="Calibri" w:hAnsi="Times New Roman" w:cs="Times New Roman"/>
          <w:bCs/>
          <w:sz w:val="24"/>
          <w:szCs w:val="24"/>
        </w:rPr>
        <w:t>bez navyšujících požadavků na státní rozpočet.</w:t>
      </w:r>
    </w:p>
    <w:bookmarkEnd w:id="4"/>
    <w:p w14:paraId="08C1594F" w14:textId="508BB840" w:rsidR="00E949F3" w:rsidRPr="00137CA6" w:rsidRDefault="00E949F3" w:rsidP="00137CA6">
      <w:pPr>
        <w:spacing w:before="120" w:after="0" w:line="240" w:lineRule="auto"/>
        <w:jc w:val="both"/>
        <w:rPr>
          <w:rFonts w:ascii="Times New Roman" w:eastAsia="Calibri" w:hAnsi="Times New Roman" w:cs="Times New Roman"/>
          <w:sz w:val="24"/>
          <w:szCs w:val="24"/>
        </w:rPr>
      </w:pPr>
      <w:r w:rsidRPr="00242017">
        <w:rPr>
          <w:rFonts w:ascii="Times New Roman" w:hAnsi="Times New Roman" w:cs="Times New Roman"/>
          <w:sz w:val="24"/>
          <w:szCs w:val="24"/>
        </w:rPr>
        <w:t>Další dílčí náklady vzniknou v souvislost</w:t>
      </w:r>
      <w:r w:rsidR="008D78E5">
        <w:rPr>
          <w:rFonts w:ascii="Times New Roman" w:hAnsi="Times New Roman" w:cs="Times New Roman"/>
          <w:sz w:val="24"/>
          <w:szCs w:val="24"/>
        </w:rPr>
        <w:t>i</w:t>
      </w:r>
      <w:r>
        <w:rPr>
          <w:rFonts w:ascii="Times New Roman" w:hAnsi="Times New Roman" w:cs="Times New Roman"/>
          <w:sz w:val="24"/>
          <w:szCs w:val="24"/>
        </w:rPr>
        <w:t xml:space="preserve"> s povinností proplácet náklady na vydání provozních údajů zahraničnímu poskytovateli služeb, pokud splní vnitrostátní podmínky pro jejich proplacení (článek 14 </w:t>
      </w:r>
      <w:r w:rsidR="002E0407">
        <w:rPr>
          <w:rFonts w:ascii="Times New Roman" w:hAnsi="Times New Roman" w:cs="Times New Roman"/>
          <w:sz w:val="24"/>
          <w:szCs w:val="24"/>
        </w:rPr>
        <w:t>n</w:t>
      </w:r>
      <w:r>
        <w:rPr>
          <w:rFonts w:ascii="Times New Roman" w:hAnsi="Times New Roman" w:cs="Times New Roman"/>
          <w:sz w:val="24"/>
          <w:szCs w:val="24"/>
        </w:rPr>
        <w:t>ařízení). Lze nicméně očekávat, že půjd</w:t>
      </w:r>
      <w:r w:rsidR="00BC55E6">
        <w:rPr>
          <w:rFonts w:ascii="Times New Roman" w:hAnsi="Times New Roman" w:cs="Times New Roman"/>
          <w:sz w:val="24"/>
          <w:szCs w:val="24"/>
        </w:rPr>
        <w:t xml:space="preserve">e </w:t>
      </w:r>
      <w:r>
        <w:rPr>
          <w:rFonts w:ascii="Times New Roman" w:hAnsi="Times New Roman" w:cs="Times New Roman"/>
          <w:sz w:val="24"/>
          <w:szCs w:val="24"/>
        </w:rPr>
        <w:t>o jednotky případů ročně, kdy při výši úhrady za vydání provozních údajů v jednom případu (podle stávající vyhlášky č.</w:t>
      </w:r>
      <w:r w:rsidR="008D78E5">
        <w:rPr>
          <w:rFonts w:ascii="Times New Roman" w:hAnsi="Times New Roman" w:cs="Times New Roman"/>
          <w:sz w:val="24"/>
          <w:szCs w:val="24"/>
        </w:rPr>
        <w:t> </w:t>
      </w:r>
      <w:r>
        <w:rPr>
          <w:rFonts w:ascii="Times New Roman" w:hAnsi="Times New Roman" w:cs="Times New Roman"/>
          <w:sz w:val="24"/>
          <w:szCs w:val="24"/>
        </w:rPr>
        <w:t xml:space="preserve">462/2013 Sb. jde o úhrady v řádu stokorun) lze předpokládat, že tyto zvýšené náklady bude možné pokrýt v rámci </w:t>
      </w:r>
      <w:r w:rsidR="00137CA6" w:rsidRPr="00F70024">
        <w:rPr>
          <w:rFonts w:ascii="Times New Roman" w:eastAsia="Calibri" w:hAnsi="Times New Roman" w:cs="Times New Roman"/>
          <w:bCs/>
          <w:sz w:val="24"/>
          <w:szCs w:val="24"/>
        </w:rPr>
        <w:t>schválených</w:t>
      </w:r>
      <w:r w:rsidR="00137CA6">
        <w:rPr>
          <w:rFonts w:ascii="Times New Roman" w:eastAsia="Calibri" w:hAnsi="Times New Roman" w:cs="Times New Roman"/>
          <w:bCs/>
          <w:sz w:val="24"/>
          <w:szCs w:val="24"/>
        </w:rPr>
        <w:t xml:space="preserve"> </w:t>
      </w:r>
      <w:r w:rsidR="00137CA6" w:rsidRPr="00F70024">
        <w:rPr>
          <w:rFonts w:ascii="Times New Roman" w:eastAsia="Calibri" w:hAnsi="Times New Roman" w:cs="Times New Roman"/>
          <w:bCs/>
          <w:sz w:val="24"/>
          <w:szCs w:val="24"/>
        </w:rPr>
        <w:t xml:space="preserve">výdajových limitů </w:t>
      </w:r>
      <w:r w:rsidR="00137CA6">
        <w:rPr>
          <w:rFonts w:ascii="Times New Roman" w:eastAsia="Calibri" w:hAnsi="Times New Roman" w:cs="Times New Roman"/>
          <w:bCs/>
          <w:sz w:val="24"/>
          <w:szCs w:val="24"/>
        </w:rPr>
        <w:t xml:space="preserve">své rozpočtové </w:t>
      </w:r>
      <w:r w:rsidR="00137CA6" w:rsidRPr="00F70024">
        <w:rPr>
          <w:rFonts w:ascii="Times New Roman" w:eastAsia="Calibri" w:hAnsi="Times New Roman" w:cs="Times New Roman"/>
          <w:bCs/>
          <w:sz w:val="24"/>
          <w:szCs w:val="24"/>
        </w:rPr>
        <w:t>kapitol</w:t>
      </w:r>
      <w:r w:rsidR="00137CA6">
        <w:rPr>
          <w:rFonts w:ascii="Times New Roman" w:eastAsia="Calibri" w:hAnsi="Times New Roman" w:cs="Times New Roman"/>
          <w:bCs/>
          <w:sz w:val="24"/>
          <w:szCs w:val="24"/>
        </w:rPr>
        <w:t>y</w:t>
      </w:r>
      <w:r w:rsidR="00137CA6" w:rsidRPr="00F70024">
        <w:rPr>
          <w:rFonts w:ascii="Times New Roman" w:eastAsia="Calibri" w:hAnsi="Times New Roman" w:cs="Times New Roman"/>
          <w:bCs/>
          <w:sz w:val="24"/>
          <w:szCs w:val="24"/>
        </w:rPr>
        <w:t xml:space="preserve"> bez navyšujících požadavků na státní rozpočet.</w:t>
      </w:r>
    </w:p>
    <w:p w14:paraId="1787C272" w14:textId="462B58D3" w:rsidR="007B61F0" w:rsidRPr="00BE0F58" w:rsidRDefault="007B61F0" w:rsidP="00A1611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r w:rsidRPr="00BE0F58">
        <w:rPr>
          <w:rFonts w:ascii="Times New Roman" w:eastAsia="Times New Roman" w:hAnsi="Times New Roman" w:cs="Times New Roman"/>
          <w:sz w:val="24"/>
          <w:szCs w:val="24"/>
        </w:rPr>
        <w:t xml:space="preserve">Jiné dopady na státní rozpočet a na ostatní veřejné rozpočty se nepředpokládají. </w:t>
      </w:r>
    </w:p>
    <w:p w14:paraId="4E3B5A31" w14:textId="77777777" w:rsidR="007B61F0" w:rsidRPr="00BE0F58" w:rsidRDefault="007B61F0" w:rsidP="00A1611D">
      <w:pPr>
        <w:spacing w:before="120" w:after="0" w:line="240" w:lineRule="auto"/>
        <w:jc w:val="both"/>
        <w:rPr>
          <w:rFonts w:ascii="Times New Roman" w:eastAsia="Calibri" w:hAnsi="Times New Roman" w:cs="Times New Roman"/>
          <w:sz w:val="24"/>
          <w:szCs w:val="24"/>
        </w:rPr>
      </w:pPr>
      <w:r w:rsidRPr="00BE0F58">
        <w:rPr>
          <w:rFonts w:ascii="Times New Roman" w:eastAsia="Calibri" w:hAnsi="Times New Roman" w:cs="Times New Roman"/>
          <w:sz w:val="24"/>
          <w:szCs w:val="24"/>
        </w:rPr>
        <w:t xml:space="preserve">Navrhovaná právní úprava není spojena s dopady na podnikatelské prostředí v České republice. </w:t>
      </w:r>
    </w:p>
    <w:p w14:paraId="55FFEE47" w14:textId="77777777" w:rsidR="007B61F0" w:rsidRPr="00BE0F58" w:rsidRDefault="007B61F0" w:rsidP="00A1611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p>
    <w:p w14:paraId="566509E2" w14:textId="77777777" w:rsidR="007B61F0" w:rsidRPr="00BE0F58" w:rsidRDefault="007B61F0" w:rsidP="00A1611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r w:rsidRPr="00BE0F58">
        <w:rPr>
          <w:rFonts w:ascii="Times New Roman" w:eastAsia="Calibri" w:hAnsi="Times New Roman" w:cs="Times New Roman"/>
          <w:b/>
          <w:sz w:val="24"/>
          <w:szCs w:val="24"/>
          <w:lang w:eastAsia="cs-CZ"/>
        </w:rPr>
        <w:t>Zhodnocení sociálních dopadů, včetně dopadů na specifické skupiny obyvatel, zejména osoby sociálně slabé, osoby se zdravotním postižením a národnostní menšiny, dopadů na ochranu práv dětí a dopadů na rodiny, zejména s ohledem na plnění funkcí rodiny, s ohledem na 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w:t>
      </w:r>
    </w:p>
    <w:p w14:paraId="7D39191C" w14:textId="4EA83E35" w:rsidR="007B61F0" w:rsidRPr="00BE0F58" w:rsidRDefault="007B61F0" w:rsidP="00A1611D">
      <w:pPr>
        <w:spacing w:before="120" w:after="0" w:line="240" w:lineRule="auto"/>
        <w:jc w:val="both"/>
        <w:rPr>
          <w:rFonts w:ascii="Times New Roman" w:eastAsia="Calibri" w:hAnsi="Times New Roman" w:cs="Times New Roman"/>
          <w:sz w:val="24"/>
          <w:szCs w:val="24"/>
        </w:rPr>
      </w:pPr>
      <w:r w:rsidRPr="00BE0F58">
        <w:rPr>
          <w:rFonts w:ascii="Times New Roman" w:eastAsia="Calibri" w:hAnsi="Times New Roman" w:cs="Times New Roman"/>
          <w:sz w:val="24"/>
          <w:szCs w:val="24"/>
        </w:rPr>
        <w:t xml:space="preserve">Navrhovaná právní úprava není spojena s žádnými negativními sociálními dopady, dopady na specifické skupiny obyvatel, děti a na rodiny. </w:t>
      </w:r>
    </w:p>
    <w:p w14:paraId="17D1EA32" w14:textId="77777777" w:rsidR="00C45536" w:rsidRPr="00BE0F58" w:rsidRDefault="00C45536" w:rsidP="00A1611D">
      <w:pPr>
        <w:spacing w:before="120" w:after="0" w:line="240" w:lineRule="auto"/>
        <w:jc w:val="both"/>
        <w:rPr>
          <w:rFonts w:ascii="Times New Roman" w:hAnsi="Times New Roman" w:cs="Times New Roman"/>
          <w:b/>
          <w:sz w:val="24"/>
          <w:szCs w:val="24"/>
        </w:rPr>
      </w:pPr>
    </w:p>
    <w:p w14:paraId="15E86F58" w14:textId="7884C04B" w:rsidR="00C45536" w:rsidRDefault="00C45536" w:rsidP="00A1611D">
      <w:pPr>
        <w:spacing w:before="120" w:after="0" w:line="240" w:lineRule="auto"/>
        <w:jc w:val="both"/>
        <w:rPr>
          <w:rFonts w:ascii="Times New Roman" w:hAnsi="Times New Roman" w:cs="Times New Roman"/>
          <w:b/>
          <w:sz w:val="24"/>
          <w:szCs w:val="24"/>
        </w:rPr>
      </w:pPr>
      <w:r w:rsidRPr="00BE0F58">
        <w:rPr>
          <w:rFonts w:ascii="Times New Roman" w:hAnsi="Times New Roman" w:cs="Times New Roman"/>
          <w:b/>
          <w:sz w:val="24"/>
          <w:szCs w:val="24"/>
        </w:rPr>
        <w:t>Zhodnocení dopadů na práva a povinnosti fyzických a právnických osob</w:t>
      </w:r>
    </w:p>
    <w:p w14:paraId="2EC27B9F" w14:textId="0AD5A724" w:rsidR="005A6273" w:rsidRDefault="005873A7" w:rsidP="00A1611D">
      <w:pPr>
        <w:spacing w:before="120" w:after="0" w:line="240" w:lineRule="auto"/>
        <w:jc w:val="both"/>
        <w:rPr>
          <w:rFonts w:ascii="Times New Roman" w:eastAsia="Times New Roman" w:hAnsi="Times New Roman" w:cs="Times New Roman"/>
          <w:color w:val="000000"/>
          <w:sz w:val="24"/>
          <w:szCs w:val="24"/>
          <w:lang w:eastAsia="cs-CZ"/>
        </w:rPr>
      </w:pPr>
      <w:r>
        <w:rPr>
          <w:rFonts w:ascii="Times New Roman" w:hAnsi="Times New Roman" w:cs="Times New Roman"/>
          <w:bCs/>
          <w:sz w:val="24"/>
          <w:szCs w:val="24"/>
        </w:rPr>
        <w:t>Navrhovaná právní úprava ve spojení s </w:t>
      </w:r>
      <w:r w:rsidR="002E0407">
        <w:rPr>
          <w:rFonts w:ascii="Times New Roman" w:hAnsi="Times New Roman" w:cs="Times New Roman"/>
          <w:bCs/>
          <w:sz w:val="24"/>
          <w:szCs w:val="24"/>
        </w:rPr>
        <w:t>n</w:t>
      </w:r>
      <w:r>
        <w:rPr>
          <w:rFonts w:ascii="Times New Roman" w:hAnsi="Times New Roman" w:cs="Times New Roman"/>
          <w:bCs/>
          <w:sz w:val="24"/>
          <w:szCs w:val="24"/>
        </w:rPr>
        <w:t>ařízením zavádí povinnost poskytovatelům služeb vyhovět přeshraničním příkazům orgánů činných v trestním řízení jiné</w:t>
      </w:r>
      <w:r w:rsidR="008D78E5">
        <w:rPr>
          <w:rFonts w:ascii="Times New Roman" w:hAnsi="Times New Roman" w:cs="Times New Roman"/>
          <w:bCs/>
          <w:sz w:val="24"/>
          <w:szCs w:val="24"/>
        </w:rPr>
        <w:t>ho</w:t>
      </w:r>
      <w:r>
        <w:rPr>
          <w:rFonts w:ascii="Times New Roman" w:hAnsi="Times New Roman" w:cs="Times New Roman"/>
          <w:bCs/>
          <w:sz w:val="24"/>
          <w:szCs w:val="24"/>
        </w:rPr>
        <w:t xml:space="preserve"> členské</w:t>
      </w:r>
      <w:r w:rsidR="008D78E5">
        <w:rPr>
          <w:rFonts w:ascii="Times New Roman" w:hAnsi="Times New Roman" w:cs="Times New Roman"/>
          <w:bCs/>
          <w:sz w:val="24"/>
          <w:szCs w:val="24"/>
        </w:rPr>
        <w:t>ho</w:t>
      </w:r>
      <w:r>
        <w:rPr>
          <w:rFonts w:ascii="Times New Roman" w:hAnsi="Times New Roman" w:cs="Times New Roman"/>
          <w:bCs/>
          <w:sz w:val="24"/>
          <w:szCs w:val="24"/>
        </w:rPr>
        <w:t xml:space="preserve"> státu EU na uchování nebo vydání určité kategorie dat, které má poskytovatel k dispozici. </w:t>
      </w:r>
      <w:r w:rsidR="00A55CC2" w:rsidRPr="00A55CC2">
        <w:rPr>
          <w:rFonts w:ascii="Times New Roman" w:hAnsi="Times New Roman" w:cs="Times New Roman"/>
          <w:bCs/>
          <w:sz w:val="24"/>
          <w:szCs w:val="24"/>
        </w:rPr>
        <w:t xml:space="preserve">Za nedůvodné nesplnění této povinnosti hrozí poskytovateli sankce až do výše </w:t>
      </w:r>
      <w:r w:rsidR="00A55CC2" w:rsidRPr="00A55CC2">
        <w:rPr>
          <w:rFonts w:ascii="Times New Roman" w:eastAsia="Times New Roman" w:hAnsi="Times New Roman" w:cs="Times New Roman"/>
          <w:color w:val="000000"/>
          <w:sz w:val="24"/>
          <w:szCs w:val="24"/>
          <w:lang w:eastAsia="cs-CZ"/>
        </w:rPr>
        <w:t xml:space="preserve">2 % </w:t>
      </w:r>
      <w:r w:rsidR="00A55CC2">
        <w:rPr>
          <w:rFonts w:ascii="Times New Roman" w:eastAsia="Times New Roman" w:hAnsi="Times New Roman" w:cs="Times New Roman"/>
          <w:color w:val="000000"/>
          <w:sz w:val="24"/>
          <w:szCs w:val="24"/>
          <w:lang w:eastAsia="cs-CZ"/>
        </w:rPr>
        <w:t xml:space="preserve">jeho </w:t>
      </w:r>
      <w:r w:rsidR="00A55CC2" w:rsidRPr="00A55CC2">
        <w:rPr>
          <w:rFonts w:ascii="Times New Roman" w:eastAsia="Times New Roman" w:hAnsi="Times New Roman" w:cs="Times New Roman"/>
          <w:color w:val="000000"/>
          <w:sz w:val="24"/>
          <w:szCs w:val="24"/>
          <w:lang w:eastAsia="cs-CZ"/>
        </w:rPr>
        <w:t>celkového celosvětového ročního obratu za předchozí finanční rok</w:t>
      </w:r>
      <w:r w:rsidR="00A55CC2">
        <w:rPr>
          <w:rFonts w:ascii="Times New Roman" w:eastAsia="Times New Roman" w:hAnsi="Times New Roman" w:cs="Times New Roman"/>
          <w:color w:val="000000"/>
          <w:sz w:val="24"/>
          <w:szCs w:val="24"/>
          <w:lang w:eastAsia="cs-CZ"/>
        </w:rPr>
        <w:t xml:space="preserve">. Podle stávající právní úpravy jsou stejné kategorie údajů po poskytovatelích vyžadovány cestou klasické justiční spolupráce mezi orgány států na základě evropského vyšetřovacího příkazu nebo žádosti o právní pomoc, případně přímo na základě dobrovolné spolupráce, nejedná se tedy o novou povinnost, nově se pouze jednotně stanoví výše sankce za nesplnění této povinnosti. </w:t>
      </w:r>
      <w:r w:rsidR="00B03F44">
        <w:rPr>
          <w:rFonts w:ascii="Times New Roman" w:eastAsia="Times New Roman" w:hAnsi="Times New Roman" w:cs="Times New Roman"/>
          <w:color w:val="000000"/>
          <w:sz w:val="24"/>
          <w:szCs w:val="24"/>
          <w:lang w:eastAsia="cs-CZ"/>
        </w:rPr>
        <w:t xml:space="preserve">Nařízení rovněž stanoví lhůty pro vyřízení příkazu. </w:t>
      </w:r>
    </w:p>
    <w:p w14:paraId="5EA49D12" w14:textId="75FF9F63" w:rsidR="004A7032" w:rsidRDefault="00635FB8" w:rsidP="00A1611D">
      <w:pPr>
        <w:spacing w:before="120"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Nařízení stanoví poskytovatelům služeb povinnost používat při komunikaci s orgány činnými v trestním řízení zabezpečený decentralizovaný informační systém zřízený jednotně na úrovni E</w:t>
      </w:r>
      <w:r w:rsidR="008D78E5">
        <w:rPr>
          <w:rFonts w:ascii="Times New Roman" w:eastAsia="Times New Roman" w:hAnsi="Times New Roman" w:cs="Times New Roman"/>
          <w:color w:val="000000"/>
          <w:sz w:val="24"/>
          <w:szCs w:val="24"/>
          <w:lang w:eastAsia="cs-CZ"/>
        </w:rPr>
        <w:t>vropské unie</w:t>
      </w:r>
      <w:r>
        <w:rPr>
          <w:rFonts w:ascii="Times New Roman" w:eastAsia="Times New Roman" w:hAnsi="Times New Roman" w:cs="Times New Roman"/>
          <w:color w:val="000000"/>
          <w:sz w:val="24"/>
          <w:szCs w:val="24"/>
          <w:lang w:eastAsia="cs-CZ"/>
        </w:rPr>
        <w:t>. Povinnost zajistit poskytovatelům přístup k tomuto systému mají jednotlivé členské státy EU</w:t>
      </w:r>
      <w:r w:rsidRPr="004A7032">
        <w:rPr>
          <w:rFonts w:ascii="Times New Roman" w:eastAsia="Times New Roman" w:hAnsi="Times New Roman" w:cs="Times New Roman"/>
          <w:color w:val="000000"/>
          <w:sz w:val="24"/>
          <w:szCs w:val="24"/>
          <w:lang w:eastAsia="cs-CZ"/>
        </w:rPr>
        <w:t xml:space="preserve">. </w:t>
      </w:r>
      <w:r w:rsidR="004A7032" w:rsidRPr="004A7032">
        <w:rPr>
          <w:rFonts w:ascii="Times New Roman" w:eastAsia="Times New Roman" w:hAnsi="Times New Roman" w:cs="Times New Roman"/>
          <w:color w:val="000000"/>
          <w:sz w:val="24"/>
          <w:szCs w:val="24"/>
          <w:lang w:eastAsia="cs-CZ"/>
        </w:rPr>
        <w:t xml:space="preserve">Poskytovatelé služeb </w:t>
      </w:r>
      <w:r w:rsidR="004A7032">
        <w:rPr>
          <w:rFonts w:ascii="Times New Roman" w:eastAsia="Times New Roman" w:hAnsi="Times New Roman" w:cs="Times New Roman"/>
          <w:color w:val="000000"/>
          <w:sz w:val="24"/>
          <w:szCs w:val="24"/>
          <w:lang w:eastAsia="cs-CZ"/>
        </w:rPr>
        <w:t>jsou povinn</w:t>
      </w:r>
      <w:r w:rsidR="008D78E5">
        <w:rPr>
          <w:rFonts w:ascii="Times New Roman" w:eastAsia="Times New Roman" w:hAnsi="Times New Roman" w:cs="Times New Roman"/>
          <w:color w:val="000000"/>
          <w:sz w:val="24"/>
          <w:szCs w:val="24"/>
          <w:lang w:eastAsia="cs-CZ"/>
        </w:rPr>
        <w:t>i</w:t>
      </w:r>
      <w:r w:rsidR="004A7032">
        <w:rPr>
          <w:rFonts w:ascii="Times New Roman" w:eastAsia="Times New Roman" w:hAnsi="Times New Roman" w:cs="Times New Roman"/>
          <w:color w:val="000000"/>
          <w:sz w:val="24"/>
          <w:szCs w:val="24"/>
          <w:lang w:eastAsia="cs-CZ"/>
        </w:rPr>
        <w:t xml:space="preserve"> nést</w:t>
      </w:r>
      <w:r w:rsidR="004A7032" w:rsidRPr="004A7032">
        <w:rPr>
          <w:rFonts w:ascii="Times New Roman" w:eastAsia="Times New Roman" w:hAnsi="Times New Roman" w:cs="Times New Roman"/>
          <w:color w:val="000000"/>
          <w:sz w:val="24"/>
          <w:szCs w:val="24"/>
          <w:lang w:eastAsia="cs-CZ"/>
        </w:rPr>
        <w:t xml:space="preserve"> náklady nezbytné pro úspěšnou integraci decentralizovaného informačního systému nebo jinou interakci s ním.</w:t>
      </w:r>
    </w:p>
    <w:p w14:paraId="2307CFE1" w14:textId="13A8A975" w:rsidR="00B03F44" w:rsidRDefault="000D072F" w:rsidP="00A1611D">
      <w:pPr>
        <w:spacing w:before="120"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Navrhovaná právní úprava </w:t>
      </w:r>
      <w:r w:rsidR="008A2AAD">
        <w:rPr>
          <w:rFonts w:ascii="Times New Roman" w:eastAsia="Times New Roman" w:hAnsi="Times New Roman" w:cs="Times New Roman"/>
          <w:color w:val="000000"/>
          <w:sz w:val="24"/>
          <w:szCs w:val="24"/>
          <w:lang w:eastAsia="cs-CZ"/>
        </w:rPr>
        <w:t xml:space="preserve">sama o sobě </w:t>
      </w:r>
      <w:r>
        <w:rPr>
          <w:rFonts w:ascii="Times New Roman" w:eastAsia="Times New Roman" w:hAnsi="Times New Roman" w:cs="Times New Roman"/>
          <w:color w:val="000000"/>
          <w:sz w:val="24"/>
          <w:szCs w:val="24"/>
          <w:lang w:eastAsia="cs-CZ"/>
        </w:rPr>
        <w:t xml:space="preserve">nemá nové bezprostřední dopady do práv a povinností fyzických osob, předmětné kategorie údajů o osobách mohou být vyžadovány již podle stávající právní úpravy. </w:t>
      </w:r>
      <w:r w:rsidR="00BA3492">
        <w:rPr>
          <w:rFonts w:ascii="Times New Roman" w:eastAsia="Times New Roman" w:hAnsi="Times New Roman" w:cs="Times New Roman"/>
          <w:color w:val="000000"/>
          <w:sz w:val="24"/>
          <w:szCs w:val="24"/>
          <w:lang w:eastAsia="cs-CZ"/>
        </w:rPr>
        <w:t xml:space="preserve">Nařízení </w:t>
      </w:r>
      <w:r w:rsidR="003B51CB">
        <w:rPr>
          <w:rFonts w:ascii="Times New Roman" w:eastAsia="Times New Roman" w:hAnsi="Times New Roman" w:cs="Times New Roman"/>
          <w:color w:val="000000"/>
          <w:sz w:val="24"/>
          <w:szCs w:val="24"/>
          <w:lang w:eastAsia="cs-CZ"/>
        </w:rPr>
        <w:t xml:space="preserve">pouze </w:t>
      </w:r>
      <w:r w:rsidR="00BA3492">
        <w:rPr>
          <w:rFonts w:ascii="Times New Roman" w:eastAsia="Times New Roman" w:hAnsi="Times New Roman" w:cs="Times New Roman"/>
          <w:color w:val="000000"/>
          <w:sz w:val="24"/>
          <w:szCs w:val="24"/>
          <w:lang w:eastAsia="cs-CZ"/>
        </w:rPr>
        <w:t>harmonizuje podmínky, za kterých mohou být tyto údaje vyžadovány</w:t>
      </w:r>
      <w:r w:rsidR="008A2AAD">
        <w:rPr>
          <w:rFonts w:ascii="Times New Roman" w:eastAsia="Times New Roman" w:hAnsi="Times New Roman" w:cs="Times New Roman"/>
          <w:color w:val="000000"/>
          <w:sz w:val="24"/>
          <w:szCs w:val="24"/>
          <w:lang w:eastAsia="cs-CZ"/>
        </w:rPr>
        <w:t xml:space="preserve"> a stanoví jednotný způsob komunikace mezi orgány a poskytovateli služeb prostřednictvím informačního systému, který </w:t>
      </w:r>
      <w:r w:rsidR="008D78E5">
        <w:rPr>
          <w:rFonts w:ascii="Times New Roman" w:eastAsia="Times New Roman" w:hAnsi="Times New Roman" w:cs="Times New Roman"/>
          <w:color w:val="000000"/>
          <w:sz w:val="24"/>
          <w:szCs w:val="24"/>
          <w:lang w:eastAsia="cs-CZ"/>
        </w:rPr>
        <w:t xml:space="preserve">bude povinně </w:t>
      </w:r>
      <w:r w:rsidR="008A2AAD">
        <w:rPr>
          <w:rFonts w:ascii="Times New Roman" w:eastAsia="Times New Roman" w:hAnsi="Times New Roman" w:cs="Times New Roman"/>
          <w:color w:val="000000"/>
          <w:sz w:val="24"/>
          <w:szCs w:val="24"/>
          <w:lang w:eastAsia="cs-CZ"/>
        </w:rPr>
        <w:t>využív</w:t>
      </w:r>
      <w:r w:rsidR="008D78E5">
        <w:rPr>
          <w:rFonts w:ascii="Times New Roman" w:eastAsia="Times New Roman" w:hAnsi="Times New Roman" w:cs="Times New Roman"/>
          <w:color w:val="000000"/>
          <w:sz w:val="24"/>
          <w:szCs w:val="24"/>
          <w:lang w:eastAsia="cs-CZ"/>
        </w:rPr>
        <w:t>án</w:t>
      </w:r>
      <w:r w:rsidR="00BA3492">
        <w:rPr>
          <w:rFonts w:ascii="Times New Roman" w:eastAsia="Times New Roman" w:hAnsi="Times New Roman" w:cs="Times New Roman"/>
          <w:color w:val="000000"/>
          <w:sz w:val="24"/>
          <w:szCs w:val="24"/>
          <w:lang w:eastAsia="cs-CZ"/>
        </w:rPr>
        <w:t xml:space="preserve">. </w:t>
      </w:r>
    </w:p>
    <w:p w14:paraId="37EB73DE" w14:textId="77777777" w:rsidR="008B1963" w:rsidRPr="004A7032" w:rsidRDefault="008B1963" w:rsidP="00A1611D">
      <w:pPr>
        <w:spacing w:before="120" w:after="0" w:line="240" w:lineRule="auto"/>
        <w:jc w:val="both"/>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color w:val="000000"/>
          <w:sz w:val="24"/>
          <w:szCs w:val="24"/>
          <w:lang w:eastAsia="cs-CZ"/>
        </w:rPr>
        <w:t>V souvislosti s implementací směrnice o digitalizaci justiční spolupráce navržená úprava nezasahuje do práv a povinností fyzických a právnických osob, neboť se pouze upravuje způsob komunikace mezi příslušnými justičními orgány a ústředními orgány při přeshraniční spolupráci s orgány jiných členských států EU.</w:t>
      </w:r>
    </w:p>
    <w:p w14:paraId="37923A08" w14:textId="77777777" w:rsidR="00744F15" w:rsidRDefault="00744F15" w:rsidP="00A1611D">
      <w:pPr>
        <w:spacing w:before="120" w:after="0" w:line="240" w:lineRule="auto"/>
        <w:jc w:val="both"/>
        <w:rPr>
          <w:rFonts w:ascii="Times New Roman" w:eastAsia="Calibri" w:hAnsi="Times New Roman" w:cs="Times New Roman"/>
          <w:b/>
          <w:sz w:val="24"/>
          <w:szCs w:val="24"/>
        </w:rPr>
      </w:pPr>
    </w:p>
    <w:p w14:paraId="1E8B9A23" w14:textId="5DC05BE5" w:rsidR="007B61F0" w:rsidRPr="00BE0F58" w:rsidRDefault="007B61F0" w:rsidP="00A1611D">
      <w:pPr>
        <w:spacing w:before="120" w:after="0" w:line="240" w:lineRule="auto"/>
        <w:jc w:val="both"/>
        <w:rPr>
          <w:rFonts w:ascii="Times New Roman" w:eastAsia="Calibri" w:hAnsi="Times New Roman" w:cs="Times New Roman"/>
          <w:b/>
          <w:sz w:val="24"/>
          <w:szCs w:val="24"/>
        </w:rPr>
      </w:pPr>
      <w:r w:rsidRPr="00BE0F58">
        <w:rPr>
          <w:rFonts w:ascii="Times New Roman" w:eastAsia="Calibri" w:hAnsi="Times New Roman" w:cs="Times New Roman"/>
          <w:b/>
          <w:sz w:val="24"/>
          <w:szCs w:val="24"/>
        </w:rPr>
        <w:t>Zhodnocení dopadů stávající úpravy a navrhovaného řešení ve vztahu k zákazu diskriminace a ve vztahu k rovnosti mužů a žen</w:t>
      </w:r>
    </w:p>
    <w:p w14:paraId="6CA50049" w14:textId="523160E0" w:rsidR="007B61F0" w:rsidRPr="00BE0F58" w:rsidRDefault="007B61F0" w:rsidP="00A1611D">
      <w:pPr>
        <w:spacing w:before="120" w:after="0" w:line="240" w:lineRule="auto"/>
        <w:jc w:val="both"/>
        <w:rPr>
          <w:rFonts w:ascii="Times New Roman" w:eastAsia="Calibri" w:hAnsi="Times New Roman" w:cs="Times New Roman"/>
          <w:sz w:val="24"/>
          <w:szCs w:val="24"/>
        </w:rPr>
      </w:pPr>
      <w:r w:rsidRPr="00BE0F58">
        <w:rPr>
          <w:rFonts w:ascii="Times New Roman" w:eastAsia="Calibri" w:hAnsi="Times New Roman" w:cs="Times New Roman"/>
          <w:sz w:val="24"/>
          <w:szCs w:val="24"/>
        </w:rPr>
        <w:t xml:space="preserve">Stávající ani navrhovaná právní úprava nemá bezprostřední dopady na rovnost mužů a žen a nevede k diskriminaci jednoho z pohlaví, neboť nijak nerozlišuje, ani nezvýhodňuje jedno z pohlaví a nestanoví pro ně odlišné podmínky. </w:t>
      </w:r>
    </w:p>
    <w:p w14:paraId="3B0D9BC5" w14:textId="77777777" w:rsidR="00BB7DD7" w:rsidRPr="00BE0F58" w:rsidRDefault="00BB7DD7" w:rsidP="00A1611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p>
    <w:p w14:paraId="549A991F" w14:textId="4B5E5C13" w:rsidR="007B61F0" w:rsidRPr="00BE0F58" w:rsidRDefault="007B61F0" w:rsidP="00A1611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r w:rsidRPr="00BE0F58">
        <w:rPr>
          <w:rFonts w:ascii="Times New Roman" w:eastAsia="Calibri" w:hAnsi="Times New Roman" w:cs="Times New Roman"/>
          <w:b/>
          <w:sz w:val="24"/>
          <w:szCs w:val="24"/>
          <w:lang w:eastAsia="cs-CZ"/>
        </w:rPr>
        <w:t>Zhodnocení dopadů navrhovaného řešení ve vztahu k ochraně soukromí a osobních údajů</w:t>
      </w:r>
    </w:p>
    <w:p w14:paraId="49F124A9" w14:textId="4879B369" w:rsidR="007B61F0" w:rsidRPr="00EF40BA" w:rsidRDefault="007B61F0" w:rsidP="00A1611D">
      <w:pPr>
        <w:tabs>
          <w:tab w:val="left" w:pos="426"/>
        </w:tabs>
        <w:spacing w:before="120" w:after="0" w:line="240" w:lineRule="auto"/>
        <w:jc w:val="both"/>
        <w:rPr>
          <w:rFonts w:ascii="Times New Roman" w:hAnsi="Times New Roman" w:cs="Times New Roman"/>
          <w:sz w:val="24"/>
          <w:szCs w:val="24"/>
        </w:rPr>
      </w:pPr>
      <w:r w:rsidRPr="00BE0F58">
        <w:rPr>
          <w:rFonts w:ascii="Times New Roman" w:hAnsi="Times New Roman" w:cs="Times New Roman"/>
          <w:bCs/>
          <w:sz w:val="24"/>
          <w:szCs w:val="24"/>
        </w:rPr>
        <w:t>Navrhovaná úprava není spojena s</w:t>
      </w:r>
      <w:r w:rsidR="00F223C7">
        <w:rPr>
          <w:rFonts w:ascii="Times New Roman" w:hAnsi="Times New Roman" w:cs="Times New Roman"/>
          <w:bCs/>
          <w:sz w:val="24"/>
          <w:szCs w:val="24"/>
        </w:rPr>
        <w:t> </w:t>
      </w:r>
      <w:r w:rsidRPr="00BE0F58">
        <w:rPr>
          <w:rFonts w:ascii="Times New Roman" w:hAnsi="Times New Roman" w:cs="Times New Roman"/>
          <w:bCs/>
          <w:sz w:val="24"/>
          <w:szCs w:val="24"/>
        </w:rPr>
        <w:t>rozšířením okruhu dat zpracovávaných orgány činnými v trestním řízen</w:t>
      </w:r>
      <w:r w:rsidR="00F223C7">
        <w:rPr>
          <w:rFonts w:ascii="Times New Roman" w:hAnsi="Times New Roman" w:cs="Times New Roman"/>
          <w:bCs/>
          <w:sz w:val="24"/>
          <w:szCs w:val="24"/>
        </w:rPr>
        <w:t>í a</w:t>
      </w:r>
      <w:r w:rsidRPr="00BE0F58">
        <w:rPr>
          <w:rFonts w:ascii="Times New Roman" w:hAnsi="Times New Roman" w:cs="Times New Roman"/>
          <w:bCs/>
          <w:sz w:val="24"/>
          <w:szCs w:val="24"/>
        </w:rPr>
        <w:t xml:space="preserve"> nepřináší žádný nový druh zpracování osobních údajů. </w:t>
      </w:r>
      <w:r w:rsidR="00744F15">
        <w:rPr>
          <w:rFonts w:ascii="Times New Roman" w:hAnsi="Times New Roman" w:cs="Times New Roman"/>
          <w:bCs/>
          <w:sz w:val="24"/>
          <w:szCs w:val="24"/>
        </w:rPr>
        <w:t xml:space="preserve">Předmětné kategorie údajů podle </w:t>
      </w:r>
      <w:r w:rsidR="002E0407">
        <w:rPr>
          <w:rFonts w:ascii="Times New Roman" w:hAnsi="Times New Roman" w:cs="Times New Roman"/>
          <w:bCs/>
          <w:sz w:val="24"/>
          <w:szCs w:val="24"/>
        </w:rPr>
        <w:t>n</w:t>
      </w:r>
      <w:r w:rsidR="00744F15">
        <w:rPr>
          <w:rFonts w:ascii="Times New Roman" w:hAnsi="Times New Roman" w:cs="Times New Roman"/>
          <w:bCs/>
          <w:sz w:val="24"/>
          <w:szCs w:val="24"/>
        </w:rPr>
        <w:t>ařízení již mohou orgány činné v trestním řízení vyžadovat podle stávající právní úpravy.</w:t>
      </w:r>
      <w:r w:rsidR="00F223C7">
        <w:rPr>
          <w:rFonts w:ascii="Times New Roman" w:hAnsi="Times New Roman" w:cs="Times New Roman"/>
          <w:bCs/>
          <w:sz w:val="24"/>
          <w:szCs w:val="24"/>
        </w:rPr>
        <w:t xml:space="preserve"> </w:t>
      </w:r>
    </w:p>
    <w:p w14:paraId="43183E89" w14:textId="7699670C" w:rsidR="007B61F0" w:rsidRPr="00BE0F58" w:rsidRDefault="007B61F0" w:rsidP="00A1611D">
      <w:pPr>
        <w:spacing w:before="120" w:after="0" w:line="240" w:lineRule="auto"/>
        <w:jc w:val="both"/>
        <w:rPr>
          <w:rFonts w:ascii="Times New Roman" w:hAnsi="Times New Roman" w:cs="Times New Roman"/>
          <w:sz w:val="24"/>
          <w:szCs w:val="24"/>
        </w:rPr>
      </w:pPr>
      <w:r w:rsidRPr="00BE0F58">
        <w:rPr>
          <w:rFonts w:ascii="Times New Roman" w:hAnsi="Times New Roman" w:cs="Times New Roman"/>
          <w:bCs/>
          <w:sz w:val="24"/>
          <w:szCs w:val="24"/>
        </w:rPr>
        <w:t xml:space="preserve">Orgány činné v trestním řízení zpracovávají osobní údaje osob zúčastněných na řízení v rozsahu nezbytném pro dané řízení, jehož smyslem je objasnit, zda byl spáchán trestný čin, a zjistit jeho pachatele. Zpracování osobních údajů v rozsahu nezbytném pro vedení trestního řízení je nezbytné a přiměřené sledovanému cíli, což vyplývá ze zásady přiměřenosti, kterou jsou orgány činné v trestním řízení vázány (§ 2 odst. 4 tr. ř.). Ve vztahu k mladistvým pachatelům je pak povinnost chránit jejich osobní údaje ještě zdůrazněna v základní zásadě uvedené v § 3 odst. 5 zákona o soudnictví ve věcech mládeže, podle níž je třeba v řízení podle tohoto zákona chránit osobní údaje osoby, proti níž se řízení vede, a její soukromí, aby každá taková osoba byla chráněna před škodlivými vlivy, a při dodržení zásady, že je považována za nevinnou, dokud její vina nebyla prokázána zákonným způsobem. </w:t>
      </w:r>
    </w:p>
    <w:p w14:paraId="1423F121" w14:textId="77777777" w:rsidR="007B61F0" w:rsidRPr="00BE0F58" w:rsidRDefault="007B61F0" w:rsidP="00A1611D">
      <w:pPr>
        <w:spacing w:before="120" w:after="0" w:line="240" w:lineRule="auto"/>
        <w:jc w:val="both"/>
        <w:rPr>
          <w:rFonts w:ascii="Times New Roman" w:hAnsi="Times New Roman" w:cs="Times New Roman"/>
          <w:bCs/>
          <w:sz w:val="24"/>
          <w:szCs w:val="24"/>
        </w:rPr>
      </w:pPr>
      <w:r w:rsidRPr="00BE0F58">
        <w:rPr>
          <w:rFonts w:ascii="Times New Roman" w:hAnsi="Times New Roman" w:cs="Times New Roman"/>
          <w:sz w:val="24"/>
          <w:szCs w:val="24"/>
        </w:rPr>
        <w:t>Navrhovaná právní úprava je v souladu se směrnicí Evropského parlamentu</w:t>
      </w:r>
      <w:r w:rsidRPr="00BE0F58">
        <w:rPr>
          <w:rFonts w:ascii="Times New Roman" w:hAnsi="Times New Roman" w:cs="Times New Roman"/>
          <w:bCs/>
          <w:sz w:val="24"/>
          <w:szCs w:val="24"/>
        </w:rPr>
        <w:t xml:space="preserve"> a Rady (EU) 2016/680 ze dne 27. dubna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 </w:t>
      </w:r>
    </w:p>
    <w:p w14:paraId="41E62CEB" w14:textId="4B6C91DB" w:rsidR="007B61F0" w:rsidRPr="00BE0F58" w:rsidRDefault="00EF40BA" w:rsidP="00A1611D">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7B61F0" w:rsidRPr="00BE0F58">
        <w:rPr>
          <w:rFonts w:ascii="Times New Roman" w:eastAsia="Times New Roman" w:hAnsi="Times New Roman" w:cs="Times New Roman"/>
          <w:sz w:val="24"/>
          <w:szCs w:val="24"/>
        </w:rPr>
        <w:t>výšené dopady na problematiku ochrany soukromí a osobních údajů se nepředpokládají. Orgány činné v trestním řízení budou postupovat podle dosavadních procesních pravidel, která jim již nyní umožňují v zákonem stanovených případech v nezbytném rozsahu zasahovat do soukromí osob a pro potřeby příslušného řízení nakládat s jejich osobními údaji.</w:t>
      </w:r>
    </w:p>
    <w:p w14:paraId="36561A79" w14:textId="77777777" w:rsidR="007B61F0" w:rsidRPr="00BE0F58" w:rsidRDefault="007B61F0" w:rsidP="00A1611D">
      <w:pPr>
        <w:spacing w:before="120" w:after="0" w:line="240" w:lineRule="auto"/>
        <w:jc w:val="both"/>
        <w:rPr>
          <w:rFonts w:ascii="Times New Roman" w:eastAsia="Calibri" w:hAnsi="Times New Roman" w:cs="Times New Roman"/>
          <w:b/>
          <w:sz w:val="24"/>
          <w:szCs w:val="24"/>
        </w:rPr>
      </w:pPr>
    </w:p>
    <w:p w14:paraId="20426B67" w14:textId="77777777" w:rsidR="007B61F0" w:rsidRPr="00BE0F58" w:rsidRDefault="007B61F0" w:rsidP="00A1611D">
      <w:pPr>
        <w:spacing w:before="120" w:after="0" w:line="240" w:lineRule="auto"/>
        <w:jc w:val="both"/>
        <w:rPr>
          <w:rFonts w:ascii="Times New Roman" w:eastAsia="Calibri" w:hAnsi="Times New Roman" w:cs="Times New Roman"/>
          <w:b/>
          <w:sz w:val="24"/>
          <w:szCs w:val="24"/>
        </w:rPr>
      </w:pPr>
      <w:r w:rsidRPr="00BE0F58">
        <w:rPr>
          <w:rFonts w:ascii="Times New Roman" w:eastAsia="Calibri" w:hAnsi="Times New Roman" w:cs="Times New Roman"/>
          <w:b/>
          <w:sz w:val="24"/>
          <w:szCs w:val="24"/>
        </w:rPr>
        <w:t>Zhodnocení korupčních rizik</w:t>
      </w:r>
    </w:p>
    <w:p w14:paraId="2F1F00EC" w14:textId="77777777" w:rsidR="007B61F0" w:rsidRPr="00BE0F58" w:rsidRDefault="007B61F0" w:rsidP="00A1611D">
      <w:pPr>
        <w:spacing w:before="120" w:after="0" w:line="240" w:lineRule="auto"/>
        <w:jc w:val="both"/>
        <w:rPr>
          <w:rFonts w:ascii="Times New Roman" w:eastAsia="Calibri" w:hAnsi="Times New Roman" w:cs="Times New Roman"/>
          <w:bCs/>
          <w:sz w:val="24"/>
          <w:szCs w:val="24"/>
        </w:rPr>
      </w:pPr>
      <w:r w:rsidRPr="00BE0F58">
        <w:rPr>
          <w:rFonts w:ascii="Times New Roman" w:eastAsia="Calibri" w:hAnsi="Times New Roman" w:cs="Times New Roman"/>
          <w:bCs/>
          <w:sz w:val="24"/>
          <w:szCs w:val="24"/>
        </w:rPr>
        <w:t xml:space="preserve">Navrhovaná právní úprava není spojena s vyššími korupčními riziky, než kterým čelí státní orgány obecně již dnes. Korupční riziko pro ně tak není nové, je přítomno i při aplikaci stávající účinné právní úpravy. Prostředky ochrany proti tomuto riziku jsou tudíž obsaženy již ve stávající právní úpravě. Předně jsou to zákonné požadavky a postupy při výběru osoby státního zástupce a soudce, u nichž jsou kladeny zvýšené nároky na jejich morální integritu a osobnostní záruky. Dále jsou to pak určité mechanismy kontroly, jež v přípravném řízení spočívají zejména ve výkonu dozoru státního zástupce nad zákonností postupu policejního orgánu a ve výkonu dohledu vyššího státního zastupitelství nad nižším státním zastupitelstvím (a případně dohledu nad dohledem) </w:t>
      </w:r>
      <w:r w:rsidRPr="00BE0F58">
        <w:rPr>
          <w:rFonts w:ascii="Times New Roman" w:eastAsia="Calibri" w:hAnsi="Times New Roman" w:cs="Times New Roman"/>
          <w:bCs/>
          <w:sz w:val="24"/>
          <w:szCs w:val="24"/>
          <w:lang w:eastAsia="cs-CZ"/>
        </w:rPr>
        <w:t xml:space="preserve">a v soudní fázi řízení </w:t>
      </w:r>
      <w:r w:rsidRPr="00BE0F58">
        <w:rPr>
          <w:rFonts w:ascii="Times New Roman" w:eastAsia="Calibri" w:hAnsi="Times New Roman" w:cs="Times New Roman"/>
          <w:bCs/>
          <w:sz w:val="24"/>
          <w:szCs w:val="24"/>
        </w:rPr>
        <w:t>pak v systému řádných a mimořádných opravných prostředků.</w:t>
      </w:r>
    </w:p>
    <w:p w14:paraId="5373218B" w14:textId="77777777" w:rsidR="007B61F0" w:rsidRPr="00BE0F58" w:rsidRDefault="007B61F0" w:rsidP="00A1611D">
      <w:pPr>
        <w:spacing w:before="120" w:after="0" w:line="240" w:lineRule="auto"/>
        <w:jc w:val="both"/>
        <w:rPr>
          <w:rFonts w:ascii="Times New Roman" w:eastAsia="Calibri" w:hAnsi="Times New Roman" w:cs="Times New Roman"/>
          <w:bCs/>
          <w:sz w:val="24"/>
          <w:szCs w:val="24"/>
        </w:rPr>
      </w:pPr>
      <w:r w:rsidRPr="00BE0F58">
        <w:rPr>
          <w:rFonts w:ascii="Times New Roman" w:eastAsia="Calibri" w:hAnsi="Times New Roman" w:cs="Times New Roman"/>
          <w:bCs/>
          <w:sz w:val="24"/>
          <w:szCs w:val="24"/>
        </w:rPr>
        <w:t>Kromě těchto procesních pojistek se čelí tomuto riziku i hrozbou trestního stíhání toho, kdo úplatek nabídl, poskytl nebo slíbil, jakož i toho, kdo si dal úplatek slíbit nebo jej přijal. Je-li pachatelem trestného činu přijetí úplatku úřední osoba, jde o okolnost podmiňující použití vyšší trestní sazby, kde hrozí trest odnětí svobody ve výši tři léta až deset let (v případě, kdy byl tento trestný čin spáchán v úmyslu opatřit sobě nebo jinému značný prospěch, je dána trestní sazba pět až dvanáct let). V případě podplacení je rovněž skutečnost, že byl tento trestný čin spáchán vůči úřední osobě, okolností podmiňující použití vyšší trestní sazby (pachateli v tomto případě hrozí podle § 332 odst. 2 tr. zák. trest odnětí svobody ve výši jeden rok až šest let).</w:t>
      </w:r>
    </w:p>
    <w:p w14:paraId="75440BA4" w14:textId="77777777" w:rsidR="009504BC" w:rsidRDefault="009504BC" w:rsidP="00A1611D">
      <w:pPr>
        <w:spacing w:before="120" w:after="0" w:line="240" w:lineRule="auto"/>
        <w:jc w:val="both"/>
        <w:rPr>
          <w:rFonts w:ascii="Times New Roman" w:eastAsia="Calibri" w:hAnsi="Times New Roman" w:cs="Times New Roman"/>
          <w:b/>
          <w:sz w:val="24"/>
          <w:szCs w:val="24"/>
        </w:rPr>
      </w:pPr>
    </w:p>
    <w:p w14:paraId="1C221A70" w14:textId="503751A5" w:rsidR="007B61F0" w:rsidRPr="00BE0F58" w:rsidRDefault="007B61F0" w:rsidP="00A1611D">
      <w:pPr>
        <w:spacing w:before="120" w:after="0" w:line="240" w:lineRule="auto"/>
        <w:jc w:val="both"/>
        <w:rPr>
          <w:rFonts w:ascii="Times New Roman" w:eastAsia="Calibri" w:hAnsi="Times New Roman" w:cs="Times New Roman"/>
          <w:b/>
          <w:sz w:val="24"/>
          <w:szCs w:val="24"/>
        </w:rPr>
      </w:pPr>
      <w:r w:rsidRPr="00BE0F58">
        <w:rPr>
          <w:rFonts w:ascii="Times New Roman" w:eastAsia="Calibri" w:hAnsi="Times New Roman" w:cs="Times New Roman"/>
          <w:b/>
          <w:sz w:val="24"/>
          <w:szCs w:val="24"/>
        </w:rPr>
        <w:t>Zhodnocení dopadů na bezpečnost nebo obranu státu</w:t>
      </w:r>
    </w:p>
    <w:p w14:paraId="7642C136" w14:textId="2E39D06D" w:rsidR="002254D8" w:rsidRPr="00BE0F58" w:rsidRDefault="002254D8" w:rsidP="00A1611D">
      <w:pPr>
        <w:spacing w:before="120" w:after="0" w:line="240" w:lineRule="auto"/>
        <w:jc w:val="both"/>
        <w:rPr>
          <w:rFonts w:ascii="Times New Roman" w:eastAsia="Calibri" w:hAnsi="Times New Roman" w:cs="Times New Roman"/>
          <w:bCs/>
          <w:sz w:val="24"/>
          <w:szCs w:val="24"/>
        </w:rPr>
      </w:pPr>
      <w:r w:rsidRPr="00BE0F58">
        <w:rPr>
          <w:rFonts w:ascii="Times New Roman" w:eastAsia="Calibri" w:hAnsi="Times New Roman" w:cs="Times New Roman"/>
          <w:bCs/>
          <w:sz w:val="24"/>
          <w:szCs w:val="24"/>
        </w:rPr>
        <w:t>N</w:t>
      </w:r>
      <w:r w:rsidR="007E2086" w:rsidRPr="00BE0F58">
        <w:rPr>
          <w:rFonts w:ascii="Times New Roman" w:eastAsia="Calibri" w:hAnsi="Times New Roman" w:cs="Times New Roman"/>
          <w:bCs/>
          <w:sz w:val="24"/>
          <w:szCs w:val="24"/>
        </w:rPr>
        <w:t>avrhovaná právní úprava</w:t>
      </w:r>
      <w:r w:rsidRPr="00BE0F58">
        <w:rPr>
          <w:rFonts w:ascii="Times New Roman" w:eastAsia="Calibri" w:hAnsi="Times New Roman" w:cs="Times New Roman"/>
          <w:bCs/>
          <w:sz w:val="24"/>
          <w:szCs w:val="24"/>
        </w:rPr>
        <w:t xml:space="preserve"> </w:t>
      </w:r>
      <w:r w:rsidR="007E2086" w:rsidRPr="00BE0F58">
        <w:rPr>
          <w:rFonts w:ascii="Times New Roman" w:eastAsia="Calibri" w:hAnsi="Times New Roman" w:cs="Times New Roman"/>
          <w:bCs/>
          <w:sz w:val="24"/>
          <w:szCs w:val="24"/>
        </w:rPr>
        <w:t xml:space="preserve">nemá </w:t>
      </w:r>
      <w:r w:rsidRPr="00BE0F58">
        <w:rPr>
          <w:rFonts w:ascii="Times New Roman" w:eastAsia="Calibri" w:hAnsi="Times New Roman" w:cs="Times New Roman"/>
          <w:bCs/>
          <w:sz w:val="24"/>
          <w:szCs w:val="24"/>
        </w:rPr>
        <w:t>dopady na bezpečnost státu</w:t>
      </w:r>
      <w:r w:rsidR="007E2086" w:rsidRPr="00BE0F58">
        <w:rPr>
          <w:rFonts w:ascii="Times New Roman" w:eastAsia="Calibri" w:hAnsi="Times New Roman" w:cs="Times New Roman"/>
          <w:bCs/>
          <w:sz w:val="24"/>
          <w:szCs w:val="24"/>
        </w:rPr>
        <w:t>.</w:t>
      </w:r>
    </w:p>
    <w:p w14:paraId="023308A5" w14:textId="77777777" w:rsidR="00824B9E" w:rsidRPr="00BE0F58" w:rsidRDefault="00824B9E" w:rsidP="00A1611D">
      <w:pPr>
        <w:spacing w:before="120" w:after="0" w:line="240" w:lineRule="auto"/>
        <w:jc w:val="both"/>
        <w:rPr>
          <w:rFonts w:ascii="Times New Roman" w:eastAsia="Calibri" w:hAnsi="Times New Roman" w:cs="Times New Roman"/>
          <w:b/>
          <w:bCs/>
          <w:sz w:val="24"/>
          <w:szCs w:val="24"/>
        </w:rPr>
      </w:pPr>
    </w:p>
    <w:p w14:paraId="32C1FDE6" w14:textId="721A9E2D" w:rsidR="007B61F0" w:rsidRPr="00BE0F58" w:rsidRDefault="007B61F0" w:rsidP="00A1611D">
      <w:pPr>
        <w:spacing w:before="120" w:after="0" w:line="240" w:lineRule="auto"/>
        <w:jc w:val="both"/>
        <w:rPr>
          <w:rFonts w:ascii="Times New Roman" w:eastAsia="Calibri" w:hAnsi="Times New Roman" w:cs="Times New Roman"/>
          <w:b/>
          <w:bCs/>
          <w:sz w:val="24"/>
          <w:szCs w:val="24"/>
        </w:rPr>
      </w:pPr>
      <w:r w:rsidRPr="00BE0F58">
        <w:rPr>
          <w:rFonts w:ascii="Times New Roman" w:eastAsia="Calibri" w:hAnsi="Times New Roman" w:cs="Times New Roman"/>
          <w:b/>
          <w:bCs/>
          <w:sz w:val="24"/>
          <w:szCs w:val="24"/>
        </w:rPr>
        <w:t xml:space="preserve">Zhodnocení dopadů na životní prostředí </w:t>
      </w:r>
    </w:p>
    <w:p w14:paraId="573634A0" w14:textId="6ED2DFAB" w:rsidR="007B61F0" w:rsidRPr="00BE0F58" w:rsidRDefault="007B61F0" w:rsidP="00A1611D">
      <w:pPr>
        <w:spacing w:before="120" w:after="0" w:line="240" w:lineRule="auto"/>
        <w:jc w:val="both"/>
        <w:rPr>
          <w:rFonts w:ascii="Times New Roman" w:eastAsia="Calibri" w:hAnsi="Times New Roman" w:cs="Times New Roman"/>
          <w:sz w:val="24"/>
          <w:szCs w:val="24"/>
        </w:rPr>
      </w:pPr>
      <w:r w:rsidRPr="00BE0F58">
        <w:rPr>
          <w:rFonts w:ascii="Times New Roman" w:eastAsia="Calibri" w:hAnsi="Times New Roman" w:cs="Times New Roman"/>
          <w:sz w:val="24"/>
          <w:szCs w:val="24"/>
        </w:rPr>
        <w:t xml:space="preserve">Navrhovaná </w:t>
      </w:r>
      <w:r w:rsidR="007E2086" w:rsidRPr="00BE0F58">
        <w:rPr>
          <w:rFonts w:ascii="Times New Roman" w:eastAsia="Calibri" w:hAnsi="Times New Roman" w:cs="Times New Roman"/>
          <w:sz w:val="24"/>
          <w:szCs w:val="24"/>
        </w:rPr>
        <w:t xml:space="preserve">právní </w:t>
      </w:r>
      <w:r w:rsidRPr="00BE0F58">
        <w:rPr>
          <w:rFonts w:ascii="Times New Roman" w:eastAsia="Calibri" w:hAnsi="Times New Roman" w:cs="Times New Roman"/>
          <w:sz w:val="24"/>
          <w:szCs w:val="24"/>
        </w:rPr>
        <w:t xml:space="preserve">úprava není spojena s dopady na životní prostředí. </w:t>
      </w:r>
    </w:p>
    <w:p w14:paraId="6F7F7FD6" w14:textId="77777777" w:rsidR="007B44DD" w:rsidRPr="00BE0F58" w:rsidRDefault="007B44DD" w:rsidP="00A1611D">
      <w:pPr>
        <w:spacing w:before="120" w:after="0" w:line="240" w:lineRule="auto"/>
        <w:jc w:val="both"/>
        <w:rPr>
          <w:rFonts w:ascii="Times New Roman" w:eastAsia="Calibri" w:hAnsi="Times New Roman" w:cs="Times New Roman"/>
          <w:b/>
          <w:sz w:val="24"/>
          <w:szCs w:val="24"/>
          <w:lang w:eastAsia="cs-CZ"/>
        </w:rPr>
      </w:pPr>
    </w:p>
    <w:p w14:paraId="37B21D98" w14:textId="11EDEBE6" w:rsidR="007B61F0" w:rsidRPr="00BE0F58" w:rsidRDefault="007B61F0" w:rsidP="00A1611D">
      <w:pPr>
        <w:spacing w:before="120" w:after="0" w:line="240" w:lineRule="auto"/>
        <w:jc w:val="both"/>
        <w:rPr>
          <w:rFonts w:ascii="Times New Roman" w:eastAsia="Calibri" w:hAnsi="Times New Roman" w:cs="Times New Roman"/>
          <w:b/>
          <w:sz w:val="24"/>
          <w:szCs w:val="24"/>
          <w:lang w:eastAsia="cs-CZ"/>
        </w:rPr>
      </w:pPr>
      <w:r w:rsidRPr="00BE0F58">
        <w:rPr>
          <w:rFonts w:ascii="Times New Roman" w:eastAsia="Calibri" w:hAnsi="Times New Roman" w:cs="Times New Roman"/>
          <w:b/>
          <w:sz w:val="24"/>
          <w:szCs w:val="24"/>
          <w:lang w:eastAsia="cs-CZ"/>
        </w:rPr>
        <w:t>Zhodnocení územních dopadů, včetně dopadů na územní samosprávné celky</w:t>
      </w:r>
    </w:p>
    <w:p w14:paraId="472627F6" w14:textId="77777777" w:rsidR="007B61F0" w:rsidRPr="00BE0F58" w:rsidRDefault="007B61F0" w:rsidP="00A1611D">
      <w:pPr>
        <w:spacing w:before="120" w:after="0" w:line="240" w:lineRule="auto"/>
        <w:jc w:val="both"/>
        <w:rPr>
          <w:rFonts w:ascii="Times New Roman" w:eastAsia="Calibri" w:hAnsi="Times New Roman" w:cs="Times New Roman"/>
          <w:sz w:val="24"/>
          <w:szCs w:val="24"/>
        </w:rPr>
      </w:pPr>
      <w:r w:rsidRPr="00BE0F58">
        <w:rPr>
          <w:rFonts w:ascii="Times New Roman" w:eastAsia="Calibri" w:hAnsi="Times New Roman" w:cs="Times New Roman"/>
          <w:sz w:val="24"/>
          <w:szCs w:val="24"/>
        </w:rPr>
        <w:t>Navrhovaná právní úprava se nedotýká postavení územních samosprávných celků a nepřináší územní dopady.</w:t>
      </w:r>
    </w:p>
    <w:p w14:paraId="1DD7D6BF" w14:textId="77777777" w:rsidR="007B61F0" w:rsidRPr="00BE0F58" w:rsidRDefault="007B61F0" w:rsidP="00A1611D">
      <w:pPr>
        <w:spacing w:before="120" w:after="0" w:line="240" w:lineRule="auto"/>
        <w:jc w:val="both"/>
        <w:rPr>
          <w:rFonts w:ascii="Times New Roman" w:eastAsia="Calibri" w:hAnsi="Times New Roman" w:cs="Times New Roman"/>
          <w:b/>
          <w:sz w:val="24"/>
          <w:szCs w:val="24"/>
          <w:lang w:eastAsia="cs-CZ"/>
        </w:rPr>
      </w:pPr>
    </w:p>
    <w:p w14:paraId="7C5610B6" w14:textId="77777777" w:rsidR="007B61F0" w:rsidRPr="00BE0F58" w:rsidRDefault="007B61F0" w:rsidP="00A1611D">
      <w:pPr>
        <w:spacing w:before="120" w:after="0" w:line="240" w:lineRule="auto"/>
        <w:jc w:val="both"/>
        <w:rPr>
          <w:rFonts w:ascii="Times New Roman" w:eastAsia="Calibri" w:hAnsi="Times New Roman" w:cs="Times New Roman"/>
          <w:b/>
          <w:sz w:val="24"/>
          <w:szCs w:val="24"/>
          <w:lang w:eastAsia="cs-CZ"/>
        </w:rPr>
      </w:pPr>
      <w:r w:rsidRPr="00BE0F58">
        <w:rPr>
          <w:rFonts w:ascii="Times New Roman" w:eastAsia="Calibri" w:hAnsi="Times New Roman" w:cs="Times New Roman"/>
          <w:b/>
          <w:sz w:val="24"/>
          <w:szCs w:val="24"/>
          <w:lang w:eastAsia="cs-CZ"/>
        </w:rPr>
        <w:t>Zhodnocení souladu navrhovaného řešení se zásadami tvorby digitálně přívětivé legislativy, včetně zhodnocení rizika vyloučení nebo omezení možnosti přístupu specifických skupin osob k některým službám v důsledku digitalizace jejich poskytování (digitální vyloučení)</w:t>
      </w:r>
    </w:p>
    <w:p w14:paraId="0CCC0038" w14:textId="319A175B" w:rsidR="007B61F0" w:rsidRDefault="007B61F0" w:rsidP="00A1611D">
      <w:pPr>
        <w:spacing w:before="120" w:after="0" w:line="240" w:lineRule="auto"/>
        <w:jc w:val="both"/>
        <w:rPr>
          <w:rFonts w:ascii="Times New Roman" w:eastAsia="Calibri" w:hAnsi="Times New Roman" w:cs="Times New Roman"/>
          <w:sz w:val="24"/>
          <w:szCs w:val="24"/>
        </w:rPr>
      </w:pPr>
      <w:r w:rsidRPr="00BE0F58">
        <w:rPr>
          <w:rFonts w:ascii="Times New Roman" w:eastAsia="Calibri" w:hAnsi="Times New Roman" w:cs="Times New Roman"/>
          <w:sz w:val="24"/>
          <w:szCs w:val="24"/>
        </w:rPr>
        <w:t>Navrhovaná právní úprava neupravuje poskytování služeb</w:t>
      </w:r>
      <w:r w:rsidR="0011539B">
        <w:rPr>
          <w:rFonts w:ascii="Times New Roman" w:eastAsia="Calibri" w:hAnsi="Times New Roman" w:cs="Times New Roman"/>
          <w:sz w:val="24"/>
          <w:szCs w:val="24"/>
        </w:rPr>
        <w:t xml:space="preserve"> konkrétním osobám jako takové</w:t>
      </w:r>
      <w:r w:rsidRPr="00BE0F58">
        <w:rPr>
          <w:rFonts w:ascii="Times New Roman" w:eastAsia="Calibri" w:hAnsi="Times New Roman" w:cs="Times New Roman"/>
          <w:sz w:val="24"/>
          <w:szCs w:val="24"/>
        </w:rPr>
        <w:t xml:space="preserve">, </w:t>
      </w:r>
      <w:r w:rsidR="0011539B">
        <w:rPr>
          <w:rFonts w:ascii="Times New Roman" w:eastAsia="Calibri" w:hAnsi="Times New Roman" w:cs="Times New Roman"/>
          <w:sz w:val="24"/>
          <w:szCs w:val="24"/>
        </w:rPr>
        <w:t xml:space="preserve">upravuje pouze </w:t>
      </w:r>
      <w:r w:rsidR="0024039A">
        <w:rPr>
          <w:rFonts w:ascii="Times New Roman" w:eastAsia="Calibri" w:hAnsi="Times New Roman" w:cs="Times New Roman"/>
          <w:sz w:val="24"/>
          <w:szCs w:val="24"/>
        </w:rPr>
        <w:t xml:space="preserve">způsob komunikace a </w:t>
      </w:r>
      <w:r w:rsidR="0011539B">
        <w:rPr>
          <w:rFonts w:ascii="Times New Roman" w:eastAsia="Calibri" w:hAnsi="Times New Roman" w:cs="Times New Roman"/>
          <w:sz w:val="24"/>
          <w:szCs w:val="24"/>
        </w:rPr>
        <w:t>spolupráci mezi orgány činnými v trestním řízení a</w:t>
      </w:r>
      <w:r w:rsidR="008D78E5">
        <w:rPr>
          <w:rFonts w:ascii="Times New Roman" w:eastAsia="Calibri" w:hAnsi="Times New Roman" w:cs="Times New Roman"/>
          <w:sz w:val="24"/>
          <w:szCs w:val="24"/>
        </w:rPr>
        <w:t> </w:t>
      </w:r>
      <w:r w:rsidR="0011539B">
        <w:rPr>
          <w:rFonts w:ascii="Times New Roman" w:eastAsia="Calibri" w:hAnsi="Times New Roman" w:cs="Times New Roman"/>
          <w:sz w:val="24"/>
          <w:szCs w:val="24"/>
        </w:rPr>
        <w:t>poskytovateli služeb při uchování a vydání údajů, které slouží k důkazním účelům v trestním řízení</w:t>
      </w:r>
      <w:r w:rsidR="0024039A">
        <w:rPr>
          <w:rFonts w:ascii="Times New Roman" w:eastAsia="Calibri" w:hAnsi="Times New Roman" w:cs="Times New Roman"/>
          <w:sz w:val="24"/>
          <w:szCs w:val="24"/>
        </w:rPr>
        <w:t>, a dále způsob komunikace mezi justičními a ústředními orgány České republiky a orgány jiných členských států EU při přeshraniční spolupráci ve věcech trestních</w:t>
      </w:r>
      <w:r w:rsidR="0011539B">
        <w:rPr>
          <w:rFonts w:ascii="Times New Roman" w:eastAsia="Calibri" w:hAnsi="Times New Roman" w:cs="Times New Roman"/>
          <w:sz w:val="24"/>
          <w:szCs w:val="24"/>
        </w:rPr>
        <w:t xml:space="preserve">. Navrhovaná právní úprava tedy </w:t>
      </w:r>
      <w:r w:rsidRPr="00BE0F58">
        <w:rPr>
          <w:rFonts w:ascii="Times New Roman" w:eastAsia="Calibri" w:hAnsi="Times New Roman" w:cs="Times New Roman"/>
          <w:sz w:val="24"/>
          <w:szCs w:val="24"/>
        </w:rPr>
        <w:t>nesouvisí přímo s digitalizací služeb a nemá negativní dopady na možnosti přístupu specifických skupin osob k nim.</w:t>
      </w:r>
    </w:p>
    <w:p w14:paraId="4C1B69AB" w14:textId="5F36E290" w:rsidR="0011539B" w:rsidRPr="00BE0F58" w:rsidRDefault="0011539B" w:rsidP="00A1611D">
      <w:pPr>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Na okraj lze uvést, že navrhovaná právní úprava přispívá k digitalizaci tím, že se předpokládá, že </w:t>
      </w:r>
      <w:r w:rsidR="0024039A">
        <w:rPr>
          <w:rFonts w:ascii="Times New Roman" w:eastAsia="Calibri" w:hAnsi="Times New Roman" w:cs="Times New Roman"/>
          <w:sz w:val="24"/>
          <w:szCs w:val="24"/>
        </w:rPr>
        <w:t xml:space="preserve">jak </w:t>
      </w:r>
      <w:r>
        <w:rPr>
          <w:rFonts w:ascii="Times New Roman" w:eastAsia="Calibri" w:hAnsi="Times New Roman" w:cs="Times New Roman"/>
          <w:sz w:val="24"/>
          <w:szCs w:val="24"/>
        </w:rPr>
        <w:t>orgány činné v trestním řízení a poskytovatelé služeb</w:t>
      </w:r>
      <w:r w:rsidR="0024039A">
        <w:rPr>
          <w:rFonts w:ascii="Times New Roman" w:eastAsia="Calibri" w:hAnsi="Times New Roman" w:cs="Times New Roman"/>
          <w:sz w:val="24"/>
          <w:szCs w:val="24"/>
        </w:rPr>
        <w:t xml:space="preserve">, tak i justiční a ústřední orgány </w:t>
      </w:r>
      <w:r>
        <w:rPr>
          <w:rFonts w:ascii="Times New Roman" w:eastAsia="Calibri" w:hAnsi="Times New Roman" w:cs="Times New Roman"/>
          <w:sz w:val="24"/>
          <w:szCs w:val="24"/>
        </w:rPr>
        <w:t xml:space="preserve">budou při </w:t>
      </w:r>
      <w:r w:rsidR="0018096E">
        <w:rPr>
          <w:rFonts w:ascii="Times New Roman" w:eastAsia="Calibri" w:hAnsi="Times New Roman" w:cs="Times New Roman"/>
          <w:sz w:val="24"/>
          <w:szCs w:val="24"/>
        </w:rPr>
        <w:t xml:space="preserve">přeshraniční </w:t>
      </w:r>
      <w:r>
        <w:rPr>
          <w:rFonts w:ascii="Times New Roman" w:eastAsia="Calibri" w:hAnsi="Times New Roman" w:cs="Times New Roman"/>
          <w:sz w:val="24"/>
          <w:szCs w:val="24"/>
        </w:rPr>
        <w:t xml:space="preserve">komunikaci užívat jednotný zabezpečený decentralizovaný informační systém, tj. komunikace bude probíhat </w:t>
      </w:r>
      <w:r w:rsidR="0024039A">
        <w:rPr>
          <w:rFonts w:ascii="Times New Roman" w:eastAsia="Calibri" w:hAnsi="Times New Roman" w:cs="Times New Roman"/>
          <w:sz w:val="24"/>
          <w:szCs w:val="24"/>
        </w:rPr>
        <w:t xml:space="preserve">přednostně </w:t>
      </w:r>
      <w:r>
        <w:rPr>
          <w:rFonts w:ascii="Times New Roman" w:eastAsia="Calibri" w:hAnsi="Times New Roman" w:cs="Times New Roman"/>
          <w:sz w:val="24"/>
          <w:szCs w:val="24"/>
        </w:rPr>
        <w:t xml:space="preserve">s využitím elektronických prostředků. </w:t>
      </w:r>
    </w:p>
    <w:p w14:paraId="09311F9E" w14:textId="77777777" w:rsidR="007B61F0" w:rsidRDefault="007B61F0" w:rsidP="00A1611D">
      <w:pPr>
        <w:spacing w:before="120" w:after="0" w:line="240" w:lineRule="auto"/>
        <w:jc w:val="both"/>
        <w:rPr>
          <w:rFonts w:ascii="Times New Roman" w:hAnsi="Times New Roman" w:cs="Times New Roman"/>
          <w:sz w:val="24"/>
          <w:szCs w:val="24"/>
        </w:rPr>
      </w:pPr>
    </w:p>
    <w:p w14:paraId="31508817" w14:textId="1E38C06B" w:rsidR="00346B04" w:rsidRPr="00BE0F58" w:rsidRDefault="00C45536" w:rsidP="00A1611D">
      <w:pPr>
        <w:spacing w:before="120" w:after="0" w:line="240" w:lineRule="auto"/>
        <w:jc w:val="both"/>
        <w:rPr>
          <w:rFonts w:ascii="Times New Roman" w:hAnsi="Times New Roman" w:cs="Times New Roman"/>
          <w:b/>
          <w:sz w:val="24"/>
          <w:szCs w:val="24"/>
        </w:rPr>
      </w:pPr>
      <w:r w:rsidRPr="00BE0F58">
        <w:rPr>
          <w:rFonts w:ascii="Times New Roman" w:hAnsi="Times New Roman" w:cs="Times New Roman"/>
          <w:b/>
          <w:sz w:val="24"/>
          <w:szCs w:val="24"/>
        </w:rPr>
        <w:t>Z</w:t>
      </w:r>
      <w:r w:rsidR="00346B04" w:rsidRPr="00BE0F58">
        <w:rPr>
          <w:rFonts w:ascii="Times New Roman" w:hAnsi="Times New Roman" w:cs="Times New Roman"/>
          <w:b/>
          <w:sz w:val="24"/>
          <w:szCs w:val="24"/>
        </w:rPr>
        <w:t>hodnocení, zda návrh právního předpisu neobsahuje ustanovení, které by bylo svou povahou technickým předpisem podle právního předpisu upravujícího technické požadavky na výrobky, a informace o splnění oznamovací povinnosti podle tohoto právního předpisu</w:t>
      </w:r>
    </w:p>
    <w:p w14:paraId="19FA85E9" w14:textId="4F02D41D" w:rsidR="00C45536" w:rsidRPr="00BE0F58" w:rsidRDefault="00C45536" w:rsidP="00A1611D">
      <w:pPr>
        <w:spacing w:before="120" w:after="0" w:line="240" w:lineRule="auto"/>
        <w:jc w:val="both"/>
        <w:rPr>
          <w:rFonts w:ascii="Times New Roman" w:hAnsi="Times New Roman" w:cs="Times New Roman"/>
          <w:bCs/>
          <w:sz w:val="24"/>
          <w:szCs w:val="24"/>
        </w:rPr>
      </w:pPr>
      <w:r w:rsidRPr="00BE0F58">
        <w:rPr>
          <w:rFonts w:ascii="Times New Roman" w:hAnsi="Times New Roman" w:cs="Times New Roman"/>
          <w:bCs/>
          <w:sz w:val="24"/>
          <w:szCs w:val="24"/>
        </w:rPr>
        <w:t>Žádné ustanovení navržené právní úpravy nemá povahu technického předpisu.</w:t>
      </w:r>
    </w:p>
    <w:p w14:paraId="1E8CDD37" w14:textId="77777777" w:rsidR="00144904" w:rsidRDefault="00144904" w:rsidP="00A1611D">
      <w:pPr>
        <w:spacing w:before="120" w:after="0" w:line="240" w:lineRule="auto"/>
        <w:jc w:val="both"/>
        <w:rPr>
          <w:rFonts w:ascii="Times New Roman" w:hAnsi="Times New Roman" w:cs="Times New Roman"/>
          <w:b/>
          <w:sz w:val="24"/>
          <w:szCs w:val="24"/>
        </w:rPr>
      </w:pPr>
    </w:p>
    <w:p w14:paraId="21288AE4" w14:textId="7F0283F2" w:rsidR="00346B04" w:rsidRPr="00BE0F58" w:rsidRDefault="00C45536" w:rsidP="00A1611D">
      <w:pPr>
        <w:spacing w:before="120" w:after="0" w:line="240" w:lineRule="auto"/>
        <w:jc w:val="both"/>
        <w:rPr>
          <w:rFonts w:ascii="Times New Roman" w:hAnsi="Times New Roman" w:cs="Times New Roman"/>
          <w:b/>
          <w:sz w:val="24"/>
          <w:szCs w:val="24"/>
        </w:rPr>
      </w:pPr>
      <w:r w:rsidRPr="00BE0F58">
        <w:rPr>
          <w:rFonts w:ascii="Times New Roman" w:hAnsi="Times New Roman" w:cs="Times New Roman"/>
          <w:b/>
          <w:sz w:val="24"/>
          <w:szCs w:val="24"/>
        </w:rPr>
        <w:t>Z</w:t>
      </w:r>
      <w:r w:rsidR="00346B04" w:rsidRPr="00BE0F58">
        <w:rPr>
          <w:rFonts w:ascii="Times New Roman" w:hAnsi="Times New Roman" w:cs="Times New Roman"/>
          <w:b/>
          <w:sz w:val="24"/>
          <w:szCs w:val="24"/>
        </w:rPr>
        <w:t>hodnocení, zda návrhem právního předpisu není zakládána veřejná podpora</w:t>
      </w:r>
    </w:p>
    <w:p w14:paraId="09C22988" w14:textId="354614F1" w:rsidR="00C45536" w:rsidRPr="00BE0F58" w:rsidRDefault="0039559B" w:rsidP="00A1611D">
      <w:pPr>
        <w:spacing w:before="120" w:after="0" w:line="240" w:lineRule="auto"/>
        <w:jc w:val="both"/>
        <w:rPr>
          <w:rFonts w:ascii="Times New Roman" w:hAnsi="Times New Roman" w:cs="Times New Roman"/>
          <w:bCs/>
          <w:sz w:val="24"/>
          <w:szCs w:val="24"/>
        </w:rPr>
      </w:pPr>
      <w:r w:rsidRPr="00BE0F58">
        <w:rPr>
          <w:rFonts w:ascii="Times New Roman" w:hAnsi="Times New Roman" w:cs="Times New Roman"/>
          <w:bCs/>
          <w:sz w:val="24"/>
          <w:szCs w:val="24"/>
        </w:rPr>
        <w:t>Návrh zákona nezakládá veřejnou podporu.</w:t>
      </w:r>
    </w:p>
    <w:p w14:paraId="619532C7" w14:textId="77777777" w:rsidR="00824B9E" w:rsidRPr="00BE0F58" w:rsidRDefault="00824B9E" w:rsidP="00A1611D">
      <w:pPr>
        <w:spacing w:before="120" w:after="0" w:line="240" w:lineRule="auto"/>
        <w:jc w:val="both"/>
        <w:rPr>
          <w:rFonts w:ascii="Times New Roman" w:hAnsi="Times New Roman" w:cs="Times New Roman"/>
          <w:bCs/>
          <w:sz w:val="24"/>
          <w:szCs w:val="24"/>
        </w:rPr>
      </w:pPr>
    </w:p>
    <w:p w14:paraId="0F4B5D1A" w14:textId="77777777" w:rsidR="00295530" w:rsidRDefault="00295530" w:rsidP="00A1611D">
      <w:pPr>
        <w:rPr>
          <w:rFonts w:ascii="Times New Roman" w:hAnsi="Times New Roman" w:cs="Times New Roman"/>
          <w:b/>
          <w:sz w:val="24"/>
          <w:szCs w:val="24"/>
        </w:rPr>
      </w:pPr>
      <w:r>
        <w:rPr>
          <w:rFonts w:ascii="Times New Roman" w:hAnsi="Times New Roman" w:cs="Times New Roman"/>
          <w:b/>
          <w:sz w:val="24"/>
          <w:szCs w:val="24"/>
        </w:rPr>
        <w:br w:type="page"/>
      </w:r>
    </w:p>
    <w:p w14:paraId="6419C623" w14:textId="6ED8D409" w:rsidR="00824B9E" w:rsidRPr="00130D1D" w:rsidRDefault="00824B9E" w:rsidP="00A1611D">
      <w:pPr>
        <w:spacing w:before="120" w:after="0" w:line="240" w:lineRule="auto"/>
        <w:jc w:val="center"/>
        <w:rPr>
          <w:rFonts w:ascii="Times New Roman" w:hAnsi="Times New Roman" w:cs="Times New Roman"/>
          <w:b/>
          <w:spacing w:val="34"/>
          <w:sz w:val="24"/>
          <w:szCs w:val="24"/>
        </w:rPr>
      </w:pPr>
      <w:r w:rsidRPr="00130D1D">
        <w:rPr>
          <w:rFonts w:ascii="Times New Roman" w:hAnsi="Times New Roman" w:cs="Times New Roman"/>
          <w:b/>
          <w:spacing w:val="34"/>
          <w:sz w:val="24"/>
          <w:szCs w:val="24"/>
        </w:rPr>
        <w:lastRenderedPageBreak/>
        <w:t>Zvláštní část</w:t>
      </w:r>
    </w:p>
    <w:p w14:paraId="45A1DCD8" w14:textId="4A2E7141" w:rsidR="00346B04" w:rsidRPr="00BE0F58" w:rsidRDefault="00346B04" w:rsidP="00A1611D">
      <w:pPr>
        <w:spacing w:before="120" w:after="0" w:line="240" w:lineRule="auto"/>
        <w:jc w:val="both"/>
        <w:rPr>
          <w:rFonts w:ascii="Times New Roman" w:hAnsi="Times New Roman" w:cs="Times New Roman"/>
          <w:b/>
          <w:sz w:val="24"/>
          <w:szCs w:val="24"/>
        </w:rPr>
      </w:pPr>
    </w:p>
    <w:p w14:paraId="7354088B" w14:textId="031C020E" w:rsidR="00D03347" w:rsidRPr="00BE0F58" w:rsidRDefault="00D03347" w:rsidP="00A1611D">
      <w:pPr>
        <w:spacing w:before="120" w:after="0" w:line="240" w:lineRule="auto"/>
        <w:jc w:val="both"/>
        <w:rPr>
          <w:rFonts w:ascii="Times New Roman" w:hAnsi="Times New Roman" w:cs="Times New Roman"/>
          <w:b/>
          <w:sz w:val="24"/>
          <w:szCs w:val="24"/>
        </w:rPr>
      </w:pPr>
      <w:r w:rsidRPr="00BE0F58">
        <w:rPr>
          <w:rFonts w:ascii="Times New Roman" w:hAnsi="Times New Roman" w:cs="Times New Roman"/>
          <w:b/>
          <w:sz w:val="24"/>
          <w:szCs w:val="24"/>
        </w:rPr>
        <w:t>K</w:t>
      </w:r>
      <w:r w:rsidR="00D208C5">
        <w:rPr>
          <w:rFonts w:ascii="Times New Roman" w:hAnsi="Times New Roman" w:cs="Times New Roman"/>
          <w:b/>
          <w:sz w:val="24"/>
          <w:szCs w:val="24"/>
        </w:rPr>
        <w:t> bod</w:t>
      </w:r>
      <w:r w:rsidR="00130D1D">
        <w:rPr>
          <w:rFonts w:ascii="Times New Roman" w:hAnsi="Times New Roman" w:cs="Times New Roman"/>
          <w:b/>
          <w:sz w:val="24"/>
          <w:szCs w:val="24"/>
        </w:rPr>
        <w:t>ům</w:t>
      </w:r>
      <w:r w:rsidR="00D208C5">
        <w:rPr>
          <w:rFonts w:ascii="Times New Roman" w:hAnsi="Times New Roman" w:cs="Times New Roman"/>
          <w:b/>
          <w:sz w:val="24"/>
          <w:szCs w:val="24"/>
        </w:rPr>
        <w:t xml:space="preserve"> 1 </w:t>
      </w:r>
      <w:r w:rsidR="00130D1D">
        <w:rPr>
          <w:rFonts w:ascii="Times New Roman" w:hAnsi="Times New Roman" w:cs="Times New Roman"/>
          <w:b/>
          <w:sz w:val="24"/>
          <w:szCs w:val="24"/>
        </w:rPr>
        <w:t xml:space="preserve">a 2 </w:t>
      </w:r>
      <w:r w:rsidR="00D208C5">
        <w:rPr>
          <w:rFonts w:ascii="Times New Roman" w:hAnsi="Times New Roman" w:cs="Times New Roman"/>
          <w:b/>
          <w:sz w:val="24"/>
          <w:szCs w:val="24"/>
        </w:rPr>
        <w:t>(poznámk</w:t>
      </w:r>
      <w:r w:rsidR="00130D1D">
        <w:rPr>
          <w:rFonts w:ascii="Times New Roman" w:hAnsi="Times New Roman" w:cs="Times New Roman"/>
          <w:b/>
          <w:sz w:val="24"/>
          <w:szCs w:val="24"/>
        </w:rPr>
        <w:t>y</w:t>
      </w:r>
      <w:r w:rsidR="00D208C5">
        <w:rPr>
          <w:rFonts w:ascii="Times New Roman" w:hAnsi="Times New Roman" w:cs="Times New Roman"/>
          <w:b/>
          <w:sz w:val="24"/>
          <w:szCs w:val="24"/>
        </w:rPr>
        <w:t xml:space="preserve"> pod čarou č. </w:t>
      </w:r>
      <w:r w:rsidR="00130D1D">
        <w:rPr>
          <w:rFonts w:ascii="Times New Roman" w:hAnsi="Times New Roman" w:cs="Times New Roman"/>
          <w:b/>
          <w:sz w:val="24"/>
          <w:szCs w:val="24"/>
        </w:rPr>
        <w:t xml:space="preserve">1 a </w:t>
      </w:r>
      <w:r w:rsidR="00D208C5">
        <w:rPr>
          <w:rFonts w:ascii="Times New Roman" w:hAnsi="Times New Roman" w:cs="Times New Roman"/>
          <w:b/>
          <w:sz w:val="24"/>
          <w:szCs w:val="24"/>
        </w:rPr>
        <w:t>53)</w:t>
      </w:r>
    </w:p>
    <w:p w14:paraId="0FE6CC21" w14:textId="64878A75" w:rsidR="009504BC" w:rsidRDefault="00D208C5"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Do výčtu předpisů EU, které jsou zapracovány do ZMJS, se doplňuje i </w:t>
      </w:r>
      <w:r w:rsidR="002E0407">
        <w:rPr>
          <w:rFonts w:ascii="Times New Roman" w:hAnsi="Times New Roman" w:cs="Times New Roman"/>
          <w:bCs/>
          <w:sz w:val="24"/>
          <w:szCs w:val="24"/>
        </w:rPr>
        <w:t>n</w:t>
      </w:r>
      <w:r>
        <w:rPr>
          <w:rFonts w:ascii="Times New Roman" w:hAnsi="Times New Roman" w:cs="Times New Roman"/>
          <w:bCs/>
          <w:sz w:val="24"/>
          <w:szCs w:val="24"/>
        </w:rPr>
        <w:t>ařízení</w:t>
      </w:r>
      <w:r w:rsidR="007229A0">
        <w:rPr>
          <w:rFonts w:ascii="Times New Roman" w:hAnsi="Times New Roman" w:cs="Times New Roman"/>
          <w:bCs/>
          <w:sz w:val="24"/>
          <w:szCs w:val="24"/>
        </w:rPr>
        <w:t xml:space="preserve"> a směrnice o</w:t>
      </w:r>
      <w:r w:rsidR="001A6904">
        <w:rPr>
          <w:rFonts w:ascii="Times New Roman" w:hAnsi="Times New Roman" w:cs="Times New Roman"/>
          <w:bCs/>
          <w:sz w:val="24"/>
          <w:szCs w:val="24"/>
        </w:rPr>
        <w:t> </w:t>
      </w:r>
      <w:r w:rsidR="007229A0">
        <w:rPr>
          <w:rFonts w:ascii="Times New Roman" w:hAnsi="Times New Roman" w:cs="Times New Roman"/>
          <w:bCs/>
          <w:sz w:val="24"/>
          <w:szCs w:val="24"/>
        </w:rPr>
        <w:t>digitalizaci justiční spolupráce</w:t>
      </w:r>
      <w:r>
        <w:rPr>
          <w:rFonts w:ascii="Times New Roman" w:hAnsi="Times New Roman" w:cs="Times New Roman"/>
          <w:bCs/>
          <w:sz w:val="24"/>
          <w:szCs w:val="24"/>
        </w:rPr>
        <w:t xml:space="preserve">. </w:t>
      </w:r>
    </w:p>
    <w:p w14:paraId="61C85B76" w14:textId="77777777" w:rsidR="008B6F5D" w:rsidRDefault="008B6F5D" w:rsidP="00A1611D">
      <w:pPr>
        <w:spacing w:before="120" w:after="0" w:line="240" w:lineRule="auto"/>
        <w:jc w:val="both"/>
        <w:rPr>
          <w:rFonts w:ascii="Times New Roman" w:hAnsi="Times New Roman" w:cs="Times New Roman"/>
          <w:b/>
          <w:sz w:val="24"/>
          <w:szCs w:val="24"/>
        </w:rPr>
      </w:pPr>
    </w:p>
    <w:p w14:paraId="7996A489" w14:textId="6E531D40" w:rsidR="00D208C5" w:rsidRDefault="00D208C5"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1A6904">
        <w:rPr>
          <w:rFonts w:ascii="Times New Roman" w:hAnsi="Times New Roman" w:cs="Times New Roman"/>
          <w:b/>
          <w:sz w:val="24"/>
          <w:szCs w:val="24"/>
        </w:rPr>
        <w:t xml:space="preserve">3 </w:t>
      </w:r>
      <w:r w:rsidR="009B0ACC">
        <w:rPr>
          <w:rFonts w:ascii="Times New Roman" w:hAnsi="Times New Roman" w:cs="Times New Roman"/>
          <w:b/>
          <w:sz w:val="24"/>
          <w:szCs w:val="24"/>
        </w:rPr>
        <w:t>(§ 65a odst. 1)</w:t>
      </w:r>
    </w:p>
    <w:p w14:paraId="56E29B0A" w14:textId="3A6A7F2B" w:rsidR="008B6F5D" w:rsidRDefault="00D208C5" w:rsidP="00A1611D">
      <w:pPr>
        <w:spacing w:before="120" w:after="0" w:line="240" w:lineRule="auto"/>
        <w:jc w:val="both"/>
        <w:rPr>
          <w:rFonts w:ascii="Times New Roman" w:hAnsi="Times New Roman" w:cs="Times New Roman"/>
          <w:bCs/>
          <w:sz w:val="24"/>
          <w:szCs w:val="24"/>
        </w:rPr>
      </w:pPr>
      <w:r w:rsidRPr="009716C3">
        <w:rPr>
          <w:rFonts w:ascii="Times New Roman" w:hAnsi="Times New Roman" w:cs="Times New Roman"/>
          <w:bCs/>
          <w:sz w:val="24"/>
          <w:szCs w:val="24"/>
        </w:rPr>
        <w:t xml:space="preserve">Vzhledem k tomu, že v návaznosti na </w:t>
      </w:r>
      <w:r w:rsidR="000A4116" w:rsidRPr="009716C3">
        <w:rPr>
          <w:rFonts w:ascii="Times New Roman" w:hAnsi="Times New Roman" w:cs="Times New Roman"/>
          <w:bCs/>
          <w:sz w:val="24"/>
          <w:szCs w:val="24"/>
        </w:rPr>
        <w:t xml:space="preserve">občas probíhající </w:t>
      </w:r>
      <w:r w:rsidRPr="009716C3">
        <w:rPr>
          <w:rFonts w:ascii="Times New Roman" w:hAnsi="Times New Roman" w:cs="Times New Roman"/>
          <w:bCs/>
          <w:sz w:val="24"/>
          <w:szCs w:val="24"/>
        </w:rPr>
        <w:t>reorganizac</w:t>
      </w:r>
      <w:r w:rsidR="000A4116" w:rsidRPr="009716C3">
        <w:rPr>
          <w:rFonts w:ascii="Times New Roman" w:hAnsi="Times New Roman" w:cs="Times New Roman"/>
          <w:bCs/>
          <w:sz w:val="24"/>
          <w:szCs w:val="24"/>
        </w:rPr>
        <w:t>e</w:t>
      </w:r>
      <w:r w:rsidRPr="009716C3">
        <w:rPr>
          <w:rFonts w:ascii="Times New Roman" w:hAnsi="Times New Roman" w:cs="Times New Roman"/>
          <w:bCs/>
          <w:sz w:val="24"/>
          <w:szCs w:val="24"/>
        </w:rPr>
        <w:t xml:space="preserve"> Policie Č</w:t>
      </w:r>
      <w:r w:rsidR="00027B8C" w:rsidRPr="009716C3">
        <w:rPr>
          <w:rFonts w:ascii="Times New Roman" w:hAnsi="Times New Roman" w:cs="Times New Roman"/>
          <w:bCs/>
          <w:sz w:val="24"/>
          <w:szCs w:val="24"/>
        </w:rPr>
        <w:t>eské republiky</w:t>
      </w:r>
      <w:r w:rsidRPr="009716C3">
        <w:rPr>
          <w:rFonts w:ascii="Times New Roman" w:hAnsi="Times New Roman" w:cs="Times New Roman"/>
          <w:bCs/>
          <w:sz w:val="24"/>
          <w:szCs w:val="24"/>
        </w:rPr>
        <w:t xml:space="preserve"> dochází ke změnám útvaru Policie </w:t>
      </w:r>
      <w:r w:rsidR="00027B8C" w:rsidRPr="009716C3">
        <w:rPr>
          <w:rFonts w:ascii="Times New Roman" w:hAnsi="Times New Roman" w:cs="Times New Roman"/>
          <w:bCs/>
          <w:sz w:val="24"/>
          <w:szCs w:val="24"/>
        </w:rPr>
        <w:t>České republiky</w:t>
      </w:r>
      <w:r w:rsidRPr="009716C3">
        <w:rPr>
          <w:rFonts w:ascii="Times New Roman" w:hAnsi="Times New Roman" w:cs="Times New Roman"/>
          <w:bCs/>
          <w:sz w:val="24"/>
          <w:szCs w:val="24"/>
        </w:rPr>
        <w:t xml:space="preserve">, který </w:t>
      </w:r>
      <w:r w:rsidR="001A6904" w:rsidRPr="009716C3">
        <w:rPr>
          <w:rFonts w:ascii="Times New Roman" w:hAnsi="Times New Roman" w:cs="Times New Roman"/>
          <w:bCs/>
          <w:sz w:val="24"/>
          <w:szCs w:val="24"/>
        </w:rPr>
        <w:t>plní roli</w:t>
      </w:r>
      <w:r w:rsidRPr="009716C3">
        <w:rPr>
          <w:rFonts w:ascii="Times New Roman" w:hAnsi="Times New Roman" w:cs="Times New Roman"/>
          <w:bCs/>
          <w:sz w:val="24"/>
          <w:szCs w:val="24"/>
        </w:rPr>
        <w:t xml:space="preserve"> kontaktní</w:t>
      </w:r>
      <w:r w:rsidR="001A6904" w:rsidRPr="009716C3">
        <w:rPr>
          <w:rFonts w:ascii="Times New Roman" w:hAnsi="Times New Roman" w:cs="Times New Roman"/>
          <w:bCs/>
          <w:sz w:val="24"/>
          <w:szCs w:val="24"/>
        </w:rPr>
        <w:t>ho</w:t>
      </w:r>
      <w:r w:rsidRPr="009716C3">
        <w:rPr>
          <w:rFonts w:ascii="Times New Roman" w:hAnsi="Times New Roman" w:cs="Times New Roman"/>
          <w:bCs/>
          <w:sz w:val="24"/>
          <w:szCs w:val="24"/>
        </w:rPr>
        <w:t xml:space="preserve"> míst</w:t>
      </w:r>
      <w:r w:rsidR="001A6904" w:rsidRPr="009716C3">
        <w:rPr>
          <w:rFonts w:ascii="Times New Roman" w:hAnsi="Times New Roman" w:cs="Times New Roman"/>
          <w:bCs/>
          <w:sz w:val="24"/>
          <w:szCs w:val="24"/>
        </w:rPr>
        <w:t>a</w:t>
      </w:r>
      <w:r w:rsidRPr="009716C3">
        <w:rPr>
          <w:rFonts w:ascii="Times New Roman" w:hAnsi="Times New Roman" w:cs="Times New Roman"/>
          <w:bCs/>
          <w:sz w:val="24"/>
          <w:szCs w:val="24"/>
        </w:rPr>
        <w:t xml:space="preserve"> pro účely uchovávání elektronických důkazů v rámci přeshraniční spolupráce, a na tyto změny je třeba pružně reagovat, navrhuje </w:t>
      </w:r>
      <w:r w:rsidR="001A6904" w:rsidRPr="009716C3">
        <w:rPr>
          <w:rFonts w:ascii="Times New Roman" w:hAnsi="Times New Roman" w:cs="Times New Roman"/>
          <w:bCs/>
          <w:sz w:val="24"/>
          <w:szCs w:val="24"/>
        </w:rPr>
        <w:t xml:space="preserve">se </w:t>
      </w:r>
      <w:r w:rsidRPr="009716C3">
        <w:rPr>
          <w:rFonts w:ascii="Times New Roman" w:hAnsi="Times New Roman" w:cs="Times New Roman"/>
          <w:bCs/>
          <w:sz w:val="24"/>
          <w:szCs w:val="24"/>
        </w:rPr>
        <w:t xml:space="preserve">nově </w:t>
      </w:r>
      <w:r w:rsidR="000904E1" w:rsidRPr="009716C3">
        <w:rPr>
          <w:rFonts w:ascii="Times New Roman" w:hAnsi="Times New Roman" w:cs="Times New Roman"/>
          <w:bCs/>
          <w:sz w:val="24"/>
          <w:szCs w:val="24"/>
        </w:rPr>
        <w:t xml:space="preserve">vymezit příslušný útvar </w:t>
      </w:r>
      <w:r w:rsidR="00307A19" w:rsidRPr="009716C3">
        <w:rPr>
          <w:rFonts w:ascii="Times New Roman" w:hAnsi="Times New Roman" w:cs="Times New Roman"/>
          <w:bCs/>
          <w:sz w:val="24"/>
          <w:szCs w:val="24"/>
        </w:rPr>
        <w:t xml:space="preserve">Policie </w:t>
      </w:r>
      <w:r w:rsidR="00027B8C" w:rsidRPr="009716C3">
        <w:rPr>
          <w:rFonts w:ascii="Times New Roman" w:hAnsi="Times New Roman" w:cs="Times New Roman"/>
          <w:bCs/>
          <w:sz w:val="24"/>
          <w:szCs w:val="24"/>
        </w:rPr>
        <w:t>České republiky</w:t>
      </w:r>
      <w:r w:rsidR="00027B8C" w:rsidRPr="009716C3" w:rsidDel="00027B8C">
        <w:rPr>
          <w:rFonts w:ascii="Times New Roman" w:hAnsi="Times New Roman" w:cs="Times New Roman"/>
          <w:bCs/>
          <w:sz w:val="24"/>
          <w:szCs w:val="24"/>
        </w:rPr>
        <w:t xml:space="preserve"> </w:t>
      </w:r>
      <w:r w:rsidR="000904E1" w:rsidRPr="009716C3">
        <w:rPr>
          <w:rFonts w:ascii="Times New Roman" w:hAnsi="Times New Roman" w:cs="Times New Roman"/>
          <w:bCs/>
          <w:sz w:val="24"/>
          <w:szCs w:val="24"/>
        </w:rPr>
        <w:t xml:space="preserve">jako útvar, který je výkonem této agendy pověřený policejním prezidentem. </w:t>
      </w:r>
      <w:r w:rsidR="003E2D91" w:rsidRPr="009716C3">
        <w:rPr>
          <w:rFonts w:ascii="Times New Roman" w:hAnsi="Times New Roman" w:cs="Times New Roman"/>
          <w:bCs/>
          <w:sz w:val="24"/>
          <w:szCs w:val="24"/>
        </w:rPr>
        <w:t xml:space="preserve">Tímto útvarem je aktuálně </w:t>
      </w:r>
      <w:r w:rsidR="003E2D91" w:rsidRPr="009716C3">
        <w:rPr>
          <w:rFonts w:ascii="Times New Roman" w:eastAsia="Times New Roman" w:hAnsi="Times New Roman" w:cs="Times New Roman"/>
          <w:color w:val="333333"/>
          <w:kern w:val="36"/>
          <w:sz w:val="24"/>
          <w:szCs w:val="24"/>
          <w:lang w:eastAsia="cs-CZ"/>
        </w:rPr>
        <w:t>Národní centrála proti terorismu, extremismu a kybernetické kriminalitě SKPV.</w:t>
      </w:r>
      <w:r w:rsidR="009716C3" w:rsidRPr="009716C3">
        <w:rPr>
          <w:rFonts w:ascii="Times New Roman" w:eastAsia="Times New Roman" w:hAnsi="Times New Roman" w:cs="Times New Roman"/>
          <w:color w:val="333333"/>
          <w:kern w:val="36"/>
          <w:sz w:val="24"/>
          <w:szCs w:val="24"/>
          <w:lang w:eastAsia="cs-CZ"/>
        </w:rPr>
        <w:t xml:space="preserve"> Vnitrostátně došlo k jejímu vyčlenění </w:t>
      </w:r>
      <w:r w:rsidR="009716C3" w:rsidRPr="009716C3">
        <w:rPr>
          <w:rFonts w:ascii="Times New Roman" w:hAnsi="Times New Roman" w:cs="Times New Roman"/>
          <w:sz w:val="24"/>
          <w:szCs w:val="24"/>
        </w:rPr>
        <w:t xml:space="preserve">z Národní centrály proti organizovanému zločinu SKPV, která byla původním kontaktním bodem </w:t>
      </w:r>
      <w:r w:rsidR="009716C3">
        <w:rPr>
          <w:rFonts w:ascii="Times New Roman" w:hAnsi="Times New Roman" w:cs="Times New Roman"/>
          <w:sz w:val="24"/>
          <w:szCs w:val="24"/>
        </w:rPr>
        <w:t>pro účely Úmluvy o počítačové kriminalit</w:t>
      </w:r>
      <w:r w:rsidR="00F8105D">
        <w:rPr>
          <w:rFonts w:ascii="Times New Roman" w:hAnsi="Times New Roman" w:cs="Times New Roman"/>
          <w:sz w:val="24"/>
          <w:szCs w:val="24"/>
        </w:rPr>
        <w:t>ě (</w:t>
      </w:r>
      <w:r w:rsidR="009716C3">
        <w:rPr>
          <w:rFonts w:ascii="Times New Roman" w:hAnsi="Times New Roman" w:cs="Times New Roman"/>
          <w:sz w:val="24"/>
          <w:szCs w:val="24"/>
        </w:rPr>
        <w:t>tato změna zatím nebyla plně reflektována v prohlášení podle článku 35 Úmluvy o počítačové kriminalitě</w:t>
      </w:r>
      <w:r w:rsidR="00F8105D">
        <w:rPr>
          <w:rFonts w:ascii="Times New Roman" w:hAnsi="Times New Roman" w:cs="Times New Roman"/>
          <w:sz w:val="24"/>
          <w:szCs w:val="24"/>
        </w:rPr>
        <w:t>, nicméně sekretariát Úmluvy byl o změně vyrozuměn a v praxi je správný postup zajištěn)</w:t>
      </w:r>
      <w:r w:rsidR="009716C3">
        <w:rPr>
          <w:rFonts w:ascii="Times New Roman" w:hAnsi="Times New Roman" w:cs="Times New Roman"/>
          <w:sz w:val="24"/>
          <w:szCs w:val="24"/>
        </w:rPr>
        <w:t xml:space="preserve">.  </w:t>
      </w:r>
      <w:r w:rsidR="009716C3" w:rsidRPr="009716C3">
        <w:rPr>
          <w:rFonts w:ascii="Times New Roman" w:hAnsi="Times New Roman" w:cs="Times New Roman"/>
          <w:sz w:val="24"/>
          <w:szCs w:val="24"/>
        </w:rPr>
        <w:t xml:space="preserve"> </w:t>
      </w:r>
    </w:p>
    <w:p w14:paraId="2878A616" w14:textId="77777777" w:rsidR="009716C3" w:rsidRPr="009716C3" w:rsidRDefault="009716C3" w:rsidP="00A1611D">
      <w:pPr>
        <w:spacing w:before="120" w:after="0" w:line="240" w:lineRule="auto"/>
        <w:jc w:val="both"/>
        <w:rPr>
          <w:rFonts w:ascii="Times New Roman" w:hAnsi="Times New Roman" w:cs="Times New Roman"/>
          <w:bCs/>
          <w:sz w:val="24"/>
          <w:szCs w:val="24"/>
        </w:rPr>
      </w:pPr>
    </w:p>
    <w:p w14:paraId="7F22FBEB" w14:textId="48A0430B" w:rsidR="009E0989" w:rsidRDefault="009E0989"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bodům </w:t>
      </w:r>
      <w:r w:rsidR="001A6904">
        <w:rPr>
          <w:rFonts w:ascii="Times New Roman" w:hAnsi="Times New Roman" w:cs="Times New Roman"/>
          <w:b/>
          <w:sz w:val="24"/>
          <w:szCs w:val="24"/>
        </w:rPr>
        <w:t xml:space="preserve">4 </w:t>
      </w:r>
      <w:r>
        <w:rPr>
          <w:rFonts w:ascii="Times New Roman" w:hAnsi="Times New Roman" w:cs="Times New Roman"/>
          <w:b/>
          <w:sz w:val="24"/>
          <w:szCs w:val="24"/>
        </w:rPr>
        <w:t>až 1</w:t>
      </w:r>
      <w:r w:rsidR="001A6904">
        <w:rPr>
          <w:rFonts w:ascii="Times New Roman" w:hAnsi="Times New Roman" w:cs="Times New Roman"/>
          <w:b/>
          <w:sz w:val="24"/>
          <w:szCs w:val="24"/>
        </w:rPr>
        <w:t>7</w:t>
      </w:r>
      <w:r>
        <w:rPr>
          <w:rFonts w:ascii="Times New Roman" w:hAnsi="Times New Roman" w:cs="Times New Roman"/>
          <w:b/>
          <w:sz w:val="24"/>
          <w:szCs w:val="24"/>
        </w:rPr>
        <w:t xml:space="preserve"> (§ 189 odst. 3, § 226 odst. 3, § 256 odst. 4, § 260 odst. 3, § 261 odst. 3, §</w:t>
      </w:r>
      <w:r w:rsidR="001A6904">
        <w:rPr>
          <w:rFonts w:ascii="Times New Roman" w:hAnsi="Times New Roman" w:cs="Times New Roman"/>
          <w:b/>
          <w:sz w:val="24"/>
          <w:szCs w:val="24"/>
        </w:rPr>
        <w:t> </w:t>
      </w:r>
      <w:r>
        <w:rPr>
          <w:rFonts w:ascii="Times New Roman" w:hAnsi="Times New Roman" w:cs="Times New Roman"/>
          <w:b/>
          <w:sz w:val="24"/>
          <w:szCs w:val="24"/>
        </w:rPr>
        <w:t>273 odst. 4, § 278 odst. 5, § 292 odst. 3, § 298 odst. 3, § 314 odst. 3, § 323 odst. 6, §</w:t>
      </w:r>
      <w:r w:rsidR="001A6904">
        <w:rPr>
          <w:rFonts w:ascii="Times New Roman" w:hAnsi="Times New Roman" w:cs="Times New Roman"/>
          <w:b/>
          <w:sz w:val="24"/>
          <w:szCs w:val="24"/>
        </w:rPr>
        <w:t> </w:t>
      </w:r>
      <w:r>
        <w:rPr>
          <w:rFonts w:ascii="Times New Roman" w:hAnsi="Times New Roman" w:cs="Times New Roman"/>
          <w:b/>
          <w:sz w:val="24"/>
          <w:szCs w:val="24"/>
        </w:rPr>
        <w:t>336</w:t>
      </w:r>
      <w:r w:rsidR="001A6904">
        <w:rPr>
          <w:rFonts w:ascii="Times New Roman" w:hAnsi="Times New Roman" w:cs="Times New Roman"/>
          <w:b/>
          <w:sz w:val="24"/>
          <w:szCs w:val="24"/>
        </w:rPr>
        <w:t> </w:t>
      </w:r>
      <w:r>
        <w:rPr>
          <w:rFonts w:ascii="Times New Roman" w:hAnsi="Times New Roman" w:cs="Times New Roman"/>
          <w:b/>
          <w:sz w:val="24"/>
          <w:szCs w:val="24"/>
        </w:rPr>
        <w:t>odst.</w:t>
      </w:r>
      <w:r w:rsidR="001A6904">
        <w:rPr>
          <w:rFonts w:ascii="Times New Roman" w:hAnsi="Times New Roman" w:cs="Times New Roman"/>
          <w:b/>
          <w:sz w:val="24"/>
          <w:szCs w:val="24"/>
        </w:rPr>
        <w:t> </w:t>
      </w:r>
      <w:r>
        <w:rPr>
          <w:rFonts w:ascii="Times New Roman" w:hAnsi="Times New Roman" w:cs="Times New Roman"/>
          <w:b/>
          <w:sz w:val="24"/>
          <w:szCs w:val="24"/>
        </w:rPr>
        <w:t>5, § 340 odst. 3 a § 357 odst. 4)</w:t>
      </w:r>
    </w:p>
    <w:p w14:paraId="4B3E2A0C" w14:textId="1162A7B3" w:rsidR="00BD407C" w:rsidRDefault="00BD4285" w:rsidP="00A1611D">
      <w:pPr>
        <w:spacing w:before="120" w:after="0" w:line="240" w:lineRule="auto"/>
        <w:jc w:val="both"/>
        <w:rPr>
          <w:rFonts w:ascii="Times New Roman" w:hAnsi="Times New Roman" w:cs="Times New Roman"/>
          <w:sz w:val="24"/>
          <w:szCs w:val="24"/>
        </w:rPr>
      </w:pPr>
      <w:r w:rsidRPr="00BD4285">
        <w:rPr>
          <w:rFonts w:ascii="Times New Roman" w:hAnsi="Times New Roman" w:cs="Times New Roman"/>
          <w:bCs/>
          <w:sz w:val="24"/>
          <w:szCs w:val="24"/>
        </w:rPr>
        <w:t xml:space="preserve">Předmětná ustanovení implementují relevantní články </w:t>
      </w:r>
      <w:r>
        <w:rPr>
          <w:rFonts w:ascii="Times New Roman" w:hAnsi="Times New Roman" w:cs="Times New Roman"/>
          <w:bCs/>
          <w:sz w:val="24"/>
          <w:szCs w:val="24"/>
        </w:rPr>
        <w:t>směrnice o digitalizaci justiční spolupráce ve vztahu k jednotlivým druhům justiční spolupráce, konkrétně jde o předávací řízení na základě evropského zatýkacího rozkazu (</w:t>
      </w:r>
      <w:r w:rsidR="00BD407C" w:rsidRPr="00C221AC">
        <w:rPr>
          <w:rFonts w:ascii="Times New Roman" w:hAnsi="Times New Roman" w:cs="Times New Roman"/>
          <w:sz w:val="24"/>
          <w:szCs w:val="24"/>
        </w:rPr>
        <w:t xml:space="preserve">rámcové rozhodnutí </w:t>
      </w:r>
      <w:r>
        <w:rPr>
          <w:rFonts w:ascii="Times New Roman" w:hAnsi="Times New Roman" w:cs="Times New Roman"/>
          <w:sz w:val="24"/>
          <w:szCs w:val="24"/>
        </w:rPr>
        <w:t>2002/584/SVV), výkon příkazů k zajištění majetku se státy, které nejsou vázány nařízením 2018/1805 (</w:t>
      </w:r>
      <w:r w:rsidR="00BD407C" w:rsidRPr="00C221AC">
        <w:rPr>
          <w:rFonts w:ascii="Times New Roman" w:hAnsi="Times New Roman" w:cs="Times New Roman"/>
          <w:sz w:val="24"/>
          <w:szCs w:val="24"/>
        </w:rPr>
        <w:t>rámcové rozhodnutí 2003/577/SVV</w:t>
      </w:r>
      <w:r>
        <w:rPr>
          <w:rFonts w:ascii="Times New Roman" w:hAnsi="Times New Roman" w:cs="Times New Roman"/>
          <w:sz w:val="24"/>
          <w:szCs w:val="24"/>
        </w:rPr>
        <w:t xml:space="preserve">), </w:t>
      </w:r>
      <w:r w:rsidRPr="00C221AC">
        <w:rPr>
          <w:rFonts w:ascii="Times New Roman" w:hAnsi="Times New Roman" w:cs="Times New Roman"/>
          <w:sz w:val="24"/>
          <w:szCs w:val="24"/>
        </w:rPr>
        <w:t>uzn</w:t>
      </w:r>
      <w:r>
        <w:rPr>
          <w:rFonts w:ascii="Times New Roman" w:hAnsi="Times New Roman" w:cs="Times New Roman"/>
          <w:sz w:val="24"/>
          <w:szCs w:val="24"/>
        </w:rPr>
        <w:t xml:space="preserve">ání a výkon </w:t>
      </w:r>
      <w:r w:rsidR="00F86ED3">
        <w:rPr>
          <w:rFonts w:ascii="Times New Roman" w:hAnsi="Times New Roman" w:cs="Times New Roman"/>
          <w:sz w:val="24"/>
          <w:szCs w:val="24"/>
        </w:rPr>
        <w:t xml:space="preserve">opatření </w:t>
      </w:r>
      <w:r>
        <w:rPr>
          <w:rFonts w:ascii="Times New Roman" w:hAnsi="Times New Roman" w:cs="Times New Roman"/>
          <w:sz w:val="24"/>
          <w:szCs w:val="24"/>
        </w:rPr>
        <w:t xml:space="preserve">nahrazujících </w:t>
      </w:r>
      <w:r w:rsidRPr="00C221AC">
        <w:rPr>
          <w:rFonts w:ascii="Times New Roman" w:hAnsi="Times New Roman" w:cs="Times New Roman"/>
          <w:sz w:val="24"/>
          <w:szCs w:val="24"/>
        </w:rPr>
        <w:t>vazb</w:t>
      </w:r>
      <w:r>
        <w:rPr>
          <w:rFonts w:ascii="Times New Roman" w:hAnsi="Times New Roman" w:cs="Times New Roman"/>
          <w:sz w:val="24"/>
          <w:szCs w:val="24"/>
        </w:rPr>
        <w:t>u</w:t>
      </w:r>
      <w:r>
        <w:rPr>
          <w:rFonts w:ascii="Times New Roman" w:hAnsi="Times New Roman" w:cs="Times New Roman"/>
          <w:bCs/>
          <w:sz w:val="24"/>
          <w:szCs w:val="24"/>
        </w:rPr>
        <w:t xml:space="preserve"> (</w:t>
      </w:r>
      <w:r w:rsidR="00BD407C" w:rsidRPr="00C221AC">
        <w:rPr>
          <w:rFonts w:ascii="Times New Roman" w:hAnsi="Times New Roman" w:cs="Times New Roman"/>
          <w:sz w:val="24"/>
          <w:szCs w:val="24"/>
        </w:rPr>
        <w:t>rámcové rozhodnutí 2009/829/SVV</w:t>
      </w:r>
      <w:r>
        <w:rPr>
          <w:rFonts w:ascii="Times New Roman" w:hAnsi="Times New Roman" w:cs="Times New Roman"/>
          <w:sz w:val="24"/>
          <w:szCs w:val="24"/>
        </w:rPr>
        <w:t xml:space="preserve">), </w:t>
      </w:r>
      <w:r w:rsidR="00F86ED3">
        <w:rPr>
          <w:rFonts w:ascii="Times New Roman" w:hAnsi="Times New Roman" w:cs="Times New Roman"/>
          <w:sz w:val="24"/>
          <w:szCs w:val="24"/>
        </w:rPr>
        <w:t xml:space="preserve">postupy při řešení kompetenčních sporů </w:t>
      </w:r>
      <w:r w:rsidR="00F86ED3">
        <w:rPr>
          <w:rFonts w:ascii="Times New Roman" w:hAnsi="Times New Roman" w:cs="Times New Roman"/>
          <w:bCs/>
          <w:sz w:val="24"/>
          <w:szCs w:val="24"/>
        </w:rPr>
        <w:t>(</w:t>
      </w:r>
      <w:r w:rsidR="00BD407C" w:rsidRPr="00C221AC">
        <w:rPr>
          <w:rFonts w:ascii="Times New Roman" w:hAnsi="Times New Roman" w:cs="Times New Roman"/>
          <w:sz w:val="24"/>
          <w:szCs w:val="24"/>
        </w:rPr>
        <w:t>rámcové rozhodnutí 2009/948/SVV</w:t>
      </w:r>
      <w:r w:rsidR="00F86ED3">
        <w:rPr>
          <w:rFonts w:ascii="Times New Roman" w:hAnsi="Times New Roman" w:cs="Times New Roman"/>
          <w:sz w:val="24"/>
          <w:szCs w:val="24"/>
        </w:rPr>
        <w:t>), uznání a výkon rozhodnutí ukládajících peněžité tresty a pokuty (</w:t>
      </w:r>
      <w:r w:rsidR="00BD407C" w:rsidRPr="00C221AC">
        <w:rPr>
          <w:rFonts w:ascii="Times New Roman" w:hAnsi="Times New Roman" w:cs="Times New Roman"/>
          <w:sz w:val="24"/>
          <w:szCs w:val="24"/>
        </w:rPr>
        <w:t>rámcové rozhodnutí 2005/214/SVV</w:t>
      </w:r>
      <w:r w:rsidR="00F86ED3">
        <w:rPr>
          <w:rFonts w:ascii="Times New Roman" w:hAnsi="Times New Roman" w:cs="Times New Roman"/>
          <w:sz w:val="24"/>
          <w:szCs w:val="24"/>
        </w:rPr>
        <w:t xml:space="preserve">), </w:t>
      </w:r>
      <w:r w:rsidR="008874BD">
        <w:rPr>
          <w:rFonts w:ascii="Times New Roman" w:hAnsi="Times New Roman" w:cs="Times New Roman"/>
          <w:sz w:val="24"/>
          <w:szCs w:val="24"/>
        </w:rPr>
        <w:t>uznání a výkon rozhodnutí ukládajících propadnutí nebo zabrání majetku se státy, které nejsou vázány nařízením 2018/1805 (</w:t>
      </w:r>
      <w:r w:rsidR="00BD407C" w:rsidRPr="00C221AC">
        <w:rPr>
          <w:rFonts w:ascii="Times New Roman" w:hAnsi="Times New Roman" w:cs="Times New Roman"/>
          <w:sz w:val="24"/>
          <w:szCs w:val="24"/>
        </w:rPr>
        <w:t>rámcové rozhodnutí 2006/783/SVV</w:t>
      </w:r>
      <w:r w:rsidR="008874BD">
        <w:rPr>
          <w:rFonts w:ascii="Times New Roman" w:hAnsi="Times New Roman" w:cs="Times New Roman"/>
          <w:sz w:val="24"/>
          <w:szCs w:val="24"/>
        </w:rPr>
        <w:t xml:space="preserve">), uznání a výkon rozhodnutí ukládajících nepodmíněný trest odnětí svobody nebo ochranné opatření spojené se zbavením osobní svobody </w:t>
      </w:r>
      <w:r w:rsidR="008874BD">
        <w:rPr>
          <w:rFonts w:ascii="Times New Roman" w:hAnsi="Times New Roman" w:cs="Times New Roman"/>
          <w:bCs/>
          <w:sz w:val="24"/>
          <w:szCs w:val="24"/>
        </w:rPr>
        <w:t>(</w:t>
      </w:r>
      <w:r w:rsidR="00BD407C" w:rsidRPr="00C221AC">
        <w:rPr>
          <w:rFonts w:ascii="Times New Roman" w:hAnsi="Times New Roman" w:cs="Times New Roman"/>
          <w:sz w:val="24"/>
          <w:szCs w:val="24"/>
        </w:rPr>
        <w:t>rámcové rozhodnutí Rady 2008/909/SVV</w:t>
      </w:r>
      <w:r w:rsidR="008874BD">
        <w:rPr>
          <w:rFonts w:ascii="Times New Roman" w:hAnsi="Times New Roman" w:cs="Times New Roman"/>
          <w:sz w:val="24"/>
          <w:szCs w:val="24"/>
        </w:rPr>
        <w:t>), uznání a výkon rozhodnutí ukládajících trest nespojený se zbavením osobní svobody, dohled nebo přiměřená omezením a povinnosti (</w:t>
      </w:r>
      <w:r w:rsidR="00BD407C" w:rsidRPr="00C221AC">
        <w:rPr>
          <w:rFonts w:ascii="Times New Roman" w:hAnsi="Times New Roman" w:cs="Times New Roman"/>
          <w:sz w:val="24"/>
          <w:szCs w:val="24"/>
        </w:rPr>
        <w:t>rámcové rozhodnutí 2008/947/SVV</w:t>
      </w:r>
      <w:r w:rsidR="008874BD">
        <w:rPr>
          <w:rFonts w:ascii="Times New Roman" w:hAnsi="Times New Roman" w:cs="Times New Roman"/>
          <w:sz w:val="24"/>
          <w:szCs w:val="24"/>
        </w:rPr>
        <w:t>),</w:t>
      </w:r>
      <w:r w:rsidR="00BD407C" w:rsidRPr="00C221AC">
        <w:rPr>
          <w:rFonts w:ascii="Times New Roman" w:hAnsi="Times New Roman" w:cs="Times New Roman"/>
          <w:sz w:val="24"/>
          <w:szCs w:val="24"/>
        </w:rPr>
        <w:t xml:space="preserve"> </w:t>
      </w:r>
      <w:r w:rsidR="008874BD">
        <w:rPr>
          <w:rFonts w:ascii="Times New Roman" w:hAnsi="Times New Roman" w:cs="Times New Roman"/>
          <w:sz w:val="24"/>
          <w:szCs w:val="24"/>
        </w:rPr>
        <w:t>uznání evropského ochranného příkazu (</w:t>
      </w:r>
      <w:r w:rsidR="00BD407C" w:rsidRPr="00C221AC">
        <w:rPr>
          <w:rFonts w:ascii="Times New Roman" w:hAnsi="Times New Roman" w:cs="Times New Roman"/>
          <w:sz w:val="24"/>
          <w:szCs w:val="24"/>
        </w:rPr>
        <w:t>směrnice 2011/99/EU</w:t>
      </w:r>
      <w:r w:rsidR="008874BD">
        <w:rPr>
          <w:rFonts w:ascii="Times New Roman" w:hAnsi="Times New Roman" w:cs="Times New Roman"/>
          <w:sz w:val="24"/>
          <w:szCs w:val="24"/>
        </w:rPr>
        <w:t>) a zajištění výkonu evropského vyšetřovacího příkazu (</w:t>
      </w:r>
      <w:r w:rsidR="00BD407C" w:rsidRPr="00C221AC">
        <w:rPr>
          <w:rFonts w:ascii="Times New Roman" w:hAnsi="Times New Roman" w:cs="Times New Roman"/>
          <w:sz w:val="24"/>
          <w:szCs w:val="24"/>
        </w:rPr>
        <w:t>směrnice 2014/41/EU</w:t>
      </w:r>
      <w:r w:rsidR="008874BD">
        <w:rPr>
          <w:rFonts w:ascii="Times New Roman" w:hAnsi="Times New Roman" w:cs="Times New Roman"/>
          <w:sz w:val="24"/>
          <w:szCs w:val="24"/>
        </w:rPr>
        <w:t xml:space="preserve">). </w:t>
      </w:r>
    </w:p>
    <w:p w14:paraId="2BB2FBC5" w14:textId="4738E359" w:rsidR="001C0848" w:rsidRDefault="004F37A0"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U uvedených druhů justiční spolupráce se stanoví, že justiční orgány a ústřední orgány (Ministerstvo spravedlnosti a Nejvyšší státní zastupitelství, pokud plní úlohu ústředního orgánu) komunikují s příslušnými orgány jiného členského státu</w:t>
      </w:r>
      <w:r w:rsidR="00075D74">
        <w:rPr>
          <w:rFonts w:ascii="Times New Roman" w:hAnsi="Times New Roman" w:cs="Times New Roman"/>
          <w:sz w:val="24"/>
          <w:szCs w:val="24"/>
        </w:rPr>
        <w:t xml:space="preserve"> EU</w:t>
      </w:r>
      <w:r>
        <w:rPr>
          <w:rFonts w:ascii="Times New Roman" w:hAnsi="Times New Roman" w:cs="Times New Roman"/>
          <w:sz w:val="24"/>
          <w:szCs w:val="24"/>
        </w:rPr>
        <w:t xml:space="preserve"> (justičními orgány nebo jinými orgány označenými členským státem </w:t>
      </w:r>
      <w:r w:rsidR="00075D74">
        <w:rPr>
          <w:rFonts w:ascii="Times New Roman" w:hAnsi="Times New Roman" w:cs="Times New Roman"/>
          <w:sz w:val="24"/>
          <w:szCs w:val="24"/>
        </w:rPr>
        <w:t xml:space="preserve">EU </w:t>
      </w:r>
      <w:r>
        <w:rPr>
          <w:rFonts w:ascii="Times New Roman" w:hAnsi="Times New Roman" w:cs="Times New Roman"/>
          <w:sz w:val="24"/>
          <w:szCs w:val="24"/>
        </w:rPr>
        <w:t>jako příslušnými k justiční spolupráci a</w:t>
      </w:r>
      <w:r w:rsidR="001A6904">
        <w:rPr>
          <w:rFonts w:ascii="Times New Roman" w:hAnsi="Times New Roman" w:cs="Times New Roman"/>
          <w:sz w:val="24"/>
          <w:szCs w:val="24"/>
        </w:rPr>
        <w:t> </w:t>
      </w:r>
      <w:r>
        <w:rPr>
          <w:rFonts w:ascii="Times New Roman" w:hAnsi="Times New Roman" w:cs="Times New Roman"/>
          <w:sz w:val="24"/>
          <w:szCs w:val="24"/>
        </w:rPr>
        <w:t>ústředními orgány, pokud napomáhají justičním a jiným orgánům nebo se účastní doručování písemností v rámci justiční spolupráce) v souladu s článkem 3 nařízení o digitalizaci justiční spolupráce.</w:t>
      </w:r>
      <w:r w:rsidR="003311FB">
        <w:rPr>
          <w:rFonts w:ascii="Times New Roman" w:hAnsi="Times New Roman" w:cs="Times New Roman"/>
          <w:sz w:val="24"/>
          <w:szCs w:val="24"/>
        </w:rPr>
        <w:t xml:space="preserve"> Uvedený požadavek se </w:t>
      </w:r>
      <w:r w:rsidR="00FF4DD1">
        <w:rPr>
          <w:rFonts w:ascii="Times New Roman" w:hAnsi="Times New Roman" w:cs="Times New Roman"/>
          <w:sz w:val="24"/>
          <w:szCs w:val="24"/>
        </w:rPr>
        <w:t xml:space="preserve">tedy </w:t>
      </w:r>
      <w:r w:rsidR="003311FB">
        <w:rPr>
          <w:rFonts w:ascii="Times New Roman" w:hAnsi="Times New Roman" w:cs="Times New Roman"/>
          <w:sz w:val="24"/>
          <w:szCs w:val="24"/>
        </w:rPr>
        <w:t xml:space="preserve">netýká případů, kdy s jiným členským státem </w:t>
      </w:r>
      <w:r w:rsidR="0015133C">
        <w:rPr>
          <w:rFonts w:ascii="Times New Roman" w:hAnsi="Times New Roman" w:cs="Times New Roman"/>
          <w:sz w:val="24"/>
          <w:szCs w:val="24"/>
        </w:rPr>
        <w:t xml:space="preserve">EU </w:t>
      </w:r>
      <w:r w:rsidR="003311FB">
        <w:rPr>
          <w:rFonts w:ascii="Times New Roman" w:hAnsi="Times New Roman" w:cs="Times New Roman"/>
          <w:sz w:val="24"/>
          <w:szCs w:val="24"/>
        </w:rPr>
        <w:t>komunikuje jiný český orgán, který není v postavení justičního nebo ústředního orgánu – např.</w:t>
      </w:r>
      <w:r w:rsidR="001A6904">
        <w:rPr>
          <w:rFonts w:ascii="Times New Roman" w:hAnsi="Times New Roman" w:cs="Times New Roman"/>
          <w:sz w:val="24"/>
          <w:szCs w:val="24"/>
        </w:rPr>
        <w:t> </w:t>
      </w:r>
      <w:r w:rsidR="003311FB">
        <w:rPr>
          <w:rFonts w:ascii="Times New Roman" w:hAnsi="Times New Roman" w:cs="Times New Roman"/>
          <w:sz w:val="24"/>
          <w:szCs w:val="24"/>
        </w:rPr>
        <w:t xml:space="preserve">Ministerstvo financí při uzavírání dohody o sdílení propadlého nebo zabraného majetku, Úřad pro zastupování státu ve věcech majetkových při sdílení majetku s jiným členským státem </w:t>
      </w:r>
      <w:r w:rsidR="003311FB">
        <w:rPr>
          <w:rFonts w:ascii="Times New Roman" w:hAnsi="Times New Roman" w:cs="Times New Roman"/>
          <w:sz w:val="24"/>
          <w:szCs w:val="24"/>
        </w:rPr>
        <w:lastRenderedPageBreak/>
        <w:t>EU</w:t>
      </w:r>
      <w:r w:rsidR="0015133C">
        <w:rPr>
          <w:rFonts w:ascii="Times New Roman" w:hAnsi="Times New Roman" w:cs="Times New Roman"/>
          <w:sz w:val="24"/>
          <w:szCs w:val="24"/>
        </w:rPr>
        <w:t xml:space="preserve">, ale </w:t>
      </w:r>
      <w:r w:rsidR="001A6904">
        <w:rPr>
          <w:rFonts w:ascii="Times New Roman" w:hAnsi="Times New Roman" w:cs="Times New Roman"/>
          <w:sz w:val="24"/>
          <w:szCs w:val="24"/>
        </w:rPr>
        <w:t xml:space="preserve">třeba </w:t>
      </w:r>
      <w:r w:rsidR="0015133C">
        <w:rPr>
          <w:rFonts w:ascii="Times New Roman" w:hAnsi="Times New Roman" w:cs="Times New Roman"/>
          <w:sz w:val="24"/>
          <w:szCs w:val="24"/>
        </w:rPr>
        <w:t xml:space="preserve">i Ministerstvo spravedlnosti, pokud řeší regresní nároky nebo sdílí propadlé nebo zabrané peněžní prostředky nebo peněžní prostředky získané prodejem propadlého nebo zabraného majetku </w:t>
      </w:r>
      <w:r w:rsidR="001A6904">
        <w:rPr>
          <w:rFonts w:ascii="Times New Roman" w:hAnsi="Times New Roman" w:cs="Times New Roman"/>
          <w:sz w:val="24"/>
          <w:szCs w:val="24"/>
        </w:rPr>
        <w:t>s</w:t>
      </w:r>
      <w:r w:rsidR="0015133C">
        <w:rPr>
          <w:rFonts w:ascii="Times New Roman" w:hAnsi="Times New Roman" w:cs="Times New Roman"/>
          <w:sz w:val="24"/>
          <w:szCs w:val="24"/>
        </w:rPr>
        <w:t xml:space="preserve"> jiným členským státem EU.</w:t>
      </w:r>
    </w:p>
    <w:p w14:paraId="7860D486" w14:textId="57AB8B15" w:rsidR="00881242" w:rsidRDefault="00FF4DD1"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Č</w:t>
      </w:r>
      <w:r w:rsidR="00ED69F9">
        <w:rPr>
          <w:rFonts w:ascii="Times New Roman" w:hAnsi="Times New Roman" w:cs="Times New Roman"/>
          <w:sz w:val="24"/>
          <w:szCs w:val="24"/>
        </w:rPr>
        <w:t xml:space="preserve">lánek </w:t>
      </w:r>
      <w:r>
        <w:rPr>
          <w:rFonts w:ascii="Times New Roman" w:hAnsi="Times New Roman" w:cs="Times New Roman"/>
          <w:sz w:val="24"/>
          <w:szCs w:val="24"/>
        </w:rPr>
        <w:t xml:space="preserve">3 nařízení o digitalizaci justiční spolupráce </w:t>
      </w:r>
      <w:r w:rsidR="00ED69F9">
        <w:rPr>
          <w:rFonts w:ascii="Times New Roman" w:hAnsi="Times New Roman" w:cs="Times New Roman"/>
          <w:sz w:val="24"/>
          <w:szCs w:val="24"/>
        </w:rPr>
        <w:t xml:space="preserve">stanoví, že se pro vzájemnou písemnou komunikaci použije přednostně decentralizovaný informační systém. </w:t>
      </w:r>
      <w:r w:rsidR="00A34FA0" w:rsidRPr="00A34FA0">
        <w:rPr>
          <w:rFonts w:ascii="Times New Roman" w:hAnsi="Times New Roman" w:cs="Times New Roman"/>
          <w:color w:val="333333"/>
          <w:sz w:val="24"/>
          <w:szCs w:val="24"/>
          <w:shd w:val="clear" w:color="auto" w:fill="FFFFFF"/>
        </w:rPr>
        <w:t>Decentralizovaný informační systém by měl být vždy považován za nejvhodnější prostředek pro výměnu formulářů</w:t>
      </w:r>
      <w:r w:rsidR="00A34FA0">
        <w:rPr>
          <w:rFonts w:ascii="Times New Roman" w:hAnsi="Times New Roman" w:cs="Times New Roman"/>
          <w:color w:val="333333"/>
          <w:sz w:val="24"/>
          <w:szCs w:val="24"/>
          <w:shd w:val="clear" w:color="auto" w:fill="FFFFFF"/>
        </w:rPr>
        <w:t xml:space="preserve"> příkazů a osvědčení upravených v příslušných směrnicích a rámcových rozhodnutí (s výjimkou případu, </w:t>
      </w:r>
      <w:r w:rsidR="00A34FA0" w:rsidRPr="00A34FA0">
        <w:rPr>
          <w:rFonts w:ascii="Times New Roman" w:hAnsi="Times New Roman" w:cs="Times New Roman"/>
          <w:color w:val="333333"/>
          <w:sz w:val="24"/>
          <w:szCs w:val="24"/>
          <w:shd w:val="clear" w:color="auto" w:fill="FFFFFF"/>
        </w:rPr>
        <w:t xml:space="preserve">kdy se </w:t>
      </w:r>
      <w:r w:rsidR="00A34FA0">
        <w:rPr>
          <w:rFonts w:ascii="Times New Roman" w:hAnsi="Times New Roman" w:cs="Times New Roman"/>
          <w:color w:val="333333"/>
          <w:sz w:val="24"/>
          <w:szCs w:val="24"/>
          <w:shd w:val="clear" w:color="auto" w:fill="FFFFFF"/>
        </w:rPr>
        <w:t xml:space="preserve">zástupci </w:t>
      </w:r>
      <w:r w:rsidR="00A34FA0" w:rsidRPr="00A34FA0">
        <w:rPr>
          <w:rFonts w:ascii="Times New Roman" w:hAnsi="Times New Roman" w:cs="Times New Roman"/>
          <w:color w:val="333333"/>
          <w:sz w:val="24"/>
          <w:szCs w:val="24"/>
          <w:shd w:val="clear" w:color="auto" w:fill="FFFFFF"/>
        </w:rPr>
        <w:t>příslušn</w:t>
      </w:r>
      <w:r w:rsidR="00A34FA0">
        <w:rPr>
          <w:rFonts w:ascii="Times New Roman" w:hAnsi="Times New Roman" w:cs="Times New Roman"/>
          <w:color w:val="333333"/>
          <w:sz w:val="24"/>
          <w:szCs w:val="24"/>
          <w:shd w:val="clear" w:color="auto" w:fill="FFFFFF"/>
        </w:rPr>
        <w:t>ých</w:t>
      </w:r>
      <w:r w:rsidR="00A34FA0" w:rsidRPr="00A34FA0">
        <w:rPr>
          <w:rFonts w:ascii="Times New Roman" w:hAnsi="Times New Roman" w:cs="Times New Roman"/>
          <w:color w:val="333333"/>
          <w:sz w:val="24"/>
          <w:szCs w:val="24"/>
          <w:shd w:val="clear" w:color="auto" w:fill="FFFFFF"/>
        </w:rPr>
        <w:t xml:space="preserve"> orgán</w:t>
      </w:r>
      <w:r w:rsidR="00A34FA0">
        <w:rPr>
          <w:rFonts w:ascii="Times New Roman" w:hAnsi="Times New Roman" w:cs="Times New Roman"/>
          <w:color w:val="333333"/>
          <w:sz w:val="24"/>
          <w:szCs w:val="24"/>
          <w:shd w:val="clear" w:color="auto" w:fill="FFFFFF"/>
        </w:rPr>
        <w:t>ů</w:t>
      </w:r>
      <w:r w:rsidR="00A34FA0" w:rsidRPr="00A34FA0">
        <w:rPr>
          <w:rFonts w:ascii="Times New Roman" w:hAnsi="Times New Roman" w:cs="Times New Roman"/>
          <w:color w:val="333333"/>
          <w:sz w:val="24"/>
          <w:szCs w:val="24"/>
          <w:shd w:val="clear" w:color="auto" w:fill="FFFFFF"/>
        </w:rPr>
        <w:t xml:space="preserve"> členských států </w:t>
      </w:r>
      <w:r w:rsidR="00A34FA0">
        <w:rPr>
          <w:rFonts w:ascii="Times New Roman" w:hAnsi="Times New Roman" w:cs="Times New Roman"/>
          <w:color w:val="333333"/>
          <w:sz w:val="24"/>
          <w:szCs w:val="24"/>
          <w:shd w:val="clear" w:color="auto" w:fill="FFFFFF"/>
        </w:rPr>
        <w:t xml:space="preserve">EU </w:t>
      </w:r>
      <w:r w:rsidR="00A34FA0" w:rsidRPr="00A34FA0">
        <w:rPr>
          <w:rFonts w:ascii="Times New Roman" w:hAnsi="Times New Roman" w:cs="Times New Roman"/>
          <w:color w:val="333333"/>
          <w:sz w:val="24"/>
          <w:szCs w:val="24"/>
          <w:shd w:val="clear" w:color="auto" w:fill="FFFFFF"/>
        </w:rPr>
        <w:t xml:space="preserve">nacházejí na stejném místě v určitém členském státě </w:t>
      </w:r>
      <w:r w:rsidR="00075D74">
        <w:rPr>
          <w:rFonts w:ascii="Times New Roman" w:hAnsi="Times New Roman" w:cs="Times New Roman"/>
          <w:color w:val="333333"/>
          <w:sz w:val="24"/>
          <w:szCs w:val="24"/>
          <w:shd w:val="clear" w:color="auto" w:fill="FFFFFF"/>
        </w:rPr>
        <w:t xml:space="preserve">EU </w:t>
      </w:r>
      <w:r w:rsidR="00A34FA0" w:rsidRPr="00A34FA0">
        <w:rPr>
          <w:rFonts w:ascii="Times New Roman" w:hAnsi="Times New Roman" w:cs="Times New Roman"/>
          <w:color w:val="333333"/>
          <w:sz w:val="24"/>
          <w:szCs w:val="24"/>
          <w:shd w:val="clear" w:color="auto" w:fill="FFFFFF"/>
        </w:rPr>
        <w:t>za účelem pomoci při výkonu postupů justiční spolupráce</w:t>
      </w:r>
      <w:r w:rsidR="00A34FA0">
        <w:rPr>
          <w:rFonts w:ascii="Times New Roman" w:hAnsi="Times New Roman" w:cs="Times New Roman"/>
          <w:color w:val="333333"/>
          <w:sz w:val="24"/>
          <w:szCs w:val="24"/>
          <w:shd w:val="clear" w:color="auto" w:fill="FFFFFF"/>
        </w:rPr>
        <w:t xml:space="preserve">, např. </w:t>
      </w:r>
      <w:r w:rsidR="00A34FA0" w:rsidRPr="00A34FA0">
        <w:rPr>
          <w:rFonts w:ascii="Times New Roman" w:hAnsi="Times New Roman" w:cs="Times New Roman"/>
          <w:color w:val="333333"/>
          <w:sz w:val="24"/>
          <w:szCs w:val="24"/>
          <w:shd w:val="clear" w:color="auto" w:fill="FFFFFF"/>
        </w:rPr>
        <w:t xml:space="preserve">pokud vydávající orgán napomáhá při výkonu evropského vyšetřovacího příkazu ve vykonávajícím státě nebo pokud příslušné orgány různých členských států </w:t>
      </w:r>
      <w:r w:rsidR="00075D74">
        <w:rPr>
          <w:rFonts w:ascii="Times New Roman" w:hAnsi="Times New Roman" w:cs="Times New Roman"/>
          <w:color w:val="333333"/>
          <w:sz w:val="24"/>
          <w:szCs w:val="24"/>
          <w:shd w:val="clear" w:color="auto" w:fill="FFFFFF"/>
        </w:rPr>
        <w:t xml:space="preserve">EU </w:t>
      </w:r>
      <w:r w:rsidR="00A34FA0" w:rsidRPr="00A34FA0">
        <w:rPr>
          <w:rFonts w:ascii="Times New Roman" w:hAnsi="Times New Roman" w:cs="Times New Roman"/>
          <w:color w:val="333333"/>
          <w:sz w:val="24"/>
          <w:szCs w:val="24"/>
          <w:shd w:val="clear" w:color="auto" w:fill="FFFFFF"/>
        </w:rPr>
        <w:t>koordinují postupy justiční spolupráce za osobní účasti</w:t>
      </w:r>
      <w:r w:rsidR="00A34FA0">
        <w:rPr>
          <w:rFonts w:ascii="Times New Roman" w:hAnsi="Times New Roman" w:cs="Times New Roman"/>
          <w:color w:val="333333"/>
          <w:sz w:val="24"/>
          <w:szCs w:val="24"/>
          <w:shd w:val="clear" w:color="auto" w:fill="FFFFFF"/>
        </w:rPr>
        <w:t>)</w:t>
      </w:r>
      <w:r w:rsidR="00A34FA0" w:rsidRPr="00A34FA0">
        <w:rPr>
          <w:rFonts w:ascii="Times New Roman" w:hAnsi="Times New Roman" w:cs="Times New Roman"/>
          <w:color w:val="333333"/>
          <w:sz w:val="24"/>
          <w:szCs w:val="24"/>
          <w:shd w:val="clear" w:color="auto" w:fill="FFFFFF"/>
        </w:rPr>
        <w:t>.</w:t>
      </w:r>
      <w:r w:rsidR="00881242">
        <w:rPr>
          <w:rFonts w:ascii="Times New Roman" w:hAnsi="Times New Roman" w:cs="Times New Roman"/>
          <w:sz w:val="24"/>
          <w:szCs w:val="24"/>
        </w:rPr>
        <w:t xml:space="preserve"> </w:t>
      </w:r>
    </w:p>
    <w:p w14:paraId="68F2B5A5" w14:textId="110C29ED" w:rsidR="001C0848" w:rsidRDefault="00ED69F9" w:rsidP="00A1611D">
      <w:pPr>
        <w:spacing w:before="120"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Tento způsob komunikace se neužije, pokud to není možné z důvodu narušení decentralizovaného informačního systému (technické závady), neumožňuje </w:t>
      </w:r>
      <w:r w:rsidR="00AE608F">
        <w:rPr>
          <w:rFonts w:ascii="Times New Roman" w:hAnsi="Times New Roman" w:cs="Times New Roman"/>
          <w:sz w:val="24"/>
          <w:szCs w:val="24"/>
        </w:rPr>
        <w:t xml:space="preserve">to </w:t>
      </w:r>
      <w:r>
        <w:rPr>
          <w:rFonts w:ascii="Times New Roman" w:hAnsi="Times New Roman" w:cs="Times New Roman"/>
          <w:sz w:val="24"/>
          <w:szCs w:val="24"/>
        </w:rPr>
        <w:t xml:space="preserve">povaha předávaného materiálu </w:t>
      </w:r>
      <w:r w:rsidR="002C1F80">
        <w:rPr>
          <w:rFonts w:ascii="Times New Roman" w:hAnsi="Times New Roman" w:cs="Times New Roman"/>
          <w:sz w:val="24"/>
          <w:szCs w:val="24"/>
        </w:rPr>
        <w:t xml:space="preserve">(např. jde o důkaz, je třeba předat listinný originál) </w:t>
      </w:r>
      <w:r>
        <w:rPr>
          <w:rFonts w:ascii="Times New Roman" w:hAnsi="Times New Roman" w:cs="Times New Roman"/>
          <w:sz w:val="24"/>
          <w:szCs w:val="24"/>
        </w:rPr>
        <w:t xml:space="preserve">nebo z důvodu zásahu vyšší moci (např. </w:t>
      </w:r>
      <w:proofErr w:type="gramStart"/>
      <w:r>
        <w:rPr>
          <w:rFonts w:ascii="Times New Roman" w:hAnsi="Times New Roman" w:cs="Times New Roman"/>
          <w:sz w:val="24"/>
          <w:szCs w:val="24"/>
        </w:rPr>
        <w:t>živeln</w:t>
      </w:r>
      <w:r w:rsidR="008F3E19">
        <w:rPr>
          <w:rFonts w:ascii="Times New Roman" w:hAnsi="Times New Roman" w:cs="Times New Roman"/>
          <w:sz w:val="24"/>
          <w:szCs w:val="24"/>
        </w:rPr>
        <w:t>á</w:t>
      </w:r>
      <w:proofErr w:type="gramEnd"/>
      <w:r>
        <w:rPr>
          <w:rFonts w:ascii="Times New Roman" w:hAnsi="Times New Roman" w:cs="Times New Roman"/>
          <w:sz w:val="24"/>
          <w:szCs w:val="24"/>
        </w:rPr>
        <w:t xml:space="preserve"> pohroma)</w:t>
      </w:r>
      <w:r w:rsidR="001C0848">
        <w:rPr>
          <w:rFonts w:ascii="Times New Roman" w:hAnsi="Times New Roman" w:cs="Times New Roman"/>
          <w:sz w:val="24"/>
          <w:szCs w:val="24"/>
        </w:rPr>
        <w:t xml:space="preserve"> </w:t>
      </w:r>
      <w:r w:rsidR="001C0848">
        <w:rPr>
          <w:rFonts w:ascii="Times New Roman" w:hAnsi="Times New Roman" w:cs="Times New Roman"/>
          <w:sz w:val="24"/>
          <w:szCs w:val="24"/>
        </w:rPr>
        <w:sym w:font="Symbol" w:char="F02D"/>
      </w:r>
      <w:r w:rsidR="001C0848">
        <w:rPr>
          <w:rFonts w:ascii="Times New Roman" w:hAnsi="Times New Roman" w:cs="Times New Roman"/>
          <w:sz w:val="24"/>
          <w:szCs w:val="24"/>
        </w:rPr>
        <w:t xml:space="preserve"> v takovém případě se použije jiný bezpečný prostředek komunikace</w:t>
      </w:r>
      <w:r>
        <w:rPr>
          <w:rFonts w:ascii="Times New Roman" w:hAnsi="Times New Roman" w:cs="Times New Roman"/>
          <w:sz w:val="24"/>
          <w:szCs w:val="24"/>
        </w:rPr>
        <w:t xml:space="preserve">. </w:t>
      </w:r>
      <w:r w:rsidR="001C0848">
        <w:rPr>
          <w:rFonts w:ascii="Times New Roman" w:hAnsi="Times New Roman" w:cs="Times New Roman"/>
          <w:sz w:val="24"/>
          <w:szCs w:val="24"/>
        </w:rPr>
        <w:t xml:space="preserve">Jiné komunikační prostředky lze použít také tehdy, pokud </w:t>
      </w:r>
      <w:r w:rsidR="001C0848" w:rsidRPr="00F47889">
        <w:rPr>
          <w:rFonts w:ascii="Times New Roman" w:hAnsi="Times New Roman" w:cs="Times New Roman"/>
          <w:sz w:val="24"/>
          <w:szCs w:val="24"/>
        </w:rPr>
        <w:t>není použití decentralizovaného informačního systému v dané situaci vhodné</w:t>
      </w:r>
      <w:r w:rsidR="001C0848">
        <w:rPr>
          <w:rFonts w:ascii="Times New Roman" w:hAnsi="Times New Roman" w:cs="Times New Roman"/>
          <w:sz w:val="24"/>
          <w:szCs w:val="24"/>
        </w:rPr>
        <w:t xml:space="preserve">, např. je možné zvolit jednodušší a </w:t>
      </w:r>
      <w:r w:rsidR="00B16044">
        <w:rPr>
          <w:rFonts w:ascii="Times New Roman" w:hAnsi="Times New Roman" w:cs="Times New Roman"/>
          <w:sz w:val="24"/>
          <w:szCs w:val="24"/>
        </w:rPr>
        <w:t xml:space="preserve">méně formální </w:t>
      </w:r>
      <w:r w:rsidR="001C0848">
        <w:rPr>
          <w:rFonts w:ascii="Times New Roman" w:hAnsi="Times New Roman" w:cs="Times New Roman"/>
          <w:sz w:val="24"/>
          <w:szCs w:val="24"/>
        </w:rPr>
        <w:t>způsob komunikace jako je e-mail v případě, kdy nejde</w:t>
      </w:r>
      <w:r w:rsidR="005C3126">
        <w:rPr>
          <w:rFonts w:ascii="Times New Roman" w:hAnsi="Times New Roman" w:cs="Times New Roman"/>
          <w:sz w:val="24"/>
          <w:szCs w:val="24"/>
        </w:rPr>
        <w:t xml:space="preserve"> </w:t>
      </w:r>
      <w:r w:rsidR="001C0848">
        <w:rPr>
          <w:rFonts w:ascii="Times New Roman" w:hAnsi="Times New Roman" w:cs="Times New Roman"/>
          <w:sz w:val="24"/>
          <w:szCs w:val="24"/>
        </w:rPr>
        <w:t>o</w:t>
      </w:r>
      <w:r w:rsidR="005C3126">
        <w:rPr>
          <w:rFonts w:ascii="Times New Roman" w:hAnsi="Times New Roman" w:cs="Times New Roman"/>
          <w:sz w:val="24"/>
          <w:szCs w:val="24"/>
        </w:rPr>
        <w:t> </w:t>
      </w:r>
      <w:r w:rsidR="001C0848">
        <w:rPr>
          <w:rFonts w:ascii="Times New Roman" w:hAnsi="Times New Roman" w:cs="Times New Roman"/>
          <w:sz w:val="24"/>
          <w:szCs w:val="24"/>
        </w:rPr>
        <w:t xml:space="preserve">výměnu důvěrných materiálů (např. zjišťování, který orgán jiného členského státu </w:t>
      </w:r>
      <w:r w:rsidR="00075D74">
        <w:rPr>
          <w:rFonts w:ascii="Times New Roman" w:hAnsi="Times New Roman" w:cs="Times New Roman"/>
          <w:sz w:val="24"/>
          <w:szCs w:val="24"/>
        </w:rPr>
        <w:t xml:space="preserve">EU </w:t>
      </w:r>
      <w:r w:rsidR="001C0848">
        <w:rPr>
          <w:rFonts w:ascii="Times New Roman" w:hAnsi="Times New Roman" w:cs="Times New Roman"/>
          <w:sz w:val="24"/>
          <w:szCs w:val="24"/>
        </w:rPr>
        <w:t xml:space="preserve">je příslušný k poskytnutí spolupráce). </w:t>
      </w:r>
      <w:r w:rsidR="00A34FA0">
        <w:rPr>
          <w:rFonts w:ascii="Times New Roman" w:hAnsi="Times New Roman" w:cs="Times New Roman"/>
          <w:sz w:val="24"/>
          <w:szCs w:val="24"/>
        </w:rPr>
        <w:t xml:space="preserve">Podle bodu 25 odůvodnění nařízení o digitalizaci justiční spolupráce by použití </w:t>
      </w:r>
      <w:r w:rsidR="00A34FA0" w:rsidRPr="00A34FA0">
        <w:rPr>
          <w:rFonts w:ascii="Times New Roman" w:hAnsi="Times New Roman" w:cs="Times New Roman"/>
          <w:color w:val="333333"/>
          <w:sz w:val="24"/>
          <w:szCs w:val="24"/>
          <w:shd w:val="clear" w:color="auto" w:fill="FFFFFF"/>
        </w:rPr>
        <w:t>jiných komunikačních prostředků</w:t>
      </w:r>
      <w:r w:rsidR="00A34FA0">
        <w:rPr>
          <w:rFonts w:ascii="Times New Roman" w:hAnsi="Times New Roman" w:cs="Times New Roman"/>
          <w:color w:val="333333"/>
          <w:sz w:val="24"/>
          <w:szCs w:val="24"/>
          <w:shd w:val="clear" w:color="auto" w:fill="FFFFFF"/>
        </w:rPr>
        <w:t xml:space="preserve"> </w:t>
      </w:r>
      <w:r w:rsidR="00A34FA0" w:rsidRPr="00A34FA0">
        <w:rPr>
          <w:rFonts w:ascii="Times New Roman" w:hAnsi="Times New Roman" w:cs="Times New Roman"/>
          <w:color w:val="333333"/>
          <w:sz w:val="24"/>
          <w:szCs w:val="24"/>
          <w:shd w:val="clear" w:color="auto" w:fill="FFFFFF"/>
        </w:rPr>
        <w:t>mohlo být vhodné</w:t>
      </w:r>
      <w:r w:rsidR="00A34FA0">
        <w:rPr>
          <w:rFonts w:ascii="Times New Roman" w:hAnsi="Times New Roman" w:cs="Times New Roman"/>
          <w:color w:val="333333"/>
          <w:sz w:val="24"/>
          <w:szCs w:val="24"/>
          <w:shd w:val="clear" w:color="auto" w:fill="FFFFFF"/>
        </w:rPr>
        <w:t xml:space="preserve"> také tehdy</w:t>
      </w:r>
      <w:r w:rsidR="00A34FA0" w:rsidRPr="00A34FA0">
        <w:rPr>
          <w:rFonts w:ascii="Times New Roman" w:hAnsi="Times New Roman" w:cs="Times New Roman"/>
          <w:color w:val="333333"/>
          <w:sz w:val="24"/>
          <w:szCs w:val="24"/>
          <w:shd w:val="clear" w:color="auto" w:fill="FFFFFF"/>
        </w:rPr>
        <w:t xml:space="preserve">, </w:t>
      </w:r>
      <w:r w:rsidR="00A34FA0">
        <w:rPr>
          <w:rFonts w:ascii="Times New Roman" w:hAnsi="Times New Roman" w:cs="Times New Roman"/>
          <w:color w:val="333333"/>
          <w:sz w:val="24"/>
          <w:szCs w:val="24"/>
          <w:shd w:val="clear" w:color="auto" w:fill="FFFFFF"/>
        </w:rPr>
        <w:t xml:space="preserve">pokud </w:t>
      </w:r>
      <w:r w:rsidR="00A34FA0" w:rsidRPr="00A34FA0">
        <w:rPr>
          <w:rFonts w:ascii="Times New Roman" w:hAnsi="Times New Roman" w:cs="Times New Roman"/>
          <w:color w:val="333333"/>
          <w:sz w:val="24"/>
          <w:szCs w:val="24"/>
          <w:shd w:val="clear" w:color="auto" w:fill="FFFFFF"/>
        </w:rPr>
        <w:t xml:space="preserve">komunikace zahrnuje nakládání s citlivými údaji nebo </w:t>
      </w:r>
      <w:r w:rsidR="00A34FA0">
        <w:rPr>
          <w:rFonts w:ascii="Times New Roman" w:hAnsi="Times New Roman" w:cs="Times New Roman"/>
          <w:color w:val="333333"/>
          <w:sz w:val="24"/>
          <w:szCs w:val="24"/>
          <w:shd w:val="clear" w:color="auto" w:fill="FFFFFF"/>
        </w:rPr>
        <w:t>pokud by</w:t>
      </w:r>
      <w:r w:rsidR="00A34FA0" w:rsidRPr="00A34FA0">
        <w:rPr>
          <w:rFonts w:ascii="Times New Roman" w:hAnsi="Times New Roman" w:cs="Times New Roman"/>
          <w:color w:val="333333"/>
          <w:sz w:val="24"/>
          <w:szCs w:val="24"/>
          <w:shd w:val="clear" w:color="auto" w:fill="FFFFFF"/>
        </w:rPr>
        <w:t xml:space="preserve"> převedení objemné dokumentace do elektronické podoby představ</w:t>
      </w:r>
      <w:r w:rsidR="00A34FA0">
        <w:rPr>
          <w:rFonts w:ascii="Times New Roman" w:hAnsi="Times New Roman" w:cs="Times New Roman"/>
          <w:color w:val="333333"/>
          <w:sz w:val="24"/>
          <w:szCs w:val="24"/>
          <w:shd w:val="clear" w:color="auto" w:fill="FFFFFF"/>
        </w:rPr>
        <w:t>ovalo</w:t>
      </w:r>
      <w:r w:rsidR="00A34FA0" w:rsidRPr="00A34FA0">
        <w:rPr>
          <w:rFonts w:ascii="Times New Roman" w:hAnsi="Times New Roman" w:cs="Times New Roman"/>
          <w:color w:val="333333"/>
          <w:sz w:val="24"/>
          <w:szCs w:val="24"/>
          <w:shd w:val="clear" w:color="auto" w:fill="FFFFFF"/>
        </w:rPr>
        <w:t xml:space="preserve"> nepřiměřenou administrativní zátěž. </w:t>
      </w:r>
    </w:p>
    <w:p w14:paraId="1E581A0D" w14:textId="4CD84C08" w:rsidR="004F37A0" w:rsidRPr="003311FB" w:rsidRDefault="00AE608F" w:rsidP="00A1611D">
      <w:pPr>
        <w:spacing w:before="120" w:after="0" w:line="240" w:lineRule="auto"/>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Směrnice o digitalizaci justiční spolupráce pak výslovně upravuje další výjimky, kdy se decentralizovaný informační systém k vzájemné komunikaci nepoužije, typicky jde o případy, </w:t>
      </w:r>
      <w:r w:rsidR="003311FB">
        <w:rPr>
          <w:rFonts w:ascii="Times New Roman" w:hAnsi="Times New Roman" w:cs="Times New Roman"/>
          <w:color w:val="333333"/>
          <w:sz w:val="24"/>
          <w:szCs w:val="24"/>
          <w:shd w:val="clear" w:color="auto" w:fill="FFFFFF"/>
        </w:rPr>
        <w:t xml:space="preserve">kdy je pro uznání nebo výkon rozhodnutí či příkazu vyžadováno určité stanovisko nebo souhlas nebo </w:t>
      </w:r>
      <w:r w:rsidR="00B16044">
        <w:rPr>
          <w:rFonts w:ascii="Times New Roman" w:hAnsi="Times New Roman" w:cs="Times New Roman"/>
          <w:color w:val="333333"/>
          <w:sz w:val="24"/>
          <w:szCs w:val="24"/>
          <w:shd w:val="clear" w:color="auto" w:fill="FFFFFF"/>
        </w:rPr>
        <w:t xml:space="preserve">kdy </w:t>
      </w:r>
      <w:r w:rsidR="003311FB">
        <w:rPr>
          <w:rFonts w:ascii="Times New Roman" w:hAnsi="Times New Roman" w:cs="Times New Roman"/>
          <w:color w:val="333333"/>
          <w:sz w:val="24"/>
          <w:szCs w:val="24"/>
          <w:shd w:val="clear" w:color="auto" w:fill="FFFFFF"/>
        </w:rPr>
        <w:t xml:space="preserve">je jiný členský stát </w:t>
      </w:r>
      <w:r w:rsidR="00075D74">
        <w:rPr>
          <w:rFonts w:ascii="Times New Roman" w:hAnsi="Times New Roman" w:cs="Times New Roman"/>
          <w:color w:val="333333"/>
          <w:sz w:val="24"/>
          <w:szCs w:val="24"/>
          <w:shd w:val="clear" w:color="auto" w:fill="FFFFFF"/>
        </w:rPr>
        <w:t xml:space="preserve">EU </w:t>
      </w:r>
      <w:r w:rsidR="003311FB">
        <w:rPr>
          <w:rFonts w:ascii="Times New Roman" w:hAnsi="Times New Roman" w:cs="Times New Roman"/>
          <w:color w:val="333333"/>
          <w:sz w:val="24"/>
          <w:szCs w:val="24"/>
          <w:shd w:val="clear" w:color="auto" w:fill="FFFFFF"/>
        </w:rPr>
        <w:t xml:space="preserve">informován o tom, že nelze dodržet pořádkové lhůty stanovené pro uznání nebo výkon rozhodnutí či příkazu, tj. jde o určité konzultace nebo výměnu informací, jež lze provádět i méně formálními způsoby. Směrnice o digitalizaci justiční spolupráce umožňuje také zaslání žádosti o průvoz přes území třetího členského státu </w:t>
      </w:r>
      <w:r w:rsidR="00075D74">
        <w:rPr>
          <w:rFonts w:ascii="Times New Roman" w:hAnsi="Times New Roman" w:cs="Times New Roman"/>
          <w:color w:val="333333"/>
          <w:sz w:val="24"/>
          <w:szCs w:val="24"/>
          <w:shd w:val="clear" w:color="auto" w:fill="FFFFFF"/>
        </w:rPr>
        <w:t xml:space="preserve">EU </w:t>
      </w:r>
      <w:r w:rsidR="003311FB">
        <w:rPr>
          <w:rFonts w:ascii="Times New Roman" w:hAnsi="Times New Roman" w:cs="Times New Roman"/>
          <w:color w:val="333333"/>
          <w:sz w:val="24"/>
          <w:szCs w:val="24"/>
          <w:shd w:val="clear" w:color="auto" w:fill="FFFFFF"/>
        </w:rPr>
        <w:t xml:space="preserve">prostřednictvím zabezpečených komunikačních kanálů, čímž se má na mysli využití policejní spolupráce </w:t>
      </w:r>
      <w:r w:rsidR="003311FB">
        <w:rPr>
          <w:rFonts w:ascii="Times New Roman" w:hAnsi="Times New Roman" w:cs="Times New Roman"/>
          <w:color w:val="333333"/>
          <w:sz w:val="24"/>
          <w:szCs w:val="24"/>
          <w:shd w:val="clear" w:color="auto" w:fill="FFFFFF"/>
        </w:rPr>
        <w:sym w:font="Symbol" w:char="F02D"/>
      </w:r>
      <w:r w:rsidR="003311FB">
        <w:rPr>
          <w:rFonts w:ascii="Times New Roman" w:hAnsi="Times New Roman" w:cs="Times New Roman"/>
          <w:color w:val="333333"/>
          <w:sz w:val="24"/>
          <w:szCs w:val="24"/>
          <w:shd w:val="clear" w:color="auto" w:fill="FFFFFF"/>
        </w:rPr>
        <w:t xml:space="preserve"> tuto výjimku se navrhuje nevyužít, neboť v České republice o průvoz žádá Ministerstvo spravedlnosti, které tento způsob komunikace nevyužívá. </w:t>
      </w:r>
    </w:p>
    <w:p w14:paraId="34D06EBB" w14:textId="202B82C6" w:rsidR="003311FB" w:rsidRDefault="003311FB"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Pokud jde o nařízení 2018/1805 (příkazy k zajištění a ke konfiskaci), je měněno přímo nařízením o digitalizaci justiční spolupráce a také pro justiční spolupráci probíhající na jeho základě se použije článek 3 nařízení o digitalizaci justiční spolupráce se stanovenými výjimkami. </w:t>
      </w:r>
    </w:p>
    <w:p w14:paraId="780591BE" w14:textId="77777777" w:rsidR="008B6F5D" w:rsidRDefault="008B6F5D" w:rsidP="00A1611D">
      <w:pPr>
        <w:spacing w:before="120" w:after="0" w:line="240" w:lineRule="auto"/>
        <w:jc w:val="both"/>
        <w:rPr>
          <w:rFonts w:ascii="Times New Roman" w:hAnsi="Times New Roman" w:cs="Times New Roman"/>
          <w:b/>
          <w:sz w:val="24"/>
          <w:szCs w:val="24"/>
        </w:rPr>
      </w:pPr>
    </w:p>
    <w:p w14:paraId="4E7C5A15" w14:textId="5DA04932" w:rsidR="00A20C96" w:rsidRDefault="00A20C96"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18 (§ 374 odst. 5) </w:t>
      </w:r>
    </w:p>
    <w:p w14:paraId="46C65AF5" w14:textId="06277049" w:rsidR="00A20C96" w:rsidRPr="00A20C96" w:rsidRDefault="00A20C96" w:rsidP="00A20C96">
      <w:pPr>
        <w:spacing w:before="120" w:after="0" w:line="240" w:lineRule="auto"/>
        <w:jc w:val="both"/>
        <w:rPr>
          <w:rFonts w:ascii="Times New Roman" w:hAnsi="Times New Roman" w:cs="Times New Roman"/>
          <w:bCs/>
          <w:sz w:val="24"/>
          <w:szCs w:val="24"/>
        </w:rPr>
      </w:pPr>
      <w:r w:rsidRPr="00A20C96">
        <w:rPr>
          <w:rFonts w:ascii="Times New Roman" w:hAnsi="Times New Roman" w:cs="Times New Roman"/>
          <w:bCs/>
          <w:sz w:val="24"/>
          <w:szCs w:val="24"/>
        </w:rPr>
        <w:t>Předmětné ustanovení se navrhuje vypustit pro nadbytečnost a nepřesnost. Skutečnost, že</w:t>
      </w:r>
      <w:r w:rsidR="00786E4D">
        <w:rPr>
          <w:rFonts w:ascii="Times New Roman" w:hAnsi="Times New Roman" w:cs="Times New Roman"/>
          <w:bCs/>
          <w:sz w:val="24"/>
          <w:szCs w:val="24"/>
        </w:rPr>
        <w:t> </w:t>
      </w:r>
      <w:r w:rsidRPr="00A20C96">
        <w:rPr>
          <w:rFonts w:ascii="Times New Roman" w:hAnsi="Times New Roman" w:cs="Times New Roman"/>
          <w:bCs/>
          <w:sz w:val="24"/>
          <w:szCs w:val="24"/>
        </w:rPr>
        <w:t>obviněný (a jeho obhájce) má právo podávat návrhy, včetně návrhů na opatření důkazu, plyne dostatečně z § 33 tr. ř., který se subsidiárně použije i v řízení o evropském vyšetřovacím příkazu. Kromě toho toto právo nemá jen obviněný, ale také zadržený podezřelý a</w:t>
      </w:r>
      <w:r w:rsidR="00786E4D">
        <w:rPr>
          <w:rFonts w:ascii="Times New Roman" w:hAnsi="Times New Roman" w:cs="Times New Roman"/>
          <w:bCs/>
          <w:sz w:val="24"/>
          <w:szCs w:val="24"/>
        </w:rPr>
        <w:t> </w:t>
      </w:r>
      <w:r w:rsidRPr="00A20C96">
        <w:rPr>
          <w:rFonts w:ascii="Times New Roman" w:hAnsi="Times New Roman" w:cs="Times New Roman"/>
          <w:bCs/>
          <w:sz w:val="24"/>
          <w:szCs w:val="24"/>
        </w:rPr>
        <w:t>podezřelý ve</w:t>
      </w:r>
      <w:r w:rsidR="00786E4D">
        <w:rPr>
          <w:rFonts w:ascii="Times New Roman" w:hAnsi="Times New Roman" w:cs="Times New Roman"/>
          <w:bCs/>
          <w:sz w:val="24"/>
          <w:szCs w:val="24"/>
        </w:rPr>
        <w:t> </w:t>
      </w:r>
      <w:r w:rsidRPr="00A20C96">
        <w:rPr>
          <w:rFonts w:ascii="Times New Roman" w:hAnsi="Times New Roman" w:cs="Times New Roman"/>
          <w:bCs/>
          <w:sz w:val="24"/>
          <w:szCs w:val="24"/>
        </w:rPr>
        <w:t xml:space="preserve">zkráceném přípravném řízení </w:t>
      </w:r>
      <w:r>
        <w:rPr>
          <w:rFonts w:ascii="Times New Roman" w:hAnsi="Times New Roman" w:cs="Times New Roman"/>
          <w:bCs/>
          <w:sz w:val="24"/>
          <w:szCs w:val="24"/>
        </w:rPr>
        <w:t xml:space="preserve">(a jejich obhájci), u nichž </w:t>
      </w:r>
      <w:r w:rsidRPr="00A20C96">
        <w:rPr>
          <w:rFonts w:ascii="Times New Roman" w:hAnsi="Times New Roman" w:cs="Times New Roman"/>
          <w:bCs/>
          <w:sz w:val="24"/>
          <w:szCs w:val="24"/>
        </w:rPr>
        <w:t>lze dovodit, že je proti nim vedeno trestní řízení, což zakládá jejich určitá obhajovací práva (obdobná</w:t>
      </w:r>
      <w:r w:rsidR="000E46FB">
        <w:rPr>
          <w:rFonts w:ascii="Times New Roman" w:hAnsi="Times New Roman" w:cs="Times New Roman"/>
          <w:bCs/>
          <w:sz w:val="24"/>
          <w:szCs w:val="24"/>
        </w:rPr>
        <w:t xml:space="preserve"> právům</w:t>
      </w:r>
      <w:r w:rsidRPr="00A20C96">
        <w:rPr>
          <w:rFonts w:ascii="Times New Roman" w:hAnsi="Times New Roman" w:cs="Times New Roman"/>
          <w:bCs/>
          <w:sz w:val="24"/>
          <w:szCs w:val="24"/>
        </w:rPr>
        <w:t xml:space="preserve"> obviněné</w:t>
      </w:r>
      <w:r w:rsidR="000E46FB">
        <w:rPr>
          <w:rFonts w:ascii="Times New Roman" w:hAnsi="Times New Roman" w:cs="Times New Roman"/>
          <w:bCs/>
          <w:sz w:val="24"/>
          <w:szCs w:val="24"/>
        </w:rPr>
        <w:t>ho</w:t>
      </w:r>
      <w:r w:rsidRPr="00A20C96">
        <w:rPr>
          <w:rFonts w:ascii="Times New Roman" w:hAnsi="Times New Roman" w:cs="Times New Roman"/>
          <w:bCs/>
          <w:sz w:val="24"/>
          <w:szCs w:val="24"/>
        </w:rPr>
        <w:t xml:space="preserve">, když </w:t>
      </w:r>
      <w:r w:rsidRPr="00A20C96">
        <w:rPr>
          <w:rFonts w:ascii="Times New Roman" w:hAnsi="Times New Roman" w:cs="Times New Roman"/>
          <w:bCs/>
          <w:sz w:val="24"/>
          <w:szCs w:val="24"/>
        </w:rPr>
        <w:lastRenderedPageBreak/>
        <w:t>§</w:t>
      </w:r>
      <w:r w:rsidR="00786E4D">
        <w:rPr>
          <w:rFonts w:ascii="Times New Roman" w:hAnsi="Times New Roman" w:cs="Times New Roman"/>
          <w:bCs/>
          <w:sz w:val="24"/>
          <w:szCs w:val="24"/>
        </w:rPr>
        <w:t> </w:t>
      </w:r>
      <w:r w:rsidRPr="00A20C96">
        <w:rPr>
          <w:rFonts w:ascii="Times New Roman" w:hAnsi="Times New Roman" w:cs="Times New Roman"/>
          <w:bCs/>
          <w:sz w:val="24"/>
          <w:szCs w:val="24"/>
        </w:rPr>
        <w:t>76</w:t>
      </w:r>
      <w:r w:rsidR="00786E4D">
        <w:rPr>
          <w:rFonts w:ascii="Times New Roman" w:hAnsi="Times New Roman" w:cs="Times New Roman"/>
          <w:bCs/>
          <w:sz w:val="24"/>
          <w:szCs w:val="24"/>
        </w:rPr>
        <w:t> </w:t>
      </w:r>
      <w:r w:rsidRPr="00A20C96">
        <w:rPr>
          <w:rFonts w:ascii="Times New Roman" w:hAnsi="Times New Roman" w:cs="Times New Roman"/>
          <w:bCs/>
          <w:sz w:val="24"/>
          <w:szCs w:val="24"/>
        </w:rPr>
        <w:t>odst.</w:t>
      </w:r>
      <w:r w:rsidR="00786E4D">
        <w:rPr>
          <w:rFonts w:ascii="Times New Roman" w:hAnsi="Times New Roman" w:cs="Times New Roman"/>
          <w:bCs/>
          <w:sz w:val="24"/>
          <w:szCs w:val="24"/>
        </w:rPr>
        <w:t> </w:t>
      </w:r>
      <w:r w:rsidRPr="00A20C96">
        <w:rPr>
          <w:rFonts w:ascii="Times New Roman" w:hAnsi="Times New Roman" w:cs="Times New Roman"/>
          <w:bCs/>
          <w:sz w:val="24"/>
          <w:szCs w:val="24"/>
        </w:rPr>
        <w:t>5 i § 179b odst. 2 tr. řádu odkazují na § 33 odst. 1 trestního řádu, kde je obsaženo i</w:t>
      </w:r>
      <w:r w:rsidR="00786E4D">
        <w:rPr>
          <w:rFonts w:ascii="Times New Roman" w:hAnsi="Times New Roman" w:cs="Times New Roman"/>
          <w:bCs/>
          <w:sz w:val="24"/>
          <w:szCs w:val="24"/>
        </w:rPr>
        <w:t> </w:t>
      </w:r>
      <w:r w:rsidRPr="00A20C96">
        <w:rPr>
          <w:rFonts w:ascii="Times New Roman" w:hAnsi="Times New Roman" w:cs="Times New Roman"/>
          <w:bCs/>
          <w:sz w:val="24"/>
          <w:szCs w:val="24"/>
        </w:rPr>
        <w:t>právo činit návrhy)</w:t>
      </w:r>
      <w:r>
        <w:rPr>
          <w:rFonts w:ascii="Times New Roman" w:hAnsi="Times New Roman" w:cs="Times New Roman"/>
          <w:bCs/>
          <w:sz w:val="24"/>
          <w:szCs w:val="24"/>
        </w:rPr>
        <w:t xml:space="preserve">. </w:t>
      </w:r>
      <w:r w:rsidRPr="00A20C96">
        <w:rPr>
          <w:rFonts w:ascii="Times New Roman" w:hAnsi="Times New Roman" w:cs="Times New Roman"/>
          <w:bCs/>
          <w:sz w:val="24"/>
          <w:szCs w:val="24"/>
        </w:rPr>
        <w:t xml:space="preserve"> </w:t>
      </w:r>
    </w:p>
    <w:p w14:paraId="2B871859" w14:textId="77777777" w:rsidR="00A20C96" w:rsidRDefault="00A20C96" w:rsidP="00A1611D">
      <w:pPr>
        <w:spacing w:before="120" w:after="0" w:line="240" w:lineRule="auto"/>
        <w:jc w:val="both"/>
        <w:rPr>
          <w:rFonts w:ascii="Times New Roman" w:hAnsi="Times New Roman" w:cs="Times New Roman"/>
          <w:b/>
          <w:sz w:val="24"/>
          <w:szCs w:val="24"/>
        </w:rPr>
      </w:pPr>
    </w:p>
    <w:p w14:paraId="07B3BCBB" w14:textId="7B2A9445" w:rsidR="009B0ACC" w:rsidRDefault="009B0ACC"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B16044">
        <w:rPr>
          <w:rFonts w:ascii="Times New Roman" w:hAnsi="Times New Roman" w:cs="Times New Roman"/>
          <w:b/>
          <w:sz w:val="24"/>
          <w:szCs w:val="24"/>
        </w:rPr>
        <w:t>1</w:t>
      </w:r>
      <w:r w:rsidR="00A20C96">
        <w:rPr>
          <w:rFonts w:ascii="Times New Roman" w:hAnsi="Times New Roman" w:cs="Times New Roman"/>
          <w:b/>
          <w:sz w:val="24"/>
          <w:szCs w:val="24"/>
        </w:rPr>
        <w:t>9</w:t>
      </w:r>
      <w:r w:rsidR="00B16044">
        <w:rPr>
          <w:rFonts w:ascii="Times New Roman" w:hAnsi="Times New Roman" w:cs="Times New Roman"/>
          <w:b/>
          <w:sz w:val="24"/>
          <w:szCs w:val="24"/>
        </w:rPr>
        <w:t xml:space="preserve"> </w:t>
      </w:r>
      <w:r>
        <w:rPr>
          <w:rFonts w:ascii="Times New Roman" w:hAnsi="Times New Roman" w:cs="Times New Roman"/>
          <w:b/>
          <w:sz w:val="24"/>
          <w:szCs w:val="24"/>
        </w:rPr>
        <w:t xml:space="preserve">(hlava </w:t>
      </w:r>
      <w:r w:rsidR="00B16044">
        <w:rPr>
          <w:rFonts w:ascii="Times New Roman" w:hAnsi="Times New Roman" w:cs="Times New Roman"/>
          <w:b/>
          <w:sz w:val="24"/>
          <w:szCs w:val="24"/>
        </w:rPr>
        <w:t>XII</w:t>
      </w:r>
      <w:r>
        <w:rPr>
          <w:rFonts w:ascii="Times New Roman" w:hAnsi="Times New Roman" w:cs="Times New Roman"/>
          <w:b/>
          <w:sz w:val="24"/>
          <w:szCs w:val="24"/>
        </w:rPr>
        <w:t>)</w:t>
      </w:r>
    </w:p>
    <w:p w14:paraId="35AB85AD" w14:textId="5CC1E12F" w:rsidR="009B0ACC" w:rsidRPr="009B0ACC" w:rsidRDefault="009B0ACC"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Vzhledem k tomu, že </w:t>
      </w:r>
      <w:r w:rsidR="002E0407">
        <w:rPr>
          <w:rFonts w:ascii="Times New Roman" w:hAnsi="Times New Roman" w:cs="Times New Roman"/>
          <w:bCs/>
          <w:sz w:val="24"/>
          <w:szCs w:val="24"/>
        </w:rPr>
        <w:t>n</w:t>
      </w:r>
      <w:r>
        <w:rPr>
          <w:rFonts w:ascii="Times New Roman" w:hAnsi="Times New Roman" w:cs="Times New Roman"/>
          <w:bCs/>
          <w:sz w:val="24"/>
          <w:szCs w:val="24"/>
        </w:rPr>
        <w:t>ařízení upravuje nový typ spolupráce přímo mezi orgány vydávajícího státu a poskytovatelem služeb, je třeba do ZMJS zakotvit novou hlavu, která bude obsahovat adaptační úpravu k </w:t>
      </w:r>
      <w:r w:rsidR="002E0407">
        <w:rPr>
          <w:rFonts w:ascii="Times New Roman" w:hAnsi="Times New Roman" w:cs="Times New Roman"/>
          <w:bCs/>
          <w:sz w:val="24"/>
          <w:szCs w:val="24"/>
        </w:rPr>
        <w:t>n</w:t>
      </w:r>
      <w:r>
        <w:rPr>
          <w:rFonts w:ascii="Times New Roman" w:hAnsi="Times New Roman" w:cs="Times New Roman"/>
          <w:bCs/>
          <w:sz w:val="24"/>
          <w:szCs w:val="24"/>
        </w:rPr>
        <w:t>ařízení.</w:t>
      </w:r>
      <w:r w:rsidR="002471B1">
        <w:rPr>
          <w:rFonts w:ascii="Times New Roman" w:hAnsi="Times New Roman" w:cs="Times New Roman"/>
          <w:bCs/>
          <w:sz w:val="24"/>
          <w:szCs w:val="24"/>
        </w:rPr>
        <w:t xml:space="preserve"> </w:t>
      </w:r>
      <w:r>
        <w:rPr>
          <w:rFonts w:ascii="Times New Roman" w:hAnsi="Times New Roman" w:cs="Times New Roman"/>
          <w:bCs/>
          <w:sz w:val="24"/>
          <w:szCs w:val="24"/>
        </w:rPr>
        <w:t xml:space="preserve">Upravit je třeba zejména otázky týkající se příslušnosti k jednotlivým úkonům, sankcí za porušení povinností </w:t>
      </w:r>
      <w:r w:rsidR="005941DF">
        <w:rPr>
          <w:rFonts w:ascii="Times New Roman" w:hAnsi="Times New Roman" w:cs="Times New Roman"/>
          <w:bCs/>
          <w:sz w:val="24"/>
          <w:szCs w:val="24"/>
        </w:rPr>
        <w:t>adresátem příkazu</w:t>
      </w:r>
      <w:r>
        <w:rPr>
          <w:rFonts w:ascii="Times New Roman" w:hAnsi="Times New Roman" w:cs="Times New Roman"/>
          <w:bCs/>
          <w:sz w:val="24"/>
          <w:szCs w:val="24"/>
        </w:rPr>
        <w:t xml:space="preserve">, úhrady nákladů poskytovateli služeb a některé další dílčí otázky. </w:t>
      </w:r>
    </w:p>
    <w:p w14:paraId="475ADF96" w14:textId="77777777" w:rsidR="003F4454" w:rsidRDefault="003F4454" w:rsidP="00A1611D">
      <w:pPr>
        <w:spacing w:before="120" w:after="0" w:line="240" w:lineRule="auto"/>
        <w:jc w:val="both"/>
        <w:rPr>
          <w:rFonts w:ascii="Times New Roman" w:hAnsi="Times New Roman" w:cs="Times New Roman"/>
          <w:b/>
          <w:sz w:val="24"/>
          <w:szCs w:val="24"/>
        </w:rPr>
      </w:pPr>
    </w:p>
    <w:p w14:paraId="174D2FB8" w14:textId="11135411" w:rsidR="00CF06E0" w:rsidRDefault="00CF06E0"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dílu 1</w:t>
      </w:r>
    </w:p>
    <w:p w14:paraId="11DC4A30" w14:textId="3B7E80D8" w:rsidR="00CF06E0" w:rsidRPr="00CF06E0" w:rsidRDefault="00CF06E0"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V tomto dílu jsou společně pro adaptační úpravu vymezeny některé pojmy v návaznosti na</w:t>
      </w:r>
      <w:r w:rsidR="00B16044">
        <w:rPr>
          <w:rFonts w:ascii="Times New Roman" w:hAnsi="Times New Roman" w:cs="Times New Roman"/>
          <w:bCs/>
          <w:sz w:val="24"/>
          <w:szCs w:val="24"/>
        </w:rPr>
        <w:t> </w:t>
      </w:r>
      <w:r>
        <w:rPr>
          <w:rFonts w:ascii="Times New Roman" w:hAnsi="Times New Roman" w:cs="Times New Roman"/>
          <w:bCs/>
          <w:sz w:val="24"/>
          <w:szCs w:val="24"/>
        </w:rPr>
        <w:t xml:space="preserve">článek 3 </w:t>
      </w:r>
      <w:r w:rsidR="002E0407">
        <w:rPr>
          <w:rFonts w:ascii="Times New Roman" w:hAnsi="Times New Roman" w:cs="Times New Roman"/>
          <w:bCs/>
          <w:sz w:val="24"/>
          <w:szCs w:val="24"/>
        </w:rPr>
        <w:t>n</w:t>
      </w:r>
      <w:r>
        <w:rPr>
          <w:rFonts w:ascii="Times New Roman" w:hAnsi="Times New Roman" w:cs="Times New Roman"/>
          <w:bCs/>
          <w:sz w:val="24"/>
          <w:szCs w:val="24"/>
        </w:rPr>
        <w:t xml:space="preserve">ařízení, který je jinak přímo aplikovatelný. </w:t>
      </w:r>
    </w:p>
    <w:p w14:paraId="3445D328" w14:textId="77777777" w:rsidR="00592D78" w:rsidRDefault="00592D78" w:rsidP="00A1611D">
      <w:pPr>
        <w:spacing w:before="120" w:after="0" w:line="240" w:lineRule="auto"/>
        <w:jc w:val="both"/>
        <w:rPr>
          <w:rFonts w:ascii="Times New Roman" w:hAnsi="Times New Roman" w:cs="Times New Roman"/>
          <w:b/>
          <w:sz w:val="24"/>
          <w:szCs w:val="24"/>
        </w:rPr>
      </w:pPr>
    </w:p>
    <w:p w14:paraId="05791E0B" w14:textId="1F41A439" w:rsidR="009B0ACC" w:rsidRDefault="000746FE"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 396</w:t>
      </w:r>
    </w:p>
    <w:p w14:paraId="60501029" w14:textId="60D7F8C6" w:rsidR="000746FE" w:rsidRDefault="00261F81"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Definice pojmů obsahuje </w:t>
      </w:r>
      <w:r w:rsidR="002E0407">
        <w:rPr>
          <w:rFonts w:ascii="Times New Roman" w:hAnsi="Times New Roman" w:cs="Times New Roman"/>
          <w:bCs/>
          <w:sz w:val="24"/>
          <w:szCs w:val="24"/>
        </w:rPr>
        <w:t>n</w:t>
      </w:r>
      <w:r>
        <w:rPr>
          <w:rFonts w:ascii="Times New Roman" w:hAnsi="Times New Roman" w:cs="Times New Roman"/>
          <w:bCs/>
          <w:sz w:val="24"/>
          <w:szCs w:val="24"/>
        </w:rPr>
        <w:t>ařízení v článku 3.</w:t>
      </w:r>
      <w:r w:rsidR="005C3126">
        <w:rPr>
          <w:rFonts w:ascii="Times New Roman" w:hAnsi="Times New Roman" w:cs="Times New Roman"/>
          <w:bCs/>
          <w:sz w:val="24"/>
          <w:szCs w:val="24"/>
        </w:rPr>
        <w:t xml:space="preserve"> </w:t>
      </w:r>
      <w:r w:rsidR="008A6B55">
        <w:rPr>
          <w:rFonts w:ascii="Times New Roman" w:hAnsi="Times New Roman" w:cs="Times New Roman"/>
          <w:bCs/>
          <w:sz w:val="24"/>
          <w:szCs w:val="24"/>
        </w:rPr>
        <w:t>Vzhledem k tomu, že v trestním zákoníku a</w:t>
      </w:r>
      <w:r w:rsidR="00F51CF1">
        <w:rPr>
          <w:rFonts w:ascii="Times New Roman" w:hAnsi="Times New Roman" w:cs="Times New Roman"/>
          <w:bCs/>
          <w:sz w:val="24"/>
          <w:szCs w:val="24"/>
        </w:rPr>
        <w:t> </w:t>
      </w:r>
      <w:r w:rsidR="008A6B55">
        <w:rPr>
          <w:rFonts w:ascii="Times New Roman" w:hAnsi="Times New Roman" w:cs="Times New Roman"/>
          <w:bCs/>
          <w:sz w:val="24"/>
          <w:szCs w:val="24"/>
        </w:rPr>
        <w:t>v</w:t>
      </w:r>
      <w:r w:rsidR="00F51CF1">
        <w:rPr>
          <w:rFonts w:ascii="Times New Roman" w:hAnsi="Times New Roman" w:cs="Times New Roman"/>
          <w:bCs/>
          <w:sz w:val="24"/>
          <w:szCs w:val="24"/>
        </w:rPr>
        <w:t> </w:t>
      </w:r>
      <w:r w:rsidR="008A6B55">
        <w:rPr>
          <w:rFonts w:ascii="Times New Roman" w:hAnsi="Times New Roman" w:cs="Times New Roman"/>
          <w:bCs/>
          <w:sz w:val="24"/>
          <w:szCs w:val="24"/>
        </w:rPr>
        <w:t>§</w:t>
      </w:r>
      <w:r w:rsidR="00F51CF1">
        <w:rPr>
          <w:rFonts w:ascii="Times New Roman" w:hAnsi="Times New Roman" w:cs="Times New Roman"/>
          <w:bCs/>
          <w:sz w:val="24"/>
          <w:szCs w:val="24"/>
        </w:rPr>
        <w:t> </w:t>
      </w:r>
      <w:r w:rsidR="008A6B55">
        <w:rPr>
          <w:rFonts w:ascii="Times New Roman" w:hAnsi="Times New Roman" w:cs="Times New Roman"/>
          <w:bCs/>
          <w:sz w:val="24"/>
          <w:szCs w:val="24"/>
        </w:rPr>
        <w:t>7b tr</w:t>
      </w:r>
      <w:r w:rsidR="007B4786">
        <w:rPr>
          <w:rFonts w:ascii="Times New Roman" w:hAnsi="Times New Roman" w:cs="Times New Roman"/>
          <w:bCs/>
          <w:sz w:val="24"/>
          <w:szCs w:val="24"/>
        </w:rPr>
        <w:t xml:space="preserve">. </w:t>
      </w:r>
      <w:r w:rsidR="008A6B55">
        <w:rPr>
          <w:rFonts w:ascii="Times New Roman" w:hAnsi="Times New Roman" w:cs="Times New Roman"/>
          <w:bCs/>
          <w:sz w:val="24"/>
          <w:szCs w:val="24"/>
        </w:rPr>
        <w:t>ř</w:t>
      </w:r>
      <w:r w:rsidR="007B4786">
        <w:rPr>
          <w:rFonts w:ascii="Times New Roman" w:hAnsi="Times New Roman" w:cs="Times New Roman"/>
          <w:bCs/>
          <w:sz w:val="24"/>
          <w:szCs w:val="24"/>
        </w:rPr>
        <w:t>.</w:t>
      </w:r>
      <w:r w:rsidR="008A6B55">
        <w:rPr>
          <w:rFonts w:ascii="Times New Roman" w:hAnsi="Times New Roman" w:cs="Times New Roman"/>
          <w:bCs/>
          <w:sz w:val="24"/>
          <w:szCs w:val="24"/>
        </w:rPr>
        <w:t>, který upravuje uchování dat, se používá pojem „data“, který je jednotně užíván i</w:t>
      </w:r>
      <w:r w:rsidR="00F51CF1">
        <w:rPr>
          <w:rFonts w:ascii="Times New Roman" w:hAnsi="Times New Roman" w:cs="Times New Roman"/>
          <w:bCs/>
          <w:sz w:val="24"/>
          <w:szCs w:val="24"/>
        </w:rPr>
        <w:t> </w:t>
      </w:r>
      <w:r w:rsidR="008A6B55">
        <w:rPr>
          <w:rFonts w:ascii="Times New Roman" w:hAnsi="Times New Roman" w:cs="Times New Roman"/>
          <w:bCs/>
          <w:sz w:val="24"/>
          <w:szCs w:val="24"/>
        </w:rPr>
        <w:t xml:space="preserve">v rámci rekodifikace trestního práva procesního a předpokládá se jeho </w:t>
      </w:r>
      <w:r w:rsidR="00F51CF1">
        <w:rPr>
          <w:rFonts w:ascii="Times New Roman" w:hAnsi="Times New Roman" w:cs="Times New Roman"/>
          <w:bCs/>
          <w:sz w:val="24"/>
          <w:szCs w:val="24"/>
        </w:rPr>
        <w:t xml:space="preserve">užití </w:t>
      </w:r>
      <w:r w:rsidR="008A6B55">
        <w:rPr>
          <w:rFonts w:ascii="Times New Roman" w:hAnsi="Times New Roman" w:cs="Times New Roman"/>
          <w:bCs/>
          <w:sz w:val="24"/>
          <w:szCs w:val="24"/>
        </w:rPr>
        <w:t>i u příkazu</w:t>
      </w:r>
      <w:r w:rsidR="00F51CF1">
        <w:rPr>
          <w:rFonts w:ascii="Times New Roman" w:hAnsi="Times New Roman" w:cs="Times New Roman"/>
          <w:bCs/>
          <w:sz w:val="24"/>
          <w:szCs w:val="24"/>
        </w:rPr>
        <w:t xml:space="preserve"> </w:t>
      </w:r>
      <w:r w:rsidR="008A6B55">
        <w:rPr>
          <w:rFonts w:ascii="Times New Roman" w:hAnsi="Times New Roman" w:cs="Times New Roman"/>
          <w:bCs/>
          <w:sz w:val="24"/>
          <w:szCs w:val="24"/>
        </w:rPr>
        <w:t xml:space="preserve">k vydání dat (stávající § 88a tr. ř.) v předpokládané novele trestního řádu, která naváže na tuto adaptační novelu, navrhuje se používat i v hlavě </w:t>
      </w:r>
      <w:r w:rsidR="00F51CF1">
        <w:rPr>
          <w:rFonts w:ascii="Times New Roman" w:hAnsi="Times New Roman" w:cs="Times New Roman"/>
          <w:bCs/>
          <w:sz w:val="24"/>
          <w:szCs w:val="24"/>
        </w:rPr>
        <w:t xml:space="preserve">XII </w:t>
      </w:r>
      <w:r w:rsidR="008A6B55">
        <w:rPr>
          <w:rFonts w:ascii="Times New Roman" w:hAnsi="Times New Roman" w:cs="Times New Roman"/>
          <w:bCs/>
          <w:sz w:val="24"/>
          <w:szCs w:val="24"/>
        </w:rPr>
        <w:t>pojem „data“</w:t>
      </w:r>
      <w:r w:rsidR="00F51CF1">
        <w:rPr>
          <w:rFonts w:ascii="Times New Roman" w:hAnsi="Times New Roman" w:cs="Times New Roman"/>
          <w:bCs/>
          <w:sz w:val="24"/>
          <w:szCs w:val="24"/>
        </w:rPr>
        <w:t>,</w:t>
      </w:r>
      <w:r w:rsidR="008A6B55">
        <w:rPr>
          <w:rFonts w:ascii="Times New Roman" w:hAnsi="Times New Roman" w:cs="Times New Roman"/>
          <w:bCs/>
          <w:sz w:val="24"/>
          <w:szCs w:val="24"/>
        </w:rPr>
        <w:t xml:space="preserve"> a nikoli pojem „údaje“</w:t>
      </w:r>
      <w:r w:rsidR="00F51CF1">
        <w:rPr>
          <w:rFonts w:ascii="Times New Roman" w:hAnsi="Times New Roman" w:cs="Times New Roman"/>
          <w:bCs/>
          <w:sz w:val="24"/>
          <w:szCs w:val="24"/>
        </w:rPr>
        <w:t xml:space="preserve">, který se používá </w:t>
      </w:r>
      <w:r w:rsidR="008A6B55">
        <w:rPr>
          <w:rFonts w:ascii="Times New Roman" w:hAnsi="Times New Roman" w:cs="Times New Roman"/>
          <w:bCs/>
          <w:sz w:val="24"/>
          <w:szCs w:val="24"/>
        </w:rPr>
        <w:t>v </w:t>
      </w:r>
      <w:r w:rsidR="002E0407">
        <w:rPr>
          <w:rFonts w:ascii="Times New Roman" w:hAnsi="Times New Roman" w:cs="Times New Roman"/>
          <w:bCs/>
          <w:sz w:val="24"/>
          <w:szCs w:val="24"/>
        </w:rPr>
        <w:t>n</w:t>
      </w:r>
      <w:r w:rsidR="008A6B55">
        <w:rPr>
          <w:rFonts w:ascii="Times New Roman" w:hAnsi="Times New Roman" w:cs="Times New Roman"/>
          <w:bCs/>
          <w:sz w:val="24"/>
          <w:szCs w:val="24"/>
        </w:rPr>
        <w:t xml:space="preserve">ařízení. Vzhledem k tomu se pak odkazuje na příslušné články </w:t>
      </w:r>
      <w:r w:rsidR="002E0407">
        <w:rPr>
          <w:rFonts w:ascii="Times New Roman" w:hAnsi="Times New Roman" w:cs="Times New Roman"/>
          <w:bCs/>
          <w:sz w:val="24"/>
          <w:szCs w:val="24"/>
        </w:rPr>
        <w:t>n</w:t>
      </w:r>
      <w:r w:rsidR="008A6B55">
        <w:rPr>
          <w:rFonts w:ascii="Times New Roman" w:hAnsi="Times New Roman" w:cs="Times New Roman"/>
          <w:bCs/>
          <w:sz w:val="24"/>
          <w:szCs w:val="24"/>
        </w:rPr>
        <w:t xml:space="preserve">ařízení, kde jsou jednotlivé typy dat vymezeny, nutno </w:t>
      </w:r>
      <w:r w:rsidR="00176B35">
        <w:rPr>
          <w:rFonts w:ascii="Times New Roman" w:hAnsi="Times New Roman" w:cs="Times New Roman"/>
          <w:bCs/>
          <w:sz w:val="24"/>
          <w:szCs w:val="24"/>
        </w:rPr>
        <w:t>uvést</w:t>
      </w:r>
      <w:r w:rsidR="008A6B55">
        <w:rPr>
          <w:rFonts w:ascii="Times New Roman" w:hAnsi="Times New Roman" w:cs="Times New Roman"/>
          <w:bCs/>
          <w:sz w:val="24"/>
          <w:szCs w:val="24"/>
        </w:rPr>
        <w:t xml:space="preserve">, že poněkud odchylně od </w:t>
      </w:r>
      <w:r w:rsidR="00F51CF1">
        <w:rPr>
          <w:rFonts w:ascii="Times New Roman" w:hAnsi="Times New Roman" w:cs="Times New Roman"/>
          <w:bCs/>
          <w:sz w:val="24"/>
          <w:szCs w:val="24"/>
        </w:rPr>
        <w:t xml:space="preserve">jejich </w:t>
      </w:r>
      <w:r w:rsidR="008A6B55">
        <w:rPr>
          <w:rFonts w:ascii="Times New Roman" w:hAnsi="Times New Roman" w:cs="Times New Roman"/>
          <w:bCs/>
          <w:sz w:val="24"/>
          <w:szCs w:val="24"/>
        </w:rPr>
        <w:t xml:space="preserve">vymezení v trestním řádu. </w:t>
      </w:r>
    </w:p>
    <w:p w14:paraId="0CC1819B" w14:textId="5AED7C20" w:rsidR="00A578C3" w:rsidRDefault="008A6B55"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Předně jde o kategorii dat o účastníkovi</w:t>
      </w:r>
      <w:r w:rsidR="00A578C3">
        <w:rPr>
          <w:rFonts w:ascii="Times New Roman" w:hAnsi="Times New Roman" w:cs="Times New Roman"/>
          <w:bCs/>
          <w:sz w:val="24"/>
          <w:szCs w:val="24"/>
        </w:rPr>
        <w:t xml:space="preserve"> (čl</w:t>
      </w:r>
      <w:r w:rsidR="00AF0905">
        <w:rPr>
          <w:rFonts w:ascii="Times New Roman" w:hAnsi="Times New Roman" w:cs="Times New Roman"/>
          <w:bCs/>
          <w:sz w:val="24"/>
          <w:szCs w:val="24"/>
        </w:rPr>
        <w:t>ánek</w:t>
      </w:r>
      <w:r w:rsidR="00A578C3">
        <w:rPr>
          <w:rFonts w:ascii="Times New Roman" w:hAnsi="Times New Roman" w:cs="Times New Roman"/>
          <w:bCs/>
          <w:sz w:val="24"/>
          <w:szCs w:val="24"/>
        </w:rPr>
        <w:t xml:space="preserve"> 3 odst. 9 </w:t>
      </w:r>
      <w:r w:rsidR="002E0407">
        <w:rPr>
          <w:rFonts w:ascii="Times New Roman" w:hAnsi="Times New Roman" w:cs="Times New Roman"/>
          <w:bCs/>
          <w:sz w:val="24"/>
          <w:szCs w:val="24"/>
        </w:rPr>
        <w:t>n</w:t>
      </w:r>
      <w:r w:rsidR="00A578C3">
        <w:rPr>
          <w:rFonts w:ascii="Times New Roman" w:hAnsi="Times New Roman" w:cs="Times New Roman"/>
          <w:bCs/>
          <w:sz w:val="24"/>
          <w:szCs w:val="24"/>
        </w:rPr>
        <w:t>ařízení)</w:t>
      </w:r>
      <w:r>
        <w:rPr>
          <w:rFonts w:ascii="Times New Roman" w:hAnsi="Times New Roman" w:cs="Times New Roman"/>
          <w:bCs/>
          <w:sz w:val="24"/>
          <w:szCs w:val="24"/>
        </w:rPr>
        <w:t xml:space="preserve">, kterými se rozumí data, jež poskytovatel služeb shromáždil v souvislosti s poskytováním služeb (účastí na nich), která se týkají </w:t>
      </w:r>
    </w:p>
    <w:p w14:paraId="1E6EB76A" w14:textId="7748999E" w:rsidR="00A578C3" w:rsidRDefault="008A6B55" w:rsidP="00A1611D">
      <w:pPr>
        <w:pStyle w:val="Odstavecseseznamem"/>
        <w:numPr>
          <w:ilvl w:val="0"/>
          <w:numId w:val="12"/>
        </w:numPr>
        <w:spacing w:before="120" w:after="0" w:line="240" w:lineRule="auto"/>
        <w:ind w:left="284" w:hanging="284"/>
        <w:contextualSpacing w:val="0"/>
        <w:jc w:val="both"/>
      </w:pPr>
      <w:r w:rsidRPr="00A578C3">
        <w:t>totožnosti účastníka nebo zákazníka (</w:t>
      </w:r>
      <w:proofErr w:type="spellStart"/>
      <w:r w:rsidRPr="00A578C3">
        <w:t>subsriber</w:t>
      </w:r>
      <w:proofErr w:type="spellEnd"/>
      <w:r w:rsidRPr="00A578C3">
        <w:t xml:space="preserve"> </w:t>
      </w:r>
      <w:proofErr w:type="spellStart"/>
      <w:r w:rsidRPr="00A578C3">
        <w:t>or</w:t>
      </w:r>
      <w:proofErr w:type="spellEnd"/>
      <w:r w:rsidRPr="00A578C3">
        <w:t xml:space="preserve"> </w:t>
      </w:r>
      <w:proofErr w:type="spellStart"/>
      <w:r w:rsidRPr="00A578C3">
        <w:t>customer</w:t>
      </w:r>
      <w:proofErr w:type="spellEnd"/>
      <w:r w:rsidRPr="00A578C3">
        <w:t>), např. poskytnuté jméno, datum narození, poštovní nebo zeměpisná adresa, fakturační a platební údaje, telefonní číslo nebo e-mailová adresa</w:t>
      </w:r>
      <w:r w:rsidR="00A72113">
        <w:t>,</w:t>
      </w:r>
    </w:p>
    <w:p w14:paraId="2F299ACA" w14:textId="77777777" w:rsidR="00A578C3" w:rsidRPr="00A578C3" w:rsidRDefault="00A578C3" w:rsidP="00A1611D">
      <w:pPr>
        <w:pStyle w:val="Odstavecseseznamem"/>
        <w:numPr>
          <w:ilvl w:val="0"/>
          <w:numId w:val="12"/>
        </w:numPr>
        <w:spacing w:before="120" w:after="0" w:line="240" w:lineRule="auto"/>
        <w:ind w:left="284" w:hanging="284"/>
        <w:contextualSpacing w:val="0"/>
        <w:jc w:val="both"/>
      </w:pPr>
      <w:r w:rsidRPr="00A578C3">
        <w:rPr>
          <w:rFonts w:eastAsia="Times New Roman"/>
          <w:bCs w:val="0"/>
          <w:lang w:eastAsia="cs-CZ"/>
        </w:rPr>
        <w:t>druhu služby a jejího trvání</w:t>
      </w:r>
      <w:r>
        <w:rPr>
          <w:rFonts w:eastAsia="Times New Roman"/>
          <w:bCs w:val="0"/>
          <w:lang w:eastAsia="cs-CZ"/>
        </w:rPr>
        <w:t>,</w:t>
      </w:r>
      <w:r w:rsidRPr="00A578C3">
        <w:rPr>
          <w:rFonts w:eastAsia="Times New Roman"/>
          <w:bCs w:val="0"/>
          <w:lang w:eastAsia="cs-CZ"/>
        </w:rPr>
        <w:t xml:space="preserve"> včetně technických údajů a údajů identifikujících související technická opatření nebo rozhraní, která účastník nebo zákazník použil nebo mu byla poskytnuta v době počáteční registrace nebo aktivace, a údajů týkajících se potvrzení použití služby, kromě hesel nebo jiných autentizačních prostředků použitých místo hesla, poskytnutých uživatelem nebo vytvořených na žádost uživatele</w:t>
      </w:r>
      <w:r>
        <w:rPr>
          <w:rFonts w:eastAsia="Times New Roman"/>
          <w:bCs w:val="0"/>
          <w:lang w:eastAsia="cs-CZ"/>
        </w:rPr>
        <w:t>.</w:t>
      </w:r>
    </w:p>
    <w:p w14:paraId="035996D5" w14:textId="63BFCA90" w:rsidR="001E17B3" w:rsidRDefault="001E17B3" w:rsidP="00A1611D">
      <w:pPr>
        <w:spacing w:before="120"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 formuláře osvědčení obsaženého v příloze </w:t>
      </w:r>
      <w:r w:rsidR="002E0407">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ařízení pak vyplývá, že do této kategorie dat spadají zejména následující data</w:t>
      </w:r>
      <w:r w:rsidR="009E4B57">
        <w:rPr>
          <w:rFonts w:ascii="Times New Roman" w:eastAsia="Times New Roman" w:hAnsi="Times New Roman" w:cs="Times New Roman"/>
          <w:sz w:val="24"/>
          <w:szCs w:val="24"/>
          <w:lang w:eastAsia="cs-CZ"/>
        </w:rPr>
        <w:t xml:space="preserve"> (nejde o uzavřený výčet)</w:t>
      </w:r>
      <w:r>
        <w:rPr>
          <w:rFonts w:ascii="Times New Roman" w:eastAsia="Times New Roman" w:hAnsi="Times New Roman" w:cs="Times New Roman"/>
          <w:sz w:val="24"/>
          <w:szCs w:val="24"/>
          <w:lang w:eastAsia="cs-CZ"/>
        </w:rPr>
        <w:t>:</w:t>
      </w:r>
    </w:p>
    <w:p w14:paraId="2F363FAA" w14:textId="3CDB442B" w:rsidR="001E17B3" w:rsidRPr="00B16044" w:rsidRDefault="001E17B3" w:rsidP="00A1611D">
      <w:pPr>
        <w:pStyle w:val="Odstavecseseznamem"/>
        <w:numPr>
          <w:ilvl w:val="0"/>
          <w:numId w:val="12"/>
        </w:numPr>
        <w:spacing w:before="120" w:after="0" w:line="240" w:lineRule="auto"/>
        <w:ind w:left="284" w:hanging="284"/>
        <w:contextualSpacing w:val="0"/>
        <w:jc w:val="both"/>
      </w:pPr>
      <w:r w:rsidRPr="00B16044">
        <w:t xml:space="preserve">jméno a příjmení, datum narození, poštovní nebo zeměpisná adresa, kontaktní údaje </w:t>
      </w:r>
      <w:r w:rsidR="00E47045" w:rsidRPr="00B16044">
        <w:br/>
      </w:r>
      <w:r w:rsidRPr="00B16044">
        <w:t>(e-mailová adresa, telefonní číslo) a další relevantní informace týkající se totožnosti účastníka,</w:t>
      </w:r>
    </w:p>
    <w:p w14:paraId="4F351DDF" w14:textId="36C07D25" w:rsidR="001E17B3" w:rsidRPr="00B16044" w:rsidRDefault="001E17B3" w:rsidP="00A1611D">
      <w:pPr>
        <w:pStyle w:val="Odstavecseseznamem"/>
        <w:numPr>
          <w:ilvl w:val="0"/>
          <w:numId w:val="12"/>
        </w:numPr>
        <w:spacing w:before="120" w:after="0" w:line="240" w:lineRule="auto"/>
        <w:ind w:left="284" w:hanging="284"/>
        <w:contextualSpacing w:val="0"/>
        <w:jc w:val="both"/>
      </w:pPr>
      <w:r w:rsidRPr="00B16044">
        <w:t>datum a čas úvodní registrace, typ registrace, kopie smlouvy, způsob ověření totožnosti během registrace, kopie dokumentů předložených účastníkem,</w:t>
      </w:r>
    </w:p>
    <w:p w14:paraId="43C7C7EE" w14:textId="648BA42E" w:rsidR="001E17B3" w:rsidRPr="00B16044" w:rsidRDefault="001E17B3" w:rsidP="00A1611D">
      <w:pPr>
        <w:pStyle w:val="Odstavecseseznamem"/>
        <w:numPr>
          <w:ilvl w:val="0"/>
          <w:numId w:val="12"/>
        </w:numPr>
        <w:spacing w:before="120" w:after="0" w:line="240" w:lineRule="auto"/>
        <w:ind w:left="284" w:hanging="284"/>
        <w:contextualSpacing w:val="0"/>
        <w:jc w:val="both"/>
      </w:pPr>
      <w:r w:rsidRPr="00B16044">
        <w:lastRenderedPageBreak/>
        <w:t>druh služby a její trvání, včetně identifikátoru (identifikátorů), které účastník používá nebo které mu byly poskytnuty při úvodní registraci nebo aktivaci (např. telefonní číslo, číslo SIM karty, adresy MAC), a související zařízení,</w:t>
      </w:r>
    </w:p>
    <w:p w14:paraId="624DE015" w14:textId="5C267743" w:rsidR="001E17B3" w:rsidRPr="00B16044" w:rsidRDefault="001E17B3" w:rsidP="00A1611D">
      <w:pPr>
        <w:pStyle w:val="Odstavecseseznamem"/>
        <w:numPr>
          <w:ilvl w:val="0"/>
          <w:numId w:val="12"/>
        </w:numPr>
        <w:spacing w:before="120" w:after="0" w:line="240" w:lineRule="auto"/>
        <w:ind w:left="284" w:hanging="284"/>
        <w:contextualSpacing w:val="0"/>
        <w:jc w:val="both"/>
      </w:pPr>
      <w:r w:rsidRPr="00B16044">
        <w:t>informace o profilu (např. uživatelské jméno, uživatelský pseudonym, profilová fotografie),</w:t>
      </w:r>
    </w:p>
    <w:p w14:paraId="609A71AD" w14:textId="4F18B559" w:rsidR="001E17B3" w:rsidRPr="00B16044" w:rsidRDefault="00D02535" w:rsidP="00A1611D">
      <w:pPr>
        <w:pStyle w:val="Odstavecseseznamem"/>
        <w:numPr>
          <w:ilvl w:val="0"/>
          <w:numId w:val="12"/>
        </w:numPr>
        <w:spacing w:before="120" w:after="0" w:line="240" w:lineRule="auto"/>
        <w:ind w:left="284" w:hanging="284"/>
        <w:contextualSpacing w:val="0"/>
        <w:jc w:val="both"/>
      </w:pPr>
      <w:r>
        <w:t>údaje</w:t>
      </w:r>
      <w:r w:rsidR="001E17B3" w:rsidRPr="00B16044">
        <w:t xml:space="preserve"> o potvrzení využívání služby, např. alternativní e-mailová adresa poskytnutá účastníkem, </w:t>
      </w:r>
    </w:p>
    <w:p w14:paraId="2007D0D7" w14:textId="33B226C9" w:rsidR="001E17B3" w:rsidRPr="00B16044" w:rsidRDefault="001E17B3" w:rsidP="00A1611D">
      <w:pPr>
        <w:pStyle w:val="Odstavecseseznamem"/>
        <w:numPr>
          <w:ilvl w:val="0"/>
          <w:numId w:val="12"/>
        </w:numPr>
        <w:spacing w:before="120" w:after="0" w:line="240" w:lineRule="auto"/>
        <w:ind w:left="284" w:hanging="284"/>
        <w:contextualSpacing w:val="0"/>
        <w:jc w:val="both"/>
      </w:pPr>
      <w:r w:rsidRPr="00B16044">
        <w:t>informace o debetní nebo kreditní kartě (poskytnuté účastníkem pro účely fakturace), včetně jiných platebních prostředků,</w:t>
      </w:r>
    </w:p>
    <w:p w14:paraId="61CC62A5" w14:textId="1E4846F1" w:rsidR="001E17B3" w:rsidRPr="00B16044" w:rsidRDefault="001E17B3" w:rsidP="00A1611D">
      <w:pPr>
        <w:pStyle w:val="Odstavecseseznamem"/>
        <w:numPr>
          <w:ilvl w:val="0"/>
          <w:numId w:val="12"/>
        </w:numPr>
        <w:spacing w:before="120" w:after="0" w:line="240" w:lineRule="auto"/>
        <w:ind w:left="284" w:hanging="284"/>
        <w:contextualSpacing w:val="0"/>
        <w:jc w:val="both"/>
      </w:pPr>
      <w:r w:rsidRPr="00B16044">
        <w:t>kódy PUK.</w:t>
      </w:r>
    </w:p>
    <w:p w14:paraId="26CEC068" w14:textId="38A34535" w:rsidR="00A578C3" w:rsidRDefault="001E17B3" w:rsidP="00A1611D">
      <w:pPr>
        <w:spacing w:before="120"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Pokud jde o </w:t>
      </w:r>
      <w:r w:rsidR="00176B35">
        <w:rPr>
          <w:rFonts w:ascii="Times New Roman" w:eastAsia="Times New Roman" w:hAnsi="Times New Roman" w:cs="Times New Roman"/>
          <w:sz w:val="24"/>
          <w:szCs w:val="24"/>
          <w:lang w:eastAsia="cs-CZ"/>
        </w:rPr>
        <w:t>data</w:t>
      </w:r>
      <w:r>
        <w:rPr>
          <w:rFonts w:ascii="Times New Roman" w:eastAsia="Times New Roman" w:hAnsi="Times New Roman" w:cs="Times New Roman"/>
          <w:sz w:val="24"/>
          <w:szCs w:val="24"/>
          <w:lang w:eastAsia="cs-CZ"/>
        </w:rPr>
        <w:t xml:space="preserve"> týkající se služby, p</w:t>
      </w:r>
      <w:r w:rsidR="00A578C3" w:rsidRPr="00A578C3">
        <w:rPr>
          <w:rFonts w:ascii="Times New Roman" w:eastAsia="Times New Roman" w:hAnsi="Times New Roman" w:cs="Times New Roman"/>
          <w:sz w:val="24"/>
          <w:szCs w:val="24"/>
          <w:lang w:eastAsia="cs-CZ"/>
        </w:rPr>
        <w:t>oskytovatel služeb by tedy měl v rámci této kategorie dat sdělit druh služby, kterou účastník nebo zákazník užívá, a dobu užívání služby jako takové (např. že uživatel má u poskytovatele od roku XXXX zřízenu e-</w:t>
      </w:r>
      <w:r w:rsidR="00A578C3" w:rsidRPr="000B65F6">
        <w:rPr>
          <w:rFonts w:ascii="Times New Roman" w:eastAsia="Times New Roman" w:hAnsi="Times New Roman" w:cs="Times New Roman"/>
          <w:sz w:val="24"/>
          <w:szCs w:val="24"/>
          <w:lang w:eastAsia="cs-CZ"/>
        </w:rPr>
        <w:t xml:space="preserve">mailovou schránku </w:t>
      </w:r>
      <w:hyperlink r:id="rId8" w:history="1">
        <w:r w:rsidR="00A578C3" w:rsidRPr="000B65F6">
          <w:rPr>
            <w:rStyle w:val="Hypertextovodkaz"/>
            <w:rFonts w:ascii="Times New Roman" w:eastAsia="Times New Roman" w:hAnsi="Times New Roman" w:cs="Times New Roman"/>
            <w:color w:val="auto"/>
            <w:sz w:val="24"/>
            <w:szCs w:val="24"/>
            <w:u w:val="none"/>
            <w:lang w:eastAsia="cs-CZ"/>
          </w:rPr>
          <w:t>XXX@XXX.XX</w:t>
        </w:r>
      </w:hyperlink>
      <w:r w:rsidR="00A578C3" w:rsidRPr="000B65F6">
        <w:rPr>
          <w:rFonts w:ascii="Times New Roman" w:eastAsia="Times New Roman" w:hAnsi="Times New Roman" w:cs="Times New Roman"/>
          <w:sz w:val="24"/>
          <w:szCs w:val="24"/>
          <w:lang w:eastAsia="cs-CZ"/>
        </w:rPr>
        <w:t>). Oproti tomu v případě dotazu s odkazem na čl</w:t>
      </w:r>
      <w:r w:rsidR="00AF0905">
        <w:rPr>
          <w:rFonts w:ascii="Times New Roman" w:eastAsia="Times New Roman" w:hAnsi="Times New Roman" w:cs="Times New Roman"/>
          <w:sz w:val="24"/>
          <w:szCs w:val="24"/>
          <w:lang w:eastAsia="cs-CZ"/>
        </w:rPr>
        <w:t>ánek</w:t>
      </w:r>
      <w:r w:rsidR="00A578C3" w:rsidRPr="000B65F6">
        <w:rPr>
          <w:rFonts w:ascii="Times New Roman" w:eastAsia="Times New Roman" w:hAnsi="Times New Roman" w:cs="Times New Roman"/>
          <w:sz w:val="24"/>
          <w:szCs w:val="24"/>
          <w:lang w:eastAsia="cs-CZ"/>
        </w:rPr>
        <w:t xml:space="preserve"> 3 odst. 11 </w:t>
      </w:r>
      <w:r w:rsidR="002E0407">
        <w:rPr>
          <w:rFonts w:ascii="Times New Roman" w:eastAsia="Times New Roman" w:hAnsi="Times New Roman" w:cs="Times New Roman"/>
          <w:sz w:val="24"/>
          <w:szCs w:val="24"/>
          <w:lang w:eastAsia="cs-CZ"/>
        </w:rPr>
        <w:t>n</w:t>
      </w:r>
      <w:r w:rsidR="00A578C3" w:rsidRPr="000B65F6">
        <w:rPr>
          <w:rFonts w:ascii="Times New Roman" w:eastAsia="Times New Roman" w:hAnsi="Times New Roman" w:cs="Times New Roman"/>
          <w:sz w:val="24"/>
          <w:szCs w:val="24"/>
          <w:lang w:eastAsia="cs-CZ"/>
        </w:rPr>
        <w:t>ařízení (údaje o</w:t>
      </w:r>
      <w:r w:rsidR="00B16044">
        <w:rPr>
          <w:rFonts w:ascii="Times New Roman" w:eastAsia="Times New Roman" w:hAnsi="Times New Roman" w:cs="Times New Roman"/>
          <w:sz w:val="24"/>
          <w:szCs w:val="24"/>
          <w:lang w:eastAsia="cs-CZ"/>
        </w:rPr>
        <w:t> </w:t>
      </w:r>
      <w:r w:rsidR="00A578C3" w:rsidRPr="000B65F6">
        <w:rPr>
          <w:rFonts w:ascii="Times New Roman" w:eastAsia="Times New Roman" w:hAnsi="Times New Roman" w:cs="Times New Roman"/>
          <w:sz w:val="24"/>
          <w:szCs w:val="24"/>
          <w:lang w:eastAsia="cs-CZ"/>
        </w:rPr>
        <w:t xml:space="preserve">provozu) by měl poskytovatel služeb sdělit informace o </w:t>
      </w:r>
      <w:r w:rsidR="00E9472B">
        <w:rPr>
          <w:rFonts w:ascii="Times New Roman" w:eastAsia="Times New Roman" w:hAnsi="Times New Roman" w:cs="Times New Roman"/>
          <w:sz w:val="24"/>
          <w:szCs w:val="24"/>
          <w:lang w:eastAsia="cs-CZ"/>
        </w:rPr>
        <w:t xml:space="preserve">relaci </w:t>
      </w:r>
      <w:r w:rsidR="00A578C3" w:rsidRPr="000B65F6">
        <w:rPr>
          <w:rFonts w:ascii="Times New Roman" w:eastAsia="Times New Roman" w:hAnsi="Times New Roman" w:cs="Times New Roman"/>
          <w:sz w:val="24"/>
          <w:szCs w:val="24"/>
          <w:lang w:eastAsia="cs-CZ"/>
        </w:rPr>
        <w:t xml:space="preserve">přístupu uživatele ke službě („session to a </w:t>
      </w:r>
      <w:proofErr w:type="spellStart"/>
      <w:r w:rsidR="00A578C3" w:rsidRPr="000B65F6">
        <w:rPr>
          <w:rFonts w:ascii="Times New Roman" w:eastAsia="Times New Roman" w:hAnsi="Times New Roman" w:cs="Times New Roman"/>
          <w:sz w:val="24"/>
          <w:szCs w:val="24"/>
          <w:lang w:eastAsia="cs-CZ"/>
        </w:rPr>
        <w:t>service</w:t>
      </w:r>
      <w:proofErr w:type="spellEnd"/>
      <w:r w:rsidR="00A578C3" w:rsidRPr="000B65F6">
        <w:rPr>
          <w:rFonts w:ascii="Times New Roman" w:eastAsia="Times New Roman" w:hAnsi="Times New Roman" w:cs="Times New Roman"/>
          <w:sz w:val="24"/>
          <w:szCs w:val="24"/>
          <w:lang w:eastAsia="cs-CZ"/>
        </w:rPr>
        <w:t xml:space="preserve">“ – tedy, že uživatel přistupoval k zájmové e-mailové schránce </w:t>
      </w:r>
      <w:hyperlink r:id="rId9" w:history="1">
        <w:r w:rsidR="00A578C3" w:rsidRPr="000B65F6">
          <w:rPr>
            <w:rStyle w:val="Hypertextovodkaz"/>
            <w:rFonts w:ascii="Times New Roman" w:eastAsia="Times New Roman" w:hAnsi="Times New Roman" w:cs="Times New Roman"/>
            <w:color w:val="auto"/>
            <w:sz w:val="24"/>
            <w:szCs w:val="24"/>
            <w:u w:val="none"/>
            <w:lang w:eastAsia="cs-CZ"/>
          </w:rPr>
          <w:t>XXX@XXX.XX</w:t>
        </w:r>
      </w:hyperlink>
      <w:r w:rsidR="00A578C3" w:rsidRPr="000B65F6">
        <w:rPr>
          <w:rFonts w:ascii="Times New Roman" w:eastAsia="Times New Roman" w:hAnsi="Times New Roman" w:cs="Times New Roman"/>
          <w:sz w:val="24"/>
          <w:szCs w:val="24"/>
          <w:lang w:eastAsia="cs-CZ"/>
        </w:rPr>
        <w:t xml:space="preserve"> z IP adresy</w:t>
      </w:r>
      <w:r w:rsidR="00A578C3" w:rsidRPr="006D3605">
        <w:rPr>
          <w:rFonts w:ascii="Times New Roman" w:eastAsia="Times New Roman" w:hAnsi="Times New Roman" w:cs="Times New Roman"/>
          <w:sz w:val="24"/>
          <w:szCs w:val="24"/>
          <w:lang w:eastAsia="cs-CZ"/>
        </w:rPr>
        <w:t xml:space="preserve"> </w:t>
      </w:r>
      <w:r w:rsidR="00A578C3" w:rsidRPr="00A578C3">
        <w:rPr>
          <w:rFonts w:ascii="Times New Roman" w:eastAsia="Times New Roman" w:hAnsi="Times New Roman" w:cs="Times New Roman"/>
          <w:sz w:val="24"/>
          <w:szCs w:val="24"/>
          <w:lang w:eastAsia="cs-CZ"/>
        </w:rPr>
        <w:t xml:space="preserve">XXXXXX dne XX.XX.XXXX v čase od </w:t>
      </w:r>
      <w:proofErr w:type="gramStart"/>
      <w:r w:rsidR="00A578C3" w:rsidRPr="00A578C3">
        <w:rPr>
          <w:rFonts w:ascii="Times New Roman" w:eastAsia="Times New Roman" w:hAnsi="Times New Roman" w:cs="Times New Roman"/>
          <w:sz w:val="24"/>
          <w:szCs w:val="24"/>
          <w:lang w:eastAsia="cs-CZ"/>
        </w:rPr>
        <w:t>XX:XX</w:t>
      </w:r>
      <w:proofErr w:type="gramEnd"/>
      <w:r w:rsidR="00A578C3" w:rsidRPr="00A578C3">
        <w:rPr>
          <w:rFonts w:ascii="Times New Roman" w:eastAsia="Times New Roman" w:hAnsi="Times New Roman" w:cs="Times New Roman"/>
          <w:sz w:val="24"/>
          <w:szCs w:val="24"/>
          <w:lang w:eastAsia="cs-CZ"/>
        </w:rPr>
        <w:t xml:space="preserve"> do XX:</w:t>
      </w:r>
      <w:r w:rsidR="00A578C3">
        <w:rPr>
          <w:rFonts w:ascii="Times New Roman" w:eastAsia="Times New Roman" w:hAnsi="Times New Roman" w:cs="Times New Roman"/>
          <w:sz w:val="24"/>
          <w:szCs w:val="24"/>
          <w:lang w:eastAsia="cs-CZ"/>
        </w:rPr>
        <w:t xml:space="preserve">XX). </w:t>
      </w:r>
    </w:p>
    <w:p w14:paraId="2282235C" w14:textId="0A5CC64C" w:rsidR="009F7657" w:rsidRDefault="000B65F6" w:rsidP="00A1611D">
      <w:pPr>
        <w:spacing w:before="120"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Další kategorií </w:t>
      </w:r>
      <w:r w:rsidR="00176B35">
        <w:rPr>
          <w:rFonts w:ascii="Times New Roman" w:eastAsia="Times New Roman" w:hAnsi="Times New Roman" w:cs="Times New Roman"/>
          <w:sz w:val="24"/>
          <w:szCs w:val="24"/>
          <w:lang w:eastAsia="cs-CZ"/>
        </w:rPr>
        <w:t>dat</w:t>
      </w:r>
      <w:r>
        <w:rPr>
          <w:rFonts w:ascii="Times New Roman" w:eastAsia="Times New Roman" w:hAnsi="Times New Roman" w:cs="Times New Roman"/>
          <w:sz w:val="24"/>
          <w:szCs w:val="24"/>
          <w:lang w:eastAsia="cs-CZ"/>
        </w:rPr>
        <w:t xml:space="preserve">, která je zavedena nově výlučně pro účely </w:t>
      </w:r>
      <w:r w:rsidR="002E0407">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 xml:space="preserve">ařízení a dosud v mezinárodních dokumentech nebyla vymezena, jsou </w:t>
      </w:r>
      <w:r w:rsidR="00176B35">
        <w:rPr>
          <w:rFonts w:ascii="Times New Roman" w:eastAsia="Times New Roman" w:hAnsi="Times New Roman" w:cs="Times New Roman"/>
          <w:sz w:val="24"/>
          <w:szCs w:val="24"/>
          <w:lang w:eastAsia="cs-CZ"/>
        </w:rPr>
        <w:t>data</w:t>
      </w:r>
      <w:r>
        <w:rPr>
          <w:rFonts w:ascii="Times New Roman" w:eastAsia="Times New Roman" w:hAnsi="Times New Roman" w:cs="Times New Roman"/>
          <w:sz w:val="24"/>
          <w:szCs w:val="24"/>
          <w:lang w:eastAsia="cs-CZ"/>
        </w:rPr>
        <w:t xml:space="preserve"> požadovan</w:t>
      </w:r>
      <w:r w:rsidR="00176B35">
        <w:rPr>
          <w:rFonts w:ascii="Times New Roman" w:eastAsia="Times New Roman" w:hAnsi="Times New Roman" w:cs="Times New Roman"/>
          <w:sz w:val="24"/>
          <w:szCs w:val="24"/>
          <w:lang w:eastAsia="cs-CZ"/>
        </w:rPr>
        <w:t>á</w:t>
      </w:r>
      <w:r>
        <w:rPr>
          <w:rFonts w:ascii="Times New Roman" w:eastAsia="Times New Roman" w:hAnsi="Times New Roman" w:cs="Times New Roman"/>
          <w:sz w:val="24"/>
          <w:szCs w:val="24"/>
          <w:lang w:eastAsia="cs-CZ"/>
        </w:rPr>
        <w:t xml:space="preserve"> výhradně za účelem identifikace uživatele, kterými se rozumí </w:t>
      </w:r>
      <w:r w:rsidRPr="00A578C3">
        <w:rPr>
          <w:rFonts w:ascii="Times New Roman" w:eastAsia="Times New Roman" w:hAnsi="Times New Roman" w:cs="Times New Roman"/>
          <w:sz w:val="24"/>
          <w:szCs w:val="24"/>
          <w:lang w:eastAsia="cs-CZ"/>
        </w:rPr>
        <w:t>adresy internetového protokolu a v případě potřeby příslušné zdrojové porty a časové razítko, konkrétně datum a čas, nebo technické ekvivalenty těchto identifikátorů a souvisejících informací, pokud je donucovací nebo justiční orgány požadují výhradně k identifikaci uživatele v rámci konkrétního trestního</w:t>
      </w:r>
      <w:r w:rsidR="00654EA0">
        <w:rPr>
          <w:rFonts w:ascii="Times New Roman" w:eastAsia="Times New Roman" w:hAnsi="Times New Roman" w:cs="Times New Roman"/>
          <w:sz w:val="24"/>
          <w:szCs w:val="24"/>
          <w:lang w:eastAsia="cs-CZ"/>
        </w:rPr>
        <w:t xml:space="preserve"> řízení</w:t>
      </w:r>
      <w:r>
        <w:rPr>
          <w:rFonts w:ascii="Times New Roman" w:eastAsia="Times New Roman" w:hAnsi="Times New Roman" w:cs="Times New Roman"/>
          <w:sz w:val="24"/>
          <w:szCs w:val="24"/>
          <w:lang w:eastAsia="cs-CZ"/>
        </w:rPr>
        <w:t xml:space="preserve">. </w:t>
      </w:r>
    </w:p>
    <w:p w14:paraId="09FC37F6" w14:textId="3B5A0820" w:rsidR="000B65F6" w:rsidRPr="000B65F6" w:rsidRDefault="000B65F6" w:rsidP="00A1611D">
      <w:pPr>
        <w:spacing w:before="120" w:after="0" w:line="240" w:lineRule="auto"/>
        <w:jc w:val="both"/>
        <w:rPr>
          <w:rFonts w:ascii="Times New Roman" w:eastAsia="Times New Roman" w:hAnsi="Times New Roman" w:cs="Times New Roman"/>
          <w:sz w:val="24"/>
          <w:szCs w:val="24"/>
          <w:u w:val="single"/>
          <w:lang w:eastAsia="cs-CZ"/>
        </w:rPr>
      </w:pPr>
      <w:r>
        <w:rPr>
          <w:rFonts w:ascii="Times New Roman" w:eastAsia="Times New Roman" w:hAnsi="Times New Roman" w:cs="Times New Roman"/>
          <w:sz w:val="24"/>
          <w:szCs w:val="24"/>
          <w:lang w:eastAsia="cs-CZ"/>
        </w:rPr>
        <w:t xml:space="preserve">Nařízení na tzv. IP adresy, </w:t>
      </w:r>
      <w:r w:rsidRPr="000B65F6">
        <w:rPr>
          <w:rFonts w:ascii="Times New Roman" w:eastAsia="Times New Roman" w:hAnsi="Times New Roman" w:cs="Times New Roman"/>
          <w:sz w:val="24"/>
          <w:szCs w:val="24"/>
          <w:lang w:eastAsia="cs-CZ"/>
        </w:rPr>
        <w:t>přístupová čísla a související informace</w:t>
      </w:r>
      <w:r>
        <w:rPr>
          <w:rFonts w:ascii="Times New Roman" w:eastAsia="Times New Roman" w:hAnsi="Times New Roman" w:cs="Times New Roman"/>
          <w:sz w:val="24"/>
          <w:szCs w:val="24"/>
          <w:lang w:eastAsia="cs-CZ"/>
        </w:rPr>
        <w:t xml:space="preserve"> nahlíží dvojí optikou. </w:t>
      </w:r>
      <w:r w:rsidRPr="000B65F6">
        <w:rPr>
          <w:rFonts w:ascii="Times New Roman" w:eastAsia="Times New Roman" w:hAnsi="Times New Roman" w:cs="Times New Roman"/>
          <w:sz w:val="24"/>
          <w:szCs w:val="24"/>
          <w:lang w:eastAsia="cs-CZ"/>
        </w:rPr>
        <w:t>T</w:t>
      </w:r>
      <w:r w:rsidR="00176B35">
        <w:rPr>
          <w:rFonts w:ascii="Times New Roman" w:eastAsia="Times New Roman" w:hAnsi="Times New Roman" w:cs="Times New Roman"/>
          <w:sz w:val="24"/>
          <w:szCs w:val="24"/>
          <w:lang w:eastAsia="cs-CZ"/>
        </w:rPr>
        <w:t>ato data</w:t>
      </w:r>
      <w:r w:rsidRPr="000B65F6">
        <w:rPr>
          <w:rFonts w:ascii="Times New Roman" w:eastAsia="Times New Roman" w:hAnsi="Times New Roman" w:cs="Times New Roman"/>
          <w:sz w:val="24"/>
          <w:szCs w:val="24"/>
          <w:lang w:eastAsia="cs-CZ"/>
        </w:rPr>
        <w:t xml:space="preserve"> jsou zpravidla součástí záznamu událostí, tzv. serverového logu, který uvádí začátek a ukončení přístupu uživatele ke službě. Často se jedná o individuální IP adresu, ať statickou nebo dynamickou, nebo jiný identifikátor, který identifikuje síťové rozhraní použité během přístupu. </w:t>
      </w:r>
      <w:r w:rsidR="00E16A1A">
        <w:rPr>
          <w:rFonts w:ascii="Times New Roman" w:eastAsia="Times New Roman" w:hAnsi="Times New Roman" w:cs="Times New Roman"/>
          <w:sz w:val="24"/>
          <w:szCs w:val="24"/>
          <w:lang w:eastAsia="cs-CZ"/>
        </w:rPr>
        <w:t>K informaci o</w:t>
      </w:r>
      <w:r w:rsidRPr="000B65F6">
        <w:rPr>
          <w:rFonts w:ascii="Times New Roman" w:eastAsia="Times New Roman" w:hAnsi="Times New Roman" w:cs="Times New Roman"/>
          <w:sz w:val="24"/>
          <w:szCs w:val="24"/>
          <w:lang w:eastAsia="cs-CZ"/>
        </w:rPr>
        <w:t xml:space="preserve"> zahájení a ukončení přístupu uživatele ke službě jsou zapotřebí i související informace, jako jsou zdrojový port a časové razítko, protože IP adresy jsou často sdíleny více uživateli, například je-li používána technologie </w:t>
      </w:r>
      <w:proofErr w:type="spellStart"/>
      <w:r w:rsidRPr="000B65F6">
        <w:rPr>
          <w:rFonts w:ascii="Times New Roman" w:eastAsia="Times New Roman" w:hAnsi="Times New Roman" w:cs="Times New Roman"/>
          <w:sz w:val="24"/>
          <w:szCs w:val="24"/>
          <w:lang w:eastAsia="cs-CZ"/>
        </w:rPr>
        <w:t>Carrier</w:t>
      </w:r>
      <w:proofErr w:type="spellEnd"/>
      <w:r w:rsidRPr="000B65F6">
        <w:rPr>
          <w:rFonts w:ascii="Times New Roman" w:eastAsia="Times New Roman" w:hAnsi="Times New Roman" w:cs="Times New Roman"/>
          <w:sz w:val="24"/>
          <w:szCs w:val="24"/>
          <w:lang w:eastAsia="cs-CZ"/>
        </w:rPr>
        <w:t xml:space="preserve"> Grade NAT (CGN) nebo technicky rovnocenná řešení. Podle </w:t>
      </w:r>
      <w:proofErr w:type="spellStart"/>
      <w:r w:rsidRPr="000B65F6">
        <w:rPr>
          <w:rFonts w:ascii="Times New Roman" w:eastAsia="Times New Roman" w:hAnsi="Times New Roman" w:cs="Times New Roman"/>
          <w:i/>
          <w:iCs/>
          <w:sz w:val="24"/>
          <w:szCs w:val="24"/>
          <w:lang w:eastAsia="cs-CZ"/>
        </w:rPr>
        <w:t>acquis</w:t>
      </w:r>
      <w:proofErr w:type="spellEnd"/>
      <w:r w:rsidRPr="000B65F6">
        <w:rPr>
          <w:rFonts w:ascii="Times New Roman" w:eastAsia="Times New Roman" w:hAnsi="Times New Roman" w:cs="Times New Roman"/>
          <w:sz w:val="24"/>
          <w:szCs w:val="24"/>
          <w:lang w:eastAsia="cs-CZ"/>
        </w:rPr>
        <w:t> Unie se však IP adresy považují za osobní údaje a musí požívat plné ochrany v souladu s </w:t>
      </w:r>
      <w:proofErr w:type="spellStart"/>
      <w:r w:rsidRPr="000B65F6">
        <w:rPr>
          <w:rFonts w:ascii="Times New Roman" w:eastAsia="Times New Roman" w:hAnsi="Times New Roman" w:cs="Times New Roman"/>
          <w:i/>
          <w:iCs/>
          <w:sz w:val="24"/>
          <w:szCs w:val="24"/>
          <w:lang w:eastAsia="cs-CZ"/>
        </w:rPr>
        <w:t>acquis</w:t>
      </w:r>
      <w:proofErr w:type="spellEnd"/>
      <w:r w:rsidRPr="000B65F6">
        <w:rPr>
          <w:rFonts w:ascii="Times New Roman" w:eastAsia="Times New Roman" w:hAnsi="Times New Roman" w:cs="Times New Roman"/>
          <w:sz w:val="24"/>
          <w:szCs w:val="24"/>
          <w:lang w:eastAsia="cs-CZ"/>
        </w:rPr>
        <w:t xml:space="preserve"> Unie v oblasti ochrany údajů. Kromě toho mohou být IP adresy za určitých okolností považovány za </w:t>
      </w:r>
      <w:r w:rsidR="00176B35">
        <w:rPr>
          <w:rFonts w:ascii="Times New Roman" w:eastAsia="Times New Roman" w:hAnsi="Times New Roman" w:cs="Times New Roman"/>
          <w:sz w:val="24"/>
          <w:szCs w:val="24"/>
          <w:lang w:eastAsia="cs-CZ"/>
        </w:rPr>
        <w:t>data</w:t>
      </w:r>
      <w:r w:rsidRPr="000B65F6">
        <w:rPr>
          <w:rFonts w:ascii="Times New Roman" w:eastAsia="Times New Roman" w:hAnsi="Times New Roman" w:cs="Times New Roman"/>
          <w:sz w:val="24"/>
          <w:szCs w:val="24"/>
          <w:lang w:eastAsia="cs-CZ"/>
        </w:rPr>
        <w:t xml:space="preserve"> o provozu. Za </w:t>
      </w:r>
      <w:r w:rsidR="00176B35">
        <w:rPr>
          <w:rFonts w:ascii="Times New Roman" w:eastAsia="Times New Roman" w:hAnsi="Times New Roman" w:cs="Times New Roman"/>
          <w:sz w:val="24"/>
          <w:szCs w:val="24"/>
          <w:lang w:eastAsia="cs-CZ"/>
        </w:rPr>
        <w:t xml:space="preserve">data </w:t>
      </w:r>
      <w:r w:rsidRPr="000B65F6">
        <w:rPr>
          <w:rFonts w:ascii="Times New Roman" w:eastAsia="Times New Roman" w:hAnsi="Times New Roman" w:cs="Times New Roman"/>
          <w:sz w:val="24"/>
          <w:szCs w:val="24"/>
          <w:lang w:eastAsia="cs-CZ"/>
        </w:rPr>
        <w:t xml:space="preserve">o provozu jsou v některých členských státech </w:t>
      </w:r>
      <w:r w:rsidR="00075D74">
        <w:rPr>
          <w:rFonts w:ascii="Times New Roman" w:eastAsia="Times New Roman" w:hAnsi="Times New Roman" w:cs="Times New Roman"/>
          <w:sz w:val="24"/>
          <w:szCs w:val="24"/>
          <w:lang w:eastAsia="cs-CZ"/>
        </w:rPr>
        <w:t xml:space="preserve">EU </w:t>
      </w:r>
      <w:r w:rsidRPr="000B65F6">
        <w:rPr>
          <w:rFonts w:ascii="Times New Roman" w:eastAsia="Times New Roman" w:hAnsi="Times New Roman" w:cs="Times New Roman"/>
          <w:sz w:val="24"/>
          <w:szCs w:val="24"/>
          <w:lang w:eastAsia="cs-CZ"/>
        </w:rPr>
        <w:t>považována rovněž přístupová čísla a související informace.</w:t>
      </w:r>
      <w:r>
        <w:rPr>
          <w:rFonts w:ascii="Times New Roman" w:eastAsia="Times New Roman" w:hAnsi="Times New Roman" w:cs="Times New Roman"/>
          <w:sz w:val="24"/>
          <w:szCs w:val="24"/>
          <w:lang w:eastAsia="cs-CZ"/>
        </w:rPr>
        <w:t xml:space="preserve"> </w:t>
      </w:r>
      <w:r w:rsidRPr="000B65F6">
        <w:rPr>
          <w:rFonts w:ascii="Times New Roman" w:eastAsia="Times New Roman" w:hAnsi="Times New Roman" w:cs="Times New Roman"/>
          <w:sz w:val="24"/>
          <w:szCs w:val="24"/>
          <w:lang w:eastAsia="cs-CZ"/>
        </w:rPr>
        <w:t xml:space="preserve">Pro účely konkrétního trestního </w:t>
      </w:r>
      <w:r w:rsidR="00E16A1A">
        <w:rPr>
          <w:rFonts w:ascii="Times New Roman" w:eastAsia="Times New Roman" w:hAnsi="Times New Roman" w:cs="Times New Roman"/>
          <w:sz w:val="24"/>
          <w:szCs w:val="24"/>
          <w:lang w:eastAsia="cs-CZ"/>
        </w:rPr>
        <w:t>řízení</w:t>
      </w:r>
      <w:r w:rsidRPr="000B65F6">
        <w:rPr>
          <w:rFonts w:ascii="Times New Roman" w:eastAsia="Times New Roman" w:hAnsi="Times New Roman" w:cs="Times New Roman"/>
          <w:sz w:val="24"/>
          <w:szCs w:val="24"/>
          <w:lang w:eastAsia="cs-CZ"/>
        </w:rPr>
        <w:t xml:space="preserve"> však mohou orgány </w:t>
      </w:r>
      <w:r w:rsidRPr="000B65F6">
        <w:rPr>
          <w:rFonts w:ascii="Times New Roman" w:eastAsia="Times New Roman" w:hAnsi="Times New Roman" w:cs="Times New Roman"/>
          <w:sz w:val="24"/>
          <w:szCs w:val="24"/>
          <w:u w:val="single"/>
          <w:lang w:eastAsia="cs-CZ"/>
        </w:rPr>
        <w:t>za výhradním účelem identifikace uživatele</w:t>
      </w:r>
      <w:r w:rsidRPr="000B65F6">
        <w:rPr>
          <w:rFonts w:ascii="Times New Roman" w:eastAsia="Times New Roman" w:hAnsi="Times New Roman" w:cs="Times New Roman"/>
          <w:sz w:val="24"/>
          <w:szCs w:val="24"/>
          <w:lang w:eastAsia="cs-CZ"/>
        </w:rPr>
        <w:t xml:space="preserve"> požádat o IP adresu, jakož i přístupová čísla a související informace</w:t>
      </w:r>
      <w:r w:rsidR="008C6482">
        <w:rPr>
          <w:rFonts w:ascii="Times New Roman" w:eastAsia="Times New Roman" w:hAnsi="Times New Roman" w:cs="Times New Roman"/>
          <w:sz w:val="24"/>
          <w:szCs w:val="24"/>
          <w:lang w:eastAsia="cs-CZ"/>
        </w:rPr>
        <w:t>,</w:t>
      </w:r>
      <w:r w:rsidRPr="000B65F6">
        <w:rPr>
          <w:rFonts w:ascii="Times New Roman" w:eastAsia="Times New Roman" w:hAnsi="Times New Roman" w:cs="Times New Roman"/>
          <w:sz w:val="24"/>
          <w:szCs w:val="24"/>
          <w:lang w:eastAsia="cs-CZ"/>
        </w:rPr>
        <w:t xml:space="preserve"> předtím</w:t>
      </w:r>
      <w:r w:rsidR="00176B35">
        <w:rPr>
          <w:rFonts w:ascii="Times New Roman" w:eastAsia="Times New Roman" w:hAnsi="Times New Roman" w:cs="Times New Roman"/>
          <w:sz w:val="24"/>
          <w:szCs w:val="24"/>
          <w:lang w:eastAsia="cs-CZ"/>
        </w:rPr>
        <w:t xml:space="preserve"> </w:t>
      </w:r>
      <w:r w:rsidRPr="000B65F6">
        <w:rPr>
          <w:rFonts w:ascii="Times New Roman" w:eastAsia="Times New Roman" w:hAnsi="Times New Roman" w:cs="Times New Roman"/>
          <w:sz w:val="24"/>
          <w:szCs w:val="24"/>
          <w:lang w:eastAsia="cs-CZ"/>
        </w:rPr>
        <w:t xml:space="preserve">než lze od poskytovatele služeb vyžádat </w:t>
      </w:r>
      <w:r w:rsidR="00D02535">
        <w:rPr>
          <w:rFonts w:ascii="Times New Roman" w:eastAsia="Times New Roman" w:hAnsi="Times New Roman" w:cs="Times New Roman"/>
          <w:sz w:val="24"/>
          <w:szCs w:val="24"/>
          <w:lang w:eastAsia="cs-CZ"/>
        </w:rPr>
        <w:t>data</w:t>
      </w:r>
      <w:r w:rsidRPr="000B65F6">
        <w:rPr>
          <w:rFonts w:ascii="Times New Roman" w:eastAsia="Times New Roman" w:hAnsi="Times New Roman" w:cs="Times New Roman"/>
          <w:sz w:val="24"/>
          <w:szCs w:val="24"/>
          <w:lang w:eastAsia="cs-CZ"/>
        </w:rPr>
        <w:t xml:space="preserve"> o účastníkovi související s tímto identifikátorem. </w:t>
      </w:r>
      <w:r w:rsidRPr="000B65F6">
        <w:rPr>
          <w:rFonts w:ascii="Times New Roman" w:eastAsia="Times New Roman" w:hAnsi="Times New Roman" w:cs="Times New Roman"/>
          <w:sz w:val="24"/>
          <w:szCs w:val="24"/>
          <w:u w:val="single"/>
          <w:lang w:eastAsia="cs-CZ"/>
        </w:rPr>
        <w:t xml:space="preserve">V takových případech </w:t>
      </w:r>
      <w:r>
        <w:rPr>
          <w:rFonts w:ascii="Times New Roman" w:eastAsia="Times New Roman" w:hAnsi="Times New Roman" w:cs="Times New Roman"/>
          <w:sz w:val="24"/>
          <w:szCs w:val="24"/>
          <w:u w:val="single"/>
          <w:lang w:eastAsia="cs-CZ"/>
        </w:rPr>
        <w:t xml:space="preserve">stanoví </w:t>
      </w:r>
      <w:r w:rsidR="002E0407">
        <w:rPr>
          <w:rFonts w:ascii="Times New Roman" w:eastAsia="Times New Roman" w:hAnsi="Times New Roman" w:cs="Times New Roman"/>
          <w:sz w:val="24"/>
          <w:szCs w:val="24"/>
          <w:u w:val="single"/>
          <w:lang w:eastAsia="cs-CZ"/>
        </w:rPr>
        <w:t>n</w:t>
      </w:r>
      <w:r>
        <w:rPr>
          <w:rFonts w:ascii="Times New Roman" w:eastAsia="Times New Roman" w:hAnsi="Times New Roman" w:cs="Times New Roman"/>
          <w:sz w:val="24"/>
          <w:szCs w:val="24"/>
          <w:u w:val="single"/>
          <w:lang w:eastAsia="cs-CZ"/>
        </w:rPr>
        <w:t xml:space="preserve">ařízení pro vyžádání těchto </w:t>
      </w:r>
      <w:r w:rsidR="00176B35">
        <w:rPr>
          <w:rFonts w:ascii="Times New Roman" w:eastAsia="Times New Roman" w:hAnsi="Times New Roman" w:cs="Times New Roman"/>
          <w:sz w:val="24"/>
          <w:szCs w:val="24"/>
          <w:u w:val="single"/>
          <w:lang w:eastAsia="cs-CZ"/>
        </w:rPr>
        <w:t>dat</w:t>
      </w:r>
      <w:r>
        <w:rPr>
          <w:rFonts w:ascii="Times New Roman" w:eastAsia="Times New Roman" w:hAnsi="Times New Roman" w:cs="Times New Roman"/>
          <w:sz w:val="24"/>
          <w:szCs w:val="24"/>
          <w:u w:val="single"/>
          <w:lang w:eastAsia="cs-CZ"/>
        </w:rPr>
        <w:t xml:space="preserve"> </w:t>
      </w:r>
      <w:r w:rsidRPr="000B65F6">
        <w:rPr>
          <w:rFonts w:ascii="Times New Roman" w:eastAsia="Times New Roman" w:hAnsi="Times New Roman" w:cs="Times New Roman"/>
          <w:sz w:val="24"/>
          <w:szCs w:val="24"/>
          <w:u w:val="single"/>
          <w:lang w:eastAsia="cs-CZ"/>
        </w:rPr>
        <w:t xml:space="preserve">stejný režim jako </w:t>
      </w:r>
      <w:r>
        <w:rPr>
          <w:rFonts w:ascii="Times New Roman" w:eastAsia="Times New Roman" w:hAnsi="Times New Roman" w:cs="Times New Roman"/>
          <w:sz w:val="24"/>
          <w:szCs w:val="24"/>
          <w:u w:val="single"/>
          <w:lang w:eastAsia="cs-CZ"/>
        </w:rPr>
        <w:t xml:space="preserve">pro </w:t>
      </w:r>
      <w:r w:rsidR="00176B35">
        <w:rPr>
          <w:rFonts w:ascii="Times New Roman" w:eastAsia="Times New Roman" w:hAnsi="Times New Roman" w:cs="Times New Roman"/>
          <w:sz w:val="24"/>
          <w:szCs w:val="24"/>
          <w:u w:val="single"/>
          <w:lang w:eastAsia="cs-CZ"/>
        </w:rPr>
        <w:t>data</w:t>
      </w:r>
      <w:r w:rsidRPr="000B65F6">
        <w:rPr>
          <w:rFonts w:ascii="Times New Roman" w:eastAsia="Times New Roman" w:hAnsi="Times New Roman" w:cs="Times New Roman"/>
          <w:sz w:val="24"/>
          <w:szCs w:val="24"/>
          <w:u w:val="single"/>
          <w:lang w:eastAsia="cs-CZ"/>
        </w:rPr>
        <w:t xml:space="preserve"> o účastníkovi ve smyslu tohoto</w:t>
      </w:r>
      <w:r>
        <w:rPr>
          <w:rFonts w:ascii="Times New Roman" w:eastAsia="Times New Roman" w:hAnsi="Times New Roman" w:cs="Times New Roman"/>
          <w:sz w:val="24"/>
          <w:szCs w:val="24"/>
          <w:u w:val="single"/>
          <w:lang w:eastAsia="cs-CZ"/>
        </w:rPr>
        <w:t xml:space="preserve"> </w:t>
      </w:r>
      <w:r w:rsidR="002E0407">
        <w:rPr>
          <w:rFonts w:ascii="Times New Roman" w:eastAsia="Times New Roman" w:hAnsi="Times New Roman" w:cs="Times New Roman"/>
          <w:sz w:val="24"/>
          <w:szCs w:val="24"/>
          <w:u w:val="single"/>
          <w:lang w:eastAsia="cs-CZ"/>
        </w:rPr>
        <w:t>n</w:t>
      </w:r>
      <w:r w:rsidRPr="000B65F6">
        <w:rPr>
          <w:rFonts w:ascii="Times New Roman" w:eastAsia="Times New Roman" w:hAnsi="Times New Roman" w:cs="Times New Roman"/>
          <w:sz w:val="24"/>
          <w:szCs w:val="24"/>
          <w:u w:val="single"/>
          <w:lang w:eastAsia="cs-CZ"/>
        </w:rPr>
        <w:t>ařízení.</w:t>
      </w:r>
    </w:p>
    <w:p w14:paraId="5961D703" w14:textId="3B1DAB66" w:rsidR="000B65F6" w:rsidRPr="000B65F6" w:rsidRDefault="000B65F6" w:rsidP="00A1611D">
      <w:pPr>
        <w:spacing w:before="120" w:after="0" w:line="240" w:lineRule="auto"/>
        <w:jc w:val="both"/>
        <w:rPr>
          <w:rFonts w:ascii="Times New Roman" w:eastAsia="Times New Roman" w:hAnsi="Times New Roman" w:cs="Times New Roman"/>
          <w:sz w:val="24"/>
          <w:szCs w:val="24"/>
          <w:lang w:eastAsia="cs-CZ"/>
        </w:rPr>
      </w:pPr>
      <w:r w:rsidRPr="000B65F6">
        <w:rPr>
          <w:rFonts w:ascii="Times New Roman" w:eastAsia="Times New Roman" w:hAnsi="Times New Roman" w:cs="Times New Roman"/>
          <w:sz w:val="24"/>
          <w:szCs w:val="24"/>
          <w:lang w:eastAsia="cs-CZ"/>
        </w:rPr>
        <w:t xml:space="preserve">Pokud </w:t>
      </w:r>
      <w:r>
        <w:rPr>
          <w:rFonts w:ascii="Times New Roman" w:eastAsia="Times New Roman" w:hAnsi="Times New Roman" w:cs="Times New Roman"/>
          <w:sz w:val="24"/>
          <w:szCs w:val="24"/>
          <w:lang w:eastAsia="cs-CZ"/>
        </w:rPr>
        <w:t xml:space="preserve">však </w:t>
      </w:r>
      <w:r w:rsidRPr="000B65F6">
        <w:rPr>
          <w:rFonts w:ascii="Times New Roman" w:eastAsia="Times New Roman" w:hAnsi="Times New Roman" w:cs="Times New Roman"/>
          <w:sz w:val="24"/>
          <w:szCs w:val="24"/>
          <w:lang w:eastAsia="cs-CZ"/>
        </w:rPr>
        <w:t xml:space="preserve">IP adresy, přístupová čísla a související informace </w:t>
      </w:r>
      <w:r w:rsidRPr="000B65F6">
        <w:rPr>
          <w:rFonts w:ascii="Times New Roman" w:eastAsia="Times New Roman" w:hAnsi="Times New Roman" w:cs="Times New Roman"/>
          <w:sz w:val="24"/>
          <w:szCs w:val="24"/>
          <w:u w:val="single"/>
          <w:lang w:eastAsia="cs-CZ"/>
        </w:rPr>
        <w:t>nejsou vyžadovány výhradně k identifikaci uživatele služby v konkrétním trestním řízení</w:t>
      </w:r>
      <w:r w:rsidRPr="000B65F6">
        <w:rPr>
          <w:rFonts w:ascii="Times New Roman" w:eastAsia="Times New Roman" w:hAnsi="Times New Roman" w:cs="Times New Roman"/>
          <w:sz w:val="24"/>
          <w:szCs w:val="24"/>
          <w:lang w:eastAsia="cs-CZ"/>
        </w:rPr>
        <w:t xml:space="preserve">, jsou vyžadovány k získání informací, které více zasahují do soukromí, jako jsou informace o kontaktech a místu pobytu uživatele. Samy o sobě by mohly sloužit k vytvoření podrobného profilu dotčené osoby, avšak zároveň mohou být zpracovány a analyzovány snadněji než </w:t>
      </w:r>
      <w:r w:rsidR="00176B35">
        <w:rPr>
          <w:rFonts w:ascii="Times New Roman" w:eastAsia="Times New Roman" w:hAnsi="Times New Roman" w:cs="Times New Roman"/>
          <w:sz w:val="24"/>
          <w:szCs w:val="24"/>
          <w:lang w:eastAsia="cs-CZ"/>
        </w:rPr>
        <w:t>data</w:t>
      </w:r>
      <w:r w:rsidRPr="000B65F6">
        <w:rPr>
          <w:rFonts w:ascii="Times New Roman" w:eastAsia="Times New Roman" w:hAnsi="Times New Roman" w:cs="Times New Roman"/>
          <w:sz w:val="24"/>
          <w:szCs w:val="24"/>
          <w:lang w:eastAsia="cs-CZ"/>
        </w:rPr>
        <w:t xml:space="preserve"> o obsahu, neboť již mají strukturovaný a standardizovaný formát. </w:t>
      </w:r>
      <w:r w:rsidRPr="008C6482">
        <w:rPr>
          <w:rFonts w:ascii="Times New Roman" w:eastAsia="Times New Roman" w:hAnsi="Times New Roman" w:cs="Times New Roman"/>
          <w:sz w:val="24"/>
          <w:szCs w:val="24"/>
          <w:u w:val="single"/>
          <w:lang w:eastAsia="cs-CZ"/>
        </w:rPr>
        <w:t xml:space="preserve">Pro tyto případy </w:t>
      </w:r>
      <w:r w:rsidR="002E0407">
        <w:rPr>
          <w:rFonts w:ascii="Times New Roman" w:eastAsia="Times New Roman" w:hAnsi="Times New Roman" w:cs="Times New Roman"/>
          <w:sz w:val="24"/>
          <w:szCs w:val="24"/>
          <w:u w:val="single"/>
          <w:lang w:eastAsia="cs-CZ"/>
        </w:rPr>
        <w:t>n</w:t>
      </w:r>
      <w:r w:rsidRPr="008C6482">
        <w:rPr>
          <w:rFonts w:ascii="Times New Roman" w:eastAsia="Times New Roman" w:hAnsi="Times New Roman" w:cs="Times New Roman"/>
          <w:sz w:val="24"/>
          <w:szCs w:val="24"/>
          <w:u w:val="single"/>
          <w:lang w:eastAsia="cs-CZ"/>
        </w:rPr>
        <w:t>ařízení stanoví pro IP adresy, přístupová čísla a související informace stejný režim jako pro </w:t>
      </w:r>
      <w:r w:rsidR="00176B35">
        <w:rPr>
          <w:rFonts w:ascii="Times New Roman" w:eastAsia="Times New Roman" w:hAnsi="Times New Roman" w:cs="Times New Roman"/>
          <w:sz w:val="24"/>
          <w:szCs w:val="24"/>
          <w:u w:val="single"/>
          <w:lang w:eastAsia="cs-CZ"/>
        </w:rPr>
        <w:t>data</w:t>
      </w:r>
      <w:r w:rsidRPr="008C6482">
        <w:rPr>
          <w:rFonts w:ascii="Times New Roman" w:eastAsia="Times New Roman" w:hAnsi="Times New Roman" w:cs="Times New Roman"/>
          <w:sz w:val="24"/>
          <w:szCs w:val="24"/>
          <w:u w:val="single"/>
          <w:lang w:eastAsia="cs-CZ"/>
        </w:rPr>
        <w:t xml:space="preserve"> o provozu.</w:t>
      </w:r>
      <w:r>
        <w:rPr>
          <w:rFonts w:ascii="Times New Roman" w:eastAsia="Times New Roman" w:hAnsi="Times New Roman" w:cs="Times New Roman"/>
          <w:sz w:val="24"/>
          <w:szCs w:val="24"/>
          <w:lang w:eastAsia="cs-CZ"/>
        </w:rPr>
        <w:t xml:space="preserve"> </w:t>
      </w:r>
    </w:p>
    <w:p w14:paraId="50B5C385" w14:textId="292EBA39" w:rsidR="0074674B" w:rsidRDefault="00176B35" w:rsidP="00A1611D">
      <w:pPr>
        <w:spacing w:before="120"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lastRenderedPageBreak/>
        <w:t>Daty</w:t>
      </w:r>
      <w:r w:rsidR="00E9472B">
        <w:rPr>
          <w:rFonts w:ascii="Times New Roman" w:hAnsi="Times New Roman" w:cs="Times New Roman"/>
          <w:sz w:val="24"/>
          <w:szCs w:val="24"/>
        </w:rPr>
        <w:t xml:space="preserve"> o provozu se rozumí data, která </w:t>
      </w:r>
      <w:r w:rsidR="00E9472B" w:rsidRPr="000B65F6">
        <w:rPr>
          <w:rFonts w:ascii="Times New Roman" w:eastAsia="Times New Roman" w:hAnsi="Times New Roman" w:cs="Times New Roman"/>
          <w:sz w:val="24"/>
          <w:szCs w:val="24"/>
          <w:lang w:eastAsia="cs-CZ"/>
        </w:rPr>
        <w:t>se týkají poskytování služby nabízené poskytovatelem služeb a kter</w:t>
      </w:r>
      <w:r w:rsidR="00E9472B">
        <w:rPr>
          <w:rFonts w:ascii="Times New Roman" w:eastAsia="Times New Roman" w:hAnsi="Times New Roman" w:cs="Times New Roman"/>
          <w:sz w:val="24"/>
          <w:szCs w:val="24"/>
          <w:lang w:eastAsia="cs-CZ"/>
        </w:rPr>
        <w:t>á</w:t>
      </w:r>
      <w:r w:rsidR="00E9472B" w:rsidRPr="000B65F6">
        <w:rPr>
          <w:rFonts w:ascii="Times New Roman" w:eastAsia="Times New Roman" w:hAnsi="Times New Roman" w:cs="Times New Roman"/>
          <w:sz w:val="24"/>
          <w:szCs w:val="24"/>
          <w:lang w:eastAsia="cs-CZ"/>
        </w:rPr>
        <w:t xml:space="preserve"> slouží k</w:t>
      </w:r>
      <w:r w:rsidR="00D712AA">
        <w:rPr>
          <w:rFonts w:ascii="Times New Roman" w:eastAsia="Times New Roman" w:hAnsi="Times New Roman" w:cs="Times New Roman"/>
          <w:sz w:val="24"/>
          <w:szCs w:val="24"/>
          <w:lang w:eastAsia="cs-CZ"/>
        </w:rPr>
        <w:t> </w:t>
      </w:r>
      <w:r w:rsidR="00D712AA" w:rsidRPr="000B65F6">
        <w:rPr>
          <w:rFonts w:ascii="Times New Roman" w:eastAsia="Times New Roman" w:hAnsi="Times New Roman" w:cs="Times New Roman"/>
          <w:sz w:val="24"/>
          <w:szCs w:val="24"/>
          <w:lang w:eastAsia="cs-CZ"/>
        </w:rPr>
        <w:t>poskyt</w:t>
      </w:r>
      <w:r w:rsidR="00D712AA">
        <w:rPr>
          <w:rFonts w:ascii="Times New Roman" w:eastAsia="Times New Roman" w:hAnsi="Times New Roman" w:cs="Times New Roman"/>
          <w:sz w:val="24"/>
          <w:szCs w:val="24"/>
          <w:lang w:eastAsia="cs-CZ"/>
        </w:rPr>
        <w:t xml:space="preserve">nutí </w:t>
      </w:r>
      <w:r w:rsidR="00E9472B" w:rsidRPr="000B65F6">
        <w:rPr>
          <w:rFonts w:ascii="Times New Roman" w:eastAsia="Times New Roman" w:hAnsi="Times New Roman" w:cs="Times New Roman"/>
          <w:sz w:val="24"/>
          <w:szCs w:val="24"/>
          <w:lang w:eastAsia="cs-CZ"/>
        </w:rPr>
        <w:t>kontextu nebo doplňujících informací o takové službě a jsou vytvářen</w:t>
      </w:r>
      <w:r>
        <w:rPr>
          <w:rFonts w:ascii="Times New Roman" w:eastAsia="Times New Roman" w:hAnsi="Times New Roman" w:cs="Times New Roman"/>
          <w:sz w:val="24"/>
          <w:szCs w:val="24"/>
          <w:lang w:eastAsia="cs-CZ"/>
        </w:rPr>
        <w:t>a</w:t>
      </w:r>
      <w:r w:rsidR="00E9472B" w:rsidRPr="000B65F6">
        <w:rPr>
          <w:rFonts w:ascii="Times New Roman" w:eastAsia="Times New Roman" w:hAnsi="Times New Roman" w:cs="Times New Roman"/>
          <w:sz w:val="24"/>
          <w:szCs w:val="24"/>
          <w:lang w:eastAsia="cs-CZ"/>
        </w:rPr>
        <w:t xml:space="preserve"> nebo zpracováván</w:t>
      </w:r>
      <w:r>
        <w:rPr>
          <w:rFonts w:ascii="Times New Roman" w:eastAsia="Times New Roman" w:hAnsi="Times New Roman" w:cs="Times New Roman"/>
          <w:sz w:val="24"/>
          <w:szCs w:val="24"/>
          <w:lang w:eastAsia="cs-CZ"/>
        </w:rPr>
        <w:t>a</w:t>
      </w:r>
      <w:r w:rsidR="00E9472B" w:rsidRPr="000B65F6">
        <w:rPr>
          <w:rFonts w:ascii="Times New Roman" w:eastAsia="Times New Roman" w:hAnsi="Times New Roman" w:cs="Times New Roman"/>
          <w:sz w:val="24"/>
          <w:szCs w:val="24"/>
          <w:lang w:eastAsia="cs-CZ"/>
        </w:rPr>
        <w:t xml:space="preserve"> informačním systémem poskytovatele služeb, jako například zdroj a cíl zprávy nebo jiného typu interakce, </w:t>
      </w:r>
      <w:r>
        <w:rPr>
          <w:rFonts w:ascii="Times New Roman" w:eastAsia="Times New Roman" w:hAnsi="Times New Roman" w:cs="Times New Roman"/>
          <w:sz w:val="24"/>
          <w:szCs w:val="24"/>
          <w:lang w:eastAsia="cs-CZ"/>
        </w:rPr>
        <w:t>data</w:t>
      </w:r>
      <w:r w:rsidR="00E9472B" w:rsidRPr="000B65F6">
        <w:rPr>
          <w:rFonts w:ascii="Times New Roman" w:eastAsia="Times New Roman" w:hAnsi="Times New Roman" w:cs="Times New Roman"/>
          <w:sz w:val="24"/>
          <w:szCs w:val="24"/>
          <w:lang w:eastAsia="cs-CZ"/>
        </w:rPr>
        <w:t xml:space="preserve"> o umístění zařízení, datum, čas, trvání, velikost, trasa, formát, použitý protokol a typ komprese, a další metadata elektronických komunikací a </w:t>
      </w:r>
      <w:r>
        <w:rPr>
          <w:rFonts w:ascii="Times New Roman" w:eastAsia="Times New Roman" w:hAnsi="Times New Roman" w:cs="Times New Roman"/>
          <w:sz w:val="24"/>
          <w:szCs w:val="24"/>
          <w:lang w:eastAsia="cs-CZ"/>
        </w:rPr>
        <w:t>data</w:t>
      </w:r>
      <w:r w:rsidR="00E9472B" w:rsidRPr="000B65F6">
        <w:rPr>
          <w:rFonts w:ascii="Times New Roman" w:eastAsia="Times New Roman" w:hAnsi="Times New Roman" w:cs="Times New Roman"/>
          <w:sz w:val="24"/>
          <w:szCs w:val="24"/>
          <w:lang w:eastAsia="cs-CZ"/>
        </w:rPr>
        <w:t>, jin</w:t>
      </w:r>
      <w:r>
        <w:rPr>
          <w:rFonts w:ascii="Times New Roman" w:eastAsia="Times New Roman" w:hAnsi="Times New Roman" w:cs="Times New Roman"/>
          <w:sz w:val="24"/>
          <w:szCs w:val="24"/>
          <w:lang w:eastAsia="cs-CZ"/>
        </w:rPr>
        <w:t>á</w:t>
      </w:r>
      <w:r w:rsidR="00E9472B" w:rsidRPr="000B65F6">
        <w:rPr>
          <w:rFonts w:ascii="Times New Roman" w:eastAsia="Times New Roman" w:hAnsi="Times New Roman" w:cs="Times New Roman"/>
          <w:sz w:val="24"/>
          <w:szCs w:val="24"/>
          <w:lang w:eastAsia="cs-CZ"/>
        </w:rPr>
        <w:t xml:space="preserve"> než </w:t>
      </w:r>
      <w:r>
        <w:rPr>
          <w:rFonts w:ascii="Times New Roman" w:eastAsia="Times New Roman" w:hAnsi="Times New Roman" w:cs="Times New Roman"/>
          <w:sz w:val="24"/>
          <w:szCs w:val="24"/>
          <w:lang w:eastAsia="cs-CZ"/>
        </w:rPr>
        <w:t>data</w:t>
      </w:r>
      <w:r w:rsidR="00E9472B" w:rsidRPr="000B65F6">
        <w:rPr>
          <w:rFonts w:ascii="Times New Roman" w:eastAsia="Times New Roman" w:hAnsi="Times New Roman" w:cs="Times New Roman"/>
          <w:sz w:val="24"/>
          <w:szCs w:val="24"/>
          <w:lang w:eastAsia="cs-CZ"/>
        </w:rPr>
        <w:t xml:space="preserve"> o účastníkovi, týkající se zahájení a ukončení relace přístupu uživatele ke službě, jako je datum a čas použití, čas přihlášení uživatele ke službě a čas jeho odhlášen</w:t>
      </w:r>
      <w:r w:rsidR="00E9472B">
        <w:rPr>
          <w:rFonts w:ascii="Times New Roman" w:eastAsia="Times New Roman" w:hAnsi="Times New Roman" w:cs="Times New Roman"/>
          <w:sz w:val="24"/>
          <w:szCs w:val="24"/>
          <w:lang w:eastAsia="cs-CZ"/>
        </w:rPr>
        <w:t>í.</w:t>
      </w:r>
    </w:p>
    <w:p w14:paraId="7B0FA472" w14:textId="5C60873F" w:rsidR="009E4B57" w:rsidRDefault="009E4B57" w:rsidP="00A1611D">
      <w:pPr>
        <w:spacing w:before="120"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 formuláře osvědčení obsaženého v příloze </w:t>
      </w:r>
      <w:r w:rsidR="002E0407">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ařízení pak vyplývá, že do této kategorie dat spadají zejména následující data (nejde o uzavřený výčet):</w:t>
      </w:r>
    </w:p>
    <w:p w14:paraId="2454E252" w14:textId="58620635" w:rsidR="009E4B57" w:rsidRPr="00435DF2" w:rsidRDefault="009E4B57" w:rsidP="00A1611D">
      <w:pPr>
        <w:pStyle w:val="Odstavecseseznamem"/>
        <w:numPr>
          <w:ilvl w:val="0"/>
          <w:numId w:val="18"/>
        </w:numPr>
        <w:spacing w:before="120" w:after="0" w:line="240" w:lineRule="auto"/>
        <w:ind w:left="426" w:hanging="426"/>
        <w:contextualSpacing w:val="0"/>
        <w:jc w:val="both"/>
        <w:rPr>
          <w:rFonts w:eastAsia="Times New Roman"/>
          <w:lang w:eastAsia="cs-CZ"/>
        </w:rPr>
      </w:pPr>
      <w:r w:rsidRPr="00435DF2">
        <w:rPr>
          <w:rFonts w:eastAsia="Times New Roman"/>
          <w:lang w:eastAsia="cs-CZ"/>
        </w:rPr>
        <w:t>u (mobilních) telefonů:</w:t>
      </w:r>
    </w:p>
    <w:p w14:paraId="677B305D" w14:textId="45C62B5D" w:rsidR="009E4B57" w:rsidRPr="008977D9" w:rsidRDefault="009E4B57" w:rsidP="00A1611D">
      <w:pPr>
        <w:pStyle w:val="Odstavecseseznamem"/>
        <w:numPr>
          <w:ilvl w:val="0"/>
          <w:numId w:val="16"/>
        </w:numPr>
        <w:spacing w:before="120" w:after="0" w:line="240" w:lineRule="auto"/>
        <w:ind w:left="714" w:hanging="357"/>
        <w:contextualSpacing w:val="0"/>
        <w:jc w:val="both"/>
        <w:rPr>
          <w:rFonts w:eastAsia="Times New Roman"/>
          <w:lang w:eastAsia="cs-CZ"/>
        </w:rPr>
      </w:pPr>
      <w:r w:rsidRPr="008977D9">
        <w:rPr>
          <w:rFonts w:eastAsia="Times New Roman"/>
          <w:lang w:eastAsia="cs-CZ"/>
        </w:rPr>
        <w:t>odchozí a příchozí identifikátory (telefonní číslo, IMSI, IMEI)</w:t>
      </w:r>
      <w:r>
        <w:rPr>
          <w:rFonts w:eastAsia="Times New Roman"/>
          <w:lang w:eastAsia="cs-CZ"/>
        </w:rPr>
        <w:t>,</w:t>
      </w:r>
    </w:p>
    <w:p w14:paraId="7BFB520C" w14:textId="5E7A701E" w:rsidR="009E4B57" w:rsidRPr="008977D9" w:rsidRDefault="009E4B57" w:rsidP="00A1611D">
      <w:pPr>
        <w:pStyle w:val="Odstavecseseznamem"/>
        <w:numPr>
          <w:ilvl w:val="0"/>
          <w:numId w:val="16"/>
        </w:numPr>
        <w:spacing w:before="120" w:after="0" w:line="240" w:lineRule="auto"/>
        <w:ind w:left="714" w:hanging="357"/>
        <w:contextualSpacing w:val="0"/>
        <w:jc w:val="both"/>
        <w:rPr>
          <w:rFonts w:eastAsia="Times New Roman"/>
          <w:lang w:eastAsia="cs-CZ"/>
        </w:rPr>
      </w:pPr>
      <w:r w:rsidRPr="008977D9">
        <w:rPr>
          <w:rFonts w:eastAsia="Times New Roman"/>
          <w:lang w:eastAsia="cs-CZ"/>
        </w:rPr>
        <w:t>čas a trvání připojení</w:t>
      </w:r>
      <w:r>
        <w:rPr>
          <w:rFonts w:eastAsia="Times New Roman"/>
          <w:lang w:eastAsia="cs-CZ"/>
        </w:rPr>
        <w:t>,</w:t>
      </w:r>
    </w:p>
    <w:p w14:paraId="738796A2" w14:textId="1A2C06DE" w:rsidR="009E4B57" w:rsidRPr="008977D9" w:rsidRDefault="009E4B57" w:rsidP="00A1611D">
      <w:pPr>
        <w:pStyle w:val="Odstavecseseznamem"/>
        <w:numPr>
          <w:ilvl w:val="0"/>
          <w:numId w:val="16"/>
        </w:numPr>
        <w:spacing w:before="120" w:after="0" w:line="240" w:lineRule="auto"/>
        <w:ind w:left="714" w:hanging="357"/>
        <w:contextualSpacing w:val="0"/>
        <w:jc w:val="both"/>
        <w:rPr>
          <w:rFonts w:eastAsia="Times New Roman"/>
          <w:lang w:eastAsia="cs-CZ"/>
        </w:rPr>
      </w:pPr>
      <w:r w:rsidRPr="008977D9">
        <w:rPr>
          <w:rFonts w:eastAsia="Times New Roman"/>
          <w:lang w:eastAsia="cs-CZ"/>
        </w:rPr>
        <w:t>pokusy o volání</w:t>
      </w:r>
      <w:r>
        <w:rPr>
          <w:rFonts w:eastAsia="Times New Roman"/>
          <w:lang w:eastAsia="cs-CZ"/>
        </w:rPr>
        <w:t>,</w:t>
      </w:r>
    </w:p>
    <w:p w14:paraId="33AAC3DB" w14:textId="6B8026E5" w:rsidR="009E4B57" w:rsidRPr="008977D9" w:rsidRDefault="009E4B57" w:rsidP="00A1611D">
      <w:pPr>
        <w:pStyle w:val="Odstavecseseznamem"/>
        <w:numPr>
          <w:ilvl w:val="0"/>
          <w:numId w:val="16"/>
        </w:numPr>
        <w:spacing w:before="120" w:after="0" w:line="240" w:lineRule="auto"/>
        <w:ind w:left="714" w:hanging="357"/>
        <w:contextualSpacing w:val="0"/>
        <w:jc w:val="both"/>
        <w:rPr>
          <w:rFonts w:eastAsia="Times New Roman"/>
          <w:lang w:eastAsia="cs-CZ"/>
        </w:rPr>
      </w:pPr>
      <w:r w:rsidRPr="008977D9">
        <w:rPr>
          <w:rFonts w:eastAsia="Times New Roman"/>
          <w:lang w:eastAsia="cs-CZ"/>
        </w:rPr>
        <w:t>ID základové stanice, včetně zeměpisných informací (souřadnic X/Y), v době začátku a</w:t>
      </w:r>
      <w:r w:rsidR="00D712AA">
        <w:rPr>
          <w:rFonts w:eastAsia="Times New Roman"/>
          <w:lang w:eastAsia="cs-CZ"/>
        </w:rPr>
        <w:t> </w:t>
      </w:r>
      <w:r w:rsidRPr="008977D9">
        <w:rPr>
          <w:rFonts w:eastAsia="Times New Roman"/>
          <w:lang w:eastAsia="cs-CZ"/>
        </w:rPr>
        <w:t>ukončení spojení</w:t>
      </w:r>
      <w:r>
        <w:rPr>
          <w:rFonts w:eastAsia="Times New Roman"/>
          <w:lang w:eastAsia="cs-CZ"/>
        </w:rPr>
        <w:t>,</w:t>
      </w:r>
    </w:p>
    <w:p w14:paraId="1E0B4ACE" w14:textId="46594ABE" w:rsidR="009E4B57" w:rsidRPr="009D22D7" w:rsidRDefault="009E4B57" w:rsidP="009D22D7">
      <w:pPr>
        <w:pStyle w:val="Odstavecseseznamem"/>
        <w:numPr>
          <w:ilvl w:val="0"/>
          <w:numId w:val="16"/>
        </w:numPr>
        <w:spacing w:before="120" w:after="0" w:line="240" w:lineRule="auto"/>
        <w:ind w:left="714" w:hanging="357"/>
        <w:contextualSpacing w:val="0"/>
        <w:jc w:val="both"/>
        <w:rPr>
          <w:rFonts w:eastAsia="Times New Roman"/>
          <w:lang w:eastAsia="cs-CZ"/>
        </w:rPr>
      </w:pPr>
      <w:r w:rsidRPr="008977D9">
        <w:rPr>
          <w:rFonts w:eastAsia="Times New Roman"/>
          <w:lang w:eastAsia="cs-CZ"/>
        </w:rPr>
        <w:t>použitý nositel / telefonní služba (např. UMTS, GPRS)</w:t>
      </w:r>
      <w:r w:rsidR="00D712AA">
        <w:rPr>
          <w:rFonts w:eastAsia="Times New Roman"/>
          <w:lang w:eastAsia="cs-CZ"/>
        </w:rPr>
        <w:t>;</w:t>
      </w:r>
    </w:p>
    <w:p w14:paraId="1606AB6E" w14:textId="2F154BA3" w:rsidR="009E4B57" w:rsidRPr="00435DF2" w:rsidRDefault="009E4B57" w:rsidP="00A1611D">
      <w:pPr>
        <w:pStyle w:val="Odstavecseseznamem"/>
        <w:numPr>
          <w:ilvl w:val="0"/>
          <w:numId w:val="18"/>
        </w:numPr>
        <w:spacing w:before="120" w:after="0" w:line="240" w:lineRule="auto"/>
        <w:ind w:left="426" w:hanging="426"/>
        <w:contextualSpacing w:val="0"/>
        <w:jc w:val="both"/>
        <w:rPr>
          <w:rFonts w:eastAsia="Times New Roman"/>
          <w:lang w:eastAsia="cs-CZ"/>
        </w:rPr>
      </w:pPr>
      <w:r w:rsidRPr="00435DF2">
        <w:rPr>
          <w:rFonts w:eastAsia="Times New Roman"/>
          <w:lang w:eastAsia="cs-CZ"/>
        </w:rPr>
        <w:t>u internetu:</w:t>
      </w:r>
    </w:p>
    <w:p w14:paraId="18EB53D6" w14:textId="32417177" w:rsidR="009E4B57" w:rsidRPr="008977D9" w:rsidRDefault="009E4B57" w:rsidP="00A1611D">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informace o směrování (zdrojová IP adresa, cílová IP adresa či adresy, číslo či čísla portu, prohlížeče, informace o záhlaví v e-mailu, ID zpráva)</w:t>
      </w:r>
      <w:r>
        <w:rPr>
          <w:rFonts w:eastAsia="Times New Roman"/>
          <w:lang w:eastAsia="cs-CZ"/>
        </w:rPr>
        <w:t>,</w:t>
      </w:r>
    </w:p>
    <w:p w14:paraId="16FBE70D" w14:textId="13AAB7A7" w:rsidR="009E4B57" w:rsidRPr="008977D9" w:rsidRDefault="009E4B57" w:rsidP="00A1611D">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ID základové stanice, včetně zeměpisných informací (souřadnic X/Y), v době začátku a ukončení spojení</w:t>
      </w:r>
      <w:r>
        <w:rPr>
          <w:rFonts w:eastAsia="Times New Roman"/>
          <w:lang w:eastAsia="cs-CZ"/>
        </w:rPr>
        <w:t>,</w:t>
      </w:r>
    </w:p>
    <w:p w14:paraId="58DB9AF0" w14:textId="175437D8" w:rsidR="009E4B57" w:rsidRPr="008977D9" w:rsidRDefault="009E4B57" w:rsidP="00A1611D">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objem dat</w:t>
      </w:r>
      <w:r>
        <w:rPr>
          <w:rFonts w:eastAsia="Times New Roman"/>
          <w:lang w:eastAsia="cs-CZ"/>
        </w:rPr>
        <w:t>,</w:t>
      </w:r>
    </w:p>
    <w:p w14:paraId="7BD3D262" w14:textId="14EF1976" w:rsidR="009E4B57" w:rsidRPr="008977D9" w:rsidRDefault="009E4B57" w:rsidP="00A1611D">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datum a čas připojení</w:t>
      </w:r>
      <w:r>
        <w:rPr>
          <w:rFonts w:eastAsia="Times New Roman"/>
          <w:lang w:eastAsia="cs-CZ"/>
        </w:rPr>
        <w:t>,</w:t>
      </w:r>
    </w:p>
    <w:p w14:paraId="6B80C94B" w14:textId="77B563FE" w:rsidR="008B6F5D" w:rsidRPr="009D22D7" w:rsidRDefault="009E4B57" w:rsidP="009D22D7">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trvání připojení nebo přístupu</w:t>
      </w:r>
      <w:r w:rsidR="00D712AA">
        <w:rPr>
          <w:rFonts w:eastAsia="Times New Roman"/>
          <w:lang w:eastAsia="cs-CZ"/>
        </w:rPr>
        <w:t>;</w:t>
      </w:r>
    </w:p>
    <w:p w14:paraId="352138F3" w14:textId="77777777" w:rsidR="009E4B57" w:rsidRPr="008977D9" w:rsidRDefault="009E4B57" w:rsidP="00A1611D">
      <w:pPr>
        <w:pStyle w:val="Odstavecseseznamem"/>
        <w:numPr>
          <w:ilvl w:val="0"/>
          <w:numId w:val="18"/>
        </w:numPr>
        <w:spacing w:before="120" w:after="0" w:line="240" w:lineRule="auto"/>
        <w:ind w:left="426" w:hanging="426"/>
        <w:contextualSpacing w:val="0"/>
        <w:jc w:val="both"/>
        <w:rPr>
          <w:rFonts w:eastAsia="Times New Roman"/>
          <w:lang w:eastAsia="cs-CZ"/>
        </w:rPr>
      </w:pPr>
      <w:r w:rsidRPr="008977D9">
        <w:rPr>
          <w:rFonts w:eastAsia="Times New Roman"/>
          <w:lang w:eastAsia="cs-CZ"/>
        </w:rPr>
        <w:t>u hostingu:</w:t>
      </w:r>
    </w:p>
    <w:p w14:paraId="56928A82" w14:textId="474CFE01" w:rsidR="009E4B57" w:rsidRPr="008977D9" w:rsidRDefault="009E4B57" w:rsidP="00A1611D">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soubor protokolů</w:t>
      </w:r>
      <w:r>
        <w:rPr>
          <w:rFonts w:eastAsia="Times New Roman"/>
          <w:lang w:eastAsia="cs-CZ"/>
        </w:rPr>
        <w:t>,</w:t>
      </w:r>
    </w:p>
    <w:p w14:paraId="1EAE188A" w14:textId="519412D9" w:rsidR="009E4B57" w:rsidRPr="009D22D7" w:rsidRDefault="009E4B57" w:rsidP="009D22D7">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tikety</w:t>
      </w:r>
      <w:r w:rsidR="00D712AA">
        <w:rPr>
          <w:rFonts w:eastAsia="Times New Roman"/>
          <w:lang w:eastAsia="cs-CZ"/>
        </w:rPr>
        <w:t>;</w:t>
      </w:r>
    </w:p>
    <w:p w14:paraId="17F0217B" w14:textId="77777777" w:rsidR="009E4B57" w:rsidRPr="008977D9" w:rsidRDefault="009E4B57" w:rsidP="00A1611D">
      <w:pPr>
        <w:pStyle w:val="Odstavecseseznamem"/>
        <w:numPr>
          <w:ilvl w:val="0"/>
          <w:numId w:val="18"/>
        </w:numPr>
        <w:spacing w:before="120" w:after="0" w:line="240" w:lineRule="auto"/>
        <w:ind w:left="426" w:hanging="426"/>
        <w:contextualSpacing w:val="0"/>
        <w:jc w:val="both"/>
        <w:rPr>
          <w:rFonts w:eastAsia="Times New Roman"/>
          <w:lang w:eastAsia="cs-CZ"/>
        </w:rPr>
      </w:pPr>
      <w:r w:rsidRPr="008977D9">
        <w:rPr>
          <w:rFonts w:eastAsia="Times New Roman"/>
          <w:lang w:eastAsia="cs-CZ"/>
        </w:rPr>
        <w:t>jiné</w:t>
      </w:r>
    </w:p>
    <w:p w14:paraId="724119C3" w14:textId="2FCD2153" w:rsidR="009E4B57" w:rsidRPr="008977D9" w:rsidRDefault="009E4B57" w:rsidP="00A1611D">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historie nákupů</w:t>
      </w:r>
      <w:r>
        <w:rPr>
          <w:rFonts w:eastAsia="Times New Roman"/>
          <w:lang w:eastAsia="cs-CZ"/>
        </w:rPr>
        <w:t>,</w:t>
      </w:r>
    </w:p>
    <w:p w14:paraId="48949DC2" w14:textId="38A3F03D" w:rsidR="00295530" w:rsidRPr="009D22D7" w:rsidRDefault="009E4B57" w:rsidP="009D22D7">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historie dobíjení zůstatku předplacené služby</w:t>
      </w:r>
      <w:r>
        <w:rPr>
          <w:rFonts w:eastAsia="Times New Roman"/>
          <w:lang w:eastAsia="cs-CZ"/>
        </w:rPr>
        <w:t>.</w:t>
      </w:r>
    </w:p>
    <w:p w14:paraId="0A98AFD4" w14:textId="71E89611" w:rsidR="009E4B57" w:rsidRDefault="00893AB1" w:rsidP="00A1611D">
      <w:pPr>
        <w:spacing w:before="120"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Daty</w:t>
      </w:r>
      <w:r w:rsidR="00951C82">
        <w:rPr>
          <w:rFonts w:ascii="Times New Roman" w:eastAsia="Times New Roman" w:hAnsi="Times New Roman" w:cs="Times New Roman"/>
          <w:sz w:val="24"/>
          <w:szCs w:val="24"/>
          <w:lang w:eastAsia="cs-CZ"/>
        </w:rPr>
        <w:t xml:space="preserve"> o obsahu se pak rozumí jakákoli data v digitálním formátu, jako je </w:t>
      </w:r>
      <w:r w:rsidR="00951C82" w:rsidRPr="00A578C3">
        <w:rPr>
          <w:rFonts w:ascii="Times New Roman" w:eastAsia="Times New Roman" w:hAnsi="Times New Roman" w:cs="Times New Roman"/>
          <w:sz w:val="24"/>
          <w:szCs w:val="24"/>
          <w:lang w:eastAsia="cs-CZ"/>
        </w:rPr>
        <w:t>text, hlas, videa, obrázky a zvuk, a to jin</w:t>
      </w:r>
      <w:r w:rsidR="00951C82">
        <w:rPr>
          <w:rFonts w:ascii="Times New Roman" w:eastAsia="Times New Roman" w:hAnsi="Times New Roman" w:cs="Times New Roman"/>
          <w:sz w:val="24"/>
          <w:szCs w:val="24"/>
          <w:lang w:eastAsia="cs-CZ"/>
        </w:rPr>
        <w:t xml:space="preserve">á než </w:t>
      </w:r>
      <w:r>
        <w:rPr>
          <w:rFonts w:ascii="Times New Roman" w:eastAsia="Times New Roman" w:hAnsi="Times New Roman" w:cs="Times New Roman"/>
          <w:sz w:val="24"/>
          <w:szCs w:val="24"/>
          <w:lang w:eastAsia="cs-CZ"/>
        </w:rPr>
        <w:t>data</w:t>
      </w:r>
      <w:r w:rsidR="00951C82">
        <w:rPr>
          <w:rFonts w:ascii="Times New Roman" w:eastAsia="Times New Roman" w:hAnsi="Times New Roman" w:cs="Times New Roman"/>
          <w:sz w:val="24"/>
          <w:szCs w:val="24"/>
          <w:lang w:eastAsia="cs-CZ"/>
        </w:rPr>
        <w:t xml:space="preserve"> </w:t>
      </w:r>
      <w:r w:rsidR="00951C82" w:rsidRPr="00A578C3">
        <w:rPr>
          <w:rFonts w:ascii="Times New Roman" w:eastAsia="Times New Roman" w:hAnsi="Times New Roman" w:cs="Times New Roman"/>
          <w:sz w:val="24"/>
          <w:szCs w:val="24"/>
          <w:lang w:eastAsia="cs-CZ"/>
        </w:rPr>
        <w:t xml:space="preserve">o účastníkovi nebo </w:t>
      </w:r>
      <w:r>
        <w:rPr>
          <w:rFonts w:ascii="Times New Roman" w:eastAsia="Times New Roman" w:hAnsi="Times New Roman" w:cs="Times New Roman"/>
          <w:sz w:val="24"/>
          <w:szCs w:val="24"/>
          <w:lang w:eastAsia="cs-CZ"/>
        </w:rPr>
        <w:t>data</w:t>
      </w:r>
      <w:r w:rsidR="00951C82" w:rsidRPr="00A578C3">
        <w:rPr>
          <w:rFonts w:ascii="Times New Roman" w:eastAsia="Times New Roman" w:hAnsi="Times New Roman" w:cs="Times New Roman"/>
          <w:sz w:val="24"/>
          <w:szCs w:val="24"/>
          <w:lang w:eastAsia="cs-CZ"/>
        </w:rPr>
        <w:t xml:space="preserve"> o provozu</w:t>
      </w:r>
      <w:r w:rsidR="00951C82">
        <w:rPr>
          <w:rFonts w:ascii="Times New Roman" w:eastAsia="Times New Roman" w:hAnsi="Times New Roman" w:cs="Times New Roman"/>
          <w:sz w:val="24"/>
          <w:szCs w:val="24"/>
          <w:lang w:eastAsia="cs-CZ"/>
        </w:rPr>
        <w:t>.</w:t>
      </w:r>
      <w:r w:rsidR="009E4B57">
        <w:rPr>
          <w:rFonts w:ascii="Times New Roman" w:eastAsia="Times New Roman" w:hAnsi="Times New Roman" w:cs="Times New Roman"/>
          <w:sz w:val="24"/>
          <w:szCs w:val="24"/>
          <w:lang w:eastAsia="cs-CZ"/>
        </w:rPr>
        <w:t xml:space="preserve"> Z formuláře osvědčení obsaženého v příloze </w:t>
      </w:r>
      <w:r w:rsidR="002E0407">
        <w:rPr>
          <w:rFonts w:ascii="Times New Roman" w:eastAsia="Times New Roman" w:hAnsi="Times New Roman" w:cs="Times New Roman"/>
          <w:sz w:val="24"/>
          <w:szCs w:val="24"/>
          <w:lang w:eastAsia="cs-CZ"/>
        </w:rPr>
        <w:t>n</w:t>
      </w:r>
      <w:r w:rsidR="009E4B57">
        <w:rPr>
          <w:rFonts w:ascii="Times New Roman" w:eastAsia="Times New Roman" w:hAnsi="Times New Roman" w:cs="Times New Roman"/>
          <w:sz w:val="24"/>
          <w:szCs w:val="24"/>
          <w:lang w:eastAsia="cs-CZ"/>
        </w:rPr>
        <w:t>ařízení pak vyplývá, že do této kategorie dat spadají zejména následující data (nejde o uzavřený výčet):</w:t>
      </w:r>
    </w:p>
    <w:p w14:paraId="337A7CA1" w14:textId="4BF97FDC" w:rsidR="009E4B57" w:rsidRPr="008977D9" w:rsidRDefault="009E4B57" w:rsidP="00A1611D">
      <w:pPr>
        <w:pStyle w:val="Odstavecseseznamem"/>
        <w:numPr>
          <w:ilvl w:val="0"/>
          <w:numId w:val="16"/>
        </w:numPr>
        <w:spacing w:before="120" w:after="0" w:line="240" w:lineRule="auto"/>
        <w:ind w:left="284" w:hanging="284"/>
        <w:contextualSpacing w:val="0"/>
        <w:jc w:val="both"/>
        <w:rPr>
          <w:rFonts w:eastAsia="Times New Roman"/>
          <w:lang w:eastAsia="cs-CZ"/>
        </w:rPr>
      </w:pPr>
      <w:r w:rsidRPr="008977D9">
        <w:rPr>
          <w:rFonts w:eastAsia="Times New Roman"/>
          <w:lang w:eastAsia="cs-CZ"/>
        </w:rPr>
        <w:t>výpis (webové) poštovní schránky</w:t>
      </w:r>
      <w:r>
        <w:rPr>
          <w:rFonts w:eastAsia="Times New Roman"/>
          <w:lang w:eastAsia="cs-CZ"/>
        </w:rPr>
        <w:t>,</w:t>
      </w:r>
    </w:p>
    <w:p w14:paraId="7D0BF6D0" w14:textId="3DAAF1C4" w:rsidR="009E4B57" w:rsidRPr="008977D9" w:rsidRDefault="009E4B57" w:rsidP="00A1611D">
      <w:pPr>
        <w:pStyle w:val="Odstavecseseznamem"/>
        <w:numPr>
          <w:ilvl w:val="0"/>
          <w:numId w:val="16"/>
        </w:numPr>
        <w:spacing w:before="120" w:after="0" w:line="240" w:lineRule="auto"/>
        <w:ind w:left="284" w:hanging="284"/>
        <w:contextualSpacing w:val="0"/>
        <w:jc w:val="both"/>
        <w:rPr>
          <w:rFonts w:eastAsia="Times New Roman"/>
          <w:lang w:eastAsia="cs-CZ"/>
        </w:rPr>
      </w:pPr>
      <w:r w:rsidRPr="008977D9">
        <w:rPr>
          <w:rFonts w:eastAsia="Times New Roman"/>
          <w:lang w:eastAsia="cs-CZ"/>
        </w:rPr>
        <w:t>výpis online úložiště (dat vygenerovaných uživatelem)</w:t>
      </w:r>
      <w:r>
        <w:rPr>
          <w:rFonts w:eastAsia="Times New Roman"/>
          <w:lang w:eastAsia="cs-CZ"/>
        </w:rPr>
        <w:t>,</w:t>
      </w:r>
    </w:p>
    <w:p w14:paraId="4F0890F5" w14:textId="6209B3AF" w:rsidR="009E4B57" w:rsidRPr="008977D9" w:rsidRDefault="009E4B57" w:rsidP="00A1611D">
      <w:pPr>
        <w:pStyle w:val="Odstavecseseznamem"/>
        <w:numPr>
          <w:ilvl w:val="0"/>
          <w:numId w:val="16"/>
        </w:numPr>
        <w:spacing w:before="120" w:after="0" w:line="240" w:lineRule="auto"/>
        <w:ind w:left="284" w:hanging="284"/>
        <w:contextualSpacing w:val="0"/>
        <w:jc w:val="both"/>
        <w:rPr>
          <w:rFonts w:eastAsia="Times New Roman"/>
          <w:lang w:eastAsia="cs-CZ"/>
        </w:rPr>
      </w:pPr>
      <w:r w:rsidRPr="008977D9">
        <w:rPr>
          <w:rFonts w:eastAsia="Times New Roman"/>
          <w:lang w:eastAsia="cs-CZ"/>
        </w:rPr>
        <w:t>výpis stránek</w:t>
      </w:r>
      <w:r>
        <w:rPr>
          <w:rFonts w:eastAsia="Times New Roman"/>
          <w:lang w:eastAsia="cs-CZ"/>
        </w:rPr>
        <w:t>,</w:t>
      </w:r>
    </w:p>
    <w:p w14:paraId="16ADE98A" w14:textId="293F255B" w:rsidR="009E4B57" w:rsidRPr="008977D9" w:rsidRDefault="009E4B57" w:rsidP="00A1611D">
      <w:pPr>
        <w:pStyle w:val="Odstavecseseznamem"/>
        <w:numPr>
          <w:ilvl w:val="0"/>
          <w:numId w:val="16"/>
        </w:numPr>
        <w:spacing w:before="120" w:after="0" w:line="240" w:lineRule="auto"/>
        <w:ind w:left="284" w:hanging="284"/>
        <w:contextualSpacing w:val="0"/>
        <w:jc w:val="both"/>
        <w:rPr>
          <w:rFonts w:eastAsia="Times New Roman"/>
          <w:lang w:eastAsia="cs-CZ"/>
        </w:rPr>
      </w:pPr>
      <w:r w:rsidRPr="008977D9">
        <w:rPr>
          <w:rFonts w:eastAsia="Times New Roman"/>
          <w:lang w:eastAsia="cs-CZ"/>
        </w:rPr>
        <w:t>protokol/záloha zpráv</w:t>
      </w:r>
      <w:r>
        <w:rPr>
          <w:rFonts w:eastAsia="Times New Roman"/>
          <w:lang w:eastAsia="cs-CZ"/>
        </w:rPr>
        <w:t>,</w:t>
      </w:r>
    </w:p>
    <w:p w14:paraId="28E50124" w14:textId="7688D34C" w:rsidR="009E4B57" w:rsidRPr="008977D9" w:rsidRDefault="009E4B57" w:rsidP="00A1611D">
      <w:pPr>
        <w:pStyle w:val="Odstavecseseznamem"/>
        <w:numPr>
          <w:ilvl w:val="0"/>
          <w:numId w:val="16"/>
        </w:numPr>
        <w:spacing w:before="120" w:after="0" w:line="240" w:lineRule="auto"/>
        <w:ind w:left="284" w:hanging="284"/>
        <w:contextualSpacing w:val="0"/>
        <w:jc w:val="both"/>
        <w:rPr>
          <w:rFonts w:eastAsia="Times New Roman"/>
          <w:lang w:eastAsia="cs-CZ"/>
        </w:rPr>
      </w:pPr>
      <w:r w:rsidRPr="008977D9">
        <w:rPr>
          <w:rFonts w:eastAsia="Times New Roman"/>
          <w:lang w:eastAsia="cs-CZ"/>
        </w:rPr>
        <w:lastRenderedPageBreak/>
        <w:t>výpis hlasových zpráv</w:t>
      </w:r>
      <w:r>
        <w:rPr>
          <w:rFonts w:eastAsia="Times New Roman"/>
          <w:lang w:eastAsia="cs-CZ"/>
        </w:rPr>
        <w:t>,</w:t>
      </w:r>
    </w:p>
    <w:p w14:paraId="746989C8" w14:textId="7A1EF022" w:rsidR="009E4B57" w:rsidRPr="008977D9" w:rsidRDefault="009E4B57" w:rsidP="00A1611D">
      <w:pPr>
        <w:pStyle w:val="Odstavecseseznamem"/>
        <w:numPr>
          <w:ilvl w:val="0"/>
          <w:numId w:val="16"/>
        </w:numPr>
        <w:spacing w:before="120" w:after="0" w:line="240" w:lineRule="auto"/>
        <w:ind w:left="284" w:hanging="284"/>
        <w:contextualSpacing w:val="0"/>
        <w:jc w:val="both"/>
        <w:rPr>
          <w:rFonts w:eastAsia="Times New Roman"/>
          <w:lang w:eastAsia="cs-CZ"/>
        </w:rPr>
      </w:pPr>
      <w:r w:rsidRPr="008977D9">
        <w:rPr>
          <w:rFonts w:eastAsia="Times New Roman"/>
          <w:lang w:eastAsia="cs-CZ"/>
        </w:rPr>
        <w:t>obsah serveru</w:t>
      </w:r>
      <w:r>
        <w:rPr>
          <w:rFonts w:eastAsia="Times New Roman"/>
          <w:lang w:eastAsia="cs-CZ"/>
        </w:rPr>
        <w:t>,</w:t>
      </w:r>
    </w:p>
    <w:p w14:paraId="0FD7B758" w14:textId="0FEF4D5A" w:rsidR="009E4B57" w:rsidRPr="008977D9" w:rsidRDefault="009E4B57" w:rsidP="00A1611D">
      <w:pPr>
        <w:pStyle w:val="Odstavecseseznamem"/>
        <w:numPr>
          <w:ilvl w:val="0"/>
          <w:numId w:val="16"/>
        </w:numPr>
        <w:spacing w:before="120" w:after="0" w:line="240" w:lineRule="auto"/>
        <w:ind w:left="284" w:hanging="284"/>
        <w:contextualSpacing w:val="0"/>
        <w:jc w:val="both"/>
        <w:rPr>
          <w:rFonts w:eastAsia="Times New Roman"/>
          <w:lang w:eastAsia="cs-CZ"/>
        </w:rPr>
      </w:pPr>
      <w:r w:rsidRPr="008977D9">
        <w:rPr>
          <w:rFonts w:eastAsia="Times New Roman"/>
          <w:lang w:eastAsia="cs-CZ"/>
        </w:rPr>
        <w:t>zálohování zařízení</w:t>
      </w:r>
      <w:r>
        <w:rPr>
          <w:rFonts w:eastAsia="Times New Roman"/>
          <w:lang w:eastAsia="cs-CZ"/>
        </w:rPr>
        <w:t>,</w:t>
      </w:r>
    </w:p>
    <w:p w14:paraId="61A15DD8" w14:textId="6A77390E" w:rsidR="009E4B57" w:rsidRPr="008977D9" w:rsidRDefault="009E4B57" w:rsidP="00A1611D">
      <w:pPr>
        <w:pStyle w:val="Odstavecseseznamem"/>
        <w:numPr>
          <w:ilvl w:val="0"/>
          <w:numId w:val="16"/>
        </w:numPr>
        <w:spacing w:before="120" w:after="0" w:line="240" w:lineRule="auto"/>
        <w:ind w:left="284" w:hanging="284"/>
        <w:contextualSpacing w:val="0"/>
        <w:jc w:val="both"/>
        <w:rPr>
          <w:rFonts w:eastAsia="Times New Roman"/>
          <w:lang w:eastAsia="cs-CZ"/>
        </w:rPr>
      </w:pPr>
      <w:r w:rsidRPr="008977D9">
        <w:rPr>
          <w:rFonts w:eastAsia="Times New Roman"/>
          <w:lang w:eastAsia="cs-CZ"/>
        </w:rPr>
        <w:t>seznam kontaktů</w:t>
      </w:r>
      <w:r>
        <w:rPr>
          <w:rFonts w:eastAsia="Times New Roman"/>
          <w:lang w:eastAsia="cs-CZ"/>
        </w:rPr>
        <w:t>.</w:t>
      </w:r>
    </w:p>
    <w:p w14:paraId="6F819868" w14:textId="77777777" w:rsidR="008A6B55" w:rsidRPr="000B65F6" w:rsidRDefault="008A6B55" w:rsidP="00A1611D">
      <w:pPr>
        <w:spacing w:before="120" w:after="0" w:line="240" w:lineRule="auto"/>
        <w:rPr>
          <w:rFonts w:ascii="Times New Roman" w:eastAsia="Times New Roman" w:hAnsi="Times New Roman" w:cs="Times New Roman"/>
          <w:bCs/>
          <w:vanish/>
          <w:color w:val="000000"/>
          <w:sz w:val="24"/>
          <w:szCs w:val="24"/>
          <w:lang w:eastAsia="cs-CZ"/>
        </w:rPr>
      </w:pPr>
    </w:p>
    <w:p w14:paraId="0FEF6883" w14:textId="4C9F3EAA" w:rsidR="00F0647B" w:rsidRPr="00692092" w:rsidRDefault="00F0647B" w:rsidP="00A1611D">
      <w:pPr>
        <w:spacing w:before="120" w:after="0" w:line="240" w:lineRule="auto"/>
        <w:jc w:val="both"/>
        <w:rPr>
          <w:rFonts w:ascii="Times New Roman" w:eastAsia="Times New Roman" w:hAnsi="Times New Roman" w:cs="Times New Roman"/>
          <w:bCs/>
          <w:sz w:val="24"/>
          <w:szCs w:val="24"/>
          <w:lang w:eastAsia="cs-CZ"/>
        </w:rPr>
      </w:pPr>
      <w:r w:rsidRPr="00692092">
        <w:rPr>
          <w:rFonts w:ascii="Times New Roman" w:eastAsia="Times New Roman" w:hAnsi="Times New Roman" w:cs="Times New Roman"/>
          <w:bCs/>
          <w:sz w:val="24"/>
          <w:szCs w:val="24"/>
          <w:lang w:eastAsia="cs-CZ"/>
        </w:rPr>
        <w:t xml:space="preserve">V odstavci </w:t>
      </w:r>
      <w:r w:rsidR="002F298C">
        <w:rPr>
          <w:rFonts w:ascii="Times New Roman" w:eastAsia="Times New Roman" w:hAnsi="Times New Roman" w:cs="Times New Roman"/>
          <w:bCs/>
          <w:sz w:val="24"/>
          <w:szCs w:val="24"/>
          <w:lang w:eastAsia="cs-CZ"/>
        </w:rPr>
        <w:t>2</w:t>
      </w:r>
      <w:r w:rsidRPr="00692092">
        <w:rPr>
          <w:rFonts w:ascii="Times New Roman" w:eastAsia="Times New Roman" w:hAnsi="Times New Roman" w:cs="Times New Roman"/>
          <w:bCs/>
          <w:sz w:val="24"/>
          <w:szCs w:val="24"/>
          <w:lang w:eastAsia="cs-CZ"/>
        </w:rPr>
        <w:t xml:space="preserve"> se zavádí součinnostní ustanovení</w:t>
      </w:r>
      <w:r>
        <w:rPr>
          <w:rFonts w:ascii="Times New Roman" w:eastAsia="Times New Roman" w:hAnsi="Times New Roman" w:cs="Times New Roman"/>
          <w:bCs/>
          <w:sz w:val="24"/>
          <w:szCs w:val="24"/>
          <w:lang w:eastAsia="cs-CZ"/>
        </w:rPr>
        <w:t xml:space="preserve"> obdobné jako u jiných nástrojů spolupráce mezi členskými státy EU pro účely statistického sledování a předávání relevantních údajů Komisi v souladu s článkem 28 nařízení. </w:t>
      </w:r>
    </w:p>
    <w:p w14:paraId="6E8927A1" w14:textId="77777777" w:rsidR="00F0647B" w:rsidRDefault="00F0647B" w:rsidP="00A1611D">
      <w:pPr>
        <w:spacing w:before="120" w:after="0" w:line="240" w:lineRule="auto"/>
        <w:jc w:val="both"/>
        <w:rPr>
          <w:rFonts w:ascii="Times New Roman" w:eastAsia="Times New Roman" w:hAnsi="Times New Roman" w:cs="Times New Roman"/>
          <w:b/>
          <w:sz w:val="24"/>
          <w:szCs w:val="24"/>
          <w:lang w:eastAsia="cs-CZ"/>
        </w:rPr>
      </w:pPr>
    </w:p>
    <w:p w14:paraId="1EC2349D" w14:textId="0E5FB6A4" w:rsidR="00F0647B" w:rsidRDefault="00F0647B" w:rsidP="00A1611D">
      <w:pPr>
        <w:spacing w:before="120"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 dílu 2</w:t>
      </w:r>
    </w:p>
    <w:p w14:paraId="1B693EE2" w14:textId="2F4F54A3" w:rsidR="00F0647B" w:rsidRDefault="00F0647B" w:rsidP="00A1611D">
      <w:pPr>
        <w:spacing w:before="120"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 tomto dílu jsou obsažena nezbytná adaptační ustanovení pro případ, že evropský vydávací příkaz nebo evropský uchovávací příkaz vydá příslušný orgán jiného členského státu EU a nařízení předpokládá určitou součinnost orgánu ve vykonávajícím státu (tj. v České republice) při přezkoumávání důvodů pro odmítnutí výkonu takového příkazu nebo za účelem zajištění výkonu příkazu.</w:t>
      </w:r>
    </w:p>
    <w:p w14:paraId="30EDA5E0" w14:textId="77777777" w:rsidR="003F4454" w:rsidRDefault="003F4454" w:rsidP="00A1611D">
      <w:pPr>
        <w:spacing w:before="120" w:after="0" w:line="240" w:lineRule="auto"/>
        <w:jc w:val="both"/>
        <w:rPr>
          <w:rFonts w:ascii="Times New Roman" w:eastAsia="Times New Roman" w:hAnsi="Times New Roman" w:cs="Times New Roman"/>
          <w:bCs/>
          <w:sz w:val="24"/>
          <w:szCs w:val="24"/>
          <w:lang w:eastAsia="cs-CZ"/>
        </w:rPr>
      </w:pPr>
    </w:p>
    <w:p w14:paraId="6073E97E" w14:textId="044046ED" w:rsidR="00F0647B" w:rsidRDefault="00F0647B" w:rsidP="00A1611D">
      <w:pPr>
        <w:spacing w:before="120"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 § 397</w:t>
      </w:r>
    </w:p>
    <w:p w14:paraId="59D183C1" w14:textId="77777777" w:rsidR="00F0647B" w:rsidRDefault="00F0647B" w:rsidP="00A1611D">
      <w:pPr>
        <w:spacing w:before="120" w:after="0" w:line="240" w:lineRule="auto"/>
        <w:jc w:val="both"/>
        <w:rPr>
          <w:rFonts w:ascii="Times New Roman" w:eastAsia="Times New Roman" w:hAnsi="Times New Roman" w:cs="Times New Roman"/>
          <w:bCs/>
          <w:sz w:val="24"/>
          <w:szCs w:val="24"/>
          <w:lang w:eastAsia="cs-CZ"/>
        </w:rPr>
      </w:pPr>
      <w:r w:rsidRPr="00132905">
        <w:rPr>
          <w:rFonts w:ascii="Times New Roman" w:eastAsia="Times New Roman" w:hAnsi="Times New Roman" w:cs="Times New Roman"/>
          <w:bCs/>
          <w:sz w:val="24"/>
          <w:szCs w:val="24"/>
          <w:lang w:eastAsia="cs-CZ"/>
        </w:rPr>
        <w:t xml:space="preserve">V tomto ustanovení </w:t>
      </w:r>
      <w:r>
        <w:rPr>
          <w:rFonts w:ascii="Times New Roman" w:eastAsia="Times New Roman" w:hAnsi="Times New Roman" w:cs="Times New Roman"/>
          <w:bCs/>
          <w:sz w:val="24"/>
          <w:szCs w:val="24"/>
          <w:lang w:eastAsia="cs-CZ"/>
        </w:rPr>
        <w:t>se nastavuje příslušnost českých orgánů v případech, kdy nařízení předpokládá určitou aktivitu na straně orgánů vykonávajícího státu.</w:t>
      </w:r>
    </w:p>
    <w:p w14:paraId="55B85C0D" w14:textId="77777777" w:rsidR="00F0647B" w:rsidRDefault="00F0647B" w:rsidP="00A1611D">
      <w:pPr>
        <w:spacing w:before="120"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 odstavci 1 se jednotně nastavuje příslušnost ve vztahu k evropskému vydávacímu příkazu orgánu jiného členského státu EU.</w:t>
      </w:r>
    </w:p>
    <w:p w14:paraId="1CB04FDE" w14:textId="77777777" w:rsidR="00F0647B" w:rsidRDefault="00F0647B" w:rsidP="00A1611D">
      <w:pPr>
        <w:spacing w:before="120"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cs-CZ"/>
        </w:rPr>
        <w:t xml:space="preserve">Prvním z případů, kdy český orgán bude činný, je přijetí oznámení orgánu jiného členského státu EU o vydání evropského vydávacího příkazu (článek 8 nařízení) a následné přezkoumání osvědčení a případné uplatnění některého z důvodu pro odmítnutí výkonu evropského vydávacího příkazu (článek 12 nařízení). Druhým případem je pak samotné </w:t>
      </w:r>
      <w:r w:rsidRPr="0056674F">
        <w:rPr>
          <w:rFonts w:ascii="Times New Roman" w:hAnsi="Times New Roman" w:cs="Times New Roman"/>
          <w:sz w:val="24"/>
          <w:szCs w:val="24"/>
        </w:rPr>
        <w:t xml:space="preserve">uznání a zajištění výkonu evropského vydávacího příkazu vydaného orgánem jiného členského státu </w:t>
      </w:r>
      <w:r>
        <w:rPr>
          <w:rFonts w:ascii="Times New Roman" w:hAnsi="Times New Roman" w:cs="Times New Roman"/>
          <w:sz w:val="24"/>
          <w:szCs w:val="24"/>
        </w:rPr>
        <w:t xml:space="preserve">EU </w:t>
      </w:r>
      <w:r w:rsidRPr="0056674F">
        <w:rPr>
          <w:rFonts w:ascii="Times New Roman" w:hAnsi="Times New Roman" w:cs="Times New Roman"/>
          <w:sz w:val="24"/>
          <w:szCs w:val="24"/>
        </w:rPr>
        <w:t xml:space="preserve">podle článku </w:t>
      </w:r>
      <w:r>
        <w:rPr>
          <w:rFonts w:ascii="Times New Roman" w:hAnsi="Times New Roman" w:cs="Times New Roman"/>
          <w:sz w:val="24"/>
          <w:szCs w:val="24"/>
        </w:rPr>
        <w:t xml:space="preserve">16 nařízení. </w:t>
      </w:r>
    </w:p>
    <w:p w14:paraId="32F4B5C4" w14:textId="77777777" w:rsidR="00F0647B" w:rsidRDefault="00F0647B"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Za účelem zajištění jednotné příslušnosti k typově obdobným úkonům se pro uvedené případy nastavuje shodná příslušnost českých justičních orgánů jako pro přijetí žádosti o právní pomoc a její vyřízení (§ 48 odst. 5 věta první, § 48 odst. 6 až 9 a § 48a ZMJS) a pro zajištění výkonu evropského vyšetřovacího příkazu (§ 360 ZMJS), pokud je na jejich základě požadováno vydání obdobných dat. Evropský vydávací příkaz je rychlejší alternativou k evropskému vyšetřovacímu příkazu, proto je žádoucí nastavit jednotnou příslušnost.</w:t>
      </w:r>
    </w:p>
    <w:p w14:paraId="70EDE9EE" w14:textId="7D47EB5E" w:rsidR="00F0647B" w:rsidRPr="006A0A88" w:rsidRDefault="00F0647B" w:rsidP="00A1611D">
      <w:pPr>
        <w:spacing w:before="120" w:after="0" w:line="240" w:lineRule="auto"/>
        <w:jc w:val="both"/>
        <w:rPr>
          <w:rFonts w:ascii="Times New Roman" w:hAnsi="Times New Roman" w:cs="Times New Roman"/>
          <w:bCs/>
          <w:sz w:val="24"/>
          <w:szCs w:val="24"/>
        </w:rPr>
      </w:pPr>
      <w:r>
        <w:rPr>
          <w:rFonts w:ascii="Times New Roman" w:eastAsia="Times New Roman" w:hAnsi="Times New Roman" w:cs="Times New Roman"/>
          <w:bCs/>
          <w:sz w:val="24"/>
          <w:szCs w:val="24"/>
          <w:lang w:eastAsia="cs-CZ"/>
        </w:rPr>
        <w:t xml:space="preserve">V odstavci 2 je nastavena příslušnost českých orgánů ve vztahu k uznání a zajištění výkonu evropského uchovávacího příkazu a souvisejícím úkonům. V případě evropského uchovávacího příkazu se oznámení o jeho vydání orgánu vykonávajícího státu nezasílá, ingerence českého orgánu tak přichází v úvahu pouze v případě, kdy adresát nevyhověl příkazu k uchování dat a orgán jiného členského státu EU požaduje zajištění výkonu takového příkazu po příslušném orgánu ve vykonávajícím státu podle článku 16 nařízení. Příslušnost k zajištění výkonu takového příkazu se nastavuje shodně jako pro případy zajištění výkonu žádosti o uchování dat podle § 65b ZMJS, tj. příslušným orgánem je útvar Policie </w:t>
      </w:r>
      <w:r>
        <w:rPr>
          <w:rFonts w:ascii="Times New Roman" w:hAnsi="Times New Roman" w:cs="Times New Roman"/>
          <w:bCs/>
          <w:sz w:val="24"/>
          <w:szCs w:val="24"/>
        </w:rPr>
        <w:t>České republiky</w:t>
      </w:r>
      <w:r w:rsidDel="00027B8C">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 xml:space="preserve">pověřený policejním prezidentem (aktuálně je tímto úvarem </w:t>
      </w:r>
      <w:r w:rsidRPr="003E2D91">
        <w:rPr>
          <w:rFonts w:ascii="Times New Roman" w:eastAsia="Times New Roman" w:hAnsi="Times New Roman" w:cs="Times New Roman"/>
          <w:color w:val="333333"/>
          <w:kern w:val="36"/>
          <w:sz w:val="24"/>
          <w:szCs w:val="24"/>
          <w:lang w:eastAsia="cs-CZ"/>
        </w:rPr>
        <w:t>Národní centrála proti terorismu, extremismu a kybernetické kriminalitě SKPV</w:t>
      </w:r>
      <w:r>
        <w:rPr>
          <w:rFonts w:ascii="Times New Roman" w:eastAsia="Times New Roman" w:hAnsi="Times New Roman" w:cs="Times New Roman"/>
          <w:color w:val="333333"/>
          <w:kern w:val="36"/>
          <w:sz w:val="24"/>
          <w:szCs w:val="24"/>
          <w:lang w:eastAsia="cs-CZ"/>
        </w:rPr>
        <w:t>).</w:t>
      </w:r>
    </w:p>
    <w:p w14:paraId="72344578" w14:textId="201148BA" w:rsidR="00F0647B" w:rsidRDefault="00F0647B" w:rsidP="00A1611D">
      <w:pPr>
        <w:spacing w:before="120" w:after="0" w:line="240" w:lineRule="auto"/>
        <w:jc w:val="both"/>
        <w:rPr>
          <w:rFonts w:ascii="Times New Roman" w:hAnsi="Times New Roman" w:cs="Times New Roman"/>
          <w:color w:val="000000"/>
          <w:sz w:val="24"/>
          <w:szCs w:val="24"/>
        </w:rPr>
      </w:pPr>
      <w:r>
        <w:rPr>
          <w:rFonts w:ascii="Times New Roman" w:eastAsia="Times New Roman" w:hAnsi="Times New Roman" w:cs="Times New Roman"/>
          <w:bCs/>
          <w:sz w:val="24"/>
          <w:szCs w:val="24"/>
          <w:lang w:eastAsia="cs-CZ"/>
        </w:rPr>
        <w:t xml:space="preserve">Centralizace vyřizování žádostí o uchování dat a evropských </w:t>
      </w:r>
      <w:proofErr w:type="spellStart"/>
      <w:r>
        <w:rPr>
          <w:rFonts w:ascii="Times New Roman" w:eastAsia="Times New Roman" w:hAnsi="Times New Roman" w:cs="Times New Roman"/>
          <w:bCs/>
          <w:sz w:val="24"/>
          <w:szCs w:val="24"/>
          <w:lang w:eastAsia="cs-CZ"/>
        </w:rPr>
        <w:t>uchovávacích</w:t>
      </w:r>
      <w:proofErr w:type="spellEnd"/>
      <w:r>
        <w:rPr>
          <w:rFonts w:ascii="Times New Roman" w:eastAsia="Times New Roman" w:hAnsi="Times New Roman" w:cs="Times New Roman"/>
          <w:bCs/>
          <w:sz w:val="24"/>
          <w:szCs w:val="24"/>
          <w:lang w:eastAsia="cs-CZ"/>
        </w:rPr>
        <w:t xml:space="preserve"> příkazů u jednoho policejního útvaru zajistí nastavení jednotného postupu pro všechny případy a rychlý výkon </w:t>
      </w:r>
      <w:r>
        <w:rPr>
          <w:rFonts w:ascii="Times New Roman" w:eastAsia="Times New Roman" w:hAnsi="Times New Roman" w:cs="Times New Roman"/>
          <w:bCs/>
          <w:sz w:val="24"/>
          <w:szCs w:val="24"/>
          <w:lang w:eastAsia="cs-CZ"/>
        </w:rPr>
        <w:lastRenderedPageBreak/>
        <w:t>žádostí a příkazů, což je v případě uchování dat s ohledem na zranitelnost takových dat a hrozbu jejich rychlé ztráty</w:t>
      </w:r>
      <w:r w:rsidRPr="00F0647B">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 xml:space="preserve">zapotřebí. Zohledňuje se </w:t>
      </w:r>
      <w:r w:rsidRPr="00FF69A7">
        <w:rPr>
          <w:rFonts w:ascii="Times New Roman" w:hAnsi="Times New Roman" w:cs="Times New Roman"/>
          <w:bCs/>
          <w:sz w:val="24"/>
          <w:szCs w:val="24"/>
        </w:rPr>
        <w:t xml:space="preserve">dosavadní nastavený způsob přijímání </w:t>
      </w:r>
      <w:r>
        <w:rPr>
          <w:rFonts w:ascii="Times New Roman" w:hAnsi="Times New Roman" w:cs="Times New Roman"/>
          <w:bCs/>
          <w:sz w:val="24"/>
          <w:szCs w:val="24"/>
        </w:rPr>
        <w:t xml:space="preserve">žádostí </w:t>
      </w:r>
      <w:r w:rsidRPr="00FF69A7">
        <w:rPr>
          <w:rFonts w:ascii="Times New Roman" w:hAnsi="Times New Roman" w:cs="Times New Roman"/>
          <w:bCs/>
          <w:sz w:val="24"/>
          <w:szCs w:val="24"/>
        </w:rPr>
        <w:t xml:space="preserve">podle Budapešťské úmluvy a nově i podle jejího druhého dodatkového protokolu, který v článku 9 předpokládá, že smluvní </w:t>
      </w:r>
      <w:r w:rsidRPr="00FF69A7">
        <w:rPr>
          <w:rFonts w:ascii="Times New Roman" w:hAnsi="Times New Roman" w:cs="Times New Roman"/>
          <w:color w:val="000000"/>
          <w:sz w:val="24"/>
          <w:szCs w:val="24"/>
        </w:rPr>
        <w:t>strana přijme taková legislativní a jiná opatření, která mohou být v</w:t>
      </w:r>
      <w:r w:rsidRPr="00FF69A7">
        <w:rPr>
          <w:rFonts w:ascii="Times New Roman" w:hAnsi="Times New Roman" w:cs="Times New Roman"/>
          <w:sz w:val="24"/>
          <w:szCs w:val="24"/>
        </w:rPr>
        <w:t xml:space="preserve"> </w:t>
      </w:r>
      <w:r w:rsidRPr="00FF69A7">
        <w:rPr>
          <w:rFonts w:ascii="Times New Roman" w:hAnsi="Times New Roman" w:cs="Times New Roman"/>
          <w:color w:val="000000"/>
          <w:sz w:val="24"/>
          <w:szCs w:val="24"/>
        </w:rPr>
        <w:t>případě</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mimořádné</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události</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nezbytná</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pro</w:t>
      </w:r>
      <w:r w:rsidRPr="00FF69A7">
        <w:rPr>
          <w:rFonts w:ascii="Times New Roman" w:hAnsi="Times New Roman" w:cs="Times New Roman"/>
          <w:color w:val="000000"/>
          <w:spacing w:val="49"/>
          <w:sz w:val="24"/>
          <w:szCs w:val="24"/>
        </w:rPr>
        <w:t xml:space="preserve"> </w:t>
      </w:r>
      <w:r w:rsidRPr="00FF69A7">
        <w:rPr>
          <w:rFonts w:ascii="Times New Roman" w:hAnsi="Times New Roman" w:cs="Times New Roman"/>
          <w:color w:val="000000"/>
          <w:sz w:val="24"/>
          <w:szCs w:val="24"/>
        </w:rPr>
        <w:t>to,</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aby</w:t>
      </w:r>
      <w:r w:rsidRPr="00FF69A7">
        <w:rPr>
          <w:rFonts w:ascii="Times New Roman" w:hAnsi="Times New Roman" w:cs="Times New Roman"/>
          <w:color w:val="000000"/>
          <w:spacing w:val="52"/>
          <w:sz w:val="24"/>
          <w:szCs w:val="24"/>
        </w:rPr>
        <w:t xml:space="preserve"> </w:t>
      </w:r>
      <w:r w:rsidRPr="00FF69A7">
        <w:rPr>
          <w:rFonts w:ascii="Times New Roman" w:hAnsi="Times New Roman" w:cs="Times New Roman"/>
          <w:color w:val="000000"/>
          <w:sz w:val="24"/>
          <w:szCs w:val="24"/>
        </w:rPr>
        <w:t>její</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kontaktní</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místo</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v</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rámci</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sítě,</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pacing w:val="-4"/>
          <w:sz w:val="24"/>
          <w:szCs w:val="24"/>
        </w:rPr>
        <w:t>která</w:t>
      </w:r>
      <w:r w:rsidRPr="00FF69A7">
        <w:rPr>
          <w:rFonts w:ascii="Times New Roman" w:hAnsi="Times New Roman" w:cs="Times New Roman"/>
          <w:sz w:val="24"/>
          <w:szCs w:val="24"/>
        </w:rPr>
        <w:t xml:space="preserve"> </w:t>
      </w:r>
      <w:r w:rsidRPr="00FF69A7">
        <w:rPr>
          <w:rFonts w:ascii="Times New Roman" w:hAnsi="Times New Roman" w:cs="Times New Roman"/>
          <w:color w:val="000000"/>
          <w:sz w:val="24"/>
          <w:szCs w:val="24"/>
        </w:rPr>
        <w:t>funguje</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24</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hodin</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denně,</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7</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dnů</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v</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týdnu</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a</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která</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je</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uvedena</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v</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článku</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35</w:t>
      </w:r>
      <w:r w:rsidRPr="00FF69A7">
        <w:rPr>
          <w:rFonts w:ascii="Times New Roman" w:hAnsi="Times New Roman" w:cs="Times New Roman"/>
          <w:color w:val="000000"/>
          <w:spacing w:val="28"/>
          <w:sz w:val="24"/>
          <w:szCs w:val="24"/>
        </w:rPr>
        <w:t xml:space="preserve"> </w:t>
      </w:r>
      <w:r w:rsidRPr="00FF69A7">
        <w:rPr>
          <w:rFonts w:ascii="Times New Roman" w:hAnsi="Times New Roman" w:cs="Times New Roman"/>
          <w:color w:val="000000"/>
          <w:sz w:val="24"/>
          <w:szCs w:val="24"/>
        </w:rPr>
        <w:t>úmluvy,</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mohlo</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kontaktnímu</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místu</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v</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jiné</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smluvní</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straně</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předat</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žádost</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a</w:t>
      </w:r>
      <w:r w:rsidRPr="00FF69A7">
        <w:rPr>
          <w:rFonts w:ascii="Times New Roman" w:hAnsi="Times New Roman" w:cs="Times New Roman"/>
          <w:color w:val="000000"/>
          <w:spacing w:val="23"/>
          <w:sz w:val="24"/>
          <w:szCs w:val="24"/>
        </w:rPr>
        <w:t xml:space="preserve"> </w:t>
      </w:r>
      <w:r w:rsidRPr="00FF69A7">
        <w:rPr>
          <w:rFonts w:ascii="Times New Roman" w:hAnsi="Times New Roman" w:cs="Times New Roman"/>
          <w:color w:val="000000"/>
          <w:sz w:val="24"/>
          <w:szCs w:val="24"/>
        </w:rPr>
        <w:t>přijmout</w:t>
      </w:r>
      <w:r w:rsidRPr="00FF69A7">
        <w:rPr>
          <w:rFonts w:ascii="Times New Roman" w:hAnsi="Times New Roman" w:cs="Times New Roman"/>
          <w:color w:val="000000"/>
          <w:spacing w:val="24"/>
          <w:sz w:val="24"/>
          <w:szCs w:val="24"/>
        </w:rPr>
        <w:t xml:space="preserve"> </w:t>
      </w:r>
      <w:r w:rsidRPr="00FF69A7">
        <w:rPr>
          <w:rFonts w:ascii="Times New Roman" w:hAnsi="Times New Roman" w:cs="Times New Roman"/>
          <w:color w:val="000000"/>
          <w:sz w:val="24"/>
          <w:szCs w:val="24"/>
        </w:rPr>
        <w:t>žádost</w:t>
      </w:r>
      <w:r>
        <w:rPr>
          <w:rFonts w:ascii="Times New Roman" w:hAnsi="Times New Roman" w:cs="Times New Roman"/>
          <w:color w:val="000000"/>
          <w:sz w:val="24"/>
          <w:szCs w:val="24"/>
        </w:rPr>
        <w:t xml:space="preserve"> </w:t>
      </w:r>
      <w:r w:rsidRPr="00FF69A7">
        <w:rPr>
          <w:rFonts w:ascii="Times New Roman" w:hAnsi="Times New Roman" w:cs="Times New Roman"/>
          <w:color w:val="000000"/>
          <w:spacing w:val="-9"/>
          <w:sz w:val="24"/>
          <w:szCs w:val="24"/>
        </w:rPr>
        <w:t>od</w:t>
      </w:r>
      <w:r>
        <w:rPr>
          <w:rFonts w:ascii="Times New Roman" w:hAnsi="Times New Roman" w:cs="Times New Roman"/>
          <w:color w:val="000000"/>
          <w:spacing w:val="-9"/>
          <w:sz w:val="24"/>
          <w:szCs w:val="24"/>
        </w:rPr>
        <w:t> </w:t>
      </w:r>
      <w:r w:rsidRPr="00FF69A7">
        <w:rPr>
          <w:rFonts w:ascii="Times New Roman" w:hAnsi="Times New Roman" w:cs="Times New Roman"/>
          <w:color w:val="000000"/>
          <w:sz w:val="24"/>
          <w:szCs w:val="24"/>
        </w:rPr>
        <w:t>kontaktního</w:t>
      </w:r>
      <w:r>
        <w:rPr>
          <w:rFonts w:ascii="Times New Roman" w:hAnsi="Times New Roman" w:cs="Times New Roman"/>
          <w:color w:val="000000"/>
          <w:sz w:val="24"/>
          <w:szCs w:val="24"/>
        </w:rPr>
        <w:t xml:space="preserve"> </w:t>
      </w:r>
      <w:r w:rsidRPr="00FF69A7">
        <w:rPr>
          <w:rFonts w:ascii="Times New Roman" w:hAnsi="Times New Roman" w:cs="Times New Roman"/>
          <w:color w:val="000000"/>
          <w:sz w:val="24"/>
          <w:szCs w:val="24"/>
        </w:rPr>
        <w:t>místa v jin</w:t>
      </w:r>
      <w:r w:rsidRPr="00FF69A7">
        <w:rPr>
          <w:rFonts w:ascii="Times New Roman" w:hAnsi="Times New Roman" w:cs="Times New Roman"/>
          <w:color w:val="000000"/>
          <w:spacing w:val="-1"/>
          <w:sz w:val="24"/>
          <w:szCs w:val="24"/>
        </w:rPr>
        <w:t>é smluvní straně s cílem získat okamžitou pomoc při zabezpečení toho,</w:t>
      </w:r>
      <w:r w:rsidRPr="00FF69A7">
        <w:rPr>
          <w:rFonts w:ascii="Times New Roman" w:hAnsi="Times New Roman" w:cs="Times New Roman"/>
          <w:sz w:val="24"/>
          <w:szCs w:val="24"/>
        </w:rPr>
        <w:t xml:space="preserve"> </w:t>
      </w:r>
      <w:r w:rsidRPr="00FF69A7">
        <w:rPr>
          <w:rFonts w:ascii="Times New Roman" w:hAnsi="Times New Roman" w:cs="Times New Roman"/>
          <w:color w:val="000000"/>
          <w:sz w:val="24"/>
          <w:szCs w:val="24"/>
        </w:rPr>
        <w:t>aby</w:t>
      </w:r>
      <w:r>
        <w:rPr>
          <w:rFonts w:ascii="Times New Roman" w:hAnsi="Times New Roman" w:cs="Times New Roman"/>
          <w:color w:val="000000"/>
          <w:sz w:val="24"/>
          <w:szCs w:val="24"/>
        </w:rPr>
        <w:t xml:space="preserve"> </w:t>
      </w:r>
      <w:r w:rsidRPr="00FF69A7">
        <w:rPr>
          <w:rFonts w:ascii="Times New Roman" w:hAnsi="Times New Roman" w:cs="Times New Roman"/>
          <w:color w:val="000000"/>
          <w:sz w:val="24"/>
          <w:szCs w:val="24"/>
        </w:rPr>
        <w:t>poskytovatel</w:t>
      </w:r>
      <w:r>
        <w:rPr>
          <w:rFonts w:ascii="Times New Roman" w:hAnsi="Times New Roman" w:cs="Times New Roman"/>
          <w:color w:val="000000"/>
          <w:sz w:val="24"/>
          <w:szCs w:val="24"/>
        </w:rPr>
        <w:t xml:space="preserve"> </w:t>
      </w:r>
      <w:r w:rsidRPr="00FF69A7">
        <w:rPr>
          <w:rFonts w:ascii="Times New Roman" w:hAnsi="Times New Roman" w:cs="Times New Roman"/>
          <w:color w:val="000000"/>
          <w:sz w:val="24"/>
          <w:szCs w:val="24"/>
        </w:rPr>
        <w:t>služeb</w:t>
      </w:r>
      <w:r>
        <w:rPr>
          <w:rFonts w:ascii="Times New Roman" w:hAnsi="Times New Roman" w:cs="Times New Roman"/>
          <w:color w:val="000000"/>
          <w:spacing w:val="11"/>
          <w:sz w:val="24"/>
          <w:szCs w:val="24"/>
        </w:rPr>
        <w:t xml:space="preserve"> </w:t>
      </w:r>
      <w:r w:rsidRPr="00FF69A7">
        <w:rPr>
          <w:rFonts w:ascii="Times New Roman" w:hAnsi="Times New Roman" w:cs="Times New Roman"/>
          <w:color w:val="000000"/>
          <w:sz w:val="24"/>
          <w:szCs w:val="24"/>
        </w:rPr>
        <w:t>na</w:t>
      </w:r>
      <w:r>
        <w:rPr>
          <w:rFonts w:ascii="Times New Roman" w:hAnsi="Times New Roman" w:cs="Times New Roman"/>
          <w:color w:val="000000"/>
          <w:spacing w:val="11"/>
          <w:sz w:val="24"/>
          <w:szCs w:val="24"/>
        </w:rPr>
        <w:t xml:space="preserve"> </w:t>
      </w:r>
      <w:r w:rsidRPr="00FF69A7">
        <w:rPr>
          <w:rFonts w:ascii="Times New Roman" w:hAnsi="Times New Roman" w:cs="Times New Roman"/>
          <w:color w:val="000000"/>
          <w:sz w:val="24"/>
          <w:szCs w:val="24"/>
        </w:rPr>
        <w:t>území</w:t>
      </w:r>
      <w:r>
        <w:rPr>
          <w:rFonts w:ascii="Times New Roman" w:hAnsi="Times New Roman" w:cs="Times New Roman"/>
          <w:color w:val="000000"/>
          <w:spacing w:val="11"/>
          <w:sz w:val="24"/>
          <w:szCs w:val="24"/>
        </w:rPr>
        <w:t xml:space="preserve"> </w:t>
      </w:r>
      <w:r w:rsidRPr="00FF69A7">
        <w:rPr>
          <w:rFonts w:ascii="Times New Roman" w:hAnsi="Times New Roman" w:cs="Times New Roman"/>
          <w:color w:val="000000"/>
          <w:sz w:val="24"/>
          <w:szCs w:val="24"/>
        </w:rPr>
        <w:t>uvedené</w:t>
      </w:r>
      <w:r>
        <w:rPr>
          <w:rFonts w:ascii="Times New Roman" w:hAnsi="Times New Roman" w:cs="Times New Roman"/>
          <w:color w:val="000000"/>
          <w:spacing w:val="11"/>
          <w:sz w:val="24"/>
          <w:szCs w:val="24"/>
        </w:rPr>
        <w:t xml:space="preserve"> </w:t>
      </w:r>
      <w:r w:rsidRPr="00FF69A7">
        <w:rPr>
          <w:rFonts w:ascii="Times New Roman" w:hAnsi="Times New Roman" w:cs="Times New Roman"/>
          <w:color w:val="000000"/>
          <w:sz w:val="24"/>
          <w:szCs w:val="24"/>
        </w:rPr>
        <w:t>smluvní</w:t>
      </w:r>
      <w:r>
        <w:rPr>
          <w:rFonts w:ascii="Times New Roman" w:hAnsi="Times New Roman" w:cs="Times New Roman"/>
          <w:color w:val="000000"/>
          <w:spacing w:val="12"/>
          <w:sz w:val="24"/>
          <w:szCs w:val="24"/>
        </w:rPr>
        <w:t xml:space="preserve"> </w:t>
      </w:r>
      <w:r w:rsidRPr="00FF69A7">
        <w:rPr>
          <w:rFonts w:ascii="Times New Roman" w:hAnsi="Times New Roman" w:cs="Times New Roman"/>
          <w:color w:val="000000"/>
          <w:sz w:val="24"/>
          <w:szCs w:val="24"/>
        </w:rPr>
        <w:t>strany</w:t>
      </w:r>
      <w:r>
        <w:rPr>
          <w:rFonts w:ascii="Times New Roman" w:hAnsi="Times New Roman" w:cs="Times New Roman"/>
          <w:color w:val="000000"/>
          <w:spacing w:val="11"/>
          <w:sz w:val="24"/>
          <w:szCs w:val="24"/>
        </w:rPr>
        <w:t xml:space="preserve"> </w:t>
      </w:r>
      <w:r w:rsidRPr="00FF69A7">
        <w:rPr>
          <w:rFonts w:ascii="Times New Roman" w:hAnsi="Times New Roman" w:cs="Times New Roman"/>
          <w:color w:val="000000"/>
          <w:sz w:val="24"/>
          <w:szCs w:val="24"/>
        </w:rPr>
        <w:t>urychleně</w:t>
      </w:r>
      <w:r>
        <w:rPr>
          <w:rFonts w:ascii="Times New Roman" w:hAnsi="Times New Roman" w:cs="Times New Roman"/>
          <w:color w:val="000000"/>
          <w:spacing w:val="11"/>
          <w:sz w:val="24"/>
          <w:szCs w:val="24"/>
        </w:rPr>
        <w:t xml:space="preserve"> uchoval a </w:t>
      </w:r>
      <w:r w:rsidRPr="00FF69A7">
        <w:rPr>
          <w:rFonts w:ascii="Times New Roman" w:hAnsi="Times New Roman" w:cs="Times New Roman"/>
          <w:color w:val="000000"/>
          <w:spacing w:val="-2"/>
          <w:sz w:val="24"/>
          <w:szCs w:val="24"/>
        </w:rPr>
        <w:t>zpřístupnil</w:t>
      </w:r>
      <w:r w:rsidRPr="00FF69A7">
        <w:rPr>
          <w:rFonts w:ascii="Times New Roman" w:hAnsi="Times New Roman" w:cs="Times New Roman"/>
          <w:sz w:val="24"/>
          <w:szCs w:val="24"/>
        </w:rPr>
        <w:t xml:space="preserve"> </w:t>
      </w:r>
      <w:r w:rsidRPr="00FF69A7">
        <w:rPr>
          <w:rFonts w:ascii="Times New Roman" w:hAnsi="Times New Roman" w:cs="Times New Roman"/>
          <w:color w:val="000000"/>
          <w:sz w:val="24"/>
          <w:szCs w:val="24"/>
        </w:rPr>
        <w:t>specifikovan</w:t>
      </w:r>
      <w:r w:rsidR="00D02535">
        <w:rPr>
          <w:rFonts w:ascii="Times New Roman" w:hAnsi="Times New Roman" w:cs="Times New Roman"/>
          <w:color w:val="000000"/>
          <w:sz w:val="24"/>
          <w:szCs w:val="24"/>
        </w:rPr>
        <w:t>á</w:t>
      </w:r>
      <w:r w:rsidRPr="00FF69A7">
        <w:rPr>
          <w:rFonts w:ascii="Times New Roman" w:hAnsi="Times New Roman" w:cs="Times New Roman"/>
          <w:color w:val="000000"/>
          <w:sz w:val="24"/>
          <w:szCs w:val="24"/>
        </w:rPr>
        <w:t xml:space="preserve"> uložen</w:t>
      </w:r>
      <w:r w:rsidR="00D02535">
        <w:rPr>
          <w:rFonts w:ascii="Times New Roman" w:hAnsi="Times New Roman" w:cs="Times New Roman"/>
          <w:color w:val="000000"/>
          <w:sz w:val="24"/>
          <w:szCs w:val="24"/>
        </w:rPr>
        <w:t>á</w:t>
      </w:r>
      <w:r w:rsidRPr="00FF69A7">
        <w:rPr>
          <w:rFonts w:ascii="Times New Roman" w:hAnsi="Times New Roman" w:cs="Times New Roman"/>
          <w:color w:val="000000"/>
          <w:sz w:val="24"/>
          <w:szCs w:val="24"/>
        </w:rPr>
        <w:t xml:space="preserve"> </w:t>
      </w:r>
      <w:r w:rsidR="00D02535">
        <w:rPr>
          <w:rFonts w:ascii="Times New Roman" w:hAnsi="Times New Roman" w:cs="Times New Roman"/>
          <w:color w:val="000000"/>
          <w:sz w:val="24"/>
          <w:szCs w:val="24"/>
        </w:rPr>
        <w:t>počítačová data</w:t>
      </w:r>
      <w:r w:rsidRPr="00FF69A7">
        <w:rPr>
          <w:rFonts w:ascii="Times New Roman" w:hAnsi="Times New Roman" w:cs="Times New Roman"/>
          <w:color w:val="000000"/>
          <w:sz w:val="24"/>
          <w:szCs w:val="24"/>
        </w:rPr>
        <w:t>, které má uvedený poskytoval služeb ve svém držení</w:t>
      </w:r>
      <w:r w:rsidRPr="00FF69A7">
        <w:rPr>
          <w:rFonts w:ascii="Times New Roman" w:hAnsi="Times New Roman" w:cs="Times New Roman"/>
          <w:sz w:val="24"/>
          <w:szCs w:val="24"/>
        </w:rPr>
        <w:t xml:space="preserve"> </w:t>
      </w:r>
      <w:r w:rsidRPr="00FF69A7">
        <w:rPr>
          <w:rFonts w:ascii="Times New Roman" w:hAnsi="Times New Roman" w:cs="Times New Roman"/>
          <w:color w:val="000000"/>
          <w:sz w:val="24"/>
          <w:szCs w:val="24"/>
        </w:rPr>
        <w:t>nebo pod svou kontrolou, a to bez žádosti o vzájemnou pomoc.</w:t>
      </w:r>
      <w:r>
        <w:rPr>
          <w:rFonts w:ascii="Times New Roman" w:hAnsi="Times New Roman" w:cs="Times New Roman"/>
          <w:color w:val="000000"/>
          <w:sz w:val="24"/>
          <w:szCs w:val="24"/>
        </w:rPr>
        <w:t xml:space="preserve"> V případě uchování dat </w:t>
      </w:r>
      <w:r w:rsidRPr="00FF69A7">
        <w:rPr>
          <w:rFonts w:ascii="Times New Roman" w:hAnsi="Times New Roman" w:cs="Times New Roman"/>
          <w:color w:val="000000"/>
          <w:sz w:val="24"/>
          <w:szCs w:val="24"/>
        </w:rPr>
        <w:t>má jít</w:t>
      </w:r>
      <w:r>
        <w:rPr>
          <w:rFonts w:ascii="Times New Roman" w:hAnsi="Times New Roman" w:cs="Times New Roman"/>
          <w:color w:val="000000"/>
          <w:sz w:val="24"/>
          <w:szCs w:val="24"/>
        </w:rPr>
        <w:t xml:space="preserve"> </w:t>
      </w:r>
      <w:r w:rsidRPr="00FF69A7">
        <w:rPr>
          <w:rFonts w:ascii="Times New Roman" w:hAnsi="Times New Roman" w:cs="Times New Roman"/>
          <w:color w:val="000000"/>
          <w:sz w:val="24"/>
          <w:szCs w:val="24"/>
        </w:rPr>
        <w:t xml:space="preserve">o urychlený typ spolupráce, čemuž má napomoci i předávání </w:t>
      </w:r>
      <w:r>
        <w:rPr>
          <w:rFonts w:ascii="Times New Roman" w:hAnsi="Times New Roman" w:cs="Times New Roman"/>
          <w:color w:val="000000"/>
          <w:sz w:val="24"/>
          <w:szCs w:val="24"/>
        </w:rPr>
        <w:t xml:space="preserve">a vyřizování </w:t>
      </w:r>
      <w:r w:rsidRPr="00FF69A7">
        <w:rPr>
          <w:rFonts w:ascii="Times New Roman" w:hAnsi="Times New Roman" w:cs="Times New Roman"/>
          <w:color w:val="000000"/>
          <w:sz w:val="24"/>
          <w:szCs w:val="24"/>
        </w:rPr>
        <w:t>žádostí/příkazů přes jeden kontaktní bod.</w:t>
      </w:r>
    </w:p>
    <w:p w14:paraId="5A5A1017" w14:textId="18E70E84" w:rsidR="00F0647B" w:rsidRPr="00FF69A7" w:rsidRDefault="00F0647B" w:rsidP="00A1611D">
      <w:pPr>
        <w:spacing w:before="120"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color w:val="000000"/>
          <w:sz w:val="24"/>
          <w:szCs w:val="24"/>
          <w:lang w:eastAsia="cs-CZ"/>
        </w:rPr>
        <w:t xml:space="preserve">Vzhledem k tomu, že se jedná o justiční spolupráci pro účely trestního řízení, vyžaduje se souhlas příslušného justičního orgánu – státního zástupce nebo soudu, který bude příslušný k uznání a zajištění výkonu evropského vydávacího příkazu týkajícího se uchovaných dat, pokud o to jiný členský stát EU požádá. </w:t>
      </w:r>
      <w:r w:rsidR="00050AC3">
        <w:rPr>
          <w:rFonts w:ascii="Times New Roman" w:eastAsia="Times New Roman" w:hAnsi="Times New Roman" w:cs="Times New Roman"/>
          <w:color w:val="000000"/>
          <w:sz w:val="24"/>
          <w:szCs w:val="24"/>
          <w:lang w:eastAsia="cs-CZ"/>
        </w:rPr>
        <w:t xml:space="preserve">Při udělení souhlasu justiční orgán posoudí, zda není dán důvod pro odmítnutí podle článku 16 odst. 5 nařízení. </w:t>
      </w:r>
    </w:p>
    <w:p w14:paraId="4C283A2A" w14:textId="77777777" w:rsidR="00F0647B" w:rsidRDefault="00F0647B" w:rsidP="00A1611D">
      <w:pPr>
        <w:spacing w:before="120"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V odstavci 3 je pak nastaven postup pro případ, že orgán jiného členského státu EU zašle příkaz nepříslušnému orgánu. </w:t>
      </w:r>
    </w:p>
    <w:p w14:paraId="3E4C481B" w14:textId="77777777" w:rsidR="00F0647B" w:rsidRPr="00C64740" w:rsidRDefault="00F0647B" w:rsidP="00A1611D">
      <w:pPr>
        <w:tabs>
          <w:tab w:val="left" w:pos="9067"/>
        </w:tabs>
        <w:spacing w:before="120" w:after="0" w:line="240" w:lineRule="auto"/>
        <w:rPr>
          <w:rFonts w:ascii="Times New Roman" w:eastAsia="Times New Roman" w:hAnsi="Times New Roman" w:cs="Times New Roman"/>
          <w:bCs/>
          <w:sz w:val="24"/>
          <w:szCs w:val="24"/>
          <w:lang w:eastAsia="cs-CZ"/>
        </w:rPr>
      </w:pPr>
      <w:r w:rsidRPr="00132905">
        <w:rPr>
          <w:rFonts w:ascii="Times New Roman" w:eastAsia="Times New Roman" w:hAnsi="Times New Roman" w:cs="Times New Roman"/>
          <w:bCs/>
          <w:sz w:val="24"/>
          <w:szCs w:val="24"/>
          <w:lang w:eastAsia="cs-CZ"/>
        </w:rPr>
        <w:tab/>
      </w:r>
    </w:p>
    <w:p w14:paraId="4618D965" w14:textId="77777777" w:rsidR="008A6B55" w:rsidRPr="00C64740" w:rsidRDefault="008A6B55" w:rsidP="00A1611D">
      <w:pPr>
        <w:spacing w:before="120" w:after="0" w:line="240" w:lineRule="auto"/>
        <w:rPr>
          <w:rFonts w:ascii="Times New Roman" w:eastAsia="Times New Roman" w:hAnsi="Times New Roman" w:cs="Times New Roman"/>
          <w:bCs/>
          <w:vanish/>
          <w:color w:val="000000"/>
          <w:sz w:val="24"/>
          <w:szCs w:val="24"/>
          <w:lang w:eastAsia="cs-CZ"/>
        </w:rPr>
      </w:pPr>
    </w:p>
    <w:p w14:paraId="2F54C56F" w14:textId="77777777" w:rsidR="008A6B55" w:rsidRPr="00C64740" w:rsidRDefault="008A6B55" w:rsidP="00A1611D">
      <w:pPr>
        <w:spacing w:before="120" w:after="0" w:line="240" w:lineRule="auto"/>
        <w:rPr>
          <w:rFonts w:ascii="Times New Roman" w:eastAsia="Times New Roman" w:hAnsi="Times New Roman" w:cs="Times New Roman"/>
          <w:bCs/>
          <w:vanish/>
          <w:color w:val="000000"/>
          <w:sz w:val="24"/>
          <w:szCs w:val="24"/>
          <w:lang w:eastAsia="cs-CZ"/>
        </w:rPr>
      </w:pPr>
    </w:p>
    <w:p w14:paraId="2C6D69EC" w14:textId="77777777" w:rsidR="00CD21E4" w:rsidRDefault="00CD21E4"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 398</w:t>
      </w:r>
    </w:p>
    <w:p w14:paraId="114E3376" w14:textId="0674D0CE" w:rsidR="00CD21E4" w:rsidRDefault="00CD21E4" w:rsidP="00A1611D">
      <w:pPr>
        <w:spacing w:before="120" w:after="0" w:line="240" w:lineRule="auto"/>
        <w:jc w:val="both"/>
        <w:rPr>
          <w:rFonts w:ascii="Times New Roman" w:eastAsia="Times New Roman" w:hAnsi="Times New Roman" w:cs="Times New Roman"/>
          <w:bCs/>
          <w:sz w:val="24"/>
          <w:szCs w:val="24"/>
          <w:lang w:eastAsia="cs-CZ"/>
        </w:rPr>
      </w:pPr>
      <w:r>
        <w:rPr>
          <w:rFonts w:ascii="Times New Roman" w:hAnsi="Times New Roman" w:cs="Times New Roman"/>
          <w:bCs/>
          <w:sz w:val="24"/>
          <w:szCs w:val="24"/>
        </w:rPr>
        <w:t>V tomto ustanovení jsou obsažena adaptační ustanovení navazující na postup podle článk</w:t>
      </w:r>
      <w:r w:rsidR="00F03957">
        <w:rPr>
          <w:rFonts w:ascii="Times New Roman" w:hAnsi="Times New Roman" w:cs="Times New Roman"/>
          <w:bCs/>
          <w:sz w:val="24"/>
          <w:szCs w:val="24"/>
        </w:rPr>
        <w:t>ů</w:t>
      </w:r>
      <w:r>
        <w:rPr>
          <w:rFonts w:ascii="Times New Roman" w:hAnsi="Times New Roman" w:cs="Times New Roman"/>
          <w:bCs/>
          <w:sz w:val="24"/>
          <w:szCs w:val="24"/>
        </w:rPr>
        <w:t xml:space="preserve"> 8 až 12 </w:t>
      </w:r>
      <w:r w:rsidR="002E0407">
        <w:rPr>
          <w:rFonts w:ascii="Times New Roman" w:hAnsi="Times New Roman" w:cs="Times New Roman"/>
          <w:bCs/>
          <w:sz w:val="24"/>
          <w:szCs w:val="24"/>
        </w:rPr>
        <w:t>n</w:t>
      </w:r>
      <w:r>
        <w:rPr>
          <w:rFonts w:ascii="Times New Roman" w:hAnsi="Times New Roman" w:cs="Times New Roman"/>
          <w:bCs/>
          <w:sz w:val="24"/>
          <w:szCs w:val="24"/>
        </w:rPr>
        <w:t xml:space="preserve">ařízení. </w:t>
      </w:r>
      <w:r>
        <w:rPr>
          <w:rFonts w:ascii="Times New Roman" w:eastAsia="Times New Roman" w:hAnsi="Times New Roman" w:cs="Times New Roman"/>
          <w:bCs/>
          <w:sz w:val="24"/>
          <w:szCs w:val="24"/>
          <w:lang w:eastAsia="cs-CZ"/>
        </w:rPr>
        <w:t>Jde o případ, kdy orgán jiného členského státu EU vydal evropský vydávací příkaz týkající se dat</w:t>
      </w:r>
      <w:r w:rsidR="002A1915">
        <w:rPr>
          <w:rFonts w:ascii="Times New Roman" w:eastAsia="Times New Roman" w:hAnsi="Times New Roman" w:cs="Times New Roman"/>
          <w:bCs/>
          <w:sz w:val="24"/>
          <w:szCs w:val="24"/>
          <w:lang w:eastAsia="cs-CZ"/>
        </w:rPr>
        <w:t xml:space="preserve"> o provozu</w:t>
      </w:r>
      <w:r>
        <w:rPr>
          <w:rFonts w:ascii="Times New Roman" w:eastAsia="Times New Roman" w:hAnsi="Times New Roman" w:cs="Times New Roman"/>
          <w:bCs/>
          <w:sz w:val="24"/>
          <w:szCs w:val="24"/>
          <w:lang w:eastAsia="cs-CZ"/>
        </w:rPr>
        <w:t xml:space="preserve">, s výjimkou dat požadovaných výhradně pro identifikaci uživatele, nebo dat </w:t>
      </w:r>
      <w:r w:rsidR="002A1915">
        <w:rPr>
          <w:rFonts w:ascii="Times New Roman" w:eastAsia="Times New Roman" w:hAnsi="Times New Roman" w:cs="Times New Roman"/>
          <w:bCs/>
          <w:sz w:val="24"/>
          <w:szCs w:val="24"/>
          <w:lang w:eastAsia="cs-CZ"/>
        </w:rPr>
        <w:t xml:space="preserve">o obsahu </w:t>
      </w:r>
      <w:r>
        <w:rPr>
          <w:rFonts w:ascii="Times New Roman" w:eastAsia="Times New Roman" w:hAnsi="Times New Roman" w:cs="Times New Roman"/>
          <w:bCs/>
          <w:sz w:val="24"/>
          <w:szCs w:val="24"/>
          <w:lang w:eastAsia="cs-CZ"/>
        </w:rPr>
        <w:t xml:space="preserve">a nejsou dány důvody uvedené v článku 8 odst. 2 </w:t>
      </w:r>
      <w:r w:rsidR="002E0407">
        <w:rPr>
          <w:rFonts w:ascii="Times New Roman" w:eastAsia="Times New Roman" w:hAnsi="Times New Roman" w:cs="Times New Roman"/>
          <w:bCs/>
          <w:sz w:val="24"/>
          <w:szCs w:val="24"/>
          <w:lang w:eastAsia="cs-CZ"/>
        </w:rPr>
        <w:t>n</w:t>
      </w:r>
      <w:r>
        <w:rPr>
          <w:rFonts w:ascii="Times New Roman" w:eastAsia="Times New Roman" w:hAnsi="Times New Roman" w:cs="Times New Roman"/>
          <w:bCs/>
          <w:sz w:val="24"/>
          <w:szCs w:val="24"/>
          <w:lang w:eastAsia="cs-CZ"/>
        </w:rPr>
        <w:t xml:space="preserve">ařízení. Spolu s oznámením zašle příslušný orgán jiného členského státu EU také vyplněný formulář osvědčení (certifikátu) uvedený v příloze I </w:t>
      </w:r>
      <w:r w:rsidR="002E0407">
        <w:rPr>
          <w:rFonts w:ascii="Times New Roman" w:eastAsia="Times New Roman" w:hAnsi="Times New Roman" w:cs="Times New Roman"/>
          <w:bCs/>
          <w:sz w:val="24"/>
          <w:szCs w:val="24"/>
          <w:lang w:eastAsia="cs-CZ"/>
        </w:rPr>
        <w:t>n</w:t>
      </w:r>
      <w:r>
        <w:rPr>
          <w:rFonts w:ascii="Times New Roman" w:eastAsia="Times New Roman" w:hAnsi="Times New Roman" w:cs="Times New Roman"/>
          <w:bCs/>
          <w:sz w:val="24"/>
          <w:szCs w:val="24"/>
          <w:lang w:eastAsia="cs-CZ"/>
        </w:rPr>
        <w:t xml:space="preserve">ařízení přeložený do českého jazyka nebo jiného jazyka, v němž Česká republika prohlásí, že bude osvědčení přijímat (slovenský jazyk). </w:t>
      </w:r>
    </w:p>
    <w:p w14:paraId="5B5B754C" w14:textId="616C50B7" w:rsidR="00CD21E4" w:rsidRDefault="00CD21E4" w:rsidP="00A1611D">
      <w:pPr>
        <w:spacing w:before="120"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Samotný příkaz se automaticky nezasílá, lze si jej nicméně vyžádat podle článku 8 odst. 3 </w:t>
      </w:r>
      <w:r w:rsidR="002E0407">
        <w:rPr>
          <w:rFonts w:ascii="Times New Roman" w:eastAsia="Times New Roman" w:hAnsi="Times New Roman" w:cs="Times New Roman"/>
          <w:bCs/>
          <w:sz w:val="24"/>
          <w:szCs w:val="24"/>
          <w:lang w:eastAsia="cs-CZ"/>
        </w:rPr>
        <w:t>n</w:t>
      </w:r>
      <w:r>
        <w:rPr>
          <w:rFonts w:ascii="Times New Roman" w:eastAsia="Times New Roman" w:hAnsi="Times New Roman" w:cs="Times New Roman"/>
          <w:bCs/>
          <w:sz w:val="24"/>
          <w:szCs w:val="24"/>
          <w:lang w:eastAsia="cs-CZ"/>
        </w:rPr>
        <w:t xml:space="preserve">ařízení. Český orgán je povinen osvědčení přezkoumat nejpozději do 10 dnů (pořádková lhůta) a v naléhavých případech ve smyslu článku 3 odst. 18 </w:t>
      </w:r>
      <w:r w:rsidR="002E0407">
        <w:rPr>
          <w:rFonts w:ascii="Times New Roman" w:eastAsia="Times New Roman" w:hAnsi="Times New Roman" w:cs="Times New Roman"/>
          <w:bCs/>
          <w:sz w:val="24"/>
          <w:szCs w:val="24"/>
          <w:lang w:eastAsia="cs-CZ"/>
        </w:rPr>
        <w:t>n</w:t>
      </w:r>
      <w:r>
        <w:rPr>
          <w:rFonts w:ascii="Times New Roman" w:eastAsia="Times New Roman" w:hAnsi="Times New Roman" w:cs="Times New Roman"/>
          <w:bCs/>
          <w:sz w:val="24"/>
          <w:szCs w:val="24"/>
          <w:lang w:eastAsia="cs-CZ"/>
        </w:rPr>
        <w:t>ařízení do 96 hodin (pořádková lhůta) a v této lhůtě může uplatnit důvod pro odmítnutí výkonu příkazu</w:t>
      </w:r>
      <w:r w:rsidR="00652184">
        <w:rPr>
          <w:rFonts w:ascii="Times New Roman" w:eastAsia="Times New Roman" w:hAnsi="Times New Roman" w:cs="Times New Roman"/>
          <w:bCs/>
          <w:sz w:val="24"/>
          <w:szCs w:val="24"/>
          <w:lang w:eastAsia="cs-CZ"/>
        </w:rPr>
        <w:t xml:space="preserve">. </w:t>
      </w:r>
    </w:p>
    <w:p w14:paraId="22574F6C" w14:textId="1361709F" w:rsidR="00CD21E4" w:rsidRDefault="00CD21E4" w:rsidP="00A1611D">
      <w:pPr>
        <w:spacing w:before="120"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bCs/>
          <w:sz w:val="24"/>
          <w:szCs w:val="24"/>
        </w:rPr>
        <w:t xml:space="preserve">Navržená úprava v odstavci 1 reaguje na to, že jedním z důvodů pro odmítnutí výkonu evropského vydávacího příkazu je podle článku 12 odst. 1 písm. a) </w:t>
      </w:r>
      <w:r w:rsidR="002E0407">
        <w:rPr>
          <w:rFonts w:ascii="Times New Roman" w:hAnsi="Times New Roman" w:cs="Times New Roman"/>
          <w:bCs/>
          <w:sz w:val="24"/>
          <w:szCs w:val="24"/>
        </w:rPr>
        <w:t>n</w:t>
      </w:r>
      <w:r w:rsidR="00F03957">
        <w:rPr>
          <w:rFonts w:ascii="Times New Roman" w:hAnsi="Times New Roman" w:cs="Times New Roman"/>
          <w:bCs/>
          <w:sz w:val="24"/>
          <w:szCs w:val="24"/>
        </w:rPr>
        <w:t xml:space="preserve">ařízení </w:t>
      </w:r>
      <w:r>
        <w:rPr>
          <w:rFonts w:ascii="Times New Roman" w:hAnsi="Times New Roman" w:cs="Times New Roman"/>
          <w:bCs/>
          <w:sz w:val="24"/>
          <w:szCs w:val="24"/>
        </w:rPr>
        <w:t xml:space="preserve">i skutečnost, </w:t>
      </w:r>
      <w:r w:rsidRPr="00CD21E4">
        <w:rPr>
          <w:rFonts w:ascii="Times New Roman" w:hAnsi="Times New Roman" w:cs="Times New Roman"/>
          <w:bCs/>
          <w:sz w:val="24"/>
          <w:szCs w:val="24"/>
        </w:rPr>
        <w:t>že</w:t>
      </w:r>
      <w:r w:rsidR="009211E1">
        <w:rPr>
          <w:rFonts w:ascii="Times New Roman" w:hAnsi="Times New Roman" w:cs="Times New Roman"/>
          <w:bCs/>
          <w:sz w:val="24"/>
          <w:szCs w:val="24"/>
        </w:rPr>
        <w:t> </w:t>
      </w:r>
      <w:r w:rsidRPr="00CD21E4">
        <w:rPr>
          <w:rFonts w:ascii="Times New Roman" w:eastAsia="Times New Roman" w:hAnsi="Times New Roman" w:cs="Times New Roman"/>
          <w:sz w:val="24"/>
          <w:szCs w:val="24"/>
          <w:lang w:eastAsia="cs-CZ"/>
        </w:rPr>
        <w:t>požadované údaje jsou chráněny imunitami nebo výsadami podle práva vykonávajícího státu, které brání výkonu příkazu</w:t>
      </w:r>
      <w:r>
        <w:rPr>
          <w:rFonts w:ascii="Times New Roman" w:eastAsia="Times New Roman" w:hAnsi="Times New Roman" w:cs="Times New Roman"/>
          <w:sz w:val="24"/>
          <w:szCs w:val="24"/>
          <w:lang w:eastAsia="cs-CZ"/>
        </w:rPr>
        <w:t xml:space="preserve">. Stejně jako u jiných typů justiční spolupráce se upravuje možnost, aby se v případě pochybností o tom, zda je taková imunita nebo výsada dána, justiční orgán obrátil na Nejvyšší soud. </w:t>
      </w:r>
    </w:p>
    <w:p w14:paraId="3F6B85EC" w14:textId="45BBF25F" w:rsidR="00A9580B" w:rsidRDefault="00CD21E4" w:rsidP="00A1611D">
      <w:pPr>
        <w:spacing w:before="120"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sz w:val="24"/>
          <w:szCs w:val="24"/>
          <w:lang w:eastAsia="cs-CZ"/>
        </w:rPr>
        <w:t>V odstavci 2 se pak upravuje výsledek přezkoumání příkazu v případě, že justiční orgán neshledá žádný důvod pro odmítnutí</w:t>
      </w:r>
      <w:r w:rsidR="004949A8">
        <w:rPr>
          <w:rFonts w:ascii="Times New Roman" w:eastAsia="Times New Roman" w:hAnsi="Times New Roman" w:cs="Times New Roman"/>
          <w:sz w:val="24"/>
          <w:szCs w:val="24"/>
          <w:lang w:eastAsia="cs-CZ"/>
        </w:rPr>
        <w:t xml:space="preserve"> (jde o obdobný postup jako u evropského vyšetřovacího příkazu)</w:t>
      </w:r>
      <w:r>
        <w:rPr>
          <w:rFonts w:ascii="Times New Roman" w:eastAsia="Times New Roman" w:hAnsi="Times New Roman" w:cs="Times New Roman"/>
          <w:sz w:val="24"/>
          <w:szCs w:val="24"/>
          <w:lang w:eastAsia="cs-CZ"/>
        </w:rPr>
        <w:t>. V takovém případě o tom učiní záznam do spisu</w:t>
      </w:r>
      <w:r w:rsidR="004336BF">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a </w:t>
      </w:r>
      <w:r w:rsidR="004336BF">
        <w:rPr>
          <w:rFonts w:ascii="Times New Roman" w:eastAsia="Times New Roman" w:hAnsi="Times New Roman" w:cs="Times New Roman"/>
          <w:sz w:val="24"/>
          <w:szCs w:val="24"/>
          <w:lang w:eastAsia="cs-CZ"/>
        </w:rPr>
        <w:t xml:space="preserve">pokud je možné takové vyrozumění provést před uplynutím desetidenní lhůty uvedené v článku 10 odst. 2 </w:t>
      </w:r>
      <w:r w:rsidR="002E0407">
        <w:rPr>
          <w:rFonts w:ascii="Times New Roman" w:eastAsia="Times New Roman" w:hAnsi="Times New Roman" w:cs="Times New Roman"/>
          <w:sz w:val="24"/>
          <w:szCs w:val="24"/>
          <w:lang w:eastAsia="cs-CZ"/>
        </w:rPr>
        <w:t>n</w:t>
      </w:r>
      <w:r w:rsidR="004336BF">
        <w:rPr>
          <w:rFonts w:ascii="Times New Roman" w:eastAsia="Times New Roman" w:hAnsi="Times New Roman" w:cs="Times New Roman"/>
          <w:sz w:val="24"/>
          <w:szCs w:val="24"/>
          <w:lang w:eastAsia="cs-CZ"/>
        </w:rPr>
        <w:t xml:space="preserve">ařízení, </w:t>
      </w:r>
      <w:r>
        <w:rPr>
          <w:rFonts w:ascii="Times New Roman" w:eastAsia="Times New Roman" w:hAnsi="Times New Roman" w:cs="Times New Roman"/>
          <w:sz w:val="24"/>
          <w:szCs w:val="24"/>
          <w:lang w:eastAsia="cs-CZ"/>
        </w:rPr>
        <w:t xml:space="preserve">informuje </w:t>
      </w:r>
      <w:r w:rsidR="005344D4">
        <w:rPr>
          <w:rFonts w:ascii="Times New Roman" w:eastAsia="Times New Roman" w:hAnsi="Times New Roman" w:cs="Times New Roman"/>
          <w:sz w:val="24"/>
          <w:szCs w:val="24"/>
          <w:lang w:eastAsia="cs-CZ"/>
        </w:rPr>
        <w:t>adresáta příkazu</w:t>
      </w:r>
      <w:r>
        <w:rPr>
          <w:rFonts w:ascii="Times New Roman" w:eastAsia="Times New Roman" w:hAnsi="Times New Roman" w:cs="Times New Roman"/>
          <w:sz w:val="24"/>
          <w:szCs w:val="24"/>
          <w:lang w:eastAsia="cs-CZ"/>
        </w:rPr>
        <w:t>, že žádný důvod pro odmítnutí příkazu neshleda</w:t>
      </w:r>
      <w:r w:rsidR="004949A8">
        <w:rPr>
          <w:rFonts w:ascii="Times New Roman" w:eastAsia="Times New Roman" w:hAnsi="Times New Roman" w:cs="Times New Roman"/>
          <w:sz w:val="24"/>
          <w:szCs w:val="24"/>
          <w:lang w:eastAsia="cs-CZ"/>
        </w:rPr>
        <w:t xml:space="preserve">l (článek 10 odst. 2 </w:t>
      </w:r>
      <w:r w:rsidR="002E0407">
        <w:rPr>
          <w:rFonts w:ascii="Times New Roman" w:eastAsia="Times New Roman" w:hAnsi="Times New Roman" w:cs="Times New Roman"/>
          <w:sz w:val="24"/>
          <w:szCs w:val="24"/>
          <w:lang w:eastAsia="cs-CZ"/>
        </w:rPr>
        <w:t>n</w:t>
      </w:r>
      <w:r w:rsidR="004949A8">
        <w:rPr>
          <w:rFonts w:ascii="Times New Roman" w:eastAsia="Times New Roman" w:hAnsi="Times New Roman" w:cs="Times New Roman"/>
          <w:sz w:val="24"/>
          <w:szCs w:val="24"/>
          <w:lang w:eastAsia="cs-CZ"/>
        </w:rPr>
        <w:t>ařízení</w:t>
      </w:r>
      <w:r w:rsidR="00F76D57">
        <w:rPr>
          <w:rFonts w:ascii="Times New Roman" w:eastAsia="Times New Roman" w:hAnsi="Times New Roman" w:cs="Times New Roman"/>
          <w:sz w:val="24"/>
          <w:szCs w:val="24"/>
          <w:lang w:eastAsia="cs-CZ"/>
        </w:rPr>
        <w:t xml:space="preserve"> </w:t>
      </w:r>
      <w:r w:rsidR="001B58E1">
        <w:rPr>
          <w:rFonts w:ascii="Times New Roman" w:eastAsia="Times New Roman" w:hAnsi="Times New Roman" w:cs="Times New Roman"/>
          <w:sz w:val="24"/>
          <w:szCs w:val="24"/>
          <w:lang w:eastAsia="cs-CZ"/>
        </w:rPr>
        <w:t xml:space="preserve">možnost </w:t>
      </w:r>
      <w:r w:rsidR="00F76D57">
        <w:rPr>
          <w:rFonts w:ascii="Times New Roman" w:eastAsia="Times New Roman" w:hAnsi="Times New Roman" w:cs="Times New Roman"/>
          <w:sz w:val="24"/>
          <w:szCs w:val="24"/>
          <w:lang w:eastAsia="cs-CZ"/>
        </w:rPr>
        <w:t>takové</w:t>
      </w:r>
      <w:r w:rsidR="001B58E1">
        <w:rPr>
          <w:rFonts w:ascii="Times New Roman" w:eastAsia="Times New Roman" w:hAnsi="Times New Roman" w:cs="Times New Roman"/>
          <w:sz w:val="24"/>
          <w:szCs w:val="24"/>
          <w:lang w:eastAsia="cs-CZ"/>
        </w:rPr>
        <w:t>ho</w:t>
      </w:r>
      <w:r w:rsidR="00F76D57">
        <w:rPr>
          <w:rFonts w:ascii="Times New Roman" w:eastAsia="Times New Roman" w:hAnsi="Times New Roman" w:cs="Times New Roman"/>
          <w:sz w:val="24"/>
          <w:szCs w:val="24"/>
          <w:lang w:eastAsia="cs-CZ"/>
        </w:rPr>
        <w:t xml:space="preserve"> vyrozumění nepřímo předpokládá</w:t>
      </w:r>
      <w:r w:rsidR="00A9580B">
        <w:rPr>
          <w:rFonts w:ascii="Times New Roman" w:eastAsia="Times New Roman" w:hAnsi="Times New Roman" w:cs="Times New Roman"/>
          <w:sz w:val="24"/>
          <w:szCs w:val="24"/>
          <w:lang w:eastAsia="cs-CZ"/>
        </w:rPr>
        <w:t>, ale neupravuje je jako povinné</w:t>
      </w:r>
      <w:r w:rsidR="004949A8">
        <w:rPr>
          <w:rFonts w:ascii="Times New Roman" w:eastAsia="Times New Roman" w:hAnsi="Times New Roman" w:cs="Times New Roman"/>
          <w:sz w:val="24"/>
          <w:szCs w:val="24"/>
          <w:lang w:eastAsia="cs-CZ"/>
        </w:rPr>
        <w:t>).</w:t>
      </w:r>
      <w:r w:rsidR="00A9580B">
        <w:rPr>
          <w:rFonts w:ascii="Times New Roman" w:eastAsia="Times New Roman" w:hAnsi="Times New Roman" w:cs="Times New Roman"/>
          <w:sz w:val="24"/>
          <w:szCs w:val="24"/>
          <w:lang w:eastAsia="cs-CZ"/>
        </w:rPr>
        <w:t xml:space="preserve"> </w:t>
      </w:r>
      <w:r w:rsidR="00A9580B">
        <w:rPr>
          <w:rFonts w:ascii="Times New Roman" w:eastAsia="Times New Roman" w:hAnsi="Times New Roman" w:cs="Times New Roman"/>
          <w:bCs/>
          <w:sz w:val="24"/>
          <w:szCs w:val="24"/>
          <w:lang w:eastAsia="cs-CZ"/>
        </w:rPr>
        <w:t>V naléhavých případech je justiční orgán povinen o tom vyrozumět orgán vydávajícího státu a</w:t>
      </w:r>
      <w:r w:rsidR="009211E1">
        <w:rPr>
          <w:rFonts w:ascii="Times New Roman" w:eastAsia="Times New Roman" w:hAnsi="Times New Roman" w:cs="Times New Roman"/>
          <w:bCs/>
          <w:sz w:val="24"/>
          <w:szCs w:val="24"/>
          <w:lang w:eastAsia="cs-CZ"/>
        </w:rPr>
        <w:t> </w:t>
      </w:r>
      <w:r w:rsidR="00A9580B">
        <w:rPr>
          <w:rFonts w:ascii="Times New Roman" w:eastAsia="Times New Roman" w:hAnsi="Times New Roman" w:cs="Times New Roman"/>
          <w:bCs/>
          <w:sz w:val="24"/>
          <w:szCs w:val="24"/>
          <w:lang w:eastAsia="cs-CZ"/>
        </w:rPr>
        <w:t xml:space="preserve">adresáta nejpozději do 96 hodin od doručení oznámení (článek 10 odst. 4 </w:t>
      </w:r>
      <w:r w:rsidR="002E0407">
        <w:rPr>
          <w:rFonts w:ascii="Times New Roman" w:eastAsia="Times New Roman" w:hAnsi="Times New Roman" w:cs="Times New Roman"/>
          <w:bCs/>
          <w:sz w:val="24"/>
          <w:szCs w:val="24"/>
          <w:lang w:eastAsia="cs-CZ"/>
        </w:rPr>
        <w:t>n</w:t>
      </w:r>
      <w:r w:rsidR="00A9580B">
        <w:rPr>
          <w:rFonts w:ascii="Times New Roman" w:eastAsia="Times New Roman" w:hAnsi="Times New Roman" w:cs="Times New Roman"/>
          <w:bCs/>
          <w:sz w:val="24"/>
          <w:szCs w:val="24"/>
          <w:lang w:eastAsia="cs-CZ"/>
        </w:rPr>
        <w:t xml:space="preserve">ařízení). </w:t>
      </w:r>
    </w:p>
    <w:p w14:paraId="33ABC16C" w14:textId="77777777" w:rsidR="005E6F69" w:rsidRDefault="005E6F69" w:rsidP="00A1611D">
      <w:pPr>
        <w:spacing w:before="120" w:after="0" w:line="240" w:lineRule="auto"/>
        <w:jc w:val="both"/>
        <w:rPr>
          <w:rFonts w:ascii="Times New Roman" w:hAnsi="Times New Roman" w:cs="Times New Roman"/>
          <w:b/>
          <w:sz w:val="24"/>
          <w:szCs w:val="24"/>
        </w:rPr>
      </w:pPr>
    </w:p>
    <w:p w14:paraId="1E7091FE" w14:textId="0908DA4F" w:rsidR="00CD21E4" w:rsidRDefault="005117B5"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 399</w:t>
      </w:r>
    </w:p>
    <w:p w14:paraId="13C8E19D" w14:textId="69BC2815" w:rsidR="00B46AB5" w:rsidRDefault="003B037C"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tomto ustanovení je upraveno uznání a zajištění výkonu evropského vydávacího příkazu orgánu jiného členského státu EU. Jde o případ, kdy orgán jiného členského státu EU nebyl úspěšný při požadování dat přímo od poskytovatele služeb a ten mu bezdůvodně nebo z důvodů, které </w:t>
      </w:r>
      <w:r w:rsidR="002E0407">
        <w:rPr>
          <w:rFonts w:ascii="Times New Roman" w:hAnsi="Times New Roman" w:cs="Times New Roman"/>
          <w:sz w:val="24"/>
          <w:szCs w:val="24"/>
        </w:rPr>
        <w:t>n</w:t>
      </w:r>
      <w:r>
        <w:rPr>
          <w:rFonts w:ascii="Times New Roman" w:hAnsi="Times New Roman" w:cs="Times New Roman"/>
          <w:sz w:val="24"/>
          <w:szCs w:val="24"/>
        </w:rPr>
        <w:t xml:space="preserve">ařízení nepředpokládá, odmítl data poskytnout, nebo mu je neposkytl ve stanovené lhůtě. V takovém případě orgán jiného členského státu EU, který vydal evropský vydávací příkaz, může požádat příslušný český orgán, aby příkaz uznal a zajistil jeho výkon. Kromě evropského vydávacího příkazu zašle také formulář uvedený v příloze III </w:t>
      </w:r>
      <w:r w:rsidR="002E0407">
        <w:rPr>
          <w:rFonts w:ascii="Times New Roman" w:hAnsi="Times New Roman" w:cs="Times New Roman"/>
          <w:sz w:val="24"/>
          <w:szCs w:val="24"/>
        </w:rPr>
        <w:t>n</w:t>
      </w:r>
      <w:r>
        <w:rPr>
          <w:rFonts w:ascii="Times New Roman" w:hAnsi="Times New Roman" w:cs="Times New Roman"/>
          <w:sz w:val="24"/>
          <w:szCs w:val="24"/>
        </w:rPr>
        <w:t xml:space="preserve">ařízení a další potřebné informace – vše přeložené do českého jazyka nebo jiného jazyka, o kterém Česká republika prohlásí, že jej akceptuje (slovenský jazyk). Český justiční orgán, jehož příslušnost se stanoví </w:t>
      </w:r>
      <w:r w:rsidR="009211E1">
        <w:rPr>
          <w:rFonts w:ascii="Times New Roman" w:hAnsi="Times New Roman" w:cs="Times New Roman"/>
          <w:sz w:val="24"/>
          <w:szCs w:val="24"/>
        </w:rPr>
        <w:t>podle</w:t>
      </w:r>
      <w:r>
        <w:rPr>
          <w:rFonts w:ascii="Times New Roman" w:hAnsi="Times New Roman" w:cs="Times New Roman"/>
          <w:sz w:val="24"/>
          <w:szCs w:val="24"/>
        </w:rPr>
        <w:t xml:space="preserve"> § 397 odst. 1, pak přezkoumá, zda není dán důvod pro odmítnutí podle článku 16 odst. 4 </w:t>
      </w:r>
      <w:r w:rsidR="002E0407">
        <w:rPr>
          <w:rFonts w:ascii="Times New Roman" w:hAnsi="Times New Roman" w:cs="Times New Roman"/>
          <w:sz w:val="24"/>
          <w:szCs w:val="24"/>
        </w:rPr>
        <w:t>n</w:t>
      </w:r>
      <w:r>
        <w:rPr>
          <w:rFonts w:ascii="Times New Roman" w:hAnsi="Times New Roman" w:cs="Times New Roman"/>
          <w:sz w:val="24"/>
          <w:szCs w:val="24"/>
        </w:rPr>
        <w:t>ařízení</w:t>
      </w:r>
      <w:r w:rsidR="00B46AB5">
        <w:rPr>
          <w:rFonts w:ascii="Times New Roman" w:hAnsi="Times New Roman" w:cs="Times New Roman"/>
          <w:sz w:val="24"/>
          <w:szCs w:val="24"/>
        </w:rPr>
        <w:t>. Pokud shledá, že je takový důvod dán, podle čl</w:t>
      </w:r>
      <w:r w:rsidR="00AF0905">
        <w:rPr>
          <w:rFonts w:ascii="Times New Roman" w:hAnsi="Times New Roman" w:cs="Times New Roman"/>
          <w:sz w:val="24"/>
          <w:szCs w:val="24"/>
        </w:rPr>
        <w:t>ánku</w:t>
      </w:r>
      <w:r w:rsidR="00B46AB5">
        <w:rPr>
          <w:rFonts w:ascii="Times New Roman" w:hAnsi="Times New Roman" w:cs="Times New Roman"/>
          <w:sz w:val="24"/>
          <w:szCs w:val="24"/>
        </w:rPr>
        <w:t xml:space="preserve"> 16 odst. 2 </w:t>
      </w:r>
      <w:r w:rsidR="002E0407">
        <w:rPr>
          <w:rFonts w:ascii="Times New Roman" w:hAnsi="Times New Roman" w:cs="Times New Roman"/>
          <w:sz w:val="24"/>
          <w:szCs w:val="24"/>
        </w:rPr>
        <w:t>n</w:t>
      </w:r>
      <w:r w:rsidR="008622F7">
        <w:rPr>
          <w:rFonts w:ascii="Times New Roman" w:hAnsi="Times New Roman" w:cs="Times New Roman"/>
          <w:sz w:val="24"/>
          <w:szCs w:val="24"/>
        </w:rPr>
        <w:t xml:space="preserve">ařízení </w:t>
      </w:r>
      <w:r w:rsidR="00B46AB5">
        <w:rPr>
          <w:rFonts w:ascii="Times New Roman" w:hAnsi="Times New Roman" w:cs="Times New Roman"/>
          <w:sz w:val="24"/>
          <w:szCs w:val="24"/>
        </w:rPr>
        <w:t xml:space="preserve">o tom informuje adresáta příkazu a orgán vydávajícího státu. Pokud žádný důvod pro odmítnutí dán není, justiční orgán vydá příkaz, který bude obsahovat výrok o uznání příkazu jiného členského státu </w:t>
      </w:r>
      <w:r w:rsidR="009007DB">
        <w:rPr>
          <w:rFonts w:ascii="Times New Roman" w:hAnsi="Times New Roman" w:cs="Times New Roman"/>
          <w:sz w:val="24"/>
          <w:szCs w:val="24"/>
        </w:rPr>
        <w:t xml:space="preserve">EU </w:t>
      </w:r>
      <w:r w:rsidR="00B46AB5">
        <w:rPr>
          <w:rFonts w:ascii="Times New Roman" w:hAnsi="Times New Roman" w:cs="Times New Roman"/>
          <w:sz w:val="24"/>
          <w:szCs w:val="24"/>
        </w:rPr>
        <w:t>a výrok, kterým nařídí adresátovi příkazu, aby data poskytl, odůvodnění, v němž justiční orgán uvede, jakým způsobem posoudil podmínky pro výkon příkazu, tj. že nejsou dány důvody pro odmítnutí jeho výkonu, a poučení, v němž jsou obsaženy informace uvedené v čl</w:t>
      </w:r>
      <w:r w:rsidR="00AF0905">
        <w:rPr>
          <w:rFonts w:ascii="Times New Roman" w:hAnsi="Times New Roman" w:cs="Times New Roman"/>
          <w:sz w:val="24"/>
          <w:szCs w:val="24"/>
        </w:rPr>
        <w:t>ánku</w:t>
      </w:r>
      <w:r w:rsidR="00B46AB5">
        <w:rPr>
          <w:rFonts w:ascii="Times New Roman" w:hAnsi="Times New Roman" w:cs="Times New Roman"/>
          <w:sz w:val="24"/>
          <w:szCs w:val="24"/>
        </w:rPr>
        <w:t xml:space="preserve"> 16 odst. 3 </w:t>
      </w:r>
      <w:r w:rsidR="002E0407">
        <w:rPr>
          <w:rFonts w:ascii="Times New Roman" w:hAnsi="Times New Roman" w:cs="Times New Roman"/>
          <w:sz w:val="24"/>
          <w:szCs w:val="24"/>
        </w:rPr>
        <w:t>n</w:t>
      </w:r>
      <w:r w:rsidR="00B46AB5">
        <w:rPr>
          <w:rFonts w:ascii="Times New Roman" w:hAnsi="Times New Roman" w:cs="Times New Roman"/>
          <w:sz w:val="24"/>
          <w:szCs w:val="24"/>
        </w:rPr>
        <w:t xml:space="preserve">ařízení. </w:t>
      </w:r>
      <w:r w:rsidR="00FD1FF0">
        <w:rPr>
          <w:rFonts w:ascii="Times New Roman" w:hAnsi="Times New Roman" w:cs="Times New Roman"/>
          <w:sz w:val="24"/>
          <w:szCs w:val="24"/>
        </w:rPr>
        <w:t>Příkaz doručí adresátovi.</w:t>
      </w:r>
      <w:r w:rsidR="009D1973">
        <w:rPr>
          <w:rFonts w:ascii="Times New Roman" w:hAnsi="Times New Roman" w:cs="Times New Roman"/>
          <w:sz w:val="24"/>
          <w:szCs w:val="24"/>
        </w:rPr>
        <w:t xml:space="preserve"> Zároveň se staví najisto, že poskytovatel může žádat úhradu nákladů vzniklých v souvislosti výkonem evropského vydávacího příkazu pouze po státu, jehož orgán vydal evropský vydávací příkaz, a to za podmínek stanovených jeho právním řádem, i v případě, že český orgán vydal příkaz k zajištění jeho výkonu. </w:t>
      </w:r>
    </w:p>
    <w:p w14:paraId="2D139A8F" w14:textId="1F40545F" w:rsidR="008E61A5" w:rsidRDefault="008D4B22"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Vzhledem k tomu, že </w:t>
      </w:r>
      <w:r w:rsidR="002E0407">
        <w:rPr>
          <w:rFonts w:ascii="Times New Roman" w:hAnsi="Times New Roman" w:cs="Times New Roman"/>
          <w:sz w:val="24"/>
          <w:szCs w:val="24"/>
        </w:rPr>
        <w:t>n</w:t>
      </w:r>
      <w:r>
        <w:rPr>
          <w:rFonts w:ascii="Times New Roman" w:hAnsi="Times New Roman" w:cs="Times New Roman"/>
          <w:sz w:val="24"/>
          <w:szCs w:val="24"/>
        </w:rPr>
        <w:t>ařízení nastavuje soudní příslušnost k vydání evropského vydávacího příkazu v některých případech odlišně od trestního řádu, za účelem zachování jednotnosti soudního přezkumu při vyžadování dat na území České republiky se v odstavci 2 stanoví, že</w:t>
      </w:r>
      <w:r w:rsidR="009211E1">
        <w:rPr>
          <w:rFonts w:ascii="Times New Roman" w:hAnsi="Times New Roman" w:cs="Times New Roman"/>
          <w:sz w:val="24"/>
          <w:szCs w:val="24"/>
        </w:rPr>
        <w:t> </w:t>
      </w:r>
      <w:r>
        <w:rPr>
          <w:rFonts w:ascii="Times New Roman" w:hAnsi="Times New Roman" w:cs="Times New Roman"/>
          <w:sz w:val="24"/>
          <w:szCs w:val="24"/>
        </w:rPr>
        <w:t>pokud by v obdobném vnitrostátním případu byl k vydání příkazu v přípravném řízení příslušný soudce, státní zástupce</w:t>
      </w:r>
      <w:r w:rsidR="008F1844">
        <w:rPr>
          <w:rFonts w:ascii="Times New Roman" w:hAnsi="Times New Roman" w:cs="Times New Roman"/>
          <w:sz w:val="24"/>
          <w:szCs w:val="24"/>
        </w:rPr>
        <w:t xml:space="preserve"> podá soudci návrh na vydání takového příkazu</w:t>
      </w:r>
      <w:r w:rsidR="00943F88">
        <w:rPr>
          <w:rFonts w:ascii="Times New Roman" w:hAnsi="Times New Roman" w:cs="Times New Roman"/>
          <w:sz w:val="24"/>
          <w:szCs w:val="24"/>
        </w:rPr>
        <w:t xml:space="preserve"> (příslušnost soudce se určí podle § 48a ZMJS)</w:t>
      </w:r>
      <w:r>
        <w:rPr>
          <w:rFonts w:ascii="Times New Roman" w:hAnsi="Times New Roman" w:cs="Times New Roman"/>
          <w:sz w:val="24"/>
          <w:szCs w:val="24"/>
        </w:rPr>
        <w:t xml:space="preserve">. </w:t>
      </w:r>
      <w:r w:rsidR="008F1844">
        <w:rPr>
          <w:rFonts w:ascii="Times New Roman" w:hAnsi="Times New Roman" w:cs="Times New Roman"/>
          <w:sz w:val="24"/>
          <w:szCs w:val="24"/>
        </w:rPr>
        <w:t xml:space="preserve">V </w:t>
      </w:r>
      <w:r w:rsidR="008F1844" w:rsidRPr="008F1844">
        <w:rPr>
          <w:rFonts w:ascii="Times New Roman" w:hAnsi="Times New Roman" w:cs="Times New Roman"/>
          <w:sz w:val="24"/>
          <w:szCs w:val="24"/>
        </w:rPr>
        <w:t xml:space="preserve">odůvodnění svého návrhu musí </w:t>
      </w:r>
      <w:r w:rsidR="008F1844">
        <w:rPr>
          <w:rFonts w:ascii="Times New Roman" w:hAnsi="Times New Roman" w:cs="Times New Roman"/>
          <w:sz w:val="24"/>
          <w:szCs w:val="24"/>
        </w:rPr>
        <w:t xml:space="preserve">státní zástupce </w:t>
      </w:r>
      <w:r w:rsidR="008F1844" w:rsidRPr="008F1844">
        <w:rPr>
          <w:rFonts w:ascii="Times New Roman" w:hAnsi="Times New Roman" w:cs="Times New Roman"/>
          <w:sz w:val="24"/>
          <w:szCs w:val="24"/>
        </w:rPr>
        <w:t xml:space="preserve">rovněž uvést, jakým způsobem posoudil splnění podmínek pro výkon evropského </w:t>
      </w:r>
      <w:r w:rsidR="008F1844">
        <w:rPr>
          <w:rFonts w:ascii="Times New Roman" w:hAnsi="Times New Roman" w:cs="Times New Roman"/>
          <w:sz w:val="24"/>
          <w:szCs w:val="24"/>
        </w:rPr>
        <w:t xml:space="preserve">vydávacího </w:t>
      </w:r>
      <w:r w:rsidR="008F1844" w:rsidRPr="008F1844">
        <w:rPr>
          <w:rFonts w:ascii="Times New Roman" w:hAnsi="Times New Roman" w:cs="Times New Roman"/>
          <w:sz w:val="24"/>
          <w:szCs w:val="24"/>
        </w:rPr>
        <w:t>příkazu</w:t>
      </w:r>
      <w:r w:rsidR="008F1844">
        <w:rPr>
          <w:rFonts w:ascii="Times New Roman" w:hAnsi="Times New Roman" w:cs="Times New Roman"/>
          <w:sz w:val="24"/>
          <w:szCs w:val="24"/>
        </w:rPr>
        <w:t>,</w:t>
      </w:r>
      <w:r w:rsidR="008F1844" w:rsidRPr="008F1844">
        <w:rPr>
          <w:rFonts w:ascii="Times New Roman" w:hAnsi="Times New Roman" w:cs="Times New Roman"/>
          <w:sz w:val="24"/>
          <w:szCs w:val="24"/>
        </w:rPr>
        <w:t xml:space="preserve"> </w:t>
      </w:r>
      <w:r w:rsidR="008F1844">
        <w:rPr>
          <w:rFonts w:ascii="Times New Roman" w:hAnsi="Times New Roman" w:cs="Times New Roman"/>
          <w:sz w:val="24"/>
          <w:szCs w:val="24"/>
        </w:rPr>
        <w:t>t</w:t>
      </w:r>
      <w:r w:rsidR="008F1844" w:rsidRPr="008F1844">
        <w:rPr>
          <w:rFonts w:ascii="Times New Roman" w:hAnsi="Times New Roman" w:cs="Times New Roman"/>
          <w:sz w:val="24"/>
          <w:szCs w:val="24"/>
        </w:rPr>
        <w:t>ímto posouzením však soud</w:t>
      </w:r>
      <w:r w:rsidR="008F1844">
        <w:rPr>
          <w:rFonts w:ascii="Times New Roman" w:hAnsi="Times New Roman" w:cs="Times New Roman"/>
          <w:sz w:val="24"/>
          <w:szCs w:val="24"/>
        </w:rPr>
        <w:t>ce</w:t>
      </w:r>
      <w:r w:rsidR="008F1844" w:rsidRPr="008F1844">
        <w:rPr>
          <w:rFonts w:ascii="Times New Roman" w:hAnsi="Times New Roman" w:cs="Times New Roman"/>
          <w:sz w:val="24"/>
          <w:szCs w:val="24"/>
        </w:rPr>
        <w:t xml:space="preserve"> není vázán a v rámci hodnocení podmínek pro v</w:t>
      </w:r>
      <w:r w:rsidR="008F1844">
        <w:rPr>
          <w:rFonts w:ascii="Times New Roman" w:hAnsi="Times New Roman" w:cs="Times New Roman"/>
          <w:sz w:val="24"/>
          <w:szCs w:val="24"/>
        </w:rPr>
        <w:t xml:space="preserve">ydání příkazu, kterým se zajišťuje výkon evropského vydávacího příkazu, </w:t>
      </w:r>
      <w:r w:rsidR="008F1844" w:rsidRPr="008F1844">
        <w:rPr>
          <w:rFonts w:ascii="Times New Roman" w:hAnsi="Times New Roman" w:cs="Times New Roman"/>
          <w:sz w:val="24"/>
          <w:szCs w:val="24"/>
        </w:rPr>
        <w:t>může dospět k jiným závěrům.</w:t>
      </w:r>
      <w:r w:rsidR="00385374">
        <w:rPr>
          <w:rFonts w:ascii="Times New Roman" w:hAnsi="Times New Roman" w:cs="Times New Roman"/>
          <w:sz w:val="24"/>
          <w:szCs w:val="24"/>
        </w:rPr>
        <w:t xml:space="preserve"> </w:t>
      </w:r>
    </w:p>
    <w:p w14:paraId="25BE2B5A" w14:textId="27BEF9CA" w:rsidR="008E61A5" w:rsidRPr="008E61A5" w:rsidRDefault="008E61A5"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Pro</w:t>
      </w:r>
      <w:r w:rsidRPr="008E61A5">
        <w:rPr>
          <w:rFonts w:ascii="Times New Roman" w:hAnsi="Times New Roman" w:cs="Times New Roman"/>
          <w:sz w:val="24"/>
          <w:szCs w:val="24"/>
        </w:rPr>
        <w:t xml:space="preserve"> výkon evropsk</w:t>
      </w:r>
      <w:r>
        <w:rPr>
          <w:rFonts w:ascii="Times New Roman" w:hAnsi="Times New Roman" w:cs="Times New Roman"/>
          <w:sz w:val="24"/>
          <w:szCs w:val="24"/>
        </w:rPr>
        <w:t>ého</w:t>
      </w:r>
      <w:r w:rsidRPr="008E61A5">
        <w:rPr>
          <w:rFonts w:ascii="Times New Roman" w:hAnsi="Times New Roman" w:cs="Times New Roman"/>
          <w:sz w:val="24"/>
          <w:szCs w:val="24"/>
        </w:rPr>
        <w:t xml:space="preserve"> vydávací</w:t>
      </w:r>
      <w:r>
        <w:rPr>
          <w:rFonts w:ascii="Times New Roman" w:hAnsi="Times New Roman" w:cs="Times New Roman"/>
          <w:sz w:val="24"/>
          <w:szCs w:val="24"/>
        </w:rPr>
        <w:t>ho</w:t>
      </w:r>
      <w:r w:rsidRPr="008E61A5">
        <w:rPr>
          <w:rFonts w:ascii="Times New Roman" w:hAnsi="Times New Roman" w:cs="Times New Roman"/>
          <w:sz w:val="24"/>
          <w:szCs w:val="24"/>
        </w:rPr>
        <w:t xml:space="preserve"> příkaz</w:t>
      </w:r>
      <w:r>
        <w:rPr>
          <w:rFonts w:ascii="Times New Roman" w:hAnsi="Times New Roman" w:cs="Times New Roman"/>
          <w:sz w:val="24"/>
          <w:szCs w:val="24"/>
        </w:rPr>
        <w:t>u</w:t>
      </w:r>
      <w:r w:rsidRPr="008E61A5">
        <w:rPr>
          <w:rFonts w:ascii="Times New Roman" w:hAnsi="Times New Roman" w:cs="Times New Roman"/>
          <w:sz w:val="24"/>
          <w:szCs w:val="24"/>
        </w:rPr>
        <w:t xml:space="preserve"> vydan</w:t>
      </w:r>
      <w:r>
        <w:rPr>
          <w:rFonts w:ascii="Times New Roman" w:hAnsi="Times New Roman" w:cs="Times New Roman"/>
          <w:sz w:val="24"/>
          <w:szCs w:val="24"/>
        </w:rPr>
        <w:t>ého</w:t>
      </w:r>
      <w:r w:rsidRPr="008E61A5">
        <w:rPr>
          <w:rFonts w:ascii="Times New Roman" w:hAnsi="Times New Roman" w:cs="Times New Roman"/>
          <w:sz w:val="24"/>
          <w:szCs w:val="24"/>
        </w:rPr>
        <w:t xml:space="preserve"> jin</w:t>
      </w:r>
      <w:r>
        <w:rPr>
          <w:rFonts w:ascii="Times New Roman" w:hAnsi="Times New Roman" w:cs="Times New Roman"/>
          <w:sz w:val="24"/>
          <w:szCs w:val="24"/>
        </w:rPr>
        <w:t>ým</w:t>
      </w:r>
      <w:r w:rsidRPr="008E61A5">
        <w:rPr>
          <w:rFonts w:ascii="Times New Roman" w:hAnsi="Times New Roman" w:cs="Times New Roman"/>
          <w:sz w:val="24"/>
          <w:szCs w:val="24"/>
        </w:rPr>
        <w:t xml:space="preserve"> člensk</w:t>
      </w:r>
      <w:r>
        <w:rPr>
          <w:rFonts w:ascii="Times New Roman" w:hAnsi="Times New Roman" w:cs="Times New Roman"/>
          <w:sz w:val="24"/>
          <w:szCs w:val="24"/>
        </w:rPr>
        <w:t>ým</w:t>
      </w:r>
      <w:r w:rsidRPr="008E61A5">
        <w:rPr>
          <w:rFonts w:ascii="Times New Roman" w:hAnsi="Times New Roman" w:cs="Times New Roman"/>
          <w:sz w:val="24"/>
          <w:szCs w:val="24"/>
        </w:rPr>
        <w:t xml:space="preserve"> stát</w:t>
      </w:r>
      <w:r>
        <w:rPr>
          <w:rFonts w:ascii="Times New Roman" w:hAnsi="Times New Roman" w:cs="Times New Roman"/>
          <w:sz w:val="24"/>
          <w:szCs w:val="24"/>
        </w:rPr>
        <w:t>em</w:t>
      </w:r>
      <w:r w:rsidRPr="008E61A5">
        <w:rPr>
          <w:rFonts w:ascii="Times New Roman" w:hAnsi="Times New Roman" w:cs="Times New Roman"/>
          <w:sz w:val="24"/>
          <w:szCs w:val="24"/>
        </w:rPr>
        <w:t xml:space="preserve"> EU </w:t>
      </w:r>
      <w:r>
        <w:rPr>
          <w:rFonts w:ascii="Times New Roman" w:hAnsi="Times New Roman" w:cs="Times New Roman"/>
          <w:sz w:val="24"/>
          <w:szCs w:val="24"/>
        </w:rPr>
        <w:t xml:space="preserve">se </w:t>
      </w:r>
      <w:r w:rsidRPr="008E61A5">
        <w:rPr>
          <w:rFonts w:ascii="Times New Roman" w:hAnsi="Times New Roman" w:cs="Times New Roman"/>
          <w:sz w:val="24"/>
          <w:szCs w:val="24"/>
        </w:rPr>
        <w:t xml:space="preserve">v přípravném řízení </w:t>
      </w:r>
      <w:r>
        <w:rPr>
          <w:rFonts w:ascii="Times New Roman" w:hAnsi="Times New Roman" w:cs="Times New Roman"/>
          <w:sz w:val="24"/>
          <w:szCs w:val="24"/>
        </w:rPr>
        <w:t xml:space="preserve">stanoví pouze </w:t>
      </w:r>
      <w:r w:rsidRPr="008E61A5">
        <w:rPr>
          <w:rFonts w:ascii="Times New Roman" w:hAnsi="Times New Roman" w:cs="Times New Roman"/>
          <w:sz w:val="24"/>
          <w:szCs w:val="24"/>
        </w:rPr>
        <w:t>jeden vykonávající orgán, a to státní zástupce</w:t>
      </w:r>
      <w:r>
        <w:rPr>
          <w:rFonts w:ascii="Times New Roman" w:hAnsi="Times New Roman" w:cs="Times New Roman"/>
          <w:sz w:val="24"/>
          <w:szCs w:val="24"/>
        </w:rPr>
        <w:t xml:space="preserve"> (jde o obdobné</w:t>
      </w:r>
      <w:r w:rsidRPr="008E61A5">
        <w:rPr>
          <w:rFonts w:ascii="Times New Roman" w:hAnsi="Times New Roman" w:cs="Times New Roman"/>
          <w:sz w:val="24"/>
          <w:szCs w:val="24"/>
        </w:rPr>
        <w:t xml:space="preserve"> řešení jako u vyřizování žádostí o právní pomoc či výkonu evropsk</w:t>
      </w:r>
      <w:r>
        <w:rPr>
          <w:rFonts w:ascii="Times New Roman" w:hAnsi="Times New Roman" w:cs="Times New Roman"/>
          <w:sz w:val="24"/>
          <w:szCs w:val="24"/>
        </w:rPr>
        <w:t xml:space="preserve">ého </w:t>
      </w:r>
      <w:r w:rsidRPr="008E61A5">
        <w:rPr>
          <w:rFonts w:ascii="Times New Roman" w:hAnsi="Times New Roman" w:cs="Times New Roman"/>
          <w:sz w:val="24"/>
          <w:szCs w:val="24"/>
        </w:rPr>
        <w:t>vyšetřovací</w:t>
      </w:r>
      <w:r>
        <w:rPr>
          <w:rFonts w:ascii="Times New Roman" w:hAnsi="Times New Roman" w:cs="Times New Roman"/>
          <w:sz w:val="24"/>
          <w:szCs w:val="24"/>
        </w:rPr>
        <w:t>ho</w:t>
      </w:r>
      <w:r w:rsidRPr="008E61A5">
        <w:rPr>
          <w:rFonts w:ascii="Times New Roman" w:hAnsi="Times New Roman" w:cs="Times New Roman"/>
          <w:sz w:val="24"/>
          <w:szCs w:val="24"/>
        </w:rPr>
        <w:t xml:space="preserve"> příkaz</w:t>
      </w:r>
      <w:r>
        <w:rPr>
          <w:rFonts w:ascii="Times New Roman" w:hAnsi="Times New Roman" w:cs="Times New Roman"/>
          <w:sz w:val="24"/>
          <w:szCs w:val="24"/>
        </w:rPr>
        <w:t>u). I</w:t>
      </w:r>
      <w:r w:rsidRPr="008E61A5">
        <w:rPr>
          <w:rFonts w:ascii="Times New Roman" w:hAnsi="Times New Roman" w:cs="Times New Roman"/>
          <w:sz w:val="24"/>
          <w:szCs w:val="24"/>
        </w:rPr>
        <w:t xml:space="preserve"> když </w:t>
      </w:r>
      <w:r>
        <w:rPr>
          <w:rFonts w:ascii="Times New Roman" w:hAnsi="Times New Roman" w:cs="Times New Roman"/>
          <w:sz w:val="24"/>
          <w:szCs w:val="24"/>
        </w:rPr>
        <w:t xml:space="preserve">si státní zástupce za účelem zajištění výkonu evropského vydávacího příkazu u určité kategorie dat </w:t>
      </w:r>
      <w:r w:rsidRPr="008E61A5">
        <w:rPr>
          <w:rFonts w:ascii="Times New Roman" w:hAnsi="Times New Roman" w:cs="Times New Roman"/>
          <w:sz w:val="24"/>
          <w:szCs w:val="24"/>
        </w:rPr>
        <w:t>musí vyžádat příkaz soudce</w:t>
      </w:r>
      <w:r>
        <w:rPr>
          <w:rFonts w:ascii="Times New Roman" w:hAnsi="Times New Roman" w:cs="Times New Roman"/>
          <w:sz w:val="24"/>
          <w:szCs w:val="24"/>
        </w:rPr>
        <w:t>, soudce se nestává vykonávajícím orgánem, což je v</w:t>
      </w:r>
      <w:r w:rsidR="009211E1">
        <w:rPr>
          <w:rFonts w:ascii="Times New Roman" w:hAnsi="Times New Roman" w:cs="Times New Roman"/>
          <w:sz w:val="24"/>
          <w:szCs w:val="24"/>
        </w:rPr>
        <w:t> </w:t>
      </w:r>
      <w:r>
        <w:rPr>
          <w:rFonts w:ascii="Times New Roman" w:hAnsi="Times New Roman" w:cs="Times New Roman"/>
          <w:sz w:val="24"/>
          <w:szCs w:val="24"/>
        </w:rPr>
        <w:t xml:space="preserve">souladu s vymezením vykonávajícího orgánu podle </w:t>
      </w:r>
      <w:r w:rsidRPr="008E61A5">
        <w:rPr>
          <w:rFonts w:ascii="Times New Roman" w:hAnsi="Times New Roman" w:cs="Times New Roman"/>
          <w:sz w:val="24"/>
          <w:szCs w:val="24"/>
        </w:rPr>
        <w:t>čl</w:t>
      </w:r>
      <w:r w:rsidR="007B4A16">
        <w:rPr>
          <w:rFonts w:ascii="Times New Roman" w:hAnsi="Times New Roman" w:cs="Times New Roman"/>
          <w:sz w:val="24"/>
          <w:szCs w:val="24"/>
        </w:rPr>
        <w:t>ánku</w:t>
      </w:r>
      <w:r w:rsidRPr="008E61A5">
        <w:rPr>
          <w:rFonts w:ascii="Times New Roman" w:hAnsi="Times New Roman" w:cs="Times New Roman"/>
          <w:sz w:val="24"/>
          <w:szCs w:val="24"/>
        </w:rPr>
        <w:t xml:space="preserve"> 3 bodu 17 </w:t>
      </w:r>
      <w:r w:rsidR="002E0407">
        <w:rPr>
          <w:rFonts w:ascii="Times New Roman" w:hAnsi="Times New Roman" w:cs="Times New Roman"/>
          <w:sz w:val="24"/>
          <w:szCs w:val="24"/>
        </w:rPr>
        <w:t>n</w:t>
      </w:r>
      <w:r w:rsidRPr="008E61A5">
        <w:rPr>
          <w:rFonts w:ascii="Times New Roman" w:hAnsi="Times New Roman" w:cs="Times New Roman"/>
          <w:sz w:val="24"/>
          <w:szCs w:val="24"/>
        </w:rPr>
        <w:t xml:space="preserve">ařízení, který odkazuje na orgán příslušný k obdržení evropského vydávacího příkazu. </w:t>
      </w:r>
      <w:r w:rsidR="004A7148">
        <w:rPr>
          <w:rFonts w:ascii="Times New Roman" w:hAnsi="Times New Roman" w:cs="Times New Roman"/>
          <w:sz w:val="24"/>
          <w:szCs w:val="24"/>
        </w:rPr>
        <w:t>Tomu pak odpovídá navržená úprava, podle níž informace a konzultace</w:t>
      </w:r>
      <w:r w:rsidR="00272718">
        <w:rPr>
          <w:rFonts w:ascii="Times New Roman" w:hAnsi="Times New Roman" w:cs="Times New Roman"/>
          <w:sz w:val="24"/>
          <w:szCs w:val="24"/>
        </w:rPr>
        <w:t xml:space="preserve"> pro účely rozhodnutí </w:t>
      </w:r>
      <w:r w:rsidR="007B4A16">
        <w:rPr>
          <w:rFonts w:ascii="Times New Roman" w:hAnsi="Times New Roman" w:cs="Times New Roman"/>
          <w:sz w:val="24"/>
          <w:szCs w:val="24"/>
        </w:rPr>
        <w:t xml:space="preserve">podle článku 16 odst. 7 </w:t>
      </w:r>
      <w:r w:rsidR="002E0407">
        <w:rPr>
          <w:rFonts w:ascii="Times New Roman" w:hAnsi="Times New Roman" w:cs="Times New Roman"/>
          <w:sz w:val="24"/>
          <w:szCs w:val="24"/>
        </w:rPr>
        <w:t>n</w:t>
      </w:r>
      <w:r w:rsidR="007B4A16">
        <w:rPr>
          <w:rFonts w:ascii="Times New Roman" w:hAnsi="Times New Roman" w:cs="Times New Roman"/>
          <w:sz w:val="24"/>
          <w:szCs w:val="24"/>
        </w:rPr>
        <w:t xml:space="preserve">ařízení </w:t>
      </w:r>
      <w:r w:rsidR="00272718">
        <w:rPr>
          <w:rFonts w:ascii="Times New Roman" w:hAnsi="Times New Roman" w:cs="Times New Roman"/>
          <w:sz w:val="24"/>
          <w:szCs w:val="24"/>
        </w:rPr>
        <w:t>vyžaduje</w:t>
      </w:r>
      <w:r w:rsidR="004A7148">
        <w:rPr>
          <w:rFonts w:ascii="Times New Roman" w:hAnsi="Times New Roman" w:cs="Times New Roman"/>
          <w:sz w:val="24"/>
          <w:szCs w:val="24"/>
        </w:rPr>
        <w:t xml:space="preserve"> státní zástupce. </w:t>
      </w:r>
    </w:p>
    <w:p w14:paraId="7D2E1744" w14:textId="07A2E44D" w:rsidR="000E0369" w:rsidRDefault="000E0369"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Adresát příkazu, kterým se uznává a zajišťuje výkon evropského vydávacího příkazu, může proti takovému příkazu ve stanovené lhůtě podat námitky (čl</w:t>
      </w:r>
      <w:r w:rsidR="00AF0905">
        <w:rPr>
          <w:rFonts w:ascii="Times New Roman" w:hAnsi="Times New Roman" w:cs="Times New Roman"/>
          <w:sz w:val="24"/>
          <w:szCs w:val="24"/>
        </w:rPr>
        <w:t>ánek</w:t>
      </w:r>
      <w:r>
        <w:rPr>
          <w:rFonts w:ascii="Times New Roman" w:hAnsi="Times New Roman" w:cs="Times New Roman"/>
          <w:sz w:val="24"/>
          <w:szCs w:val="24"/>
        </w:rPr>
        <w:t xml:space="preserve"> 16 odst. 3 </w:t>
      </w:r>
      <w:r w:rsidR="002E0407">
        <w:rPr>
          <w:rFonts w:ascii="Times New Roman" w:hAnsi="Times New Roman" w:cs="Times New Roman"/>
          <w:sz w:val="24"/>
          <w:szCs w:val="24"/>
        </w:rPr>
        <w:t>n</w:t>
      </w:r>
      <w:r>
        <w:rPr>
          <w:rFonts w:ascii="Times New Roman" w:hAnsi="Times New Roman" w:cs="Times New Roman"/>
          <w:sz w:val="24"/>
          <w:szCs w:val="24"/>
        </w:rPr>
        <w:t>ařízení). V návaznosti na čl</w:t>
      </w:r>
      <w:r w:rsidR="00AF0905">
        <w:rPr>
          <w:rFonts w:ascii="Times New Roman" w:hAnsi="Times New Roman" w:cs="Times New Roman"/>
          <w:sz w:val="24"/>
          <w:szCs w:val="24"/>
        </w:rPr>
        <w:t>ánek</w:t>
      </w:r>
      <w:r>
        <w:rPr>
          <w:rFonts w:ascii="Times New Roman" w:hAnsi="Times New Roman" w:cs="Times New Roman"/>
          <w:sz w:val="24"/>
          <w:szCs w:val="24"/>
        </w:rPr>
        <w:t xml:space="preserve"> 16 odst. 6 </w:t>
      </w:r>
      <w:r w:rsidR="002E0407">
        <w:rPr>
          <w:rFonts w:ascii="Times New Roman" w:hAnsi="Times New Roman" w:cs="Times New Roman"/>
          <w:sz w:val="24"/>
          <w:szCs w:val="24"/>
        </w:rPr>
        <w:t>n</w:t>
      </w:r>
      <w:r>
        <w:rPr>
          <w:rFonts w:ascii="Times New Roman" w:hAnsi="Times New Roman" w:cs="Times New Roman"/>
          <w:sz w:val="24"/>
          <w:szCs w:val="24"/>
        </w:rPr>
        <w:t xml:space="preserve">ařízení se stanoví příslušnost orgánu k posouzení podaných námitek – je nastavena stejně jako pro vydání příkazu. Dále se stanoví postup při vyhovění námitce nebo při jejím shledáním nedůvodnou. </w:t>
      </w:r>
    </w:p>
    <w:p w14:paraId="0933339B" w14:textId="0F1D24B5" w:rsidR="00B440B5" w:rsidRDefault="00B440B5" w:rsidP="00A1611D">
      <w:pPr>
        <w:spacing w:before="120"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bCs/>
          <w:sz w:val="24"/>
          <w:szCs w:val="24"/>
        </w:rPr>
        <w:t xml:space="preserve">Navržená úprava v odstavci 3 reaguje na to, že jedním z důvodů pro odmítnutí výkonu evropského vydávacího příkazu je podle článku 16 odst. 4 písm. f) </w:t>
      </w:r>
      <w:r w:rsidR="002E0407">
        <w:rPr>
          <w:rFonts w:ascii="Times New Roman" w:hAnsi="Times New Roman" w:cs="Times New Roman"/>
          <w:bCs/>
          <w:sz w:val="24"/>
          <w:szCs w:val="24"/>
        </w:rPr>
        <w:t>n</w:t>
      </w:r>
      <w:r w:rsidR="00F03957">
        <w:rPr>
          <w:rFonts w:ascii="Times New Roman" w:hAnsi="Times New Roman" w:cs="Times New Roman"/>
          <w:bCs/>
          <w:sz w:val="24"/>
          <w:szCs w:val="24"/>
        </w:rPr>
        <w:t xml:space="preserve">ařízení </w:t>
      </w:r>
      <w:r>
        <w:rPr>
          <w:rFonts w:ascii="Times New Roman" w:hAnsi="Times New Roman" w:cs="Times New Roman"/>
          <w:bCs/>
          <w:sz w:val="24"/>
          <w:szCs w:val="24"/>
        </w:rPr>
        <w:t xml:space="preserve">i skutečnost, </w:t>
      </w:r>
      <w:r w:rsidRPr="00CD21E4">
        <w:rPr>
          <w:rFonts w:ascii="Times New Roman" w:hAnsi="Times New Roman" w:cs="Times New Roman"/>
          <w:bCs/>
          <w:sz w:val="24"/>
          <w:szCs w:val="24"/>
        </w:rPr>
        <w:t>že</w:t>
      </w:r>
      <w:r w:rsidR="009211E1">
        <w:rPr>
          <w:rFonts w:ascii="Times New Roman" w:hAnsi="Times New Roman" w:cs="Times New Roman"/>
          <w:bCs/>
          <w:sz w:val="24"/>
          <w:szCs w:val="24"/>
        </w:rPr>
        <w:t> </w:t>
      </w:r>
      <w:r w:rsidRPr="00CD21E4">
        <w:rPr>
          <w:rFonts w:ascii="Times New Roman" w:eastAsia="Times New Roman" w:hAnsi="Times New Roman" w:cs="Times New Roman"/>
          <w:sz w:val="24"/>
          <w:szCs w:val="24"/>
          <w:lang w:eastAsia="cs-CZ"/>
        </w:rPr>
        <w:t xml:space="preserve">požadované údaje jsou chráněny imunitami nebo výsadami podle práva vykonávajícího </w:t>
      </w:r>
      <w:r w:rsidRPr="00CD21E4">
        <w:rPr>
          <w:rFonts w:ascii="Times New Roman" w:eastAsia="Times New Roman" w:hAnsi="Times New Roman" w:cs="Times New Roman"/>
          <w:sz w:val="24"/>
          <w:szCs w:val="24"/>
          <w:lang w:eastAsia="cs-CZ"/>
        </w:rPr>
        <w:lastRenderedPageBreak/>
        <w:t>státu, které brání výkonu příkazu</w:t>
      </w:r>
      <w:r>
        <w:rPr>
          <w:rFonts w:ascii="Times New Roman" w:eastAsia="Times New Roman" w:hAnsi="Times New Roman" w:cs="Times New Roman"/>
          <w:sz w:val="24"/>
          <w:szCs w:val="24"/>
          <w:lang w:eastAsia="cs-CZ"/>
        </w:rPr>
        <w:t xml:space="preserve">. Stejně jako u jiných typů justiční spolupráce se upravuje možnost, aby se v případě pochybností o tom, zda je taková imunita nebo výsada dána, justiční orgán obrátil na Nejvyšší soud. </w:t>
      </w:r>
    </w:p>
    <w:p w14:paraId="4734A2BA" w14:textId="382F9D7E" w:rsidR="00B46AB5" w:rsidRDefault="00400AB1"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odstavci 5 se upravuje postup v případě, že nelze nebo není třeba evropský vydávací příkaz jiného členského státu EU vykonat. </w:t>
      </w:r>
    </w:p>
    <w:p w14:paraId="27260B70" w14:textId="77777777" w:rsidR="00295530" w:rsidRDefault="00295530" w:rsidP="00A1611D">
      <w:pPr>
        <w:spacing w:before="120" w:after="0" w:line="240" w:lineRule="auto"/>
        <w:jc w:val="both"/>
        <w:rPr>
          <w:rFonts w:ascii="Times New Roman" w:hAnsi="Times New Roman" w:cs="Times New Roman"/>
          <w:b/>
          <w:bCs/>
          <w:sz w:val="24"/>
          <w:szCs w:val="24"/>
        </w:rPr>
      </w:pPr>
    </w:p>
    <w:p w14:paraId="7F035C98" w14:textId="0ED2E127" w:rsidR="00E52D49" w:rsidRDefault="00E52D49" w:rsidP="00A1611D">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 400</w:t>
      </w:r>
    </w:p>
    <w:p w14:paraId="73621188" w14:textId="3F9218C4" w:rsidR="00E52D49" w:rsidRDefault="00474779"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tomto ustanovení je upraveno uznání a zajištění výkonu evropského uchovávacího příkazu orgánu jiného členského státu EU. Jde o případ, kdy orgán jiného členského státu EU nebyl úspěšný s požadavkem na uchování dat přímo poskytovatelem služeb a ten bezdůvodně nebo z důvodů, které </w:t>
      </w:r>
      <w:r w:rsidR="002E0407">
        <w:rPr>
          <w:rFonts w:ascii="Times New Roman" w:hAnsi="Times New Roman" w:cs="Times New Roman"/>
          <w:sz w:val="24"/>
          <w:szCs w:val="24"/>
        </w:rPr>
        <w:t>n</w:t>
      </w:r>
      <w:r>
        <w:rPr>
          <w:rFonts w:ascii="Times New Roman" w:hAnsi="Times New Roman" w:cs="Times New Roman"/>
          <w:sz w:val="24"/>
          <w:szCs w:val="24"/>
        </w:rPr>
        <w:t xml:space="preserve">ařízení nepředpokládá, odmítl data uchovat, nebo je neuchoval ve stanovené lhůtě. V takovém případě orgán jiného členského státu EU, který vydal evropský </w:t>
      </w:r>
      <w:r w:rsidR="00887FDD">
        <w:rPr>
          <w:rFonts w:ascii="Times New Roman" w:hAnsi="Times New Roman" w:cs="Times New Roman"/>
          <w:sz w:val="24"/>
          <w:szCs w:val="24"/>
        </w:rPr>
        <w:t>uchovávací</w:t>
      </w:r>
      <w:r>
        <w:rPr>
          <w:rFonts w:ascii="Times New Roman" w:hAnsi="Times New Roman" w:cs="Times New Roman"/>
          <w:sz w:val="24"/>
          <w:szCs w:val="24"/>
        </w:rPr>
        <w:t xml:space="preserve"> příkaz, může požádat příslušný český orgán, aby příkaz uznal a zajistil jeho výkon. Kromě evropského </w:t>
      </w:r>
      <w:r w:rsidR="00887FDD">
        <w:rPr>
          <w:rFonts w:ascii="Times New Roman" w:hAnsi="Times New Roman" w:cs="Times New Roman"/>
          <w:sz w:val="24"/>
          <w:szCs w:val="24"/>
        </w:rPr>
        <w:t>uchovávacího</w:t>
      </w:r>
      <w:r>
        <w:rPr>
          <w:rFonts w:ascii="Times New Roman" w:hAnsi="Times New Roman" w:cs="Times New Roman"/>
          <w:sz w:val="24"/>
          <w:szCs w:val="24"/>
        </w:rPr>
        <w:t xml:space="preserve"> příkazu zašle také formulář uvedený v příloze III </w:t>
      </w:r>
      <w:r w:rsidR="002E0407">
        <w:rPr>
          <w:rFonts w:ascii="Times New Roman" w:hAnsi="Times New Roman" w:cs="Times New Roman"/>
          <w:sz w:val="24"/>
          <w:szCs w:val="24"/>
        </w:rPr>
        <w:t>n</w:t>
      </w:r>
      <w:r>
        <w:rPr>
          <w:rFonts w:ascii="Times New Roman" w:hAnsi="Times New Roman" w:cs="Times New Roman"/>
          <w:sz w:val="24"/>
          <w:szCs w:val="24"/>
        </w:rPr>
        <w:t xml:space="preserve">ařízení a další potřebné informace – vše přeložené do českého jazyka nebo jiného jazyka, o kterém Česká republika prohlásí, že jej akceptuje (slovenský jazyk). </w:t>
      </w:r>
      <w:r w:rsidR="00887FDD">
        <w:rPr>
          <w:rFonts w:ascii="Times New Roman" w:hAnsi="Times New Roman" w:cs="Times New Roman"/>
          <w:sz w:val="24"/>
          <w:szCs w:val="24"/>
        </w:rPr>
        <w:t xml:space="preserve">Útvar Policie </w:t>
      </w:r>
      <w:r w:rsidR="00027B8C">
        <w:rPr>
          <w:rFonts w:ascii="Times New Roman" w:hAnsi="Times New Roman" w:cs="Times New Roman"/>
          <w:bCs/>
          <w:sz w:val="24"/>
          <w:szCs w:val="24"/>
        </w:rPr>
        <w:t>České republiky</w:t>
      </w:r>
      <w:r>
        <w:rPr>
          <w:rFonts w:ascii="Times New Roman" w:hAnsi="Times New Roman" w:cs="Times New Roman"/>
          <w:sz w:val="24"/>
          <w:szCs w:val="24"/>
        </w:rPr>
        <w:t xml:space="preserve">, jehož příslušnost se stanoví v § 397 odst. </w:t>
      </w:r>
      <w:r w:rsidR="00887FDD">
        <w:rPr>
          <w:rFonts w:ascii="Times New Roman" w:hAnsi="Times New Roman" w:cs="Times New Roman"/>
          <w:sz w:val="24"/>
          <w:szCs w:val="24"/>
        </w:rPr>
        <w:t>2</w:t>
      </w:r>
      <w:r>
        <w:rPr>
          <w:rFonts w:ascii="Times New Roman" w:hAnsi="Times New Roman" w:cs="Times New Roman"/>
          <w:sz w:val="24"/>
          <w:szCs w:val="24"/>
        </w:rPr>
        <w:t xml:space="preserve">, pak přezkoumá, zda není dán důvod pro odmítnutí podle článku 16 odst. </w:t>
      </w:r>
      <w:r w:rsidR="008622F7">
        <w:rPr>
          <w:rFonts w:ascii="Times New Roman" w:hAnsi="Times New Roman" w:cs="Times New Roman"/>
          <w:sz w:val="24"/>
          <w:szCs w:val="24"/>
        </w:rPr>
        <w:t>5</w:t>
      </w:r>
      <w:r>
        <w:rPr>
          <w:rFonts w:ascii="Times New Roman" w:hAnsi="Times New Roman" w:cs="Times New Roman"/>
          <w:sz w:val="24"/>
          <w:szCs w:val="24"/>
        </w:rPr>
        <w:t xml:space="preserve"> </w:t>
      </w:r>
      <w:r w:rsidR="002E0407">
        <w:rPr>
          <w:rFonts w:ascii="Times New Roman" w:hAnsi="Times New Roman" w:cs="Times New Roman"/>
          <w:sz w:val="24"/>
          <w:szCs w:val="24"/>
        </w:rPr>
        <w:t>n</w:t>
      </w:r>
      <w:r>
        <w:rPr>
          <w:rFonts w:ascii="Times New Roman" w:hAnsi="Times New Roman" w:cs="Times New Roman"/>
          <w:sz w:val="24"/>
          <w:szCs w:val="24"/>
        </w:rPr>
        <w:t xml:space="preserve">ařízení. </w:t>
      </w:r>
      <w:r w:rsidR="008622F7">
        <w:rPr>
          <w:rFonts w:ascii="Times New Roman" w:hAnsi="Times New Roman" w:cs="Times New Roman"/>
          <w:sz w:val="24"/>
          <w:szCs w:val="24"/>
        </w:rPr>
        <w:t xml:space="preserve">Stejně tak přezkoumává tyto důvody i justiční orgán, který uděluje podle § 397 odst. 2 souhlas s uznáním a zajištěním výkonu evropského uchovávacího příkazu. </w:t>
      </w:r>
      <w:r>
        <w:rPr>
          <w:rFonts w:ascii="Times New Roman" w:hAnsi="Times New Roman" w:cs="Times New Roman"/>
          <w:sz w:val="24"/>
          <w:szCs w:val="24"/>
        </w:rPr>
        <w:t xml:space="preserve">Pokud </w:t>
      </w:r>
      <w:r w:rsidR="00173BD0">
        <w:rPr>
          <w:rFonts w:ascii="Times New Roman" w:hAnsi="Times New Roman" w:cs="Times New Roman"/>
          <w:sz w:val="24"/>
          <w:szCs w:val="24"/>
        </w:rPr>
        <w:t xml:space="preserve">příslušný </w:t>
      </w:r>
      <w:r w:rsidR="008622F7">
        <w:rPr>
          <w:rFonts w:ascii="Times New Roman" w:hAnsi="Times New Roman" w:cs="Times New Roman"/>
          <w:sz w:val="24"/>
          <w:szCs w:val="24"/>
        </w:rPr>
        <w:t xml:space="preserve">útvar Policie </w:t>
      </w:r>
      <w:r w:rsidR="00027B8C">
        <w:rPr>
          <w:rFonts w:ascii="Times New Roman" w:hAnsi="Times New Roman" w:cs="Times New Roman"/>
          <w:bCs/>
          <w:sz w:val="24"/>
          <w:szCs w:val="24"/>
        </w:rPr>
        <w:t>České republiky</w:t>
      </w:r>
      <w:r w:rsidR="00027B8C" w:rsidDel="00027B8C">
        <w:rPr>
          <w:rFonts w:ascii="Times New Roman" w:hAnsi="Times New Roman" w:cs="Times New Roman"/>
          <w:sz w:val="24"/>
          <w:szCs w:val="24"/>
        </w:rPr>
        <w:t xml:space="preserve"> </w:t>
      </w:r>
      <w:r w:rsidR="008622F7">
        <w:rPr>
          <w:rFonts w:ascii="Times New Roman" w:hAnsi="Times New Roman" w:cs="Times New Roman"/>
          <w:sz w:val="24"/>
          <w:szCs w:val="24"/>
        </w:rPr>
        <w:t xml:space="preserve">nebo justiční orgán </w:t>
      </w:r>
      <w:r>
        <w:rPr>
          <w:rFonts w:ascii="Times New Roman" w:hAnsi="Times New Roman" w:cs="Times New Roman"/>
          <w:sz w:val="24"/>
          <w:szCs w:val="24"/>
        </w:rPr>
        <w:t xml:space="preserve">shledá, že je takový důvod dán, </w:t>
      </w:r>
      <w:r w:rsidR="00A73E6E">
        <w:rPr>
          <w:rFonts w:ascii="Times New Roman" w:hAnsi="Times New Roman" w:cs="Times New Roman"/>
          <w:sz w:val="24"/>
          <w:szCs w:val="24"/>
        </w:rPr>
        <w:t xml:space="preserve">útvar Policie </w:t>
      </w:r>
      <w:r w:rsidR="00027B8C">
        <w:rPr>
          <w:rFonts w:ascii="Times New Roman" w:hAnsi="Times New Roman" w:cs="Times New Roman"/>
          <w:bCs/>
          <w:sz w:val="24"/>
          <w:szCs w:val="24"/>
        </w:rPr>
        <w:t>České republiky</w:t>
      </w:r>
      <w:r w:rsidR="00027B8C">
        <w:rPr>
          <w:rFonts w:ascii="Times New Roman" w:hAnsi="Times New Roman" w:cs="Times New Roman"/>
          <w:sz w:val="24"/>
          <w:szCs w:val="24"/>
        </w:rPr>
        <w:t xml:space="preserve"> </w:t>
      </w:r>
      <w:r w:rsidR="00A73E6E">
        <w:rPr>
          <w:rFonts w:ascii="Times New Roman" w:hAnsi="Times New Roman" w:cs="Times New Roman"/>
          <w:sz w:val="24"/>
          <w:szCs w:val="24"/>
        </w:rPr>
        <w:t xml:space="preserve">o tom </w:t>
      </w:r>
      <w:r>
        <w:rPr>
          <w:rFonts w:ascii="Times New Roman" w:hAnsi="Times New Roman" w:cs="Times New Roman"/>
          <w:sz w:val="24"/>
          <w:szCs w:val="24"/>
        </w:rPr>
        <w:t>podle čl</w:t>
      </w:r>
      <w:r w:rsidR="00AF0905">
        <w:rPr>
          <w:rFonts w:ascii="Times New Roman" w:hAnsi="Times New Roman" w:cs="Times New Roman"/>
          <w:sz w:val="24"/>
          <w:szCs w:val="24"/>
        </w:rPr>
        <w:t>ánku</w:t>
      </w:r>
      <w:r>
        <w:rPr>
          <w:rFonts w:ascii="Times New Roman" w:hAnsi="Times New Roman" w:cs="Times New Roman"/>
          <w:sz w:val="24"/>
          <w:szCs w:val="24"/>
        </w:rPr>
        <w:t xml:space="preserve"> 16 odst. 2 </w:t>
      </w:r>
      <w:r w:rsidR="002E0407">
        <w:rPr>
          <w:rFonts w:ascii="Times New Roman" w:hAnsi="Times New Roman" w:cs="Times New Roman"/>
          <w:sz w:val="24"/>
          <w:szCs w:val="24"/>
        </w:rPr>
        <w:t>n</w:t>
      </w:r>
      <w:r w:rsidR="008622F7">
        <w:rPr>
          <w:rFonts w:ascii="Times New Roman" w:hAnsi="Times New Roman" w:cs="Times New Roman"/>
          <w:sz w:val="24"/>
          <w:szCs w:val="24"/>
        </w:rPr>
        <w:t xml:space="preserve">ařízení </w:t>
      </w:r>
      <w:r>
        <w:rPr>
          <w:rFonts w:ascii="Times New Roman" w:hAnsi="Times New Roman" w:cs="Times New Roman"/>
          <w:sz w:val="24"/>
          <w:szCs w:val="24"/>
        </w:rPr>
        <w:t>informuje adresáta příkazu a</w:t>
      </w:r>
      <w:r w:rsidR="00173BD0">
        <w:rPr>
          <w:rFonts w:ascii="Times New Roman" w:hAnsi="Times New Roman" w:cs="Times New Roman"/>
          <w:sz w:val="24"/>
          <w:szCs w:val="24"/>
        </w:rPr>
        <w:t> </w:t>
      </w:r>
      <w:r>
        <w:rPr>
          <w:rFonts w:ascii="Times New Roman" w:hAnsi="Times New Roman" w:cs="Times New Roman"/>
          <w:sz w:val="24"/>
          <w:szCs w:val="24"/>
        </w:rPr>
        <w:t xml:space="preserve">orgán vydávajícího státu. Pokud žádný důvod pro odmítnutí dán není, </w:t>
      </w:r>
      <w:r w:rsidR="008622F7">
        <w:rPr>
          <w:rFonts w:ascii="Times New Roman" w:hAnsi="Times New Roman" w:cs="Times New Roman"/>
          <w:sz w:val="24"/>
          <w:szCs w:val="24"/>
        </w:rPr>
        <w:t xml:space="preserve">útvar Policie </w:t>
      </w:r>
      <w:r w:rsidR="00027B8C">
        <w:rPr>
          <w:rFonts w:ascii="Times New Roman" w:hAnsi="Times New Roman" w:cs="Times New Roman"/>
          <w:bCs/>
          <w:sz w:val="24"/>
          <w:szCs w:val="24"/>
        </w:rPr>
        <w:t>České republiky</w:t>
      </w:r>
      <w:r w:rsidR="00027B8C" w:rsidDel="00027B8C">
        <w:rPr>
          <w:rFonts w:ascii="Times New Roman" w:hAnsi="Times New Roman" w:cs="Times New Roman"/>
          <w:sz w:val="24"/>
          <w:szCs w:val="24"/>
        </w:rPr>
        <w:t xml:space="preserve"> </w:t>
      </w:r>
      <w:r>
        <w:rPr>
          <w:rFonts w:ascii="Times New Roman" w:hAnsi="Times New Roman" w:cs="Times New Roman"/>
          <w:sz w:val="24"/>
          <w:szCs w:val="24"/>
        </w:rPr>
        <w:t xml:space="preserve">vydá příkaz, který bude obsahovat výrok o uznání příkazu jiného členského státu </w:t>
      </w:r>
      <w:r w:rsidR="009007DB">
        <w:rPr>
          <w:rFonts w:ascii="Times New Roman" w:hAnsi="Times New Roman" w:cs="Times New Roman"/>
          <w:sz w:val="24"/>
          <w:szCs w:val="24"/>
        </w:rPr>
        <w:t xml:space="preserve">EU </w:t>
      </w:r>
      <w:r>
        <w:rPr>
          <w:rFonts w:ascii="Times New Roman" w:hAnsi="Times New Roman" w:cs="Times New Roman"/>
          <w:sz w:val="24"/>
          <w:szCs w:val="24"/>
        </w:rPr>
        <w:t xml:space="preserve">a výrok, kterým nařídí adresátovi příkazu, aby data </w:t>
      </w:r>
      <w:r w:rsidR="00A73E6E">
        <w:rPr>
          <w:rFonts w:ascii="Times New Roman" w:hAnsi="Times New Roman" w:cs="Times New Roman"/>
          <w:sz w:val="24"/>
          <w:szCs w:val="24"/>
        </w:rPr>
        <w:t>uchoval</w:t>
      </w:r>
      <w:r>
        <w:rPr>
          <w:rFonts w:ascii="Times New Roman" w:hAnsi="Times New Roman" w:cs="Times New Roman"/>
          <w:sz w:val="24"/>
          <w:szCs w:val="24"/>
        </w:rPr>
        <w:t>, a poučení, v němž jsou obsaženy informace uvedené v čl</w:t>
      </w:r>
      <w:r w:rsidR="00AF0905">
        <w:rPr>
          <w:rFonts w:ascii="Times New Roman" w:hAnsi="Times New Roman" w:cs="Times New Roman"/>
          <w:sz w:val="24"/>
          <w:szCs w:val="24"/>
        </w:rPr>
        <w:t>ánku</w:t>
      </w:r>
      <w:r>
        <w:rPr>
          <w:rFonts w:ascii="Times New Roman" w:hAnsi="Times New Roman" w:cs="Times New Roman"/>
          <w:sz w:val="24"/>
          <w:szCs w:val="24"/>
        </w:rPr>
        <w:t xml:space="preserve"> 16 odst. 3 </w:t>
      </w:r>
      <w:r w:rsidR="002E0407">
        <w:rPr>
          <w:rFonts w:ascii="Times New Roman" w:hAnsi="Times New Roman" w:cs="Times New Roman"/>
          <w:sz w:val="24"/>
          <w:szCs w:val="24"/>
        </w:rPr>
        <w:t>n</w:t>
      </w:r>
      <w:r>
        <w:rPr>
          <w:rFonts w:ascii="Times New Roman" w:hAnsi="Times New Roman" w:cs="Times New Roman"/>
          <w:sz w:val="24"/>
          <w:szCs w:val="24"/>
        </w:rPr>
        <w:t>ařízení. Příkaz doručí adresátovi.</w:t>
      </w:r>
      <w:r w:rsidR="008622F7">
        <w:rPr>
          <w:rFonts w:ascii="Times New Roman" w:hAnsi="Times New Roman" w:cs="Times New Roman"/>
          <w:sz w:val="24"/>
          <w:szCs w:val="24"/>
        </w:rPr>
        <w:t xml:space="preserve"> Na rozdíl od příkazu, kterým se uznává a zajišťuje výkon evropského vydávacího příkazu, neobsahuje příkaz, kterým se uznává a zajišťuje výkon evropského uchovávacího příkazu, odůvodnění (stejně jako odůvodnění neobsahuje příkaz podle § 7b odst. 1 tr. ř.). </w:t>
      </w:r>
      <w:r w:rsidR="00093A8A">
        <w:rPr>
          <w:rFonts w:ascii="Times New Roman" w:hAnsi="Times New Roman" w:cs="Times New Roman"/>
          <w:sz w:val="24"/>
          <w:szCs w:val="24"/>
        </w:rPr>
        <w:t xml:space="preserve">Příkaz lze také uznat jen částečně – pak se vykoná ve zbylém rozsahu. </w:t>
      </w:r>
    </w:p>
    <w:p w14:paraId="43819965" w14:textId="4113B678" w:rsidR="00165AE8" w:rsidRDefault="00165AE8"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Adresát příkazu, kterým se uznává a zajišťuje výkon evropského uchovávacího příkazu, může proti takovému příkazu ve stanovené lhůtě podat námitky (čl</w:t>
      </w:r>
      <w:r w:rsidR="00AF0905">
        <w:rPr>
          <w:rFonts w:ascii="Times New Roman" w:hAnsi="Times New Roman" w:cs="Times New Roman"/>
          <w:sz w:val="24"/>
          <w:szCs w:val="24"/>
        </w:rPr>
        <w:t>ánek</w:t>
      </w:r>
      <w:r>
        <w:rPr>
          <w:rFonts w:ascii="Times New Roman" w:hAnsi="Times New Roman" w:cs="Times New Roman"/>
          <w:sz w:val="24"/>
          <w:szCs w:val="24"/>
        </w:rPr>
        <w:t xml:space="preserve"> 16 odst. 3 </w:t>
      </w:r>
      <w:r w:rsidR="002E0407">
        <w:rPr>
          <w:rFonts w:ascii="Times New Roman" w:hAnsi="Times New Roman" w:cs="Times New Roman"/>
          <w:sz w:val="24"/>
          <w:szCs w:val="24"/>
        </w:rPr>
        <w:t>n</w:t>
      </w:r>
      <w:r>
        <w:rPr>
          <w:rFonts w:ascii="Times New Roman" w:hAnsi="Times New Roman" w:cs="Times New Roman"/>
          <w:sz w:val="24"/>
          <w:szCs w:val="24"/>
        </w:rPr>
        <w:t>ařízení). V návaznosti na čl</w:t>
      </w:r>
      <w:r w:rsidR="00AF0905">
        <w:rPr>
          <w:rFonts w:ascii="Times New Roman" w:hAnsi="Times New Roman" w:cs="Times New Roman"/>
          <w:sz w:val="24"/>
          <w:szCs w:val="24"/>
        </w:rPr>
        <w:t>ánek</w:t>
      </w:r>
      <w:r>
        <w:rPr>
          <w:rFonts w:ascii="Times New Roman" w:hAnsi="Times New Roman" w:cs="Times New Roman"/>
          <w:sz w:val="24"/>
          <w:szCs w:val="24"/>
        </w:rPr>
        <w:t xml:space="preserve"> 16 odst. 6 </w:t>
      </w:r>
      <w:r w:rsidR="002E0407">
        <w:rPr>
          <w:rFonts w:ascii="Times New Roman" w:hAnsi="Times New Roman" w:cs="Times New Roman"/>
          <w:sz w:val="24"/>
          <w:szCs w:val="24"/>
        </w:rPr>
        <w:t>n</w:t>
      </w:r>
      <w:r>
        <w:rPr>
          <w:rFonts w:ascii="Times New Roman" w:hAnsi="Times New Roman" w:cs="Times New Roman"/>
          <w:sz w:val="24"/>
          <w:szCs w:val="24"/>
        </w:rPr>
        <w:t xml:space="preserve">ařízení se stanoví příslušnost orgánu k posouzení podaných námitek – </w:t>
      </w:r>
      <w:r w:rsidR="00AC1BD7">
        <w:rPr>
          <w:rFonts w:ascii="Times New Roman" w:hAnsi="Times New Roman" w:cs="Times New Roman"/>
          <w:sz w:val="24"/>
          <w:szCs w:val="24"/>
        </w:rPr>
        <w:t xml:space="preserve">námitku posoudí útvar Policie </w:t>
      </w:r>
      <w:r w:rsidR="00027B8C">
        <w:rPr>
          <w:rFonts w:ascii="Times New Roman" w:hAnsi="Times New Roman" w:cs="Times New Roman"/>
          <w:bCs/>
          <w:sz w:val="24"/>
          <w:szCs w:val="24"/>
        </w:rPr>
        <w:t>České republiky</w:t>
      </w:r>
      <w:r w:rsidR="00AC1BD7">
        <w:rPr>
          <w:rFonts w:ascii="Times New Roman" w:hAnsi="Times New Roman" w:cs="Times New Roman"/>
          <w:sz w:val="24"/>
          <w:szCs w:val="24"/>
        </w:rPr>
        <w:t>, který příkaz vydal</w:t>
      </w:r>
      <w:r>
        <w:rPr>
          <w:rFonts w:ascii="Times New Roman" w:hAnsi="Times New Roman" w:cs="Times New Roman"/>
          <w:sz w:val="24"/>
          <w:szCs w:val="24"/>
        </w:rPr>
        <w:t xml:space="preserve">. Dále se stanoví postup při vyhovění námitce nebo při jejím shledáním nedůvodnou. </w:t>
      </w:r>
      <w:r w:rsidR="00AC1BD7">
        <w:rPr>
          <w:rFonts w:ascii="Times New Roman" w:hAnsi="Times New Roman" w:cs="Times New Roman"/>
          <w:sz w:val="24"/>
          <w:szCs w:val="24"/>
        </w:rPr>
        <w:t xml:space="preserve">Útvar Policie </w:t>
      </w:r>
      <w:r w:rsidR="00027B8C">
        <w:rPr>
          <w:rFonts w:ascii="Times New Roman" w:hAnsi="Times New Roman" w:cs="Times New Roman"/>
          <w:bCs/>
          <w:sz w:val="24"/>
          <w:szCs w:val="24"/>
        </w:rPr>
        <w:t>České republiky</w:t>
      </w:r>
      <w:r w:rsidR="00027B8C" w:rsidDel="00027B8C">
        <w:rPr>
          <w:rFonts w:ascii="Times New Roman" w:hAnsi="Times New Roman" w:cs="Times New Roman"/>
          <w:sz w:val="24"/>
          <w:szCs w:val="24"/>
        </w:rPr>
        <w:t xml:space="preserve"> </w:t>
      </w:r>
      <w:r w:rsidR="00AC1BD7">
        <w:rPr>
          <w:rFonts w:ascii="Times New Roman" w:hAnsi="Times New Roman" w:cs="Times New Roman"/>
          <w:sz w:val="24"/>
          <w:szCs w:val="24"/>
        </w:rPr>
        <w:t xml:space="preserve">má </w:t>
      </w:r>
      <w:r>
        <w:rPr>
          <w:rFonts w:ascii="Times New Roman" w:hAnsi="Times New Roman" w:cs="Times New Roman"/>
          <w:sz w:val="24"/>
          <w:szCs w:val="24"/>
        </w:rPr>
        <w:t>samostatnou pravomoc na základě námitky příkaz zúžit nebo odvolat, i když</w:t>
      </w:r>
      <w:r w:rsidR="00AC1BD7">
        <w:rPr>
          <w:rFonts w:ascii="Times New Roman" w:hAnsi="Times New Roman" w:cs="Times New Roman"/>
          <w:sz w:val="24"/>
          <w:szCs w:val="24"/>
        </w:rPr>
        <w:t xml:space="preserve"> je k vydání příkazu potřeba souhlas </w:t>
      </w:r>
      <w:r w:rsidR="001D54A1">
        <w:rPr>
          <w:rFonts w:ascii="Times New Roman" w:hAnsi="Times New Roman" w:cs="Times New Roman"/>
          <w:sz w:val="24"/>
          <w:szCs w:val="24"/>
        </w:rPr>
        <w:t>justičního orgánu</w:t>
      </w:r>
      <w:r>
        <w:rPr>
          <w:rFonts w:ascii="Times New Roman" w:hAnsi="Times New Roman" w:cs="Times New Roman"/>
          <w:sz w:val="24"/>
          <w:szCs w:val="24"/>
        </w:rPr>
        <w:t xml:space="preserve"> (j</w:t>
      </w:r>
      <w:r w:rsidR="00AC1BD7">
        <w:rPr>
          <w:rFonts w:ascii="Times New Roman" w:hAnsi="Times New Roman" w:cs="Times New Roman"/>
          <w:sz w:val="24"/>
          <w:szCs w:val="24"/>
        </w:rPr>
        <w:t>de o případy, kdy je výsledkem menší zásah do práv a soukromí osoby</w:t>
      </w:r>
      <w:r>
        <w:rPr>
          <w:rFonts w:ascii="Times New Roman" w:hAnsi="Times New Roman" w:cs="Times New Roman"/>
          <w:sz w:val="24"/>
          <w:szCs w:val="24"/>
        </w:rPr>
        <w:t>).</w:t>
      </w:r>
    </w:p>
    <w:p w14:paraId="33EA6DC3" w14:textId="4223FA27" w:rsidR="00165AE8" w:rsidRDefault="00165AE8"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Pokud </w:t>
      </w:r>
      <w:r w:rsidR="00AC1BD7">
        <w:rPr>
          <w:rFonts w:ascii="Times New Roman" w:hAnsi="Times New Roman" w:cs="Times New Roman"/>
          <w:sz w:val="24"/>
          <w:szCs w:val="24"/>
        </w:rPr>
        <w:t xml:space="preserve">útvar Policie </w:t>
      </w:r>
      <w:r w:rsidR="00027B8C">
        <w:rPr>
          <w:rFonts w:ascii="Times New Roman" w:hAnsi="Times New Roman" w:cs="Times New Roman"/>
          <w:bCs/>
          <w:sz w:val="24"/>
          <w:szCs w:val="24"/>
        </w:rPr>
        <w:t>České republiky</w:t>
      </w:r>
      <w:r w:rsidR="00027B8C" w:rsidDel="00027B8C">
        <w:rPr>
          <w:rFonts w:ascii="Times New Roman" w:hAnsi="Times New Roman" w:cs="Times New Roman"/>
          <w:sz w:val="24"/>
          <w:szCs w:val="24"/>
        </w:rPr>
        <w:t xml:space="preserve"> </w:t>
      </w:r>
      <w:r>
        <w:rPr>
          <w:rFonts w:ascii="Times New Roman" w:hAnsi="Times New Roman" w:cs="Times New Roman"/>
          <w:sz w:val="24"/>
          <w:szCs w:val="24"/>
        </w:rPr>
        <w:t xml:space="preserve">považuje námitku za </w:t>
      </w:r>
      <w:r w:rsidR="003A05B6">
        <w:rPr>
          <w:rFonts w:ascii="Times New Roman" w:hAnsi="Times New Roman" w:cs="Times New Roman"/>
          <w:sz w:val="24"/>
          <w:szCs w:val="24"/>
        </w:rPr>
        <w:t>ne</w:t>
      </w:r>
      <w:r>
        <w:rPr>
          <w:rFonts w:ascii="Times New Roman" w:hAnsi="Times New Roman" w:cs="Times New Roman"/>
          <w:sz w:val="24"/>
          <w:szCs w:val="24"/>
        </w:rPr>
        <w:t>důvodnou a na příkazu trvá, musí námitku</w:t>
      </w:r>
      <w:r w:rsidR="00AC1BD7">
        <w:rPr>
          <w:rFonts w:ascii="Times New Roman" w:hAnsi="Times New Roman" w:cs="Times New Roman"/>
          <w:sz w:val="24"/>
          <w:szCs w:val="24"/>
        </w:rPr>
        <w:t xml:space="preserve"> </w:t>
      </w:r>
      <w:r w:rsidR="003A05B6">
        <w:rPr>
          <w:rFonts w:ascii="Times New Roman" w:hAnsi="Times New Roman" w:cs="Times New Roman"/>
          <w:sz w:val="24"/>
          <w:szCs w:val="24"/>
        </w:rPr>
        <w:t xml:space="preserve">se svým stanoviskem </w:t>
      </w:r>
      <w:r w:rsidR="00AC1BD7">
        <w:rPr>
          <w:rFonts w:ascii="Times New Roman" w:hAnsi="Times New Roman" w:cs="Times New Roman"/>
          <w:sz w:val="24"/>
          <w:szCs w:val="24"/>
        </w:rPr>
        <w:t>předložit k posouzení justičnímu orgánu uvedenému v § 397 odst. 2.</w:t>
      </w:r>
      <w:r w:rsidR="00BE7DC7">
        <w:rPr>
          <w:rFonts w:ascii="Times New Roman" w:hAnsi="Times New Roman" w:cs="Times New Roman"/>
          <w:sz w:val="24"/>
          <w:szCs w:val="24"/>
        </w:rPr>
        <w:t xml:space="preserve"> </w:t>
      </w:r>
      <w:r w:rsidR="00AC1BD7">
        <w:rPr>
          <w:rFonts w:ascii="Times New Roman" w:hAnsi="Times New Roman" w:cs="Times New Roman"/>
          <w:sz w:val="24"/>
          <w:szCs w:val="24"/>
        </w:rPr>
        <w:t xml:space="preserve">Justiční orgán buď </w:t>
      </w:r>
      <w:r w:rsidR="00C529F3" w:rsidRPr="001C3EB6">
        <w:rPr>
          <w:rFonts w:ascii="Times New Roman" w:hAnsi="Times New Roman" w:cs="Times New Roman"/>
          <w:sz w:val="24"/>
          <w:szCs w:val="24"/>
        </w:rPr>
        <w:t>námitce zcela nebo zčásti vyhoví</w:t>
      </w:r>
      <w:r w:rsidR="00C529F3">
        <w:rPr>
          <w:rFonts w:ascii="Times New Roman" w:hAnsi="Times New Roman" w:cs="Times New Roman"/>
          <w:sz w:val="24"/>
          <w:szCs w:val="24"/>
        </w:rPr>
        <w:t xml:space="preserve"> a</w:t>
      </w:r>
      <w:r w:rsidR="00C529F3" w:rsidRPr="001C3EB6">
        <w:rPr>
          <w:rFonts w:ascii="Times New Roman" w:hAnsi="Times New Roman" w:cs="Times New Roman"/>
          <w:sz w:val="24"/>
          <w:szCs w:val="24"/>
        </w:rPr>
        <w:t xml:space="preserve"> </w:t>
      </w:r>
      <w:r w:rsidR="0043379B">
        <w:rPr>
          <w:rFonts w:ascii="Times New Roman" w:hAnsi="Times New Roman" w:cs="Times New Roman"/>
          <w:sz w:val="24"/>
          <w:szCs w:val="24"/>
        </w:rPr>
        <w:t xml:space="preserve">uloží útvaru Policie </w:t>
      </w:r>
      <w:r w:rsidR="00027B8C">
        <w:rPr>
          <w:rFonts w:ascii="Times New Roman" w:hAnsi="Times New Roman" w:cs="Times New Roman"/>
          <w:bCs/>
          <w:sz w:val="24"/>
          <w:szCs w:val="24"/>
        </w:rPr>
        <w:t>České republiky</w:t>
      </w:r>
      <w:r w:rsidR="0043379B">
        <w:rPr>
          <w:rFonts w:ascii="Times New Roman" w:hAnsi="Times New Roman" w:cs="Times New Roman"/>
          <w:sz w:val="24"/>
          <w:szCs w:val="24"/>
        </w:rPr>
        <w:t xml:space="preserve">, aby </w:t>
      </w:r>
      <w:r w:rsidR="00C529F3" w:rsidRPr="001C3EB6">
        <w:rPr>
          <w:rFonts w:ascii="Times New Roman" w:hAnsi="Times New Roman" w:cs="Times New Roman"/>
          <w:sz w:val="24"/>
          <w:szCs w:val="24"/>
        </w:rPr>
        <w:t>příkaz odvol</w:t>
      </w:r>
      <w:r w:rsidR="0043379B">
        <w:rPr>
          <w:rFonts w:ascii="Times New Roman" w:hAnsi="Times New Roman" w:cs="Times New Roman"/>
          <w:sz w:val="24"/>
          <w:szCs w:val="24"/>
        </w:rPr>
        <w:t xml:space="preserve">al </w:t>
      </w:r>
      <w:r w:rsidR="00C529F3" w:rsidRPr="001C3EB6">
        <w:rPr>
          <w:rFonts w:ascii="Times New Roman" w:hAnsi="Times New Roman" w:cs="Times New Roman"/>
          <w:sz w:val="24"/>
          <w:szCs w:val="24"/>
        </w:rPr>
        <w:t>nebo změn</w:t>
      </w:r>
      <w:r w:rsidR="0043379B">
        <w:rPr>
          <w:rFonts w:ascii="Times New Roman" w:hAnsi="Times New Roman" w:cs="Times New Roman"/>
          <w:sz w:val="24"/>
          <w:szCs w:val="24"/>
        </w:rPr>
        <w:t xml:space="preserve">il, nebo ji důvodnou neshledá a </w:t>
      </w:r>
      <w:r w:rsidR="00080B3F">
        <w:rPr>
          <w:rFonts w:ascii="Times New Roman" w:hAnsi="Times New Roman" w:cs="Times New Roman"/>
          <w:sz w:val="24"/>
          <w:szCs w:val="24"/>
        </w:rPr>
        <w:t>o důvodech neprodleně vyrozumí</w:t>
      </w:r>
      <w:r w:rsidR="002000C5">
        <w:rPr>
          <w:rFonts w:ascii="Times New Roman" w:hAnsi="Times New Roman" w:cs="Times New Roman"/>
          <w:sz w:val="24"/>
          <w:szCs w:val="24"/>
        </w:rPr>
        <w:t xml:space="preserve"> útvar Policie </w:t>
      </w:r>
      <w:r w:rsidR="00027B8C">
        <w:rPr>
          <w:rFonts w:ascii="Times New Roman" w:hAnsi="Times New Roman" w:cs="Times New Roman"/>
          <w:bCs/>
          <w:sz w:val="24"/>
          <w:szCs w:val="24"/>
        </w:rPr>
        <w:t>České republiky</w:t>
      </w:r>
      <w:r w:rsidR="00080B3F">
        <w:rPr>
          <w:rFonts w:ascii="Times New Roman" w:hAnsi="Times New Roman" w:cs="Times New Roman"/>
          <w:sz w:val="24"/>
          <w:szCs w:val="24"/>
        </w:rPr>
        <w:t xml:space="preserve">, který o tom následně informuje adresáta podle článku 16 odst. 8 </w:t>
      </w:r>
      <w:r w:rsidR="002E0407">
        <w:rPr>
          <w:rFonts w:ascii="Times New Roman" w:hAnsi="Times New Roman" w:cs="Times New Roman"/>
          <w:sz w:val="24"/>
          <w:szCs w:val="24"/>
        </w:rPr>
        <w:t>n</w:t>
      </w:r>
      <w:r w:rsidR="00080B3F">
        <w:rPr>
          <w:rFonts w:ascii="Times New Roman" w:hAnsi="Times New Roman" w:cs="Times New Roman"/>
          <w:sz w:val="24"/>
          <w:szCs w:val="24"/>
        </w:rPr>
        <w:t>ařízení</w:t>
      </w:r>
      <w:r w:rsidR="002000C5">
        <w:rPr>
          <w:rFonts w:ascii="Times New Roman" w:hAnsi="Times New Roman" w:cs="Times New Roman"/>
          <w:sz w:val="24"/>
          <w:szCs w:val="24"/>
        </w:rPr>
        <w:t xml:space="preserve">. </w:t>
      </w:r>
    </w:p>
    <w:p w14:paraId="0168DC85" w14:textId="079F2A56" w:rsidR="003508FA" w:rsidRPr="009A1B83" w:rsidRDefault="00DD339B"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Pokud </w:t>
      </w:r>
      <w:r w:rsidR="003508FA">
        <w:rPr>
          <w:rFonts w:ascii="Times New Roman" w:hAnsi="Times New Roman" w:cs="Times New Roman"/>
          <w:sz w:val="24"/>
          <w:szCs w:val="24"/>
        </w:rPr>
        <w:t>justiční orgán</w:t>
      </w:r>
      <w:r>
        <w:rPr>
          <w:rFonts w:ascii="Times New Roman" w:hAnsi="Times New Roman" w:cs="Times New Roman"/>
          <w:sz w:val="24"/>
          <w:szCs w:val="24"/>
        </w:rPr>
        <w:t xml:space="preserve"> potřebuje pro své posouzení další informace nebo konzultace</w:t>
      </w:r>
      <w:r w:rsidR="003508FA">
        <w:rPr>
          <w:rFonts w:ascii="Times New Roman" w:hAnsi="Times New Roman" w:cs="Times New Roman"/>
          <w:sz w:val="24"/>
          <w:szCs w:val="24"/>
        </w:rPr>
        <w:t xml:space="preserve">, </w:t>
      </w:r>
      <w:r>
        <w:rPr>
          <w:rFonts w:ascii="Times New Roman" w:hAnsi="Times New Roman" w:cs="Times New Roman"/>
          <w:sz w:val="24"/>
          <w:szCs w:val="24"/>
        </w:rPr>
        <w:t>požádá o</w:t>
      </w:r>
      <w:r w:rsidR="00173BD0">
        <w:rPr>
          <w:rFonts w:ascii="Times New Roman" w:hAnsi="Times New Roman" w:cs="Times New Roman"/>
          <w:sz w:val="24"/>
          <w:szCs w:val="24"/>
        </w:rPr>
        <w:t> </w:t>
      </w:r>
      <w:r>
        <w:rPr>
          <w:rFonts w:ascii="Times New Roman" w:hAnsi="Times New Roman" w:cs="Times New Roman"/>
          <w:sz w:val="24"/>
          <w:szCs w:val="24"/>
        </w:rPr>
        <w:t>jejich zajištění út</w:t>
      </w:r>
      <w:r w:rsidR="003508FA">
        <w:rPr>
          <w:rFonts w:ascii="Times New Roman" w:hAnsi="Times New Roman" w:cs="Times New Roman"/>
          <w:sz w:val="24"/>
          <w:szCs w:val="24"/>
        </w:rPr>
        <w:t xml:space="preserve">var Policie </w:t>
      </w:r>
      <w:r w:rsidR="00027B8C">
        <w:rPr>
          <w:rFonts w:ascii="Times New Roman" w:hAnsi="Times New Roman" w:cs="Times New Roman"/>
          <w:bCs/>
          <w:sz w:val="24"/>
          <w:szCs w:val="24"/>
        </w:rPr>
        <w:t>České republiky</w:t>
      </w:r>
      <w:r w:rsidR="003508FA">
        <w:rPr>
          <w:rFonts w:ascii="Times New Roman" w:hAnsi="Times New Roman" w:cs="Times New Roman"/>
          <w:sz w:val="24"/>
          <w:szCs w:val="24"/>
        </w:rPr>
        <w:t xml:space="preserve">, neboť vykonávajícím orgánem se podle článku 3 odst. 17 </w:t>
      </w:r>
      <w:r w:rsidR="002E0407">
        <w:rPr>
          <w:rFonts w:ascii="Times New Roman" w:hAnsi="Times New Roman" w:cs="Times New Roman"/>
          <w:sz w:val="24"/>
          <w:szCs w:val="24"/>
        </w:rPr>
        <w:t>n</w:t>
      </w:r>
      <w:r w:rsidR="003508FA">
        <w:rPr>
          <w:rFonts w:ascii="Times New Roman" w:hAnsi="Times New Roman" w:cs="Times New Roman"/>
          <w:sz w:val="24"/>
          <w:szCs w:val="24"/>
        </w:rPr>
        <w:t xml:space="preserve">ařízení rozumí </w:t>
      </w:r>
      <w:r w:rsidR="003508FA" w:rsidRPr="00385374">
        <w:rPr>
          <w:rFonts w:ascii="Times New Roman" w:eastAsia="Times New Roman" w:hAnsi="Times New Roman" w:cs="Times New Roman"/>
          <w:sz w:val="24"/>
          <w:szCs w:val="24"/>
          <w:lang w:eastAsia="cs-CZ"/>
        </w:rPr>
        <w:t xml:space="preserve">orgán ve vykonávajícím státě, který je v souladu s vnitrostátním právem tohoto státu příslušný k obdržení evropského </w:t>
      </w:r>
      <w:r w:rsidR="003508FA">
        <w:rPr>
          <w:rFonts w:ascii="Times New Roman" w:eastAsia="Times New Roman" w:hAnsi="Times New Roman" w:cs="Times New Roman"/>
          <w:sz w:val="24"/>
          <w:szCs w:val="24"/>
          <w:lang w:eastAsia="cs-CZ"/>
        </w:rPr>
        <w:t>uchovávacího</w:t>
      </w:r>
      <w:r w:rsidR="003508FA" w:rsidRPr="00385374">
        <w:rPr>
          <w:rFonts w:ascii="Times New Roman" w:eastAsia="Times New Roman" w:hAnsi="Times New Roman" w:cs="Times New Roman"/>
          <w:sz w:val="24"/>
          <w:szCs w:val="24"/>
          <w:lang w:eastAsia="cs-CZ"/>
        </w:rPr>
        <w:t xml:space="preserve"> příkaz</w:t>
      </w:r>
      <w:r w:rsidR="003508FA">
        <w:rPr>
          <w:rFonts w:ascii="Times New Roman" w:eastAsia="Times New Roman" w:hAnsi="Times New Roman" w:cs="Times New Roman"/>
          <w:sz w:val="24"/>
          <w:szCs w:val="24"/>
          <w:lang w:eastAsia="cs-CZ"/>
        </w:rPr>
        <w:t xml:space="preserve">u. </w:t>
      </w:r>
    </w:p>
    <w:p w14:paraId="13A08237" w14:textId="54552CB6" w:rsidR="00474779" w:rsidRDefault="00474779" w:rsidP="00A1611D">
      <w:pPr>
        <w:spacing w:before="120"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bCs/>
          <w:sz w:val="24"/>
          <w:szCs w:val="24"/>
        </w:rPr>
        <w:lastRenderedPageBreak/>
        <w:t xml:space="preserve">Navržená úprava v odstavci </w:t>
      </w:r>
      <w:r w:rsidR="009A1B83">
        <w:rPr>
          <w:rFonts w:ascii="Times New Roman" w:hAnsi="Times New Roman" w:cs="Times New Roman"/>
          <w:bCs/>
          <w:sz w:val="24"/>
          <w:szCs w:val="24"/>
        </w:rPr>
        <w:t>2</w:t>
      </w:r>
      <w:r>
        <w:rPr>
          <w:rFonts w:ascii="Times New Roman" w:hAnsi="Times New Roman" w:cs="Times New Roman"/>
          <w:bCs/>
          <w:sz w:val="24"/>
          <w:szCs w:val="24"/>
        </w:rPr>
        <w:t xml:space="preserve"> reaguje na to, že jedním z důvodů pro odmítnutí výkonu evropského </w:t>
      </w:r>
      <w:r w:rsidR="009A1B83">
        <w:rPr>
          <w:rFonts w:ascii="Times New Roman" w:hAnsi="Times New Roman" w:cs="Times New Roman"/>
          <w:bCs/>
          <w:sz w:val="24"/>
          <w:szCs w:val="24"/>
        </w:rPr>
        <w:t>uchovávacího</w:t>
      </w:r>
      <w:r>
        <w:rPr>
          <w:rFonts w:ascii="Times New Roman" w:hAnsi="Times New Roman" w:cs="Times New Roman"/>
          <w:bCs/>
          <w:sz w:val="24"/>
          <w:szCs w:val="24"/>
        </w:rPr>
        <w:t xml:space="preserve"> příkazu je podle článku 16 odst. </w:t>
      </w:r>
      <w:r w:rsidR="009A1B83">
        <w:rPr>
          <w:rFonts w:ascii="Times New Roman" w:hAnsi="Times New Roman" w:cs="Times New Roman"/>
          <w:bCs/>
          <w:sz w:val="24"/>
          <w:szCs w:val="24"/>
        </w:rPr>
        <w:t>5</w:t>
      </w:r>
      <w:r>
        <w:rPr>
          <w:rFonts w:ascii="Times New Roman" w:hAnsi="Times New Roman" w:cs="Times New Roman"/>
          <w:bCs/>
          <w:sz w:val="24"/>
          <w:szCs w:val="24"/>
        </w:rPr>
        <w:t xml:space="preserve"> písm. </w:t>
      </w:r>
      <w:r w:rsidR="009A1B83">
        <w:rPr>
          <w:rFonts w:ascii="Times New Roman" w:hAnsi="Times New Roman" w:cs="Times New Roman"/>
          <w:bCs/>
          <w:sz w:val="24"/>
          <w:szCs w:val="24"/>
        </w:rPr>
        <w:t>e</w:t>
      </w:r>
      <w:r>
        <w:rPr>
          <w:rFonts w:ascii="Times New Roman" w:hAnsi="Times New Roman" w:cs="Times New Roman"/>
          <w:bCs/>
          <w:sz w:val="24"/>
          <w:szCs w:val="24"/>
        </w:rPr>
        <w:t xml:space="preserve">) </w:t>
      </w:r>
      <w:r w:rsidR="002E0407">
        <w:rPr>
          <w:rFonts w:ascii="Times New Roman" w:hAnsi="Times New Roman" w:cs="Times New Roman"/>
          <w:bCs/>
          <w:sz w:val="24"/>
          <w:szCs w:val="24"/>
        </w:rPr>
        <w:t>n</w:t>
      </w:r>
      <w:r w:rsidR="00BE7DC7">
        <w:rPr>
          <w:rFonts w:ascii="Times New Roman" w:hAnsi="Times New Roman" w:cs="Times New Roman"/>
          <w:bCs/>
          <w:sz w:val="24"/>
          <w:szCs w:val="24"/>
        </w:rPr>
        <w:t xml:space="preserve">ařízení </w:t>
      </w:r>
      <w:r>
        <w:rPr>
          <w:rFonts w:ascii="Times New Roman" w:hAnsi="Times New Roman" w:cs="Times New Roman"/>
          <w:bCs/>
          <w:sz w:val="24"/>
          <w:szCs w:val="24"/>
        </w:rPr>
        <w:t xml:space="preserve">i skutečnost, </w:t>
      </w:r>
      <w:r w:rsidRPr="00CD21E4">
        <w:rPr>
          <w:rFonts w:ascii="Times New Roman" w:hAnsi="Times New Roman" w:cs="Times New Roman"/>
          <w:bCs/>
          <w:sz w:val="24"/>
          <w:szCs w:val="24"/>
        </w:rPr>
        <w:t>že</w:t>
      </w:r>
      <w:r w:rsidR="001E07AC">
        <w:rPr>
          <w:rFonts w:ascii="Times New Roman" w:hAnsi="Times New Roman" w:cs="Times New Roman"/>
          <w:bCs/>
          <w:sz w:val="24"/>
          <w:szCs w:val="24"/>
        </w:rPr>
        <w:t> </w:t>
      </w:r>
      <w:r w:rsidRPr="00CD21E4">
        <w:rPr>
          <w:rFonts w:ascii="Times New Roman" w:eastAsia="Times New Roman" w:hAnsi="Times New Roman" w:cs="Times New Roman"/>
          <w:sz w:val="24"/>
          <w:szCs w:val="24"/>
          <w:lang w:eastAsia="cs-CZ"/>
        </w:rPr>
        <w:t>požadované údaje jsou chráněny imunitami nebo výsadami podle práva vykonávajícího státu, které brání výkonu příkazu</w:t>
      </w:r>
      <w:r>
        <w:rPr>
          <w:rFonts w:ascii="Times New Roman" w:eastAsia="Times New Roman" w:hAnsi="Times New Roman" w:cs="Times New Roman"/>
          <w:sz w:val="24"/>
          <w:szCs w:val="24"/>
          <w:lang w:eastAsia="cs-CZ"/>
        </w:rPr>
        <w:t xml:space="preserve">. Stejně jako u jiných typů justiční spolupráce se upravuje možnost, aby se v případě pochybností o tom, zda je taková imunita nebo výsada dána, </w:t>
      </w:r>
      <w:r w:rsidR="009A1B83">
        <w:rPr>
          <w:rFonts w:ascii="Times New Roman" w:eastAsia="Times New Roman" w:hAnsi="Times New Roman" w:cs="Times New Roman"/>
          <w:sz w:val="24"/>
          <w:szCs w:val="24"/>
          <w:lang w:eastAsia="cs-CZ"/>
        </w:rPr>
        <w:t xml:space="preserve">útvar Policie </w:t>
      </w:r>
      <w:r w:rsidR="00027B8C">
        <w:rPr>
          <w:rFonts w:ascii="Times New Roman" w:hAnsi="Times New Roman" w:cs="Times New Roman"/>
          <w:bCs/>
          <w:sz w:val="24"/>
          <w:szCs w:val="24"/>
        </w:rPr>
        <w:t>České republiky</w:t>
      </w:r>
      <w:r w:rsidR="00027B8C" w:rsidDel="00027B8C">
        <w:rPr>
          <w:rFonts w:ascii="Times New Roman" w:eastAsia="Times New Roman" w:hAnsi="Times New Roman" w:cs="Times New Roman"/>
          <w:sz w:val="24"/>
          <w:szCs w:val="24"/>
          <w:lang w:eastAsia="cs-CZ"/>
        </w:rPr>
        <w:t xml:space="preserve"> </w:t>
      </w:r>
      <w:r w:rsidR="009A1B83">
        <w:rPr>
          <w:rFonts w:ascii="Times New Roman" w:eastAsia="Times New Roman" w:hAnsi="Times New Roman" w:cs="Times New Roman"/>
          <w:sz w:val="24"/>
          <w:szCs w:val="24"/>
          <w:lang w:eastAsia="cs-CZ"/>
        </w:rPr>
        <w:t xml:space="preserve">nebo </w:t>
      </w:r>
      <w:r>
        <w:rPr>
          <w:rFonts w:ascii="Times New Roman" w:eastAsia="Times New Roman" w:hAnsi="Times New Roman" w:cs="Times New Roman"/>
          <w:sz w:val="24"/>
          <w:szCs w:val="24"/>
          <w:lang w:eastAsia="cs-CZ"/>
        </w:rPr>
        <w:t xml:space="preserve">justiční orgán obrátil na Nejvyšší soud. </w:t>
      </w:r>
    </w:p>
    <w:p w14:paraId="0AE1734A" w14:textId="77777777" w:rsidR="00D25547" w:rsidRDefault="00474779"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odstavci </w:t>
      </w:r>
      <w:r w:rsidR="003F586E">
        <w:rPr>
          <w:rFonts w:ascii="Times New Roman" w:hAnsi="Times New Roman" w:cs="Times New Roman"/>
          <w:sz w:val="24"/>
          <w:szCs w:val="24"/>
        </w:rPr>
        <w:t>4</w:t>
      </w:r>
      <w:r>
        <w:rPr>
          <w:rFonts w:ascii="Times New Roman" w:hAnsi="Times New Roman" w:cs="Times New Roman"/>
          <w:sz w:val="24"/>
          <w:szCs w:val="24"/>
        </w:rPr>
        <w:t xml:space="preserve"> se upravuje postup v případě, že nelze nebo není třeba evropský </w:t>
      </w:r>
      <w:r w:rsidR="00165AE8">
        <w:rPr>
          <w:rFonts w:ascii="Times New Roman" w:hAnsi="Times New Roman" w:cs="Times New Roman"/>
          <w:sz w:val="24"/>
          <w:szCs w:val="24"/>
        </w:rPr>
        <w:t>uchovávací</w:t>
      </w:r>
      <w:r>
        <w:rPr>
          <w:rFonts w:ascii="Times New Roman" w:hAnsi="Times New Roman" w:cs="Times New Roman"/>
          <w:sz w:val="24"/>
          <w:szCs w:val="24"/>
        </w:rPr>
        <w:t xml:space="preserve"> příkaz jiného členského státu EU vykonat. </w:t>
      </w:r>
    </w:p>
    <w:p w14:paraId="2589D060" w14:textId="77777777" w:rsidR="009504BC" w:rsidRDefault="009504BC" w:rsidP="00A1611D">
      <w:pPr>
        <w:spacing w:before="120" w:after="0" w:line="240" w:lineRule="auto"/>
        <w:jc w:val="both"/>
        <w:rPr>
          <w:rFonts w:ascii="Times New Roman" w:hAnsi="Times New Roman" w:cs="Times New Roman"/>
          <w:b/>
          <w:sz w:val="24"/>
          <w:szCs w:val="24"/>
        </w:rPr>
      </w:pPr>
    </w:p>
    <w:p w14:paraId="21E63647" w14:textId="7B5B0C80" w:rsidR="00CE69EA" w:rsidRPr="00D25547" w:rsidRDefault="00CE69EA" w:rsidP="00A1611D">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K § 401</w:t>
      </w:r>
    </w:p>
    <w:p w14:paraId="3163B955" w14:textId="47DFFBF6" w:rsidR="00093CFA" w:rsidRPr="00093CFA" w:rsidRDefault="00BC581D" w:rsidP="00A1611D">
      <w:pPr>
        <w:spacing w:before="120" w:after="0" w:line="240" w:lineRule="auto"/>
        <w:jc w:val="both"/>
        <w:rPr>
          <w:rFonts w:ascii="Times New Roman" w:eastAsia="Times New Roman" w:hAnsi="Times New Roman" w:cs="Times New Roman"/>
          <w:color w:val="000000"/>
          <w:sz w:val="24"/>
          <w:szCs w:val="24"/>
          <w:lang w:eastAsia="cs-CZ"/>
        </w:rPr>
      </w:pPr>
      <w:r w:rsidRPr="00BC581D">
        <w:rPr>
          <w:rFonts w:ascii="Times New Roman" w:hAnsi="Times New Roman" w:cs="Times New Roman"/>
          <w:bCs/>
          <w:sz w:val="24"/>
          <w:szCs w:val="24"/>
        </w:rPr>
        <w:t xml:space="preserve">Předmětné ustanovení </w:t>
      </w:r>
      <w:r>
        <w:rPr>
          <w:rFonts w:ascii="Times New Roman" w:hAnsi="Times New Roman" w:cs="Times New Roman"/>
          <w:bCs/>
          <w:sz w:val="24"/>
          <w:szCs w:val="24"/>
        </w:rPr>
        <w:t>provádí čl</w:t>
      </w:r>
      <w:r w:rsidR="00AF0905">
        <w:rPr>
          <w:rFonts w:ascii="Times New Roman" w:hAnsi="Times New Roman" w:cs="Times New Roman"/>
          <w:bCs/>
          <w:sz w:val="24"/>
          <w:szCs w:val="24"/>
        </w:rPr>
        <w:t>án</w:t>
      </w:r>
      <w:r w:rsidR="001E07AC">
        <w:rPr>
          <w:rFonts w:ascii="Times New Roman" w:hAnsi="Times New Roman" w:cs="Times New Roman"/>
          <w:bCs/>
          <w:sz w:val="24"/>
          <w:szCs w:val="24"/>
        </w:rPr>
        <w:t>e</w:t>
      </w:r>
      <w:r w:rsidR="00AF0905">
        <w:rPr>
          <w:rFonts w:ascii="Times New Roman" w:hAnsi="Times New Roman" w:cs="Times New Roman"/>
          <w:bCs/>
          <w:sz w:val="24"/>
          <w:szCs w:val="24"/>
        </w:rPr>
        <w:t>k</w:t>
      </w:r>
      <w:r>
        <w:rPr>
          <w:rFonts w:ascii="Times New Roman" w:hAnsi="Times New Roman" w:cs="Times New Roman"/>
          <w:bCs/>
          <w:sz w:val="24"/>
          <w:szCs w:val="24"/>
        </w:rPr>
        <w:t xml:space="preserve"> 15 </w:t>
      </w:r>
      <w:r w:rsidR="002E0407">
        <w:rPr>
          <w:rFonts w:ascii="Times New Roman" w:hAnsi="Times New Roman" w:cs="Times New Roman"/>
          <w:bCs/>
          <w:sz w:val="24"/>
          <w:szCs w:val="24"/>
        </w:rPr>
        <w:t>n</w:t>
      </w:r>
      <w:r>
        <w:rPr>
          <w:rFonts w:ascii="Times New Roman" w:hAnsi="Times New Roman" w:cs="Times New Roman"/>
          <w:bCs/>
          <w:sz w:val="24"/>
          <w:szCs w:val="24"/>
        </w:rPr>
        <w:t>ařízení</w:t>
      </w:r>
      <w:r w:rsidR="00093CFA">
        <w:rPr>
          <w:rFonts w:ascii="Times New Roman" w:hAnsi="Times New Roman" w:cs="Times New Roman"/>
          <w:bCs/>
          <w:sz w:val="24"/>
          <w:szCs w:val="24"/>
        </w:rPr>
        <w:t xml:space="preserve">, který stanoví </w:t>
      </w:r>
      <w:r w:rsidR="00093CFA" w:rsidRPr="00093CFA">
        <w:rPr>
          <w:rFonts w:ascii="Times New Roman" w:hAnsi="Times New Roman" w:cs="Times New Roman"/>
          <w:sz w:val="24"/>
          <w:szCs w:val="24"/>
        </w:rPr>
        <w:t xml:space="preserve">povinnost členských států EU upravit ve svém právním řádu peněžité sankce </w:t>
      </w:r>
      <w:r w:rsidR="00093CFA" w:rsidRPr="00093CFA">
        <w:rPr>
          <w:rFonts w:ascii="Times New Roman" w:eastAsia="Times New Roman" w:hAnsi="Times New Roman" w:cs="Times New Roman"/>
          <w:color w:val="000000"/>
          <w:sz w:val="24"/>
          <w:szCs w:val="24"/>
          <w:lang w:eastAsia="cs-CZ"/>
        </w:rPr>
        <w:t>za porušení článků 10 a 11 a čl</w:t>
      </w:r>
      <w:r w:rsidR="00AF0905">
        <w:rPr>
          <w:rFonts w:ascii="Times New Roman" w:eastAsia="Times New Roman" w:hAnsi="Times New Roman" w:cs="Times New Roman"/>
          <w:color w:val="000000"/>
          <w:sz w:val="24"/>
          <w:szCs w:val="24"/>
          <w:lang w:eastAsia="cs-CZ"/>
        </w:rPr>
        <w:t>ánku</w:t>
      </w:r>
      <w:r w:rsidR="00093CFA" w:rsidRPr="00093CFA">
        <w:rPr>
          <w:rFonts w:ascii="Times New Roman" w:eastAsia="Times New Roman" w:hAnsi="Times New Roman" w:cs="Times New Roman"/>
          <w:color w:val="000000"/>
          <w:sz w:val="24"/>
          <w:szCs w:val="24"/>
          <w:lang w:eastAsia="cs-CZ"/>
        </w:rPr>
        <w:t xml:space="preserve"> 13 odst. 4 </w:t>
      </w:r>
      <w:r w:rsidR="002E0407">
        <w:rPr>
          <w:rFonts w:ascii="Times New Roman" w:eastAsia="Times New Roman" w:hAnsi="Times New Roman" w:cs="Times New Roman"/>
          <w:color w:val="000000"/>
          <w:sz w:val="24"/>
          <w:szCs w:val="24"/>
          <w:lang w:eastAsia="cs-CZ"/>
        </w:rPr>
        <w:t>n</w:t>
      </w:r>
      <w:r w:rsidR="00093CFA" w:rsidRPr="00093CFA">
        <w:rPr>
          <w:rFonts w:ascii="Times New Roman" w:eastAsia="Times New Roman" w:hAnsi="Times New Roman" w:cs="Times New Roman"/>
          <w:color w:val="000000"/>
          <w:sz w:val="24"/>
          <w:szCs w:val="24"/>
          <w:lang w:eastAsia="cs-CZ"/>
        </w:rPr>
        <w:t xml:space="preserve">ařízení. Konkrétně se jedná o peněžité sankce za porušení povinnosti adresáta osvědčení </w:t>
      </w:r>
      <w:r w:rsidR="00093CFA" w:rsidRPr="00093CFA">
        <w:rPr>
          <w:rFonts w:ascii="Times New Roman" w:hAnsi="Times New Roman" w:cs="Times New Roman"/>
          <w:sz w:val="24"/>
          <w:szCs w:val="24"/>
        </w:rPr>
        <w:t>uchovat požadovan</w:t>
      </w:r>
      <w:r w:rsidR="00D02535">
        <w:rPr>
          <w:rFonts w:ascii="Times New Roman" w:hAnsi="Times New Roman" w:cs="Times New Roman"/>
          <w:sz w:val="24"/>
          <w:szCs w:val="24"/>
        </w:rPr>
        <w:t>á data</w:t>
      </w:r>
      <w:r w:rsidR="00093CFA" w:rsidRPr="00093CFA">
        <w:rPr>
          <w:rFonts w:ascii="Times New Roman" w:hAnsi="Times New Roman" w:cs="Times New Roman"/>
          <w:sz w:val="24"/>
          <w:szCs w:val="24"/>
        </w:rPr>
        <w:t xml:space="preserve"> a vydat je ve stanovené lhůtě na základě evropského vydávacího příkazu (článek 10), povinnosti uchovat požadovan</w:t>
      </w:r>
      <w:r w:rsidR="00D02535">
        <w:rPr>
          <w:rFonts w:ascii="Times New Roman" w:hAnsi="Times New Roman" w:cs="Times New Roman"/>
          <w:sz w:val="24"/>
          <w:szCs w:val="24"/>
        </w:rPr>
        <w:t>á</w:t>
      </w:r>
      <w:r w:rsidR="00093CFA" w:rsidRPr="00093CFA">
        <w:rPr>
          <w:rFonts w:ascii="Times New Roman" w:hAnsi="Times New Roman" w:cs="Times New Roman"/>
          <w:sz w:val="24"/>
          <w:szCs w:val="24"/>
        </w:rPr>
        <w:t xml:space="preserve"> </w:t>
      </w:r>
      <w:r w:rsidR="00D02535">
        <w:rPr>
          <w:rFonts w:ascii="Times New Roman" w:hAnsi="Times New Roman" w:cs="Times New Roman"/>
          <w:sz w:val="24"/>
          <w:szCs w:val="24"/>
        </w:rPr>
        <w:t>data</w:t>
      </w:r>
      <w:r w:rsidR="00093CFA" w:rsidRPr="00093CFA">
        <w:rPr>
          <w:rFonts w:ascii="Times New Roman" w:hAnsi="Times New Roman" w:cs="Times New Roman"/>
          <w:sz w:val="24"/>
          <w:szCs w:val="24"/>
        </w:rPr>
        <w:t xml:space="preserve"> po stanovenou dobu na základě evropského uchovávacího příkazu (článek 11) a </w:t>
      </w:r>
      <w:r w:rsidR="00093CFA">
        <w:rPr>
          <w:rFonts w:ascii="Times New Roman" w:hAnsi="Times New Roman" w:cs="Times New Roman"/>
          <w:sz w:val="24"/>
          <w:szCs w:val="24"/>
        </w:rPr>
        <w:t xml:space="preserve">za </w:t>
      </w:r>
      <w:r w:rsidR="00093CFA" w:rsidRPr="00093CFA">
        <w:rPr>
          <w:rFonts w:ascii="Times New Roman" w:hAnsi="Times New Roman" w:cs="Times New Roman"/>
          <w:sz w:val="24"/>
          <w:szCs w:val="24"/>
        </w:rPr>
        <w:t xml:space="preserve">porušení povinnosti adresátů, a nejsou-li totožní, poskytovatelů služeb přijmout nezbytná nejmodernější provozní a technická opatření, aby zajistili důvěrnost, utajení a integritu vydaných osvědčení a vydaných nebo uchovaných </w:t>
      </w:r>
      <w:r w:rsidR="00D02535">
        <w:rPr>
          <w:rFonts w:ascii="Times New Roman" w:hAnsi="Times New Roman" w:cs="Times New Roman"/>
          <w:sz w:val="24"/>
          <w:szCs w:val="24"/>
        </w:rPr>
        <w:t>dat</w:t>
      </w:r>
      <w:r w:rsidR="00093CFA" w:rsidRPr="00093CFA">
        <w:rPr>
          <w:rFonts w:ascii="Times New Roman" w:hAnsi="Times New Roman" w:cs="Times New Roman"/>
          <w:sz w:val="24"/>
          <w:szCs w:val="24"/>
        </w:rPr>
        <w:t>.</w:t>
      </w:r>
    </w:p>
    <w:p w14:paraId="6FA5C544" w14:textId="2CDE56AF" w:rsidR="00595D86" w:rsidRDefault="00595D86"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 uložení pořádkové pokuty je příslušný orgán, který je příslušný </w:t>
      </w:r>
      <w:r w:rsidR="00BC581D">
        <w:rPr>
          <w:rFonts w:ascii="Times New Roman" w:hAnsi="Times New Roman" w:cs="Times New Roman"/>
          <w:bCs/>
          <w:sz w:val="24"/>
          <w:szCs w:val="24"/>
        </w:rPr>
        <w:t>k zajištění výkonu evropského vydávacího nebo evropského uchovávacího příkazu</w:t>
      </w:r>
      <w:r>
        <w:rPr>
          <w:rFonts w:ascii="Times New Roman" w:hAnsi="Times New Roman" w:cs="Times New Roman"/>
          <w:bCs/>
          <w:sz w:val="24"/>
          <w:szCs w:val="24"/>
        </w:rPr>
        <w:t xml:space="preserve"> (tj. i v případě, že</w:t>
      </w:r>
      <w:r w:rsidR="001E07AC">
        <w:rPr>
          <w:rFonts w:ascii="Times New Roman" w:hAnsi="Times New Roman" w:cs="Times New Roman"/>
          <w:bCs/>
          <w:sz w:val="24"/>
          <w:szCs w:val="24"/>
        </w:rPr>
        <w:t> </w:t>
      </w:r>
      <w:r>
        <w:rPr>
          <w:rFonts w:ascii="Times New Roman" w:hAnsi="Times New Roman" w:cs="Times New Roman"/>
          <w:bCs/>
          <w:sz w:val="24"/>
          <w:szCs w:val="24"/>
        </w:rPr>
        <w:t xml:space="preserve">příkaz vydal v přípravném řízení na návrh státního zástupce soudce, je k uložení pořádkové pokuty příslušný státní zástupce jako vykonávající orgán). </w:t>
      </w:r>
      <w:r w:rsidR="007E64B5">
        <w:rPr>
          <w:rFonts w:ascii="Times New Roman" w:hAnsi="Times New Roman" w:cs="Times New Roman"/>
          <w:bCs/>
          <w:sz w:val="24"/>
          <w:szCs w:val="24"/>
        </w:rPr>
        <w:t>Podmínkou pro uložení pořádkové pokuty je, že není dán důvod pro odmítnutí zajištění výkonu evropského vydávacího nebo evropského uchovávacího příkazu podle článk</w:t>
      </w:r>
      <w:r w:rsidR="00BB18B2">
        <w:rPr>
          <w:rFonts w:ascii="Times New Roman" w:hAnsi="Times New Roman" w:cs="Times New Roman"/>
          <w:bCs/>
          <w:sz w:val="24"/>
          <w:szCs w:val="24"/>
        </w:rPr>
        <w:t>ů</w:t>
      </w:r>
      <w:r w:rsidR="007E64B5">
        <w:rPr>
          <w:rFonts w:ascii="Times New Roman" w:hAnsi="Times New Roman" w:cs="Times New Roman"/>
          <w:bCs/>
          <w:sz w:val="24"/>
          <w:szCs w:val="24"/>
        </w:rPr>
        <w:t xml:space="preserve"> 16 odst. 4 nebo 5 </w:t>
      </w:r>
      <w:r w:rsidR="002E0407">
        <w:rPr>
          <w:rFonts w:ascii="Times New Roman" w:hAnsi="Times New Roman" w:cs="Times New Roman"/>
          <w:bCs/>
          <w:sz w:val="24"/>
          <w:szCs w:val="24"/>
        </w:rPr>
        <w:t>n</w:t>
      </w:r>
      <w:r w:rsidR="007E64B5">
        <w:rPr>
          <w:rFonts w:ascii="Times New Roman" w:hAnsi="Times New Roman" w:cs="Times New Roman"/>
          <w:bCs/>
          <w:sz w:val="24"/>
          <w:szCs w:val="24"/>
        </w:rPr>
        <w:t xml:space="preserve">ařízení, tj. např. pokud dojde ke ztrátě požadovaných dat, je možné adresáta postihnout pořádkovou pokutou pouze tehdy, pokud adresát takovou ztrátu zavinil – pro takový případ </w:t>
      </w:r>
      <w:r w:rsidR="002E0407">
        <w:rPr>
          <w:rFonts w:ascii="Times New Roman" w:hAnsi="Times New Roman" w:cs="Times New Roman"/>
          <w:bCs/>
          <w:sz w:val="24"/>
          <w:szCs w:val="24"/>
        </w:rPr>
        <w:t>n</w:t>
      </w:r>
      <w:r w:rsidR="007E64B5">
        <w:rPr>
          <w:rFonts w:ascii="Times New Roman" w:hAnsi="Times New Roman" w:cs="Times New Roman"/>
          <w:bCs/>
          <w:sz w:val="24"/>
          <w:szCs w:val="24"/>
        </w:rPr>
        <w:t>ařízení předpokládá, že evropský vydávací příkaz nebo evropský uchovávací příkaz bude uznán, resp. z takového důvodu nelze odmítnout zajistit výkon příkazu. Lze mít za to, že to je právě z</w:t>
      </w:r>
      <w:r w:rsidR="00D76E3D">
        <w:rPr>
          <w:rFonts w:ascii="Times New Roman" w:hAnsi="Times New Roman" w:cs="Times New Roman"/>
          <w:bCs/>
          <w:sz w:val="24"/>
          <w:szCs w:val="24"/>
        </w:rPr>
        <w:t> </w:t>
      </w:r>
      <w:r w:rsidR="007E64B5">
        <w:rPr>
          <w:rFonts w:ascii="Times New Roman" w:hAnsi="Times New Roman" w:cs="Times New Roman"/>
          <w:bCs/>
          <w:sz w:val="24"/>
          <w:szCs w:val="24"/>
        </w:rPr>
        <w:t>důvodu</w:t>
      </w:r>
      <w:r w:rsidR="00D76E3D">
        <w:rPr>
          <w:rFonts w:ascii="Times New Roman" w:hAnsi="Times New Roman" w:cs="Times New Roman"/>
          <w:bCs/>
          <w:sz w:val="24"/>
          <w:szCs w:val="24"/>
        </w:rPr>
        <w:t xml:space="preserve"> umožnění postihu adresáta. </w:t>
      </w:r>
    </w:p>
    <w:p w14:paraId="04992AC7" w14:textId="1ACABA68" w:rsidR="00802011" w:rsidRPr="00500191" w:rsidRDefault="00E867E8" w:rsidP="00A1611D">
      <w:pPr>
        <w:spacing w:before="120" w:after="0" w:line="240" w:lineRule="auto"/>
        <w:jc w:val="both"/>
        <w:rPr>
          <w:rStyle w:val="cf01"/>
          <w:rFonts w:ascii="Times New Roman" w:hAnsi="Times New Roman" w:cs="Times New Roman"/>
          <w:bCs/>
          <w:sz w:val="24"/>
          <w:szCs w:val="24"/>
        </w:rPr>
      </w:pPr>
      <w:r>
        <w:rPr>
          <w:rFonts w:ascii="Times New Roman" w:hAnsi="Times New Roman" w:cs="Times New Roman"/>
          <w:bCs/>
          <w:sz w:val="24"/>
          <w:szCs w:val="24"/>
        </w:rPr>
        <w:t xml:space="preserve">Pořádkovou pokutu lze uložit ve dvou případech. V prvním případě jde o situaci, že adresát </w:t>
      </w:r>
      <w:r w:rsidRPr="0056674F">
        <w:rPr>
          <w:rFonts w:ascii="Times New Roman" w:hAnsi="Times New Roman" w:cs="Times New Roman"/>
          <w:sz w:val="24"/>
          <w:szCs w:val="24"/>
        </w:rPr>
        <w:t>nesplnil povinnost</w:t>
      </w:r>
      <w:r>
        <w:rPr>
          <w:rFonts w:ascii="Times New Roman" w:hAnsi="Times New Roman" w:cs="Times New Roman"/>
          <w:sz w:val="24"/>
          <w:szCs w:val="24"/>
        </w:rPr>
        <w:t>i</w:t>
      </w:r>
      <w:r w:rsidRPr="0056674F">
        <w:rPr>
          <w:rFonts w:ascii="Times New Roman" w:hAnsi="Times New Roman" w:cs="Times New Roman"/>
          <w:sz w:val="24"/>
          <w:szCs w:val="24"/>
        </w:rPr>
        <w:t xml:space="preserve"> podle článk</w:t>
      </w:r>
      <w:r w:rsidR="00BB18B2">
        <w:rPr>
          <w:rFonts w:ascii="Times New Roman" w:hAnsi="Times New Roman" w:cs="Times New Roman"/>
          <w:sz w:val="24"/>
          <w:szCs w:val="24"/>
        </w:rPr>
        <w:t>ů</w:t>
      </w:r>
      <w:r w:rsidRPr="0056674F">
        <w:rPr>
          <w:rFonts w:ascii="Times New Roman" w:hAnsi="Times New Roman" w:cs="Times New Roman"/>
          <w:sz w:val="24"/>
          <w:szCs w:val="24"/>
        </w:rPr>
        <w:t xml:space="preserve"> 10 nebo 11 </w:t>
      </w:r>
      <w:r w:rsidR="002E0407">
        <w:rPr>
          <w:rFonts w:ascii="Times New Roman" w:hAnsi="Times New Roman" w:cs="Times New Roman"/>
          <w:sz w:val="24"/>
          <w:szCs w:val="24"/>
        </w:rPr>
        <w:t>n</w:t>
      </w:r>
      <w:r>
        <w:rPr>
          <w:rFonts w:ascii="Times New Roman" w:hAnsi="Times New Roman" w:cs="Times New Roman"/>
          <w:sz w:val="24"/>
          <w:szCs w:val="24"/>
        </w:rPr>
        <w:t xml:space="preserve">ařízení, tj. </w:t>
      </w:r>
      <w:r w:rsidR="00DA7FA1">
        <w:rPr>
          <w:rFonts w:ascii="Times New Roman" w:hAnsi="Times New Roman" w:cs="Times New Roman"/>
          <w:sz w:val="24"/>
          <w:szCs w:val="24"/>
        </w:rPr>
        <w:t xml:space="preserve">zejména </w:t>
      </w:r>
      <w:r>
        <w:rPr>
          <w:rFonts w:ascii="Times New Roman" w:hAnsi="Times New Roman" w:cs="Times New Roman"/>
          <w:sz w:val="24"/>
          <w:szCs w:val="24"/>
        </w:rPr>
        <w:t xml:space="preserve">pokud příkaz neprovedl řádně a včas, aniž by k tomu měl důvod předpokládaný </w:t>
      </w:r>
      <w:r w:rsidR="002E0407">
        <w:rPr>
          <w:rFonts w:ascii="Times New Roman" w:hAnsi="Times New Roman" w:cs="Times New Roman"/>
          <w:sz w:val="24"/>
          <w:szCs w:val="24"/>
        </w:rPr>
        <w:t>n</w:t>
      </w:r>
      <w:r>
        <w:rPr>
          <w:rFonts w:ascii="Times New Roman" w:hAnsi="Times New Roman" w:cs="Times New Roman"/>
          <w:sz w:val="24"/>
          <w:szCs w:val="24"/>
        </w:rPr>
        <w:t xml:space="preserve">ařízením. V druhém případě </w:t>
      </w:r>
      <w:r w:rsidR="002E0407">
        <w:rPr>
          <w:rFonts w:ascii="Times New Roman" w:hAnsi="Times New Roman" w:cs="Times New Roman"/>
          <w:sz w:val="24"/>
          <w:szCs w:val="24"/>
        </w:rPr>
        <w:t>n</w:t>
      </w:r>
      <w:r>
        <w:rPr>
          <w:rFonts w:ascii="Times New Roman" w:hAnsi="Times New Roman" w:cs="Times New Roman"/>
          <w:sz w:val="24"/>
          <w:szCs w:val="24"/>
        </w:rPr>
        <w:t xml:space="preserve">ařízení </w:t>
      </w:r>
      <w:r w:rsidR="00217FE8">
        <w:rPr>
          <w:rFonts w:ascii="Times New Roman" w:hAnsi="Times New Roman" w:cs="Times New Roman"/>
          <w:sz w:val="24"/>
          <w:szCs w:val="24"/>
        </w:rPr>
        <w:t xml:space="preserve">v článku 13 odst. 4 </w:t>
      </w:r>
      <w:r>
        <w:rPr>
          <w:rFonts w:ascii="Times New Roman" w:hAnsi="Times New Roman" w:cs="Times New Roman"/>
          <w:sz w:val="24"/>
          <w:szCs w:val="24"/>
        </w:rPr>
        <w:t>požaduje postih za to, že a</w:t>
      </w:r>
      <w:r w:rsidRPr="008523D9">
        <w:rPr>
          <w:rFonts w:ascii="Times New Roman" w:eastAsia="Times New Roman" w:hAnsi="Times New Roman" w:cs="Times New Roman"/>
          <w:color w:val="000000"/>
          <w:sz w:val="24"/>
          <w:szCs w:val="24"/>
          <w:lang w:eastAsia="cs-CZ"/>
        </w:rPr>
        <w:t xml:space="preserve">dresáti, a nejsou-li totožní, poskytovatelé služeb </w:t>
      </w:r>
      <w:r w:rsidR="00C5200C">
        <w:rPr>
          <w:rFonts w:ascii="Times New Roman" w:eastAsia="Times New Roman" w:hAnsi="Times New Roman" w:cs="Times New Roman"/>
          <w:color w:val="000000"/>
          <w:sz w:val="24"/>
          <w:szCs w:val="24"/>
          <w:lang w:eastAsia="cs-CZ"/>
        </w:rPr>
        <w:t>ne</w:t>
      </w:r>
      <w:r w:rsidRPr="008523D9">
        <w:rPr>
          <w:rFonts w:ascii="Times New Roman" w:eastAsia="Times New Roman" w:hAnsi="Times New Roman" w:cs="Times New Roman"/>
          <w:color w:val="000000"/>
          <w:sz w:val="24"/>
          <w:szCs w:val="24"/>
          <w:lang w:eastAsia="cs-CZ"/>
        </w:rPr>
        <w:t xml:space="preserve">přijmou nezbytná nejmodernější provozní a technická opatření, aby zajistili důvěrnost, utajení a integritu </w:t>
      </w:r>
      <w:r>
        <w:rPr>
          <w:rFonts w:ascii="Times New Roman" w:eastAsia="Times New Roman" w:hAnsi="Times New Roman" w:cs="Times New Roman"/>
          <w:color w:val="000000"/>
          <w:sz w:val="24"/>
          <w:szCs w:val="24"/>
          <w:lang w:eastAsia="cs-CZ"/>
        </w:rPr>
        <w:t xml:space="preserve">vydaných evropských vydávacích a </w:t>
      </w:r>
      <w:proofErr w:type="spellStart"/>
      <w:r>
        <w:rPr>
          <w:rFonts w:ascii="Times New Roman" w:eastAsia="Times New Roman" w:hAnsi="Times New Roman" w:cs="Times New Roman"/>
          <w:color w:val="000000"/>
          <w:sz w:val="24"/>
          <w:szCs w:val="24"/>
          <w:lang w:eastAsia="cs-CZ"/>
        </w:rPr>
        <w:t>uchovávacích</w:t>
      </w:r>
      <w:proofErr w:type="spellEnd"/>
      <w:r>
        <w:rPr>
          <w:rFonts w:ascii="Times New Roman" w:eastAsia="Times New Roman" w:hAnsi="Times New Roman" w:cs="Times New Roman"/>
          <w:color w:val="000000"/>
          <w:sz w:val="24"/>
          <w:szCs w:val="24"/>
          <w:lang w:eastAsia="cs-CZ"/>
        </w:rPr>
        <w:t xml:space="preserve"> příkazů </w:t>
      </w:r>
      <w:r w:rsidRPr="008523D9">
        <w:rPr>
          <w:rFonts w:ascii="Times New Roman" w:eastAsia="Times New Roman" w:hAnsi="Times New Roman" w:cs="Times New Roman"/>
          <w:color w:val="000000"/>
          <w:sz w:val="24"/>
          <w:szCs w:val="24"/>
          <w:lang w:eastAsia="cs-CZ"/>
        </w:rPr>
        <w:t xml:space="preserve">a vydaných nebo uchovaných </w:t>
      </w:r>
      <w:r w:rsidR="00D02535">
        <w:rPr>
          <w:rFonts w:ascii="Times New Roman" w:eastAsia="Times New Roman" w:hAnsi="Times New Roman" w:cs="Times New Roman"/>
          <w:color w:val="000000"/>
          <w:sz w:val="24"/>
          <w:szCs w:val="24"/>
          <w:lang w:eastAsia="cs-CZ"/>
        </w:rPr>
        <w:t>dat</w:t>
      </w:r>
      <w:r w:rsidRPr="008523D9">
        <w:rPr>
          <w:rFonts w:ascii="Times New Roman" w:eastAsia="Times New Roman" w:hAnsi="Times New Roman" w:cs="Times New Roman"/>
          <w:color w:val="000000"/>
          <w:sz w:val="24"/>
          <w:szCs w:val="24"/>
          <w:lang w:eastAsia="cs-CZ"/>
        </w:rPr>
        <w:t>.</w:t>
      </w:r>
      <w:r w:rsidR="00217FE8">
        <w:rPr>
          <w:rFonts w:ascii="Times New Roman" w:eastAsia="Times New Roman" w:hAnsi="Times New Roman" w:cs="Times New Roman"/>
          <w:bCs/>
          <w:color w:val="000000"/>
          <w:sz w:val="24"/>
          <w:szCs w:val="24"/>
          <w:lang w:eastAsia="cs-CZ"/>
        </w:rPr>
        <w:t xml:space="preserve"> </w:t>
      </w:r>
      <w:r w:rsidR="00500191">
        <w:rPr>
          <w:rStyle w:val="cf01"/>
          <w:rFonts w:ascii="Times New Roman" w:hAnsi="Times New Roman" w:cs="Times New Roman"/>
          <w:bCs/>
          <w:sz w:val="24"/>
          <w:szCs w:val="24"/>
        </w:rPr>
        <w:t xml:space="preserve">Jde tedy o </w:t>
      </w:r>
      <w:r w:rsidR="00217FE8">
        <w:rPr>
          <w:rStyle w:val="cf01"/>
          <w:rFonts w:ascii="Times New Roman" w:hAnsi="Times New Roman" w:cs="Times New Roman"/>
          <w:sz w:val="24"/>
          <w:szCs w:val="24"/>
        </w:rPr>
        <w:t>případy, kdy dojde k porušení důvěrnosti</w:t>
      </w:r>
      <w:r w:rsidR="00500191">
        <w:rPr>
          <w:rStyle w:val="cf01"/>
          <w:rFonts w:ascii="Times New Roman" w:hAnsi="Times New Roman" w:cs="Times New Roman"/>
          <w:sz w:val="24"/>
          <w:szCs w:val="24"/>
        </w:rPr>
        <w:t xml:space="preserve">, utajení nebo integrity dat ve vztahu ke </w:t>
      </w:r>
      <w:r w:rsidR="00217FE8">
        <w:rPr>
          <w:rStyle w:val="cf01"/>
          <w:rFonts w:ascii="Times New Roman" w:hAnsi="Times New Roman" w:cs="Times New Roman"/>
          <w:sz w:val="24"/>
          <w:szCs w:val="24"/>
        </w:rPr>
        <w:t>konkrétní</w:t>
      </w:r>
      <w:r w:rsidR="00500191">
        <w:rPr>
          <w:rStyle w:val="cf01"/>
          <w:rFonts w:ascii="Times New Roman" w:hAnsi="Times New Roman" w:cs="Times New Roman"/>
          <w:sz w:val="24"/>
          <w:szCs w:val="24"/>
        </w:rPr>
        <w:t>mu</w:t>
      </w:r>
      <w:r w:rsidR="00217FE8">
        <w:rPr>
          <w:rStyle w:val="cf01"/>
          <w:rFonts w:ascii="Times New Roman" w:hAnsi="Times New Roman" w:cs="Times New Roman"/>
          <w:sz w:val="24"/>
          <w:szCs w:val="24"/>
        </w:rPr>
        <w:t xml:space="preserve"> příkazu</w:t>
      </w:r>
      <w:r w:rsidR="00500191">
        <w:rPr>
          <w:rStyle w:val="cf01"/>
          <w:rFonts w:ascii="Times New Roman" w:hAnsi="Times New Roman" w:cs="Times New Roman"/>
          <w:sz w:val="24"/>
          <w:szCs w:val="24"/>
        </w:rPr>
        <w:t xml:space="preserve"> </w:t>
      </w:r>
      <w:r w:rsidR="00217FE8">
        <w:rPr>
          <w:rStyle w:val="cf01"/>
          <w:rFonts w:ascii="Times New Roman" w:hAnsi="Times New Roman" w:cs="Times New Roman"/>
          <w:sz w:val="24"/>
          <w:szCs w:val="24"/>
        </w:rPr>
        <w:t>–</w:t>
      </w:r>
      <w:r w:rsidR="00A86DBE">
        <w:rPr>
          <w:rStyle w:val="cf01"/>
          <w:rFonts w:ascii="Times New Roman" w:hAnsi="Times New Roman" w:cs="Times New Roman"/>
          <w:sz w:val="24"/>
          <w:szCs w:val="24"/>
        </w:rPr>
        <w:t xml:space="preserve"> </w:t>
      </w:r>
      <w:r w:rsidR="00217FE8">
        <w:rPr>
          <w:rStyle w:val="cf01"/>
          <w:rFonts w:ascii="Times New Roman" w:hAnsi="Times New Roman" w:cs="Times New Roman"/>
          <w:sz w:val="24"/>
          <w:szCs w:val="24"/>
        </w:rPr>
        <w:t xml:space="preserve">půjde </w:t>
      </w:r>
      <w:r w:rsidR="00500191">
        <w:rPr>
          <w:rStyle w:val="cf01"/>
          <w:rFonts w:ascii="Times New Roman" w:hAnsi="Times New Roman" w:cs="Times New Roman"/>
          <w:sz w:val="24"/>
          <w:szCs w:val="24"/>
        </w:rPr>
        <w:t xml:space="preserve">např. </w:t>
      </w:r>
      <w:r w:rsidR="00217FE8">
        <w:rPr>
          <w:rStyle w:val="cf01"/>
          <w:rFonts w:ascii="Times New Roman" w:hAnsi="Times New Roman" w:cs="Times New Roman"/>
          <w:sz w:val="24"/>
          <w:szCs w:val="24"/>
        </w:rPr>
        <w:t xml:space="preserve">o případ, kdy adresát vyzradí osobě, jejíchž dat se příkaz týká, že vůči ní byl takový příkaz vydán. Jedná se o obdobný případ, jako když dožádaný podle § 8 tr. ř. poruší povinnost mlčenlivosti a vyzradí dotčené osobě, že orgány činné v trestním řízení požadují informace týkající se této osoby. </w:t>
      </w:r>
    </w:p>
    <w:p w14:paraId="776A123A" w14:textId="0D66FE32" w:rsidR="00500191" w:rsidRPr="00B5540B" w:rsidRDefault="00500191" w:rsidP="00A1611D">
      <w:pPr>
        <w:spacing w:before="120" w:after="0" w:line="240" w:lineRule="auto"/>
        <w:jc w:val="both"/>
        <w:rPr>
          <w:rStyle w:val="cf01"/>
          <w:rFonts w:ascii="Times New Roman" w:hAnsi="Times New Roman" w:cs="Times New Roman"/>
          <w:bCs/>
          <w:sz w:val="24"/>
          <w:szCs w:val="24"/>
        </w:rPr>
      </w:pPr>
      <w:r w:rsidRPr="00500191">
        <w:rPr>
          <w:rFonts w:ascii="Times New Roman" w:hAnsi="Times New Roman" w:cs="Times New Roman"/>
          <w:bCs/>
          <w:sz w:val="24"/>
          <w:szCs w:val="24"/>
        </w:rPr>
        <w:t xml:space="preserve">Pokud jde o </w:t>
      </w:r>
      <w:r w:rsidRPr="00500191">
        <w:rPr>
          <w:rFonts w:ascii="Times New Roman" w:eastAsia="Times New Roman" w:hAnsi="Times New Roman" w:cs="Times New Roman"/>
          <w:color w:val="000000"/>
          <w:sz w:val="24"/>
          <w:szCs w:val="24"/>
          <w:lang w:eastAsia="cs-CZ"/>
        </w:rPr>
        <w:t>porušení této povinnosti</w:t>
      </w:r>
      <w:r>
        <w:rPr>
          <w:rFonts w:ascii="Times New Roman" w:eastAsia="Times New Roman" w:hAnsi="Times New Roman" w:cs="Times New Roman"/>
          <w:color w:val="000000"/>
          <w:sz w:val="24"/>
          <w:szCs w:val="24"/>
          <w:lang w:eastAsia="cs-CZ"/>
        </w:rPr>
        <w:t xml:space="preserve"> obecně ve vztahu k osobním údajům</w:t>
      </w:r>
      <w:r w:rsidRPr="00500191">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tj. pokud poskytovatel neprovede </w:t>
      </w:r>
      <w:r w:rsidRPr="00500191">
        <w:rPr>
          <w:rFonts w:ascii="Times New Roman" w:eastAsia="Times New Roman" w:hAnsi="Times New Roman" w:cs="Times New Roman"/>
          <w:color w:val="000000"/>
          <w:sz w:val="24"/>
          <w:szCs w:val="24"/>
          <w:lang w:eastAsia="cs-CZ"/>
        </w:rPr>
        <w:t>určitá systémová opatření, která má přijmout za účelem ochrany osobní</w:t>
      </w:r>
      <w:r>
        <w:rPr>
          <w:rFonts w:ascii="Times New Roman" w:eastAsia="Times New Roman" w:hAnsi="Times New Roman" w:cs="Times New Roman"/>
          <w:color w:val="000000"/>
          <w:sz w:val="24"/>
          <w:szCs w:val="24"/>
          <w:lang w:eastAsia="cs-CZ"/>
        </w:rPr>
        <w:t>ch</w:t>
      </w:r>
      <w:r w:rsidRPr="00500191">
        <w:rPr>
          <w:rFonts w:ascii="Times New Roman" w:eastAsia="Times New Roman" w:hAnsi="Times New Roman" w:cs="Times New Roman"/>
          <w:color w:val="000000"/>
          <w:sz w:val="24"/>
          <w:szCs w:val="24"/>
          <w:lang w:eastAsia="cs-CZ"/>
        </w:rPr>
        <w:t xml:space="preserve"> údaj</w:t>
      </w:r>
      <w:r>
        <w:rPr>
          <w:rFonts w:ascii="Times New Roman" w:eastAsia="Times New Roman" w:hAnsi="Times New Roman" w:cs="Times New Roman"/>
          <w:color w:val="000000"/>
          <w:sz w:val="24"/>
          <w:szCs w:val="24"/>
          <w:lang w:eastAsia="cs-CZ"/>
        </w:rPr>
        <w:t xml:space="preserve">ů, </w:t>
      </w:r>
      <w:r w:rsidRPr="00500191">
        <w:rPr>
          <w:rFonts w:ascii="Times New Roman" w:eastAsia="Times New Roman" w:hAnsi="Times New Roman" w:cs="Times New Roman"/>
          <w:color w:val="000000"/>
          <w:sz w:val="24"/>
          <w:szCs w:val="24"/>
          <w:lang w:eastAsia="cs-CZ"/>
        </w:rPr>
        <w:t xml:space="preserve">lze </w:t>
      </w:r>
      <w:r>
        <w:rPr>
          <w:rFonts w:ascii="Times New Roman" w:eastAsia="Times New Roman" w:hAnsi="Times New Roman" w:cs="Times New Roman"/>
          <w:color w:val="000000"/>
          <w:sz w:val="24"/>
          <w:szCs w:val="24"/>
          <w:lang w:eastAsia="cs-CZ"/>
        </w:rPr>
        <w:t xml:space="preserve">využít také </w:t>
      </w:r>
      <w:r w:rsidRPr="00500191">
        <w:rPr>
          <w:rFonts w:ascii="Times New Roman" w:eastAsia="Times New Roman" w:hAnsi="Times New Roman" w:cs="Times New Roman"/>
          <w:color w:val="000000"/>
          <w:sz w:val="24"/>
          <w:szCs w:val="24"/>
          <w:lang w:eastAsia="cs-CZ"/>
        </w:rPr>
        <w:t>postih podle zákona o</w:t>
      </w:r>
      <w:r w:rsidRPr="00093CFA">
        <w:rPr>
          <w:rFonts w:ascii="Times New Roman" w:eastAsia="Times New Roman" w:hAnsi="Times New Roman" w:cs="Times New Roman"/>
          <w:color w:val="000000"/>
          <w:sz w:val="24"/>
          <w:szCs w:val="24"/>
          <w:lang w:eastAsia="cs-CZ"/>
        </w:rPr>
        <w:t xml:space="preserve"> zpracování osobních údajů, konkrétně </w:t>
      </w:r>
      <w:r>
        <w:rPr>
          <w:rFonts w:ascii="Times New Roman" w:eastAsia="Times New Roman" w:hAnsi="Times New Roman" w:cs="Times New Roman"/>
          <w:color w:val="000000"/>
          <w:sz w:val="24"/>
          <w:szCs w:val="24"/>
          <w:lang w:eastAsia="cs-CZ"/>
        </w:rPr>
        <w:t xml:space="preserve">podle </w:t>
      </w:r>
      <w:r w:rsidRPr="00093CFA">
        <w:rPr>
          <w:rStyle w:val="cf01"/>
          <w:rFonts w:ascii="Times New Roman" w:hAnsi="Times New Roman" w:cs="Times New Roman"/>
          <w:sz w:val="24"/>
          <w:szCs w:val="24"/>
        </w:rPr>
        <w:t>§ 62 odst. 1 písm. a) zákona</w:t>
      </w:r>
      <w:r w:rsidR="00B5540B">
        <w:rPr>
          <w:rStyle w:val="cf01"/>
          <w:rFonts w:ascii="Times New Roman" w:hAnsi="Times New Roman" w:cs="Times New Roman"/>
          <w:sz w:val="24"/>
          <w:szCs w:val="24"/>
        </w:rPr>
        <w:t xml:space="preserve"> o zpracování osobních údajů</w:t>
      </w:r>
      <w:r w:rsidRPr="00093CFA">
        <w:rPr>
          <w:rStyle w:val="cf01"/>
          <w:rFonts w:ascii="Times New Roman" w:hAnsi="Times New Roman" w:cs="Times New Roman"/>
          <w:sz w:val="24"/>
          <w:szCs w:val="24"/>
        </w:rPr>
        <w:t xml:space="preserve"> [porušení povinnosti podle článku 32 nařízení Evropského parlamentu a</w:t>
      </w:r>
      <w:r>
        <w:rPr>
          <w:rStyle w:val="cf01"/>
          <w:rFonts w:ascii="Times New Roman" w:hAnsi="Times New Roman" w:cs="Times New Roman"/>
          <w:sz w:val="24"/>
          <w:szCs w:val="24"/>
        </w:rPr>
        <w:t> </w:t>
      </w:r>
      <w:r w:rsidRPr="00093CFA">
        <w:rPr>
          <w:rStyle w:val="cf01"/>
          <w:rFonts w:ascii="Times New Roman" w:hAnsi="Times New Roman" w:cs="Times New Roman"/>
          <w:sz w:val="24"/>
          <w:szCs w:val="24"/>
        </w:rPr>
        <w:t>Rady (EU) 2016/679</w:t>
      </w:r>
      <w:r>
        <w:rPr>
          <w:rStyle w:val="cf01"/>
          <w:rFonts w:ascii="Times New Roman" w:hAnsi="Times New Roman" w:cs="Times New Roman"/>
          <w:sz w:val="24"/>
          <w:szCs w:val="24"/>
        </w:rPr>
        <w:t xml:space="preserve"> – GDPR</w:t>
      </w:r>
      <w:r w:rsidRPr="00093CFA">
        <w:rPr>
          <w:rStyle w:val="cf01"/>
          <w:rFonts w:ascii="Times New Roman" w:hAnsi="Times New Roman" w:cs="Times New Roman"/>
          <w:sz w:val="24"/>
          <w:szCs w:val="24"/>
        </w:rPr>
        <w:t>].</w:t>
      </w:r>
      <w:r>
        <w:rPr>
          <w:rStyle w:val="cf01"/>
          <w:rFonts w:ascii="Times New Roman" w:hAnsi="Times New Roman" w:cs="Times New Roman"/>
          <w:sz w:val="24"/>
          <w:szCs w:val="24"/>
        </w:rPr>
        <w:t xml:space="preserve"> Nařízení </w:t>
      </w:r>
      <w:r w:rsidRPr="00093CFA">
        <w:rPr>
          <w:rStyle w:val="cf01"/>
          <w:rFonts w:ascii="Times New Roman" w:hAnsi="Times New Roman" w:cs="Times New Roman"/>
          <w:sz w:val="24"/>
          <w:szCs w:val="24"/>
        </w:rPr>
        <w:t>Evropského parlamentu a Rady (EU) 2016/679</w:t>
      </w:r>
      <w:r>
        <w:rPr>
          <w:rStyle w:val="cf01"/>
          <w:rFonts w:ascii="Times New Roman" w:hAnsi="Times New Roman" w:cs="Times New Roman"/>
          <w:sz w:val="24"/>
          <w:szCs w:val="24"/>
        </w:rPr>
        <w:t xml:space="preserve"> za porušení povinnosti řádně zabezpečit data stanoví v článku 83 odst. 4 pokutu a</w:t>
      </w:r>
      <w:r w:rsidRPr="001C1CE3">
        <w:rPr>
          <w:rStyle w:val="cf01"/>
          <w:rFonts w:ascii="Times New Roman" w:hAnsi="Times New Roman" w:cs="Times New Roman"/>
          <w:sz w:val="24"/>
          <w:szCs w:val="24"/>
        </w:rPr>
        <w:t>ž do výše 10</w:t>
      </w:r>
      <w:r>
        <w:rPr>
          <w:rStyle w:val="cf01"/>
          <w:rFonts w:ascii="Times New Roman" w:hAnsi="Times New Roman" w:cs="Times New Roman"/>
          <w:sz w:val="24"/>
          <w:szCs w:val="24"/>
        </w:rPr>
        <w:t> </w:t>
      </w:r>
      <w:r w:rsidRPr="001C1CE3">
        <w:rPr>
          <w:rStyle w:val="cf01"/>
          <w:rFonts w:ascii="Times New Roman" w:hAnsi="Times New Roman" w:cs="Times New Roman"/>
          <w:sz w:val="24"/>
          <w:szCs w:val="24"/>
        </w:rPr>
        <w:t xml:space="preserve">000 000 EUR, nebo jedná-li se o podnik, až </w:t>
      </w:r>
      <w:r w:rsidRPr="001C1CE3">
        <w:rPr>
          <w:rStyle w:val="cf01"/>
          <w:rFonts w:ascii="Times New Roman" w:hAnsi="Times New Roman" w:cs="Times New Roman"/>
          <w:sz w:val="24"/>
          <w:szCs w:val="24"/>
        </w:rPr>
        <w:lastRenderedPageBreak/>
        <w:t>do výše 2</w:t>
      </w:r>
      <w:r>
        <w:rPr>
          <w:rStyle w:val="cf01"/>
          <w:rFonts w:ascii="Times New Roman" w:hAnsi="Times New Roman" w:cs="Times New Roman"/>
          <w:sz w:val="24"/>
          <w:szCs w:val="24"/>
        </w:rPr>
        <w:t xml:space="preserve"> </w:t>
      </w:r>
      <w:r w:rsidRPr="001C1CE3">
        <w:rPr>
          <w:rStyle w:val="cf01"/>
          <w:rFonts w:ascii="Times New Roman" w:hAnsi="Times New Roman" w:cs="Times New Roman"/>
          <w:sz w:val="24"/>
          <w:szCs w:val="24"/>
        </w:rPr>
        <w:t xml:space="preserve">% celkového </w:t>
      </w:r>
      <w:r>
        <w:rPr>
          <w:rStyle w:val="cf01"/>
          <w:rFonts w:ascii="Times New Roman" w:hAnsi="Times New Roman" w:cs="Times New Roman"/>
          <w:sz w:val="24"/>
          <w:szCs w:val="24"/>
        </w:rPr>
        <w:t xml:space="preserve">celosvětového </w:t>
      </w:r>
      <w:r w:rsidRPr="001C1CE3">
        <w:rPr>
          <w:rStyle w:val="cf01"/>
          <w:rFonts w:ascii="Times New Roman" w:hAnsi="Times New Roman" w:cs="Times New Roman"/>
          <w:sz w:val="24"/>
          <w:szCs w:val="24"/>
        </w:rPr>
        <w:t>ročního obratu za předchozí finanční rok, podle toho, která hodnota je vyšší</w:t>
      </w:r>
      <w:r>
        <w:rPr>
          <w:rStyle w:val="cf01"/>
          <w:rFonts w:ascii="Times New Roman" w:hAnsi="Times New Roman" w:cs="Times New Roman"/>
          <w:sz w:val="24"/>
          <w:szCs w:val="24"/>
        </w:rPr>
        <w:t xml:space="preserve">. </w:t>
      </w:r>
    </w:p>
    <w:p w14:paraId="2E5F47CA" w14:textId="030AC886" w:rsidR="00217FE8" w:rsidRPr="00217FE8" w:rsidRDefault="00D4315C" w:rsidP="00A1611D">
      <w:pPr>
        <w:spacing w:before="120" w:after="0" w:line="240" w:lineRule="auto"/>
        <w:jc w:val="both"/>
        <w:rPr>
          <w:rFonts w:ascii="Times New Roman" w:eastAsia="Times New Roman" w:hAnsi="Times New Roman" w:cs="Times New Roman"/>
          <w:bCs/>
          <w:color w:val="000000"/>
          <w:sz w:val="24"/>
          <w:szCs w:val="24"/>
          <w:lang w:eastAsia="cs-CZ"/>
        </w:rPr>
      </w:pPr>
      <w:r>
        <w:rPr>
          <w:rStyle w:val="cf01"/>
          <w:rFonts w:ascii="Times New Roman" w:hAnsi="Times New Roman" w:cs="Times New Roman"/>
          <w:sz w:val="24"/>
          <w:szCs w:val="24"/>
        </w:rPr>
        <w:t>Pořádkovou pokutu</w:t>
      </w:r>
      <w:r w:rsidR="00802011">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lze uložit i podle § 66 tr. ř. při splnění podmínek v něm uvedených, neboť trestní řád se uplatní subsidiárně. </w:t>
      </w:r>
    </w:p>
    <w:p w14:paraId="30216879" w14:textId="77F58B8E" w:rsidR="008523D9" w:rsidRPr="008523D9" w:rsidRDefault="00E867E8" w:rsidP="00834ED4">
      <w:pPr>
        <w:spacing w:before="120" w:after="0" w:line="240" w:lineRule="auto"/>
        <w:jc w:val="both"/>
        <w:rPr>
          <w:rFonts w:ascii="Times New Roman" w:hAnsi="Times New Roman" w:cs="Times New Roman"/>
          <w:bCs/>
          <w:sz w:val="24"/>
          <w:szCs w:val="24"/>
        </w:rPr>
      </w:pPr>
      <w:r>
        <w:rPr>
          <w:rFonts w:ascii="Times New Roman" w:hAnsi="Times New Roman" w:cs="Times New Roman"/>
          <w:sz w:val="24"/>
          <w:szCs w:val="24"/>
        </w:rPr>
        <w:t>Pořádková pokuta se ukládá adresátovi</w:t>
      </w:r>
      <w:r w:rsidR="00425DB8">
        <w:rPr>
          <w:rFonts w:ascii="Times New Roman" w:hAnsi="Times New Roman" w:cs="Times New Roman"/>
          <w:sz w:val="24"/>
          <w:szCs w:val="24"/>
        </w:rPr>
        <w:t xml:space="preserve"> příkazu</w:t>
      </w:r>
      <w:r>
        <w:rPr>
          <w:rFonts w:ascii="Times New Roman" w:hAnsi="Times New Roman" w:cs="Times New Roman"/>
          <w:sz w:val="24"/>
          <w:szCs w:val="24"/>
        </w:rPr>
        <w:t xml:space="preserve">. </w:t>
      </w:r>
      <w:r w:rsidR="008523D9" w:rsidRPr="00834ED4">
        <w:rPr>
          <w:rFonts w:ascii="Times New Roman" w:hAnsi="Times New Roman" w:cs="Times New Roman"/>
          <w:sz w:val="24"/>
          <w:szCs w:val="24"/>
        </w:rPr>
        <w:t xml:space="preserve">Návrh zákona </w:t>
      </w:r>
      <w:r w:rsidR="00834ED4" w:rsidRPr="00834ED4">
        <w:rPr>
          <w:rFonts w:ascii="Times New Roman" w:hAnsi="Times New Roman" w:cs="Times New Roman"/>
          <w:sz w:val="24"/>
          <w:szCs w:val="24"/>
        </w:rPr>
        <w:t>o určování provozoven</w:t>
      </w:r>
      <w:r w:rsidR="00834ED4">
        <w:rPr>
          <w:rFonts w:ascii="Times New Roman" w:hAnsi="Times New Roman" w:cs="Times New Roman"/>
          <w:sz w:val="24"/>
          <w:szCs w:val="24"/>
        </w:rPr>
        <w:t xml:space="preserve"> </w:t>
      </w:r>
      <w:r w:rsidR="00834ED4" w:rsidRPr="00834ED4">
        <w:rPr>
          <w:rFonts w:ascii="Times New Roman" w:hAnsi="Times New Roman" w:cs="Times New Roman"/>
          <w:sz w:val="24"/>
          <w:szCs w:val="24"/>
        </w:rPr>
        <w:t xml:space="preserve">a jmenování zástupců některých poskytovatelů služeb za účelem shromažďování elektronických důkazů v trestním řízení </w:t>
      </w:r>
      <w:r w:rsidR="008523D9" w:rsidRPr="00834ED4">
        <w:rPr>
          <w:rFonts w:ascii="Times New Roman" w:hAnsi="Times New Roman" w:cs="Times New Roman"/>
          <w:sz w:val="24"/>
          <w:szCs w:val="24"/>
        </w:rPr>
        <w:t xml:space="preserve">připravovaný souběžně s tímto návrhem na základě </w:t>
      </w:r>
      <w:r w:rsidR="00AF0905" w:rsidRPr="00834ED4">
        <w:rPr>
          <w:rFonts w:ascii="Times New Roman" w:hAnsi="Times New Roman" w:cs="Times New Roman"/>
          <w:sz w:val="24"/>
          <w:szCs w:val="24"/>
        </w:rPr>
        <w:t>s</w:t>
      </w:r>
      <w:r w:rsidR="008523D9" w:rsidRPr="00834ED4">
        <w:rPr>
          <w:rFonts w:ascii="Times New Roman" w:hAnsi="Times New Roman" w:cs="Times New Roman"/>
          <w:sz w:val="24"/>
          <w:szCs w:val="24"/>
        </w:rPr>
        <w:t>měrnice stanoví, že poskytovatel služeb a jím pověřená určená provozovna nebo jím jmenovaný zástupce (tj. adresát příkazu) odpovídají společně a</w:t>
      </w:r>
      <w:r w:rsidR="001E07AC" w:rsidRPr="00834ED4">
        <w:rPr>
          <w:rFonts w:ascii="Times New Roman" w:hAnsi="Times New Roman" w:cs="Times New Roman"/>
          <w:sz w:val="24"/>
          <w:szCs w:val="24"/>
        </w:rPr>
        <w:t> </w:t>
      </w:r>
      <w:r w:rsidR="008523D9" w:rsidRPr="00834ED4">
        <w:rPr>
          <w:rFonts w:ascii="Times New Roman" w:hAnsi="Times New Roman" w:cs="Times New Roman"/>
          <w:sz w:val="24"/>
          <w:szCs w:val="24"/>
        </w:rPr>
        <w:t>nerozdílně za splnění povinností</w:t>
      </w:r>
      <w:r w:rsidR="008523D9" w:rsidRPr="00EC0446">
        <w:rPr>
          <w:rFonts w:ascii="Times New Roman" w:hAnsi="Times New Roman" w:cs="Times New Roman"/>
          <w:sz w:val="24"/>
          <w:szCs w:val="24"/>
        </w:rPr>
        <w:t> pro účely doručování, dodržování a vymáhání rozhodnutí a</w:t>
      </w:r>
      <w:r w:rsidR="001E07AC">
        <w:rPr>
          <w:rFonts w:ascii="Times New Roman" w:hAnsi="Times New Roman" w:cs="Times New Roman"/>
          <w:sz w:val="24"/>
          <w:szCs w:val="24"/>
        </w:rPr>
        <w:t> </w:t>
      </w:r>
      <w:r w:rsidR="008523D9" w:rsidRPr="00EC0446">
        <w:rPr>
          <w:rFonts w:ascii="Times New Roman" w:hAnsi="Times New Roman" w:cs="Times New Roman"/>
          <w:sz w:val="24"/>
          <w:szCs w:val="24"/>
        </w:rPr>
        <w:t>příkazů vydaných příslušnými orgány členských států</w:t>
      </w:r>
      <w:r w:rsidR="009007DB">
        <w:rPr>
          <w:rFonts w:ascii="Times New Roman" w:hAnsi="Times New Roman" w:cs="Times New Roman"/>
          <w:sz w:val="24"/>
          <w:szCs w:val="24"/>
        </w:rPr>
        <w:t xml:space="preserve"> EU</w:t>
      </w:r>
      <w:r w:rsidR="008523D9" w:rsidRPr="00EC0446">
        <w:rPr>
          <w:rFonts w:ascii="Times New Roman" w:hAnsi="Times New Roman" w:cs="Times New Roman"/>
          <w:sz w:val="24"/>
          <w:szCs w:val="24"/>
        </w:rPr>
        <w:t xml:space="preserve"> za účelem shromažďování elektronických důkazů v</w:t>
      </w:r>
      <w:r w:rsidR="0046242C">
        <w:rPr>
          <w:rFonts w:ascii="Times New Roman" w:hAnsi="Times New Roman" w:cs="Times New Roman"/>
          <w:sz w:val="24"/>
          <w:szCs w:val="24"/>
        </w:rPr>
        <w:t> </w:t>
      </w:r>
      <w:r w:rsidR="008523D9" w:rsidRPr="00EC0446">
        <w:rPr>
          <w:rFonts w:ascii="Times New Roman" w:hAnsi="Times New Roman" w:cs="Times New Roman"/>
          <w:sz w:val="24"/>
          <w:szCs w:val="24"/>
        </w:rPr>
        <w:t>trestním řízení</w:t>
      </w:r>
      <w:r w:rsidR="008523D9">
        <w:rPr>
          <w:rFonts w:ascii="Times New Roman" w:hAnsi="Times New Roman" w:cs="Times New Roman"/>
          <w:sz w:val="24"/>
          <w:szCs w:val="24"/>
        </w:rPr>
        <w:t>, s výjimkou případu, kdy je</w:t>
      </w:r>
      <w:r w:rsidR="008523D9" w:rsidRPr="00EC0446">
        <w:rPr>
          <w:rFonts w:ascii="Times New Roman" w:hAnsi="Times New Roman" w:cs="Times New Roman"/>
          <w:sz w:val="24"/>
          <w:szCs w:val="24"/>
        </w:rPr>
        <w:t xml:space="preserve"> porušení rozhodnutí nebo příkazu trestným činem.</w:t>
      </w:r>
      <w:r w:rsidR="008523D9">
        <w:rPr>
          <w:rFonts w:ascii="Times New Roman" w:hAnsi="Times New Roman" w:cs="Times New Roman"/>
          <w:sz w:val="24"/>
          <w:szCs w:val="24"/>
        </w:rPr>
        <w:t xml:space="preserve"> </w:t>
      </w:r>
    </w:p>
    <w:p w14:paraId="138D31B1" w14:textId="2516356D" w:rsidR="00ED1AFF" w:rsidRPr="00ED1AFF" w:rsidRDefault="00132BA9" w:rsidP="00A1611D">
      <w:pPr>
        <w:spacing w:before="120" w:after="0" w:line="240" w:lineRule="auto"/>
        <w:jc w:val="both"/>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 xml:space="preserve">Vzhledem k tomu, že </w:t>
      </w:r>
      <w:r w:rsidR="00667562">
        <w:rPr>
          <w:rFonts w:ascii="Times New Roman" w:hAnsi="Times New Roman" w:cs="Times New Roman"/>
          <w:sz w:val="24"/>
          <w:szCs w:val="24"/>
        </w:rPr>
        <w:t>n</w:t>
      </w:r>
      <w:r>
        <w:rPr>
          <w:rFonts w:ascii="Times New Roman" w:hAnsi="Times New Roman" w:cs="Times New Roman"/>
          <w:sz w:val="24"/>
          <w:szCs w:val="24"/>
        </w:rPr>
        <w:t xml:space="preserve">ařízení požaduje, aby sankci za porušení uvedených povinností bylo možné uložit </w:t>
      </w:r>
      <w:r w:rsidR="00C67F1A" w:rsidRPr="00C67F1A">
        <w:rPr>
          <w:rFonts w:ascii="Times New Roman" w:eastAsia="Times New Roman" w:hAnsi="Times New Roman" w:cs="Times New Roman"/>
          <w:color w:val="000000"/>
          <w:sz w:val="24"/>
          <w:szCs w:val="24"/>
          <w:lang w:eastAsia="cs-CZ"/>
        </w:rPr>
        <w:t>až do výše 2 % celkového celosvětového ročního obratu poskytovatele služeb za</w:t>
      </w:r>
      <w:r w:rsidR="00F50512">
        <w:rPr>
          <w:rFonts w:ascii="Times New Roman" w:eastAsia="Times New Roman" w:hAnsi="Times New Roman" w:cs="Times New Roman"/>
          <w:color w:val="000000"/>
          <w:sz w:val="24"/>
          <w:szCs w:val="24"/>
          <w:lang w:eastAsia="cs-CZ"/>
        </w:rPr>
        <w:t> </w:t>
      </w:r>
      <w:r w:rsidR="00C67F1A" w:rsidRPr="00C67F1A">
        <w:rPr>
          <w:rFonts w:ascii="Times New Roman" w:eastAsia="Times New Roman" w:hAnsi="Times New Roman" w:cs="Times New Roman"/>
          <w:color w:val="000000"/>
          <w:sz w:val="24"/>
          <w:szCs w:val="24"/>
          <w:lang w:eastAsia="cs-CZ"/>
        </w:rPr>
        <w:t>předchozí finanční rok</w:t>
      </w:r>
      <w:r w:rsidR="00C67F1A">
        <w:rPr>
          <w:rFonts w:ascii="Times New Roman" w:eastAsia="Times New Roman" w:hAnsi="Times New Roman" w:cs="Times New Roman"/>
          <w:color w:val="000000"/>
          <w:sz w:val="24"/>
          <w:szCs w:val="24"/>
          <w:lang w:eastAsia="cs-CZ"/>
        </w:rPr>
        <w:t>, v odstavc</w:t>
      </w:r>
      <w:r w:rsidR="001712DE">
        <w:rPr>
          <w:rFonts w:ascii="Times New Roman" w:eastAsia="Times New Roman" w:hAnsi="Times New Roman" w:cs="Times New Roman"/>
          <w:color w:val="000000"/>
          <w:sz w:val="24"/>
          <w:szCs w:val="24"/>
          <w:lang w:eastAsia="cs-CZ"/>
        </w:rPr>
        <w:t>ích</w:t>
      </w:r>
      <w:r w:rsidR="00C67F1A">
        <w:rPr>
          <w:rFonts w:ascii="Times New Roman" w:eastAsia="Times New Roman" w:hAnsi="Times New Roman" w:cs="Times New Roman"/>
          <w:color w:val="000000"/>
          <w:sz w:val="24"/>
          <w:szCs w:val="24"/>
          <w:lang w:eastAsia="cs-CZ"/>
        </w:rPr>
        <w:t xml:space="preserve"> 2 </w:t>
      </w:r>
      <w:r w:rsidR="001712DE">
        <w:rPr>
          <w:rFonts w:ascii="Times New Roman" w:eastAsia="Times New Roman" w:hAnsi="Times New Roman" w:cs="Times New Roman"/>
          <w:color w:val="000000"/>
          <w:sz w:val="24"/>
          <w:szCs w:val="24"/>
          <w:lang w:eastAsia="cs-CZ"/>
        </w:rPr>
        <w:t xml:space="preserve">a 3 </w:t>
      </w:r>
      <w:r w:rsidR="00C67F1A">
        <w:rPr>
          <w:rFonts w:ascii="Times New Roman" w:eastAsia="Times New Roman" w:hAnsi="Times New Roman" w:cs="Times New Roman"/>
          <w:color w:val="000000"/>
          <w:sz w:val="24"/>
          <w:szCs w:val="24"/>
          <w:lang w:eastAsia="cs-CZ"/>
        </w:rPr>
        <w:t xml:space="preserve">se upravují procesní nástroje, které může orgán ukládající pořádkovou pokutu </w:t>
      </w:r>
      <w:r w:rsidR="00230621">
        <w:rPr>
          <w:rFonts w:ascii="Times New Roman" w:eastAsia="Times New Roman" w:hAnsi="Times New Roman" w:cs="Times New Roman"/>
          <w:color w:val="000000"/>
          <w:sz w:val="24"/>
          <w:szCs w:val="24"/>
          <w:lang w:eastAsia="cs-CZ"/>
        </w:rPr>
        <w:t xml:space="preserve">(popř. policejní orgán) </w:t>
      </w:r>
      <w:r w:rsidR="00C67F1A">
        <w:rPr>
          <w:rFonts w:ascii="Times New Roman" w:eastAsia="Times New Roman" w:hAnsi="Times New Roman" w:cs="Times New Roman"/>
          <w:color w:val="000000"/>
          <w:sz w:val="24"/>
          <w:szCs w:val="24"/>
          <w:lang w:eastAsia="cs-CZ"/>
        </w:rPr>
        <w:t>využít</w:t>
      </w:r>
      <w:r w:rsidR="005C2682">
        <w:rPr>
          <w:rFonts w:ascii="Times New Roman" w:eastAsia="Times New Roman" w:hAnsi="Times New Roman" w:cs="Times New Roman"/>
          <w:color w:val="000000"/>
          <w:sz w:val="24"/>
          <w:szCs w:val="24"/>
          <w:lang w:eastAsia="cs-CZ"/>
        </w:rPr>
        <w:t xml:space="preserve"> při provádění potřebného šetření</w:t>
      </w:r>
      <w:r w:rsidR="006639C1">
        <w:rPr>
          <w:rFonts w:ascii="Times New Roman" w:eastAsia="Times New Roman" w:hAnsi="Times New Roman" w:cs="Times New Roman"/>
          <w:color w:val="000000"/>
          <w:sz w:val="24"/>
          <w:szCs w:val="24"/>
          <w:lang w:eastAsia="cs-CZ"/>
        </w:rPr>
        <w:t>, aby takový obrat mohl zjistit</w:t>
      </w:r>
      <w:r w:rsidR="00C67F1A">
        <w:rPr>
          <w:rFonts w:ascii="Times New Roman" w:eastAsia="Times New Roman" w:hAnsi="Times New Roman" w:cs="Times New Roman"/>
          <w:color w:val="000000"/>
          <w:sz w:val="24"/>
          <w:szCs w:val="24"/>
          <w:lang w:eastAsia="cs-CZ"/>
        </w:rPr>
        <w:t xml:space="preserve">. </w:t>
      </w:r>
      <w:r w:rsidR="00807D3D">
        <w:rPr>
          <w:rFonts w:ascii="Times New Roman" w:eastAsia="Times New Roman" w:hAnsi="Times New Roman" w:cs="Times New Roman"/>
          <w:color w:val="000000"/>
          <w:sz w:val="24"/>
          <w:szCs w:val="24"/>
          <w:lang w:eastAsia="cs-CZ"/>
        </w:rPr>
        <w:t xml:space="preserve">Při stanovení výše pokuty je třeba </w:t>
      </w:r>
      <w:r w:rsidR="00CF33D0">
        <w:rPr>
          <w:rFonts w:ascii="Times New Roman" w:eastAsia="Times New Roman" w:hAnsi="Times New Roman" w:cs="Times New Roman"/>
          <w:color w:val="000000"/>
          <w:sz w:val="24"/>
          <w:szCs w:val="24"/>
          <w:lang w:eastAsia="cs-CZ"/>
        </w:rPr>
        <w:t xml:space="preserve">primárně </w:t>
      </w:r>
      <w:r w:rsidR="00807D3D">
        <w:rPr>
          <w:rFonts w:ascii="Times New Roman" w:eastAsia="Times New Roman" w:hAnsi="Times New Roman" w:cs="Times New Roman"/>
          <w:color w:val="000000"/>
          <w:sz w:val="24"/>
          <w:szCs w:val="24"/>
          <w:lang w:eastAsia="cs-CZ"/>
        </w:rPr>
        <w:t xml:space="preserve">vycházet z obchodních záznamů, např. auditované účetní závěrky, a pokud není k dispozici, lze požadovat po adresátovi </w:t>
      </w:r>
      <w:r w:rsidR="00807D3D" w:rsidRPr="00807D3D">
        <w:rPr>
          <w:rFonts w:ascii="Times New Roman" w:hAnsi="Times New Roman" w:cs="Times New Roman"/>
          <w:sz w:val="24"/>
          <w:szCs w:val="24"/>
        </w:rPr>
        <w:t>sdělení alespoň kvalifikovaného odhadu</w:t>
      </w:r>
      <w:r w:rsidR="00CF33D0">
        <w:rPr>
          <w:rFonts w:ascii="Times New Roman" w:hAnsi="Times New Roman" w:cs="Times New Roman"/>
          <w:sz w:val="24"/>
          <w:szCs w:val="24"/>
        </w:rPr>
        <w:t>.</w:t>
      </w:r>
      <w:r w:rsidR="00807D3D" w:rsidRPr="00807D3D">
        <w:rPr>
          <w:rFonts w:ascii="Times New Roman" w:hAnsi="Times New Roman" w:cs="Times New Roman"/>
          <w:sz w:val="24"/>
          <w:szCs w:val="24"/>
        </w:rPr>
        <w:t xml:space="preserve"> </w:t>
      </w:r>
      <w:r w:rsidR="00CF33D0">
        <w:rPr>
          <w:rFonts w:ascii="Times New Roman" w:hAnsi="Times New Roman" w:cs="Times New Roman"/>
          <w:sz w:val="24"/>
          <w:szCs w:val="24"/>
        </w:rPr>
        <w:t>P</w:t>
      </w:r>
      <w:r w:rsidR="00807D3D">
        <w:rPr>
          <w:rFonts w:ascii="Times New Roman" w:hAnsi="Times New Roman" w:cs="Times New Roman"/>
          <w:sz w:val="24"/>
          <w:szCs w:val="24"/>
        </w:rPr>
        <w:t xml:space="preserve">okud nelze zjistit takový odhad z důvodu nespolupráce adresáta příkazu, lze </w:t>
      </w:r>
      <w:r w:rsidR="00807D3D" w:rsidRPr="00807D3D">
        <w:rPr>
          <w:rFonts w:ascii="Times New Roman" w:hAnsi="Times New Roman" w:cs="Times New Roman"/>
          <w:sz w:val="24"/>
          <w:szCs w:val="24"/>
        </w:rPr>
        <w:t>vycház</w:t>
      </w:r>
      <w:r w:rsidR="00807D3D">
        <w:rPr>
          <w:rFonts w:ascii="Times New Roman" w:hAnsi="Times New Roman" w:cs="Times New Roman"/>
          <w:sz w:val="24"/>
          <w:szCs w:val="24"/>
        </w:rPr>
        <w:t>et</w:t>
      </w:r>
      <w:r w:rsidR="00807D3D" w:rsidRPr="00807D3D">
        <w:rPr>
          <w:rFonts w:ascii="Times New Roman" w:hAnsi="Times New Roman" w:cs="Times New Roman"/>
          <w:sz w:val="24"/>
          <w:szCs w:val="24"/>
        </w:rPr>
        <w:t xml:space="preserve"> z posledních známých podkladů</w:t>
      </w:r>
      <w:r w:rsidR="00CF33D0">
        <w:rPr>
          <w:rFonts w:ascii="Times New Roman" w:hAnsi="Times New Roman" w:cs="Times New Roman"/>
          <w:sz w:val="24"/>
          <w:szCs w:val="24"/>
        </w:rPr>
        <w:t>, např. informací o bankovních účtech, cenných papírech a investičních nástrojích, veřejně dostupných informací aj</w:t>
      </w:r>
      <w:r w:rsidR="00807D3D" w:rsidRPr="00807D3D">
        <w:rPr>
          <w:rFonts w:ascii="Times New Roman" w:hAnsi="Times New Roman" w:cs="Times New Roman"/>
          <w:sz w:val="24"/>
          <w:szCs w:val="24"/>
        </w:rPr>
        <w:t>.</w:t>
      </w:r>
      <w:r w:rsidR="007B63FF">
        <w:rPr>
          <w:rFonts w:ascii="Times New Roman" w:eastAsia="Times New Roman" w:hAnsi="Times New Roman" w:cs="Times New Roman"/>
          <w:color w:val="000000"/>
          <w:sz w:val="24"/>
          <w:szCs w:val="24"/>
          <w:lang w:eastAsia="cs-CZ"/>
        </w:rPr>
        <w:t xml:space="preserve"> </w:t>
      </w:r>
      <w:r w:rsidR="00CF33D0">
        <w:rPr>
          <w:rFonts w:ascii="Times New Roman" w:eastAsia="Times New Roman" w:hAnsi="Times New Roman" w:cs="Times New Roman"/>
          <w:color w:val="000000"/>
          <w:sz w:val="24"/>
          <w:szCs w:val="24"/>
          <w:lang w:eastAsia="cs-CZ"/>
        </w:rPr>
        <w:t>Adresáta příkazu lze také vyzvat k učinění prohlášení o majetku</w:t>
      </w:r>
      <w:r w:rsidR="001712DE">
        <w:rPr>
          <w:rFonts w:ascii="Times New Roman" w:eastAsia="Times New Roman" w:hAnsi="Times New Roman" w:cs="Times New Roman"/>
          <w:color w:val="000000"/>
          <w:sz w:val="24"/>
          <w:szCs w:val="24"/>
          <w:lang w:eastAsia="cs-CZ"/>
        </w:rPr>
        <w:t>.</w:t>
      </w:r>
      <w:r w:rsidR="00CF33D0">
        <w:rPr>
          <w:rFonts w:ascii="Times New Roman" w:eastAsia="Times New Roman" w:hAnsi="Times New Roman" w:cs="Times New Roman"/>
          <w:color w:val="000000"/>
          <w:sz w:val="24"/>
          <w:szCs w:val="24"/>
          <w:lang w:eastAsia="cs-CZ"/>
        </w:rPr>
        <w:t xml:space="preserve"> </w:t>
      </w:r>
      <w:r w:rsidR="00385782">
        <w:rPr>
          <w:rFonts w:ascii="Times New Roman" w:eastAsia="Times New Roman" w:hAnsi="Times New Roman" w:cs="Times New Roman"/>
          <w:color w:val="000000"/>
          <w:sz w:val="24"/>
          <w:szCs w:val="24"/>
          <w:lang w:eastAsia="cs-CZ"/>
        </w:rPr>
        <w:t xml:space="preserve">I zde se však uplatní zákaz sebeobviňování a adresáta příkazu nelze nutit k výpovědi nebo vydání podkladů proti němu. </w:t>
      </w:r>
      <w:r w:rsidR="00ED1AFF">
        <w:rPr>
          <w:rFonts w:ascii="Times New Roman" w:eastAsia="Times New Roman" w:hAnsi="Times New Roman" w:cs="Times New Roman"/>
          <w:color w:val="000000"/>
          <w:sz w:val="24"/>
          <w:szCs w:val="24"/>
          <w:lang w:eastAsia="cs-CZ"/>
        </w:rPr>
        <w:t xml:space="preserve">Vzhledem k tomu, že součástí </w:t>
      </w:r>
      <w:r w:rsidR="00ED1AFF" w:rsidRPr="00ED1AFF">
        <w:rPr>
          <w:rFonts w:ascii="Times New Roman" w:eastAsia="Times New Roman" w:hAnsi="Times New Roman" w:cs="Times New Roman"/>
          <w:color w:val="000000"/>
          <w:sz w:val="24"/>
          <w:szCs w:val="24"/>
          <w:lang w:eastAsia="cs-CZ"/>
        </w:rPr>
        <w:t xml:space="preserve">šetření </w:t>
      </w:r>
      <w:r w:rsidR="00ED1AFF" w:rsidRPr="00ED1AFF">
        <w:rPr>
          <w:rFonts w:ascii="Times New Roman" w:hAnsi="Times New Roman" w:cs="Times New Roman"/>
          <w:sz w:val="24"/>
          <w:szCs w:val="24"/>
        </w:rPr>
        <w:t xml:space="preserve">pro účely uložení pořádkové pokuty bude mj. prokázání naplnění </w:t>
      </w:r>
      <w:r w:rsidR="00ED1AFF">
        <w:rPr>
          <w:rFonts w:ascii="Times New Roman" w:hAnsi="Times New Roman" w:cs="Times New Roman"/>
          <w:sz w:val="24"/>
          <w:szCs w:val="24"/>
        </w:rPr>
        <w:t xml:space="preserve">jednání podle </w:t>
      </w:r>
      <w:r w:rsidR="00ED1AFF" w:rsidRPr="00ED1AFF">
        <w:rPr>
          <w:rFonts w:ascii="Times New Roman" w:hAnsi="Times New Roman" w:cs="Times New Roman"/>
          <w:sz w:val="24"/>
          <w:szCs w:val="24"/>
        </w:rPr>
        <w:t>§ 401 odst. 1 návrhu</w:t>
      </w:r>
      <w:r w:rsidR="00ED1AFF">
        <w:rPr>
          <w:rFonts w:ascii="Times New Roman" w:hAnsi="Times New Roman" w:cs="Times New Roman"/>
          <w:sz w:val="24"/>
          <w:szCs w:val="24"/>
        </w:rPr>
        <w:t>, nelze vyloučit ani potřebu výslechů osob a řešení</w:t>
      </w:r>
      <w:r w:rsidR="00ED1AFF" w:rsidRPr="00ED1AFF">
        <w:rPr>
          <w:rFonts w:ascii="Times New Roman" w:hAnsi="Times New Roman" w:cs="Times New Roman"/>
          <w:sz w:val="24"/>
          <w:szCs w:val="24"/>
        </w:rPr>
        <w:t xml:space="preserve"> odborn</w:t>
      </w:r>
      <w:r w:rsidR="00ED1AFF">
        <w:rPr>
          <w:rFonts w:ascii="Times New Roman" w:hAnsi="Times New Roman" w:cs="Times New Roman"/>
          <w:sz w:val="24"/>
          <w:szCs w:val="24"/>
        </w:rPr>
        <w:t>ých</w:t>
      </w:r>
      <w:r w:rsidR="00ED1AFF" w:rsidRPr="00ED1AFF">
        <w:rPr>
          <w:rFonts w:ascii="Times New Roman" w:hAnsi="Times New Roman" w:cs="Times New Roman"/>
          <w:sz w:val="24"/>
          <w:szCs w:val="24"/>
        </w:rPr>
        <w:t xml:space="preserve"> otáz</w:t>
      </w:r>
      <w:r w:rsidR="00ED1AFF">
        <w:rPr>
          <w:rFonts w:ascii="Times New Roman" w:hAnsi="Times New Roman" w:cs="Times New Roman"/>
          <w:sz w:val="24"/>
          <w:szCs w:val="24"/>
        </w:rPr>
        <w:t>ek</w:t>
      </w:r>
      <w:r w:rsidR="00ED1AFF" w:rsidRPr="00ED1AFF">
        <w:rPr>
          <w:rFonts w:ascii="Times New Roman" w:hAnsi="Times New Roman" w:cs="Times New Roman"/>
          <w:sz w:val="24"/>
          <w:szCs w:val="24"/>
        </w:rPr>
        <w:t xml:space="preserve">, </w:t>
      </w:r>
      <w:r w:rsidR="00ED1AFF">
        <w:rPr>
          <w:rFonts w:ascii="Times New Roman" w:hAnsi="Times New Roman" w:cs="Times New Roman"/>
          <w:sz w:val="24"/>
          <w:szCs w:val="24"/>
        </w:rPr>
        <w:t>kdy by mohla vzniknout potřeba vyžádat odborné vyjádření nebo znalecký posudek.</w:t>
      </w:r>
      <w:r w:rsidR="004B7827">
        <w:rPr>
          <w:rFonts w:ascii="Times New Roman" w:hAnsi="Times New Roman" w:cs="Times New Roman"/>
          <w:sz w:val="24"/>
          <w:szCs w:val="24"/>
        </w:rPr>
        <w:t xml:space="preserve"> </w:t>
      </w:r>
    </w:p>
    <w:p w14:paraId="2B889794" w14:textId="738E53DD" w:rsidR="00132BA9" w:rsidRDefault="00CE0B5C" w:rsidP="00A1611D">
      <w:pPr>
        <w:spacing w:before="120"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Jelikož </w:t>
      </w:r>
      <w:r w:rsidR="00C67F1A">
        <w:rPr>
          <w:rFonts w:ascii="Times New Roman" w:eastAsia="Times New Roman" w:hAnsi="Times New Roman" w:cs="Times New Roman"/>
          <w:color w:val="000000"/>
          <w:sz w:val="24"/>
          <w:szCs w:val="24"/>
          <w:lang w:eastAsia="cs-CZ"/>
        </w:rPr>
        <w:t xml:space="preserve">pro účely uložení pořádkové pokuty nelze využít mezinárodní justiční spolupráci </w:t>
      </w:r>
      <w:r w:rsidR="00807D3D">
        <w:rPr>
          <w:rFonts w:ascii="Times New Roman" w:eastAsia="Times New Roman" w:hAnsi="Times New Roman" w:cs="Times New Roman"/>
          <w:color w:val="000000"/>
          <w:sz w:val="24"/>
          <w:szCs w:val="24"/>
          <w:lang w:eastAsia="cs-CZ"/>
        </w:rPr>
        <w:t>ve</w:t>
      </w:r>
      <w:r w:rsidR="001E07AC">
        <w:rPr>
          <w:rFonts w:ascii="Times New Roman" w:eastAsia="Times New Roman" w:hAnsi="Times New Roman" w:cs="Times New Roman"/>
          <w:color w:val="000000"/>
          <w:sz w:val="24"/>
          <w:szCs w:val="24"/>
          <w:lang w:eastAsia="cs-CZ"/>
        </w:rPr>
        <w:t> </w:t>
      </w:r>
      <w:r w:rsidR="00807D3D">
        <w:rPr>
          <w:rFonts w:ascii="Times New Roman" w:eastAsia="Times New Roman" w:hAnsi="Times New Roman" w:cs="Times New Roman"/>
          <w:color w:val="000000"/>
          <w:sz w:val="24"/>
          <w:szCs w:val="24"/>
          <w:lang w:eastAsia="cs-CZ"/>
        </w:rPr>
        <w:t>věcech trestních</w:t>
      </w:r>
      <w:r w:rsidR="007B63FF">
        <w:rPr>
          <w:rFonts w:ascii="Times New Roman" w:eastAsia="Times New Roman" w:hAnsi="Times New Roman" w:cs="Times New Roman"/>
          <w:color w:val="000000"/>
          <w:sz w:val="24"/>
          <w:szCs w:val="24"/>
          <w:lang w:eastAsia="cs-CZ"/>
        </w:rPr>
        <w:t xml:space="preserve"> a </w:t>
      </w:r>
      <w:r w:rsidR="00667562">
        <w:rPr>
          <w:rFonts w:ascii="Times New Roman" w:eastAsia="Times New Roman" w:hAnsi="Times New Roman" w:cs="Times New Roman"/>
          <w:color w:val="000000"/>
          <w:sz w:val="24"/>
          <w:szCs w:val="24"/>
          <w:lang w:eastAsia="cs-CZ"/>
        </w:rPr>
        <w:t>n</w:t>
      </w:r>
      <w:r w:rsidR="007B63FF">
        <w:rPr>
          <w:rFonts w:ascii="Times New Roman" w:eastAsia="Times New Roman" w:hAnsi="Times New Roman" w:cs="Times New Roman"/>
          <w:color w:val="000000"/>
          <w:sz w:val="24"/>
          <w:szCs w:val="24"/>
          <w:lang w:eastAsia="cs-CZ"/>
        </w:rPr>
        <w:t>ařízení žádný mechanismus spolupráce pro tento účel nezakotvuje, může být</w:t>
      </w:r>
      <w:r w:rsidR="00C67F1A">
        <w:rPr>
          <w:rFonts w:ascii="Times New Roman" w:eastAsia="Times New Roman" w:hAnsi="Times New Roman" w:cs="Times New Roman"/>
          <w:color w:val="000000"/>
          <w:sz w:val="24"/>
          <w:szCs w:val="24"/>
          <w:lang w:eastAsia="cs-CZ"/>
        </w:rPr>
        <w:t xml:space="preserve"> zjištění celosvětového obratu v některých případech obtížné, </w:t>
      </w:r>
      <w:r w:rsidR="007B63FF">
        <w:rPr>
          <w:rFonts w:ascii="Times New Roman" w:eastAsia="Times New Roman" w:hAnsi="Times New Roman" w:cs="Times New Roman"/>
          <w:color w:val="000000"/>
          <w:sz w:val="24"/>
          <w:szCs w:val="24"/>
          <w:lang w:eastAsia="cs-CZ"/>
        </w:rPr>
        <w:t xml:space="preserve">proto se </w:t>
      </w:r>
      <w:r w:rsidR="00D1411C">
        <w:rPr>
          <w:rFonts w:ascii="Times New Roman" w:eastAsia="Times New Roman" w:hAnsi="Times New Roman" w:cs="Times New Roman"/>
          <w:color w:val="000000"/>
          <w:sz w:val="24"/>
          <w:szCs w:val="24"/>
          <w:lang w:eastAsia="cs-CZ"/>
        </w:rPr>
        <w:t xml:space="preserve">stanoví i postup pro případ, kdy celosvětový obrat nelze zjistit. </w:t>
      </w:r>
    </w:p>
    <w:p w14:paraId="2C9B1D44" w14:textId="04BD9B34" w:rsidR="00132BA9" w:rsidRPr="00554BF3" w:rsidRDefault="00554BF3" w:rsidP="00A1611D">
      <w:pPr>
        <w:spacing w:before="120"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Proti rozhodnutí o uložení pořádkové pokuty lze podat stížnost k soudu. V případě, že</w:t>
      </w:r>
      <w:r w:rsidR="001E07A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 xml:space="preserve">rozhodnutí vydal státní zástupce, je příslušný </w:t>
      </w:r>
      <w:r w:rsidR="00132BA9" w:rsidRPr="00554BF3">
        <w:rPr>
          <w:rFonts w:ascii="Times New Roman" w:hAnsi="Times New Roman" w:cs="Times New Roman"/>
          <w:bCs/>
          <w:sz w:val="24"/>
          <w:szCs w:val="24"/>
        </w:rPr>
        <w:t>soud, v jehož obvodu je činný státní zástupce, který</w:t>
      </w:r>
      <w:r w:rsidR="008D3BBB">
        <w:rPr>
          <w:rFonts w:ascii="Times New Roman" w:hAnsi="Times New Roman" w:cs="Times New Roman"/>
          <w:bCs/>
          <w:sz w:val="24"/>
          <w:szCs w:val="24"/>
        </w:rPr>
        <w:t xml:space="preserve"> napadené rozhodnutí vydal. V</w:t>
      </w:r>
      <w:r>
        <w:rPr>
          <w:rFonts w:ascii="Times New Roman" w:hAnsi="Times New Roman" w:cs="Times New Roman"/>
          <w:bCs/>
          <w:sz w:val="24"/>
          <w:szCs w:val="24"/>
        </w:rPr>
        <w:t> případě,</w:t>
      </w:r>
      <w:r w:rsidR="00132BA9" w:rsidRPr="00554BF3">
        <w:rPr>
          <w:rFonts w:ascii="Times New Roman" w:hAnsi="Times New Roman" w:cs="Times New Roman"/>
          <w:bCs/>
          <w:sz w:val="24"/>
          <w:szCs w:val="24"/>
        </w:rPr>
        <w:t xml:space="preserve"> kdy ukládá pořádkovou pokutu útvar Policie </w:t>
      </w:r>
      <w:r w:rsidR="00027B8C">
        <w:rPr>
          <w:rFonts w:ascii="Times New Roman" w:hAnsi="Times New Roman" w:cs="Times New Roman"/>
          <w:bCs/>
          <w:sz w:val="24"/>
          <w:szCs w:val="24"/>
        </w:rPr>
        <w:t>České republiky</w:t>
      </w:r>
      <w:r w:rsidR="00027B8C" w:rsidDel="00027B8C">
        <w:rPr>
          <w:rFonts w:ascii="Times New Roman" w:hAnsi="Times New Roman" w:cs="Times New Roman"/>
          <w:bCs/>
          <w:sz w:val="24"/>
          <w:szCs w:val="24"/>
        </w:rPr>
        <w:t xml:space="preserve"> </w:t>
      </w:r>
      <w:r>
        <w:rPr>
          <w:rFonts w:ascii="Times New Roman" w:hAnsi="Times New Roman" w:cs="Times New Roman"/>
          <w:bCs/>
          <w:sz w:val="24"/>
          <w:szCs w:val="24"/>
        </w:rPr>
        <w:t xml:space="preserve">a věc je v jiném členském státu </w:t>
      </w:r>
      <w:r w:rsidR="008D3BBB">
        <w:rPr>
          <w:rFonts w:ascii="Times New Roman" w:hAnsi="Times New Roman" w:cs="Times New Roman"/>
          <w:bCs/>
          <w:sz w:val="24"/>
          <w:szCs w:val="24"/>
        </w:rPr>
        <w:t xml:space="preserve">EU </w:t>
      </w:r>
      <w:r>
        <w:rPr>
          <w:rFonts w:ascii="Times New Roman" w:hAnsi="Times New Roman" w:cs="Times New Roman"/>
          <w:bCs/>
          <w:sz w:val="24"/>
          <w:szCs w:val="24"/>
        </w:rPr>
        <w:t xml:space="preserve">ve fázi přípravného řízení, </w:t>
      </w:r>
      <w:r w:rsidR="008D3BBB">
        <w:rPr>
          <w:rFonts w:ascii="Times New Roman" w:hAnsi="Times New Roman" w:cs="Times New Roman"/>
          <w:bCs/>
          <w:sz w:val="24"/>
          <w:szCs w:val="24"/>
        </w:rPr>
        <w:t xml:space="preserve">je </w:t>
      </w:r>
      <w:r>
        <w:rPr>
          <w:rFonts w:ascii="Times New Roman" w:hAnsi="Times New Roman" w:cs="Times New Roman"/>
          <w:bCs/>
          <w:sz w:val="24"/>
          <w:szCs w:val="24"/>
        </w:rPr>
        <w:t>příslušný soud, v jehož obvodu je činný státní zástupce příslušný k vyslovení souhlasu s příkazem, kterým se uznává a vykonává evropský uchovávací příkaz. V případě,</w:t>
      </w:r>
      <w:r w:rsidRPr="00554BF3">
        <w:rPr>
          <w:rFonts w:ascii="Times New Roman" w:hAnsi="Times New Roman" w:cs="Times New Roman"/>
          <w:bCs/>
          <w:sz w:val="24"/>
          <w:szCs w:val="24"/>
        </w:rPr>
        <w:t xml:space="preserve"> kdy ukládá pořádkovou pokutu útvar Policie </w:t>
      </w:r>
      <w:r w:rsidR="00027B8C">
        <w:rPr>
          <w:rFonts w:ascii="Times New Roman" w:hAnsi="Times New Roman" w:cs="Times New Roman"/>
          <w:bCs/>
          <w:sz w:val="24"/>
          <w:szCs w:val="24"/>
        </w:rPr>
        <w:t>České republiky</w:t>
      </w:r>
      <w:r w:rsidR="00027B8C" w:rsidDel="00027B8C">
        <w:rPr>
          <w:rFonts w:ascii="Times New Roman" w:hAnsi="Times New Roman" w:cs="Times New Roman"/>
          <w:bCs/>
          <w:sz w:val="24"/>
          <w:szCs w:val="24"/>
        </w:rPr>
        <w:t xml:space="preserve"> </w:t>
      </w:r>
      <w:r w:rsidR="008D3BBB">
        <w:rPr>
          <w:rFonts w:ascii="Times New Roman" w:hAnsi="Times New Roman" w:cs="Times New Roman"/>
          <w:bCs/>
          <w:sz w:val="24"/>
          <w:szCs w:val="24"/>
        </w:rPr>
        <w:t>a věc je v jiném členském státu EU ve fázi řízení před soudem</w:t>
      </w:r>
      <w:r>
        <w:rPr>
          <w:rFonts w:ascii="Times New Roman" w:hAnsi="Times New Roman" w:cs="Times New Roman"/>
          <w:bCs/>
          <w:sz w:val="24"/>
          <w:szCs w:val="24"/>
        </w:rPr>
        <w:t>, je příslušný soud</w:t>
      </w:r>
      <w:r w:rsidR="008D3BBB">
        <w:rPr>
          <w:rFonts w:ascii="Times New Roman" w:hAnsi="Times New Roman" w:cs="Times New Roman"/>
          <w:bCs/>
          <w:sz w:val="24"/>
          <w:szCs w:val="24"/>
        </w:rPr>
        <w:t xml:space="preserve">, který je nejblíže vyššího stupně </w:t>
      </w:r>
      <w:r w:rsidR="001E07AC">
        <w:rPr>
          <w:rFonts w:ascii="Times New Roman" w:hAnsi="Times New Roman" w:cs="Times New Roman"/>
          <w:bCs/>
          <w:sz w:val="24"/>
          <w:szCs w:val="24"/>
        </w:rPr>
        <w:t xml:space="preserve">ve vztahu k </w:t>
      </w:r>
      <w:r w:rsidR="008D3BBB">
        <w:rPr>
          <w:rFonts w:ascii="Times New Roman" w:hAnsi="Times New Roman" w:cs="Times New Roman"/>
          <w:bCs/>
          <w:sz w:val="24"/>
          <w:szCs w:val="24"/>
        </w:rPr>
        <w:t>soud</w:t>
      </w:r>
      <w:r w:rsidR="001E07AC">
        <w:rPr>
          <w:rFonts w:ascii="Times New Roman" w:hAnsi="Times New Roman" w:cs="Times New Roman"/>
          <w:bCs/>
          <w:sz w:val="24"/>
          <w:szCs w:val="24"/>
        </w:rPr>
        <w:t>u</w:t>
      </w:r>
      <w:r w:rsidR="008D3BBB">
        <w:rPr>
          <w:rFonts w:ascii="Times New Roman" w:hAnsi="Times New Roman" w:cs="Times New Roman"/>
          <w:bCs/>
          <w:sz w:val="24"/>
          <w:szCs w:val="24"/>
        </w:rPr>
        <w:t>, který vyslovil souhlas s příkazem, kterým se uznává a vykonává evropský uchovávací příkaz.</w:t>
      </w:r>
    </w:p>
    <w:p w14:paraId="7949BDAE" w14:textId="77777777" w:rsidR="00E867E8" w:rsidRDefault="00E867E8" w:rsidP="00A1611D">
      <w:pPr>
        <w:spacing w:before="120" w:after="0" w:line="240" w:lineRule="auto"/>
        <w:jc w:val="both"/>
        <w:rPr>
          <w:rFonts w:ascii="Times New Roman" w:hAnsi="Times New Roman" w:cs="Times New Roman"/>
          <w:b/>
          <w:sz w:val="24"/>
          <w:szCs w:val="24"/>
        </w:rPr>
      </w:pPr>
    </w:p>
    <w:p w14:paraId="29596413" w14:textId="3F5C5C97" w:rsidR="00EC0446" w:rsidRDefault="00457C37"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dílu 3</w:t>
      </w:r>
    </w:p>
    <w:p w14:paraId="57C389A7" w14:textId="7E333937" w:rsidR="00457C37" w:rsidRDefault="004737CD"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V tomto dílu je upraven postup pro případy, kdy české orgány činné v trestním řízení vydají evropský vydávací nebo uchovávací příkaz a jeho výkon je třeba zajistit v jiném členském státu EU.</w:t>
      </w:r>
      <w:r w:rsidR="00A86DBE">
        <w:rPr>
          <w:rFonts w:ascii="Times New Roman" w:hAnsi="Times New Roman" w:cs="Times New Roman"/>
          <w:bCs/>
          <w:sz w:val="24"/>
          <w:szCs w:val="24"/>
        </w:rPr>
        <w:t xml:space="preserve"> </w:t>
      </w:r>
      <w:r w:rsidR="004D5BA9">
        <w:rPr>
          <w:rFonts w:ascii="Times New Roman" w:hAnsi="Times New Roman" w:cs="Times New Roman"/>
          <w:bCs/>
          <w:sz w:val="24"/>
          <w:szCs w:val="24"/>
        </w:rPr>
        <w:t xml:space="preserve">Řeší se zejména otázka příslušnosti k vydání těchto příkazů, otázka úhrady nákladů, informování dotčené osoby aj. </w:t>
      </w:r>
    </w:p>
    <w:p w14:paraId="4E039221" w14:textId="77777777" w:rsidR="004D5BA9" w:rsidRDefault="004D5BA9" w:rsidP="00A1611D">
      <w:pPr>
        <w:spacing w:before="120" w:after="0" w:line="240" w:lineRule="auto"/>
        <w:jc w:val="both"/>
        <w:rPr>
          <w:rFonts w:ascii="Times New Roman" w:hAnsi="Times New Roman" w:cs="Times New Roman"/>
          <w:bCs/>
          <w:sz w:val="24"/>
          <w:szCs w:val="24"/>
        </w:rPr>
      </w:pPr>
    </w:p>
    <w:p w14:paraId="65576374" w14:textId="3453C538" w:rsidR="004D5BA9" w:rsidRDefault="00FD0289"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 402</w:t>
      </w:r>
    </w:p>
    <w:p w14:paraId="7E9E3920" w14:textId="233AB263" w:rsidR="00FD0289" w:rsidRDefault="00FD0289"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V tomto ustanovení se upravuje příslušnost českých orgánů k vydání evropského vydávacího příkazu, vydání osvědčení o vydání t</w:t>
      </w:r>
      <w:r w:rsidR="00B370CC">
        <w:rPr>
          <w:rFonts w:ascii="Times New Roman" w:hAnsi="Times New Roman" w:cs="Times New Roman"/>
          <w:bCs/>
          <w:sz w:val="24"/>
          <w:szCs w:val="24"/>
        </w:rPr>
        <w:t>ohoto</w:t>
      </w:r>
      <w:r>
        <w:rPr>
          <w:rFonts w:ascii="Times New Roman" w:hAnsi="Times New Roman" w:cs="Times New Roman"/>
          <w:bCs/>
          <w:sz w:val="24"/>
          <w:szCs w:val="24"/>
        </w:rPr>
        <w:t xml:space="preserve"> příkaz</w:t>
      </w:r>
      <w:r w:rsidR="00B370CC">
        <w:rPr>
          <w:rFonts w:ascii="Times New Roman" w:hAnsi="Times New Roman" w:cs="Times New Roman"/>
          <w:bCs/>
          <w:sz w:val="24"/>
          <w:szCs w:val="24"/>
        </w:rPr>
        <w:t>u</w:t>
      </w:r>
      <w:r>
        <w:rPr>
          <w:rFonts w:ascii="Times New Roman" w:hAnsi="Times New Roman" w:cs="Times New Roman"/>
          <w:bCs/>
          <w:sz w:val="24"/>
          <w:szCs w:val="24"/>
        </w:rPr>
        <w:t xml:space="preserve"> a k dalším úkonům. </w:t>
      </w:r>
    </w:p>
    <w:p w14:paraId="38DDBA1E" w14:textId="38D72D9D" w:rsidR="00187C3B" w:rsidRDefault="00D545CF" w:rsidP="00A1611D">
      <w:pPr>
        <w:spacing w:before="120"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bCs/>
          <w:sz w:val="24"/>
          <w:szCs w:val="24"/>
        </w:rPr>
        <w:t>N</w:t>
      </w:r>
      <w:r w:rsidR="00BD2483">
        <w:rPr>
          <w:rFonts w:ascii="Times New Roman" w:hAnsi="Times New Roman" w:cs="Times New Roman"/>
          <w:bCs/>
          <w:sz w:val="24"/>
          <w:szCs w:val="24"/>
        </w:rPr>
        <w:t xml:space="preserve">astavení příslušnosti </w:t>
      </w:r>
      <w:r w:rsidR="00B370CC">
        <w:rPr>
          <w:rFonts w:ascii="Times New Roman" w:hAnsi="Times New Roman" w:cs="Times New Roman"/>
          <w:bCs/>
          <w:sz w:val="24"/>
          <w:szCs w:val="24"/>
        </w:rPr>
        <w:t xml:space="preserve">k vydání </w:t>
      </w:r>
      <w:r w:rsidR="00BD2483">
        <w:rPr>
          <w:rFonts w:ascii="Times New Roman" w:hAnsi="Times New Roman" w:cs="Times New Roman"/>
          <w:bCs/>
          <w:sz w:val="24"/>
          <w:szCs w:val="24"/>
        </w:rPr>
        <w:t>evropského vydávacího příkazu zohledňuje skutečnost, že</w:t>
      </w:r>
      <w:r w:rsidR="00F50512">
        <w:rPr>
          <w:rFonts w:ascii="Times New Roman" w:hAnsi="Times New Roman" w:cs="Times New Roman"/>
          <w:bCs/>
          <w:sz w:val="24"/>
          <w:szCs w:val="24"/>
        </w:rPr>
        <w:t> </w:t>
      </w:r>
      <w:r w:rsidR="00667562">
        <w:rPr>
          <w:rFonts w:ascii="Times New Roman" w:hAnsi="Times New Roman" w:cs="Times New Roman"/>
          <w:bCs/>
          <w:sz w:val="24"/>
          <w:szCs w:val="24"/>
        </w:rPr>
        <w:t>n</w:t>
      </w:r>
      <w:r w:rsidR="00BD2483">
        <w:rPr>
          <w:rFonts w:ascii="Times New Roman" w:hAnsi="Times New Roman" w:cs="Times New Roman"/>
          <w:bCs/>
          <w:sz w:val="24"/>
          <w:szCs w:val="24"/>
        </w:rPr>
        <w:t xml:space="preserve">ařízení vymezuje kategorie dat poněkud odlišně než česká vnitrostátní úprava. Český trestní řád je totiž v některých směrech přísnější a požaduje soudní příkaz i </w:t>
      </w:r>
      <w:r w:rsidR="00187C3B">
        <w:rPr>
          <w:rFonts w:ascii="Times New Roman" w:hAnsi="Times New Roman" w:cs="Times New Roman"/>
          <w:bCs/>
          <w:sz w:val="24"/>
          <w:szCs w:val="24"/>
        </w:rPr>
        <w:t xml:space="preserve">tam, kde podle </w:t>
      </w:r>
      <w:r w:rsidR="00667562">
        <w:rPr>
          <w:rFonts w:ascii="Times New Roman" w:hAnsi="Times New Roman" w:cs="Times New Roman"/>
          <w:bCs/>
          <w:sz w:val="24"/>
          <w:szCs w:val="24"/>
        </w:rPr>
        <w:t>n</w:t>
      </w:r>
      <w:r w:rsidR="00187C3B">
        <w:rPr>
          <w:rFonts w:ascii="Times New Roman" w:hAnsi="Times New Roman" w:cs="Times New Roman"/>
          <w:bCs/>
          <w:sz w:val="24"/>
          <w:szCs w:val="24"/>
        </w:rPr>
        <w:t>ařízení postačí příkaz státního zástupce</w:t>
      </w:r>
      <w:r w:rsidR="00BD2483">
        <w:rPr>
          <w:rFonts w:ascii="Times New Roman" w:hAnsi="Times New Roman" w:cs="Times New Roman"/>
          <w:bCs/>
          <w:sz w:val="24"/>
          <w:szCs w:val="24"/>
        </w:rPr>
        <w:t xml:space="preserve">. </w:t>
      </w:r>
      <w:r w:rsidR="00187C3B">
        <w:rPr>
          <w:rFonts w:ascii="Times New Roman" w:hAnsi="Times New Roman" w:cs="Times New Roman"/>
          <w:bCs/>
          <w:sz w:val="24"/>
          <w:szCs w:val="24"/>
        </w:rPr>
        <w:t xml:space="preserve">Např. v případě ustanovení IP </w:t>
      </w:r>
      <w:r w:rsidR="00187C3B" w:rsidRPr="00187C3B">
        <w:rPr>
          <w:rFonts w:ascii="Times New Roman" w:hAnsi="Times New Roman" w:cs="Times New Roman"/>
          <w:bCs/>
          <w:sz w:val="24"/>
          <w:szCs w:val="24"/>
        </w:rPr>
        <w:t>adresy je v</w:t>
      </w:r>
      <w:r w:rsidR="00187C3B" w:rsidRPr="00187C3B">
        <w:rPr>
          <w:rFonts w:ascii="Times New Roman" w:eastAsia="Times New Roman" w:hAnsi="Times New Roman" w:cs="Times New Roman"/>
          <w:sz w:val="24"/>
          <w:szCs w:val="24"/>
          <w:lang w:eastAsia="cs-CZ"/>
        </w:rPr>
        <w:t xml:space="preserve"> první fázi osloven typicky poskytovatel služby informační společnosti, aby poskytl </w:t>
      </w:r>
      <w:r w:rsidR="00A86DBE">
        <w:rPr>
          <w:rFonts w:ascii="Times New Roman" w:eastAsia="Times New Roman" w:hAnsi="Times New Roman" w:cs="Times New Roman"/>
          <w:sz w:val="24"/>
          <w:szCs w:val="24"/>
          <w:lang w:eastAsia="cs-CZ"/>
        </w:rPr>
        <w:t>data</w:t>
      </w:r>
      <w:r w:rsidR="00187C3B" w:rsidRPr="00187C3B">
        <w:rPr>
          <w:rFonts w:ascii="Times New Roman" w:eastAsia="Times New Roman" w:hAnsi="Times New Roman" w:cs="Times New Roman"/>
          <w:sz w:val="24"/>
          <w:szCs w:val="24"/>
          <w:lang w:eastAsia="cs-CZ"/>
        </w:rPr>
        <w:t xml:space="preserve"> o IP adrese, z níž se v relevantní době uživatel přihlašoval k zájmové službě informační společnosti. V druhé fázi je IP adresa zjištěná v prvém kroku ustanovována u poskytovatele služby elektronických komunikací (u poskytovatele internetového připojení), jemuž j</w:t>
      </w:r>
      <w:r w:rsidR="00A86DBE">
        <w:rPr>
          <w:rFonts w:ascii="Times New Roman" w:eastAsia="Times New Roman" w:hAnsi="Times New Roman" w:cs="Times New Roman"/>
          <w:sz w:val="24"/>
          <w:szCs w:val="24"/>
          <w:lang w:eastAsia="cs-CZ"/>
        </w:rPr>
        <w:t>sou zaslána data</w:t>
      </w:r>
      <w:r w:rsidR="00187C3B" w:rsidRPr="00187C3B">
        <w:rPr>
          <w:rFonts w:ascii="Times New Roman" w:eastAsia="Times New Roman" w:hAnsi="Times New Roman" w:cs="Times New Roman"/>
          <w:sz w:val="24"/>
          <w:szCs w:val="24"/>
          <w:lang w:eastAsia="cs-CZ"/>
        </w:rPr>
        <w:t xml:space="preserve"> o IP adrese zjištěné v prv</w:t>
      </w:r>
      <w:r w:rsidR="00187C3B">
        <w:rPr>
          <w:rFonts w:ascii="Times New Roman" w:eastAsia="Times New Roman" w:hAnsi="Times New Roman" w:cs="Times New Roman"/>
          <w:sz w:val="24"/>
          <w:szCs w:val="24"/>
          <w:lang w:eastAsia="cs-CZ"/>
        </w:rPr>
        <w:t>ním</w:t>
      </w:r>
      <w:r w:rsidR="00187C3B" w:rsidRPr="00187C3B">
        <w:rPr>
          <w:rFonts w:ascii="Times New Roman" w:eastAsia="Times New Roman" w:hAnsi="Times New Roman" w:cs="Times New Roman"/>
          <w:sz w:val="24"/>
          <w:szCs w:val="24"/>
          <w:lang w:eastAsia="cs-CZ"/>
        </w:rPr>
        <w:t xml:space="preserve"> kroku s tím, že je žádáno o identifikaci účastníka služby přístupu k internetu. </w:t>
      </w:r>
      <w:r w:rsidR="00187C3B">
        <w:rPr>
          <w:rFonts w:ascii="Times New Roman" w:eastAsia="Times New Roman" w:hAnsi="Times New Roman" w:cs="Times New Roman"/>
          <w:sz w:val="24"/>
          <w:szCs w:val="24"/>
          <w:lang w:eastAsia="cs-CZ"/>
        </w:rPr>
        <w:t xml:space="preserve">Podle </w:t>
      </w:r>
      <w:r w:rsidR="00667562">
        <w:rPr>
          <w:rFonts w:ascii="Times New Roman" w:eastAsia="Times New Roman" w:hAnsi="Times New Roman" w:cs="Times New Roman"/>
          <w:sz w:val="24"/>
          <w:szCs w:val="24"/>
          <w:lang w:eastAsia="cs-CZ"/>
        </w:rPr>
        <w:t>n</w:t>
      </w:r>
      <w:r w:rsidR="00187C3B">
        <w:rPr>
          <w:rFonts w:ascii="Times New Roman" w:eastAsia="Times New Roman" w:hAnsi="Times New Roman" w:cs="Times New Roman"/>
          <w:sz w:val="24"/>
          <w:szCs w:val="24"/>
          <w:lang w:eastAsia="cs-CZ"/>
        </w:rPr>
        <w:t xml:space="preserve">ařízení jde v první fázi o dotaz na </w:t>
      </w:r>
      <w:r w:rsidR="00A86DBE">
        <w:rPr>
          <w:rFonts w:ascii="Times New Roman" w:eastAsia="Times New Roman" w:hAnsi="Times New Roman" w:cs="Times New Roman"/>
          <w:sz w:val="24"/>
          <w:szCs w:val="24"/>
          <w:lang w:eastAsia="cs-CZ"/>
        </w:rPr>
        <w:t>data</w:t>
      </w:r>
      <w:r w:rsidR="00187C3B">
        <w:rPr>
          <w:rFonts w:ascii="Times New Roman" w:eastAsia="Times New Roman" w:hAnsi="Times New Roman" w:cs="Times New Roman"/>
          <w:sz w:val="24"/>
          <w:szCs w:val="24"/>
          <w:lang w:eastAsia="cs-CZ"/>
        </w:rPr>
        <w:t xml:space="preserve"> požadovan</w:t>
      </w:r>
      <w:r w:rsidR="00A86DBE">
        <w:rPr>
          <w:rFonts w:ascii="Times New Roman" w:eastAsia="Times New Roman" w:hAnsi="Times New Roman" w:cs="Times New Roman"/>
          <w:sz w:val="24"/>
          <w:szCs w:val="24"/>
          <w:lang w:eastAsia="cs-CZ"/>
        </w:rPr>
        <w:t>á</w:t>
      </w:r>
      <w:r w:rsidR="00187C3B">
        <w:rPr>
          <w:rFonts w:ascii="Times New Roman" w:eastAsia="Times New Roman" w:hAnsi="Times New Roman" w:cs="Times New Roman"/>
          <w:sz w:val="24"/>
          <w:szCs w:val="24"/>
          <w:lang w:eastAsia="cs-CZ"/>
        </w:rPr>
        <w:t xml:space="preserve"> výhradně za účelem identifikace uživatele (nejde-li o dotaz, v jehož rámci jsou žádán</w:t>
      </w:r>
      <w:r w:rsidR="00A86DBE">
        <w:rPr>
          <w:rFonts w:ascii="Times New Roman" w:eastAsia="Times New Roman" w:hAnsi="Times New Roman" w:cs="Times New Roman"/>
          <w:sz w:val="24"/>
          <w:szCs w:val="24"/>
          <w:lang w:eastAsia="cs-CZ"/>
        </w:rPr>
        <w:t>a</w:t>
      </w:r>
      <w:r w:rsidR="00187C3B">
        <w:rPr>
          <w:rFonts w:ascii="Times New Roman" w:eastAsia="Times New Roman" w:hAnsi="Times New Roman" w:cs="Times New Roman"/>
          <w:sz w:val="24"/>
          <w:szCs w:val="24"/>
          <w:lang w:eastAsia="cs-CZ"/>
        </w:rPr>
        <w:t xml:space="preserve"> i provozní </w:t>
      </w:r>
      <w:r w:rsidR="00A86DBE">
        <w:rPr>
          <w:rFonts w:ascii="Times New Roman" w:eastAsia="Times New Roman" w:hAnsi="Times New Roman" w:cs="Times New Roman"/>
          <w:sz w:val="24"/>
          <w:szCs w:val="24"/>
          <w:lang w:eastAsia="cs-CZ"/>
        </w:rPr>
        <w:t>data</w:t>
      </w:r>
      <w:r w:rsidR="00187C3B">
        <w:rPr>
          <w:rFonts w:ascii="Times New Roman" w:eastAsia="Times New Roman" w:hAnsi="Times New Roman" w:cs="Times New Roman"/>
          <w:sz w:val="24"/>
          <w:szCs w:val="24"/>
          <w:lang w:eastAsia="cs-CZ"/>
        </w:rPr>
        <w:t xml:space="preserve">) a není vyžadován soudní příkaz. V druhé fázi jde pak o dotaz na </w:t>
      </w:r>
      <w:r w:rsidR="00A86DBE">
        <w:rPr>
          <w:rFonts w:ascii="Times New Roman" w:eastAsia="Times New Roman" w:hAnsi="Times New Roman" w:cs="Times New Roman"/>
          <w:sz w:val="24"/>
          <w:szCs w:val="24"/>
          <w:lang w:eastAsia="cs-CZ"/>
        </w:rPr>
        <w:t>data</w:t>
      </w:r>
      <w:r w:rsidR="00187C3B">
        <w:rPr>
          <w:rFonts w:ascii="Times New Roman" w:eastAsia="Times New Roman" w:hAnsi="Times New Roman" w:cs="Times New Roman"/>
          <w:sz w:val="24"/>
          <w:szCs w:val="24"/>
          <w:lang w:eastAsia="cs-CZ"/>
        </w:rPr>
        <w:t xml:space="preserve"> o účastníkovi a rovněž není vyžadován soudní příkaz. Podle české právní úpravy jde v první fázi o </w:t>
      </w:r>
      <w:r w:rsidR="00A86DBE">
        <w:rPr>
          <w:rFonts w:ascii="Times New Roman" w:eastAsia="Times New Roman" w:hAnsi="Times New Roman" w:cs="Times New Roman"/>
          <w:sz w:val="24"/>
          <w:szCs w:val="24"/>
          <w:lang w:eastAsia="cs-CZ"/>
        </w:rPr>
        <w:t>data</w:t>
      </w:r>
      <w:r w:rsidR="00187C3B">
        <w:rPr>
          <w:rFonts w:ascii="Times New Roman" w:eastAsia="Times New Roman" w:hAnsi="Times New Roman" w:cs="Times New Roman"/>
          <w:sz w:val="24"/>
          <w:szCs w:val="24"/>
          <w:lang w:eastAsia="cs-CZ"/>
        </w:rPr>
        <w:t xml:space="preserve">, pro jejichž zjištění není vyžadován soudní příkaz, byť v některých případech může být i zde zapotřebí (§ 8 odst. 1 a 5 tr. ř.). V druhé fázi však jde o </w:t>
      </w:r>
      <w:r w:rsidR="00A86DBE">
        <w:rPr>
          <w:rFonts w:ascii="Times New Roman" w:eastAsia="Times New Roman" w:hAnsi="Times New Roman" w:cs="Times New Roman"/>
          <w:sz w:val="24"/>
          <w:szCs w:val="24"/>
          <w:lang w:eastAsia="cs-CZ"/>
        </w:rPr>
        <w:t>data</w:t>
      </w:r>
      <w:r w:rsidR="00187C3B">
        <w:rPr>
          <w:rFonts w:ascii="Times New Roman" w:eastAsia="Times New Roman" w:hAnsi="Times New Roman" w:cs="Times New Roman"/>
          <w:sz w:val="24"/>
          <w:szCs w:val="24"/>
          <w:lang w:eastAsia="cs-CZ"/>
        </w:rPr>
        <w:t xml:space="preserve"> vyžadovan</w:t>
      </w:r>
      <w:r w:rsidR="00A86DBE">
        <w:rPr>
          <w:rFonts w:ascii="Times New Roman" w:eastAsia="Times New Roman" w:hAnsi="Times New Roman" w:cs="Times New Roman"/>
          <w:sz w:val="24"/>
          <w:szCs w:val="24"/>
          <w:lang w:eastAsia="cs-CZ"/>
        </w:rPr>
        <w:t>á</w:t>
      </w:r>
      <w:r w:rsidR="00187C3B">
        <w:rPr>
          <w:rFonts w:ascii="Times New Roman" w:eastAsia="Times New Roman" w:hAnsi="Times New Roman" w:cs="Times New Roman"/>
          <w:sz w:val="24"/>
          <w:szCs w:val="24"/>
          <w:lang w:eastAsia="cs-CZ"/>
        </w:rPr>
        <w:t xml:space="preserve"> v režimu § 88a tr. ř. a je třeba soudní příkaz. </w:t>
      </w:r>
      <w:r w:rsidR="00650041">
        <w:rPr>
          <w:rFonts w:ascii="Times New Roman" w:eastAsia="Times New Roman" w:hAnsi="Times New Roman" w:cs="Times New Roman"/>
          <w:sz w:val="24"/>
          <w:szCs w:val="24"/>
          <w:lang w:eastAsia="cs-CZ"/>
        </w:rPr>
        <w:t xml:space="preserve">V některých případech je naopak </w:t>
      </w:r>
      <w:r w:rsidR="008B0B16">
        <w:rPr>
          <w:rFonts w:ascii="Times New Roman" w:eastAsia="Times New Roman" w:hAnsi="Times New Roman" w:cs="Times New Roman"/>
          <w:sz w:val="24"/>
          <w:szCs w:val="24"/>
          <w:lang w:eastAsia="cs-CZ"/>
        </w:rPr>
        <w:t xml:space="preserve">nařízení </w:t>
      </w:r>
      <w:r w:rsidR="00650041">
        <w:rPr>
          <w:rFonts w:ascii="Times New Roman" w:eastAsia="Times New Roman" w:hAnsi="Times New Roman" w:cs="Times New Roman"/>
          <w:sz w:val="24"/>
          <w:szCs w:val="24"/>
          <w:lang w:eastAsia="cs-CZ"/>
        </w:rPr>
        <w:t>přísnější.</w:t>
      </w:r>
    </w:p>
    <w:p w14:paraId="56710A4C" w14:textId="4C64AC70" w:rsidR="00BD2483" w:rsidRPr="00BD2483" w:rsidRDefault="007C7183" w:rsidP="00A1611D">
      <w:pPr>
        <w:spacing w:before="120"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bCs/>
          <w:sz w:val="24"/>
          <w:szCs w:val="24"/>
        </w:rPr>
        <w:t xml:space="preserve">S ohledem na princip, že </w:t>
      </w:r>
      <w:r w:rsidR="00BD2483">
        <w:rPr>
          <w:rFonts w:ascii="Times New Roman" w:hAnsi="Times New Roman" w:cs="Times New Roman"/>
          <w:bCs/>
          <w:sz w:val="24"/>
          <w:szCs w:val="24"/>
        </w:rPr>
        <w:t xml:space="preserve">by důkazy pro účely trestního řízení vedeného v České republice měly být získávány, pokud možno, za shodných podmínek a při dodržení stejných </w:t>
      </w:r>
      <w:r w:rsidR="00FE5F16">
        <w:rPr>
          <w:rFonts w:ascii="Times New Roman" w:hAnsi="Times New Roman" w:cs="Times New Roman"/>
          <w:bCs/>
          <w:sz w:val="24"/>
          <w:szCs w:val="24"/>
        </w:rPr>
        <w:t xml:space="preserve">právních </w:t>
      </w:r>
      <w:r w:rsidR="00BD2483">
        <w:rPr>
          <w:rFonts w:ascii="Times New Roman" w:hAnsi="Times New Roman" w:cs="Times New Roman"/>
          <w:bCs/>
          <w:sz w:val="24"/>
          <w:szCs w:val="24"/>
        </w:rPr>
        <w:t>záruk, navržená úprava požaduje soudní p</w:t>
      </w:r>
      <w:r w:rsidR="007238ED">
        <w:rPr>
          <w:rFonts w:ascii="Times New Roman" w:hAnsi="Times New Roman" w:cs="Times New Roman"/>
          <w:bCs/>
          <w:sz w:val="24"/>
          <w:szCs w:val="24"/>
        </w:rPr>
        <w:t>otvrzení příkazu vydaného státním zástupcem</w:t>
      </w:r>
      <w:r w:rsidR="00BD2483">
        <w:rPr>
          <w:rFonts w:ascii="Times New Roman" w:hAnsi="Times New Roman" w:cs="Times New Roman"/>
          <w:bCs/>
          <w:sz w:val="24"/>
          <w:szCs w:val="24"/>
        </w:rPr>
        <w:t xml:space="preserve"> ve všech případech, kdy </w:t>
      </w:r>
      <w:r w:rsidR="007238ED">
        <w:rPr>
          <w:rFonts w:ascii="Times New Roman" w:hAnsi="Times New Roman" w:cs="Times New Roman"/>
          <w:bCs/>
          <w:sz w:val="24"/>
          <w:szCs w:val="24"/>
        </w:rPr>
        <w:t xml:space="preserve">soudní příkaz vyžaduje </w:t>
      </w:r>
      <w:r w:rsidR="00BD2483">
        <w:rPr>
          <w:rFonts w:ascii="Times New Roman" w:hAnsi="Times New Roman" w:cs="Times New Roman"/>
          <w:bCs/>
          <w:sz w:val="24"/>
          <w:szCs w:val="24"/>
        </w:rPr>
        <w:t xml:space="preserve">pro vnitrostátní případy trestní řád, </w:t>
      </w:r>
      <w:r w:rsidR="00FE5F16">
        <w:rPr>
          <w:rFonts w:ascii="Times New Roman" w:hAnsi="Times New Roman" w:cs="Times New Roman"/>
          <w:bCs/>
          <w:sz w:val="24"/>
          <w:szCs w:val="24"/>
        </w:rPr>
        <w:t>tj.</w:t>
      </w:r>
      <w:r w:rsidR="00BD2483">
        <w:rPr>
          <w:rFonts w:ascii="Times New Roman" w:hAnsi="Times New Roman" w:cs="Times New Roman"/>
          <w:bCs/>
          <w:sz w:val="24"/>
          <w:szCs w:val="24"/>
        </w:rPr>
        <w:t xml:space="preserve"> i tehdy, pokud by podle </w:t>
      </w:r>
      <w:r w:rsidR="00667562">
        <w:rPr>
          <w:rFonts w:ascii="Times New Roman" w:hAnsi="Times New Roman" w:cs="Times New Roman"/>
          <w:bCs/>
          <w:sz w:val="24"/>
          <w:szCs w:val="24"/>
        </w:rPr>
        <w:t>n</w:t>
      </w:r>
      <w:r w:rsidR="00BD2483">
        <w:rPr>
          <w:rFonts w:ascii="Times New Roman" w:hAnsi="Times New Roman" w:cs="Times New Roman"/>
          <w:bCs/>
          <w:sz w:val="24"/>
          <w:szCs w:val="24"/>
        </w:rPr>
        <w:t>ařízení postačil příkaz státního zástupce.</w:t>
      </w:r>
      <w:r w:rsidR="00FE5F16">
        <w:rPr>
          <w:rFonts w:ascii="Times New Roman" w:hAnsi="Times New Roman" w:cs="Times New Roman"/>
          <w:bCs/>
          <w:sz w:val="24"/>
          <w:szCs w:val="24"/>
        </w:rPr>
        <w:t xml:space="preserve"> </w:t>
      </w:r>
      <w:r w:rsidR="00BD2483">
        <w:rPr>
          <w:rFonts w:ascii="Times New Roman" w:eastAsia="Times New Roman" w:hAnsi="Times New Roman" w:cs="Times New Roman"/>
          <w:sz w:val="24"/>
          <w:szCs w:val="24"/>
          <w:lang w:eastAsia="cs-CZ"/>
        </w:rPr>
        <w:t xml:space="preserve">Navržená úprava koresponduje s </w:t>
      </w:r>
      <w:r w:rsidR="00BD2483" w:rsidRPr="00BD2483">
        <w:rPr>
          <w:rFonts w:ascii="Times New Roman" w:eastAsia="Times New Roman" w:hAnsi="Times New Roman" w:cs="Times New Roman"/>
          <w:sz w:val="24"/>
          <w:szCs w:val="24"/>
          <w:lang w:eastAsia="cs-CZ"/>
        </w:rPr>
        <w:t>čl</w:t>
      </w:r>
      <w:r w:rsidR="00AF0905">
        <w:rPr>
          <w:rFonts w:ascii="Times New Roman" w:eastAsia="Times New Roman" w:hAnsi="Times New Roman" w:cs="Times New Roman"/>
          <w:sz w:val="24"/>
          <w:szCs w:val="24"/>
          <w:lang w:eastAsia="cs-CZ"/>
        </w:rPr>
        <w:t>ánkem</w:t>
      </w:r>
      <w:r w:rsidR="00BD2483" w:rsidRPr="00BD2483">
        <w:rPr>
          <w:rFonts w:ascii="Times New Roman" w:eastAsia="Times New Roman" w:hAnsi="Times New Roman" w:cs="Times New Roman"/>
          <w:sz w:val="24"/>
          <w:szCs w:val="24"/>
          <w:lang w:eastAsia="cs-CZ"/>
        </w:rPr>
        <w:t xml:space="preserve"> 5 odst. 2 </w:t>
      </w:r>
      <w:r w:rsidR="00667562">
        <w:rPr>
          <w:rFonts w:ascii="Times New Roman" w:eastAsia="Times New Roman" w:hAnsi="Times New Roman" w:cs="Times New Roman"/>
          <w:sz w:val="24"/>
          <w:szCs w:val="24"/>
          <w:lang w:eastAsia="cs-CZ"/>
        </w:rPr>
        <w:t>n</w:t>
      </w:r>
      <w:r w:rsidR="00BD2483" w:rsidRPr="00BD2483">
        <w:rPr>
          <w:rFonts w:ascii="Times New Roman" w:eastAsia="Times New Roman" w:hAnsi="Times New Roman" w:cs="Times New Roman"/>
          <w:sz w:val="24"/>
          <w:szCs w:val="24"/>
          <w:lang w:eastAsia="cs-CZ"/>
        </w:rPr>
        <w:t>ařízení</w:t>
      </w:r>
      <w:r w:rsidR="00BD2483">
        <w:rPr>
          <w:rFonts w:ascii="Times New Roman" w:eastAsia="Times New Roman" w:hAnsi="Times New Roman" w:cs="Times New Roman"/>
          <w:sz w:val="24"/>
          <w:szCs w:val="24"/>
          <w:lang w:eastAsia="cs-CZ"/>
        </w:rPr>
        <w:t>, který</w:t>
      </w:r>
      <w:r w:rsidR="00BD2483" w:rsidRPr="00BD2483">
        <w:rPr>
          <w:rFonts w:ascii="Times New Roman" w:eastAsia="Times New Roman" w:hAnsi="Times New Roman" w:cs="Times New Roman"/>
          <w:sz w:val="24"/>
          <w:szCs w:val="24"/>
          <w:lang w:eastAsia="cs-CZ"/>
        </w:rPr>
        <w:t xml:space="preserve"> mj. předpokládá, že evropský vydávací příkaz „[…] </w:t>
      </w:r>
      <w:r w:rsidR="00BD2483" w:rsidRPr="00BD2483">
        <w:rPr>
          <w:rFonts w:ascii="Times New Roman" w:eastAsia="Times New Roman" w:hAnsi="Times New Roman" w:cs="Times New Roman"/>
          <w:i/>
          <w:iCs/>
          <w:sz w:val="24"/>
          <w:szCs w:val="24"/>
          <w:lang w:eastAsia="cs-CZ"/>
        </w:rPr>
        <w:t xml:space="preserve">může být vydán pouze tehdy, pokud by podobný příkaz mohl být vydán </w:t>
      </w:r>
      <w:r w:rsidR="00BD2483" w:rsidRPr="00BD2483">
        <w:rPr>
          <w:rFonts w:ascii="Times New Roman" w:eastAsia="Times New Roman" w:hAnsi="Times New Roman" w:cs="Times New Roman"/>
          <w:i/>
          <w:iCs/>
          <w:sz w:val="24"/>
          <w:szCs w:val="24"/>
          <w:u w:val="single"/>
          <w:lang w:eastAsia="cs-CZ"/>
        </w:rPr>
        <w:t>za stejných podmínek</w:t>
      </w:r>
      <w:r w:rsidR="00BD2483" w:rsidRPr="00BD2483">
        <w:rPr>
          <w:rFonts w:ascii="Times New Roman" w:eastAsia="Times New Roman" w:hAnsi="Times New Roman" w:cs="Times New Roman"/>
          <w:i/>
          <w:iCs/>
          <w:sz w:val="24"/>
          <w:szCs w:val="24"/>
          <w:lang w:eastAsia="cs-CZ"/>
        </w:rPr>
        <w:t xml:space="preserve"> v obdobném vnitrostátním případě</w:t>
      </w:r>
      <w:r w:rsidR="00BD2483" w:rsidRPr="00BD2483">
        <w:rPr>
          <w:rFonts w:ascii="Times New Roman" w:eastAsia="Times New Roman" w:hAnsi="Times New Roman" w:cs="Times New Roman"/>
          <w:sz w:val="24"/>
          <w:szCs w:val="24"/>
          <w:lang w:eastAsia="cs-CZ"/>
        </w:rPr>
        <w:t xml:space="preserve">.“ </w:t>
      </w:r>
    </w:p>
    <w:p w14:paraId="49A4E2F8" w14:textId="1EA73EFB" w:rsidR="00BD2483" w:rsidRPr="00D833CB" w:rsidRDefault="00D57DD0" w:rsidP="00A1611D">
      <w:pPr>
        <w:spacing w:before="120"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cs-CZ"/>
        </w:rPr>
        <w:t>Navrhuje se obdobná konstrukce jako u evropského vyšetřovacího příkazu, tj. nevyžaduje se, aby soudce v přípravném řízení příkaz přímo vydal, ale požaduje se, aby příkaz vydaný státním zástupcem potvrdil. Pokud by soudce byl přímo orgánem vydávající</w:t>
      </w:r>
      <w:r w:rsidR="00B370CC">
        <w:rPr>
          <w:rFonts w:ascii="Times New Roman" w:eastAsia="Times New Roman" w:hAnsi="Times New Roman" w:cs="Times New Roman"/>
          <w:sz w:val="24"/>
          <w:szCs w:val="24"/>
          <w:lang w:eastAsia="cs-CZ"/>
        </w:rPr>
        <w:t>m</w:t>
      </w:r>
      <w:r>
        <w:rPr>
          <w:rFonts w:ascii="Times New Roman" w:eastAsia="Times New Roman" w:hAnsi="Times New Roman" w:cs="Times New Roman"/>
          <w:sz w:val="24"/>
          <w:szCs w:val="24"/>
          <w:lang w:eastAsia="cs-CZ"/>
        </w:rPr>
        <w:t xml:space="preserve"> příkaz, měl by pak všechny povinnosti vydávajícího orgánu podle </w:t>
      </w:r>
      <w:r w:rsidR="00667562">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 xml:space="preserve">ařízení, tj. vyplňoval by i formulář osvědčení, příkaz by zasílal do jiného členského státu EU, poskytoval by doplňkové informace aj., což neodpovídá jeho roli v přípravném řízení. </w:t>
      </w:r>
      <w:r w:rsidR="00802AD7">
        <w:rPr>
          <w:rFonts w:ascii="Times New Roman" w:eastAsia="Times New Roman" w:hAnsi="Times New Roman" w:cs="Times New Roman"/>
          <w:sz w:val="24"/>
          <w:szCs w:val="24"/>
          <w:lang w:eastAsia="cs-CZ"/>
        </w:rPr>
        <w:t xml:space="preserve">Ostatně </w:t>
      </w:r>
      <w:r w:rsidR="00094F7A">
        <w:rPr>
          <w:rFonts w:ascii="Times New Roman" w:eastAsia="Times New Roman" w:hAnsi="Times New Roman" w:cs="Times New Roman"/>
          <w:sz w:val="24"/>
          <w:szCs w:val="24"/>
          <w:lang w:eastAsia="cs-CZ"/>
        </w:rPr>
        <w:t xml:space="preserve">pouhé </w:t>
      </w:r>
      <w:r w:rsidR="00802AD7">
        <w:rPr>
          <w:rFonts w:ascii="Times New Roman" w:eastAsia="Times New Roman" w:hAnsi="Times New Roman" w:cs="Times New Roman"/>
          <w:sz w:val="24"/>
          <w:szCs w:val="24"/>
          <w:lang w:eastAsia="cs-CZ"/>
        </w:rPr>
        <w:t xml:space="preserve">potvrzení soudcem </w:t>
      </w:r>
      <w:r w:rsidR="00094F7A">
        <w:rPr>
          <w:rFonts w:ascii="Times New Roman" w:eastAsia="Times New Roman" w:hAnsi="Times New Roman" w:cs="Times New Roman"/>
          <w:sz w:val="24"/>
          <w:szCs w:val="24"/>
          <w:lang w:eastAsia="cs-CZ"/>
        </w:rPr>
        <w:t>považuje za</w:t>
      </w:r>
      <w:r w:rsidR="00F50512">
        <w:rPr>
          <w:rFonts w:ascii="Times New Roman" w:eastAsia="Times New Roman" w:hAnsi="Times New Roman" w:cs="Times New Roman"/>
          <w:sz w:val="24"/>
          <w:szCs w:val="24"/>
          <w:lang w:eastAsia="cs-CZ"/>
        </w:rPr>
        <w:t> </w:t>
      </w:r>
      <w:r w:rsidR="00094F7A">
        <w:rPr>
          <w:rFonts w:ascii="Times New Roman" w:eastAsia="Times New Roman" w:hAnsi="Times New Roman" w:cs="Times New Roman"/>
          <w:sz w:val="24"/>
          <w:szCs w:val="24"/>
          <w:lang w:eastAsia="cs-CZ"/>
        </w:rPr>
        <w:t xml:space="preserve">dostatečné </w:t>
      </w:r>
      <w:r w:rsidR="00802AD7">
        <w:rPr>
          <w:rFonts w:ascii="Times New Roman" w:eastAsia="Times New Roman" w:hAnsi="Times New Roman" w:cs="Times New Roman"/>
          <w:sz w:val="24"/>
          <w:szCs w:val="24"/>
          <w:lang w:eastAsia="cs-CZ"/>
        </w:rPr>
        <w:t>i čl</w:t>
      </w:r>
      <w:r w:rsidR="00AF0905">
        <w:rPr>
          <w:rFonts w:ascii="Times New Roman" w:eastAsia="Times New Roman" w:hAnsi="Times New Roman" w:cs="Times New Roman"/>
          <w:sz w:val="24"/>
          <w:szCs w:val="24"/>
          <w:lang w:eastAsia="cs-CZ"/>
        </w:rPr>
        <w:t>ánek</w:t>
      </w:r>
      <w:r w:rsidR="00802AD7">
        <w:rPr>
          <w:rFonts w:ascii="Times New Roman" w:eastAsia="Times New Roman" w:hAnsi="Times New Roman" w:cs="Times New Roman"/>
          <w:sz w:val="24"/>
          <w:szCs w:val="24"/>
          <w:lang w:eastAsia="cs-CZ"/>
        </w:rPr>
        <w:t xml:space="preserve"> 4 odst. 2 písm. b) </w:t>
      </w:r>
      <w:r w:rsidR="00667562">
        <w:rPr>
          <w:rFonts w:ascii="Times New Roman" w:eastAsia="Times New Roman" w:hAnsi="Times New Roman" w:cs="Times New Roman"/>
          <w:sz w:val="24"/>
          <w:szCs w:val="24"/>
          <w:lang w:eastAsia="cs-CZ"/>
        </w:rPr>
        <w:t>n</w:t>
      </w:r>
      <w:r w:rsidR="00802AD7">
        <w:rPr>
          <w:rFonts w:ascii="Times New Roman" w:eastAsia="Times New Roman" w:hAnsi="Times New Roman" w:cs="Times New Roman"/>
          <w:sz w:val="24"/>
          <w:szCs w:val="24"/>
          <w:lang w:eastAsia="cs-CZ"/>
        </w:rPr>
        <w:t xml:space="preserve">ařízení. </w:t>
      </w:r>
    </w:p>
    <w:p w14:paraId="71D304E4" w14:textId="0AD9D4B8" w:rsidR="006F6108" w:rsidRDefault="006F6108"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Ve zbylých případech pak příkaz </w:t>
      </w:r>
      <w:r w:rsidR="00FC1FEB">
        <w:rPr>
          <w:rFonts w:ascii="Times New Roman" w:hAnsi="Times New Roman" w:cs="Times New Roman"/>
          <w:bCs/>
          <w:sz w:val="24"/>
          <w:szCs w:val="24"/>
        </w:rPr>
        <w:t xml:space="preserve">v přípravném řízení </w:t>
      </w:r>
      <w:r>
        <w:rPr>
          <w:rFonts w:ascii="Times New Roman" w:hAnsi="Times New Roman" w:cs="Times New Roman"/>
          <w:bCs/>
          <w:sz w:val="24"/>
          <w:szCs w:val="24"/>
        </w:rPr>
        <w:t>může vydat státní zástupce nebo policejní orgán činný v trestním řízení, stejně jako podle vnitrostátní právní úpravy.</w:t>
      </w:r>
    </w:p>
    <w:p w14:paraId="2C9C6D4B" w14:textId="408E0CA1" w:rsidR="00BD2483" w:rsidRDefault="001D0E9F"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 odstavci 3 se provádí </w:t>
      </w:r>
      <w:r w:rsidR="00AF0905">
        <w:rPr>
          <w:rFonts w:ascii="Times New Roman" w:eastAsia="Times New Roman" w:hAnsi="Times New Roman" w:cs="Times New Roman"/>
          <w:sz w:val="24"/>
          <w:szCs w:val="24"/>
          <w:lang w:eastAsia="cs-CZ"/>
        </w:rPr>
        <w:t xml:space="preserve">článek </w:t>
      </w:r>
      <w:r>
        <w:rPr>
          <w:rFonts w:ascii="Times New Roman" w:hAnsi="Times New Roman" w:cs="Times New Roman"/>
          <w:bCs/>
          <w:sz w:val="24"/>
          <w:szCs w:val="24"/>
        </w:rPr>
        <w:t xml:space="preserve">4 odst. 5 </w:t>
      </w:r>
      <w:r w:rsidR="00667562">
        <w:rPr>
          <w:rFonts w:ascii="Times New Roman" w:hAnsi="Times New Roman" w:cs="Times New Roman"/>
          <w:bCs/>
          <w:sz w:val="24"/>
          <w:szCs w:val="24"/>
        </w:rPr>
        <w:t>n</w:t>
      </w:r>
      <w:r>
        <w:rPr>
          <w:rFonts w:ascii="Times New Roman" w:hAnsi="Times New Roman" w:cs="Times New Roman"/>
          <w:bCs/>
          <w:sz w:val="24"/>
          <w:szCs w:val="24"/>
        </w:rPr>
        <w:t xml:space="preserve">ařízení, který se přizpůsobuje přísnější adaptační úpravě, tj. úprava je omezena na případy, kdy </w:t>
      </w:r>
      <w:r w:rsidR="00FC456A">
        <w:rPr>
          <w:rFonts w:ascii="Times New Roman" w:hAnsi="Times New Roman" w:cs="Times New Roman"/>
          <w:bCs/>
          <w:sz w:val="24"/>
          <w:szCs w:val="24"/>
        </w:rPr>
        <w:t xml:space="preserve">podle trestního řádu </w:t>
      </w:r>
      <w:r>
        <w:rPr>
          <w:rFonts w:ascii="Times New Roman" w:hAnsi="Times New Roman" w:cs="Times New Roman"/>
          <w:bCs/>
          <w:sz w:val="24"/>
          <w:szCs w:val="24"/>
        </w:rPr>
        <w:t>může příkaz vydat policejní orgán.</w:t>
      </w:r>
    </w:p>
    <w:p w14:paraId="696FA22F" w14:textId="24874D13" w:rsidR="00B370CC" w:rsidRDefault="00B370CC"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Vzhledem k tomu, že adresátovi se neposílá samotný </w:t>
      </w:r>
      <w:r w:rsidR="00FC456A">
        <w:rPr>
          <w:rFonts w:ascii="Times New Roman" w:hAnsi="Times New Roman" w:cs="Times New Roman"/>
          <w:bCs/>
          <w:sz w:val="24"/>
          <w:szCs w:val="24"/>
        </w:rPr>
        <w:t xml:space="preserve">evropský vydávací </w:t>
      </w:r>
      <w:r>
        <w:rPr>
          <w:rFonts w:ascii="Times New Roman" w:hAnsi="Times New Roman" w:cs="Times New Roman"/>
          <w:bCs/>
          <w:sz w:val="24"/>
          <w:szCs w:val="24"/>
        </w:rPr>
        <w:t>příkaz, ale pouze osvědčení, jehož formulář je obsažen v</w:t>
      </w:r>
      <w:r w:rsidR="00FC456A">
        <w:rPr>
          <w:rFonts w:ascii="Times New Roman" w:hAnsi="Times New Roman" w:cs="Times New Roman"/>
          <w:bCs/>
          <w:sz w:val="24"/>
          <w:szCs w:val="24"/>
        </w:rPr>
        <w:t> </w:t>
      </w:r>
      <w:r>
        <w:rPr>
          <w:rFonts w:ascii="Times New Roman" w:hAnsi="Times New Roman" w:cs="Times New Roman"/>
          <w:bCs/>
          <w:sz w:val="24"/>
          <w:szCs w:val="24"/>
        </w:rPr>
        <w:t>přílo</w:t>
      </w:r>
      <w:r w:rsidR="00FC456A">
        <w:rPr>
          <w:rFonts w:ascii="Times New Roman" w:hAnsi="Times New Roman" w:cs="Times New Roman"/>
          <w:bCs/>
          <w:sz w:val="24"/>
          <w:szCs w:val="24"/>
        </w:rPr>
        <w:t xml:space="preserve">ze I </w:t>
      </w:r>
      <w:r w:rsidR="00667562">
        <w:rPr>
          <w:rFonts w:ascii="Times New Roman" w:hAnsi="Times New Roman" w:cs="Times New Roman"/>
          <w:bCs/>
          <w:sz w:val="24"/>
          <w:szCs w:val="24"/>
        </w:rPr>
        <w:t>n</w:t>
      </w:r>
      <w:r>
        <w:rPr>
          <w:rFonts w:ascii="Times New Roman" w:hAnsi="Times New Roman" w:cs="Times New Roman"/>
          <w:bCs/>
          <w:sz w:val="24"/>
          <w:szCs w:val="24"/>
        </w:rPr>
        <w:t xml:space="preserve">ařízení, stanoví se pro vyplnění osvědčení shodná příslušnost jako pro vydání příkazu. </w:t>
      </w:r>
      <w:r w:rsidR="00D95E66">
        <w:rPr>
          <w:rFonts w:ascii="Times New Roman" w:hAnsi="Times New Roman" w:cs="Times New Roman"/>
          <w:bCs/>
          <w:sz w:val="24"/>
          <w:szCs w:val="24"/>
        </w:rPr>
        <w:t>Požadavky na potvrzení osvědčení jsou pak rovněž shodné jako u evropského vydávacího příkazu.</w:t>
      </w:r>
    </w:p>
    <w:p w14:paraId="6DEF1942" w14:textId="2E39E48A" w:rsidR="00B370CC" w:rsidRDefault="00D95E66"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V odstavci 5 se pak stanoví najisto, že úkony v řízení související s evropským vydávacím příkazem provádí orgán, který příkaz vydal a nikoli orgán, který jej potvrdil</w:t>
      </w:r>
      <w:r w:rsidR="00802AD7">
        <w:rPr>
          <w:rFonts w:ascii="Times New Roman" w:hAnsi="Times New Roman" w:cs="Times New Roman"/>
          <w:bCs/>
          <w:sz w:val="24"/>
          <w:szCs w:val="24"/>
        </w:rPr>
        <w:t xml:space="preserve">. </w:t>
      </w:r>
    </w:p>
    <w:p w14:paraId="39201A16" w14:textId="1C0674D0" w:rsidR="007F58C2" w:rsidRPr="007230F4" w:rsidRDefault="007230F4" w:rsidP="001226EF">
      <w:pPr>
        <w:spacing w:before="120" w:after="0" w:line="240" w:lineRule="auto"/>
        <w:jc w:val="both"/>
        <w:rPr>
          <w:rFonts w:ascii="Times New Roman" w:hAnsi="Times New Roman" w:cs="Times New Roman"/>
          <w:sz w:val="24"/>
          <w:szCs w:val="24"/>
        </w:rPr>
      </w:pPr>
      <w:r w:rsidRPr="007230F4">
        <w:rPr>
          <w:rFonts w:ascii="Times New Roman" w:hAnsi="Times New Roman" w:cs="Times New Roman"/>
          <w:sz w:val="24"/>
          <w:szCs w:val="24"/>
        </w:rPr>
        <w:lastRenderedPageBreak/>
        <w:t>O</w:t>
      </w:r>
      <w:r w:rsidR="00E92E64" w:rsidRPr="007230F4">
        <w:rPr>
          <w:rFonts w:ascii="Times New Roman" w:hAnsi="Times New Roman" w:cs="Times New Roman"/>
          <w:sz w:val="24"/>
          <w:szCs w:val="24"/>
        </w:rPr>
        <w:t xml:space="preserve">právnění žádat o vydání evropského vydávacího příkazu </w:t>
      </w:r>
      <w:r w:rsidRPr="007230F4">
        <w:rPr>
          <w:rFonts w:ascii="Times New Roman" w:hAnsi="Times New Roman" w:cs="Times New Roman"/>
          <w:sz w:val="24"/>
          <w:szCs w:val="24"/>
        </w:rPr>
        <w:t xml:space="preserve">má i obviněný, zadržený podezřelý a podezřelý ve zkráceném přípravném řízení, a to na základě článku 1 odst. 2 nařízení ve spojení s trestním řádem, neboť tento článek odkazuje na vnitrostátní právo. Nejde tedy o podezřelého v prověřování v materiálním smyslu. </w:t>
      </w:r>
      <w:r>
        <w:rPr>
          <w:rFonts w:ascii="Times New Roman" w:hAnsi="Times New Roman" w:cs="Times New Roman"/>
          <w:sz w:val="24"/>
          <w:szCs w:val="24"/>
        </w:rPr>
        <w:t xml:space="preserve">Pojem </w:t>
      </w:r>
      <w:r w:rsidRPr="007230F4">
        <w:rPr>
          <w:rFonts w:ascii="Times New Roman" w:hAnsi="Times New Roman" w:cs="Times New Roman"/>
          <w:bCs/>
          <w:sz w:val="24"/>
          <w:szCs w:val="24"/>
        </w:rPr>
        <w:t>„podezřelý“ v</w:t>
      </w:r>
      <w:r>
        <w:rPr>
          <w:rFonts w:ascii="Times New Roman" w:hAnsi="Times New Roman" w:cs="Times New Roman"/>
          <w:bCs/>
          <w:sz w:val="24"/>
          <w:szCs w:val="24"/>
        </w:rPr>
        <w:t> nařízení totiž není totožný s pojmem</w:t>
      </w:r>
      <w:r w:rsidRPr="007230F4">
        <w:rPr>
          <w:rFonts w:ascii="Times New Roman" w:hAnsi="Times New Roman" w:cs="Times New Roman"/>
          <w:bCs/>
          <w:sz w:val="24"/>
          <w:szCs w:val="24"/>
        </w:rPr>
        <w:t xml:space="preserve"> „podezřelý“ v</w:t>
      </w:r>
      <w:r>
        <w:rPr>
          <w:rFonts w:ascii="Times New Roman" w:hAnsi="Times New Roman" w:cs="Times New Roman"/>
          <w:bCs/>
          <w:sz w:val="24"/>
          <w:szCs w:val="24"/>
        </w:rPr>
        <w:t xml:space="preserve"> trestním řádu, v němž je </w:t>
      </w:r>
      <w:r w:rsidRPr="007230F4">
        <w:rPr>
          <w:rFonts w:ascii="Times New Roman" w:hAnsi="Times New Roman" w:cs="Times New Roman"/>
          <w:bCs/>
          <w:sz w:val="24"/>
          <w:szCs w:val="24"/>
        </w:rPr>
        <w:t xml:space="preserve">užíván v různých souvislostech a významech. Zatímco u zadrženého podezřelého a podezřelého ve zkráceném </w:t>
      </w:r>
      <w:r>
        <w:rPr>
          <w:rFonts w:ascii="Times New Roman" w:hAnsi="Times New Roman" w:cs="Times New Roman"/>
          <w:bCs/>
          <w:sz w:val="24"/>
          <w:szCs w:val="24"/>
        </w:rPr>
        <w:t xml:space="preserve">přípravném </w:t>
      </w:r>
      <w:r w:rsidRPr="007230F4">
        <w:rPr>
          <w:rFonts w:ascii="Times New Roman" w:hAnsi="Times New Roman" w:cs="Times New Roman"/>
          <w:bCs/>
          <w:sz w:val="24"/>
          <w:szCs w:val="24"/>
        </w:rPr>
        <w:t>řízení lze dovodit, že je proti nim vedeno trestní řízení, což zakládá jejich určitá obhajovací práva (obdobná obviněnému, když § 76 odst. 5 i § 179b odst. 2 tr. řádu odkazují na § 33 odst. 1 trestního řádu, kde je obsaženo i právo činit návrhy), u podezřelého v materiálním smyslu nelze tvrdit, že je osobou, proti níž je trestní řízení vedeno. Trestní řízení před zahájením trestního stíhání je vedeno tzv. „ve věci“ a materiální podezřelý ani (oficiálně) neví, že je materiálně podezřelý</w:t>
      </w:r>
      <w:r w:rsidR="001226EF">
        <w:rPr>
          <w:rFonts w:ascii="Times New Roman" w:hAnsi="Times New Roman" w:cs="Times New Roman"/>
          <w:bCs/>
          <w:sz w:val="24"/>
          <w:szCs w:val="24"/>
        </w:rPr>
        <w:t xml:space="preserve">. </w:t>
      </w:r>
      <w:r w:rsidRPr="007230F4">
        <w:rPr>
          <w:rFonts w:ascii="Times New Roman" w:hAnsi="Times New Roman" w:cs="Times New Roman"/>
          <w:bCs/>
          <w:sz w:val="24"/>
          <w:szCs w:val="24"/>
        </w:rPr>
        <w:t xml:space="preserve">Jestliže mu tato skutečnost není (oficiálně) známa, nelze od ní odvíjet oficiální procesní postavení a procesní práva. </w:t>
      </w:r>
    </w:p>
    <w:p w14:paraId="4277A75B" w14:textId="77777777" w:rsidR="00592D78" w:rsidRDefault="00592D78" w:rsidP="00A1611D">
      <w:pPr>
        <w:tabs>
          <w:tab w:val="left" w:pos="426"/>
        </w:tabs>
        <w:spacing w:before="120" w:after="0" w:line="240" w:lineRule="auto"/>
        <w:jc w:val="both"/>
        <w:rPr>
          <w:rFonts w:ascii="Times New Roman" w:hAnsi="Times New Roman" w:cs="Times New Roman"/>
          <w:b/>
          <w:bCs/>
          <w:sz w:val="24"/>
          <w:szCs w:val="24"/>
        </w:rPr>
      </w:pPr>
    </w:p>
    <w:p w14:paraId="452E833F" w14:textId="75C28510" w:rsidR="007F58C2" w:rsidRDefault="007F58C2" w:rsidP="00A1611D">
      <w:pPr>
        <w:tabs>
          <w:tab w:val="left" w:pos="426"/>
        </w:tabs>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 403</w:t>
      </w:r>
    </w:p>
    <w:p w14:paraId="1497A027" w14:textId="7448A937" w:rsidR="007F58C2" w:rsidRDefault="00C01B2D" w:rsidP="00A1611D">
      <w:pPr>
        <w:tabs>
          <w:tab w:val="left" w:pos="426"/>
        </w:tabs>
        <w:spacing w:before="120" w:after="0" w:line="240" w:lineRule="auto"/>
        <w:jc w:val="both"/>
        <w:rPr>
          <w:rFonts w:ascii="Times New Roman" w:hAnsi="Times New Roman" w:cs="Times New Roman"/>
          <w:sz w:val="24"/>
          <w:szCs w:val="24"/>
        </w:rPr>
      </w:pPr>
      <w:r w:rsidRPr="00C01B2D">
        <w:rPr>
          <w:rFonts w:ascii="Times New Roman" w:hAnsi="Times New Roman" w:cs="Times New Roman"/>
          <w:sz w:val="24"/>
          <w:szCs w:val="24"/>
        </w:rPr>
        <w:t>Podmínky pro vydání evropského vydávacího příkazu</w:t>
      </w:r>
      <w:r>
        <w:rPr>
          <w:rFonts w:ascii="Times New Roman" w:hAnsi="Times New Roman" w:cs="Times New Roman"/>
          <w:sz w:val="24"/>
          <w:szCs w:val="24"/>
        </w:rPr>
        <w:t xml:space="preserve"> jsou primárně upraveny v </w:t>
      </w:r>
      <w:r w:rsidR="00AF0905">
        <w:rPr>
          <w:rFonts w:ascii="Times New Roman" w:eastAsia="Times New Roman" w:hAnsi="Times New Roman" w:cs="Times New Roman"/>
          <w:sz w:val="24"/>
          <w:szCs w:val="24"/>
          <w:lang w:eastAsia="cs-CZ"/>
        </w:rPr>
        <w:t xml:space="preserve">článku </w:t>
      </w:r>
      <w:r>
        <w:rPr>
          <w:rFonts w:ascii="Times New Roman" w:hAnsi="Times New Roman" w:cs="Times New Roman"/>
          <w:sz w:val="24"/>
          <w:szCs w:val="24"/>
        </w:rPr>
        <w:t xml:space="preserve">5 </w:t>
      </w:r>
      <w:r w:rsidR="00667562">
        <w:rPr>
          <w:rFonts w:ascii="Times New Roman" w:hAnsi="Times New Roman" w:cs="Times New Roman"/>
          <w:sz w:val="24"/>
          <w:szCs w:val="24"/>
        </w:rPr>
        <w:t>n</w:t>
      </w:r>
      <w:r>
        <w:rPr>
          <w:rFonts w:ascii="Times New Roman" w:hAnsi="Times New Roman" w:cs="Times New Roman"/>
          <w:sz w:val="24"/>
          <w:szCs w:val="24"/>
        </w:rPr>
        <w:t>ařízení a jsou přímo použitelné. Přesto je zapotřebí je částečně provést v ZMJS, neboť článek 5 odst. 4 písm. b) a c) odkazuje na trestná jednání vymezená ve směrnicích, které nejsou přímo aplikovatelné</w:t>
      </w:r>
      <w:r w:rsidR="00650041">
        <w:rPr>
          <w:rFonts w:ascii="Times New Roman" w:hAnsi="Times New Roman" w:cs="Times New Roman"/>
          <w:sz w:val="24"/>
          <w:szCs w:val="24"/>
        </w:rPr>
        <w:t>,</w:t>
      </w:r>
      <w:r>
        <w:rPr>
          <w:rFonts w:ascii="Times New Roman" w:hAnsi="Times New Roman" w:cs="Times New Roman"/>
          <w:sz w:val="24"/>
          <w:szCs w:val="24"/>
        </w:rPr>
        <w:t xml:space="preserve"> a je tak třeba odkázat na příslušné trestné činy podle českého trestního zákoníku. Vzhledem k tomu, že písmeno a) téhož ustanovení umožňuje vydat evropský vydávací příkaz pro všechny trestné činy s horní hranicí trestní sazby nejméně 3 roky</w:t>
      </w:r>
      <w:r w:rsidR="008526BA">
        <w:rPr>
          <w:rFonts w:ascii="Times New Roman" w:hAnsi="Times New Roman" w:cs="Times New Roman"/>
          <w:sz w:val="24"/>
          <w:szCs w:val="24"/>
        </w:rPr>
        <w:t>, podle písmen b) a c) jsou relevantní pouze trestné činy s nižší horní hranicí – takové trestné činy se pak vyskytují pouze u písmene b).</w:t>
      </w:r>
      <w:r w:rsidR="00C60B44">
        <w:rPr>
          <w:rFonts w:ascii="Times New Roman" w:hAnsi="Times New Roman" w:cs="Times New Roman"/>
          <w:sz w:val="24"/>
          <w:szCs w:val="24"/>
        </w:rPr>
        <w:t xml:space="preserve"> Přitom u těchto trestných činů platí podmínka</w:t>
      </w:r>
      <w:r w:rsidR="00B63F7F">
        <w:rPr>
          <w:rFonts w:ascii="Times New Roman" w:hAnsi="Times New Roman" w:cs="Times New Roman"/>
          <w:sz w:val="24"/>
          <w:szCs w:val="24"/>
        </w:rPr>
        <w:t xml:space="preserve"> uvedená v </w:t>
      </w:r>
      <w:proofErr w:type="spellStart"/>
      <w:r w:rsidR="00B63F7F">
        <w:rPr>
          <w:rFonts w:ascii="Times New Roman" w:hAnsi="Times New Roman" w:cs="Times New Roman"/>
          <w:sz w:val="24"/>
          <w:szCs w:val="24"/>
        </w:rPr>
        <w:t>návětí</w:t>
      </w:r>
      <w:proofErr w:type="spellEnd"/>
      <w:r w:rsidR="00B63F7F">
        <w:rPr>
          <w:rFonts w:ascii="Times New Roman" w:hAnsi="Times New Roman" w:cs="Times New Roman"/>
          <w:sz w:val="24"/>
          <w:szCs w:val="24"/>
        </w:rPr>
        <w:t xml:space="preserve"> článku 5 odst. 4 písm. b) nařízení</w:t>
      </w:r>
      <w:r w:rsidR="00C60B44">
        <w:rPr>
          <w:rFonts w:ascii="Times New Roman" w:hAnsi="Times New Roman" w:cs="Times New Roman"/>
          <w:sz w:val="24"/>
          <w:szCs w:val="24"/>
        </w:rPr>
        <w:t xml:space="preserve">, že tyto trestné činy musejí být spáchány zcela nebo zčásti prostřednictvím informačního systému. </w:t>
      </w:r>
    </w:p>
    <w:p w14:paraId="48E50C40" w14:textId="6E3D56FA" w:rsidR="008526BA" w:rsidRPr="00BD2483" w:rsidRDefault="008526BA" w:rsidP="00A1611D">
      <w:pPr>
        <w:spacing w:before="120"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S ohledem na </w:t>
      </w:r>
      <w:r w:rsidR="00AF0905">
        <w:rPr>
          <w:rFonts w:ascii="Times New Roman" w:eastAsia="Times New Roman" w:hAnsi="Times New Roman" w:cs="Times New Roman"/>
          <w:sz w:val="24"/>
          <w:szCs w:val="24"/>
          <w:lang w:eastAsia="cs-CZ"/>
        </w:rPr>
        <w:t xml:space="preserve">článek </w:t>
      </w:r>
      <w:r>
        <w:rPr>
          <w:rFonts w:ascii="Times New Roman" w:hAnsi="Times New Roman" w:cs="Times New Roman"/>
          <w:sz w:val="24"/>
          <w:szCs w:val="24"/>
        </w:rPr>
        <w:t xml:space="preserve">5 odst. 2 </w:t>
      </w:r>
      <w:r w:rsidR="00667562">
        <w:rPr>
          <w:rFonts w:ascii="Times New Roman" w:hAnsi="Times New Roman" w:cs="Times New Roman"/>
          <w:sz w:val="24"/>
          <w:szCs w:val="24"/>
        </w:rPr>
        <w:t>n</w:t>
      </w:r>
      <w:r>
        <w:rPr>
          <w:rFonts w:ascii="Times New Roman" w:hAnsi="Times New Roman" w:cs="Times New Roman"/>
          <w:sz w:val="24"/>
          <w:szCs w:val="24"/>
        </w:rPr>
        <w:t xml:space="preserve">ařízení, který stanoví, </w:t>
      </w:r>
      <w:r w:rsidRPr="00BD2483">
        <w:rPr>
          <w:rFonts w:ascii="Times New Roman" w:eastAsia="Times New Roman" w:hAnsi="Times New Roman" w:cs="Times New Roman"/>
          <w:sz w:val="24"/>
          <w:szCs w:val="24"/>
          <w:lang w:eastAsia="cs-CZ"/>
        </w:rPr>
        <w:t xml:space="preserve">že evropský vydávací příkaz „[…] </w:t>
      </w:r>
      <w:r w:rsidRPr="00BD2483">
        <w:rPr>
          <w:rFonts w:ascii="Times New Roman" w:eastAsia="Times New Roman" w:hAnsi="Times New Roman" w:cs="Times New Roman"/>
          <w:i/>
          <w:iCs/>
          <w:sz w:val="24"/>
          <w:szCs w:val="24"/>
          <w:lang w:eastAsia="cs-CZ"/>
        </w:rPr>
        <w:t xml:space="preserve">může být vydán pouze tehdy, pokud by podobný příkaz mohl být vydán </w:t>
      </w:r>
      <w:r w:rsidRPr="00BD2483">
        <w:rPr>
          <w:rFonts w:ascii="Times New Roman" w:eastAsia="Times New Roman" w:hAnsi="Times New Roman" w:cs="Times New Roman"/>
          <w:i/>
          <w:iCs/>
          <w:sz w:val="24"/>
          <w:szCs w:val="24"/>
          <w:u w:val="single"/>
          <w:lang w:eastAsia="cs-CZ"/>
        </w:rPr>
        <w:t>za stejných podmínek</w:t>
      </w:r>
      <w:r w:rsidRPr="00BD2483">
        <w:rPr>
          <w:rFonts w:ascii="Times New Roman" w:eastAsia="Times New Roman" w:hAnsi="Times New Roman" w:cs="Times New Roman"/>
          <w:i/>
          <w:iCs/>
          <w:sz w:val="24"/>
          <w:szCs w:val="24"/>
          <w:lang w:eastAsia="cs-CZ"/>
        </w:rPr>
        <w:t xml:space="preserve"> v</w:t>
      </w:r>
      <w:r w:rsidR="00F50512">
        <w:rPr>
          <w:rFonts w:ascii="Times New Roman" w:eastAsia="Times New Roman" w:hAnsi="Times New Roman" w:cs="Times New Roman"/>
          <w:i/>
          <w:iCs/>
          <w:sz w:val="24"/>
          <w:szCs w:val="24"/>
          <w:lang w:eastAsia="cs-CZ"/>
        </w:rPr>
        <w:t> </w:t>
      </w:r>
      <w:r w:rsidRPr="00BD2483">
        <w:rPr>
          <w:rFonts w:ascii="Times New Roman" w:eastAsia="Times New Roman" w:hAnsi="Times New Roman" w:cs="Times New Roman"/>
          <w:i/>
          <w:iCs/>
          <w:sz w:val="24"/>
          <w:szCs w:val="24"/>
          <w:lang w:eastAsia="cs-CZ"/>
        </w:rPr>
        <w:t>obdobném vnitrostátním případě</w:t>
      </w:r>
      <w:r w:rsidRPr="00BD248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je nicméně třeba okruh trestných činů, pro které může být vydán evropský vydávací příkaz, dále omezit (obdobné omezení platí i pro vykonávací řízení). V případě, že jsou vyžadován</w:t>
      </w:r>
      <w:r w:rsidR="00D02535">
        <w:rPr>
          <w:rFonts w:ascii="Times New Roman" w:eastAsia="Times New Roman" w:hAnsi="Times New Roman" w:cs="Times New Roman"/>
          <w:sz w:val="24"/>
          <w:szCs w:val="24"/>
          <w:lang w:eastAsia="cs-CZ"/>
        </w:rPr>
        <w:t>a</w:t>
      </w:r>
      <w:r>
        <w:rPr>
          <w:rFonts w:ascii="Times New Roman" w:eastAsia="Times New Roman" w:hAnsi="Times New Roman" w:cs="Times New Roman"/>
          <w:sz w:val="24"/>
          <w:szCs w:val="24"/>
          <w:lang w:eastAsia="cs-CZ"/>
        </w:rPr>
        <w:t xml:space="preserve"> </w:t>
      </w:r>
      <w:r w:rsidR="00D02535">
        <w:rPr>
          <w:rFonts w:ascii="Times New Roman" w:eastAsia="Times New Roman" w:hAnsi="Times New Roman" w:cs="Times New Roman"/>
          <w:sz w:val="24"/>
          <w:szCs w:val="24"/>
          <w:lang w:eastAsia="cs-CZ"/>
        </w:rPr>
        <w:t>data</w:t>
      </w:r>
      <w:r>
        <w:rPr>
          <w:rFonts w:ascii="Times New Roman" w:eastAsia="Times New Roman" w:hAnsi="Times New Roman" w:cs="Times New Roman"/>
          <w:sz w:val="24"/>
          <w:szCs w:val="24"/>
          <w:lang w:eastAsia="cs-CZ"/>
        </w:rPr>
        <w:t>, kter</w:t>
      </w:r>
      <w:r w:rsidR="00D02535">
        <w:rPr>
          <w:rFonts w:ascii="Times New Roman" w:eastAsia="Times New Roman" w:hAnsi="Times New Roman" w:cs="Times New Roman"/>
          <w:sz w:val="24"/>
          <w:szCs w:val="24"/>
          <w:lang w:eastAsia="cs-CZ"/>
        </w:rPr>
        <w:t>á</w:t>
      </w:r>
      <w:r>
        <w:rPr>
          <w:rFonts w:ascii="Times New Roman" w:eastAsia="Times New Roman" w:hAnsi="Times New Roman" w:cs="Times New Roman"/>
          <w:sz w:val="24"/>
          <w:szCs w:val="24"/>
          <w:lang w:eastAsia="cs-CZ"/>
        </w:rPr>
        <w:t xml:space="preserve"> by vnitrostátně byl</w:t>
      </w:r>
      <w:r w:rsidR="00D02535">
        <w:rPr>
          <w:rFonts w:ascii="Times New Roman" w:eastAsia="Times New Roman" w:hAnsi="Times New Roman" w:cs="Times New Roman"/>
          <w:sz w:val="24"/>
          <w:szCs w:val="24"/>
          <w:lang w:eastAsia="cs-CZ"/>
        </w:rPr>
        <w:t>a</w:t>
      </w:r>
      <w:r>
        <w:rPr>
          <w:rFonts w:ascii="Times New Roman" w:eastAsia="Times New Roman" w:hAnsi="Times New Roman" w:cs="Times New Roman"/>
          <w:sz w:val="24"/>
          <w:szCs w:val="24"/>
          <w:lang w:eastAsia="cs-CZ"/>
        </w:rPr>
        <w:t xml:space="preserve"> vyžadován</w:t>
      </w:r>
      <w:r w:rsidR="00D02535">
        <w:rPr>
          <w:rFonts w:ascii="Times New Roman" w:eastAsia="Times New Roman" w:hAnsi="Times New Roman" w:cs="Times New Roman"/>
          <w:sz w:val="24"/>
          <w:szCs w:val="24"/>
          <w:lang w:eastAsia="cs-CZ"/>
        </w:rPr>
        <w:t>a</w:t>
      </w:r>
      <w:r>
        <w:rPr>
          <w:rFonts w:ascii="Times New Roman" w:eastAsia="Times New Roman" w:hAnsi="Times New Roman" w:cs="Times New Roman"/>
          <w:sz w:val="24"/>
          <w:szCs w:val="24"/>
          <w:lang w:eastAsia="cs-CZ"/>
        </w:rPr>
        <w:t xml:space="preserve"> podle § 88a tr. ř. (provozní a lokalizační údaje), lze i evropský vydávací příkaz vydat jen pro ty trestné činy, pro</w:t>
      </w:r>
      <w:r w:rsidR="00F50512">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které to umožňuje § 88a tr. ř.</w:t>
      </w:r>
      <w:r w:rsidR="00024481">
        <w:rPr>
          <w:rFonts w:ascii="Times New Roman" w:eastAsia="Times New Roman" w:hAnsi="Times New Roman" w:cs="Times New Roman"/>
          <w:sz w:val="24"/>
          <w:szCs w:val="24"/>
          <w:lang w:eastAsia="cs-CZ"/>
        </w:rPr>
        <w:t xml:space="preserve"> </w:t>
      </w:r>
    </w:p>
    <w:p w14:paraId="259679A1" w14:textId="1613C06E" w:rsidR="008526BA" w:rsidRDefault="008526BA" w:rsidP="00A1611D">
      <w:pPr>
        <w:tabs>
          <w:tab w:val="left" w:pos="426"/>
        </w:tabs>
        <w:spacing w:before="120" w:after="0" w:line="240" w:lineRule="auto"/>
        <w:jc w:val="both"/>
        <w:rPr>
          <w:rFonts w:ascii="Times New Roman" w:hAnsi="Times New Roman" w:cs="Times New Roman"/>
          <w:sz w:val="24"/>
          <w:szCs w:val="24"/>
        </w:rPr>
      </w:pPr>
    </w:p>
    <w:p w14:paraId="6DCFAE71" w14:textId="330BC3CC" w:rsidR="00A05CEA" w:rsidRDefault="00A05CEA" w:rsidP="00A1611D">
      <w:pPr>
        <w:tabs>
          <w:tab w:val="left" w:pos="426"/>
        </w:tabs>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 404</w:t>
      </w:r>
    </w:p>
    <w:p w14:paraId="47B8AB61" w14:textId="5E204407" w:rsidR="00A05CEA" w:rsidRDefault="00A05CEA"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V tomto ustanovení se upravuje příslušnost českých orgánů k vydání evropského uchovávacího příkazu, vydání osvědčení o vydání tohoto příkazu a k dalším úkonům. Příslušnost je nastavena shodně jako v § 7b tr</w:t>
      </w:r>
      <w:r w:rsidR="007B4786">
        <w:rPr>
          <w:rFonts w:ascii="Times New Roman" w:hAnsi="Times New Roman" w:cs="Times New Roman"/>
          <w:bCs/>
          <w:sz w:val="24"/>
          <w:szCs w:val="24"/>
        </w:rPr>
        <w:t xml:space="preserve">. </w:t>
      </w:r>
      <w:r>
        <w:rPr>
          <w:rFonts w:ascii="Times New Roman" w:hAnsi="Times New Roman" w:cs="Times New Roman"/>
          <w:bCs/>
          <w:sz w:val="24"/>
          <w:szCs w:val="24"/>
        </w:rPr>
        <w:t>ř</w:t>
      </w:r>
      <w:r w:rsidR="007B4786">
        <w:rPr>
          <w:rFonts w:ascii="Times New Roman" w:hAnsi="Times New Roman" w:cs="Times New Roman"/>
          <w:bCs/>
          <w:sz w:val="24"/>
          <w:szCs w:val="24"/>
        </w:rPr>
        <w:t>.</w:t>
      </w:r>
      <w:r>
        <w:rPr>
          <w:rFonts w:ascii="Times New Roman" w:hAnsi="Times New Roman" w:cs="Times New Roman"/>
          <w:bCs/>
          <w:sz w:val="24"/>
          <w:szCs w:val="24"/>
        </w:rPr>
        <w:t xml:space="preserve">, nicméně vzhledem k tomu, že se jedná o mezinárodní justiční spolupráci v trestních věcech, v případě příkazu vydaného policejním orgánem se požaduje potvrzení příkazu státním zástupcem, což odpovídá </w:t>
      </w:r>
      <w:r w:rsidR="007D3012">
        <w:rPr>
          <w:rFonts w:ascii="Times New Roman" w:hAnsi="Times New Roman" w:cs="Times New Roman"/>
          <w:bCs/>
          <w:sz w:val="24"/>
          <w:szCs w:val="24"/>
        </w:rPr>
        <w:t xml:space="preserve">i požadavku </w:t>
      </w:r>
      <w:r w:rsidR="00315A29">
        <w:rPr>
          <w:rFonts w:ascii="Times New Roman" w:hAnsi="Times New Roman" w:cs="Times New Roman"/>
          <w:bCs/>
          <w:sz w:val="24"/>
          <w:szCs w:val="24"/>
        </w:rPr>
        <w:t xml:space="preserve">obsaženém </w:t>
      </w:r>
      <w:r w:rsidR="007D3012">
        <w:rPr>
          <w:rFonts w:ascii="Times New Roman" w:hAnsi="Times New Roman" w:cs="Times New Roman"/>
          <w:bCs/>
          <w:sz w:val="24"/>
          <w:szCs w:val="24"/>
        </w:rPr>
        <w:t xml:space="preserve">v </w:t>
      </w:r>
      <w:r>
        <w:rPr>
          <w:rFonts w:ascii="Times New Roman" w:hAnsi="Times New Roman" w:cs="Times New Roman"/>
          <w:bCs/>
          <w:sz w:val="24"/>
          <w:szCs w:val="24"/>
        </w:rPr>
        <w:t>čl</w:t>
      </w:r>
      <w:r w:rsidR="00AF0905">
        <w:rPr>
          <w:rFonts w:ascii="Times New Roman" w:hAnsi="Times New Roman" w:cs="Times New Roman"/>
          <w:bCs/>
          <w:sz w:val="24"/>
          <w:szCs w:val="24"/>
        </w:rPr>
        <w:t>ánku</w:t>
      </w:r>
      <w:r>
        <w:rPr>
          <w:rFonts w:ascii="Times New Roman" w:hAnsi="Times New Roman" w:cs="Times New Roman"/>
          <w:bCs/>
          <w:sz w:val="24"/>
          <w:szCs w:val="24"/>
        </w:rPr>
        <w:t xml:space="preserve"> 4 odst. 3 písm. b)</w:t>
      </w:r>
      <w:r w:rsidR="007D3012">
        <w:rPr>
          <w:rFonts w:ascii="Times New Roman" w:hAnsi="Times New Roman" w:cs="Times New Roman"/>
          <w:bCs/>
          <w:sz w:val="24"/>
          <w:szCs w:val="24"/>
        </w:rPr>
        <w:t xml:space="preserve"> </w:t>
      </w:r>
      <w:r w:rsidR="00667562">
        <w:rPr>
          <w:rFonts w:ascii="Times New Roman" w:hAnsi="Times New Roman" w:cs="Times New Roman"/>
          <w:bCs/>
          <w:sz w:val="24"/>
          <w:szCs w:val="24"/>
        </w:rPr>
        <w:t>n</w:t>
      </w:r>
      <w:r w:rsidR="007D3012">
        <w:rPr>
          <w:rFonts w:ascii="Times New Roman" w:hAnsi="Times New Roman" w:cs="Times New Roman"/>
          <w:bCs/>
          <w:sz w:val="24"/>
          <w:szCs w:val="24"/>
        </w:rPr>
        <w:t xml:space="preserve">ařízení. </w:t>
      </w:r>
    </w:p>
    <w:p w14:paraId="0829F775" w14:textId="1B1A2F9C" w:rsidR="00447065" w:rsidRDefault="00A05CEA"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Vzhledem k tomu, že adresátovi se neposílá samotný evropský </w:t>
      </w:r>
      <w:r w:rsidR="00447065">
        <w:rPr>
          <w:rFonts w:ascii="Times New Roman" w:hAnsi="Times New Roman" w:cs="Times New Roman"/>
          <w:bCs/>
          <w:sz w:val="24"/>
          <w:szCs w:val="24"/>
        </w:rPr>
        <w:t>uchovávací</w:t>
      </w:r>
      <w:r>
        <w:rPr>
          <w:rFonts w:ascii="Times New Roman" w:hAnsi="Times New Roman" w:cs="Times New Roman"/>
          <w:bCs/>
          <w:sz w:val="24"/>
          <w:szCs w:val="24"/>
        </w:rPr>
        <w:t xml:space="preserve"> příkaz, ale pouze osvědčení, jehož formulář je obsažen v příloze I</w:t>
      </w:r>
      <w:r w:rsidR="00447065">
        <w:rPr>
          <w:rFonts w:ascii="Times New Roman" w:hAnsi="Times New Roman" w:cs="Times New Roman"/>
          <w:bCs/>
          <w:sz w:val="24"/>
          <w:szCs w:val="24"/>
        </w:rPr>
        <w:t>I</w:t>
      </w:r>
      <w:r>
        <w:rPr>
          <w:rFonts w:ascii="Times New Roman" w:hAnsi="Times New Roman" w:cs="Times New Roman"/>
          <w:bCs/>
          <w:sz w:val="24"/>
          <w:szCs w:val="24"/>
        </w:rPr>
        <w:t xml:space="preserve"> </w:t>
      </w:r>
      <w:r w:rsidR="00667562">
        <w:rPr>
          <w:rFonts w:ascii="Times New Roman" w:hAnsi="Times New Roman" w:cs="Times New Roman"/>
          <w:bCs/>
          <w:sz w:val="24"/>
          <w:szCs w:val="24"/>
        </w:rPr>
        <w:t>n</w:t>
      </w:r>
      <w:r>
        <w:rPr>
          <w:rFonts w:ascii="Times New Roman" w:hAnsi="Times New Roman" w:cs="Times New Roman"/>
          <w:bCs/>
          <w:sz w:val="24"/>
          <w:szCs w:val="24"/>
        </w:rPr>
        <w:t xml:space="preserve">ařízení, stanoví se pro vyplnění osvědčení shodná příslušnost jako pro vydání příkazu. Požadavky na potvrzení osvědčení jsou pak rovněž shodné jako u evropského </w:t>
      </w:r>
      <w:r w:rsidR="00447065">
        <w:rPr>
          <w:rFonts w:ascii="Times New Roman" w:hAnsi="Times New Roman" w:cs="Times New Roman"/>
          <w:bCs/>
          <w:sz w:val="24"/>
          <w:szCs w:val="24"/>
        </w:rPr>
        <w:t>uchovávacího</w:t>
      </w:r>
      <w:r>
        <w:rPr>
          <w:rFonts w:ascii="Times New Roman" w:hAnsi="Times New Roman" w:cs="Times New Roman"/>
          <w:bCs/>
          <w:sz w:val="24"/>
          <w:szCs w:val="24"/>
        </w:rPr>
        <w:t xml:space="preserve"> příkazu.</w:t>
      </w:r>
      <w:r w:rsidR="00BA5643">
        <w:rPr>
          <w:rFonts w:ascii="Times New Roman" w:hAnsi="Times New Roman" w:cs="Times New Roman"/>
          <w:bCs/>
          <w:sz w:val="24"/>
          <w:szCs w:val="24"/>
        </w:rPr>
        <w:t xml:space="preserve"> V </w:t>
      </w:r>
      <w:r w:rsidR="00447065">
        <w:rPr>
          <w:rFonts w:ascii="Times New Roman" w:hAnsi="Times New Roman" w:cs="Times New Roman"/>
          <w:bCs/>
          <w:sz w:val="24"/>
          <w:szCs w:val="24"/>
        </w:rPr>
        <w:t>čl</w:t>
      </w:r>
      <w:r w:rsidR="00BA5643">
        <w:rPr>
          <w:rFonts w:ascii="Times New Roman" w:hAnsi="Times New Roman" w:cs="Times New Roman"/>
          <w:bCs/>
          <w:sz w:val="24"/>
          <w:szCs w:val="24"/>
        </w:rPr>
        <w:t>ánku</w:t>
      </w:r>
      <w:r w:rsidR="00447065">
        <w:rPr>
          <w:rFonts w:ascii="Times New Roman" w:hAnsi="Times New Roman" w:cs="Times New Roman"/>
          <w:bCs/>
          <w:sz w:val="24"/>
          <w:szCs w:val="24"/>
        </w:rPr>
        <w:t xml:space="preserve"> 4 odst. 5 </w:t>
      </w:r>
      <w:r w:rsidR="00667562">
        <w:rPr>
          <w:rFonts w:ascii="Times New Roman" w:hAnsi="Times New Roman" w:cs="Times New Roman"/>
          <w:bCs/>
          <w:sz w:val="24"/>
          <w:szCs w:val="24"/>
        </w:rPr>
        <w:t>n</w:t>
      </w:r>
      <w:r w:rsidR="00447065">
        <w:rPr>
          <w:rFonts w:ascii="Times New Roman" w:hAnsi="Times New Roman" w:cs="Times New Roman"/>
          <w:bCs/>
          <w:sz w:val="24"/>
          <w:szCs w:val="24"/>
        </w:rPr>
        <w:t>ařízení</w:t>
      </w:r>
      <w:r w:rsidR="00BA5643">
        <w:rPr>
          <w:rFonts w:ascii="Times New Roman" w:hAnsi="Times New Roman" w:cs="Times New Roman"/>
          <w:bCs/>
          <w:sz w:val="24"/>
          <w:szCs w:val="24"/>
        </w:rPr>
        <w:t xml:space="preserve"> je pak stanoveno, že předchozí potvrzení se nevyžaduje v naléhavých případech. </w:t>
      </w:r>
    </w:p>
    <w:p w14:paraId="6271B781" w14:textId="77777777" w:rsidR="00A05CEA" w:rsidRDefault="00A05CEA" w:rsidP="00A1611D">
      <w:pPr>
        <w:spacing w:before="120" w:after="0" w:line="240" w:lineRule="auto"/>
        <w:jc w:val="both"/>
        <w:rPr>
          <w:rFonts w:ascii="Times New Roman" w:hAnsi="Times New Roman" w:cs="Times New Roman"/>
          <w:b/>
          <w:sz w:val="24"/>
          <w:szCs w:val="24"/>
        </w:rPr>
      </w:pPr>
    </w:p>
    <w:p w14:paraId="42A8AA96" w14:textId="6BC163C9" w:rsidR="005770AE" w:rsidRDefault="005770AE"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 § 405</w:t>
      </w:r>
    </w:p>
    <w:p w14:paraId="07D0C640" w14:textId="56A1384E" w:rsidR="002D4B72" w:rsidRPr="006A0A88" w:rsidRDefault="00BF2C34"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Vzhledem k tomu, že uchování dat vyžaduje urychlenou spolupráci, navrhuje se (stejně jako u</w:t>
      </w:r>
      <w:r w:rsidR="00F50512">
        <w:rPr>
          <w:rFonts w:ascii="Times New Roman" w:hAnsi="Times New Roman" w:cs="Times New Roman"/>
          <w:bCs/>
          <w:sz w:val="24"/>
          <w:szCs w:val="24"/>
        </w:rPr>
        <w:t> </w:t>
      </w:r>
      <w:r>
        <w:rPr>
          <w:rFonts w:ascii="Times New Roman" w:hAnsi="Times New Roman" w:cs="Times New Roman"/>
          <w:bCs/>
          <w:sz w:val="24"/>
          <w:szCs w:val="24"/>
        </w:rPr>
        <w:t xml:space="preserve">žádostí o uchování dat podle § 65a ZMJS) koncentrace zasílání evropských </w:t>
      </w:r>
      <w:proofErr w:type="spellStart"/>
      <w:r>
        <w:rPr>
          <w:rFonts w:ascii="Times New Roman" w:hAnsi="Times New Roman" w:cs="Times New Roman"/>
          <w:bCs/>
          <w:sz w:val="24"/>
          <w:szCs w:val="24"/>
        </w:rPr>
        <w:t>uchovávacích</w:t>
      </w:r>
      <w:proofErr w:type="spellEnd"/>
      <w:r>
        <w:rPr>
          <w:rFonts w:ascii="Times New Roman" w:hAnsi="Times New Roman" w:cs="Times New Roman"/>
          <w:bCs/>
          <w:sz w:val="24"/>
          <w:szCs w:val="24"/>
        </w:rPr>
        <w:t xml:space="preserve"> příkazů, osvědčení a souvisejících písemností vydaných českými orgány činnými v trestním řízení do jiných členských států EU prostřednictvím útvaru Policie </w:t>
      </w:r>
      <w:r w:rsidR="00027B8C">
        <w:rPr>
          <w:rFonts w:ascii="Times New Roman" w:hAnsi="Times New Roman" w:cs="Times New Roman"/>
          <w:bCs/>
          <w:sz w:val="24"/>
          <w:szCs w:val="24"/>
        </w:rPr>
        <w:t>České republiky</w:t>
      </w:r>
      <w:r w:rsidR="00027B8C" w:rsidDel="00027B8C">
        <w:rPr>
          <w:rFonts w:ascii="Times New Roman" w:hAnsi="Times New Roman" w:cs="Times New Roman"/>
          <w:bCs/>
          <w:sz w:val="24"/>
          <w:szCs w:val="24"/>
        </w:rPr>
        <w:t xml:space="preserve"> </w:t>
      </w:r>
      <w:r>
        <w:rPr>
          <w:rFonts w:ascii="Times New Roman" w:hAnsi="Times New Roman" w:cs="Times New Roman"/>
          <w:bCs/>
          <w:sz w:val="24"/>
          <w:szCs w:val="24"/>
        </w:rPr>
        <w:t xml:space="preserve">pověřeného policejním prezidentem. </w:t>
      </w:r>
      <w:r w:rsidR="00233505">
        <w:rPr>
          <w:rFonts w:ascii="Times New Roman" w:hAnsi="Times New Roman" w:cs="Times New Roman"/>
          <w:bCs/>
          <w:sz w:val="24"/>
          <w:szCs w:val="24"/>
        </w:rPr>
        <w:t xml:space="preserve">Tento útvar bude napojen na decentralizovaný informační systém. </w:t>
      </w:r>
      <w:r w:rsidR="002D4B72">
        <w:rPr>
          <w:rFonts w:ascii="Times New Roman" w:hAnsi="Times New Roman" w:cs="Times New Roman"/>
          <w:bCs/>
          <w:sz w:val="24"/>
          <w:szCs w:val="24"/>
        </w:rPr>
        <w:t xml:space="preserve">Aktuálně jím je </w:t>
      </w:r>
      <w:r w:rsidR="002D4B72" w:rsidRPr="003E2D91">
        <w:rPr>
          <w:rFonts w:ascii="Times New Roman" w:eastAsia="Times New Roman" w:hAnsi="Times New Roman" w:cs="Times New Roman"/>
          <w:color w:val="333333"/>
          <w:kern w:val="36"/>
          <w:sz w:val="24"/>
          <w:szCs w:val="24"/>
          <w:lang w:eastAsia="cs-CZ"/>
        </w:rPr>
        <w:t>Národní centrála proti terorismu, extremismu a kybernetické kriminalitě SKPV</w:t>
      </w:r>
      <w:r w:rsidR="002D4B72">
        <w:rPr>
          <w:rFonts w:ascii="Times New Roman" w:eastAsia="Times New Roman" w:hAnsi="Times New Roman" w:cs="Times New Roman"/>
          <w:color w:val="333333"/>
          <w:kern w:val="36"/>
          <w:sz w:val="24"/>
          <w:szCs w:val="24"/>
          <w:lang w:eastAsia="cs-CZ"/>
        </w:rPr>
        <w:t>.</w:t>
      </w:r>
    </w:p>
    <w:p w14:paraId="05335895" w14:textId="77777777" w:rsidR="002D4B72" w:rsidRDefault="002D4B72" w:rsidP="00A1611D">
      <w:pPr>
        <w:tabs>
          <w:tab w:val="left" w:pos="426"/>
        </w:tabs>
        <w:spacing w:before="120" w:after="0" w:line="240" w:lineRule="auto"/>
        <w:jc w:val="both"/>
        <w:rPr>
          <w:rFonts w:ascii="Times New Roman" w:hAnsi="Times New Roman" w:cs="Times New Roman"/>
          <w:bCs/>
          <w:sz w:val="24"/>
          <w:szCs w:val="24"/>
        </w:rPr>
      </w:pPr>
    </w:p>
    <w:p w14:paraId="11D9F9D6" w14:textId="426DB130" w:rsidR="00622E38" w:rsidRDefault="00622E38" w:rsidP="00A1611D">
      <w:pPr>
        <w:tabs>
          <w:tab w:val="left" w:pos="426"/>
        </w:tabs>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 406</w:t>
      </w:r>
    </w:p>
    <w:p w14:paraId="0752ED89" w14:textId="6D7E6DC7" w:rsidR="00C41318" w:rsidRDefault="00C41318" w:rsidP="00A1611D">
      <w:pPr>
        <w:tabs>
          <w:tab w:val="left" w:pos="426"/>
        </w:tabs>
        <w:spacing w:before="120" w:after="0" w:line="240" w:lineRule="auto"/>
        <w:jc w:val="both"/>
        <w:rPr>
          <w:rFonts w:ascii="Times New Roman" w:eastAsia="Times New Roman" w:hAnsi="Times New Roman" w:cs="Times New Roman"/>
          <w:color w:val="000000"/>
          <w:sz w:val="24"/>
          <w:szCs w:val="24"/>
          <w:lang w:eastAsia="cs-CZ"/>
        </w:rPr>
      </w:pPr>
      <w:r w:rsidRPr="00C41318">
        <w:rPr>
          <w:rFonts w:ascii="Times New Roman" w:hAnsi="Times New Roman" w:cs="Times New Roman"/>
          <w:sz w:val="24"/>
          <w:szCs w:val="24"/>
        </w:rPr>
        <w:t xml:space="preserve">V tomto </w:t>
      </w:r>
      <w:r>
        <w:rPr>
          <w:rFonts w:ascii="Times New Roman" w:hAnsi="Times New Roman" w:cs="Times New Roman"/>
          <w:sz w:val="24"/>
          <w:szCs w:val="24"/>
        </w:rPr>
        <w:t>ustanovení se provádí čl</w:t>
      </w:r>
      <w:r w:rsidR="00AF0905">
        <w:rPr>
          <w:rFonts w:ascii="Times New Roman" w:hAnsi="Times New Roman" w:cs="Times New Roman"/>
          <w:sz w:val="24"/>
          <w:szCs w:val="24"/>
        </w:rPr>
        <w:t>ánek</w:t>
      </w:r>
      <w:r>
        <w:rPr>
          <w:rFonts w:ascii="Times New Roman" w:hAnsi="Times New Roman" w:cs="Times New Roman"/>
          <w:sz w:val="24"/>
          <w:szCs w:val="24"/>
        </w:rPr>
        <w:t xml:space="preserve"> 17 </w:t>
      </w:r>
      <w:r w:rsidR="00667562">
        <w:rPr>
          <w:rFonts w:ascii="Times New Roman" w:hAnsi="Times New Roman" w:cs="Times New Roman"/>
          <w:sz w:val="24"/>
          <w:szCs w:val="24"/>
        </w:rPr>
        <w:t>n</w:t>
      </w:r>
      <w:r>
        <w:rPr>
          <w:rFonts w:ascii="Times New Roman" w:hAnsi="Times New Roman" w:cs="Times New Roman"/>
          <w:sz w:val="24"/>
          <w:szCs w:val="24"/>
        </w:rPr>
        <w:t>ařízení ve vztahu k evropskému vydávacímu příkazu. Adresát příkazu může odmítnout výkon příkazu, pokud se domnívá</w:t>
      </w:r>
      <w:r w:rsidRPr="00C41318">
        <w:rPr>
          <w:rFonts w:ascii="Times New Roman" w:hAnsi="Times New Roman" w:cs="Times New Roman"/>
          <w:sz w:val="24"/>
          <w:szCs w:val="24"/>
        </w:rPr>
        <w:t xml:space="preserve">, že </w:t>
      </w:r>
      <w:r w:rsidRPr="00C41318">
        <w:rPr>
          <w:rFonts w:ascii="Times New Roman" w:eastAsia="Times New Roman" w:hAnsi="Times New Roman" w:cs="Times New Roman"/>
          <w:color w:val="000000"/>
          <w:sz w:val="24"/>
          <w:szCs w:val="24"/>
          <w:lang w:eastAsia="cs-CZ"/>
        </w:rPr>
        <w:t>v případě splnění evropského vydávacího příkazu by došlo k rozporu s povinností stanovenou příslušným právem třetí země</w:t>
      </w:r>
      <w:r>
        <w:rPr>
          <w:rFonts w:ascii="Times New Roman" w:eastAsia="Times New Roman" w:hAnsi="Times New Roman" w:cs="Times New Roman"/>
          <w:color w:val="000000"/>
          <w:sz w:val="24"/>
          <w:szCs w:val="24"/>
          <w:lang w:eastAsia="cs-CZ"/>
        </w:rPr>
        <w:t xml:space="preserve">. V takovém případě informuje vydávající a vykonávající orgán na formuláři uvedeném v příloze III </w:t>
      </w:r>
      <w:r w:rsidR="00667562">
        <w:rPr>
          <w:rFonts w:ascii="Times New Roman" w:eastAsia="Times New Roman" w:hAnsi="Times New Roman" w:cs="Times New Roman"/>
          <w:color w:val="000000"/>
          <w:sz w:val="24"/>
          <w:szCs w:val="24"/>
          <w:lang w:eastAsia="cs-CZ"/>
        </w:rPr>
        <w:t>n</w:t>
      </w:r>
      <w:r>
        <w:rPr>
          <w:rFonts w:ascii="Times New Roman" w:eastAsia="Times New Roman" w:hAnsi="Times New Roman" w:cs="Times New Roman"/>
          <w:color w:val="000000"/>
          <w:sz w:val="24"/>
          <w:szCs w:val="24"/>
          <w:lang w:eastAsia="cs-CZ"/>
        </w:rPr>
        <w:t xml:space="preserve">ařízení. Přitom je povinen uvést všechny relevantní informace o právu </w:t>
      </w:r>
      <w:r w:rsidR="005F76F7">
        <w:rPr>
          <w:rFonts w:ascii="Times New Roman" w:eastAsia="Times New Roman" w:hAnsi="Times New Roman" w:cs="Times New Roman"/>
          <w:color w:val="000000"/>
          <w:sz w:val="24"/>
          <w:szCs w:val="24"/>
          <w:lang w:eastAsia="cs-CZ"/>
        </w:rPr>
        <w:t xml:space="preserve">třetí země. Nařízení vymezuje, co nemůže být obsahem odůvodněné námitky, a stanoví </w:t>
      </w:r>
      <w:r w:rsidR="00217F46">
        <w:rPr>
          <w:rFonts w:ascii="Times New Roman" w:eastAsia="Times New Roman" w:hAnsi="Times New Roman" w:cs="Times New Roman"/>
          <w:color w:val="000000"/>
          <w:sz w:val="24"/>
          <w:szCs w:val="24"/>
          <w:lang w:eastAsia="cs-CZ"/>
        </w:rPr>
        <w:t xml:space="preserve">lhůtu pro podání odůvodněné námitky (10 dnů ode dne, kdy </w:t>
      </w:r>
      <w:r w:rsidR="00F76306">
        <w:rPr>
          <w:rFonts w:ascii="Times New Roman" w:eastAsia="Times New Roman" w:hAnsi="Times New Roman" w:cs="Times New Roman"/>
          <w:color w:val="000000"/>
          <w:sz w:val="24"/>
          <w:szCs w:val="24"/>
          <w:lang w:eastAsia="cs-CZ"/>
        </w:rPr>
        <w:t xml:space="preserve">adresát příkazu </w:t>
      </w:r>
      <w:r w:rsidR="00217F46">
        <w:rPr>
          <w:rFonts w:ascii="Times New Roman" w:eastAsia="Times New Roman" w:hAnsi="Times New Roman" w:cs="Times New Roman"/>
          <w:color w:val="000000"/>
          <w:sz w:val="24"/>
          <w:szCs w:val="24"/>
          <w:lang w:eastAsia="cs-CZ"/>
        </w:rPr>
        <w:t xml:space="preserve">obdržel osvědčení). </w:t>
      </w:r>
    </w:p>
    <w:p w14:paraId="73AB8F71" w14:textId="19EF69A7" w:rsidR="00217F46" w:rsidRDefault="00217F46" w:rsidP="00A1611D">
      <w:pPr>
        <w:tabs>
          <w:tab w:val="left" w:pos="426"/>
        </w:tabs>
        <w:spacing w:before="120"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Odůvodněnou námitku přezkoumá orgán, který vydal evropský vydávací příkaz. </w:t>
      </w:r>
      <w:r w:rsidR="00FF7E5A">
        <w:rPr>
          <w:rFonts w:ascii="Times New Roman" w:eastAsia="Times New Roman" w:hAnsi="Times New Roman" w:cs="Times New Roman"/>
          <w:color w:val="000000"/>
          <w:sz w:val="24"/>
          <w:szCs w:val="24"/>
          <w:lang w:eastAsia="cs-CZ"/>
        </w:rPr>
        <w:t xml:space="preserve">Samostatně může námitce vyhovět. Pokud ji však považuje </w:t>
      </w:r>
      <w:r w:rsidR="008117E8">
        <w:rPr>
          <w:rFonts w:ascii="Times New Roman" w:eastAsia="Times New Roman" w:hAnsi="Times New Roman" w:cs="Times New Roman"/>
          <w:color w:val="000000"/>
          <w:sz w:val="24"/>
          <w:szCs w:val="24"/>
          <w:lang w:eastAsia="cs-CZ"/>
        </w:rPr>
        <w:t xml:space="preserve">zcela nebo zčásti </w:t>
      </w:r>
      <w:r w:rsidR="00FF7E5A">
        <w:rPr>
          <w:rFonts w:ascii="Times New Roman" w:eastAsia="Times New Roman" w:hAnsi="Times New Roman" w:cs="Times New Roman"/>
          <w:color w:val="000000"/>
          <w:sz w:val="24"/>
          <w:szCs w:val="24"/>
          <w:lang w:eastAsia="cs-CZ"/>
        </w:rPr>
        <w:t xml:space="preserve">za </w:t>
      </w:r>
      <w:r w:rsidR="00DB76A6">
        <w:rPr>
          <w:rFonts w:ascii="Times New Roman" w:eastAsia="Times New Roman" w:hAnsi="Times New Roman" w:cs="Times New Roman"/>
          <w:color w:val="000000"/>
          <w:sz w:val="24"/>
          <w:szCs w:val="24"/>
          <w:lang w:eastAsia="cs-CZ"/>
        </w:rPr>
        <w:t>ne</w:t>
      </w:r>
      <w:r w:rsidR="00FF7E5A">
        <w:rPr>
          <w:rFonts w:ascii="Times New Roman" w:eastAsia="Times New Roman" w:hAnsi="Times New Roman" w:cs="Times New Roman"/>
          <w:color w:val="000000"/>
          <w:sz w:val="24"/>
          <w:szCs w:val="24"/>
          <w:lang w:eastAsia="cs-CZ"/>
        </w:rPr>
        <w:t>důvodnou, musí být podán návrh na její přezkoumání k vrchnímu soudu, v jehož obvodu je vydávající orgán činný; v případě policejního orgánu se návrh podává prostřednictvím dozorujícího státního zástupce</w:t>
      </w:r>
      <w:r w:rsidR="008117E8">
        <w:rPr>
          <w:rFonts w:ascii="Times New Roman" w:eastAsia="Times New Roman" w:hAnsi="Times New Roman" w:cs="Times New Roman"/>
          <w:color w:val="000000"/>
          <w:sz w:val="24"/>
          <w:szCs w:val="24"/>
          <w:lang w:eastAsia="cs-CZ"/>
        </w:rPr>
        <w:t xml:space="preserve"> k vrchnímu soudu, v jehož obvodu je činný tento státní zástupce</w:t>
      </w:r>
      <w:r w:rsidR="00FF7E5A">
        <w:rPr>
          <w:rFonts w:ascii="Times New Roman" w:eastAsia="Times New Roman" w:hAnsi="Times New Roman" w:cs="Times New Roman"/>
          <w:color w:val="000000"/>
          <w:sz w:val="24"/>
          <w:szCs w:val="24"/>
          <w:lang w:eastAsia="cs-CZ"/>
        </w:rPr>
        <w:t xml:space="preserve">. </w:t>
      </w:r>
    </w:p>
    <w:p w14:paraId="53C61F26" w14:textId="08207AA3" w:rsidR="00765BA1" w:rsidRPr="00C41318" w:rsidRDefault="00765BA1" w:rsidP="00A1611D">
      <w:pPr>
        <w:tabs>
          <w:tab w:val="left" w:pos="426"/>
        </w:tabs>
        <w:spacing w:before="120"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cs-CZ"/>
        </w:rPr>
        <w:t>Postup soudu je pak upraven v čl</w:t>
      </w:r>
      <w:r w:rsidR="00AF0905">
        <w:rPr>
          <w:rFonts w:ascii="Times New Roman" w:eastAsia="Times New Roman" w:hAnsi="Times New Roman" w:cs="Times New Roman"/>
          <w:color w:val="000000"/>
          <w:sz w:val="24"/>
          <w:szCs w:val="24"/>
          <w:lang w:eastAsia="cs-CZ"/>
        </w:rPr>
        <w:t>ánku</w:t>
      </w:r>
      <w:r>
        <w:rPr>
          <w:rFonts w:ascii="Times New Roman" w:eastAsia="Times New Roman" w:hAnsi="Times New Roman" w:cs="Times New Roman"/>
          <w:color w:val="000000"/>
          <w:sz w:val="24"/>
          <w:szCs w:val="24"/>
          <w:lang w:eastAsia="cs-CZ"/>
        </w:rPr>
        <w:t xml:space="preserve"> 17 odst. 4 a násl. </w:t>
      </w:r>
      <w:r w:rsidR="00667562">
        <w:rPr>
          <w:rFonts w:ascii="Times New Roman" w:eastAsia="Times New Roman" w:hAnsi="Times New Roman" w:cs="Times New Roman"/>
          <w:color w:val="000000"/>
          <w:sz w:val="24"/>
          <w:szCs w:val="24"/>
          <w:lang w:eastAsia="cs-CZ"/>
        </w:rPr>
        <w:t>n</w:t>
      </w:r>
      <w:r>
        <w:rPr>
          <w:rFonts w:ascii="Times New Roman" w:eastAsia="Times New Roman" w:hAnsi="Times New Roman" w:cs="Times New Roman"/>
          <w:color w:val="000000"/>
          <w:sz w:val="24"/>
          <w:szCs w:val="24"/>
          <w:lang w:eastAsia="cs-CZ"/>
        </w:rPr>
        <w:t xml:space="preserve">ařízení. Tento postup je v odstavci 3 doplněn o formu rozhodování soudu. Soud buď usnesením příkaz potvrdí, neshledá-li námitku důvodnou, nebo jej usnesením zruší, pokud námitce vyhoví. Pokud námitce vyhoví </w:t>
      </w:r>
      <w:r w:rsidR="008117E8">
        <w:rPr>
          <w:rFonts w:ascii="Times New Roman" w:eastAsia="Times New Roman" w:hAnsi="Times New Roman" w:cs="Times New Roman"/>
          <w:color w:val="000000"/>
          <w:sz w:val="24"/>
          <w:szCs w:val="24"/>
          <w:lang w:eastAsia="cs-CZ"/>
        </w:rPr>
        <w:t xml:space="preserve">jen </w:t>
      </w:r>
      <w:r>
        <w:rPr>
          <w:rFonts w:ascii="Times New Roman" w:eastAsia="Times New Roman" w:hAnsi="Times New Roman" w:cs="Times New Roman"/>
          <w:color w:val="000000"/>
          <w:sz w:val="24"/>
          <w:szCs w:val="24"/>
          <w:lang w:eastAsia="cs-CZ"/>
        </w:rPr>
        <w:t>z</w:t>
      </w:r>
      <w:r w:rsidR="00260787">
        <w:rPr>
          <w:rFonts w:ascii="Times New Roman" w:eastAsia="Times New Roman" w:hAnsi="Times New Roman" w:cs="Times New Roman"/>
          <w:color w:val="000000"/>
          <w:sz w:val="24"/>
          <w:szCs w:val="24"/>
          <w:lang w:eastAsia="cs-CZ"/>
        </w:rPr>
        <w:t>části</w:t>
      </w:r>
      <w:r>
        <w:rPr>
          <w:rFonts w:ascii="Times New Roman" w:eastAsia="Times New Roman" w:hAnsi="Times New Roman" w:cs="Times New Roman"/>
          <w:color w:val="000000"/>
          <w:sz w:val="24"/>
          <w:szCs w:val="24"/>
          <w:lang w:eastAsia="cs-CZ"/>
        </w:rPr>
        <w:t xml:space="preserve">, </w:t>
      </w:r>
      <w:r w:rsidR="008117E8">
        <w:rPr>
          <w:rFonts w:ascii="Times New Roman" w:eastAsia="Times New Roman" w:hAnsi="Times New Roman" w:cs="Times New Roman"/>
          <w:color w:val="000000"/>
          <w:sz w:val="24"/>
          <w:szCs w:val="24"/>
          <w:lang w:eastAsia="cs-CZ"/>
        </w:rPr>
        <w:t xml:space="preserve">může příkaz zrušit jen částečně pouze za předpokladu, že je příkaz ve zbylém rozsahu </w:t>
      </w:r>
      <w:r w:rsidR="0067594F">
        <w:rPr>
          <w:rFonts w:ascii="Times New Roman" w:eastAsia="Times New Roman" w:hAnsi="Times New Roman" w:cs="Times New Roman"/>
          <w:color w:val="000000"/>
          <w:sz w:val="24"/>
          <w:szCs w:val="24"/>
          <w:lang w:eastAsia="cs-CZ"/>
        </w:rPr>
        <w:t xml:space="preserve">samostatně </w:t>
      </w:r>
      <w:r w:rsidR="008117E8">
        <w:rPr>
          <w:rFonts w:ascii="Times New Roman" w:eastAsia="Times New Roman" w:hAnsi="Times New Roman" w:cs="Times New Roman"/>
          <w:color w:val="000000"/>
          <w:sz w:val="24"/>
          <w:szCs w:val="24"/>
          <w:lang w:eastAsia="cs-CZ"/>
        </w:rPr>
        <w:t>vykonatelný, jinak jej zruší celý. V</w:t>
      </w:r>
      <w:r>
        <w:rPr>
          <w:rFonts w:ascii="Times New Roman" w:eastAsia="Times New Roman" w:hAnsi="Times New Roman" w:cs="Times New Roman"/>
          <w:color w:val="000000"/>
          <w:sz w:val="24"/>
          <w:szCs w:val="24"/>
          <w:lang w:eastAsia="cs-CZ"/>
        </w:rPr>
        <w:t xml:space="preserve">ydávající orgán </w:t>
      </w:r>
      <w:r w:rsidR="008117E8">
        <w:rPr>
          <w:rFonts w:ascii="Times New Roman" w:eastAsia="Times New Roman" w:hAnsi="Times New Roman" w:cs="Times New Roman"/>
          <w:color w:val="000000"/>
          <w:sz w:val="24"/>
          <w:szCs w:val="24"/>
          <w:lang w:eastAsia="cs-CZ"/>
        </w:rPr>
        <w:t xml:space="preserve">pak </w:t>
      </w:r>
      <w:r>
        <w:rPr>
          <w:rFonts w:ascii="Times New Roman" w:eastAsia="Times New Roman" w:hAnsi="Times New Roman" w:cs="Times New Roman"/>
          <w:color w:val="000000"/>
          <w:sz w:val="24"/>
          <w:szCs w:val="24"/>
          <w:lang w:eastAsia="cs-CZ"/>
        </w:rPr>
        <w:t xml:space="preserve">vydá nový příkaz ve zbylém rozsahu. </w:t>
      </w:r>
      <w:r w:rsidR="008117E8">
        <w:rPr>
          <w:rFonts w:ascii="Times New Roman" w:eastAsia="Times New Roman" w:hAnsi="Times New Roman" w:cs="Times New Roman"/>
          <w:color w:val="000000"/>
          <w:sz w:val="24"/>
          <w:szCs w:val="24"/>
          <w:lang w:eastAsia="cs-CZ"/>
        </w:rPr>
        <w:t xml:space="preserve">Jedná se tedy o čistě kasační princip v souladu s článkem 17 </w:t>
      </w:r>
      <w:r w:rsidR="00667562">
        <w:rPr>
          <w:rFonts w:ascii="Times New Roman" w:eastAsia="Times New Roman" w:hAnsi="Times New Roman" w:cs="Times New Roman"/>
          <w:color w:val="000000"/>
          <w:sz w:val="24"/>
          <w:szCs w:val="24"/>
          <w:lang w:eastAsia="cs-CZ"/>
        </w:rPr>
        <w:t>n</w:t>
      </w:r>
      <w:r w:rsidR="008117E8">
        <w:rPr>
          <w:rFonts w:ascii="Times New Roman" w:eastAsia="Times New Roman" w:hAnsi="Times New Roman" w:cs="Times New Roman"/>
          <w:color w:val="000000"/>
          <w:sz w:val="24"/>
          <w:szCs w:val="24"/>
          <w:lang w:eastAsia="cs-CZ"/>
        </w:rPr>
        <w:t xml:space="preserve">ařízení. </w:t>
      </w:r>
    </w:p>
    <w:p w14:paraId="49E3FE46" w14:textId="77777777" w:rsidR="00622E38" w:rsidRDefault="00622E38" w:rsidP="00A1611D">
      <w:pPr>
        <w:tabs>
          <w:tab w:val="left" w:pos="426"/>
        </w:tabs>
        <w:spacing w:before="120" w:after="0" w:line="240" w:lineRule="auto"/>
        <w:jc w:val="both"/>
        <w:rPr>
          <w:rFonts w:ascii="Times New Roman" w:hAnsi="Times New Roman" w:cs="Times New Roman"/>
          <w:sz w:val="24"/>
          <w:szCs w:val="24"/>
        </w:rPr>
      </w:pPr>
    </w:p>
    <w:p w14:paraId="22892D14" w14:textId="2D092A92" w:rsidR="00B32574" w:rsidRDefault="00B32574" w:rsidP="00A1611D">
      <w:pPr>
        <w:tabs>
          <w:tab w:val="left" w:pos="426"/>
        </w:tabs>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 407</w:t>
      </w:r>
    </w:p>
    <w:p w14:paraId="76FD62A3" w14:textId="25C456E4" w:rsidR="00B32574" w:rsidRDefault="00B32574" w:rsidP="00A1611D">
      <w:pPr>
        <w:tabs>
          <w:tab w:val="left" w:pos="426"/>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Předmětné ustanovení provádí čl</w:t>
      </w:r>
      <w:r w:rsidR="00AF0905">
        <w:rPr>
          <w:rFonts w:ascii="Times New Roman" w:hAnsi="Times New Roman" w:cs="Times New Roman"/>
          <w:sz w:val="24"/>
          <w:szCs w:val="24"/>
        </w:rPr>
        <w:t>ánek</w:t>
      </w:r>
      <w:r>
        <w:rPr>
          <w:rFonts w:ascii="Times New Roman" w:hAnsi="Times New Roman" w:cs="Times New Roman"/>
          <w:sz w:val="24"/>
          <w:szCs w:val="24"/>
        </w:rPr>
        <w:t xml:space="preserve"> 13 </w:t>
      </w:r>
      <w:r w:rsidR="00667562">
        <w:rPr>
          <w:rFonts w:ascii="Times New Roman" w:hAnsi="Times New Roman" w:cs="Times New Roman"/>
          <w:sz w:val="24"/>
          <w:szCs w:val="24"/>
        </w:rPr>
        <w:t>n</w:t>
      </w:r>
      <w:r>
        <w:rPr>
          <w:rFonts w:ascii="Times New Roman" w:hAnsi="Times New Roman" w:cs="Times New Roman"/>
          <w:sz w:val="24"/>
          <w:szCs w:val="24"/>
        </w:rPr>
        <w:t xml:space="preserve">ařízení. Nařízení požaduje, aby dotčená osoba, jejíž </w:t>
      </w:r>
      <w:r w:rsidR="00D02535">
        <w:rPr>
          <w:rFonts w:ascii="Times New Roman" w:hAnsi="Times New Roman" w:cs="Times New Roman"/>
          <w:sz w:val="24"/>
          <w:szCs w:val="24"/>
        </w:rPr>
        <w:t>data</w:t>
      </w:r>
      <w:r>
        <w:rPr>
          <w:rFonts w:ascii="Times New Roman" w:hAnsi="Times New Roman" w:cs="Times New Roman"/>
          <w:sz w:val="24"/>
          <w:szCs w:val="24"/>
        </w:rPr>
        <w:t xml:space="preserve"> byl</w:t>
      </w:r>
      <w:r w:rsidR="00D02535">
        <w:rPr>
          <w:rFonts w:ascii="Times New Roman" w:hAnsi="Times New Roman" w:cs="Times New Roman"/>
          <w:sz w:val="24"/>
          <w:szCs w:val="24"/>
        </w:rPr>
        <w:t>a</w:t>
      </w:r>
      <w:r>
        <w:rPr>
          <w:rFonts w:ascii="Times New Roman" w:hAnsi="Times New Roman" w:cs="Times New Roman"/>
          <w:sz w:val="24"/>
          <w:szCs w:val="24"/>
        </w:rPr>
        <w:t xml:space="preserve"> vyžádán</w:t>
      </w:r>
      <w:r w:rsidR="00D02535">
        <w:rPr>
          <w:rFonts w:ascii="Times New Roman" w:hAnsi="Times New Roman" w:cs="Times New Roman"/>
          <w:sz w:val="24"/>
          <w:szCs w:val="24"/>
        </w:rPr>
        <w:t>a</w:t>
      </w:r>
      <w:r>
        <w:rPr>
          <w:rFonts w:ascii="Times New Roman" w:hAnsi="Times New Roman" w:cs="Times New Roman"/>
          <w:sz w:val="24"/>
          <w:szCs w:val="24"/>
        </w:rPr>
        <w:t xml:space="preserve"> na základě evropského vydávacího příkazu, o tom byla vydávajícím státem informována. Zároveň umožňuje v souladu s vnitrostátním právem informování odložit nebo omezit či od něj upustit z důvodů uvedených v čl</w:t>
      </w:r>
      <w:r w:rsidR="00AF0905">
        <w:rPr>
          <w:rFonts w:ascii="Times New Roman" w:hAnsi="Times New Roman" w:cs="Times New Roman"/>
          <w:sz w:val="24"/>
          <w:szCs w:val="24"/>
        </w:rPr>
        <w:t>ánku</w:t>
      </w:r>
      <w:r>
        <w:rPr>
          <w:rFonts w:ascii="Times New Roman" w:hAnsi="Times New Roman" w:cs="Times New Roman"/>
          <w:sz w:val="24"/>
          <w:szCs w:val="24"/>
        </w:rPr>
        <w:t xml:space="preserve"> 13 odst. 3 směrnice (EU) 2016/680. Těmito důvody jsou:</w:t>
      </w:r>
    </w:p>
    <w:p w14:paraId="09DE4888" w14:textId="3F455C8F" w:rsidR="00B32574" w:rsidRPr="00B32574" w:rsidRDefault="00B32574" w:rsidP="00A1611D">
      <w:pPr>
        <w:pStyle w:val="Odstavecseseznamem"/>
        <w:numPr>
          <w:ilvl w:val="0"/>
          <w:numId w:val="16"/>
        </w:numPr>
        <w:tabs>
          <w:tab w:val="left" w:pos="426"/>
        </w:tabs>
        <w:spacing w:before="120" w:after="0" w:line="240" w:lineRule="auto"/>
        <w:ind w:left="284" w:hanging="284"/>
        <w:contextualSpacing w:val="0"/>
        <w:jc w:val="both"/>
      </w:pPr>
      <w:r w:rsidRPr="00B32574">
        <w:rPr>
          <w:color w:val="000000"/>
        </w:rPr>
        <w:t>zabrán</w:t>
      </w:r>
      <w:r>
        <w:rPr>
          <w:color w:val="000000"/>
        </w:rPr>
        <w:t>ění</w:t>
      </w:r>
      <w:r w:rsidRPr="00B32574">
        <w:rPr>
          <w:color w:val="000000"/>
        </w:rPr>
        <w:t xml:space="preserve"> maření úředních nebo právních šetření, vyšetřování nebo postupů</w:t>
      </w:r>
      <w:r w:rsidR="00F76306">
        <w:rPr>
          <w:color w:val="000000"/>
        </w:rPr>
        <w:t>,</w:t>
      </w:r>
    </w:p>
    <w:p w14:paraId="2F914BF2" w14:textId="62FCB9C8" w:rsidR="00B32574" w:rsidRPr="00B32574" w:rsidRDefault="00B32574" w:rsidP="00A1611D">
      <w:pPr>
        <w:pStyle w:val="Odstavecseseznamem"/>
        <w:numPr>
          <w:ilvl w:val="0"/>
          <w:numId w:val="16"/>
        </w:numPr>
        <w:tabs>
          <w:tab w:val="left" w:pos="426"/>
        </w:tabs>
        <w:spacing w:before="120" w:after="0" w:line="240" w:lineRule="auto"/>
        <w:ind w:left="284" w:hanging="284"/>
        <w:contextualSpacing w:val="0"/>
        <w:jc w:val="both"/>
      </w:pPr>
      <w:r w:rsidRPr="00B32574">
        <w:rPr>
          <w:color w:val="000000"/>
        </w:rPr>
        <w:t>zabrán</w:t>
      </w:r>
      <w:r>
        <w:rPr>
          <w:color w:val="000000"/>
        </w:rPr>
        <w:t>ění</w:t>
      </w:r>
      <w:r w:rsidRPr="00B32574">
        <w:rPr>
          <w:color w:val="000000"/>
        </w:rPr>
        <w:t xml:space="preserve"> nepříznivému ovlivňování prevence, odhalování, vyšetřování či stíhání trestných činů nebo výkonu trestů</w:t>
      </w:r>
      <w:r w:rsidR="00F76306">
        <w:rPr>
          <w:color w:val="000000"/>
        </w:rPr>
        <w:t>,</w:t>
      </w:r>
    </w:p>
    <w:p w14:paraId="741B41C7" w14:textId="147013B6" w:rsidR="00B32574" w:rsidRPr="00B32574" w:rsidRDefault="00B32574" w:rsidP="00A1611D">
      <w:pPr>
        <w:pStyle w:val="Odstavecseseznamem"/>
        <w:numPr>
          <w:ilvl w:val="0"/>
          <w:numId w:val="16"/>
        </w:numPr>
        <w:tabs>
          <w:tab w:val="left" w:pos="426"/>
        </w:tabs>
        <w:spacing w:before="120" w:after="0" w:line="240" w:lineRule="auto"/>
        <w:ind w:left="284" w:hanging="284"/>
        <w:contextualSpacing w:val="0"/>
        <w:jc w:val="both"/>
      </w:pPr>
      <w:r>
        <w:rPr>
          <w:color w:val="000000"/>
        </w:rPr>
        <w:t>ochrana</w:t>
      </w:r>
      <w:r w:rsidRPr="00B32574">
        <w:rPr>
          <w:color w:val="000000"/>
        </w:rPr>
        <w:t xml:space="preserve"> veřejn</w:t>
      </w:r>
      <w:r>
        <w:rPr>
          <w:color w:val="000000"/>
        </w:rPr>
        <w:t>é</w:t>
      </w:r>
      <w:r w:rsidRPr="00B32574">
        <w:rPr>
          <w:color w:val="000000"/>
        </w:rPr>
        <w:t xml:space="preserve"> bezpečnost</w:t>
      </w:r>
      <w:r>
        <w:rPr>
          <w:color w:val="000000"/>
        </w:rPr>
        <w:t>i</w:t>
      </w:r>
      <w:r w:rsidR="00F76306">
        <w:rPr>
          <w:color w:val="000000"/>
        </w:rPr>
        <w:t>,</w:t>
      </w:r>
    </w:p>
    <w:p w14:paraId="54B75857" w14:textId="2AB0EFBB" w:rsidR="00B32574" w:rsidRPr="00B32574" w:rsidRDefault="00B32574" w:rsidP="00A1611D">
      <w:pPr>
        <w:pStyle w:val="Odstavecseseznamem"/>
        <w:numPr>
          <w:ilvl w:val="0"/>
          <w:numId w:val="16"/>
        </w:numPr>
        <w:tabs>
          <w:tab w:val="left" w:pos="426"/>
        </w:tabs>
        <w:spacing w:before="120" w:after="0" w:line="240" w:lineRule="auto"/>
        <w:ind w:left="284" w:hanging="284"/>
        <w:contextualSpacing w:val="0"/>
        <w:jc w:val="both"/>
      </w:pPr>
      <w:r>
        <w:rPr>
          <w:color w:val="000000"/>
        </w:rPr>
        <w:t xml:space="preserve">ochrana </w:t>
      </w:r>
      <w:r w:rsidRPr="00B32574">
        <w:rPr>
          <w:color w:val="000000"/>
        </w:rPr>
        <w:t>národní bezpečnost</w:t>
      </w:r>
      <w:r>
        <w:rPr>
          <w:color w:val="000000"/>
        </w:rPr>
        <w:t>i</w:t>
      </w:r>
      <w:r w:rsidR="00F76306">
        <w:rPr>
          <w:color w:val="000000"/>
        </w:rPr>
        <w:t xml:space="preserve"> a</w:t>
      </w:r>
    </w:p>
    <w:p w14:paraId="50969EB2" w14:textId="2893B7B9" w:rsidR="00B32574" w:rsidRDefault="00B32574" w:rsidP="00A1611D">
      <w:pPr>
        <w:pStyle w:val="Odstavecseseznamem"/>
        <w:numPr>
          <w:ilvl w:val="0"/>
          <w:numId w:val="16"/>
        </w:numPr>
        <w:tabs>
          <w:tab w:val="left" w:pos="426"/>
        </w:tabs>
        <w:spacing w:before="120" w:after="0" w:line="240" w:lineRule="auto"/>
        <w:ind w:left="284" w:hanging="284"/>
        <w:contextualSpacing w:val="0"/>
        <w:jc w:val="both"/>
      </w:pPr>
      <w:r>
        <w:rPr>
          <w:color w:val="000000"/>
        </w:rPr>
        <w:t xml:space="preserve">ochrana </w:t>
      </w:r>
      <w:r w:rsidRPr="00B32574">
        <w:rPr>
          <w:color w:val="000000"/>
        </w:rPr>
        <w:t>práv a svobod druhých</w:t>
      </w:r>
      <w:r>
        <w:rPr>
          <w:color w:val="000000"/>
        </w:rPr>
        <w:t>.</w:t>
      </w:r>
    </w:p>
    <w:p w14:paraId="7D5EDA2F" w14:textId="7F02C37A" w:rsidR="00B32574" w:rsidRPr="00B32574" w:rsidRDefault="00B32574" w:rsidP="00A1611D">
      <w:pPr>
        <w:tabs>
          <w:tab w:val="left" w:pos="426"/>
        </w:tabs>
        <w:spacing w:before="120" w:after="0" w:line="240" w:lineRule="auto"/>
        <w:jc w:val="both"/>
        <w:rPr>
          <w:rFonts w:ascii="Times New Roman" w:hAnsi="Times New Roman" w:cs="Times New Roman"/>
          <w:sz w:val="24"/>
          <w:szCs w:val="24"/>
        </w:rPr>
      </w:pPr>
      <w:r w:rsidRPr="00B32574">
        <w:rPr>
          <w:rFonts w:ascii="Times New Roman" w:hAnsi="Times New Roman" w:cs="Times New Roman"/>
          <w:sz w:val="24"/>
          <w:szCs w:val="24"/>
        </w:rPr>
        <w:t xml:space="preserve">Vzhledem k tomu, že </w:t>
      </w:r>
      <w:r>
        <w:rPr>
          <w:rFonts w:ascii="Times New Roman" w:hAnsi="Times New Roman" w:cs="Times New Roman"/>
          <w:sz w:val="24"/>
          <w:szCs w:val="24"/>
        </w:rPr>
        <w:t xml:space="preserve">článek 13 </w:t>
      </w:r>
      <w:r w:rsidR="00667562">
        <w:rPr>
          <w:rFonts w:ascii="Times New Roman" w:hAnsi="Times New Roman" w:cs="Times New Roman"/>
          <w:sz w:val="24"/>
          <w:szCs w:val="24"/>
        </w:rPr>
        <w:t>n</w:t>
      </w:r>
      <w:r>
        <w:rPr>
          <w:rFonts w:ascii="Times New Roman" w:hAnsi="Times New Roman" w:cs="Times New Roman"/>
          <w:sz w:val="24"/>
          <w:szCs w:val="24"/>
        </w:rPr>
        <w:t xml:space="preserve">ařízení odkazuje na vnitrostátní právo, navrhuje se </w:t>
      </w:r>
      <w:r w:rsidR="00F65DAD">
        <w:rPr>
          <w:rFonts w:ascii="Times New Roman" w:hAnsi="Times New Roman" w:cs="Times New Roman"/>
          <w:sz w:val="24"/>
          <w:szCs w:val="24"/>
        </w:rPr>
        <w:t xml:space="preserve">subsidiárně </w:t>
      </w:r>
      <w:r>
        <w:rPr>
          <w:rFonts w:ascii="Times New Roman" w:hAnsi="Times New Roman" w:cs="Times New Roman"/>
          <w:sz w:val="24"/>
          <w:szCs w:val="24"/>
        </w:rPr>
        <w:t xml:space="preserve">vycházet z úpravy informační povinnosti </w:t>
      </w:r>
      <w:r w:rsidR="00F76306">
        <w:rPr>
          <w:rFonts w:ascii="Times New Roman" w:hAnsi="Times New Roman" w:cs="Times New Roman"/>
          <w:sz w:val="24"/>
          <w:szCs w:val="24"/>
        </w:rPr>
        <w:t xml:space="preserve">stanovené </w:t>
      </w:r>
      <w:r>
        <w:rPr>
          <w:rFonts w:ascii="Times New Roman" w:hAnsi="Times New Roman" w:cs="Times New Roman"/>
          <w:sz w:val="24"/>
          <w:szCs w:val="24"/>
        </w:rPr>
        <w:t>v § 88a tr</w:t>
      </w:r>
      <w:r w:rsidR="007B4786">
        <w:rPr>
          <w:rFonts w:ascii="Times New Roman" w:hAnsi="Times New Roman" w:cs="Times New Roman"/>
          <w:sz w:val="24"/>
          <w:szCs w:val="24"/>
        </w:rPr>
        <w:t xml:space="preserve">. </w:t>
      </w:r>
      <w:r>
        <w:rPr>
          <w:rFonts w:ascii="Times New Roman" w:hAnsi="Times New Roman" w:cs="Times New Roman"/>
          <w:sz w:val="24"/>
          <w:szCs w:val="24"/>
        </w:rPr>
        <w:t>ř</w:t>
      </w:r>
      <w:r w:rsidR="007B4786">
        <w:rPr>
          <w:rFonts w:ascii="Times New Roman" w:hAnsi="Times New Roman" w:cs="Times New Roman"/>
          <w:sz w:val="24"/>
          <w:szCs w:val="24"/>
        </w:rPr>
        <w:t>.</w:t>
      </w:r>
      <w:r>
        <w:rPr>
          <w:rFonts w:ascii="Times New Roman" w:hAnsi="Times New Roman" w:cs="Times New Roman"/>
          <w:sz w:val="24"/>
          <w:szCs w:val="24"/>
        </w:rPr>
        <w:t xml:space="preserve">, včetně přezkumu příkazu podle § 314l a násl. tr. ř. Důvody pro neinformování osoby uvedené </w:t>
      </w:r>
      <w:r w:rsidR="00F76306">
        <w:rPr>
          <w:rFonts w:ascii="Times New Roman" w:hAnsi="Times New Roman" w:cs="Times New Roman"/>
          <w:sz w:val="24"/>
          <w:szCs w:val="24"/>
        </w:rPr>
        <w:t xml:space="preserve">dnes </w:t>
      </w:r>
      <w:r>
        <w:rPr>
          <w:rFonts w:ascii="Times New Roman" w:hAnsi="Times New Roman" w:cs="Times New Roman"/>
          <w:sz w:val="24"/>
          <w:szCs w:val="24"/>
        </w:rPr>
        <w:t xml:space="preserve">v § 88a </w:t>
      </w:r>
      <w:r w:rsidR="0052678E">
        <w:rPr>
          <w:rFonts w:ascii="Times New Roman" w:hAnsi="Times New Roman" w:cs="Times New Roman"/>
          <w:sz w:val="24"/>
          <w:szCs w:val="24"/>
        </w:rPr>
        <w:t xml:space="preserve">odst. 3 tr. ř. </w:t>
      </w:r>
      <w:r w:rsidR="00F76306" w:rsidRPr="00565636">
        <w:rPr>
          <w:rFonts w:ascii="Times New Roman" w:hAnsi="Times New Roman" w:cs="Times New Roman"/>
          <w:i/>
          <w:iCs/>
          <w:sz w:val="24"/>
          <w:szCs w:val="24"/>
        </w:rPr>
        <w:t>(po přijetí tisku 861 v § 88a odst. 2 tr. ř. ve spojení s § 88 odst. 10 tr. ř.)</w:t>
      </w:r>
      <w:r w:rsidR="00F76306">
        <w:rPr>
          <w:rFonts w:ascii="Times New Roman" w:hAnsi="Times New Roman" w:cs="Times New Roman"/>
          <w:sz w:val="24"/>
          <w:szCs w:val="24"/>
        </w:rPr>
        <w:t xml:space="preserve"> </w:t>
      </w:r>
      <w:r w:rsidR="0052678E">
        <w:rPr>
          <w:rFonts w:ascii="Times New Roman" w:hAnsi="Times New Roman" w:cs="Times New Roman"/>
          <w:sz w:val="24"/>
          <w:szCs w:val="24"/>
        </w:rPr>
        <w:t xml:space="preserve">spadají mezi důvody </w:t>
      </w:r>
      <w:r w:rsidR="0052678E">
        <w:rPr>
          <w:rFonts w:ascii="Times New Roman" w:hAnsi="Times New Roman" w:cs="Times New Roman"/>
          <w:sz w:val="24"/>
          <w:szCs w:val="24"/>
        </w:rPr>
        <w:lastRenderedPageBreak/>
        <w:t xml:space="preserve">upravené ve směrnici (EU) 2016/680. Informační povinnost se uplatní pro všechny kategorie dat, pokud je možné identifikovat osobu, která má být informována. </w:t>
      </w:r>
    </w:p>
    <w:p w14:paraId="05C3F54C" w14:textId="77777777" w:rsidR="00B32574" w:rsidRDefault="00B32574" w:rsidP="00A1611D">
      <w:pPr>
        <w:tabs>
          <w:tab w:val="left" w:pos="426"/>
        </w:tabs>
        <w:spacing w:before="120" w:after="0" w:line="240" w:lineRule="auto"/>
        <w:jc w:val="both"/>
        <w:rPr>
          <w:rFonts w:ascii="Times New Roman" w:hAnsi="Times New Roman" w:cs="Times New Roman"/>
          <w:b/>
          <w:bCs/>
          <w:sz w:val="24"/>
          <w:szCs w:val="24"/>
        </w:rPr>
      </w:pPr>
    </w:p>
    <w:p w14:paraId="03777228" w14:textId="2628F924" w:rsidR="00952790" w:rsidRDefault="00952790" w:rsidP="00A1611D">
      <w:pPr>
        <w:tabs>
          <w:tab w:val="left" w:pos="426"/>
        </w:tabs>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 408</w:t>
      </w:r>
    </w:p>
    <w:p w14:paraId="1E7E8271" w14:textId="77777777" w:rsidR="008C4A8E" w:rsidRPr="008C4A8E" w:rsidRDefault="008C4A8E" w:rsidP="008C4A8E">
      <w:pPr>
        <w:tabs>
          <w:tab w:val="left" w:pos="426"/>
        </w:tabs>
        <w:spacing w:before="120" w:after="0" w:line="240" w:lineRule="auto"/>
        <w:jc w:val="both"/>
        <w:rPr>
          <w:rFonts w:ascii="Times New Roman" w:eastAsia="Times New Roman" w:hAnsi="Times New Roman" w:cs="Times New Roman"/>
          <w:bCs/>
          <w:color w:val="000000"/>
          <w:sz w:val="24"/>
          <w:szCs w:val="24"/>
          <w:lang w:eastAsia="cs-CZ"/>
        </w:rPr>
      </w:pPr>
      <w:r w:rsidRPr="008C4A8E">
        <w:rPr>
          <w:rFonts w:ascii="Times New Roman" w:eastAsia="Aptos" w:hAnsi="Times New Roman" w:cs="Times New Roman"/>
          <w:bCs/>
          <w:sz w:val="24"/>
          <w:szCs w:val="24"/>
        </w:rPr>
        <w:t>Předmětné ustanovení provádí článek 14 nařízení, podle něhož může p</w:t>
      </w:r>
      <w:r w:rsidRPr="008C4A8E">
        <w:rPr>
          <w:rFonts w:ascii="Times New Roman" w:eastAsia="Times New Roman" w:hAnsi="Times New Roman" w:cs="Times New Roman"/>
          <w:bCs/>
          <w:color w:val="000000"/>
          <w:sz w:val="24"/>
          <w:szCs w:val="24"/>
          <w:lang w:eastAsia="cs-CZ"/>
        </w:rPr>
        <w:t xml:space="preserve">oskytovatel služeb v souladu s vnitrostátním právem vydávajícího státu požádat o náhradu svých nákladů vydávajícím státem, stanoví-li tuto možnost vnitrostátní právo vydávajícího státu pro vnitrostátní příkazy v obdobných situacích – to se netýká nákladů na decentralizovaný informační systém. </w:t>
      </w:r>
    </w:p>
    <w:p w14:paraId="765EEBE2" w14:textId="5D560226" w:rsidR="008C4A8E" w:rsidRPr="008C4A8E" w:rsidRDefault="008C4A8E" w:rsidP="008C4A8E">
      <w:pPr>
        <w:tabs>
          <w:tab w:val="left" w:pos="426"/>
        </w:tabs>
        <w:spacing w:before="120" w:after="0" w:line="240" w:lineRule="auto"/>
        <w:jc w:val="both"/>
        <w:rPr>
          <w:rFonts w:ascii="Times New Roman" w:eastAsia="Times New Roman" w:hAnsi="Times New Roman" w:cs="Times New Roman"/>
          <w:bCs/>
          <w:color w:val="000000"/>
          <w:sz w:val="24"/>
          <w:szCs w:val="24"/>
          <w:lang w:eastAsia="cs-CZ"/>
        </w:rPr>
      </w:pPr>
      <w:r w:rsidRPr="008C4A8E">
        <w:rPr>
          <w:rFonts w:ascii="Times New Roman" w:eastAsia="Times New Roman" w:hAnsi="Times New Roman" w:cs="Times New Roman"/>
          <w:bCs/>
          <w:color w:val="000000"/>
          <w:sz w:val="24"/>
          <w:szCs w:val="24"/>
          <w:lang w:eastAsia="cs-CZ"/>
        </w:rPr>
        <w:t xml:space="preserve">Ustanovení § 97 odst. 3 zákona o elektronických komunikacích (dále jen „ZEK“) obsahuje dva typy nákladů, jednak náklady na uchovávání provozních a lokalizačních údajů a jednak náklady na jejich poskytnutí. Jejich úhradu pak </w:t>
      </w:r>
      <w:r w:rsidR="006D2500">
        <w:rPr>
          <w:rFonts w:ascii="Times New Roman" w:eastAsia="Times New Roman" w:hAnsi="Times New Roman" w:cs="Times New Roman"/>
          <w:bCs/>
          <w:color w:val="000000"/>
          <w:sz w:val="24"/>
          <w:szCs w:val="24"/>
          <w:lang w:eastAsia="cs-CZ"/>
        </w:rPr>
        <w:t xml:space="preserve">aktuálně </w:t>
      </w:r>
      <w:r w:rsidRPr="008C4A8E">
        <w:rPr>
          <w:rFonts w:ascii="Times New Roman" w:eastAsia="Times New Roman" w:hAnsi="Times New Roman" w:cs="Times New Roman"/>
          <w:bCs/>
          <w:color w:val="000000"/>
          <w:sz w:val="24"/>
          <w:szCs w:val="24"/>
          <w:lang w:eastAsia="cs-CZ"/>
        </w:rPr>
        <w:t>upravuje prováděcí vyhláška č. 462/2013 Sb.</w:t>
      </w:r>
    </w:p>
    <w:p w14:paraId="328C3E34" w14:textId="31FDA053" w:rsidR="008C4A8E" w:rsidRPr="008C4A8E" w:rsidRDefault="008C4A8E" w:rsidP="008C4A8E">
      <w:pPr>
        <w:tabs>
          <w:tab w:val="left" w:pos="426"/>
        </w:tabs>
        <w:spacing w:before="120" w:after="0" w:line="240" w:lineRule="auto"/>
        <w:jc w:val="both"/>
        <w:rPr>
          <w:rFonts w:ascii="Times New Roman" w:eastAsia="Times New Roman" w:hAnsi="Times New Roman" w:cs="Times New Roman"/>
          <w:bCs/>
          <w:color w:val="000000"/>
          <w:sz w:val="24"/>
          <w:szCs w:val="24"/>
          <w:lang w:eastAsia="cs-CZ"/>
        </w:rPr>
      </w:pPr>
      <w:r w:rsidRPr="008C4A8E">
        <w:rPr>
          <w:rFonts w:ascii="Times New Roman" w:eastAsia="Times New Roman" w:hAnsi="Times New Roman" w:cs="Times New Roman"/>
          <w:bCs/>
          <w:color w:val="000000"/>
          <w:sz w:val="24"/>
          <w:szCs w:val="24"/>
          <w:lang w:eastAsia="cs-CZ"/>
        </w:rPr>
        <w:t>Vyhláška č. 462/2013 Sb. upravuje dva druhy nákladů. Jednak upravuje výši nákladů na</w:t>
      </w:r>
      <w:r w:rsidR="009C4EA0">
        <w:rPr>
          <w:rFonts w:ascii="Times New Roman" w:eastAsia="Times New Roman" w:hAnsi="Times New Roman" w:cs="Times New Roman"/>
          <w:bCs/>
          <w:color w:val="000000"/>
          <w:sz w:val="24"/>
          <w:szCs w:val="24"/>
          <w:lang w:eastAsia="cs-CZ"/>
        </w:rPr>
        <w:t> </w:t>
      </w:r>
      <w:r w:rsidRPr="008C4A8E">
        <w:rPr>
          <w:rFonts w:ascii="Times New Roman" w:eastAsia="Times New Roman" w:hAnsi="Times New Roman" w:cs="Times New Roman"/>
          <w:bCs/>
          <w:color w:val="000000"/>
          <w:sz w:val="24"/>
          <w:szCs w:val="24"/>
          <w:lang w:eastAsia="cs-CZ"/>
        </w:rPr>
        <w:t xml:space="preserve">poskytování provozních a lokalizačních údajů (viz § 2 odst. 3 této vyhlášky), přičemž v příloze této vyhlášky je uvedena „sazba“ za poskytnutí údajů v konkrétním případě. Náklady na poskytnutí provozních a lokalizačních údajů jsou jednorázové náklady, které přímo souvisí s vyhledáním vyžádané informace a jejím předáním. Náklady hradí subjekt, který podal žádost o poskytnutí provozních a lokalizačních údajů (§ 4 odst. 5 vyhlášky č. 462/2013 Sb.). O úhradu těchto nákladů může poskytovatel služeb požádat v rozsahu, v jakém jde o údaje hrazené podle vyhlášky (vyhláška v návaznosti na ZEK pracuje s kategoriemi provozních a lokalizačních údajů, návrh zákona v souladu s nařízením upravuje provozní údaje, které nicméně v zásadě odpovídají provozním a lokalizačním údajům podle ZEK) a pouze v případě, že má ve státě, v němž má sídlo, provozovnu nebo určeného zástupce, obdobnou povinnost uchovávat údaje (data retention), což je povinen doložit. </w:t>
      </w:r>
    </w:p>
    <w:p w14:paraId="493B2988" w14:textId="585207D5" w:rsidR="008C4A8E" w:rsidRPr="008C4A8E" w:rsidRDefault="008C4A8E" w:rsidP="008C4A8E">
      <w:pPr>
        <w:tabs>
          <w:tab w:val="left" w:pos="426"/>
        </w:tabs>
        <w:spacing w:before="120" w:after="0" w:line="240" w:lineRule="auto"/>
        <w:jc w:val="both"/>
        <w:rPr>
          <w:rFonts w:ascii="Times New Roman" w:eastAsia="Times New Roman" w:hAnsi="Times New Roman" w:cs="Times New Roman"/>
          <w:bCs/>
          <w:color w:val="000000"/>
          <w:sz w:val="24"/>
          <w:szCs w:val="24"/>
          <w:lang w:eastAsia="cs-CZ"/>
        </w:rPr>
      </w:pPr>
      <w:r w:rsidRPr="008C4A8E">
        <w:rPr>
          <w:rFonts w:ascii="Times New Roman" w:eastAsia="Times New Roman" w:hAnsi="Times New Roman" w:cs="Times New Roman"/>
          <w:bCs/>
          <w:color w:val="000000"/>
          <w:sz w:val="24"/>
          <w:szCs w:val="24"/>
          <w:lang w:eastAsia="cs-CZ"/>
        </w:rPr>
        <w:t>Dále předmětná vyhláška upravuje úhradu nákladů na uchovávání provozních a lokalizačních údajů. Tyto náklady vznikají nezávisle na množství poskytovaných informací, proto jsou hrazeny cestou jediného orgánu (Ministerstv</w:t>
      </w:r>
      <w:r w:rsidR="001834F1">
        <w:rPr>
          <w:rFonts w:ascii="Times New Roman" w:eastAsia="Times New Roman" w:hAnsi="Times New Roman" w:cs="Times New Roman"/>
          <w:bCs/>
          <w:color w:val="000000"/>
          <w:sz w:val="24"/>
          <w:szCs w:val="24"/>
          <w:lang w:eastAsia="cs-CZ"/>
        </w:rPr>
        <w:t>em</w:t>
      </w:r>
      <w:r w:rsidRPr="008C4A8E">
        <w:rPr>
          <w:rFonts w:ascii="Times New Roman" w:eastAsia="Times New Roman" w:hAnsi="Times New Roman" w:cs="Times New Roman"/>
          <w:bCs/>
          <w:color w:val="000000"/>
          <w:sz w:val="24"/>
          <w:szCs w:val="24"/>
          <w:lang w:eastAsia="cs-CZ"/>
        </w:rPr>
        <w:t xml:space="preserve"> vnitra – viz § 4 odst. 4 vyhlášky č.</w:t>
      </w:r>
      <w:r w:rsidR="001834F1">
        <w:rPr>
          <w:rFonts w:ascii="Times New Roman" w:eastAsia="Times New Roman" w:hAnsi="Times New Roman" w:cs="Times New Roman"/>
          <w:bCs/>
          <w:color w:val="000000"/>
          <w:sz w:val="24"/>
          <w:szCs w:val="24"/>
          <w:lang w:eastAsia="cs-CZ"/>
        </w:rPr>
        <w:t> </w:t>
      </w:r>
      <w:r w:rsidRPr="008C4A8E">
        <w:rPr>
          <w:rFonts w:ascii="Times New Roman" w:eastAsia="Times New Roman" w:hAnsi="Times New Roman" w:cs="Times New Roman"/>
          <w:bCs/>
          <w:color w:val="000000"/>
          <w:sz w:val="24"/>
          <w:szCs w:val="24"/>
          <w:lang w:eastAsia="cs-CZ"/>
        </w:rPr>
        <w:t>462/2013</w:t>
      </w:r>
      <w:r w:rsidR="001834F1">
        <w:rPr>
          <w:rFonts w:ascii="Times New Roman" w:eastAsia="Times New Roman" w:hAnsi="Times New Roman" w:cs="Times New Roman"/>
          <w:bCs/>
          <w:color w:val="000000"/>
          <w:sz w:val="24"/>
          <w:szCs w:val="24"/>
          <w:lang w:eastAsia="cs-CZ"/>
        </w:rPr>
        <w:t> </w:t>
      </w:r>
      <w:r w:rsidRPr="008C4A8E">
        <w:rPr>
          <w:rFonts w:ascii="Times New Roman" w:eastAsia="Times New Roman" w:hAnsi="Times New Roman" w:cs="Times New Roman"/>
          <w:bCs/>
          <w:color w:val="000000"/>
          <w:sz w:val="24"/>
          <w:szCs w:val="24"/>
          <w:lang w:eastAsia="cs-CZ"/>
        </w:rPr>
        <w:t xml:space="preserve">Sb.) bez ohledu na to, že údaje si mohou vyžádat i jiné orgány. Tyto náklady tedy nesouvisí s konkrétní žádostí o uchování údajů, a poskytovatelům služeb tedy hrazeny nebudou. </w:t>
      </w:r>
    </w:p>
    <w:p w14:paraId="691B207B" w14:textId="3FCA6A49" w:rsidR="003E1348" w:rsidRPr="008C4A8E" w:rsidRDefault="008C4A8E" w:rsidP="003E1348">
      <w:pPr>
        <w:tabs>
          <w:tab w:val="left" w:pos="426"/>
        </w:tabs>
        <w:spacing w:before="120" w:after="0" w:line="240" w:lineRule="auto"/>
        <w:jc w:val="both"/>
        <w:rPr>
          <w:rFonts w:ascii="Times New Roman" w:eastAsia="Times New Roman" w:hAnsi="Times New Roman" w:cs="Times New Roman"/>
          <w:bCs/>
          <w:color w:val="000000"/>
          <w:sz w:val="24"/>
          <w:szCs w:val="24"/>
          <w:lang w:eastAsia="cs-CZ"/>
        </w:rPr>
      </w:pPr>
      <w:r w:rsidRPr="008C4A8E">
        <w:rPr>
          <w:rFonts w:ascii="Times New Roman" w:eastAsia="Times New Roman" w:hAnsi="Times New Roman" w:cs="Times New Roman"/>
          <w:bCs/>
          <w:color w:val="000000"/>
          <w:sz w:val="24"/>
          <w:szCs w:val="24"/>
          <w:lang w:eastAsia="cs-CZ"/>
        </w:rPr>
        <w:t>V návaznosti na změnu právní úpravy v důsledku přijetí zákona č. 23/2025 Sb., kterým se mění ZEK</w:t>
      </w:r>
      <w:r w:rsidR="00D9321A">
        <w:rPr>
          <w:rFonts w:ascii="Times New Roman" w:eastAsia="Times New Roman" w:hAnsi="Times New Roman" w:cs="Times New Roman"/>
          <w:bCs/>
          <w:color w:val="000000"/>
          <w:sz w:val="24"/>
          <w:szCs w:val="24"/>
          <w:lang w:eastAsia="cs-CZ"/>
        </w:rPr>
        <w:t>,</w:t>
      </w:r>
      <w:r w:rsidRPr="008C4A8E">
        <w:rPr>
          <w:rFonts w:ascii="Times New Roman" w:eastAsia="Times New Roman" w:hAnsi="Times New Roman" w:cs="Times New Roman"/>
          <w:bCs/>
          <w:color w:val="000000"/>
          <w:sz w:val="24"/>
          <w:szCs w:val="24"/>
          <w:lang w:eastAsia="cs-CZ"/>
        </w:rPr>
        <w:t xml:space="preserve"> by měla být nově výše a způsob úhrady příspěvku na plnění povinnosti uchovávat provozní a lokalizační údaje stanovena nařízením vlády (§ 97 odst. 11 zákona o elektronických komunikacích, ve znění zákona č. 23/2025 Sb.) a výše a způsob úhrady efektivně a účelně vynaložených nákladů na poskytnutí provozních a lokalizačních údajů má stanovit vyhláška ČTÚ, s tím, že vyhláška č. 462/2013 Sb. je přímo zákonem č. 23/2025 Sb. s účinností od</w:t>
      </w:r>
      <w:r w:rsidR="006D2500">
        <w:rPr>
          <w:rFonts w:ascii="Times New Roman" w:eastAsia="Times New Roman" w:hAnsi="Times New Roman" w:cs="Times New Roman"/>
          <w:bCs/>
          <w:color w:val="000000"/>
          <w:sz w:val="24"/>
          <w:szCs w:val="24"/>
          <w:lang w:eastAsia="cs-CZ"/>
        </w:rPr>
        <w:t> </w:t>
      </w:r>
      <w:r w:rsidRPr="008C4A8E">
        <w:rPr>
          <w:rFonts w:ascii="Times New Roman" w:eastAsia="Times New Roman" w:hAnsi="Times New Roman" w:cs="Times New Roman"/>
          <w:bCs/>
          <w:color w:val="000000"/>
          <w:sz w:val="24"/>
          <w:szCs w:val="24"/>
          <w:lang w:eastAsia="cs-CZ"/>
        </w:rPr>
        <w:t>1.</w:t>
      </w:r>
      <w:r w:rsidR="006D2500">
        <w:rPr>
          <w:rFonts w:ascii="Times New Roman" w:eastAsia="Times New Roman" w:hAnsi="Times New Roman" w:cs="Times New Roman"/>
          <w:bCs/>
          <w:color w:val="000000"/>
          <w:sz w:val="24"/>
          <w:szCs w:val="24"/>
          <w:lang w:eastAsia="cs-CZ"/>
        </w:rPr>
        <w:t> </w:t>
      </w:r>
      <w:r w:rsidRPr="008C4A8E">
        <w:rPr>
          <w:rFonts w:ascii="Times New Roman" w:eastAsia="Times New Roman" w:hAnsi="Times New Roman" w:cs="Times New Roman"/>
          <w:bCs/>
          <w:color w:val="000000"/>
          <w:sz w:val="24"/>
          <w:szCs w:val="24"/>
          <w:lang w:eastAsia="cs-CZ"/>
        </w:rPr>
        <w:t>července 2025 rušena</w:t>
      </w:r>
      <w:r w:rsidR="00D9321A">
        <w:rPr>
          <w:rFonts w:ascii="Times New Roman" w:eastAsia="Times New Roman" w:hAnsi="Times New Roman" w:cs="Times New Roman"/>
          <w:bCs/>
          <w:color w:val="000000"/>
          <w:sz w:val="24"/>
          <w:szCs w:val="24"/>
          <w:lang w:eastAsia="cs-CZ"/>
        </w:rPr>
        <w:t xml:space="preserve"> (na základě přechodných ustanovení k zákonu č. 23/2025 Sb. se ale bude do doby nabytí účinnosti této nové vyhlášky </w:t>
      </w:r>
      <w:r w:rsidR="00D9321A" w:rsidRPr="00D9321A">
        <w:rPr>
          <w:rFonts w:ascii="Times New Roman" w:eastAsia="Times New Roman" w:hAnsi="Times New Roman" w:cs="Times New Roman"/>
          <w:bCs/>
          <w:color w:val="000000"/>
          <w:sz w:val="24"/>
          <w:szCs w:val="24"/>
          <w:lang w:eastAsia="cs-CZ"/>
        </w:rPr>
        <w:t xml:space="preserve">při stanovení výše a způsobu úhrady efektivně a účelně vynaložených nákladů za poskytnutí informace z databáze účastníků veřejně dostupné služby elektronických komunikací a za poskytnutí provozních a lokalizačních údajů </w:t>
      </w:r>
      <w:r w:rsidR="00D9321A">
        <w:rPr>
          <w:rFonts w:ascii="Times New Roman" w:eastAsia="Times New Roman" w:hAnsi="Times New Roman" w:cs="Times New Roman"/>
          <w:bCs/>
          <w:color w:val="000000"/>
          <w:sz w:val="24"/>
          <w:szCs w:val="24"/>
          <w:lang w:eastAsia="cs-CZ"/>
        </w:rPr>
        <w:t xml:space="preserve">postupovat </w:t>
      </w:r>
      <w:r w:rsidR="00D9321A" w:rsidRPr="00D9321A">
        <w:rPr>
          <w:rFonts w:ascii="Times New Roman" w:eastAsia="Times New Roman" w:hAnsi="Times New Roman" w:cs="Times New Roman"/>
          <w:bCs/>
          <w:color w:val="000000"/>
          <w:sz w:val="24"/>
          <w:szCs w:val="24"/>
          <w:lang w:eastAsia="cs-CZ"/>
        </w:rPr>
        <w:t xml:space="preserve">podle </w:t>
      </w:r>
      <w:r w:rsidR="00D9321A">
        <w:rPr>
          <w:rFonts w:ascii="Times New Roman" w:eastAsia="Times New Roman" w:hAnsi="Times New Roman" w:cs="Times New Roman"/>
          <w:bCs/>
          <w:color w:val="000000"/>
          <w:sz w:val="24"/>
          <w:szCs w:val="24"/>
          <w:lang w:eastAsia="cs-CZ"/>
        </w:rPr>
        <w:t xml:space="preserve">dosavadní </w:t>
      </w:r>
      <w:r w:rsidR="00D9321A" w:rsidRPr="00D9321A">
        <w:rPr>
          <w:rFonts w:ascii="Times New Roman" w:eastAsia="Times New Roman" w:hAnsi="Times New Roman" w:cs="Times New Roman"/>
          <w:bCs/>
          <w:color w:val="000000"/>
          <w:sz w:val="24"/>
          <w:szCs w:val="24"/>
          <w:lang w:eastAsia="cs-CZ"/>
        </w:rPr>
        <w:t>vyhlášky č. 462/2013 Sb.</w:t>
      </w:r>
      <w:r w:rsidR="00D9321A">
        <w:rPr>
          <w:rFonts w:ascii="Times New Roman" w:eastAsia="Times New Roman" w:hAnsi="Times New Roman" w:cs="Times New Roman"/>
          <w:bCs/>
          <w:color w:val="000000"/>
          <w:sz w:val="24"/>
          <w:szCs w:val="24"/>
          <w:lang w:eastAsia="cs-CZ"/>
        </w:rPr>
        <w:t>)</w:t>
      </w:r>
      <w:r w:rsidRPr="008C4A8E">
        <w:rPr>
          <w:rFonts w:ascii="Times New Roman" w:eastAsia="Times New Roman" w:hAnsi="Times New Roman" w:cs="Times New Roman"/>
          <w:bCs/>
          <w:color w:val="000000"/>
          <w:sz w:val="24"/>
          <w:szCs w:val="24"/>
          <w:lang w:eastAsia="cs-CZ"/>
        </w:rPr>
        <w:t>. Uvedené principy by se nicméně měly uplatnit i nadále.</w:t>
      </w:r>
    </w:p>
    <w:p w14:paraId="2F2596D4" w14:textId="77777777" w:rsidR="008C4A8E" w:rsidRDefault="008C4A8E" w:rsidP="00A1611D">
      <w:pPr>
        <w:spacing w:before="120" w:after="0" w:line="240" w:lineRule="auto"/>
        <w:jc w:val="both"/>
        <w:rPr>
          <w:rFonts w:ascii="Times New Roman" w:hAnsi="Times New Roman" w:cs="Times New Roman"/>
          <w:b/>
          <w:sz w:val="24"/>
          <w:szCs w:val="24"/>
        </w:rPr>
      </w:pPr>
    </w:p>
    <w:p w14:paraId="667B8DF2" w14:textId="490064BE" w:rsidR="00490D9D" w:rsidRPr="00952790" w:rsidRDefault="00490D9D" w:rsidP="00A1611D">
      <w:pPr>
        <w:spacing w:before="120" w:after="0" w:line="240" w:lineRule="auto"/>
        <w:jc w:val="both"/>
        <w:rPr>
          <w:rFonts w:ascii="Times New Roman" w:hAnsi="Times New Roman" w:cs="Times New Roman"/>
          <w:b/>
          <w:sz w:val="24"/>
          <w:szCs w:val="24"/>
        </w:rPr>
      </w:pPr>
      <w:r w:rsidRPr="00952790">
        <w:rPr>
          <w:rFonts w:ascii="Times New Roman" w:hAnsi="Times New Roman" w:cs="Times New Roman"/>
          <w:b/>
          <w:sz w:val="24"/>
          <w:szCs w:val="24"/>
        </w:rPr>
        <w:t>K</w:t>
      </w:r>
      <w:r w:rsidR="00101E37">
        <w:rPr>
          <w:rFonts w:ascii="Times New Roman" w:hAnsi="Times New Roman" w:cs="Times New Roman"/>
          <w:b/>
          <w:sz w:val="24"/>
          <w:szCs w:val="24"/>
        </w:rPr>
        <w:t> článku II</w:t>
      </w:r>
    </w:p>
    <w:p w14:paraId="49A3A854" w14:textId="54BE547D" w:rsidR="008B6F5D" w:rsidRDefault="00490D9D" w:rsidP="00A1611D">
      <w:pPr>
        <w:spacing w:before="120" w:after="0" w:line="240" w:lineRule="auto"/>
        <w:jc w:val="both"/>
        <w:rPr>
          <w:rFonts w:ascii="Times New Roman" w:hAnsi="Times New Roman" w:cs="Times New Roman"/>
          <w:bCs/>
          <w:sz w:val="24"/>
          <w:szCs w:val="24"/>
        </w:rPr>
      </w:pPr>
      <w:r w:rsidRPr="00BD2483">
        <w:rPr>
          <w:rFonts w:ascii="Times New Roman" w:hAnsi="Times New Roman" w:cs="Times New Roman"/>
          <w:bCs/>
          <w:sz w:val="24"/>
          <w:szCs w:val="24"/>
        </w:rPr>
        <w:t xml:space="preserve">Datum nabytí účinnosti je </w:t>
      </w:r>
      <w:r w:rsidR="008B6F5D">
        <w:rPr>
          <w:rFonts w:ascii="Times New Roman" w:hAnsi="Times New Roman" w:cs="Times New Roman"/>
          <w:bCs/>
          <w:sz w:val="24"/>
          <w:szCs w:val="24"/>
        </w:rPr>
        <w:t>ve vztahu k </w:t>
      </w:r>
      <w:r w:rsidR="00667562">
        <w:rPr>
          <w:rFonts w:ascii="Times New Roman" w:hAnsi="Times New Roman" w:cs="Times New Roman"/>
          <w:bCs/>
          <w:sz w:val="24"/>
          <w:szCs w:val="24"/>
        </w:rPr>
        <w:t>n</w:t>
      </w:r>
      <w:r w:rsidR="008B6F5D">
        <w:rPr>
          <w:rFonts w:ascii="Times New Roman" w:hAnsi="Times New Roman" w:cs="Times New Roman"/>
          <w:bCs/>
          <w:sz w:val="24"/>
          <w:szCs w:val="24"/>
        </w:rPr>
        <w:t xml:space="preserve">ařízení </w:t>
      </w:r>
      <w:r w:rsidR="002056BA" w:rsidRPr="00BD2483">
        <w:rPr>
          <w:rFonts w:ascii="Times New Roman" w:hAnsi="Times New Roman" w:cs="Times New Roman"/>
          <w:bCs/>
          <w:sz w:val="24"/>
          <w:szCs w:val="24"/>
        </w:rPr>
        <w:t xml:space="preserve">navázáno na datum, </w:t>
      </w:r>
      <w:r w:rsidR="002C4C08" w:rsidRPr="00BD2483">
        <w:rPr>
          <w:rFonts w:ascii="Times New Roman" w:hAnsi="Times New Roman" w:cs="Times New Roman"/>
          <w:bCs/>
          <w:sz w:val="24"/>
          <w:szCs w:val="24"/>
        </w:rPr>
        <w:t xml:space="preserve">které </w:t>
      </w:r>
      <w:r w:rsidR="00667562">
        <w:rPr>
          <w:rFonts w:ascii="Times New Roman" w:hAnsi="Times New Roman" w:cs="Times New Roman"/>
          <w:bCs/>
          <w:sz w:val="24"/>
          <w:szCs w:val="24"/>
        </w:rPr>
        <w:t>n</w:t>
      </w:r>
      <w:r w:rsidR="002056BA" w:rsidRPr="00BD2483">
        <w:rPr>
          <w:rFonts w:ascii="Times New Roman" w:hAnsi="Times New Roman" w:cs="Times New Roman"/>
          <w:bCs/>
          <w:sz w:val="24"/>
          <w:szCs w:val="24"/>
        </w:rPr>
        <w:t xml:space="preserve">ařízení </w:t>
      </w:r>
      <w:r w:rsidR="002C4C08" w:rsidRPr="00BD2483">
        <w:rPr>
          <w:rFonts w:ascii="Times New Roman" w:hAnsi="Times New Roman" w:cs="Times New Roman"/>
          <w:bCs/>
          <w:sz w:val="24"/>
          <w:szCs w:val="24"/>
        </w:rPr>
        <w:t xml:space="preserve">stanoví pro </w:t>
      </w:r>
      <w:r w:rsidR="002056BA" w:rsidRPr="00BD2483">
        <w:rPr>
          <w:rFonts w:ascii="Times New Roman" w:hAnsi="Times New Roman" w:cs="Times New Roman"/>
          <w:bCs/>
          <w:sz w:val="24"/>
          <w:szCs w:val="24"/>
        </w:rPr>
        <w:t>adapt</w:t>
      </w:r>
      <w:r w:rsidR="002C4C08" w:rsidRPr="00BD2483">
        <w:rPr>
          <w:rFonts w:ascii="Times New Roman" w:hAnsi="Times New Roman" w:cs="Times New Roman"/>
          <w:bCs/>
          <w:sz w:val="24"/>
          <w:szCs w:val="24"/>
        </w:rPr>
        <w:t>aci do vnitrostátních právních řádů členských států EU</w:t>
      </w:r>
      <w:r w:rsidR="002056BA" w:rsidRPr="00BD2483">
        <w:rPr>
          <w:rFonts w:ascii="Times New Roman" w:hAnsi="Times New Roman" w:cs="Times New Roman"/>
          <w:bCs/>
          <w:sz w:val="24"/>
          <w:szCs w:val="24"/>
        </w:rPr>
        <w:t xml:space="preserve">. </w:t>
      </w:r>
    </w:p>
    <w:p w14:paraId="7E890103" w14:textId="7CF1BF89" w:rsidR="0031136F" w:rsidRDefault="008B6F5D" w:rsidP="00A1611D">
      <w:pPr>
        <w:spacing w:before="120"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Pokud jde o úpravu implementující směrnici o digitalizaci justiční spolupráce, d</w:t>
      </w:r>
      <w:r>
        <w:rPr>
          <w:rFonts w:ascii="Times New Roman" w:hAnsi="Times New Roman" w:cs="Times New Roman"/>
          <w:sz w:val="24"/>
          <w:szCs w:val="24"/>
        </w:rPr>
        <w:t xml:space="preserve">atum, do kdy má být </w:t>
      </w:r>
      <w:r w:rsidR="0002242B">
        <w:rPr>
          <w:rFonts w:ascii="Times New Roman" w:hAnsi="Times New Roman" w:cs="Times New Roman"/>
          <w:sz w:val="24"/>
          <w:szCs w:val="24"/>
        </w:rPr>
        <w:t xml:space="preserve">tato směrnice </w:t>
      </w:r>
      <w:r>
        <w:rPr>
          <w:rFonts w:ascii="Times New Roman" w:hAnsi="Times New Roman" w:cs="Times New Roman"/>
          <w:sz w:val="24"/>
          <w:szCs w:val="24"/>
        </w:rPr>
        <w:t xml:space="preserve">provedena do </w:t>
      </w:r>
      <w:r w:rsidR="006D2500">
        <w:rPr>
          <w:rFonts w:ascii="Times New Roman" w:hAnsi="Times New Roman" w:cs="Times New Roman"/>
          <w:sz w:val="24"/>
          <w:szCs w:val="24"/>
        </w:rPr>
        <w:t>vnitrostátních p</w:t>
      </w:r>
      <w:r>
        <w:rPr>
          <w:rFonts w:ascii="Times New Roman" w:hAnsi="Times New Roman" w:cs="Times New Roman"/>
          <w:sz w:val="24"/>
          <w:szCs w:val="24"/>
        </w:rPr>
        <w:t>rávní</w:t>
      </w:r>
      <w:r w:rsidR="006D2500">
        <w:rPr>
          <w:rFonts w:ascii="Times New Roman" w:hAnsi="Times New Roman" w:cs="Times New Roman"/>
          <w:sz w:val="24"/>
          <w:szCs w:val="24"/>
        </w:rPr>
        <w:t>c</w:t>
      </w:r>
      <w:r>
        <w:rPr>
          <w:rFonts w:ascii="Times New Roman" w:hAnsi="Times New Roman" w:cs="Times New Roman"/>
          <w:sz w:val="24"/>
          <w:szCs w:val="24"/>
        </w:rPr>
        <w:t>h řád</w:t>
      </w:r>
      <w:r w:rsidR="006D2500">
        <w:rPr>
          <w:rFonts w:ascii="Times New Roman" w:hAnsi="Times New Roman" w:cs="Times New Roman"/>
          <w:sz w:val="24"/>
          <w:szCs w:val="24"/>
        </w:rPr>
        <w:t>ů</w:t>
      </w:r>
      <w:r>
        <w:rPr>
          <w:rFonts w:ascii="Times New Roman" w:hAnsi="Times New Roman" w:cs="Times New Roman"/>
          <w:sz w:val="24"/>
          <w:szCs w:val="24"/>
        </w:rPr>
        <w:t xml:space="preserve">, se odvíjí od data </w:t>
      </w:r>
      <w:r w:rsidRPr="00281B18">
        <w:rPr>
          <w:rFonts w:ascii="Times New Roman" w:hAnsi="Times New Roman" w:cs="Times New Roman"/>
          <w:color w:val="333333"/>
          <w:sz w:val="24"/>
          <w:szCs w:val="24"/>
          <w:shd w:val="clear" w:color="auto" w:fill="FFFFFF"/>
        </w:rPr>
        <w:t>vstupu v platnost příslušného prováděcího aktu uvedeného v čl</w:t>
      </w:r>
      <w:r w:rsidR="00AF0905">
        <w:rPr>
          <w:rFonts w:ascii="Times New Roman" w:hAnsi="Times New Roman" w:cs="Times New Roman"/>
          <w:color w:val="333333"/>
          <w:sz w:val="24"/>
          <w:szCs w:val="24"/>
          <w:shd w:val="clear" w:color="auto" w:fill="FFFFFF"/>
        </w:rPr>
        <w:t>ánku</w:t>
      </w:r>
      <w:r w:rsidRPr="00281B18">
        <w:rPr>
          <w:rFonts w:ascii="Times New Roman" w:hAnsi="Times New Roman" w:cs="Times New Roman"/>
          <w:color w:val="333333"/>
          <w:sz w:val="24"/>
          <w:szCs w:val="24"/>
          <w:shd w:val="clear" w:color="auto" w:fill="FFFFFF"/>
        </w:rPr>
        <w:t xml:space="preserve"> 10 odst. 3 nařízení </w:t>
      </w:r>
      <w:r w:rsidRPr="00D11A48">
        <w:rPr>
          <w:rFonts w:ascii="Times New Roman" w:hAnsi="Times New Roman" w:cs="Times New Roman"/>
          <w:sz w:val="24"/>
          <w:szCs w:val="24"/>
        </w:rPr>
        <w:t>o digitalizaci justiční spolupráce</w:t>
      </w:r>
      <w:r>
        <w:rPr>
          <w:rFonts w:ascii="Times New Roman" w:hAnsi="Times New Roman" w:cs="Times New Roman"/>
          <w:sz w:val="24"/>
          <w:szCs w:val="24"/>
        </w:rPr>
        <w:t xml:space="preserve">. Tyto prováděcí akty </w:t>
      </w:r>
      <w:r w:rsidR="00F50512">
        <w:rPr>
          <w:rFonts w:ascii="Times New Roman" w:hAnsi="Times New Roman" w:cs="Times New Roman"/>
          <w:sz w:val="24"/>
          <w:szCs w:val="24"/>
        </w:rPr>
        <w:t xml:space="preserve">budou </w:t>
      </w:r>
      <w:r>
        <w:rPr>
          <w:rFonts w:ascii="Times New Roman" w:hAnsi="Times New Roman" w:cs="Times New Roman"/>
          <w:sz w:val="24"/>
          <w:szCs w:val="24"/>
        </w:rPr>
        <w:t xml:space="preserve">přijímány postupně </w:t>
      </w:r>
      <w:r>
        <w:rPr>
          <w:rFonts w:ascii="Times New Roman" w:eastAsia="Times New Roman" w:hAnsi="Times New Roman" w:cs="Times New Roman"/>
          <w:sz w:val="24"/>
          <w:szCs w:val="24"/>
          <w:lang w:eastAsia="cs-CZ"/>
        </w:rPr>
        <w:t>v časovém období od</w:t>
      </w:r>
      <w:r w:rsidR="006D2500">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17.</w:t>
      </w:r>
      <w:r w:rsidR="006D2500">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ledna 2026 do 17. ledna 2029, přičemž příslušná implementační právní úprava má být platná vždy do</w:t>
      </w:r>
      <w:r w:rsidR="00F50512">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 xml:space="preserve">dvou let od vstupu příslušného právního aktu v platnost. </w:t>
      </w:r>
      <w:r w:rsidR="0031136F">
        <w:rPr>
          <w:rFonts w:ascii="Times New Roman" w:eastAsia="Times New Roman" w:hAnsi="Times New Roman" w:cs="Times New Roman"/>
          <w:sz w:val="24"/>
          <w:szCs w:val="24"/>
          <w:lang w:eastAsia="cs-CZ"/>
        </w:rPr>
        <w:t>Tato dvouletá lhůta slouží k</w:t>
      </w:r>
      <w:r w:rsidR="00F50512">
        <w:rPr>
          <w:rFonts w:ascii="Times New Roman" w:eastAsia="Times New Roman" w:hAnsi="Times New Roman" w:cs="Times New Roman"/>
          <w:sz w:val="24"/>
          <w:szCs w:val="24"/>
          <w:lang w:eastAsia="cs-CZ"/>
        </w:rPr>
        <w:t> </w:t>
      </w:r>
      <w:r w:rsidR="0031136F">
        <w:rPr>
          <w:rFonts w:ascii="Times New Roman" w:eastAsia="Times New Roman" w:hAnsi="Times New Roman" w:cs="Times New Roman"/>
          <w:sz w:val="24"/>
          <w:szCs w:val="24"/>
          <w:lang w:eastAsia="cs-CZ"/>
        </w:rPr>
        <w:t xml:space="preserve">zajištění připravenosti vnitrostátních orgánů používat decentralizovaný informační systém (zajištění jejich připojení k systému, proškolení aj.). Implementační úprava pak bude účinná prvním dnem kalendářního měsíce následujícího po </w:t>
      </w:r>
      <w:r w:rsidR="00F50512">
        <w:rPr>
          <w:rFonts w:ascii="Times New Roman" w:eastAsia="Times New Roman" w:hAnsi="Times New Roman" w:cs="Times New Roman"/>
          <w:sz w:val="24"/>
          <w:szCs w:val="24"/>
          <w:lang w:eastAsia="cs-CZ"/>
        </w:rPr>
        <w:t>uplynutí uvedené lhůty</w:t>
      </w:r>
      <w:r w:rsidR="0031136F">
        <w:rPr>
          <w:rFonts w:ascii="Times New Roman" w:eastAsia="Times New Roman" w:hAnsi="Times New Roman" w:cs="Times New Roman"/>
          <w:sz w:val="24"/>
          <w:szCs w:val="24"/>
          <w:lang w:eastAsia="cs-CZ"/>
        </w:rPr>
        <w:t xml:space="preserve">. </w:t>
      </w:r>
    </w:p>
    <w:p w14:paraId="75C42C8F" w14:textId="1DEFE6B2" w:rsidR="0091270E" w:rsidRDefault="003758C7" w:rsidP="00A1611D">
      <w:pPr>
        <w:spacing w:before="120" w:after="0" w:line="240" w:lineRule="auto"/>
        <w:jc w:val="both"/>
        <w:rPr>
          <w:rFonts w:ascii="Times New Roman" w:hAnsi="Times New Roman" w:cs="Times New Roman"/>
          <w:sz w:val="24"/>
          <w:szCs w:val="24"/>
        </w:rPr>
      </w:pPr>
      <w:r>
        <w:rPr>
          <w:rFonts w:ascii="Times New Roman" w:hAnsi="Times New Roman" w:cs="Times New Roman"/>
          <w:bCs/>
          <w:sz w:val="24"/>
          <w:szCs w:val="24"/>
        </w:rPr>
        <w:t>Do 17. ledna 2026 by měl být přijat prováděcí akt týkající se evropského zatýkacího rozkazu a</w:t>
      </w:r>
      <w:r w:rsidR="00F50512">
        <w:rPr>
          <w:rFonts w:ascii="Times New Roman" w:hAnsi="Times New Roman" w:cs="Times New Roman"/>
          <w:bCs/>
          <w:sz w:val="24"/>
          <w:szCs w:val="24"/>
        </w:rPr>
        <w:t> </w:t>
      </w:r>
      <w:r>
        <w:rPr>
          <w:rFonts w:ascii="Times New Roman" w:hAnsi="Times New Roman" w:cs="Times New Roman"/>
          <w:bCs/>
          <w:sz w:val="24"/>
          <w:szCs w:val="24"/>
        </w:rPr>
        <w:t xml:space="preserve">evropského vyšetřovacího příkazu, do 17. ledna 2027 by měl být přijat prováděcí akt týkající se rozhodnutí ukládajících </w:t>
      </w:r>
      <w:r>
        <w:rPr>
          <w:rFonts w:ascii="Times New Roman" w:hAnsi="Times New Roman" w:cs="Times New Roman"/>
          <w:sz w:val="24"/>
          <w:szCs w:val="24"/>
        </w:rPr>
        <w:t xml:space="preserve">nepodmíněný trest odnětí svobody nebo ochranné opatření spojené se zbavením osobní svobody a evropského ochranného příkazu, do 17. ledna </w:t>
      </w:r>
      <w:r>
        <w:rPr>
          <w:rFonts w:ascii="Times New Roman" w:hAnsi="Times New Roman" w:cs="Times New Roman"/>
          <w:bCs/>
          <w:sz w:val="24"/>
          <w:szCs w:val="24"/>
        </w:rPr>
        <w:t>2028 by měl být přijat prováděcí akt týkající s</w:t>
      </w:r>
      <w:r w:rsidR="0091270E">
        <w:rPr>
          <w:rFonts w:ascii="Times New Roman" w:hAnsi="Times New Roman" w:cs="Times New Roman"/>
          <w:bCs/>
          <w:sz w:val="24"/>
          <w:szCs w:val="24"/>
        </w:rPr>
        <w:t xml:space="preserve">e </w:t>
      </w:r>
      <w:r>
        <w:rPr>
          <w:rFonts w:ascii="Times New Roman" w:hAnsi="Times New Roman" w:cs="Times New Roman"/>
          <w:sz w:val="24"/>
          <w:szCs w:val="24"/>
        </w:rPr>
        <w:t xml:space="preserve">příkazů k zajištění majetku, </w:t>
      </w:r>
      <w:r w:rsidR="0091270E">
        <w:rPr>
          <w:rFonts w:ascii="Times New Roman" w:hAnsi="Times New Roman" w:cs="Times New Roman"/>
          <w:sz w:val="24"/>
          <w:szCs w:val="24"/>
        </w:rPr>
        <w:t xml:space="preserve">kompetenčních sporů, rozhodnutí ukládajících peněžité tresty a pokuty a rozhodnutí ukládajících propadnutí nebo zabrání majetku a do 17. ledna </w:t>
      </w:r>
      <w:r w:rsidR="0091270E">
        <w:rPr>
          <w:rFonts w:ascii="Times New Roman" w:hAnsi="Times New Roman" w:cs="Times New Roman"/>
          <w:bCs/>
          <w:sz w:val="24"/>
          <w:szCs w:val="24"/>
        </w:rPr>
        <w:t>2029 by měl být přijat prováděcí akt týkající se</w:t>
      </w:r>
      <w:r w:rsidR="0091270E">
        <w:rPr>
          <w:rFonts w:ascii="Times New Roman" w:hAnsi="Times New Roman" w:cs="Times New Roman"/>
          <w:sz w:val="24"/>
          <w:szCs w:val="24"/>
        </w:rPr>
        <w:t xml:space="preserve"> </w:t>
      </w:r>
      <w:r>
        <w:rPr>
          <w:rFonts w:ascii="Times New Roman" w:hAnsi="Times New Roman" w:cs="Times New Roman"/>
          <w:sz w:val="24"/>
          <w:szCs w:val="24"/>
        </w:rPr>
        <w:t>opatření nahrazujících</w:t>
      </w:r>
      <w:r w:rsidR="005C3126">
        <w:rPr>
          <w:rFonts w:ascii="Times New Roman" w:hAnsi="Times New Roman" w:cs="Times New Roman"/>
          <w:sz w:val="24"/>
          <w:szCs w:val="24"/>
        </w:rPr>
        <w:t xml:space="preserve"> </w:t>
      </w:r>
      <w:r w:rsidRPr="00C221AC">
        <w:rPr>
          <w:rFonts w:ascii="Times New Roman" w:hAnsi="Times New Roman" w:cs="Times New Roman"/>
          <w:sz w:val="24"/>
          <w:szCs w:val="24"/>
        </w:rPr>
        <w:t>vazb</w:t>
      </w:r>
      <w:r>
        <w:rPr>
          <w:rFonts w:ascii="Times New Roman" w:hAnsi="Times New Roman" w:cs="Times New Roman"/>
          <w:sz w:val="24"/>
          <w:szCs w:val="24"/>
        </w:rPr>
        <w:t>u</w:t>
      </w:r>
      <w:r>
        <w:rPr>
          <w:rFonts w:ascii="Times New Roman" w:hAnsi="Times New Roman" w:cs="Times New Roman"/>
          <w:bCs/>
          <w:sz w:val="24"/>
          <w:szCs w:val="24"/>
        </w:rPr>
        <w:t xml:space="preserve"> </w:t>
      </w:r>
      <w:r w:rsidR="0091270E">
        <w:rPr>
          <w:rFonts w:ascii="Times New Roman" w:hAnsi="Times New Roman" w:cs="Times New Roman"/>
          <w:bCs/>
          <w:sz w:val="24"/>
          <w:szCs w:val="24"/>
        </w:rPr>
        <w:t xml:space="preserve">a </w:t>
      </w:r>
      <w:r>
        <w:rPr>
          <w:rFonts w:ascii="Times New Roman" w:hAnsi="Times New Roman" w:cs="Times New Roman"/>
          <w:sz w:val="24"/>
          <w:szCs w:val="24"/>
        </w:rPr>
        <w:t>rozhodnutí ukládajících trest nespojený se zbavením osobní svobody, dohled nebo přiměřená omezení a povinnosti</w:t>
      </w:r>
      <w:r w:rsidR="0091270E">
        <w:rPr>
          <w:rFonts w:ascii="Times New Roman" w:hAnsi="Times New Roman" w:cs="Times New Roman"/>
          <w:sz w:val="24"/>
          <w:szCs w:val="24"/>
        </w:rPr>
        <w:t>.</w:t>
      </w:r>
    </w:p>
    <w:p w14:paraId="63936A36" w14:textId="36139169" w:rsidR="001449DE" w:rsidRPr="001449DE" w:rsidRDefault="001449DE" w:rsidP="001449DE">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1449DE">
        <w:rPr>
          <w:rFonts w:ascii="Times New Roman" w:hAnsi="Times New Roman" w:cs="Times New Roman"/>
          <w:sz w:val="24"/>
          <w:szCs w:val="24"/>
        </w:rPr>
        <w:t xml:space="preserve">šechny </w:t>
      </w:r>
      <w:r>
        <w:rPr>
          <w:rFonts w:ascii="Times New Roman" w:hAnsi="Times New Roman" w:cs="Times New Roman"/>
          <w:sz w:val="24"/>
          <w:szCs w:val="24"/>
        </w:rPr>
        <w:t xml:space="preserve">výše uvedené </w:t>
      </w:r>
      <w:r w:rsidRPr="001449DE">
        <w:rPr>
          <w:rFonts w:ascii="Times New Roman" w:hAnsi="Times New Roman" w:cs="Times New Roman"/>
          <w:sz w:val="24"/>
          <w:szCs w:val="24"/>
        </w:rPr>
        <w:t>prováděcí akty jsou standardním způsobem zveřejněny v </w:t>
      </w:r>
      <w:r w:rsidR="002671BC">
        <w:rPr>
          <w:rFonts w:ascii="Times New Roman" w:hAnsi="Times New Roman" w:cs="Times New Roman"/>
          <w:sz w:val="24"/>
          <w:szCs w:val="24"/>
        </w:rPr>
        <w:t>Ú</w:t>
      </w:r>
      <w:r w:rsidRPr="001449DE">
        <w:rPr>
          <w:rFonts w:ascii="Times New Roman" w:hAnsi="Times New Roman" w:cs="Times New Roman"/>
          <w:sz w:val="24"/>
          <w:szCs w:val="24"/>
        </w:rPr>
        <w:t xml:space="preserve">ředním věstníku </w:t>
      </w:r>
      <w:r w:rsidR="002671BC">
        <w:rPr>
          <w:rFonts w:ascii="Times New Roman" w:hAnsi="Times New Roman" w:cs="Times New Roman"/>
          <w:sz w:val="24"/>
          <w:szCs w:val="24"/>
        </w:rPr>
        <w:t xml:space="preserve">EU </w:t>
      </w:r>
      <w:r w:rsidRPr="001449DE">
        <w:rPr>
          <w:rFonts w:ascii="Times New Roman" w:hAnsi="Times New Roman" w:cs="Times New Roman"/>
          <w:sz w:val="24"/>
          <w:szCs w:val="24"/>
        </w:rPr>
        <w:t xml:space="preserve">a jsou dohledatelné na portálu eur-lex. </w:t>
      </w:r>
    </w:p>
    <w:p w14:paraId="0507EB11" w14:textId="77777777" w:rsidR="001449DE" w:rsidRDefault="001449DE" w:rsidP="00A1611D">
      <w:pPr>
        <w:spacing w:before="120" w:after="0" w:line="240" w:lineRule="auto"/>
        <w:jc w:val="both"/>
        <w:rPr>
          <w:rFonts w:ascii="Times New Roman" w:hAnsi="Times New Roman" w:cs="Times New Roman"/>
          <w:sz w:val="24"/>
          <w:szCs w:val="24"/>
        </w:rPr>
      </w:pPr>
    </w:p>
    <w:p w14:paraId="4B193BB1" w14:textId="77777777" w:rsidR="003758C7" w:rsidRPr="00BD2483" w:rsidRDefault="003758C7" w:rsidP="00A1611D">
      <w:pPr>
        <w:spacing w:before="120" w:after="0" w:line="240" w:lineRule="auto"/>
        <w:jc w:val="both"/>
        <w:rPr>
          <w:rFonts w:ascii="Times New Roman" w:hAnsi="Times New Roman" w:cs="Times New Roman"/>
          <w:bCs/>
          <w:sz w:val="24"/>
          <w:szCs w:val="24"/>
        </w:rPr>
      </w:pPr>
    </w:p>
    <w:p w14:paraId="7669488A" w14:textId="77777777" w:rsidR="00490D9D" w:rsidRPr="00BD2483" w:rsidRDefault="00490D9D" w:rsidP="00A1611D">
      <w:pPr>
        <w:spacing w:before="120" w:after="0" w:line="240" w:lineRule="auto"/>
        <w:jc w:val="both"/>
        <w:rPr>
          <w:rFonts w:ascii="Times New Roman" w:hAnsi="Times New Roman" w:cs="Times New Roman"/>
          <w:bCs/>
          <w:sz w:val="24"/>
          <w:szCs w:val="24"/>
        </w:rPr>
      </w:pPr>
    </w:p>
    <w:p w14:paraId="3A69D7FD" w14:textId="77777777" w:rsidR="00165980" w:rsidRPr="00BD2483" w:rsidRDefault="00165980" w:rsidP="00A1611D">
      <w:pPr>
        <w:spacing w:before="120" w:after="0" w:line="240" w:lineRule="auto"/>
        <w:jc w:val="both"/>
        <w:rPr>
          <w:rFonts w:ascii="Times New Roman" w:hAnsi="Times New Roman" w:cs="Times New Roman"/>
          <w:bCs/>
          <w:sz w:val="24"/>
          <w:szCs w:val="24"/>
        </w:rPr>
      </w:pPr>
    </w:p>
    <w:bookmarkEnd w:id="0"/>
    <w:p w14:paraId="490D33E9" w14:textId="77777777" w:rsidR="00165980" w:rsidRPr="00BD2483" w:rsidRDefault="00165980" w:rsidP="00A1611D">
      <w:pPr>
        <w:spacing w:before="120" w:after="0" w:line="240" w:lineRule="auto"/>
        <w:jc w:val="both"/>
        <w:rPr>
          <w:rFonts w:ascii="Times New Roman" w:hAnsi="Times New Roman" w:cs="Times New Roman"/>
          <w:bCs/>
          <w:sz w:val="24"/>
          <w:szCs w:val="24"/>
        </w:rPr>
      </w:pPr>
    </w:p>
    <w:p w14:paraId="0A12B723" w14:textId="77777777" w:rsidR="00F50512" w:rsidRPr="00BD2483" w:rsidRDefault="00F50512" w:rsidP="00A1611D">
      <w:pPr>
        <w:spacing w:before="120" w:after="0" w:line="240" w:lineRule="auto"/>
        <w:jc w:val="both"/>
        <w:rPr>
          <w:rFonts w:ascii="Times New Roman" w:hAnsi="Times New Roman" w:cs="Times New Roman"/>
          <w:bCs/>
          <w:sz w:val="24"/>
          <w:szCs w:val="24"/>
        </w:rPr>
      </w:pPr>
    </w:p>
    <w:sectPr w:rsidR="00F50512" w:rsidRPr="00BD248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8D26A" w14:textId="77777777" w:rsidR="004C00F8" w:rsidRDefault="004C00F8" w:rsidP="00547750">
      <w:pPr>
        <w:spacing w:after="0" w:line="240" w:lineRule="auto"/>
      </w:pPr>
      <w:r>
        <w:separator/>
      </w:r>
    </w:p>
  </w:endnote>
  <w:endnote w:type="continuationSeparator" w:id="0">
    <w:p w14:paraId="2205B34A" w14:textId="77777777" w:rsidR="004C00F8" w:rsidRDefault="004C00F8" w:rsidP="00547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Calibri"/>
    <w:charset w:val="00"/>
    <w:family w:val="auto"/>
    <w:pitch w:val="default"/>
  </w:font>
  <w:font w:name="EU 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964094"/>
      <w:docPartObj>
        <w:docPartGallery w:val="Page Numbers (Bottom of Page)"/>
        <w:docPartUnique/>
      </w:docPartObj>
    </w:sdtPr>
    <w:sdtEndPr/>
    <w:sdtContent>
      <w:p w14:paraId="71245639" w14:textId="7CA4D5F2" w:rsidR="00547750" w:rsidRDefault="00547750">
        <w:pPr>
          <w:pStyle w:val="Zpat"/>
          <w:jc w:val="center"/>
        </w:pPr>
        <w:r>
          <w:fldChar w:fldCharType="begin"/>
        </w:r>
        <w:r>
          <w:instrText>PAGE   \* MERGEFORMAT</w:instrText>
        </w:r>
        <w:r>
          <w:fldChar w:fldCharType="separate"/>
        </w:r>
        <w:r>
          <w:t>2</w:t>
        </w:r>
        <w:r>
          <w:fldChar w:fldCharType="end"/>
        </w:r>
      </w:p>
    </w:sdtContent>
  </w:sdt>
  <w:p w14:paraId="5B5ECF83" w14:textId="77777777" w:rsidR="00547750" w:rsidRDefault="005477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852FB" w14:textId="77777777" w:rsidR="004C00F8" w:rsidRDefault="004C00F8" w:rsidP="00547750">
      <w:pPr>
        <w:spacing w:after="0" w:line="240" w:lineRule="auto"/>
      </w:pPr>
      <w:r>
        <w:separator/>
      </w:r>
    </w:p>
  </w:footnote>
  <w:footnote w:type="continuationSeparator" w:id="0">
    <w:p w14:paraId="6D7B6694" w14:textId="77777777" w:rsidR="004C00F8" w:rsidRDefault="004C00F8" w:rsidP="00547750">
      <w:pPr>
        <w:spacing w:after="0" w:line="240" w:lineRule="auto"/>
      </w:pPr>
      <w:r>
        <w:continuationSeparator/>
      </w:r>
    </w:p>
  </w:footnote>
  <w:footnote w:id="1">
    <w:p w14:paraId="42E23C38" w14:textId="77777777" w:rsidR="0051223C" w:rsidRPr="00BF7299" w:rsidRDefault="0051223C" w:rsidP="0051223C">
      <w:pPr>
        <w:pStyle w:val="Textpoznpodarou"/>
      </w:pPr>
      <w:r>
        <w:rPr>
          <w:rStyle w:val="Znakapoznpodarou"/>
        </w:rPr>
        <w:footnoteRef/>
      </w:r>
      <w:r>
        <w:t xml:space="preserve"> </w:t>
      </w:r>
      <w:proofErr w:type="spellStart"/>
      <w:r w:rsidRPr="00BF7299">
        <w:rPr>
          <w:shd w:val="clear" w:color="auto" w:fill="F8F8F8"/>
        </w:rPr>
        <w:t>The</w:t>
      </w:r>
      <w:proofErr w:type="spellEnd"/>
      <w:r w:rsidRPr="00BF7299">
        <w:rPr>
          <w:shd w:val="clear" w:color="auto" w:fill="F8F8F8"/>
        </w:rPr>
        <w:t xml:space="preserve"> </w:t>
      </w:r>
      <w:proofErr w:type="spellStart"/>
      <w:r w:rsidRPr="00BF7299">
        <w:rPr>
          <w:shd w:val="clear" w:color="auto" w:fill="F8F8F8"/>
        </w:rPr>
        <w:t>Clarifying</w:t>
      </w:r>
      <w:proofErr w:type="spellEnd"/>
      <w:r w:rsidRPr="00BF7299">
        <w:rPr>
          <w:shd w:val="clear" w:color="auto" w:fill="F8F8F8"/>
        </w:rPr>
        <w:t xml:space="preserve"> </w:t>
      </w:r>
      <w:proofErr w:type="spellStart"/>
      <w:r w:rsidRPr="00BF7299">
        <w:rPr>
          <w:shd w:val="clear" w:color="auto" w:fill="F8F8F8"/>
        </w:rPr>
        <w:t>Lawful</w:t>
      </w:r>
      <w:proofErr w:type="spellEnd"/>
      <w:r w:rsidRPr="00BF7299">
        <w:rPr>
          <w:shd w:val="clear" w:color="auto" w:fill="F8F8F8"/>
        </w:rPr>
        <w:t xml:space="preserve"> </w:t>
      </w:r>
      <w:proofErr w:type="spellStart"/>
      <w:r w:rsidRPr="00BF7299">
        <w:rPr>
          <w:shd w:val="clear" w:color="auto" w:fill="F8F8F8"/>
        </w:rPr>
        <w:t>Overseas</w:t>
      </w:r>
      <w:proofErr w:type="spellEnd"/>
      <w:r w:rsidRPr="00BF7299">
        <w:rPr>
          <w:shd w:val="clear" w:color="auto" w:fill="F8F8F8"/>
        </w:rPr>
        <w:t xml:space="preserve"> Use </w:t>
      </w:r>
      <w:proofErr w:type="spellStart"/>
      <w:r w:rsidRPr="00BF7299">
        <w:rPr>
          <w:shd w:val="clear" w:color="auto" w:fill="F8F8F8"/>
        </w:rPr>
        <w:t>of</w:t>
      </w:r>
      <w:proofErr w:type="spellEnd"/>
      <w:r w:rsidRPr="00BF7299">
        <w:rPr>
          <w:shd w:val="clear" w:color="auto" w:fill="F8F8F8"/>
        </w:rPr>
        <w:t xml:space="preserve"> Data </w:t>
      </w:r>
      <w:proofErr w:type="spellStart"/>
      <w:r w:rsidRPr="00BF7299">
        <w:rPr>
          <w:shd w:val="clear" w:color="auto" w:fill="F8F8F8"/>
        </w:rPr>
        <w:t>Act</w:t>
      </w:r>
      <w:proofErr w:type="spellEnd"/>
      <w:r w:rsidRPr="00BF7299">
        <w:rPr>
          <w:shd w:val="clear" w:color="auto" w:fill="F8F8F8"/>
        </w:rPr>
        <w:t xml:space="preserve"> (CLOUD </w:t>
      </w:r>
      <w:proofErr w:type="spellStart"/>
      <w:r w:rsidRPr="00BF7299">
        <w:rPr>
          <w:shd w:val="clear" w:color="auto" w:fill="F8F8F8"/>
        </w:rPr>
        <w:t>Act</w:t>
      </w:r>
      <w:proofErr w:type="spellEnd"/>
      <w:r w:rsidRPr="00BF7299">
        <w:rPr>
          <w:shd w:val="clear" w:color="auto" w:fill="F8F8F8"/>
        </w:rPr>
        <w:t>)</w:t>
      </w:r>
      <w:r>
        <w:rPr>
          <w:shd w:val="clear" w:color="auto" w:fill="F8F8F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DA9"/>
    <w:multiLevelType w:val="hybridMultilevel"/>
    <w:tmpl w:val="F35CCE46"/>
    <w:lvl w:ilvl="0" w:tplc="0A12D4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45561F"/>
    <w:multiLevelType w:val="hybridMultilevel"/>
    <w:tmpl w:val="F558D6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B53391"/>
    <w:multiLevelType w:val="multilevel"/>
    <w:tmpl w:val="FB325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B3154A"/>
    <w:multiLevelType w:val="hybridMultilevel"/>
    <w:tmpl w:val="CBDA23D4"/>
    <w:lvl w:ilvl="0" w:tplc="0A12D4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7D66BA"/>
    <w:multiLevelType w:val="hybridMultilevel"/>
    <w:tmpl w:val="8F82F146"/>
    <w:lvl w:ilvl="0" w:tplc="52C0F7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4A1A7A"/>
    <w:multiLevelType w:val="hybridMultilevel"/>
    <w:tmpl w:val="51E073DA"/>
    <w:lvl w:ilvl="0" w:tplc="F3D85954">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D51072"/>
    <w:multiLevelType w:val="hybridMultilevel"/>
    <w:tmpl w:val="5074F79C"/>
    <w:lvl w:ilvl="0" w:tplc="C860A558">
      <w:start w:val="1"/>
      <w:numFmt w:val="bullet"/>
      <w:lvlText w:val="•"/>
      <w:lvlJc w:val="left"/>
      <w:pPr>
        <w:tabs>
          <w:tab w:val="num" w:pos="720"/>
        </w:tabs>
        <w:ind w:left="720" w:hanging="360"/>
      </w:pPr>
      <w:rPr>
        <w:rFonts w:ascii="Arial" w:hAnsi="Arial" w:cs="Times New Roman" w:hint="default"/>
      </w:rPr>
    </w:lvl>
    <w:lvl w:ilvl="1" w:tplc="C2188986">
      <w:start w:val="1"/>
      <w:numFmt w:val="bullet"/>
      <w:lvlText w:val="•"/>
      <w:lvlJc w:val="left"/>
      <w:pPr>
        <w:tabs>
          <w:tab w:val="num" w:pos="1440"/>
        </w:tabs>
        <w:ind w:left="1440" w:hanging="360"/>
      </w:pPr>
      <w:rPr>
        <w:rFonts w:ascii="Arial" w:hAnsi="Arial" w:cs="Times New Roman" w:hint="default"/>
      </w:rPr>
    </w:lvl>
    <w:lvl w:ilvl="2" w:tplc="52B67928">
      <w:start w:val="1"/>
      <w:numFmt w:val="bullet"/>
      <w:lvlText w:val="•"/>
      <w:lvlJc w:val="left"/>
      <w:pPr>
        <w:tabs>
          <w:tab w:val="num" w:pos="2160"/>
        </w:tabs>
        <w:ind w:left="2160" w:hanging="360"/>
      </w:pPr>
      <w:rPr>
        <w:rFonts w:ascii="Arial" w:hAnsi="Arial" w:cs="Times New Roman" w:hint="default"/>
      </w:rPr>
    </w:lvl>
    <w:lvl w:ilvl="3" w:tplc="6268A6CC">
      <w:start w:val="1"/>
      <w:numFmt w:val="bullet"/>
      <w:lvlText w:val="•"/>
      <w:lvlJc w:val="left"/>
      <w:pPr>
        <w:tabs>
          <w:tab w:val="num" w:pos="2880"/>
        </w:tabs>
        <w:ind w:left="2880" w:hanging="360"/>
      </w:pPr>
      <w:rPr>
        <w:rFonts w:ascii="Arial" w:hAnsi="Arial" w:cs="Times New Roman" w:hint="default"/>
      </w:rPr>
    </w:lvl>
    <w:lvl w:ilvl="4" w:tplc="6098FB94">
      <w:start w:val="1"/>
      <w:numFmt w:val="bullet"/>
      <w:lvlText w:val="•"/>
      <w:lvlJc w:val="left"/>
      <w:pPr>
        <w:tabs>
          <w:tab w:val="num" w:pos="3600"/>
        </w:tabs>
        <w:ind w:left="3600" w:hanging="360"/>
      </w:pPr>
      <w:rPr>
        <w:rFonts w:ascii="Arial" w:hAnsi="Arial" w:cs="Times New Roman" w:hint="default"/>
      </w:rPr>
    </w:lvl>
    <w:lvl w:ilvl="5" w:tplc="E7B0EE58">
      <w:start w:val="1"/>
      <w:numFmt w:val="bullet"/>
      <w:lvlText w:val="•"/>
      <w:lvlJc w:val="left"/>
      <w:pPr>
        <w:tabs>
          <w:tab w:val="num" w:pos="4320"/>
        </w:tabs>
        <w:ind w:left="4320" w:hanging="360"/>
      </w:pPr>
      <w:rPr>
        <w:rFonts w:ascii="Arial" w:hAnsi="Arial" w:cs="Times New Roman" w:hint="default"/>
      </w:rPr>
    </w:lvl>
    <w:lvl w:ilvl="6" w:tplc="342CC3C8">
      <w:start w:val="1"/>
      <w:numFmt w:val="bullet"/>
      <w:lvlText w:val="•"/>
      <w:lvlJc w:val="left"/>
      <w:pPr>
        <w:tabs>
          <w:tab w:val="num" w:pos="5040"/>
        </w:tabs>
        <w:ind w:left="5040" w:hanging="360"/>
      </w:pPr>
      <w:rPr>
        <w:rFonts w:ascii="Arial" w:hAnsi="Arial" w:cs="Times New Roman" w:hint="default"/>
      </w:rPr>
    </w:lvl>
    <w:lvl w:ilvl="7" w:tplc="858CEA30">
      <w:start w:val="1"/>
      <w:numFmt w:val="bullet"/>
      <w:lvlText w:val="•"/>
      <w:lvlJc w:val="left"/>
      <w:pPr>
        <w:tabs>
          <w:tab w:val="num" w:pos="5760"/>
        </w:tabs>
        <w:ind w:left="5760" w:hanging="360"/>
      </w:pPr>
      <w:rPr>
        <w:rFonts w:ascii="Arial" w:hAnsi="Arial" w:cs="Times New Roman" w:hint="default"/>
      </w:rPr>
    </w:lvl>
    <w:lvl w:ilvl="8" w:tplc="F2AEBB6C">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321332FA"/>
    <w:multiLevelType w:val="hybridMultilevel"/>
    <w:tmpl w:val="07FEE8C4"/>
    <w:lvl w:ilvl="0" w:tplc="5E1834EE">
      <w:start w:val="1"/>
      <w:numFmt w:val="decimal"/>
      <w:lvlText w:val="(%1)"/>
      <w:lvlJc w:val="left"/>
      <w:pPr>
        <w:ind w:left="785" w:hanging="360"/>
      </w:pPr>
      <w:rPr>
        <w:rFonts w:ascii="Times New Roman" w:eastAsia="Times New Roman" w:hAnsi="Times New Roman" w:cs="Times New Roman"/>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339A5AF6"/>
    <w:multiLevelType w:val="hybridMultilevel"/>
    <w:tmpl w:val="6BBA31EE"/>
    <w:lvl w:ilvl="0" w:tplc="F5F203F6">
      <w:start w:val="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43D4FD7"/>
    <w:multiLevelType w:val="hybridMultilevel"/>
    <w:tmpl w:val="B38CA672"/>
    <w:lvl w:ilvl="0" w:tplc="D102E01C">
      <w:start w:val="1"/>
      <w:numFmt w:val="decimal"/>
      <w:lvlText w:val="%1)"/>
      <w:lvlJc w:val="left"/>
      <w:pPr>
        <w:ind w:left="720" w:hanging="360"/>
      </w:pPr>
      <w:rPr>
        <w:rFonts w:ascii="Times New Roman" w:hAnsi="Times New Roman" w:cs="Times New Roman" w:hint="default"/>
        <w:b/>
        <w:bCs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2627AB"/>
    <w:multiLevelType w:val="hybridMultilevel"/>
    <w:tmpl w:val="EDE4E1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010DAE"/>
    <w:multiLevelType w:val="hybridMultilevel"/>
    <w:tmpl w:val="142C5600"/>
    <w:lvl w:ilvl="0" w:tplc="A91C3A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89B2163"/>
    <w:multiLevelType w:val="hybridMultilevel"/>
    <w:tmpl w:val="A1F6C9C2"/>
    <w:lvl w:ilvl="0" w:tplc="1CDED5A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67338F5"/>
    <w:multiLevelType w:val="hybridMultilevel"/>
    <w:tmpl w:val="03E83CA0"/>
    <w:lvl w:ilvl="0" w:tplc="B09AADBE">
      <w:start w:val="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6B51C42"/>
    <w:multiLevelType w:val="hybridMultilevel"/>
    <w:tmpl w:val="8EE8D94A"/>
    <w:lvl w:ilvl="0" w:tplc="0A12D4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FB457F7"/>
    <w:multiLevelType w:val="hybridMultilevel"/>
    <w:tmpl w:val="C50849C0"/>
    <w:lvl w:ilvl="0" w:tplc="F5F203F6">
      <w:start w:val="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50D7155"/>
    <w:multiLevelType w:val="hybridMultilevel"/>
    <w:tmpl w:val="51E073D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3B653B"/>
    <w:multiLevelType w:val="hybridMultilevel"/>
    <w:tmpl w:val="9472733E"/>
    <w:lvl w:ilvl="0" w:tplc="3B3CCA6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EC7B01"/>
    <w:multiLevelType w:val="hybridMultilevel"/>
    <w:tmpl w:val="7B62BD0E"/>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BE08A7"/>
    <w:multiLevelType w:val="hybridMultilevel"/>
    <w:tmpl w:val="C2CC97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1171762">
    <w:abstractNumId w:val="8"/>
  </w:num>
  <w:num w:numId="2" w16cid:durableId="1253391682">
    <w:abstractNumId w:val="5"/>
  </w:num>
  <w:num w:numId="3" w16cid:durableId="488524380">
    <w:abstractNumId w:val="16"/>
  </w:num>
  <w:num w:numId="4" w16cid:durableId="2140881186">
    <w:abstractNumId w:val="9"/>
  </w:num>
  <w:num w:numId="5" w16cid:durableId="1657999524">
    <w:abstractNumId w:val="13"/>
  </w:num>
  <w:num w:numId="6" w16cid:durableId="1612400774">
    <w:abstractNumId w:val="6"/>
  </w:num>
  <w:num w:numId="7" w16cid:durableId="2035030205">
    <w:abstractNumId w:val="10"/>
  </w:num>
  <w:num w:numId="8" w16cid:durableId="1288780812">
    <w:abstractNumId w:val="11"/>
  </w:num>
  <w:num w:numId="9" w16cid:durableId="1947695011">
    <w:abstractNumId w:val="17"/>
  </w:num>
  <w:num w:numId="10" w16cid:durableId="944773571">
    <w:abstractNumId w:val="12"/>
  </w:num>
  <w:num w:numId="11" w16cid:durableId="15262827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1277161">
    <w:abstractNumId w:val="15"/>
  </w:num>
  <w:num w:numId="13" w16cid:durableId="1076322059">
    <w:abstractNumId w:val="3"/>
  </w:num>
  <w:num w:numId="14" w16cid:durableId="291181107">
    <w:abstractNumId w:val="0"/>
  </w:num>
  <w:num w:numId="15" w16cid:durableId="1658462865">
    <w:abstractNumId w:val="18"/>
  </w:num>
  <w:num w:numId="16" w16cid:durableId="1371296120">
    <w:abstractNumId w:val="14"/>
  </w:num>
  <w:num w:numId="17" w16cid:durableId="735935543">
    <w:abstractNumId w:val="7"/>
  </w:num>
  <w:num w:numId="18" w16cid:durableId="1508012889">
    <w:abstractNumId w:val="1"/>
  </w:num>
  <w:num w:numId="19" w16cid:durableId="1645356688">
    <w:abstractNumId w:val="4"/>
  </w:num>
  <w:num w:numId="20" w16cid:durableId="11894429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7E"/>
    <w:rsid w:val="000019BF"/>
    <w:rsid w:val="00003713"/>
    <w:rsid w:val="00006D55"/>
    <w:rsid w:val="00016482"/>
    <w:rsid w:val="00020C02"/>
    <w:rsid w:val="000214F6"/>
    <w:rsid w:val="0002242B"/>
    <w:rsid w:val="00024481"/>
    <w:rsid w:val="00027A35"/>
    <w:rsid w:val="00027B8C"/>
    <w:rsid w:val="00035094"/>
    <w:rsid w:val="00044005"/>
    <w:rsid w:val="00050AC3"/>
    <w:rsid w:val="00062480"/>
    <w:rsid w:val="00064408"/>
    <w:rsid w:val="00066551"/>
    <w:rsid w:val="000746FE"/>
    <w:rsid w:val="00075D74"/>
    <w:rsid w:val="00080B3F"/>
    <w:rsid w:val="00080ED5"/>
    <w:rsid w:val="000832DB"/>
    <w:rsid w:val="000904E1"/>
    <w:rsid w:val="00090BC7"/>
    <w:rsid w:val="00093A8A"/>
    <w:rsid w:val="00093CFA"/>
    <w:rsid w:val="00094F7A"/>
    <w:rsid w:val="00095D20"/>
    <w:rsid w:val="000A13B4"/>
    <w:rsid w:val="000A4116"/>
    <w:rsid w:val="000B1060"/>
    <w:rsid w:val="000B43F5"/>
    <w:rsid w:val="000B65F6"/>
    <w:rsid w:val="000B7EA6"/>
    <w:rsid w:val="000C09EB"/>
    <w:rsid w:val="000C642C"/>
    <w:rsid w:val="000D072F"/>
    <w:rsid w:val="000D25D4"/>
    <w:rsid w:val="000D5416"/>
    <w:rsid w:val="000E0369"/>
    <w:rsid w:val="000E0A98"/>
    <w:rsid w:val="000E3124"/>
    <w:rsid w:val="000E46FB"/>
    <w:rsid w:val="001014CD"/>
    <w:rsid w:val="00101E37"/>
    <w:rsid w:val="0011539B"/>
    <w:rsid w:val="00115AF6"/>
    <w:rsid w:val="001226EF"/>
    <w:rsid w:val="001243D8"/>
    <w:rsid w:val="00124D35"/>
    <w:rsid w:val="00130D1D"/>
    <w:rsid w:val="00132905"/>
    <w:rsid w:val="00132BA9"/>
    <w:rsid w:val="001332A8"/>
    <w:rsid w:val="00134574"/>
    <w:rsid w:val="00137CA6"/>
    <w:rsid w:val="00144904"/>
    <w:rsid w:val="001449DE"/>
    <w:rsid w:val="0015133C"/>
    <w:rsid w:val="00151BAB"/>
    <w:rsid w:val="00161B7F"/>
    <w:rsid w:val="001626E5"/>
    <w:rsid w:val="00164928"/>
    <w:rsid w:val="0016572A"/>
    <w:rsid w:val="00165980"/>
    <w:rsid w:val="00165AE8"/>
    <w:rsid w:val="00166387"/>
    <w:rsid w:val="001712DE"/>
    <w:rsid w:val="00173BD0"/>
    <w:rsid w:val="0017461F"/>
    <w:rsid w:val="00176B35"/>
    <w:rsid w:val="0018096E"/>
    <w:rsid w:val="00180F1D"/>
    <w:rsid w:val="001815FE"/>
    <w:rsid w:val="001834F1"/>
    <w:rsid w:val="00187C3B"/>
    <w:rsid w:val="001A6904"/>
    <w:rsid w:val="001B388C"/>
    <w:rsid w:val="001B58E1"/>
    <w:rsid w:val="001C0848"/>
    <w:rsid w:val="001C1CE3"/>
    <w:rsid w:val="001C7BDF"/>
    <w:rsid w:val="001D0E9F"/>
    <w:rsid w:val="001D1C66"/>
    <w:rsid w:val="001D54A1"/>
    <w:rsid w:val="001E07AC"/>
    <w:rsid w:val="001E17B3"/>
    <w:rsid w:val="001E3870"/>
    <w:rsid w:val="001F5003"/>
    <w:rsid w:val="002000C5"/>
    <w:rsid w:val="002012FE"/>
    <w:rsid w:val="00201983"/>
    <w:rsid w:val="002056BA"/>
    <w:rsid w:val="002155E2"/>
    <w:rsid w:val="00217F46"/>
    <w:rsid w:val="00217FE8"/>
    <w:rsid w:val="002205E1"/>
    <w:rsid w:val="00221969"/>
    <w:rsid w:val="00221F31"/>
    <w:rsid w:val="002254D8"/>
    <w:rsid w:val="00230621"/>
    <w:rsid w:val="00233505"/>
    <w:rsid w:val="0024039A"/>
    <w:rsid w:val="002416E6"/>
    <w:rsid w:val="00242017"/>
    <w:rsid w:val="002471B1"/>
    <w:rsid w:val="00260787"/>
    <w:rsid w:val="00261F81"/>
    <w:rsid w:val="002671BC"/>
    <w:rsid w:val="00267361"/>
    <w:rsid w:val="00271FD7"/>
    <w:rsid w:val="00272718"/>
    <w:rsid w:val="00273F56"/>
    <w:rsid w:val="00275EEA"/>
    <w:rsid w:val="00277373"/>
    <w:rsid w:val="00281B18"/>
    <w:rsid w:val="00287757"/>
    <w:rsid w:val="00294F9C"/>
    <w:rsid w:val="00295530"/>
    <w:rsid w:val="00295F7A"/>
    <w:rsid w:val="002A077A"/>
    <w:rsid w:val="002A1915"/>
    <w:rsid w:val="002A3864"/>
    <w:rsid w:val="002A5F87"/>
    <w:rsid w:val="002A7000"/>
    <w:rsid w:val="002B7251"/>
    <w:rsid w:val="002C1F80"/>
    <w:rsid w:val="002C46CD"/>
    <w:rsid w:val="002C4B8B"/>
    <w:rsid w:val="002C4C08"/>
    <w:rsid w:val="002D292F"/>
    <w:rsid w:val="002D4B72"/>
    <w:rsid w:val="002D5A25"/>
    <w:rsid w:val="002D7B47"/>
    <w:rsid w:val="002E0407"/>
    <w:rsid w:val="002E2191"/>
    <w:rsid w:val="002E295F"/>
    <w:rsid w:val="002F298C"/>
    <w:rsid w:val="002F4583"/>
    <w:rsid w:val="00303D4B"/>
    <w:rsid w:val="00307A19"/>
    <w:rsid w:val="0031136F"/>
    <w:rsid w:val="0031187C"/>
    <w:rsid w:val="00315A29"/>
    <w:rsid w:val="00324745"/>
    <w:rsid w:val="00326DDB"/>
    <w:rsid w:val="003304A0"/>
    <w:rsid w:val="003311FB"/>
    <w:rsid w:val="00336A35"/>
    <w:rsid w:val="0033753F"/>
    <w:rsid w:val="003408DF"/>
    <w:rsid w:val="00340F80"/>
    <w:rsid w:val="003422CC"/>
    <w:rsid w:val="00346B04"/>
    <w:rsid w:val="00347F8D"/>
    <w:rsid w:val="003508FA"/>
    <w:rsid w:val="00370A92"/>
    <w:rsid w:val="00373C7B"/>
    <w:rsid w:val="003758C7"/>
    <w:rsid w:val="00376F35"/>
    <w:rsid w:val="00380A2C"/>
    <w:rsid w:val="003840CE"/>
    <w:rsid w:val="00385374"/>
    <w:rsid w:val="00385782"/>
    <w:rsid w:val="0038797B"/>
    <w:rsid w:val="0039559B"/>
    <w:rsid w:val="003A05B6"/>
    <w:rsid w:val="003A1268"/>
    <w:rsid w:val="003A3E2F"/>
    <w:rsid w:val="003A5423"/>
    <w:rsid w:val="003A7388"/>
    <w:rsid w:val="003B037C"/>
    <w:rsid w:val="003B0825"/>
    <w:rsid w:val="003B14DB"/>
    <w:rsid w:val="003B51CB"/>
    <w:rsid w:val="003B6F50"/>
    <w:rsid w:val="003C1105"/>
    <w:rsid w:val="003C670B"/>
    <w:rsid w:val="003D58C1"/>
    <w:rsid w:val="003E1348"/>
    <w:rsid w:val="003E2D91"/>
    <w:rsid w:val="003E4ABC"/>
    <w:rsid w:val="003E5211"/>
    <w:rsid w:val="003F4454"/>
    <w:rsid w:val="003F586E"/>
    <w:rsid w:val="00400AB1"/>
    <w:rsid w:val="0040227C"/>
    <w:rsid w:val="00405FF3"/>
    <w:rsid w:val="00412D4B"/>
    <w:rsid w:val="00420A7F"/>
    <w:rsid w:val="0042215D"/>
    <w:rsid w:val="00425DB8"/>
    <w:rsid w:val="0043137E"/>
    <w:rsid w:val="004336BF"/>
    <w:rsid w:val="0043379B"/>
    <w:rsid w:val="00435DF2"/>
    <w:rsid w:val="004463E2"/>
    <w:rsid w:val="00447065"/>
    <w:rsid w:val="00457C37"/>
    <w:rsid w:val="0046138C"/>
    <w:rsid w:val="0046242C"/>
    <w:rsid w:val="00464FC1"/>
    <w:rsid w:val="00465C6F"/>
    <w:rsid w:val="00467A9A"/>
    <w:rsid w:val="00470022"/>
    <w:rsid w:val="004737CD"/>
    <w:rsid w:val="00474779"/>
    <w:rsid w:val="004758FA"/>
    <w:rsid w:val="004806A7"/>
    <w:rsid w:val="00483411"/>
    <w:rsid w:val="00490D9D"/>
    <w:rsid w:val="004949A8"/>
    <w:rsid w:val="0049590A"/>
    <w:rsid w:val="004A06C3"/>
    <w:rsid w:val="004A3DBD"/>
    <w:rsid w:val="004A62AE"/>
    <w:rsid w:val="004A7032"/>
    <w:rsid w:val="004A7148"/>
    <w:rsid w:val="004B154E"/>
    <w:rsid w:val="004B7827"/>
    <w:rsid w:val="004C00F8"/>
    <w:rsid w:val="004C0F3D"/>
    <w:rsid w:val="004C4054"/>
    <w:rsid w:val="004C65CD"/>
    <w:rsid w:val="004D3BC5"/>
    <w:rsid w:val="004D5BA9"/>
    <w:rsid w:val="004E1A15"/>
    <w:rsid w:val="004F37A0"/>
    <w:rsid w:val="004F7B71"/>
    <w:rsid w:val="00500191"/>
    <w:rsid w:val="00500267"/>
    <w:rsid w:val="00502E67"/>
    <w:rsid w:val="005105D9"/>
    <w:rsid w:val="005117B5"/>
    <w:rsid w:val="0051223C"/>
    <w:rsid w:val="0051283A"/>
    <w:rsid w:val="00514D40"/>
    <w:rsid w:val="0052571D"/>
    <w:rsid w:val="0052678E"/>
    <w:rsid w:val="005344D4"/>
    <w:rsid w:val="00541092"/>
    <w:rsid w:val="00542D13"/>
    <w:rsid w:val="0054480D"/>
    <w:rsid w:val="00547750"/>
    <w:rsid w:val="005477CE"/>
    <w:rsid w:val="00551555"/>
    <w:rsid w:val="00554BF3"/>
    <w:rsid w:val="00556356"/>
    <w:rsid w:val="00556A27"/>
    <w:rsid w:val="00565636"/>
    <w:rsid w:val="00566A60"/>
    <w:rsid w:val="00573060"/>
    <w:rsid w:val="00573561"/>
    <w:rsid w:val="005762FF"/>
    <w:rsid w:val="005770AE"/>
    <w:rsid w:val="005873A7"/>
    <w:rsid w:val="00592D78"/>
    <w:rsid w:val="00593966"/>
    <w:rsid w:val="005941DF"/>
    <w:rsid w:val="00595D86"/>
    <w:rsid w:val="005A252E"/>
    <w:rsid w:val="005A2782"/>
    <w:rsid w:val="005A416C"/>
    <w:rsid w:val="005A6273"/>
    <w:rsid w:val="005B3BCE"/>
    <w:rsid w:val="005C0B4F"/>
    <w:rsid w:val="005C1694"/>
    <w:rsid w:val="005C2682"/>
    <w:rsid w:val="005C3126"/>
    <w:rsid w:val="005D2974"/>
    <w:rsid w:val="005D6C64"/>
    <w:rsid w:val="005E01C4"/>
    <w:rsid w:val="005E06E5"/>
    <w:rsid w:val="005E07B1"/>
    <w:rsid w:val="005E6F69"/>
    <w:rsid w:val="005E758C"/>
    <w:rsid w:val="005F556E"/>
    <w:rsid w:val="005F76F7"/>
    <w:rsid w:val="0060476A"/>
    <w:rsid w:val="00605443"/>
    <w:rsid w:val="006059DE"/>
    <w:rsid w:val="00607EB3"/>
    <w:rsid w:val="0062067E"/>
    <w:rsid w:val="0062292D"/>
    <w:rsid w:val="00622E38"/>
    <w:rsid w:val="00634CCB"/>
    <w:rsid w:val="006356C6"/>
    <w:rsid w:val="00635FB8"/>
    <w:rsid w:val="00636E5E"/>
    <w:rsid w:val="006403D3"/>
    <w:rsid w:val="00650041"/>
    <w:rsid w:val="00650D18"/>
    <w:rsid w:val="0065210C"/>
    <w:rsid w:val="00652184"/>
    <w:rsid w:val="00652E00"/>
    <w:rsid w:val="00654EA0"/>
    <w:rsid w:val="00655C20"/>
    <w:rsid w:val="006639C1"/>
    <w:rsid w:val="00667562"/>
    <w:rsid w:val="00671FA1"/>
    <w:rsid w:val="0067253A"/>
    <w:rsid w:val="00672BB0"/>
    <w:rsid w:val="00674793"/>
    <w:rsid w:val="0067594F"/>
    <w:rsid w:val="006849AE"/>
    <w:rsid w:val="00690460"/>
    <w:rsid w:val="00692092"/>
    <w:rsid w:val="006A0A88"/>
    <w:rsid w:val="006A3B46"/>
    <w:rsid w:val="006A5F0C"/>
    <w:rsid w:val="006A71F1"/>
    <w:rsid w:val="006B7B8A"/>
    <w:rsid w:val="006B7FA8"/>
    <w:rsid w:val="006C09B6"/>
    <w:rsid w:val="006C0A70"/>
    <w:rsid w:val="006C568C"/>
    <w:rsid w:val="006D2500"/>
    <w:rsid w:val="006D3605"/>
    <w:rsid w:val="006D4EAD"/>
    <w:rsid w:val="006E119A"/>
    <w:rsid w:val="006E3A61"/>
    <w:rsid w:val="006F017A"/>
    <w:rsid w:val="006F16D4"/>
    <w:rsid w:val="006F1917"/>
    <w:rsid w:val="006F60CF"/>
    <w:rsid w:val="006F6108"/>
    <w:rsid w:val="00710A41"/>
    <w:rsid w:val="00715270"/>
    <w:rsid w:val="007229A0"/>
    <w:rsid w:val="007230F4"/>
    <w:rsid w:val="007237F8"/>
    <w:rsid w:val="007238ED"/>
    <w:rsid w:val="00732688"/>
    <w:rsid w:val="00734B63"/>
    <w:rsid w:val="0074025F"/>
    <w:rsid w:val="00740C9B"/>
    <w:rsid w:val="00743034"/>
    <w:rsid w:val="00744F15"/>
    <w:rsid w:val="0074674B"/>
    <w:rsid w:val="00750E5B"/>
    <w:rsid w:val="007567B5"/>
    <w:rsid w:val="00757242"/>
    <w:rsid w:val="00760105"/>
    <w:rsid w:val="007603AA"/>
    <w:rsid w:val="00764901"/>
    <w:rsid w:val="00765BA1"/>
    <w:rsid w:val="00782DFA"/>
    <w:rsid w:val="00786E4D"/>
    <w:rsid w:val="00791D70"/>
    <w:rsid w:val="007958CD"/>
    <w:rsid w:val="007A5EA6"/>
    <w:rsid w:val="007B44DD"/>
    <w:rsid w:val="007B4786"/>
    <w:rsid w:val="007B4A16"/>
    <w:rsid w:val="007B61F0"/>
    <w:rsid w:val="007B63FF"/>
    <w:rsid w:val="007B6BA5"/>
    <w:rsid w:val="007C3409"/>
    <w:rsid w:val="007C7183"/>
    <w:rsid w:val="007D3012"/>
    <w:rsid w:val="007D338C"/>
    <w:rsid w:val="007E2086"/>
    <w:rsid w:val="007E64B5"/>
    <w:rsid w:val="007E670E"/>
    <w:rsid w:val="007F0C59"/>
    <w:rsid w:val="007F58C2"/>
    <w:rsid w:val="007F5E91"/>
    <w:rsid w:val="00800FDF"/>
    <w:rsid w:val="00802011"/>
    <w:rsid w:val="00802AD7"/>
    <w:rsid w:val="00803365"/>
    <w:rsid w:val="00804DC9"/>
    <w:rsid w:val="00807D3D"/>
    <w:rsid w:val="008117E8"/>
    <w:rsid w:val="00811EAD"/>
    <w:rsid w:val="0081576E"/>
    <w:rsid w:val="00824B9E"/>
    <w:rsid w:val="00827AC3"/>
    <w:rsid w:val="00830B4A"/>
    <w:rsid w:val="00831C08"/>
    <w:rsid w:val="00832A81"/>
    <w:rsid w:val="00834ED4"/>
    <w:rsid w:val="00840838"/>
    <w:rsid w:val="0084411E"/>
    <w:rsid w:val="008523D9"/>
    <w:rsid w:val="008526BA"/>
    <w:rsid w:val="008614D0"/>
    <w:rsid w:val="008622F7"/>
    <w:rsid w:val="00864054"/>
    <w:rsid w:val="008663A5"/>
    <w:rsid w:val="00867D4B"/>
    <w:rsid w:val="00881242"/>
    <w:rsid w:val="00881C2A"/>
    <w:rsid w:val="00885AAF"/>
    <w:rsid w:val="008874BD"/>
    <w:rsid w:val="00887FDD"/>
    <w:rsid w:val="00893AB1"/>
    <w:rsid w:val="00896A15"/>
    <w:rsid w:val="008A0070"/>
    <w:rsid w:val="008A2AAD"/>
    <w:rsid w:val="008A5022"/>
    <w:rsid w:val="008A6B55"/>
    <w:rsid w:val="008B0B16"/>
    <w:rsid w:val="008B1963"/>
    <w:rsid w:val="008B56DF"/>
    <w:rsid w:val="008B6F5D"/>
    <w:rsid w:val="008C0194"/>
    <w:rsid w:val="008C3C84"/>
    <w:rsid w:val="008C4A8E"/>
    <w:rsid w:val="008C5629"/>
    <w:rsid w:val="008C6482"/>
    <w:rsid w:val="008D3BBB"/>
    <w:rsid w:val="008D4B22"/>
    <w:rsid w:val="008D78E5"/>
    <w:rsid w:val="008E61A5"/>
    <w:rsid w:val="008E7023"/>
    <w:rsid w:val="008E7828"/>
    <w:rsid w:val="008F1844"/>
    <w:rsid w:val="008F2340"/>
    <w:rsid w:val="008F3E19"/>
    <w:rsid w:val="008F4B30"/>
    <w:rsid w:val="009007DB"/>
    <w:rsid w:val="00905C47"/>
    <w:rsid w:val="0091270E"/>
    <w:rsid w:val="00915660"/>
    <w:rsid w:val="009211E1"/>
    <w:rsid w:val="009272D8"/>
    <w:rsid w:val="00941C48"/>
    <w:rsid w:val="00943D3C"/>
    <w:rsid w:val="00943F88"/>
    <w:rsid w:val="009504BC"/>
    <w:rsid w:val="00951C82"/>
    <w:rsid w:val="00952790"/>
    <w:rsid w:val="00954030"/>
    <w:rsid w:val="009545E8"/>
    <w:rsid w:val="0095775A"/>
    <w:rsid w:val="009716C3"/>
    <w:rsid w:val="00971A8D"/>
    <w:rsid w:val="0097359D"/>
    <w:rsid w:val="00974A44"/>
    <w:rsid w:val="0098252E"/>
    <w:rsid w:val="00992738"/>
    <w:rsid w:val="00993384"/>
    <w:rsid w:val="009A005F"/>
    <w:rsid w:val="009A1B83"/>
    <w:rsid w:val="009A1DB4"/>
    <w:rsid w:val="009A3C4D"/>
    <w:rsid w:val="009B0ACC"/>
    <w:rsid w:val="009C4EA0"/>
    <w:rsid w:val="009D1973"/>
    <w:rsid w:val="009D1E9E"/>
    <w:rsid w:val="009D22D7"/>
    <w:rsid w:val="009D4037"/>
    <w:rsid w:val="009D69A2"/>
    <w:rsid w:val="009E0989"/>
    <w:rsid w:val="009E0F42"/>
    <w:rsid w:val="009E4B57"/>
    <w:rsid w:val="009E5F04"/>
    <w:rsid w:val="009F7657"/>
    <w:rsid w:val="00A05CEA"/>
    <w:rsid w:val="00A05EA0"/>
    <w:rsid w:val="00A05FF8"/>
    <w:rsid w:val="00A1611D"/>
    <w:rsid w:val="00A20A93"/>
    <w:rsid w:val="00A20C96"/>
    <w:rsid w:val="00A27A15"/>
    <w:rsid w:val="00A33D6E"/>
    <w:rsid w:val="00A34FA0"/>
    <w:rsid w:val="00A36AB7"/>
    <w:rsid w:val="00A40B10"/>
    <w:rsid w:val="00A47749"/>
    <w:rsid w:val="00A55CC2"/>
    <w:rsid w:val="00A578C3"/>
    <w:rsid w:val="00A57A16"/>
    <w:rsid w:val="00A600E1"/>
    <w:rsid w:val="00A72113"/>
    <w:rsid w:val="00A73E6E"/>
    <w:rsid w:val="00A801FE"/>
    <w:rsid w:val="00A809CC"/>
    <w:rsid w:val="00A82B97"/>
    <w:rsid w:val="00A83DB1"/>
    <w:rsid w:val="00A86DBE"/>
    <w:rsid w:val="00A90763"/>
    <w:rsid w:val="00A9580B"/>
    <w:rsid w:val="00AA65DE"/>
    <w:rsid w:val="00AB6FE3"/>
    <w:rsid w:val="00AC1BD7"/>
    <w:rsid w:val="00AC2817"/>
    <w:rsid w:val="00AC62D7"/>
    <w:rsid w:val="00AD6D42"/>
    <w:rsid w:val="00AE06AB"/>
    <w:rsid w:val="00AE608F"/>
    <w:rsid w:val="00AF0905"/>
    <w:rsid w:val="00AF1D0A"/>
    <w:rsid w:val="00AF2280"/>
    <w:rsid w:val="00AF2352"/>
    <w:rsid w:val="00AF24DF"/>
    <w:rsid w:val="00B0015D"/>
    <w:rsid w:val="00B03F44"/>
    <w:rsid w:val="00B11BE5"/>
    <w:rsid w:val="00B1276D"/>
    <w:rsid w:val="00B16044"/>
    <w:rsid w:val="00B16581"/>
    <w:rsid w:val="00B17187"/>
    <w:rsid w:val="00B30798"/>
    <w:rsid w:val="00B32574"/>
    <w:rsid w:val="00B35C52"/>
    <w:rsid w:val="00B370CC"/>
    <w:rsid w:val="00B405A0"/>
    <w:rsid w:val="00B406EE"/>
    <w:rsid w:val="00B440B5"/>
    <w:rsid w:val="00B4434E"/>
    <w:rsid w:val="00B46AB5"/>
    <w:rsid w:val="00B5540B"/>
    <w:rsid w:val="00B557E5"/>
    <w:rsid w:val="00B6060C"/>
    <w:rsid w:val="00B619A4"/>
    <w:rsid w:val="00B63F7F"/>
    <w:rsid w:val="00B642F2"/>
    <w:rsid w:val="00B65D07"/>
    <w:rsid w:val="00B66826"/>
    <w:rsid w:val="00B71640"/>
    <w:rsid w:val="00B75298"/>
    <w:rsid w:val="00B75CB4"/>
    <w:rsid w:val="00B777E9"/>
    <w:rsid w:val="00B838DE"/>
    <w:rsid w:val="00BA3492"/>
    <w:rsid w:val="00BA5643"/>
    <w:rsid w:val="00BB0079"/>
    <w:rsid w:val="00BB18B2"/>
    <w:rsid w:val="00BB7DD7"/>
    <w:rsid w:val="00BC5067"/>
    <w:rsid w:val="00BC55AD"/>
    <w:rsid w:val="00BC55E6"/>
    <w:rsid w:val="00BC581D"/>
    <w:rsid w:val="00BD0BF0"/>
    <w:rsid w:val="00BD2483"/>
    <w:rsid w:val="00BD3B4B"/>
    <w:rsid w:val="00BD407C"/>
    <w:rsid w:val="00BD4285"/>
    <w:rsid w:val="00BE0F58"/>
    <w:rsid w:val="00BE7DC7"/>
    <w:rsid w:val="00BF2C34"/>
    <w:rsid w:val="00BF79AF"/>
    <w:rsid w:val="00C004D8"/>
    <w:rsid w:val="00C01B2D"/>
    <w:rsid w:val="00C02EE2"/>
    <w:rsid w:val="00C07624"/>
    <w:rsid w:val="00C079E2"/>
    <w:rsid w:val="00C16D17"/>
    <w:rsid w:val="00C261F4"/>
    <w:rsid w:val="00C41318"/>
    <w:rsid w:val="00C43E8B"/>
    <w:rsid w:val="00C45536"/>
    <w:rsid w:val="00C5200C"/>
    <w:rsid w:val="00C529F3"/>
    <w:rsid w:val="00C56D8B"/>
    <w:rsid w:val="00C60B44"/>
    <w:rsid w:val="00C63279"/>
    <w:rsid w:val="00C635B7"/>
    <w:rsid w:val="00C63A28"/>
    <w:rsid w:val="00C64422"/>
    <w:rsid w:val="00C64740"/>
    <w:rsid w:val="00C658D0"/>
    <w:rsid w:val="00C67C38"/>
    <w:rsid w:val="00C67F1A"/>
    <w:rsid w:val="00C72E43"/>
    <w:rsid w:val="00C75136"/>
    <w:rsid w:val="00C76628"/>
    <w:rsid w:val="00C93B0F"/>
    <w:rsid w:val="00CB06C0"/>
    <w:rsid w:val="00CB3EB5"/>
    <w:rsid w:val="00CD21E4"/>
    <w:rsid w:val="00CD510E"/>
    <w:rsid w:val="00CD59C6"/>
    <w:rsid w:val="00CE0B5C"/>
    <w:rsid w:val="00CE13C8"/>
    <w:rsid w:val="00CE4AC4"/>
    <w:rsid w:val="00CE542C"/>
    <w:rsid w:val="00CE69EA"/>
    <w:rsid w:val="00CF06E0"/>
    <w:rsid w:val="00CF183A"/>
    <w:rsid w:val="00CF33D0"/>
    <w:rsid w:val="00D02535"/>
    <w:rsid w:val="00D03347"/>
    <w:rsid w:val="00D0367C"/>
    <w:rsid w:val="00D1411C"/>
    <w:rsid w:val="00D208C5"/>
    <w:rsid w:val="00D23E63"/>
    <w:rsid w:val="00D25547"/>
    <w:rsid w:val="00D315CE"/>
    <w:rsid w:val="00D3238C"/>
    <w:rsid w:val="00D41C1B"/>
    <w:rsid w:val="00D4315C"/>
    <w:rsid w:val="00D46856"/>
    <w:rsid w:val="00D4727D"/>
    <w:rsid w:val="00D545CF"/>
    <w:rsid w:val="00D566D4"/>
    <w:rsid w:val="00D57DD0"/>
    <w:rsid w:val="00D6610A"/>
    <w:rsid w:val="00D712AA"/>
    <w:rsid w:val="00D74BCA"/>
    <w:rsid w:val="00D76DBE"/>
    <w:rsid w:val="00D76E3D"/>
    <w:rsid w:val="00D778F5"/>
    <w:rsid w:val="00D829D8"/>
    <w:rsid w:val="00D833CB"/>
    <w:rsid w:val="00D85176"/>
    <w:rsid w:val="00D87969"/>
    <w:rsid w:val="00D9321A"/>
    <w:rsid w:val="00D93A34"/>
    <w:rsid w:val="00D95E66"/>
    <w:rsid w:val="00D96E05"/>
    <w:rsid w:val="00DA3380"/>
    <w:rsid w:val="00DA39AD"/>
    <w:rsid w:val="00DA7FA1"/>
    <w:rsid w:val="00DB1571"/>
    <w:rsid w:val="00DB1B92"/>
    <w:rsid w:val="00DB5892"/>
    <w:rsid w:val="00DB76A6"/>
    <w:rsid w:val="00DC02E6"/>
    <w:rsid w:val="00DC1F82"/>
    <w:rsid w:val="00DC26EA"/>
    <w:rsid w:val="00DC7D3A"/>
    <w:rsid w:val="00DC7E88"/>
    <w:rsid w:val="00DD339B"/>
    <w:rsid w:val="00DE0D57"/>
    <w:rsid w:val="00DE2EE6"/>
    <w:rsid w:val="00DF2E06"/>
    <w:rsid w:val="00DF3861"/>
    <w:rsid w:val="00DF59EE"/>
    <w:rsid w:val="00DF5E09"/>
    <w:rsid w:val="00E0430B"/>
    <w:rsid w:val="00E045CC"/>
    <w:rsid w:val="00E04CCA"/>
    <w:rsid w:val="00E15560"/>
    <w:rsid w:val="00E16A1A"/>
    <w:rsid w:val="00E47045"/>
    <w:rsid w:val="00E50BF4"/>
    <w:rsid w:val="00E52D49"/>
    <w:rsid w:val="00E636B8"/>
    <w:rsid w:val="00E74289"/>
    <w:rsid w:val="00E769AA"/>
    <w:rsid w:val="00E82C2D"/>
    <w:rsid w:val="00E8338F"/>
    <w:rsid w:val="00E8549D"/>
    <w:rsid w:val="00E867E8"/>
    <w:rsid w:val="00E87E91"/>
    <w:rsid w:val="00E87FA2"/>
    <w:rsid w:val="00E90037"/>
    <w:rsid w:val="00E92E64"/>
    <w:rsid w:val="00E9472B"/>
    <w:rsid w:val="00E949F3"/>
    <w:rsid w:val="00EB5EDC"/>
    <w:rsid w:val="00EC0446"/>
    <w:rsid w:val="00EC32F2"/>
    <w:rsid w:val="00ED1AFF"/>
    <w:rsid w:val="00ED2941"/>
    <w:rsid w:val="00ED5883"/>
    <w:rsid w:val="00ED69F9"/>
    <w:rsid w:val="00EE32D1"/>
    <w:rsid w:val="00EE6C34"/>
    <w:rsid w:val="00EE6D1F"/>
    <w:rsid w:val="00EF0525"/>
    <w:rsid w:val="00EF40BA"/>
    <w:rsid w:val="00F03957"/>
    <w:rsid w:val="00F0647B"/>
    <w:rsid w:val="00F107E0"/>
    <w:rsid w:val="00F1106C"/>
    <w:rsid w:val="00F223C7"/>
    <w:rsid w:val="00F271C3"/>
    <w:rsid w:val="00F30938"/>
    <w:rsid w:val="00F3093B"/>
    <w:rsid w:val="00F327A6"/>
    <w:rsid w:val="00F3621F"/>
    <w:rsid w:val="00F47858"/>
    <w:rsid w:val="00F4795E"/>
    <w:rsid w:val="00F50512"/>
    <w:rsid w:val="00F51CF1"/>
    <w:rsid w:val="00F60C60"/>
    <w:rsid w:val="00F6288B"/>
    <w:rsid w:val="00F64983"/>
    <w:rsid w:val="00F653FF"/>
    <w:rsid w:val="00F65DAD"/>
    <w:rsid w:val="00F70024"/>
    <w:rsid w:val="00F76306"/>
    <w:rsid w:val="00F76D57"/>
    <w:rsid w:val="00F8105D"/>
    <w:rsid w:val="00F85BF8"/>
    <w:rsid w:val="00F86580"/>
    <w:rsid w:val="00F86ED3"/>
    <w:rsid w:val="00F90B5F"/>
    <w:rsid w:val="00F96DE2"/>
    <w:rsid w:val="00F9788A"/>
    <w:rsid w:val="00FA0707"/>
    <w:rsid w:val="00FA6033"/>
    <w:rsid w:val="00FA6D95"/>
    <w:rsid w:val="00FB138C"/>
    <w:rsid w:val="00FB32E3"/>
    <w:rsid w:val="00FB68E6"/>
    <w:rsid w:val="00FC0A17"/>
    <w:rsid w:val="00FC1919"/>
    <w:rsid w:val="00FC1FEB"/>
    <w:rsid w:val="00FC456A"/>
    <w:rsid w:val="00FD0289"/>
    <w:rsid w:val="00FD108A"/>
    <w:rsid w:val="00FD1FF0"/>
    <w:rsid w:val="00FD6A9F"/>
    <w:rsid w:val="00FE3064"/>
    <w:rsid w:val="00FE356A"/>
    <w:rsid w:val="00FE491F"/>
    <w:rsid w:val="00FE5F16"/>
    <w:rsid w:val="00FE68CC"/>
    <w:rsid w:val="00FF1722"/>
    <w:rsid w:val="00FF2AA7"/>
    <w:rsid w:val="00FF4DD1"/>
    <w:rsid w:val="00FF60D9"/>
    <w:rsid w:val="00FF69A7"/>
    <w:rsid w:val="00FF7E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09BE"/>
  <w15:chartTrackingRefBased/>
  <w15:docId w15:val="{D9BD9077-45B5-42BD-B808-147A4344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B4B"/>
    <w:rPr>
      <w:rFonts w:asciiTheme="minorHAnsi" w:hAnsiTheme="minorHAnsi" w:cstheme="minorBidi"/>
      <w:bCs w:val="0"/>
      <w:sz w:val="22"/>
      <w:szCs w:val="22"/>
    </w:rPr>
  </w:style>
  <w:style w:type="paragraph" w:styleId="Nadpis1">
    <w:name w:val="heading 1"/>
    <w:basedOn w:val="Normln"/>
    <w:link w:val="Nadpis1Char"/>
    <w:uiPriority w:val="9"/>
    <w:qFormat/>
    <w:rsid w:val="003E2D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017A"/>
    <w:pPr>
      <w:ind w:left="720"/>
      <w:contextualSpacing/>
    </w:pPr>
    <w:rPr>
      <w:rFonts w:ascii="Times New Roman" w:hAnsi="Times New Roman" w:cs="Times New Roman"/>
      <w:bCs/>
      <w:sz w:val="24"/>
      <w:szCs w:val="24"/>
    </w:rPr>
  </w:style>
  <w:style w:type="character" w:customStyle="1" w:styleId="PodnadpisChar">
    <w:name w:val="Podnadpis Char"/>
    <w:aliases w:val="Grafy a tabulky Char"/>
    <w:basedOn w:val="Standardnpsmoodstavce"/>
    <w:link w:val="Podnadpis"/>
    <w:uiPriority w:val="11"/>
    <w:locked/>
    <w:rsid w:val="006F017A"/>
    <w:rPr>
      <w:rFonts w:ascii="Garamond" w:hAnsi="Garamond"/>
      <w:b/>
      <w:bCs w:val="0"/>
      <w:color w:val="000000"/>
      <w:spacing w:val="15"/>
    </w:rPr>
  </w:style>
  <w:style w:type="paragraph" w:styleId="Podnadpis">
    <w:name w:val="Subtitle"/>
    <w:aliases w:val="Grafy a tabulky"/>
    <w:basedOn w:val="Normln"/>
    <w:link w:val="PodnadpisChar"/>
    <w:uiPriority w:val="11"/>
    <w:qFormat/>
    <w:rsid w:val="006F017A"/>
    <w:pPr>
      <w:keepNext/>
      <w:spacing w:before="120" w:after="0" w:line="240" w:lineRule="auto"/>
    </w:pPr>
    <w:rPr>
      <w:rFonts w:ascii="Garamond" w:hAnsi="Garamond" w:cs="Times New Roman"/>
      <w:b/>
      <w:color w:val="000000"/>
      <w:spacing w:val="15"/>
      <w:sz w:val="24"/>
      <w:szCs w:val="24"/>
    </w:rPr>
  </w:style>
  <w:style w:type="character" w:customStyle="1" w:styleId="PodnadpisChar1">
    <w:name w:val="Podnadpis Char1"/>
    <w:basedOn w:val="Standardnpsmoodstavce"/>
    <w:uiPriority w:val="11"/>
    <w:rsid w:val="006F017A"/>
    <w:rPr>
      <w:rFonts w:asciiTheme="minorHAnsi" w:eastAsiaTheme="minorEastAsia" w:hAnsiTheme="minorHAnsi" w:cstheme="minorBidi"/>
      <w:bCs w:val="0"/>
      <w:color w:val="5A5A5A" w:themeColor="text1" w:themeTint="A5"/>
      <w:spacing w:val="15"/>
      <w:sz w:val="22"/>
      <w:szCs w:val="22"/>
    </w:rPr>
  </w:style>
  <w:style w:type="paragraph" w:styleId="Zhlav">
    <w:name w:val="header"/>
    <w:basedOn w:val="Normln"/>
    <w:link w:val="ZhlavChar"/>
    <w:uiPriority w:val="99"/>
    <w:unhideWhenUsed/>
    <w:rsid w:val="005477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750"/>
    <w:rPr>
      <w:rFonts w:asciiTheme="minorHAnsi" w:hAnsiTheme="minorHAnsi" w:cstheme="minorBidi"/>
      <w:bCs w:val="0"/>
      <w:sz w:val="22"/>
      <w:szCs w:val="22"/>
    </w:rPr>
  </w:style>
  <w:style w:type="paragraph" w:styleId="Zpat">
    <w:name w:val="footer"/>
    <w:basedOn w:val="Normln"/>
    <w:link w:val="ZpatChar"/>
    <w:uiPriority w:val="99"/>
    <w:unhideWhenUsed/>
    <w:rsid w:val="00547750"/>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750"/>
    <w:rPr>
      <w:rFonts w:asciiTheme="minorHAnsi" w:hAnsiTheme="minorHAnsi" w:cstheme="minorBidi"/>
      <w:bCs w:val="0"/>
      <w:sz w:val="22"/>
      <w:szCs w:val="22"/>
    </w:rPr>
  </w:style>
  <w:style w:type="paragraph" w:styleId="Textpoznpodarou">
    <w:name w:val="footnote text"/>
    <w:aliases w:val="Footnote Text Char2 Char,Footnote Text Char Char1 Char,Footnote Text Char1 Char Char Char,Footnote Text Char Char Char Char Char,Footnote Text Char1 Char1 Char,Footnote Text Char Char Char1 Char,Footnote Text Char1,Footnote TextCSR"/>
    <w:basedOn w:val="Normln"/>
    <w:link w:val="TextpoznpodarouChar"/>
    <w:uiPriority w:val="99"/>
    <w:unhideWhenUsed/>
    <w:qFormat/>
    <w:rsid w:val="006B7FA8"/>
    <w:pPr>
      <w:spacing w:after="0" w:line="240" w:lineRule="auto"/>
    </w:pPr>
    <w:rPr>
      <w:rFonts w:ascii="Times New Roman" w:hAnsi="Times New Roman" w:cs="Times New Roman"/>
      <w:bCs/>
      <w:sz w:val="20"/>
      <w:szCs w:val="20"/>
    </w:rPr>
  </w:style>
  <w:style w:type="character" w:customStyle="1" w:styleId="TextpoznpodarouChar">
    <w:name w:val="Text pozn. pod čarou Char"/>
    <w:aliases w:val="Footnote Text Char2 Char Char,Footnote Text Char Char1 Char Char,Footnote Text Char1 Char Char Char Char,Footnote Text Char Char Char Char Char Char,Footnote Text Char1 Char1 Char Char,Footnote Text Char Char Char1 Char Char"/>
    <w:basedOn w:val="Standardnpsmoodstavce"/>
    <w:link w:val="Textpoznpodarou"/>
    <w:uiPriority w:val="99"/>
    <w:rsid w:val="006B7FA8"/>
    <w:rPr>
      <w:sz w:val="20"/>
      <w:szCs w:val="20"/>
    </w:rPr>
  </w:style>
  <w:style w:type="character" w:styleId="Znakapoznpodarou">
    <w:name w:val="footnote reference"/>
    <w:aliases w:val="Footnote Reference Superscript,BVI fnr,Footnote symbol,Footnote symboFußnotenzeichen,Footnote sign,Footnote Reference text,Voetnootverwijzing,Odwołanie przypisu,FR,Fußnotenzeichen diss neu,Times 10 Point,Exposant 3 Point,16 Point"/>
    <w:basedOn w:val="Standardnpsmoodstavce"/>
    <w:link w:val="FootnoteReferneceChar"/>
    <w:uiPriority w:val="99"/>
    <w:unhideWhenUsed/>
    <w:qFormat/>
    <w:rsid w:val="006B7FA8"/>
    <w:rPr>
      <w:vertAlign w:val="superscript"/>
    </w:rPr>
  </w:style>
  <w:style w:type="paragraph" w:customStyle="1" w:styleId="oj-normal">
    <w:name w:val="oj-normal"/>
    <w:basedOn w:val="Normln"/>
    <w:rsid w:val="006B7F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f0">
    <w:name w:val="pf0"/>
    <w:basedOn w:val="Normln"/>
    <w:rsid w:val="004613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46138C"/>
    <w:rPr>
      <w:rFonts w:ascii="Segoe UI" w:hAnsi="Segoe UI" w:cs="Segoe UI" w:hint="default"/>
      <w:sz w:val="18"/>
      <w:szCs w:val="18"/>
    </w:rPr>
  </w:style>
  <w:style w:type="character" w:styleId="Odkaznakoment">
    <w:name w:val="annotation reference"/>
    <w:basedOn w:val="Standardnpsmoodstavce"/>
    <w:uiPriority w:val="99"/>
    <w:semiHidden/>
    <w:unhideWhenUsed/>
    <w:rsid w:val="00E8549D"/>
    <w:rPr>
      <w:sz w:val="16"/>
      <w:szCs w:val="16"/>
    </w:rPr>
  </w:style>
  <w:style w:type="paragraph" w:styleId="Textkomente">
    <w:name w:val="annotation text"/>
    <w:basedOn w:val="Normln"/>
    <w:link w:val="TextkomenteChar"/>
    <w:uiPriority w:val="99"/>
    <w:unhideWhenUsed/>
    <w:rsid w:val="00E8549D"/>
    <w:pPr>
      <w:spacing w:line="240" w:lineRule="auto"/>
    </w:pPr>
    <w:rPr>
      <w:rFonts w:ascii="Times New Roman" w:hAnsi="Times New Roman" w:cs="Times New Roman"/>
      <w:bCs/>
      <w:sz w:val="20"/>
      <w:szCs w:val="20"/>
      <w14:ligatures w14:val="standardContextual"/>
    </w:rPr>
  </w:style>
  <w:style w:type="character" w:customStyle="1" w:styleId="TextkomenteChar">
    <w:name w:val="Text komentáře Char"/>
    <w:basedOn w:val="Standardnpsmoodstavce"/>
    <w:link w:val="Textkomente"/>
    <w:uiPriority w:val="99"/>
    <w:rsid w:val="00E8549D"/>
    <w:rPr>
      <w:sz w:val="20"/>
      <w:szCs w:val="20"/>
      <w14:ligatures w14:val="standardContextual"/>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ln"/>
    <w:link w:val="Znakapoznpodarou"/>
    <w:uiPriority w:val="99"/>
    <w:rsid w:val="00D778F5"/>
    <w:pPr>
      <w:spacing w:line="240" w:lineRule="exact"/>
    </w:pPr>
    <w:rPr>
      <w:rFonts w:ascii="Times New Roman" w:hAnsi="Times New Roman" w:cs="Times New Roman"/>
      <w:bCs/>
      <w:sz w:val="24"/>
      <w:szCs w:val="24"/>
      <w:vertAlign w:val="superscript"/>
    </w:rPr>
  </w:style>
  <w:style w:type="paragraph" w:customStyle="1" w:styleId="CM4">
    <w:name w:val="CM4"/>
    <w:basedOn w:val="Normln"/>
    <w:uiPriority w:val="99"/>
    <w:rsid w:val="000D25D4"/>
    <w:pPr>
      <w:autoSpaceDE w:val="0"/>
      <w:autoSpaceDN w:val="0"/>
      <w:spacing w:after="0" w:line="240" w:lineRule="auto"/>
    </w:pPr>
    <w:rPr>
      <w:rFonts w:ascii="EUAlbertina" w:hAnsi="EUAlbertina" w:cs="Calibri"/>
      <w:sz w:val="24"/>
      <w:szCs w:val="24"/>
      <w:lang w:eastAsia="cs-CZ"/>
    </w:rPr>
  </w:style>
  <w:style w:type="character" w:styleId="Zdraznn">
    <w:name w:val="Emphasis"/>
    <w:basedOn w:val="Standardnpsmoodstavce"/>
    <w:uiPriority w:val="20"/>
    <w:qFormat/>
    <w:rsid w:val="008A0070"/>
    <w:rPr>
      <w:i/>
      <w:iCs/>
    </w:rPr>
  </w:style>
  <w:style w:type="paragraph" w:styleId="Nzev">
    <w:name w:val="Title"/>
    <w:basedOn w:val="Podnadpis"/>
    <w:next w:val="Normln"/>
    <w:link w:val="NzevChar"/>
    <w:uiPriority w:val="10"/>
    <w:qFormat/>
    <w:rsid w:val="00B65D07"/>
    <w:pPr>
      <w:keepNext w:val="0"/>
      <w:pBdr>
        <w:top w:val="none" w:sz="4" w:space="0" w:color="000000"/>
        <w:left w:val="none" w:sz="4" w:space="0" w:color="000000"/>
        <w:bottom w:val="none" w:sz="4" w:space="0" w:color="000000"/>
        <w:right w:val="none" w:sz="4" w:space="0" w:color="000000"/>
      </w:pBdr>
      <w:spacing w:before="200" w:after="200" w:line="276" w:lineRule="auto"/>
      <w:jc w:val="center"/>
    </w:pPr>
    <w:rPr>
      <w:rFonts w:ascii="Times New Roman" w:eastAsia="Times New Roman" w:hAnsi="Times New Roman"/>
      <w:b w:val="0"/>
      <w:spacing w:val="0"/>
    </w:rPr>
  </w:style>
  <w:style w:type="character" w:customStyle="1" w:styleId="NzevChar">
    <w:name w:val="Název Char"/>
    <w:basedOn w:val="Standardnpsmoodstavce"/>
    <w:link w:val="Nzev"/>
    <w:uiPriority w:val="10"/>
    <w:rsid w:val="00B65D07"/>
    <w:rPr>
      <w:rFonts w:eastAsia="Times New Roman"/>
      <w:bCs w:val="0"/>
      <w:color w:val="000000"/>
    </w:rPr>
  </w:style>
  <w:style w:type="paragraph" w:customStyle="1" w:styleId="MSp-text">
    <w:name w:val="MSp-text"/>
    <w:basedOn w:val="Normln"/>
    <w:rsid w:val="00A83DB1"/>
    <w:pPr>
      <w:tabs>
        <w:tab w:val="left" w:pos="720"/>
      </w:tabs>
      <w:spacing w:after="240" w:line="240" w:lineRule="auto"/>
      <w:ind w:firstLine="720"/>
      <w:jc w:val="both"/>
    </w:pPr>
    <w:rPr>
      <w:rFonts w:ascii="Times New Roman" w:eastAsia="Times New Roman" w:hAnsi="Times New Roman" w:cs="Times New Roman"/>
      <w:sz w:val="24"/>
      <w:szCs w:val="24"/>
    </w:rPr>
  </w:style>
  <w:style w:type="paragraph" w:styleId="Pedmtkomente">
    <w:name w:val="annotation subject"/>
    <w:basedOn w:val="Textkomente"/>
    <w:next w:val="Textkomente"/>
    <w:link w:val="PedmtkomenteChar"/>
    <w:uiPriority w:val="99"/>
    <w:semiHidden/>
    <w:unhideWhenUsed/>
    <w:rsid w:val="00E949F3"/>
    <w:rPr>
      <w:rFonts w:asciiTheme="minorHAnsi" w:hAnsiTheme="minorHAnsi" w:cstheme="minorBidi"/>
      <w:b/>
      <w14:ligatures w14:val="none"/>
    </w:rPr>
  </w:style>
  <w:style w:type="character" w:customStyle="1" w:styleId="PedmtkomenteChar">
    <w:name w:val="Předmět komentáře Char"/>
    <w:basedOn w:val="TextkomenteChar"/>
    <w:link w:val="Pedmtkomente"/>
    <w:uiPriority w:val="99"/>
    <w:semiHidden/>
    <w:rsid w:val="00E949F3"/>
    <w:rPr>
      <w:rFonts w:asciiTheme="minorHAnsi" w:hAnsiTheme="minorHAnsi" w:cstheme="minorBidi"/>
      <w:b/>
      <w:sz w:val="20"/>
      <w:szCs w:val="20"/>
      <w14:ligatures w14:val="standardContextual"/>
    </w:rPr>
  </w:style>
  <w:style w:type="character" w:styleId="Hypertextovodkaz">
    <w:name w:val="Hyperlink"/>
    <w:basedOn w:val="Standardnpsmoodstavce"/>
    <w:uiPriority w:val="99"/>
    <w:unhideWhenUsed/>
    <w:rsid w:val="008A6B55"/>
    <w:rPr>
      <w:color w:val="0563C1"/>
      <w:u w:val="single"/>
    </w:rPr>
  </w:style>
  <w:style w:type="character" w:styleId="Nevyeenzmnka">
    <w:name w:val="Unresolved Mention"/>
    <w:basedOn w:val="Standardnpsmoodstavce"/>
    <w:uiPriority w:val="99"/>
    <w:semiHidden/>
    <w:unhideWhenUsed/>
    <w:rsid w:val="00A578C3"/>
    <w:rPr>
      <w:color w:val="605E5C"/>
      <w:shd w:val="clear" w:color="auto" w:fill="E1DFDD"/>
    </w:rPr>
  </w:style>
  <w:style w:type="paragraph" w:customStyle="1" w:styleId="Textodstavce">
    <w:name w:val="Text odstavce"/>
    <w:basedOn w:val="Normln"/>
    <w:rsid w:val="00EC0446"/>
    <w:pPr>
      <w:tabs>
        <w:tab w:val="left" w:pos="851"/>
      </w:tabs>
      <w:spacing w:before="120" w:after="120" w:line="293" w:lineRule="auto"/>
      <w:outlineLvl w:val="6"/>
    </w:pPr>
    <w:rPr>
      <w:color w:val="000000" w:themeColor="text1"/>
    </w:rPr>
  </w:style>
  <w:style w:type="paragraph" w:customStyle="1" w:styleId="CM1">
    <w:name w:val="CM1"/>
    <w:basedOn w:val="Normln"/>
    <w:next w:val="Normln"/>
    <w:uiPriority w:val="99"/>
    <w:rsid w:val="00C41318"/>
    <w:pPr>
      <w:autoSpaceDE w:val="0"/>
      <w:autoSpaceDN w:val="0"/>
      <w:adjustRightInd w:val="0"/>
      <w:spacing w:after="0" w:line="240" w:lineRule="auto"/>
    </w:pPr>
    <w:rPr>
      <w:rFonts w:ascii="EU Albertina" w:hAnsi="EU Albertina" w:cs="Times New Roman"/>
      <w:sz w:val="24"/>
      <w:szCs w:val="24"/>
    </w:rPr>
  </w:style>
  <w:style w:type="paragraph" w:customStyle="1" w:styleId="norm">
    <w:name w:val="norm"/>
    <w:basedOn w:val="Normln"/>
    <w:rsid w:val="00B325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3E2D91"/>
    <w:rPr>
      <w:rFonts w:eastAsia="Times New Roman"/>
      <w:b/>
      <w:kern w:val="36"/>
      <w:sz w:val="48"/>
      <w:szCs w:val="48"/>
      <w:lang w:eastAsia="cs-CZ"/>
    </w:rPr>
  </w:style>
  <w:style w:type="paragraph" w:customStyle="1" w:styleId="Nadpislnku">
    <w:name w:val="Nadpis článku"/>
    <w:basedOn w:val="Normln"/>
    <w:next w:val="Textodstavce"/>
    <w:rsid w:val="003758C7"/>
    <w:pPr>
      <w:keepNext/>
      <w:keepLines/>
      <w:spacing w:before="240" w:after="0" w:line="240" w:lineRule="auto"/>
      <w:jc w:val="center"/>
      <w:outlineLvl w:val="5"/>
    </w:pPr>
    <w:rPr>
      <w:rFonts w:ascii="Times New Roman" w:eastAsia="Times New Roman" w:hAnsi="Times New Roman" w:cs="Times New Roman"/>
      <w:b/>
      <w:bCs/>
      <w:sz w:val="24"/>
      <w:szCs w:val="20"/>
      <w:lang w:eastAsia="cs-CZ"/>
    </w:rPr>
  </w:style>
  <w:style w:type="paragraph" w:customStyle="1" w:styleId="oj-doc-ti">
    <w:name w:val="oj-doc-ti"/>
    <w:basedOn w:val="Normln"/>
    <w:rsid w:val="00FC19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C1F82"/>
    <w:rPr>
      <w:b/>
      <w:bCs w:val="0"/>
    </w:rPr>
  </w:style>
  <w:style w:type="paragraph" w:styleId="Revize">
    <w:name w:val="Revision"/>
    <w:hidden/>
    <w:uiPriority w:val="99"/>
    <w:semiHidden/>
    <w:rsid w:val="002E0407"/>
    <w:pPr>
      <w:spacing w:after="0" w:line="240" w:lineRule="auto"/>
    </w:pPr>
    <w:rPr>
      <w:rFonts w:asciiTheme="minorHAnsi" w:hAnsiTheme="minorHAnsi" w:cstheme="minorBidi"/>
      <w:bCs w:val="0"/>
      <w:sz w:val="22"/>
      <w:szCs w:val="22"/>
    </w:rPr>
  </w:style>
  <w:style w:type="character" w:customStyle="1" w:styleId="xsptextcomputedfield">
    <w:name w:val="xsptextcomputedfield"/>
    <w:basedOn w:val="Standardnpsmoodstavce"/>
    <w:rsid w:val="00F10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3789">
      <w:bodyDiv w:val="1"/>
      <w:marLeft w:val="0"/>
      <w:marRight w:val="0"/>
      <w:marTop w:val="0"/>
      <w:marBottom w:val="0"/>
      <w:divBdr>
        <w:top w:val="none" w:sz="0" w:space="0" w:color="auto"/>
        <w:left w:val="none" w:sz="0" w:space="0" w:color="auto"/>
        <w:bottom w:val="none" w:sz="0" w:space="0" w:color="auto"/>
        <w:right w:val="none" w:sz="0" w:space="0" w:color="auto"/>
      </w:divBdr>
      <w:divsChild>
        <w:div w:id="2025009481">
          <w:marLeft w:val="0"/>
          <w:marRight w:val="0"/>
          <w:marTop w:val="0"/>
          <w:marBottom w:val="0"/>
          <w:divBdr>
            <w:top w:val="none" w:sz="0" w:space="0" w:color="auto"/>
            <w:left w:val="none" w:sz="0" w:space="0" w:color="auto"/>
            <w:bottom w:val="none" w:sz="0" w:space="0" w:color="auto"/>
            <w:right w:val="none" w:sz="0" w:space="0" w:color="auto"/>
          </w:divBdr>
          <w:divsChild>
            <w:div w:id="740561569">
              <w:marLeft w:val="0"/>
              <w:marRight w:val="0"/>
              <w:marTop w:val="0"/>
              <w:marBottom w:val="0"/>
              <w:divBdr>
                <w:top w:val="none" w:sz="0" w:space="0" w:color="auto"/>
                <w:left w:val="none" w:sz="0" w:space="0" w:color="auto"/>
                <w:bottom w:val="none" w:sz="0" w:space="0" w:color="auto"/>
                <w:right w:val="none" w:sz="0" w:space="0" w:color="auto"/>
              </w:divBdr>
            </w:div>
            <w:div w:id="757405337">
              <w:marLeft w:val="0"/>
              <w:marRight w:val="0"/>
              <w:marTop w:val="0"/>
              <w:marBottom w:val="0"/>
              <w:divBdr>
                <w:top w:val="none" w:sz="0" w:space="0" w:color="auto"/>
                <w:left w:val="none" w:sz="0" w:space="0" w:color="auto"/>
                <w:bottom w:val="none" w:sz="0" w:space="0" w:color="auto"/>
                <w:right w:val="none" w:sz="0" w:space="0" w:color="auto"/>
              </w:divBdr>
            </w:div>
            <w:div w:id="6497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0572">
      <w:bodyDiv w:val="1"/>
      <w:marLeft w:val="0"/>
      <w:marRight w:val="0"/>
      <w:marTop w:val="0"/>
      <w:marBottom w:val="0"/>
      <w:divBdr>
        <w:top w:val="none" w:sz="0" w:space="0" w:color="auto"/>
        <w:left w:val="none" w:sz="0" w:space="0" w:color="auto"/>
        <w:bottom w:val="none" w:sz="0" w:space="0" w:color="auto"/>
        <w:right w:val="none" w:sz="0" w:space="0" w:color="auto"/>
      </w:divBdr>
    </w:div>
    <w:div w:id="215243369">
      <w:bodyDiv w:val="1"/>
      <w:marLeft w:val="0"/>
      <w:marRight w:val="0"/>
      <w:marTop w:val="0"/>
      <w:marBottom w:val="0"/>
      <w:divBdr>
        <w:top w:val="none" w:sz="0" w:space="0" w:color="auto"/>
        <w:left w:val="none" w:sz="0" w:space="0" w:color="auto"/>
        <w:bottom w:val="none" w:sz="0" w:space="0" w:color="auto"/>
        <w:right w:val="none" w:sz="0" w:space="0" w:color="auto"/>
      </w:divBdr>
    </w:div>
    <w:div w:id="222568342">
      <w:bodyDiv w:val="1"/>
      <w:marLeft w:val="0"/>
      <w:marRight w:val="0"/>
      <w:marTop w:val="0"/>
      <w:marBottom w:val="0"/>
      <w:divBdr>
        <w:top w:val="none" w:sz="0" w:space="0" w:color="auto"/>
        <w:left w:val="none" w:sz="0" w:space="0" w:color="auto"/>
        <w:bottom w:val="none" w:sz="0" w:space="0" w:color="auto"/>
        <w:right w:val="none" w:sz="0" w:space="0" w:color="auto"/>
      </w:divBdr>
    </w:div>
    <w:div w:id="229727886">
      <w:bodyDiv w:val="1"/>
      <w:marLeft w:val="0"/>
      <w:marRight w:val="0"/>
      <w:marTop w:val="0"/>
      <w:marBottom w:val="0"/>
      <w:divBdr>
        <w:top w:val="none" w:sz="0" w:space="0" w:color="auto"/>
        <w:left w:val="none" w:sz="0" w:space="0" w:color="auto"/>
        <w:bottom w:val="none" w:sz="0" w:space="0" w:color="auto"/>
        <w:right w:val="none" w:sz="0" w:space="0" w:color="auto"/>
      </w:divBdr>
    </w:div>
    <w:div w:id="254484178">
      <w:bodyDiv w:val="1"/>
      <w:marLeft w:val="0"/>
      <w:marRight w:val="0"/>
      <w:marTop w:val="0"/>
      <w:marBottom w:val="0"/>
      <w:divBdr>
        <w:top w:val="none" w:sz="0" w:space="0" w:color="auto"/>
        <w:left w:val="none" w:sz="0" w:space="0" w:color="auto"/>
        <w:bottom w:val="none" w:sz="0" w:space="0" w:color="auto"/>
        <w:right w:val="none" w:sz="0" w:space="0" w:color="auto"/>
      </w:divBdr>
    </w:div>
    <w:div w:id="365713041">
      <w:bodyDiv w:val="1"/>
      <w:marLeft w:val="0"/>
      <w:marRight w:val="0"/>
      <w:marTop w:val="0"/>
      <w:marBottom w:val="0"/>
      <w:divBdr>
        <w:top w:val="none" w:sz="0" w:space="0" w:color="auto"/>
        <w:left w:val="none" w:sz="0" w:space="0" w:color="auto"/>
        <w:bottom w:val="none" w:sz="0" w:space="0" w:color="auto"/>
        <w:right w:val="none" w:sz="0" w:space="0" w:color="auto"/>
      </w:divBdr>
    </w:div>
    <w:div w:id="466750178">
      <w:bodyDiv w:val="1"/>
      <w:marLeft w:val="0"/>
      <w:marRight w:val="0"/>
      <w:marTop w:val="0"/>
      <w:marBottom w:val="0"/>
      <w:divBdr>
        <w:top w:val="none" w:sz="0" w:space="0" w:color="auto"/>
        <w:left w:val="none" w:sz="0" w:space="0" w:color="auto"/>
        <w:bottom w:val="none" w:sz="0" w:space="0" w:color="auto"/>
        <w:right w:val="none" w:sz="0" w:space="0" w:color="auto"/>
      </w:divBdr>
    </w:div>
    <w:div w:id="494691770">
      <w:bodyDiv w:val="1"/>
      <w:marLeft w:val="0"/>
      <w:marRight w:val="0"/>
      <w:marTop w:val="0"/>
      <w:marBottom w:val="0"/>
      <w:divBdr>
        <w:top w:val="none" w:sz="0" w:space="0" w:color="auto"/>
        <w:left w:val="none" w:sz="0" w:space="0" w:color="auto"/>
        <w:bottom w:val="none" w:sz="0" w:space="0" w:color="auto"/>
        <w:right w:val="none" w:sz="0" w:space="0" w:color="auto"/>
      </w:divBdr>
    </w:div>
    <w:div w:id="661082053">
      <w:bodyDiv w:val="1"/>
      <w:marLeft w:val="0"/>
      <w:marRight w:val="0"/>
      <w:marTop w:val="0"/>
      <w:marBottom w:val="0"/>
      <w:divBdr>
        <w:top w:val="none" w:sz="0" w:space="0" w:color="auto"/>
        <w:left w:val="none" w:sz="0" w:space="0" w:color="auto"/>
        <w:bottom w:val="none" w:sz="0" w:space="0" w:color="auto"/>
        <w:right w:val="none" w:sz="0" w:space="0" w:color="auto"/>
      </w:divBdr>
    </w:div>
    <w:div w:id="725833981">
      <w:bodyDiv w:val="1"/>
      <w:marLeft w:val="0"/>
      <w:marRight w:val="0"/>
      <w:marTop w:val="0"/>
      <w:marBottom w:val="0"/>
      <w:divBdr>
        <w:top w:val="none" w:sz="0" w:space="0" w:color="auto"/>
        <w:left w:val="none" w:sz="0" w:space="0" w:color="auto"/>
        <w:bottom w:val="none" w:sz="0" w:space="0" w:color="auto"/>
        <w:right w:val="none" w:sz="0" w:space="0" w:color="auto"/>
      </w:divBdr>
    </w:div>
    <w:div w:id="808404375">
      <w:bodyDiv w:val="1"/>
      <w:marLeft w:val="0"/>
      <w:marRight w:val="0"/>
      <w:marTop w:val="0"/>
      <w:marBottom w:val="0"/>
      <w:divBdr>
        <w:top w:val="none" w:sz="0" w:space="0" w:color="auto"/>
        <w:left w:val="none" w:sz="0" w:space="0" w:color="auto"/>
        <w:bottom w:val="none" w:sz="0" w:space="0" w:color="auto"/>
        <w:right w:val="none" w:sz="0" w:space="0" w:color="auto"/>
      </w:divBdr>
    </w:div>
    <w:div w:id="832917853">
      <w:bodyDiv w:val="1"/>
      <w:marLeft w:val="0"/>
      <w:marRight w:val="0"/>
      <w:marTop w:val="0"/>
      <w:marBottom w:val="0"/>
      <w:divBdr>
        <w:top w:val="none" w:sz="0" w:space="0" w:color="auto"/>
        <w:left w:val="none" w:sz="0" w:space="0" w:color="auto"/>
        <w:bottom w:val="none" w:sz="0" w:space="0" w:color="auto"/>
        <w:right w:val="none" w:sz="0" w:space="0" w:color="auto"/>
      </w:divBdr>
    </w:div>
    <w:div w:id="876354315">
      <w:bodyDiv w:val="1"/>
      <w:marLeft w:val="0"/>
      <w:marRight w:val="0"/>
      <w:marTop w:val="0"/>
      <w:marBottom w:val="0"/>
      <w:divBdr>
        <w:top w:val="none" w:sz="0" w:space="0" w:color="auto"/>
        <w:left w:val="none" w:sz="0" w:space="0" w:color="auto"/>
        <w:bottom w:val="none" w:sz="0" w:space="0" w:color="auto"/>
        <w:right w:val="none" w:sz="0" w:space="0" w:color="auto"/>
      </w:divBdr>
    </w:div>
    <w:div w:id="1162894362">
      <w:bodyDiv w:val="1"/>
      <w:marLeft w:val="0"/>
      <w:marRight w:val="0"/>
      <w:marTop w:val="0"/>
      <w:marBottom w:val="0"/>
      <w:divBdr>
        <w:top w:val="none" w:sz="0" w:space="0" w:color="auto"/>
        <w:left w:val="none" w:sz="0" w:space="0" w:color="auto"/>
        <w:bottom w:val="none" w:sz="0" w:space="0" w:color="auto"/>
        <w:right w:val="none" w:sz="0" w:space="0" w:color="auto"/>
      </w:divBdr>
    </w:div>
    <w:div w:id="1184442122">
      <w:bodyDiv w:val="1"/>
      <w:marLeft w:val="0"/>
      <w:marRight w:val="0"/>
      <w:marTop w:val="0"/>
      <w:marBottom w:val="0"/>
      <w:divBdr>
        <w:top w:val="none" w:sz="0" w:space="0" w:color="auto"/>
        <w:left w:val="none" w:sz="0" w:space="0" w:color="auto"/>
        <w:bottom w:val="none" w:sz="0" w:space="0" w:color="auto"/>
        <w:right w:val="none" w:sz="0" w:space="0" w:color="auto"/>
      </w:divBdr>
    </w:div>
    <w:div w:id="1234896191">
      <w:bodyDiv w:val="1"/>
      <w:marLeft w:val="0"/>
      <w:marRight w:val="0"/>
      <w:marTop w:val="0"/>
      <w:marBottom w:val="0"/>
      <w:divBdr>
        <w:top w:val="none" w:sz="0" w:space="0" w:color="auto"/>
        <w:left w:val="none" w:sz="0" w:space="0" w:color="auto"/>
        <w:bottom w:val="none" w:sz="0" w:space="0" w:color="auto"/>
        <w:right w:val="none" w:sz="0" w:space="0" w:color="auto"/>
      </w:divBdr>
    </w:div>
    <w:div w:id="1290740686">
      <w:bodyDiv w:val="1"/>
      <w:marLeft w:val="0"/>
      <w:marRight w:val="0"/>
      <w:marTop w:val="0"/>
      <w:marBottom w:val="0"/>
      <w:divBdr>
        <w:top w:val="none" w:sz="0" w:space="0" w:color="auto"/>
        <w:left w:val="none" w:sz="0" w:space="0" w:color="auto"/>
        <w:bottom w:val="none" w:sz="0" w:space="0" w:color="auto"/>
        <w:right w:val="none" w:sz="0" w:space="0" w:color="auto"/>
      </w:divBdr>
    </w:div>
    <w:div w:id="1379933094">
      <w:bodyDiv w:val="1"/>
      <w:marLeft w:val="0"/>
      <w:marRight w:val="0"/>
      <w:marTop w:val="0"/>
      <w:marBottom w:val="0"/>
      <w:divBdr>
        <w:top w:val="none" w:sz="0" w:space="0" w:color="auto"/>
        <w:left w:val="none" w:sz="0" w:space="0" w:color="auto"/>
        <w:bottom w:val="none" w:sz="0" w:space="0" w:color="auto"/>
        <w:right w:val="none" w:sz="0" w:space="0" w:color="auto"/>
      </w:divBdr>
    </w:div>
    <w:div w:id="1417483997">
      <w:bodyDiv w:val="1"/>
      <w:marLeft w:val="0"/>
      <w:marRight w:val="0"/>
      <w:marTop w:val="0"/>
      <w:marBottom w:val="0"/>
      <w:divBdr>
        <w:top w:val="none" w:sz="0" w:space="0" w:color="auto"/>
        <w:left w:val="none" w:sz="0" w:space="0" w:color="auto"/>
        <w:bottom w:val="none" w:sz="0" w:space="0" w:color="auto"/>
        <w:right w:val="none" w:sz="0" w:space="0" w:color="auto"/>
      </w:divBdr>
    </w:div>
    <w:div w:id="1421873213">
      <w:bodyDiv w:val="1"/>
      <w:marLeft w:val="0"/>
      <w:marRight w:val="0"/>
      <w:marTop w:val="0"/>
      <w:marBottom w:val="0"/>
      <w:divBdr>
        <w:top w:val="none" w:sz="0" w:space="0" w:color="auto"/>
        <w:left w:val="none" w:sz="0" w:space="0" w:color="auto"/>
        <w:bottom w:val="none" w:sz="0" w:space="0" w:color="auto"/>
        <w:right w:val="none" w:sz="0" w:space="0" w:color="auto"/>
      </w:divBdr>
    </w:div>
    <w:div w:id="1441031601">
      <w:bodyDiv w:val="1"/>
      <w:marLeft w:val="0"/>
      <w:marRight w:val="0"/>
      <w:marTop w:val="0"/>
      <w:marBottom w:val="0"/>
      <w:divBdr>
        <w:top w:val="none" w:sz="0" w:space="0" w:color="auto"/>
        <w:left w:val="none" w:sz="0" w:space="0" w:color="auto"/>
        <w:bottom w:val="none" w:sz="0" w:space="0" w:color="auto"/>
        <w:right w:val="none" w:sz="0" w:space="0" w:color="auto"/>
      </w:divBdr>
    </w:div>
    <w:div w:id="1500268034">
      <w:bodyDiv w:val="1"/>
      <w:marLeft w:val="0"/>
      <w:marRight w:val="0"/>
      <w:marTop w:val="0"/>
      <w:marBottom w:val="0"/>
      <w:divBdr>
        <w:top w:val="none" w:sz="0" w:space="0" w:color="auto"/>
        <w:left w:val="none" w:sz="0" w:space="0" w:color="auto"/>
        <w:bottom w:val="none" w:sz="0" w:space="0" w:color="auto"/>
        <w:right w:val="none" w:sz="0" w:space="0" w:color="auto"/>
      </w:divBdr>
    </w:div>
    <w:div w:id="1626812263">
      <w:bodyDiv w:val="1"/>
      <w:marLeft w:val="0"/>
      <w:marRight w:val="0"/>
      <w:marTop w:val="0"/>
      <w:marBottom w:val="0"/>
      <w:divBdr>
        <w:top w:val="none" w:sz="0" w:space="0" w:color="auto"/>
        <w:left w:val="none" w:sz="0" w:space="0" w:color="auto"/>
        <w:bottom w:val="none" w:sz="0" w:space="0" w:color="auto"/>
        <w:right w:val="none" w:sz="0" w:space="0" w:color="auto"/>
      </w:divBdr>
      <w:divsChild>
        <w:div w:id="691953838">
          <w:marLeft w:val="480"/>
          <w:marRight w:val="0"/>
          <w:marTop w:val="0"/>
          <w:marBottom w:val="0"/>
          <w:divBdr>
            <w:top w:val="none" w:sz="0" w:space="0" w:color="auto"/>
            <w:left w:val="none" w:sz="0" w:space="0" w:color="auto"/>
            <w:bottom w:val="none" w:sz="0" w:space="0" w:color="auto"/>
            <w:right w:val="none" w:sz="0" w:space="0" w:color="auto"/>
          </w:divBdr>
        </w:div>
        <w:div w:id="568227708">
          <w:marLeft w:val="480"/>
          <w:marRight w:val="0"/>
          <w:marTop w:val="0"/>
          <w:marBottom w:val="0"/>
          <w:divBdr>
            <w:top w:val="none" w:sz="0" w:space="0" w:color="auto"/>
            <w:left w:val="none" w:sz="0" w:space="0" w:color="auto"/>
            <w:bottom w:val="none" w:sz="0" w:space="0" w:color="auto"/>
            <w:right w:val="none" w:sz="0" w:space="0" w:color="auto"/>
          </w:divBdr>
        </w:div>
        <w:div w:id="1885096014">
          <w:marLeft w:val="480"/>
          <w:marRight w:val="0"/>
          <w:marTop w:val="0"/>
          <w:marBottom w:val="0"/>
          <w:divBdr>
            <w:top w:val="none" w:sz="0" w:space="0" w:color="auto"/>
            <w:left w:val="none" w:sz="0" w:space="0" w:color="auto"/>
            <w:bottom w:val="none" w:sz="0" w:space="0" w:color="auto"/>
            <w:right w:val="none" w:sz="0" w:space="0" w:color="auto"/>
          </w:divBdr>
        </w:div>
        <w:div w:id="1688435393">
          <w:marLeft w:val="480"/>
          <w:marRight w:val="0"/>
          <w:marTop w:val="0"/>
          <w:marBottom w:val="0"/>
          <w:divBdr>
            <w:top w:val="none" w:sz="0" w:space="0" w:color="auto"/>
            <w:left w:val="none" w:sz="0" w:space="0" w:color="auto"/>
            <w:bottom w:val="none" w:sz="0" w:space="0" w:color="auto"/>
            <w:right w:val="none" w:sz="0" w:space="0" w:color="auto"/>
          </w:divBdr>
        </w:div>
        <w:div w:id="2042513292">
          <w:marLeft w:val="480"/>
          <w:marRight w:val="0"/>
          <w:marTop w:val="0"/>
          <w:marBottom w:val="0"/>
          <w:divBdr>
            <w:top w:val="none" w:sz="0" w:space="0" w:color="auto"/>
            <w:left w:val="none" w:sz="0" w:space="0" w:color="auto"/>
            <w:bottom w:val="none" w:sz="0" w:space="0" w:color="auto"/>
            <w:right w:val="none" w:sz="0" w:space="0" w:color="auto"/>
          </w:divBdr>
        </w:div>
      </w:divsChild>
    </w:div>
    <w:div w:id="1887175194">
      <w:bodyDiv w:val="1"/>
      <w:marLeft w:val="0"/>
      <w:marRight w:val="0"/>
      <w:marTop w:val="0"/>
      <w:marBottom w:val="0"/>
      <w:divBdr>
        <w:top w:val="none" w:sz="0" w:space="0" w:color="auto"/>
        <w:left w:val="none" w:sz="0" w:space="0" w:color="auto"/>
        <w:bottom w:val="none" w:sz="0" w:space="0" w:color="auto"/>
        <w:right w:val="none" w:sz="0" w:space="0" w:color="auto"/>
      </w:divBdr>
    </w:div>
    <w:div w:id="2022585681">
      <w:bodyDiv w:val="1"/>
      <w:marLeft w:val="0"/>
      <w:marRight w:val="0"/>
      <w:marTop w:val="0"/>
      <w:marBottom w:val="0"/>
      <w:divBdr>
        <w:top w:val="none" w:sz="0" w:space="0" w:color="auto"/>
        <w:left w:val="none" w:sz="0" w:space="0" w:color="auto"/>
        <w:bottom w:val="none" w:sz="0" w:space="0" w:color="auto"/>
        <w:right w:val="none" w:sz="0" w:space="0" w:color="auto"/>
      </w:divBdr>
    </w:div>
    <w:div w:id="2072389764">
      <w:bodyDiv w:val="1"/>
      <w:marLeft w:val="0"/>
      <w:marRight w:val="0"/>
      <w:marTop w:val="0"/>
      <w:marBottom w:val="0"/>
      <w:divBdr>
        <w:top w:val="none" w:sz="0" w:space="0" w:color="auto"/>
        <w:left w:val="none" w:sz="0" w:space="0" w:color="auto"/>
        <w:bottom w:val="none" w:sz="0" w:space="0" w:color="auto"/>
        <w:right w:val="none" w:sz="0" w:space="0" w:color="auto"/>
      </w:divBdr>
    </w:div>
    <w:div w:id="2081751493">
      <w:bodyDiv w:val="1"/>
      <w:marLeft w:val="0"/>
      <w:marRight w:val="0"/>
      <w:marTop w:val="0"/>
      <w:marBottom w:val="0"/>
      <w:divBdr>
        <w:top w:val="none" w:sz="0" w:space="0" w:color="auto"/>
        <w:left w:val="none" w:sz="0" w:space="0" w:color="auto"/>
        <w:bottom w:val="none" w:sz="0" w:space="0" w:color="auto"/>
        <w:right w:val="none" w:sz="0" w:space="0" w:color="auto"/>
      </w:divBdr>
    </w:div>
    <w:div w:id="2086947757">
      <w:bodyDiv w:val="1"/>
      <w:marLeft w:val="0"/>
      <w:marRight w:val="0"/>
      <w:marTop w:val="0"/>
      <w:marBottom w:val="0"/>
      <w:divBdr>
        <w:top w:val="none" w:sz="0" w:space="0" w:color="auto"/>
        <w:left w:val="none" w:sz="0" w:space="0" w:color="auto"/>
        <w:bottom w:val="none" w:sz="0" w:space="0" w:color="auto"/>
        <w:right w:val="none" w:sz="0" w:space="0" w:color="auto"/>
      </w:divBdr>
    </w:div>
    <w:div w:id="2127579434">
      <w:bodyDiv w:val="1"/>
      <w:marLeft w:val="0"/>
      <w:marRight w:val="0"/>
      <w:marTop w:val="0"/>
      <w:marBottom w:val="0"/>
      <w:divBdr>
        <w:top w:val="none" w:sz="0" w:space="0" w:color="auto"/>
        <w:left w:val="none" w:sz="0" w:space="0" w:color="auto"/>
        <w:bottom w:val="none" w:sz="0" w:space="0" w:color="auto"/>
        <w:right w:val="none" w:sz="0" w:space="0" w:color="auto"/>
      </w:divBdr>
      <w:divsChild>
        <w:div w:id="1538395609">
          <w:marLeft w:val="0"/>
          <w:marRight w:val="0"/>
          <w:marTop w:val="0"/>
          <w:marBottom w:val="0"/>
          <w:divBdr>
            <w:top w:val="none" w:sz="0" w:space="0" w:color="auto"/>
            <w:left w:val="none" w:sz="0" w:space="0" w:color="auto"/>
            <w:bottom w:val="none" w:sz="0" w:space="0" w:color="auto"/>
            <w:right w:val="none" w:sz="0" w:space="0" w:color="auto"/>
          </w:divBdr>
        </w:div>
        <w:div w:id="1269695893">
          <w:marLeft w:val="0"/>
          <w:marRight w:val="0"/>
          <w:marTop w:val="0"/>
          <w:marBottom w:val="0"/>
          <w:divBdr>
            <w:top w:val="none" w:sz="0" w:space="0" w:color="auto"/>
            <w:left w:val="none" w:sz="0" w:space="0" w:color="auto"/>
            <w:bottom w:val="none" w:sz="0" w:space="0" w:color="auto"/>
            <w:right w:val="none" w:sz="0" w:space="0" w:color="auto"/>
          </w:divBdr>
        </w:div>
        <w:div w:id="840435455">
          <w:marLeft w:val="0"/>
          <w:marRight w:val="0"/>
          <w:marTop w:val="0"/>
          <w:marBottom w:val="0"/>
          <w:divBdr>
            <w:top w:val="none" w:sz="0" w:space="0" w:color="auto"/>
            <w:left w:val="none" w:sz="0" w:space="0" w:color="auto"/>
            <w:bottom w:val="none" w:sz="0" w:space="0" w:color="auto"/>
            <w:right w:val="none" w:sz="0" w:space="0" w:color="auto"/>
          </w:divBdr>
        </w:div>
        <w:div w:id="1947273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XX@XXX.X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A7DD-C3F5-4817-93B7-B191A7EA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14549</Words>
  <Characters>85841</Characters>
  <Application>Microsoft Office Word</Application>
  <DocSecurity>0</DocSecurity>
  <Lines>715</Lines>
  <Paragraphs>200</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100190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Trešlová Lenka Mgr.</dc:creator>
  <cp:keywords/>
  <dc:description/>
  <cp:lastModifiedBy>Trešlová Lenka Mgr.</cp:lastModifiedBy>
  <cp:revision>3</cp:revision>
  <cp:lastPrinted>2024-11-22T13:56:00Z</cp:lastPrinted>
  <dcterms:created xsi:type="dcterms:W3CDTF">2025-04-24T06:35:00Z</dcterms:created>
  <dcterms:modified xsi:type="dcterms:W3CDTF">2025-04-24T06:37:00Z</dcterms:modified>
</cp:coreProperties>
</file>