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0C940" w14:textId="77777777" w:rsidR="00A77B3E" w:rsidRDefault="00A77B3E"/>
    <w:p w14:paraId="4B357E41" w14:textId="77777777" w:rsidR="00A77B3E" w:rsidRDefault="00A77B3E">
      <w:pPr>
        <w:pStyle w:val="1"/>
      </w:pPr>
    </w:p>
    <w:p w14:paraId="5E3973EE" w14:textId="77777777" w:rsidR="00A77B3E" w:rsidRDefault="00A77B3E">
      <w:pPr>
        <w:pStyle w:val="1"/>
      </w:pPr>
    </w:p>
    <w:p w14:paraId="5D215603" w14:textId="77777777" w:rsidR="00A77B3E" w:rsidRDefault="0043563C">
      <w:pPr>
        <w:pStyle w:val="2"/>
      </w:pPr>
      <w:r>
        <w:t>…</w:t>
      </w:r>
    </w:p>
    <w:p w14:paraId="62EDA826" w14:textId="77777777" w:rsidR="00A77B3E" w:rsidRDefault="0043563C">
      <w:pPr>
        <w:pStyle w:val="3"/>
      </w:pPr>
      <w:r>
        <w:t>VYHLÁŠKA</w:t>
      </w:r>
    </w:p>
    <w:p w14:paraId="5258ABB2" w14:textId="77777777" w:rsidR="00A77B3E" w:rsidRDefault="0043563C">
      <w:pPr>
        <w:pStyle w:val="4"/>
      </w:pPr>
      <w:r>
        <w:t xml:space="preserve">ze dne …, </w:t>
      </w:r>
    </w:p>
    <w:p w14:paraId="2EBFA91A" w14:textId="77777777" w:rsidR="00A77B3E" w:rsidRDefault="0043563C">
      <w:pPr>
        <w:pStyle w:val="5"/>
      </w:pPr>
      <w:r>
        <w:t>kterou se mění vyhláška č. 254/2015 Sb., o stanovení výše paušální náhrady pro účely rozhodování o náhradě nákladů řízení v případech podle § 151 odst. 3 občanského soudního řádu a podle § 89a exekučního řádu</w:t>
      </w:r>
    </w:p>
    <w:p w14:paraId="09C71155" w14:textId="77777777" w:rsidR="00A77B3E" w:rsidRDefault="0043563C">
      <w:pPr>
        <w:pStyle w:val="6"/>
      </w:pPr>
      <w:r>
        <w:t xml:space="preserve">Ministerstvo spravedlnosti stanoví podle § 374a písm. c) zákona č. 99/1963 Sb., občanský soudní řád, ve znění zákona č. 139/2015 Sb. a zákona č. 180/2024 Sb., a podle </w:t>
      </w:r>
      <w:r>
        <w:t>§ 131 odst. 1 písm. b) zákona č. 120/2001 Sb., o soudních exekutorech a exekuční činnosti (exekuční řád) a o změně dalších zákonů, ve znění zákona č. 139/2015 Sb. a zákona č. 286/2021 Sb.:</w:t>
      </w:r>
    </w:p>
    <w:p w14:paraId="34F096E9" w14:textId="77777777" w:rsidR="00A77B3E" w:rsidRDefault="00A77B3E">
      <w:pPr>
        <w:pStyle w:val="1"/>
      </w:pPr>
    </w:p>
    <w:p w14:paraId="0CDA48DB" w14:textId="77777777" w:rsidR="00A77B3E" w:rsidRDefault="0043563C">
      <w:pPr>
        <w:pStyle w:val="7"/>
      </w:pPr>
      <w:r>
        <w:t>Čl. I</w:t>
      </w:r>
    </w:p>
    <w:p w14:paraId="2D29B5BA" w14:textId="77777777" w:rsidR="00A77B3E" w:rsidRDefault="0043563C">
      <w:pPr>
        <w:pStyle w:val="8"/>
      </w:pPr>
      <w:r>
        <w:t>Vyhláška č. 254/2015 Sb., o stanovení výše paušální náhrady pro účely rozhodování o náhradě nákladů řízení v případech podle § 151 odst. 3 občanského soudního řádu a podle § 89a exekučního řádu, se mění takto:</w:t>
      </w:r>
    </w:p>
    <w:p w14:paraId="342D74F1" w14:textId="77777777" w:rsidR="00A77B3E" w:rsidRDefault="0043563C">
      <w:pPr>
        <w:pStyle w:val="9"/>
      </w:pPr>
      <w:r>
        <w:t>1.   V § 1 odst. 2 se za slovo „určení“ vkládá slovo „tarifní“ a slovo „sporu“ se zrušuje.</w:t>
      </w:r>
    </w:p>
    <w:p w14:paraId="4EEC0942" w14:textId="77777777" w:rsidR="00A77B3E" w:rsidRDefault="0043563C">
      <w:pPr>
        <w:pStyle w:val="10"/>
      </w:pPr>
      <w:r>
        <w:t>2.</w:t>
      </w:r>
      <w:r>
        <w:t>   V § 1 odst. 3 úvodní části ustanovení se za slovo „účely“ vkládá slovo „této“.</w:t>
      </w:r>
    </w:p>
    <w:p w14:paraId="502BFC4C" w14:textId="77777777" w:rsidR="00A77B3E" w:rsidRDefault="0043563C">
      <w:pPr>
        <w:pStyle w:val="11"/>
      </w:pPr>
      <w:r>
        <w:t>3.   V § 1 odst. 3 se vkládá nové písmeno a), které zní:</w:t>
      </w:r>
    </w:p>
    <w:p w14:paraId="427AC8D9" w14:textId="77777777" w:rsidR="00A77B3E" w:rsidRDefault="00A77B3E">
      <w:pPr>
        <w:pStyle w:val="12"/>
      </w:pPr>
    </w:p>
    <w:p w14:paraId="7B78137B" w14:textId="77777777" w:rsidR="00A77B3E" w:rsidRDefault="0043563C">
      <w:pPr>
        <w:pStyle w:val="13"/>
      </w:pPr>
      <w:r>
        <w:t>„a)   příprava na účastenství v řízení, není-li účastník zastoupen, nebo převzetí a příprava zastoupení,“.</w:t>
      </w:r>
    </w:p>
    <w:p w14:paraId="4890500B" w14:textId="77777777" w:rsidR="00A77B3E" w:rsidRDefault="0043563C">
      <w:pPr>
        <w:pStyle w:val="14"/>
      </w:pPr>
      <w:r>
        <w:t>Dosavadní písmena a) až i) se označují jako písmena b) až j).</w:t>
      </w:r>
    </w:p>
    <w:p w14:paraId="635B814C" w14:textId="77777777" w:rsidR="00A77B3E" w:rsidRDefault="0043563C">
      <w:pPr>
        <w:pStyle w:val="15"/>
      </w:pPr>
      <w:r>
        <w:t>4.   V § 1 odst. 3 se písmeno c) zrušuje.</w:t>
      </w:r>
    </w:p>
    <w:p w14:paraId="487C2F81" w14:textId="77777777" w:rsidR="00A77B3E" w:rsidRDefault="0043563C">
      <w:pPr>
        <w:pStyle w:val="14"/>
      </w:pPr>
      <w:r>
        <w:t>Dosavadní písmena d) až j) se označují jako písmena c) až i).</w:t>
      </w:r>
    </w:p>
    <w:p w14:paraId="5F373B1B" w14:textId="77777777" w:rsidR="00A77B3E" w:rsidRDefault="0043563C">
      <w:pPr>
        <w:pStyle w:val="9"/>
      </w:pPr>
      <w:r>
        <w:t>5.   V § 2 odst. 1 se za slovo „a“ vkládá slovo „tarifní“ a slovo „sporu“ se zrušuje.</w:t>
      </w:r>
    </w:p>
    <w:p w14:paraId="64E37371" w14:textId="77777777" w:rsidR="00A77B3E" w:rsidRDefault="0043563C">
      <w:pPr>
        <w:pStyle w:val="10"/>
      </w:pPr>
      <w:r>
        <w:t>6.</w:t>
      </w:r>
      <w:r>
        <w:t>   V § 2 odst. 2 se za slova „plnění a“ vkládá slovo „tarifní“, slovo „sporu“ se zrušuje, za slovo „za“ se vkládají slova „každý úkon do“ a za slova „zahájení řízení“ se vkládá slovo „včetně“.</w:t>
      </w:r>
    </w:p>
    <w:p w14:paraId="04D0A0D4" w14:textId="77777777" w:rsidR="00A77B3E" w:rsidRDefault="0043563C">
      <w:pPr>
        <w:pStyle w:val="11"/>
      </w:pPr>
      <w:r>
        <w:t>7.   V § 2 odst. 3 se částka „300 Kč“ nahrazuje částkou „450 Kč“.</w:t>
      </w:r>
    </w:p>
    <w:p w14:paraId="52B69246" w14:textId="77777777" w:rsidR="00A77B3E" w:rsidRDefault="0043563C">
      <w:pPr>
        <w:pStyle w:val="7"/>
      </w:pPr>
      <w:r>
        <w:t>Čl. II</w:t>
      </w:r>
    </w:p>
    <w:p w14:paraId="4116562E" w14:textId="77777777" w:rsidR="00A77B3E" w:rsidRDefault="0043563C">
      <w:pPr>
        <w:pStyle w:val="16"/>
      </w:pPr>
      <w:r>
        <w:t>Přechodné ustanovení</w:t>
      </w:r>
    </w:p>
    <w:p w14:paraId="10F4F8E2" w14:textId="77777777" w:rsidR="00A77B3E" w:rsidRDefault="00A77B3E">
      <w:pPr>
        <w:pStyle w:val="1"/>
      </w:pPr>
    </w:p>
    <w:p w14:paraId="20FCA53C" w14:textId="77777777" w:rsidR="00A77B3E" w:rsidRDefault="0043563C">
      <w:pPr>
        <w:pStyle w:val="17"/>
      </w:pPr>
      <w:r>
        <w:lastRenderedPageBreak/>
        <w:t>1.   Za úkony provedené přede dnem nabytí účinnosti této vyhlášky přísluší účastníkovi paušální náhrada podle vyhlášky č. 254/2015 Sb., ve znění účinném přede dnem nabytí účinnosti této vyhlášky.</w:t>
      </w:r>
    </w:p>
    <w:p w14:paraId="175BABF1" w14:textId="77777777" w:rsidR="00A77B3E" w:rsidRDefault="0043563C">
      <w:pPr>
        <w:pStyle w:val="7"/>
      </w:pPr>
      <w:r>
        <w:t>Čl. III</w:t>
      </w:r>
    </w:p>
    <w:p w14:paraId="32DFF86B" w14:textId="77777777" w:rsidR="00A77B3E" w:rsidRDefault="0043563C">
      <w:pPr>
        <w:pStyle w:val="16"/>
      </w:pPr>
      <w:r>
        <w:t>Účinnost</w:t>
      </w:r>
    </w:p>
    <w:p w14:paraId="5549FFBB" w14:textId="77777777" w:rsidR="00A77B3E" w:rsidRDefault="00A77B3E">
      <w:pPr>
        <w:pStyle w:val="1"/>
      </w:pPr>
    </w:p>
    <w:p w14:paraId="12E48121" w14:textId="77777777" w:rsidR="00A77B3E" w:rsidRDefault="0043563C">
      <w:pPr>
        <w:pStyle w:val="8"/>
      </w:pPr>
      <w:r>
        <w:t>Tato vyhláška nabývá účinnosti dnem 1. ledna 2027.</w:t>
      </w:r>
    </w:p>
    <w:p w14:paraId="633A7A72" w14:textId="77777777" w:rsidR="00A77B3E" w:rsidRDefault="00A77B3E">
      <w:pPr>
        <w:pStyle w:val="1"/>
      </w:pPr>
    </w:p>
    <w:p w14:paraId="55784EBD" w14:textId="77777777" w:rsidR="00A77B3E" w:rsidRDefault="00A77B3E">
      <w:pPr>
        <w:pStyle w:val="1"/>
      </w:pPr>
    </w:p>
    <w:sectPr w:rsidR="00A77B3E">
      <w:headerReference w:type="even" r:id="rId6"/>
      <w:headerReference w:type="default" r:id="rId7"/>
      <w:pgSz w:w="12240" w:h="15840"/>
      <w:pgMar w:top="1417" w:right="1417" w:bottom="1417" w:left="1417" w:header="4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ED9E0" w14:textId="77777777" w:rsidR="0043563C" w:rsidRDefault="0043563C">
      <w:r>
        <w:separator/>
      </w:r>
    </w:p>
  </w:endnote>
  <w:endnote w:type="continuationSeparator" w:id="0">
    <w:p w14:paraId="6DEFFFF2" w14:textId="77777777" w:rsidR="0043563C" w:rsidRDefault="004356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2DF66" w14:textId="77777777" w:rsidR="0043563C" w:rsidRDefault="0043563C">
      <w:r>
        <w:separator/>
      </w:r>
    </w:p>
  </w:footnote>
  <w:footnote w:type="continuationSeparator" w:id="0">
    <w:p w14:paraId="592275EF" w14:textId="77777777" w:rsidR="0043563C" w:rsidRDefault="004356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9406"/>
    </w:tblGrid>
    <w:tr w:rsidR="009A4583" w14:paraId="539C31DA" w14:textId="77777777">
      <w:tc>
        <w:tcPr>
          <w:tcW w:w="0" w:type="auto"/>
        </w:tcPr>
        <w:p w14:paraId="5699569A" w14:textId="77777777" w:rsidR="009A4583" w:rsidRDefault="009A4583">
          <w:pPr>
            <w:pStyle w:val="HlavickaZlutyText"/>
            <w:jc w:val="center"/>
          </w:pPr>
        </w:p>
      </w:tc>
    </w:tr>
    <w:tr w:rsidR="009A4583" w14:paraId="4404D3D6" w14:textId="77777777">
      <w:tc>
        <w:tcPr>
          <w:tcW w:w="0" w:type="auto"/>
        </w:tcPr>
        <w:p w14:paraId="2A316538" w14:textId="77777777" w:rsidR="009A4583" w:rsidRDefault="009A4583">
          <w:pPr>
            <w:pStyle w:val="Hlavicka"/>
            <w:jc w:val="center"/>
          </w:pPr>
        </w:p>
      </w:tc>
    </w:tr>
  </w:tbl>
  <w:p w14:paraId="083F7EF4" w14:textId="77777777" w:rsidR="009A4583" w:rsidRDefault="009A4583">
    <w:pPr>
      <w:pStyle w:val="Hlavic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ook w:val="04A0" w:firstRow="1" w:lastRow="0" w:firstColumn="1" w:lastColumn="0" w:noHBand="0" w:noVBand="1"/>
    </w:tblPr>
    <w:tblGrid>
      <w:gridCol w:w="9406"/>
    </w:tblGrid>
    <w:tr w:rsidR="009A4583" w14:paraId="16A46B63" w14:textId="77777777">
      <w:tc>
        <w:tcPr>
          <w:tcW w:w="0" w:type="auto"/>
        </w:tcPr>
        <w:p w14:paraId="29114583" w14:textId="77777777" w:rsidR="009A4583" w:rsidRDefault="009A4583">
          <w:pPr>
            <w:pStyle w:val="HlavickaZlutyText"/>
            <w:jc w:val="center"/>
          </w:pPr>
        </w:p>
      </w:tc>
    </w:tr>
    <w:tr w:rsidR="009A4583" w14:paraId="0D799B76" w14:textId="77777777">
      <w:tc>
        <w:tcPr>
          <w:tcW w:w="0" w:type="auto"/>
        </w:tcPr>
        <w:p w14:paraId="3CB882AA" w14:textId="77777777" w:rsidR="009A4583" w:rsidRDefault="009A4583">
          <w:pPr>
            <w:pStyle w:val="Hlavicka"/>
          </w:pPr>
        </w:p>
      </w:tc>
    </w:tr>
  </w:tbl>
  <w:p w14:paraId="0D4DC055" w14:textId="77777777" w:rsidR="009A4583" w:rsidRDefault="009A4583">
    <w:pPr>
      <w:pStyle w:val="Hlavic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200452"/>
    <w:rsid w:val="0043563C"/>
    <w:rsid w:val="009739CD"/>
    <w:rsid w:val="009A4583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C7A137"/>
  <w15:docId w15:val="{CFEF6DF5-9589-47D0-B39D-55606EB99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lavicka">
    <w:name w:val="Hlavicka"/>
    <w:rPr>
      <w:i/>
    </w:rPr>
  </w:style>
  <w:style w:type="paragraph" w:customStyle="1" w:styleId="HlavickaZlutyText">
    <w:name w:val="HlavickaZlutyText"/>
    <w:rPr>
      <w:sz w:val="18"/>
    </w:rPr>
  </w:style>
  <w:style w:type="paragraph" w:customStyle="1" w:styleId="Variantastart">
    <w:name w:val="Varianta_start"/>
    <w:pPr>
      <w:pBdr>
        <w:top w:val="single" w:sz="8" w:space="0" w:color="800080"/>
      </w:pBdr>
      <w:spacing w:after="100"/>
    </w:pPr>
    <w:rPr>
      <w:b/>
      <w:i/>
      <w:color w:val="800080"/>
    </w:rPr>
  </w:style>
  <w:style w:type="paragraph" w:customStyle="1" w:styleId="Variantakonec">
    <w:name w:val="Varianta_konec"/>
    <w:pPr>
      <w:pBdr>
        <w:bottom w:val="single" w:sz="8" w:space="0" w:color="800080"/>
      </w:pBdr>
      <w:spacing w:after="100"/>
    </w:pPr>
    <w:rPr>
      <w:b/>
      <w:i/>
      <w:color w:val="800080"/>
    </w:rPr>
  </w:style>
  <w:style w:type="paragraph" w:customStyle="1" w:styleId="Ucinnoststart">
    <w:name w:val="Ucinnost_start"/>
    <w:pPr>
      <w:pBdr>
        <w:top w:val="single" w:sz="8" w:space="0" w:color="8B0000"/>
      </w:pBdr>
      <w:spacing w:after="100"/>
    </w:pPr>
    <w:rPr>
      <w:b/>
      <w:i/>
      <w:color w:val="8B0000"/>
    </w:rPr>
  </w:style>
  <w:style w:type="paragraph" w:customStyle="1" w:styleId="Ucinnostkonec">
    <w:name w:val="Ucinnost_konec"/>
    <w:pPr>
      <w:pBdr>
        <w:bottom w:val="single" w:sz="8" w:space="0" w:color="8B0000"/>
      </w:pBdr>
      <w:spacing w:after="100"/>
    </w:pPr>
    <w:rPr>
      <w:b/>
      <w:i/>
      <w:color w:val="8B0000"/>
    </w:rPr>
  </w:style>
  <w:style w:type="paragraph" w:customStyle="1" w:styleId="Celex">
    <w:name w:val="Celex"/>
    <w:pPr>
      <w:spacing w:before="120" w:after="120"/>
    </w:pPr>
    <w:rPr>
      <w:i/>
    </w:rPr>
  </w:style>
  <w:style w:type="paragraph" w:customStyle="1" w:styleId="Pripominkystart">
    <w:name w:val="Pripominky_start"/>
    <w:pPr>
      <w:pBdr>
        <w:top w:val="single" w:sz="8" w:space="0" w:color="87CEFA"/>
      </w:pBdr>
      <w:spacing w:after="100"/>
      <w:jc w:val="right"/>
    </w:pPr>
    <w:rPr>
      <w:b/>
      <w:i/>
      <w:color w:val="87CEFA"/>
    </w:rPr>
  </w:style>
  <w:style w:type="paragraph" w:customStyle="1" w:styleId="1">
    <w:name w:val="1"/>
    <w:pPr>
      <w:spacing w:before="11"/>
    </w:pPr>
    <w:rPr>
      <w:sz w:val="0"/>
    </w:rPr>
  </w:style>
  <w:style w:type="paragraph" w:customStyle="1" w:styleId="2">
    <w:name w:val="2"/>
    <w:pPr>
      <w:spacing w:before="57" w:after="227"/>
      <w:jc w:val="center"/>
    </w:pPr>
    <w:rPr>
      <w:b/>
      <w:sz w:val="32"/>
    </w:rPr>
  </w:style>
  <w:style w:type="paragraph" w:customStyle="1" w:styleId="3">
    <w:name w:val="3"/>
    <w:pPr>
      <w:ind w:left="680" w:right="680"/>
      <w:jc w:val="center"/>
    </w:pPr>
    <w:rPr>
      <w:b/>
      <w:caps/>
      <w:sz w:val="32"/>
    </w:rPr>
  </w:style>
  <w:style w:type="paragraph" w:customStyle="1" w:styleId="4">
    <w:name w:val="4"/>
    <w:pPr>
      <w:spacing w:after="170"/>
      <w:ind w:left="850" w:right="850"/>
      <w:jc w:val="center"/>
    </w:pPr>
    <w:rPr>
      <w:b/>
      <w:sz w:val="28"/>
    </w:rPr>
  </w:style>
  <w:style w:type="paragraph" w:customStyle="1" w:styleId="5">
    <w:name w:val="5"/>
    <w:pPr>
      <w:spacing w:before="340" w:after="113"/>
      <w:ind w:left="850" w:right="850"/>
      <w:jc w:val="center"/>
    </w:pPr>
    <w:rPr>
      <w:b/>
      <w:sz w:val="34"/>
    </w:rPr>
  </w:style>
  <w:style w:type="paragraph" w:customStyle="1" w:styleId="6">
    <w:name w:val="6"/>
    <w:pPr>
      <w:spacing w:before="283" w:after="340"/>
    </w:pPr>
    <w:rPr>
      <w:sz w:val="30"/>
    </w:rPr>
  </w:style>
  <w:style w:type="paragraph" w:customStyle="1" w:styleId="7">
    <w:name w:val="7"/>
    <w:pPr>
      <w:spacing w:before="227" w:after="113"/>
      <w:jc w:val="center"/>
    </w:pPr>
    <w:rPr>
      <w:sz w:val="28"/>
    </w:rPr>
  </w:style>
  <w:style w:type="paragraph" w:customStyle="1" w:styleId="8">
    <w:name w:val="8"/>
    <w:pPr>
      <w:spacing w:after="57"/>
      <w:jc w:val="both"/>
    </w:pPr>
    <w:rPr>
      <w:sz w:val="24"/>
    </w:rPr>
  </w:style>
  <w:style w:type="paragraph" w:customStyle="1" w:styleId="9">
    <w:name w:val="9"/>
    <w:pPr>
      <w:spacing w:after="28"/>
      <w:ind w:left="340" w:hanging="340"/>
      <w:jc w:val="both"/>
    </w:pPr>
    <w:rPr>
      <w:sz w:val="24"/>
    </w:rPr>
  </w:style>
  <w:style w:type="paragraph" w:customStyle="1" w:styleId="Varianta9start">
    <w:name w:val="Varianta_9_start"/>
    <w:pPr>
      <w:pBdr>
        <w:top w:val="single" w:sz="8" w:space="0" w:color="800080"/>
      </w:pBdr>
      <w:spacing w:after="100"/>
      <w:ind w:left="340"/>
    </w:pPr>
    <w:rPr>
      <w:b/>
      <w:i/>
      <w:color w:val="800080"/>
    </w:rPr>
  </w:style>
  <w:style w:type="paragraph" w:customStyle="1" w:styleId="Varianta9konec">
    <w:name w:val="Varianta_9_konec"/>
    <w:pPr>
      <w:pBdr>
        <w:bottom w:val="single" w:sz="8" w:space="0" w:color="800080"/>
      </w:pBdr>
      <w:spacing w:after="100"/>
      <w:ind w:left="340"/>
    </w:pPr>
    <w:rPr>
      <w:b/>
      <w:i/>
      <w:color w:val="800080"/>
    </w:rPr>
  </w:style>
  <w:style w:type="paragraph" w:customStyle="1" w:styleId="Ucinnost9start">
    <w:name w:val="Ucinnost_9_start"/>
    <w:pPr>
      <w:pBdr>
        <w:top w:val="single" w:sz="8" w:space="0" w:color="8B0000"/>
      </w:pBdr>
      <w:spacing w:after="100"/>
      <w:ind w:left="340"/>
    </w:pPr>
    <w:rPr>
      <w:b/>
      <w:i/>
      <w:color w:val="8B0000"/>
    </w:rPr>
  </w:style>
  <w:style w:type="paragraph" w:customStyle="1" w:styleId="Ucinnost9konec">
    <w:name w:val="Ucinnost_9_konec"/>
    <w:pPr>
      <w:pBdr>
        <w:bottom w:val="single" w:sz="8" w:space="0" w:color="8B0000"/>
      </w:pBdr>
      <w:spacing w:after="100"/>
      <w:ind w:left="340"/>
    </w:pPr>
    <w:rPr>
      <w:b/>
      <w:i/>
      <w:color w:val="8B0000"/>
    </w:rPr>
  </w:style>
  <w:style w:type="paragraph" w:customStyle="1" w:styleId="Pripominky9start">
    <w:name w:val="Pripominky_9_start"/>
    <w:pPr>
      <w:pBdr>
        <w:top w:val="single" w:sz="8" w:space="0" w:color="87CEFA"/>
      </w:pBdr>
      <w:spacing w:after="100"/>
      <w:ind w:left="340"/>
      <w:jc w:val="right"/>
    </w:pPr>
    <w:rPr>
      <w:b/>
      <w:i/>
      <w:color w:val="87CEFA"/>
    </w:rPr>
  </w:style>
  <w:style w:type="paragraph" w:customStyle="1" w:styleId="10">
    <w:name w:val="10"/>
    <w:pPr>
      <w:spacing w:before="28" w:after="28"/>
      <w:ind w:left="340" w:hanging="340"/>
      <w:jc w:val="both"/>
    </w:pPr>
    <w:rPr>
      <w:sz w:val="24"/>
    </w:rPr>
  </w:style>
  <w:style w:type="paragraph" w:customStyle="1" w:styleId="Varianta10start">
    <w:name w:val="Varianta_10_start"/>
    <w:pPr>
      <w:pBdr>
        <w:top w:val="single" w:sz="8" w:space="0" w:color="800080"/>
      </w:pBdr>
      <w:spacing w:after="100"/>
      <w:ind w:left="340"/>
    </w:pPr>
    <w:rPr>
      <w:b/>
      <w:i/>
      <w:color w:val="800080"/>
    </w:rPr>
  </w:style>
  <w:style w:type="paragraph" w:customStyle="1" w:styleId="Varianta10konec">
    <w:name w:val="Varianta_10_konec"/>
    <w:pPr>
      <w:pBdr>
        <w:bottom w:val="single" w:sz="8" w:space="0" w:color="800080"/>
      </w:pBdr>
      <w:spacing w:after="100"/>
      <w:ind w:left="340"/>
    </w:pPr>
    <w:rPr>
      <w:b/>
      <w:i/>
      <w:color w:val="800080"/>
    </w:rPr>
  </w:style>
  <w:style w:type="paragraph" w:customStyle="1" w:styleId="Ucinnost10start">
    <w:name w:val="Ucinnost_10_start"/>
    <w:pPr>
      <w:pBdr>
        <w:top w:val="single" w:sz="8" w:space="0" w:color="8B0000"/>
      </w:pBdr>
      <w:spacing w:after="100"/>
      <w:ind w:left="340"/>
    </w:pPr>
    <w:rPr>
      <w:b/>
      <w:i/>
      <w:color w:val="8B0000"/>
    </w:rPr>
  </w:style>
  <w:style w:type="paragraph" w:customStyle="1" w:styleId="Ucinnost10konec">
    <w:name w:val="Ucinnost_10_konec"/>
    <w:pPr>
      <w:pBdr>
        <w:bottom w:val="single" w:sz="8" w:space="0" w:color="8B0000"/>
      </w:pBdr>
      <w:spacing w:after="100"/>
      <w:ind w:left="340"/>
    </w:pPr>
    <w:rPr>
      <w:b/>
      <w:i/>
      <w:color w:val="8B0000"/>
    </w:rPr>
  </w:style>
  <w:style w:type="paragraph" w:customStyle="1" w:styleId="Pripominky10start">
    <w:name w:val="Pripominky_10_start"/>
    <w:pPr>
      <w:pBdr>
        <w:top w:val="single" w:sz="8" w:space="0" w:color="87CEFA"/>
      </w:pBdr>
      <w:spacing w:after="100"/>
      <w:ind w:left="340"/>
      <w:jc w:val="right"/>
    </w:pPr>
    <w:rPr>
      <w:b/>
      <w:i/>
      <w:color w:val="87CEFA"/>
    </w:rPr>
  </w:style>
  <w:style w:type="paragraph" w:customStyle="1" w:styleId="11">
    <w:name w:val="11"/>
    <w:pPr>
      <w:spacing w:before="28" w:after="113"/>
      <w:ind w:left="340" w:hanging="340"/>
      <w:jc w:val="both"/>
    </w:pPr>
    <w:rPr>
      <w:sz w:val="24"/>
    </w:rPr>
  </w:style>
  <w:style w:type="paragraph" w:customStyle="1" w:styleId="Varianta11start">
    <w:name w:val="Varianta_11_start"/>
    <w:pPr>
      <w:pBdr>
        <w:top w:val="single" w:sz="8" w:space="0" w:color="800080"/>
      </w:pBdr>
      <w:spacing w:after="100"/>
      <w:ind w:left="340"/>
    </w:pPr>
    <w:rPr>
      <w:b/>
      <w:i/>
      <w:color w:val="800080"/>
    </w:rPr>
  </w:style>
  <w:style w:type="paragraph" w:customStyle="1" w:styleId="Varianta11konec">
    <w:name w:val="Varianta_11_konec"/>
    <w:pPr>
      <w:pBdr>
        <w:bottom w:val="single" w:sz="8" w:space="0" w:color="800080"/>
      </w:pBdr>
      <w:spacing w:after="100"/>
      <w:ind w:left="340"/>
    </w:pPr>
    <w:rPr>
      <w:b/>
      <w:i/>
      <w:color w:val="800080"/>
    </w:rPr>
  </w:style>
  <w:style w:type="paragraph" w:customStyle="1" w:styleId="Ucinnost11start">
    <w:name w:val="Ucinnost_11_start"/>
    <w:pPr>
      <w:pBdr>
        <w:top w:val="single" w:sz="8" w:space="0" w:color="8B0000"/>
      </w:pBdr>
      <w:spacing w:after="100"/>
      <w:ind w:left="340"/>
    </w:pPr>
    <w:rPr>
      <w:b/>
      <w:i/>
      <w:color w:val="8B0000"/>
    </w:rPr>
  </w:style>
  <w:style w:type="paragraph" w:customStyle="1" w:styleId="Ucinnost11konec">
    <w:name w:val="Ucinnost_11_konec"/>
    <w:pPr>
      <w:pBdr>
        <w:bottom w:val="single" w:sz="8" w:space="0" w:color="8B0000"/>
      </w:pBdr>
      <w:spacing w:after="100"/>
      <w:ind w:left="340"/>
    </w:pPr>
    <w:rPr>
      <w:b/>
      <w:i/>
      <w:color w:val="8B0000"/>
    </w:rPr>
  </w:style>
  <w:style w:type="paragraph" w:customStyle="1" w:styleId="Pripominky11start">
    <w:name w:val="Pripominky_11_start"/>
    <w:pPr>
      <w:pBdr>
        <w:top w:val="single" w:sz="8" w:space="0" w:color="87CEFA"/>
      </w:pBdr>
      <w:spacing w:after="100"/>
      <w:ind w:left="340"/>
      <w:jc w:val="right"/>
    </w:pPr>
    <w:rPr>
      <w:b/>
      <w:i/>
      <w:color w:val="87CEFA"/>
    </w:rPr>
  </w:style>
  <w:style w:type="paragraph" w:customStyle="1" w:styleId="12">
    <w:name w:val="12"/>
    <w:pPr>
      <w:ind w:left="680"/>
    </w:pPr>
    <w:rPr>
      <w:sz w:val="0"/>
    </w:rPr>
  </w:style>
  <w:style w:type="paragraph" w:customStyle="1" w:styleId="13">
    <w:name w:val="13"/>
    <w:pPr>
      <w:spacing w:after="227"/>
      <w:ind w:left="1360" w:hanging="340"/>
      <w:jc w:val="both"/>
    </w:pPr>
    <w:rPr>
      <w:sz w:val="24"/>
    </w:rPr>
  </w:style>
  <w:style w:type="paragraph" w:customStyle="1" w:styleId="Varianta13start">
    <w:name w:val="Varianta_13_start"/>
    <w:pPr>
      <w:pBdr>
        <w:top w:val="single" w:sz="8" w:space="0" w:color="800080"/>
      </w:pBdr>
      <w:spacing w:after="100"/>
      <w:ind w:left="1360"/>
    </w:pPr>
    <w:rPr>
      <w:b/>
      <w:i/>
      <w:color w:val="800080"/>
    </w:rPr>
  </w:style>
  <w:style w:type="paragraph" w:customStyle="1" w:styleId="Varianta13konec">
    <w:name w:val="Varianta_13_konec"/>
    <w:pPr>
      <w:pBdr>
        <w:bottom w:val="single" w:sz="8" w:space="0" w:color="800080"/>
      </w:pBdr>
      <w:spacing w:after="100"/>
      <w:ind w:left="1360"/>
    </w:pPr>
    <w:rPr>
      <w:b/>
      <w:i/>
      <w:color w:val="800080"/>
    </w:rPr>
  </w:style>
  <w:style w:type="paragraph" w:customStyle="1" w:styleId="Ucinnost13start">
    <w:name w:val="Ucinnost_13_start"/>
    <w:pPr>
      <w:pBdr>
        <w:top w:val="single" w:sz="8" w:space="0" w:color="8B0000"/>
      </w:pBdr>
      <w:spacing w:after="100"/>
      <w:ind w:left="1360"/>
    </w:pPr>
    <w:rPr>
      <w:b/>
      <w:i/>
      <w:color w:val="8B0000"/>
    </w:rPr>
  </w:style>
  <w:style w:type="paragraph" w:customStyle="1" w:styleId="Ucinnost13konec">
    <w:name w:val="Ucinnost_13_konec"/>
    <w:pPr>
      <w:pBdr>
        <w:bottom w:val="single" w:sz="8" w:space="0" w:color="8B0000"/>
      </w:pBdr>
      <w:spacing w:after="100"/>
      <w:ind w:left="1360"/>
    </w:pPr>
    <w:rPr>
      <w:b/>
      <w:i/>
      <w:color w:val="8B0000"/>
    </w:rPr>
  </w:style>
  <w:style w:type="paragraph" w:customStyle="1" w:styleId="Pripominky13start">
    <w:name w:val="Pripominky_13_start"/>
    <w:pPr>
      <w:pBdr>
        <w:top w:val="single" w:sz="8" w:space="0" w:color="87CEFA"/>
      </w:pBdr>
      <w:spacing w:after="100"/>
      <w:ind w:left="1360"/>
      <w:jc w:val="right"/>
    </w:pPr>
    <w:rPr>
      <w:b/>
      <w:i/>
      <w:color w:val="87CEFA"/>
    </w:rPr>
  </w:style>
  <w:style w:type="paragraph" w:customStyle="1" w:styleId="14">
    <w:name w:val="14"/>
    <w:pPr>
      <w:spacing w:after="57"/>
      <w:ind w:left="340"/>
      <w:jc w:val="both"/>
    </w:pPr>
    <w:rPr>
      <w:sz w:val="24"/>
    </w:rPr>
  </w:style>
  <w:style w:type="paragraph" w:customStyle="1" w:styleId="15">
    <w:name w:val="15"/>
    <w:pPr>
      <w:spacing w:after="113"/>
      <w:ind w:left="340" w:hanging="340"/>
      <w:jc w:val="both"/>
    </w:pPr>
    <w:rPr>
      <w:sz w:val="24"/>
    </w:rPr>
  </w:style>
  <w:style w:type="paragraph" w:customStyle="1" w:styleId="Varianta15start">
    <w:name w:val="Varianta_15_start"/>
    <w:pPr>
      <w:pBdr>
        <w:top w:val="single" w:sz="8" w:space="0" w:color="800080"/>
      </w:pBdr>
      <w:spacing w:after="100"/>
      <w:ind w:left="340"/>
    </w:pPr>
    <w:rPr>
      <w:b/>
      <w:i/>
      <w:color w:val="800080"/>
    </w:rPr>
  </w:style>
  <w:style w:type="paragraph" w:customStyle="1" w:styleId="Varianta15konec">
    <w:name w:val="Varianta_15_konec"/>
    <w:pPr>
      <w:pBdr>
        <w:bottom w:val="single" w:sz="8" w:space="0" w:color="800080"/>
      </w:pBdr>
      <w:spacing w:after="100"/>
      <w:ind w:left="340"/>
    </w:pPr>
    <w:rPr>
      <w:b/>
      <w:i/>
      <w:color w:val="800080"/>
    </w:rPr>
  </w:style>
  <w:style w:type="paragraph" w:customStyle="1" w:styleId="Ucinnost15start">
    <w:name w:val="Ucinnost_15_start"/>
    <w:pPr>
      <w:pBdr>
        <w:top w:val="single" w:sz="8" w:space="0" w:color="8B0000"/>
      </w:pBdr>
      <w:spacing w:after="100"/>
      <w:ind w:left="340"/>
    </w:pPr>
    <w:rPr>
      <w:b/>
      <w:i/>
      <w:color w:val="8B0000"/>
    </w:rPr>
  </w:style>
  <w:style w:type="paragraph" w:customStyle="1" w:styleId="Ucinnost15konec">
    <w:name w:val="Ucinnost_15_konec"/>
    <w:pPr>
      <w:pBdr>
        <w:bottom w:val="single" w:sz="8" w:space="0" w:color="8B0000"/>
      </w:pBdr>
      <w:spacing w:after="100"/>
      <w:ind w:left="340"/>
    </w:pPr>
    <w:rPr>
      <w:b/>
      <w:i/>
      <w:color w:val="8B0000"/>
    </w:rPr>
  </w:style>
  <w:style w:type="paragraph" w:customStyle="1" w:styleId="Pripominky15start">
    <w:name w:val="Pripominky_15_start"/>
    <w:pPr>
      <w:pBdr>
        <w:top w:val="single" w:sz="8" w:space="0" w:color="87CEFA"/>
      </w:pBdr>
      <w:spacing w:after="100"/>
      <w:ind w:left="340"/>
      <w:jc w:val="right"/>
    </w:pPr>
    <w:rPr>
      <w:b/>
      <w:i/>
      <w:color w:val="87CEFA"/>
    </w:rPr>
  </w:style>
  <w:style w:type="paragraph" w:customStyle="1" w:styleId="16">
    <w:name w:val="16"/>
    <w:pPr>
      <w:spacing w:after="57"/>
      <w:ind w:left="850" w:right="850"/>
      <w:jc w:val="center"/>
    </w:pPr>
    <w:rPr>
      <w:b/>
      <w:sz w:val="28"/>
    </w:rPr>
  </w:style>
  <w:style w:type="paragraph" w:customStyle="1" w:styleId="17">
    <w:name w:val="17"/>
    <w:pPr>
      <w:spacing w:after="113"/>
      <w:ind w:left="623" w:hanging="340"/>
      <w:jc w:val="both"/>
    </w:pPr>
    <w:rPr>
      <w:sz w:val="24"/>
    </w:rPr>
  </w:style>
  <w:style w:type="paragraph" w:customStyle="1" w:styleId="Varianta17start">
    <w:name w:val="Varianta_17_start"/>
    <w:pPr>
      <w:pBdr>
        <w:top w:val="single" w:sz="8" w:space="0" w:color="800080"/>
      </w:pBdr>
      <w:spacing w:after="100"/>
      <w:ind w:left="623"/>
    </w:pPr>
    <w:rPr>
      <w:b/>
      <w:i/>
      <w:color w:val="800080"/>
    </w:rPr>
  </w:style>
  <w:style w:type="paragraph" w:customStyle="1" w:styleId="Varianta17konec">
    <w:name w:val="Varianta_17_konec"/>
    <w:pPr>
      <w:pBdr>
        <w:bottom w:val="single" w:sz="8" w:space="0" w:color="800080"/>
      </w:pBdr>
      <w:spacing w:after="100"/>
      <w:ind w:left="623"/>
    </w:pPr>
    <w:rPr>
      <w:b/>
      <w:i/>
      <w:color w:val="800080"/>
    </w:rPr>
  </w:style>
  <w:style w:type="paragraph" w:customStyle="1" w:styleId="Ucinnost17start">
    <w:name w:val="Ucinnost_17_start"/>
    <w:pPr>
      <w:pBdr>
        <w:top w:val="single" w:sz="8" w:space="0" w:color="8B0000"/>
      </w:pBdr>
      <w:spacing w:after="100"/>
      <w:ind w:left="623"/>
    </w:pPr>
    <w:rPr>
      <w:b/>
      <w:i/>
      <w:color w:val="8B0000"/>
    </w:rPr>
  </w:style>
  <w:style w:type="paragraph" w:customStyle="1" w:styleId="Ucinnost17konec">
    <w:name w:val="Ucinnost_17_konec"/>
    <w:pPr>
      <w:pBdr>
        <w:bottom w:val="single" w:sz="8" w:space="0" w:color="8B0000"/>
      </w:pBdr>
      <w:spacing w:after="100"/>
      <w:ind w:left="623"/>
    </w:pPr>
    <w:rPr>
      <w:b/>
      <w:i/>
      <w:color w:val="8B0000"/>
    </w:rPr>
  </w:style>
  <w:style w:type="paragraph" w:customStyle="1" w:styleId="Pripominky17start">
    <w:name w:val="Pripominky_17_start"/>
    <w:pPr>
      <w:pBdr>
        <w:top w:val="single" w:sz="8" w:space="0" w:color="87CEFA"/>
      </w:pBdr>
      <w:spacing w:after="100"/>
      <w:ind w:left="623"/>
      <w:jc w:val="right"/>
    </w:pPr>
    <w:rPr>
      <w:b/>
      <w:i/>
      <w:color w:val="87CEF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aktu</dc:title>
  <dc:creator>e-Legislativa</dc:creator>
  <cp:lastModifiedBy>Balabánová Klára</cp:lastModifiedBy>
  <cp:revision>2</cp:revision>
  <dcterms:created xsi:type="dcterms:W3CDTF">2026-09-03T11:18:00Z</dcterms:created>
  <dcterms:modified xsi:type="dcterms:W3CDTF">2026-09-03T11:18:00Z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rrelationId">
    <vt:lpwstr>82536b41-2384-42dc-820a-562661ddc9db:2469</vt:lpwstr>
  </property>
  <property fmtid="{D5CDD505-2E9C-101B-9397-08002B2CF9AE}" pid="3" name="GenerovaneZEditoru">
    <vt:lpwstr>true</vt:lpwstr>
  </property>
  <property fmtid="{D5CDD505-2E9C-101B-9397-08002B2CF9AE}" pid="4" name="IdPodprostoru">
    <vt:lpwstr/>
  </property>
  <property fmtid="{D5CDD505-2E9C-101B-9397-08002B2CF9AE}" pid="5" name="JeUzavrena">
    <vt:lpwstr/>
  </property>
  <property fmtid="{D5CDD505-2E9C-101B-9397-08002B2CF9AE}" pid="6" name="PozadavekId">
    <vt:lpwstr>afc7d3d1-d220-4d3f-98ad-dac73301bcc1</vt:lpwstr>
  </property>
  <property fmtid="{D5CDD505-2E9C-101B-9397-08002B2CF9AE}" pid="7" name="Verze aplikace">
    <vt:lpwstr>v1.0-07.35.HF6</vt:lpwstr>
  </property>
  <property fmtid="{D5CDD505-2E9C-101B-9397-08002B2CF9AE}" pid="8" name="VrstvaNavrhuId">
    <vt:lpwstr/>
  </property>
  <property fmtid="{D5CDD505-2E9C-101B-9397-08002B2CF9AE}" pid="9" name="VrstvaObsahuId">
    <vt:lpwstr/>
  </property>
</Properties>
</file>