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6857D" w14:textId="77777777" w:rsidR="00A77B3E" w:rsidRDefault="00A77B3E"/>
    <w:p w14:paraId="55FBD98C" w14:textId="77777777" w:rsidR="00A77B3E" w:rsidRDefault="00A77B3E">
      <w:pPr>
        <w:pStyle w:val="1"/>
      </w:pPr>
    </w:p>
    <w:p w14:paraId="39D5BCCE" w14:textId="77777777" w:rsidR="00A77B3E" w:rsidRDefault="003B266D">
      <w:pPr>
        <w:pStyle w:val="2"/>
      </w:pPr>
      <w:r>
        <w:t>I.</w:t>
      </w:r>
    </w:p>
    <w:p w14:paraId="57B908B8" w14:textId="77777777" w:rsidR="00A77B3E" w:rsidRDefault="00A77B3E">
      <w:pPr>
        <w:pStyle w:val="1"/>
      </w:pPr>
    </w:p>
    <w:p w14:paraId="70906B89" w14:textId="77777777" w:rsidR="00A77B3E" w:rsidRDefault="003B266D">
      <w:pPr>
        <w:pStyle w:val="3"/>
      </w:pPr>
      <w:r>
        <w:t>Důvodová zpráva</w:t>
      </w:r>
    </w:p>
    <w:p w14:paraId="6F7A47CD" w14:textId="77777777" w:rsidR="00A77B3E" w:rsidRDefault="003B266D">
      <w:pPr>
        <w:pStyle w:val="4"/>
      </w:pPr>
      <w:r>
        <w:t>Návrh vyhlášky, kterou se mění vyhláška č. 254/2015 Sb., o stanovení výše paušální náhrady pro účely rozhodování o náhradě nákladů řízení v případech podle § 151 odst. 3 občanského soudního řádu a podle § 89a exekučního řádu</w:t>
      </w:r>
    </w:p>
    <w:p w14:paraId="41216601" w14:textId="77777777" w:rsidR="00A77B3E" w:rsidRDefault="00A77B3E">
      <w:pPr>
        <w:pStyle w:val="1"/>
      </w:pPr>
    </w:p>
    <w:p w14:paraId="395308CF" w14:textId="77777777" w:rsidR="00A77B3E" w:rsidRDefault="003B266D">
      <w:pPr>
        <w:pStyle w:val="5"/>
      </w:pPr>
      <w:r>
        <w:t>I. Obecná část</w:t>
      </w:r>
    </w:p>
    <w:p w14:paraId="4185BBE0" w14:textId="77777777" w:rsidR="00A77B3E" w:rsidRDefault="003B266D">
      <w:pPr>
        <w:pStyle w:val="6"/>
      </w:pPr>
      <w:r>
        <w:t>1.   Popis obsahu návrhu právního předpisu s uvedením důvodů, které k jeho předložení vedou, a shrnutí základních zásad a nejdůležitějších změn, které oproti stávající právní úpravě zavádí.</w:t>
      </w:r>
    </w:p>
    <w:p w14:paraId="42854F93" w14:textId="77777777" w:rsidR="00A77B3E" w:rsidRDefault="003B266D">
      <w:pPr>
        <w:pStyle w:val="7"/>
      </w:pPr>
      <w:r>
        <w:t>​Předkládá se návrh vyhlášky, kterou se mění vyhláška č. 254/2015 Sb., o stanovení výše paušální náhrady pro účely rozhodování o náhradě nákladů řízení v případech podle § 151 odst. 3 občanského soudního řádu a podle § 89a exekučního řádu (dále také jen „vyhláška č. 254/2015 Sb.“).</w:t>
      </w:r>
    </w:p>
    <w:p w14:paraId="0F4A9405" w14:textId="77777777" w:rsidR="00A77B3E" w:rsidRDefault="003B266D">
      <w:pPr>
        <w:pStyle w:val="8"/>
      </w:pPr>
      <w:r>
        <w:t xml:space="preserve">Obsahem předloženého návrhu právního předpisu jsou změny vyhlášky č. 254/2015 Sb., které mají částečně zohlednit vývoj inflace od roku 2015, a to způsobem, který odpovídá poslední novele vyhlášky č. 177/1996 Sb., o odměnách advokátů a náhradách advokátů za poskytování právních služeb (advokátní tarif), ve znění pozdějších předpisů (dále také jen „advokátní tarif“). Uvedená novela advokátního tarifu byla provedena vyhláškou č. 258/2024 Sb., která nabyla účinnosti dnem 1. ledna 2025 a kterou byla mj. zvýšena </w:t>
      </w:r>
      <w:r>
        <w:t xml:space="preserve">jedna ze sazeb tzv. režijního paušálu z částky 300 Kč na částku 450 Kč. Předloženým návrhem právního předpisu se proto navrhuje zvýšení sazby paušální náhrady podle § 2 odst. 3 vyhlášky č. 254/2015 Sb. shodným způsobem, tedy z částky 300 Kč na částku 450 Kč. Má tak dojít k naplnění principu rovnosti účastníků řízení, jak byl vyložen v nálezu Ústavního soudu ze dne 7. října 2014, </w:t>
      </w:r>
      <w:proofErr w:type="spellStart"/>
      <w:r>
        <w:t>sp</w:t>
      </w:r>
      <w:proofErr w:type="spellEnd"/>
      <w:r>
        <w:t xml:space="preserve">. zn. </w:t>
      </w:r>
      <w:proofErr w:type="spellStart"/>
      <w:r>
        <w:t>Pl</w:t>
      </w:r>
      <w:proofErr w:type="spellEnd"/>
      <w:r>
        <w:t>. ÚS 39/13 (srov. bod II. výroku).</w:t>
      </w:r>
    </w:p>
    <w:p w14:paraId="3B1D4095" w14:textId="77777777" w:rsidR="00A77B3E" w:rsidRDefault="003B266D">
      <w:pPr>
        <w:pStyle w:val="8"/>
      </w:pPr>
      <w:r>
        <w:t>Dále se navrhuje nahradit dosavadní úkon „příprava účasti na jednání“ podle § 1 odst. 3 písm. b) vyhlášky č. 254/2015 Sb. úkonem „příprava na účastenství v řízení, není-li účastník zastoupen, nebo převzetí a příprava zastoupení“. S ohledem na to, že v případě podobného úkonu „převzetí a příprava zastoupení nebo obhajoby na základě smlouvy o poskytnutí právních služeb“ podle advokátního tarifu se také jedná o úkon jednorázový, by se i úprava ve vyhlášce měla vztahovat pouze na jednorázový úkon.</w:t>
      </w:r>
    </w:p>
    <w:p w14:paraId="6C4379E1" w14:textId="77777777" w:rsidR="00A77B3E" w:rsidRDefault="003B266D">
      <w:pPr>
        <w:pStyle w:val="8"/>
      </w:pPr>
      <w:r>
        <w:t>V této souvislosti se navrhuje též rozšíření okruhu úkonů, za které náleží paušální náhrada podle § 2 odst. 2 vyhlášky č. 254/2015 Sb., tedy ve věcech výkonu rozhodnutí a exekučních řízení s hodnotou sporu (tarifní hodnotou) nepřevyšující 50 tis. Kč.</w:t>
      </w:r>
    </w:p>
    <w:p w14:paraId="73A7A033" w14:textId="77777777" w:rsidR="00A77B3E" w:rsidRDefault="003B266D">
      <w:pPr>
        <w:pStyle w:val="9"/>
      </w:pPr>
      <w:r>
        <w:lastRenderedPageBreak/>
        <w:t>Navrhuje se též nahradit termín „hodnota sporu“ termínem „tarifní hodnota“. Termín „hodnota sporu“ nasvědčuje, že se vztahuje pouze na sporná řízení, vyhláška se však vztahuje na všechna občanskoprávní řízení před soudy. Termín „tarifní hodnota“ lépe vystihuje řešenou situaci.</w:t>
      </w:r>
    </w:p>
    <w:p w14:paraId="00B9C14A" w14:textId="77777777" w:rsidR="00A77B3E" w:rsidRDefault="003B266D">
      <w:pPr>
        <w:pStyle w:val="6"/>
      </w:pPr>
      <w:r>
        <w:t>2.   Zhodnocení platného právního stavu</w:t>
      </w:r>
    </w:p>
    <w:p w14:paraId="7138D1A0" w14:textId="77777777" w:rsidR="00A77B3E" w:rsidRDefault="003B266D">
      <w:pPr>
        <w:pStyle w:val="7"/>
      </w:pPr>
      <w:r>
        <w:t>​Vyhláška č. 254/2015 Sb. upravuje paušální náhradu, která náleží účastníkovi občanského soudního řízení, který v řízení není zastoupen nebo je zastoupen jiným zástupcem než advokátem, notářem nebo patentovým zástupcem. Srov. k tomu též § 151 odst. 3 zákona č. 99/1963 Sb., občanský soudní řád, ve znění pozdějších předpisů (dále také jen „o. s. ř.“) a § 89a zákona č. 120/2001 Sb., o soudních exekutorech a exekuční činnosti (exekuční řád) a o změně dalších zákonů, ve znění pozdějších předpisů (dále také jen „</w:t>
      </w:r>
      <w:r>
        <w:t>ex. ř.“).</w:t>
      </w:r>
    </w:p>
    <w:p w14:paraId="2BCEEB9A" w14:textId="77777777" w:rsidR="00A77B3E" w:rsidRDefault="003B266D">
      <w:pPr>
        <w:pStyle w:val="8"/>
      </w:pPr>
      <w:r>
        <w:t xml:space="preserve">Účelem vyhlášky č. 254/2015 Sb. je umožnit takovému účastníkovi řízení požadovat paušalizovanou náhradu hotových výdajů, jeho postavení tak přiblížit postavení účastníka řízení zastoupeného advokátem, notářem nebo patentovým zástupcem a tím v oblasti náhrady nákladů řízení naplnit zásadu rovnosti účastníků řízení podle čl. 37 odst. 3 Listiny základních práv a svobod (srov. bod II. výroku nálezu Ústavního soudu ze dne 7. října 2014, </w:t>
      </w:r>
      <w:proofErr w:type="spellStart"/>
      <w:r>
        <w:t>sp</w:t>
      </w:r>
      <w:proofErr w:type="spellEnd"/>
      <w:r>
        <w:t xml:space="preserve">. zn. </w:t>
      </w:r>
      <w:proofErr w:type="spellStart"/>
      <w:r>
        <w:t>Pl</w:t>
      </w:r>
      <w:proofErr w:type="spellEnd"/>
      <w:r>
        <w:t>. ÚS 39/13).</w:t>
      </w:r>
    </w:p>
    <w:p w14:paraId="3C31375B" w14:textId="77777777" w:rsidR="00A77B3E" w:rsidRDefault="003B266D">
      <w:pPr>
        <w:pStyle w:val="8"/>
      </w:pPr>
      <w:r>
        <w:t>Právní úprava obsažená ve vyhlášce č. 254/2015 Sb. je proto obdobou právní úpravy tzv. režijního paušálu podle advokátního tarifu, přičemž vyhláška č. 254/2015 Sb. nabyla účinnosti dnem 6. října 2015.</w:t>
      </w:r>
    </w:p>
    <w:p w14:paraId="472571AE" w14:textId="77777777" w:rsidR="00A77B3E" w:rsidRDefault="003B266D">
      <w:pPr>
        <w:pStyle w:val="8"/>
      </w:pPr>
      <w:r>
        <w:t>Novelou advokátního tarifu provedenou vyhláškou č. 258/2024 Sb. byla v advokátním tarifu s účinností dnem 1. ledna 2025 mj. zvýšena sazba režijního paušálu z částky 300 Kč na částku 450 Kč za úkon právní služby – toto zvýšení bylo odůvodněno snahou o částečné zohlednění inflace od roku 2007; byly též provedeny některé další změny související s režijním paušálem. Vyhláška č. 254/2015 Sb. ovšem doposud novelizována nebyla. Vznikl tak nežádoucí rozdíl mezi oběma vyhláškami. Na tento rozdíl reagovala i recentní</w:t>
      </w:r>
      <w:r>
        <w:t xml:space="preserve"> judikatura. Usnesením Nejvyššího soudu ze dne 18. listopadu 2025, </w:t>
      </w:r>
      <w:proofErr w:type="spellStart"/>
      <w:r>
        <w:t>sp</w:t>
      </w:r>
      <w:proofErr w:type="spellEnd"/>
      <w:r>
        <w:t xml:space="preserve">. zn. 28 </w:t>
      </w:r>
      <w:proofErr w:type="spellStart"/>
      <w:r>
        <w:t>Cdo</w:t>
      </w:r>
      <w:proofErr w:type="spellEnd"/>
      <w:r>
        <w:t xml:space="preserve"> 2638/2025, byla přiznána paušální náhrada za jeden úkon podle vyhlášky č. 254/2015 Sb. ve výši 450 Kč; Nejvyšší soud přitom vyšel z výše uvedeného nálezu Ústavního soudu ze dne 7. října 2014, </w:t>
      </w:r>
      <w:proofErr w:type="spellStart"/>
      <w:r>
        <w:t>sp</w:t>
      </w:r>
      <w:proofErr w:type="spellEnd"/>
      <w:r>
        <w:t xml:space="preserve">. zn. </w:t>
      </w:r>
      <w:proofErr w:type="spellStart"/>
      <w:r>
        <w:t>Pl</w:t>
      </w:r>
      <w:proofErr w:type="spellEnd"/>
      <w:r>
        <w:t xml:space="preserve">. ÚS 39/13, přičemž náhrada ve výši 450 Kč (v příslušném pásmu tarifní hodnoty) má podle soudu náležet i za úkony učiněné od 1. ledna 2025 (k argumentaci Nejvyššího soudu srov. odstavec 21 až 24 odůvodnění rozhodnutí Nejvyššího </w:t>
      </w:r>
      <w:r>
        <w:t>soudu).</w:t>
      </w:r>
    </w:p>
    <w:p w14:paraId="0286EEF7" w14:textId="77777777" w:rsidR="00A77B3E" w:rsidRDefault="003B266D">
      <w:pPr>
        <w:pStyle w:val="8"/>
      </w:pPr>
      <w:r>
        <w:t>Existuje též rozdíl mezi právní úpravou úkonů právní služby podle advokátního tarifu a právní úpravou úkonů podle vyhlášky č. 254/2015 Sb.</w:t>
      </w:r>
    </w:p>
    <w:p w14:paraId="0D8A298A" w14:textId="77777777" w:rsidR="00A77B3E" w:rsidRDefault="003B266D">
      <w:pPr>
        <w:pStyle w:val="8"/>
      </w:pPr>
      <w:r>
        <w:t xml:space="preserve">V § 11 odst. 1 písm. a) advokátního tarifu je upraven úkon právní služby „převzetí a příprava zastoupení nebo obhajoby na základě smlouvy o poskytnutí právních služeb“. Jedná se o úkon právní služby, který je jednorázový; pokud by měly být účtovány takové úkony dva, popřípadě více, posuzuje se tato otázka podle kritéria účelnosti podle § 142 odst. 1 o. s. ř. (srov. k tomu např. rozsudek Nejvyššího soudu ze dne 10. března 2022, sen. zn. 29 </w:t>
      </w:r>
      <w:proofErr w:type="spellStart"/>
      <w:r>
        <w:t>ICdo</w:t>
      </w:r>
      <w:proofErr w:type="spellEnd"/>
      <w:r>
        <w:t xml:space="preserve"> 31/2019, odstavec 31 odůvodnění) a v exekučním řízení podle § 87 odst. 2 ex. ř., jde-li o oprávněného, a podle § 142 odst. 1 o. s. ř. ve spojení s § 52 odst. 1 ex. ř., jde-li o povinného nebo výjimečně o jiného účastníka exekučního řízení.</w:t>
      </w:r>
    </w:p>
    <w:p w14:paraId="08684245" w14:textId="77777777" w:rsidR="00A77B3E" w:rsidRDefault="003B266D">
      <w:pPr>
        <w:pStyle w:val="8"/>
      </w:pPr>
      <w:r>
        <w:t xml:space="preserve">V § 1 odst. 3 písm. b) vyhlášky č. 254/2015 Sb. je upraven úkon „příprava účasti na jednání“. Tento úkon je v aplikační praxi vykládán různě: jako úkon jednorázový i jako úkon opakovaný; aplikační praxe tedy v této otázce není jednotná. Předkladatel v tomto ohledu vychází z usnesení Ústavního </w:t>
      </w:r>
      <w:r>
        <w:lastRenderedPageBreak/>
        <w:t xml:space="preserve">soudu ze dne 24. července 2024, </w:t>
      </w:r>
      <w:proofErr w:type="spellStart"/>
      <w:r>
        <w:t>sp</w:t>
      </w:r>
      <w:proofErr w:type="spellEnd"/>
      <w:r>
        <w:t>. zn. I. ÚS 1773/24. V této věci byl úkon „příprava účasti na jednání“ posouzen jako úkon jednorázový (odstavec 11 odůvodnění).</w:t>
      </w:r>
    </w:p>
    <w:p w14:paraId="22C2FEDA" w14:textId="77777777" w:rsidR="00A77B3E" w:rsidRDefault="003B266D">
      <w:pPr>
        <w:pStyle w:val="9"/>
      </w:pPr>
      <w:r>
        <w:t>Dále vyhláška č. 254/2015 Sb. používá termín „hodnota sporu“ pro tarifní hodnotu. Termín „hodnota sporu“ je přitom užit pro všechna řízení, ve kterých se vyhláška č. 254/2015 Sb. aplikuje, tedy i pro jiná než sporná řízení.</w:t>
      </w:r>
    </w:p>
    <w:p w14:paraId="2DB7A400" w14:textId="77777777" w:rsidR="00A77B3E" w:rsidRDefault="003B266D">
      <w:pPr>
        <w:pStyle w:val="6"/>
      </w:pPr>
      <w:r>
        <w:t>3.   Zhodnocení souladu návrhu právního předpisu s ústavním pořádkem a ostatními součástmi právního řádu České republiky.</w:t>
      </w:r>
    </w:p>
    <w:p w14:paraId="791B4D51" w14:textId="77777777" w:rsidR="00A77B3E" w:rsidRDefault="003B266D">
      <w:pPr>
        <w:pStyle w:val="7"/>
      </w:pPr>
      <w:r>
        <w:t>​Návrh právního předpisu je v souladu s ústavním pořádkem a ostatními součástmi právního řádu České republiky.</w:t>
      </w:r>
    </w:p>
    <w:p w14:paraId="27721AE8" w14:textId="77777777" w:rsidR="00A77B3E" w:rsidRDefault="003B266D">
      <w:pPr>
        <w:pStyle w:val="8"/>
      </w:pPr>
      <w:r>
        <w:t xml:space="preserve">Návrhem je sledováno naplnění zásady rovnosti účastníků řízení podle čl. 37 odst. 3 Listiny základních práv a svobod (srov. bod II. výroku nálezu Ústavního soudu ze dne 7. října 2014, </w:t>
      </w:r>
      <w:proofErr w:type="spellStart"/>
      <w:r>
        <w:t>sp</w:t>
      </w:r>
      <w:proofErr w:type="spellEnd"/>
      <w:r>
        <w:t xml:space="preserve">. zn. </w:t>
      </w:r>
      <w:proofErr w:type="spellStart"/>
      <w:r>
        <w:t>Pl</w:t>
      </w:r>
      <w:proofErr w:type="spellEnd"/>
      <w:r>
        <w:t>. ÚS 39/13).</w:t>
      </w:r>
    </w:p>
    <w:p w14:paraId="5F7F0122" w14:textId="77777777" w:rsidR="00A77B3E" w:rsidRDefault="003B266D">
      <w:pPr>
        <w:pStyle w:val="8"/>
      </w:pPr>
      <w:r>
        <w:t xml:space="preserve">Je pravdou, že judikatura Ústavního soudu není jednotná v otázce, zda úkon „příprava účasti na jednání“ posoudit jako jednorázový nebo jako opakovaný. Ve výše uvedených rozhodnutích Ústavního soudu je interpretace tohoto úkonu jako úkonu jednorázového považována za souladnou s ústavním pořádkem (usnesení Ústavního soudu ze dne 24. července 2024, </w:t>
      </w:r>
      <w:proofErr w:type="spellStart"/>
      <w:r>
        <w:t>sp</w:t>
      </w:r>
      <w:proofErr w:type="spellEnd"/>
      <w:r>
        <w:t xml:space="preserve">. zn. I. ÚS 1773/24, odstavec 12 odůvodnění), popřípadě není tato otázka – tedy jak daný úkon chápat – považována za výkladovou otázkou s ústavněprávním přesahem (nález Ústavního soudu ze dne 22. října 2018, </w:t>
      </w:r>
      <w:proofErr w:type="spellStart"/>
      <w:r>
        <w:t>sp</w:t>
      </w:r>
      <w:proofErr w:type="spellEnd"/>
      <w:r>
        <w:t>. zn. III. ÚS 2062/18, odstavec 46 odůvodnění). S ohledem na znění advokátního tarifu se předkladatel kloní k závěrům prvního uvedeného nálezu.</w:t>
      </w:r>
    </w:p>
    <w:p w14:paraId="265B60CD" w14:textId="77777777" w:rsidR="00A77B3E" w:rsidRDefault="003B266D">
      <w:pPr>
        <w:pStyle w:val="8"/>
      </w:pPr>
      <w:r>
        <w:t xml:space="preserve">Předkladatel tak má za to, že i navrhované změny v oblasti právní úpravy úkonů, za které náleží paušální náhrada, jsou v souladu s ústavním pořádkem, neboť vyhlášku č. 254/2015 Sb. více přiblíží advokátnímu tarifu (srov. k tomu výše uvedený nález Ústavního soudu ze dne 7. října 2014, </w:t>
      </w:r>
      <w:proofErr w:type="spellStart"/>
      <w:r>
        <w:t>sp</w:t>
      </w:r>
      <w:proofErr w:type="spellEnd"/>
      <w:r>
        <w:t xml:space="preserve">. zn. </w:t>
      </w:r>
      <w:proofErr w:type="spellStart"/>
      <w:r>
        <w:t>Pl</w:t>
      </w:r>
      <w:proofErr w:type="spellEnd"/>
      <w:r>
        <w:t>. ÚS 39/13).</w:t>
      </w:r>
    </w:p>
    <w:p w14:paraId="1A9D5E15" w14:textId="77777777" w:rsidR="00A77B3E" w:rsidRDefault="003B266D">
      <w:pPr>
        <w:pStyle w:val="8"/>
      </w:pPr>
      <w:r>
        <w:t>Návrh právního předpisu je v souladu se zákony, k jejichž provedení je navržen, včetně zmocňovacích ustanovení. Návrh obsahuje toliko úpravy týkající se výše paušální náhrady (včetně právní úpravy úkonů) a mění terminologii.</w:t>
      </w:r>
    </w:p>
    <w:p w14:paraId="222F1BA8" w14:textId="77777777" w:rsidR="00A77B3E" w:rsidRDefault="003B266D">
      <w:pPr>
        <w:pStyle w:val="9"/>
      </w:pPr>
      <w:r>
        <w:t>Návrh právního předpisu je v souladu též s ostatními součástmi právního řádu České republiky.</w:t>
      </w:r>
    </w:p>
    <w:p w14:paraId="0444AF36" w14:textId="77777777" w:rsidR="00A77B3E" w:rsidRDefault="003B266D">
      <w:pPr>
        <w:pStyle w:val="6"/>
      </w:pPr>
      <w:r>
        <w:t>4.   Zhodnocení souladu návrhu právního předpisu se závazky vyplývajícími pro Českou republiku z jejího členství v Evropské unii.</w:t>
      </w:r>
    </w:p>
    <w:p w14:paraId="5A02606A" w14:textId="77777777" w:rsidR="00A77B3E" w:rsidRDefault="003B266D">
      <w:pPr>
        <w:pStyle w:val="7"/>
      </w:pPr>
      <w:r>
        <w:t>Rovnost zbraní (čl. 37 odst. 3 Listiny základních práv a svobod) je upravena též (jakožto součást práva na spravedlivý proces) v čl. 47 Listiny základních práv Evropské unie.</w:t>
      </w:r>
    </w:p>
    <w:p w14:paraId="2839AC62" w14:textId="77777777" w:rsidR="00A77B3E" w:rsidRDefault="003B266D">
      <w:pPr>
        <w:pStyle w:val="9"/>
      </w:pPr>
      <w:r>
        <w:t>Návrh právního předpisu není v rozporu se závazky vyplývajícími pro Českou republiku z jejího členství v Evropské unii.</w:t>
      </w:r>
    </w:p>
    <w:p w14:paraId="4796F854" w14:textId="77777777" w:rsidR="00A77B3E" w:rsidRDefault="003B266D">
      <w:pPr>
        <w:pStyle w:val="6"/>
      </w:pPr>
      <w:r>
        <w:t>5.   Zhodnocení souladu návrhu právního předpisu s mezinárodními smlouvami, jimiž je Česká republika vázána.</w:t>
      </w:r>
    </w:p>
    <w:p w14:paraId="05C1885C" w14:textId="77777777" w:rsidR="00A77B3E" w:rsidRDefault="003B266D">
      <w:pPr>
        <w:pStyle w:val="7"/>
      </w:pPr>
      <w:r>
        <w:t xml:space="preserve">Rovnost zbraní (čl. 37 odst. 3 Listiny základních práv a svobod) je upravena též (jakožto součást práva na spravedlivý proces) v čl. 6 odst. 1 Úmluvy o ochraně lidských práv a základních svobod </w:t>
      </w:r>
      <w:r>
        <w:lastRenderedPageBreak/>
        <w:t>(č. 209/1992 Sb.) a v čl. 14 odst. 1 věta první Mezinárodního paktu o občanských a politických právech (č. 120/1976 Sb.).</w:t>
      </w:r>
    </w:p>
    <w:p w14:paraId="6C98DCBA" w14:textId="77777777" w:rsidR="00A77B3E" w:rsidRDefault="003B266D">
      <w:pPr>
        <w:pStyle w:val="9"/>
      </w:pPr>
      <w:r>
        <w:t>Návrh právního předpisu není v rozporu s mezinárodními smlouvami, jimiž je Česká republika vázána.</w:t>
      </w:r>
    </w:p>
    <w:p w14:paraId="3F58CB53" w14:textId="77777777" w:rsidR="00A77B3E" w:rsidRDefault="003B266D">
      <w:pPr>
        <w:pStyle w:val="6"/>
      </w:pPr>
      <w:r>
        <w:t>6.</w:t>
      </w:r>
      <w:r>
        <w:t>   Předpokládaný hospodářský a finanční dopad návrhu právního předpisu na státní rozpočet a ostatní veřejné rozpočty.</w:t>
      </w:r>
    </w:p>
    <w:p w14:paraId="4C7CFD74" w14:textId="77777777" w:rsidR="00A77B3E" w:rsidRDefault="003B266D">
      <w:pPr>
        <w:pStyle w:val="7"/>
      </w:pPr>
      <w:r>
        <w:rPr>
          <w:u w:val="single"/>
        </w:rPr>
        <w:t>6.1 Dopady zvýšení sazby paušální náhrady na veřejné rozpočty</w:t>
      </w:r>
    </w:p>
    <w:p w14:paraId="72141DDC" w14:textId="77777777" w:rsidR="00A77B3E" w:rsidRDefault="003B266D">
      <w:pPr>
        <w:pStyle w:val="8"/>
      </w:pPr>
      <w:r>
        <w:t>Zvýšení sazby se bude týkat též řízení, ve kterých jako účastník vystupuje stát. S ohledem na neexistenci údajů o počtu řízení, ve kterých je účastníkem stát, lze kromě základních údajů o navýšení sazby (viz výše) uvést i počet úkonů, které se průměrně v řízení provedou, dále na základě dostupných dat byl uveden odhad dopadů zvýšení sazby v nalézacích řízeních podle zákona č. 82/1998 Sb., o odpovědnosti státu za škodu, tedy řízení, ve kterých vystupuje stát nejčastěji.</w:t>
      </w:r>
    </w:p>
    <w:p w14:paraId="08CA6F25" w14:textId="77777777" w:rsidR="00A77B3E" w:rsidRDefault="003B266D">
      <w:pPr>
        <w:pStyle w:val="8"/>
      </w:pPr>
      <w:r>
        <w:rPr>
          <w:u w:val="single"/>
        </w:rPr>
        <w:t>Počet úkonů v nalézacích řízeních</w:t>
      </w:r>
    </w:p>
    <w:p w14:paraId="59169969" w14:textId="77777777" w:rsidR="00A77B3E" w:rsidRDefault="003B266D">
      <w:pPr>
        <w:pStyle w:val="8"/>
      </w:pPr>
      <w:r>
        <w:t>Počet úkonů je odhadován na nejméně 1, nejčasněji na 2 až 3 a v průměru 3, pouze jeden okresní soud uvedl 5 až 10 úkonů. V případě řízení podle zákona č. 82/1998 Sb. činí odhad zpravidla 3 úkony.</w:t>
      </w:r>
    </w:p>
    <w:p w14:paraId="5308291C" w14:textId="77777777" w:rsidR="00A77B3E" w:rsidRDefault="003B266D">
      <w:pPr>
        <w:pStyle w:val="8"/>
      </w:pPr>
      <w:r>
        <w:rPr>
          <w:u w:val="single"/>
        </w:rPr>
        <w:t>Odhad dopadů zvýšení sazby v nalézacích řízeních podle zákona č. 82/1998 Sb.</w:t>
      </w:r>
    </w:p>
    <w:p w14:paraId="7B1DFA73" w14:textId="77777777" w:rsidR="00A77B3E" w:rsidRDefault="003B266D">
      <w:pPr>
        <w:pStyle w:val="8"/>
      </w:pPr>
      <w:r>
        <w:t>Předkladatel disponuje daty, která se týkají řízení podle zákona č. 82/1998 Sb. – tato řízení jsou podmnožinou všech nalézacích řízení, ve kterých se aplikuje vyhláška č. 254/2015 Sb. a která jsou popsána výše. V roce 2024 bylo vedeno celkem 1 701 řízení takových řízení. Pokud počítáme s uvedeným počtem celkem 3 úkonů, dopad činí 450 Kč pro každé řízení, v případě úspěchu v řízení o tuto částku více inkasuje stát, v případě neúspěchu naopak stát musí o tuto částku více na náhradě nákladů zaplatit. Podle poz</w:t>
      </w:r>
      <w:r>
        <w:t>natků předkladatele je stát v těchto řízeních zpravidla úspěšný.</w:t>
      </w:r>
    </w:p>
    <w:p w14:paraId="481E0177" w14:textId="77777777" w:rsidR="00A77B3E" w:rsidRDefault="003B266D">
      <w:pPr>
        <w:pStyle w:val="8"/>
      </w:pPr>
      <w:r>
        <w:rPr>
          <w:u w:val="single"/>
        </w:rPr>
        <w:t>Dopady zvýšení sazby v řízeních o výkon rozhodnutí a v řízeních exekučních</w:t>
      </w:r>
    </w:p>
    <w:p w14:paraId="422B1D74" w14:textId="77777777" w:rsidR="00A77B3E" w:rsidRDefault="003B266D">
      <w:pPr>
        <w:pStyle w:val="8"/>
      </w:pPr>
      <w:r>
        <w:t>Předkladatel nemá k dispozici příslušná data. Lze však uvést, že v praxi se v těchto řízeních vyhláška č. 254/2015 Sb. aplikuje. Úkonů je v těchto řízeních méně – zpravidla jeden úkon v případě oprávněných, v případě povinných žádný úkon nebo žádný úkon, za který by náležela paušální náhrada.</w:t>
      </w:r>
    </w:p>
    <w:p w14:paraId="0B15C236" w14:textId="77777777" w:rsidR="00A77B3E" w:rsidRDefault="003B266D">
      <w:pPr>
        <w:pStyle w:val="8"/>
      </w:pPr>
      <w:r>
        <w:rPr>
          <w:u w:val="single"/>
        </w:rPr>
        <w:t>6.2 Dopady změny vymezení úkonů</w:t>
      </w:r>
    </w:p>
    <w:p w14:paraId="5CC847A4" w14:textId="77777777" w:rsidR="00A77B3E" w:rsidRDefault="003B266D">
      <w:pPr>
        <w:pStyle w:val="8"/>
      </w:pPr>
      <w:r>
        <w:t>Mnohem obtížněji se odhaduje dopad změny vymezení úkonů podle vyhlášky č. 254/2015 Sb., tedy stanovení jednorázového úkonu, za který by ovšem náhrada náležela vždy. Není totiž k dispozici údaj, v kolika řízeních se koná jednání a popřípadě kolik jednání. Nelze tedy odhadnout, o kolik úkonů méně by bylo počítáno.</w:t>
      </w:r>
    </w:p>
    <w:p w14:paraId="0A7136FF" w14:textId="77777777" w:rsidR="00A77B3E" w:rsidRDefault="003B266D">
      <w:pPr>
        <w:pStyle w:val="8"/>
      </w:pPr>
      <w:r>
        <w:t>V řízeních bez jednání (srov. k tomu např. § 253 odst. 2 o. s. ř.) by byl nově počítán navíc jeden úkon („převzetí a příprava zastoupení“), tedy o 100 Kč nebo 450 Kč více než dnes.</w:t>
      </w:r>
    </w:p>
    <w:p w14:paraId="34579500" w14:textId="77777777" w:rsidR="00A77B3E" w:rsidRDefault="003B266D">
      <w:pPr>
        <w:pStyle w:val="8"/>
      </w:pPr>
      <w:r>
        <w:t>V řízeních, ve kterých by byl počítán jedenkrát úkon „příprava účasti na jednání“, by dopad nebyl žádný, protože jeden úkon, tedy obdoba „převzetí a přípravy zastoupení“, by sice byl počítán navíc, nicméně by nově nebyl počítán úkon „příprava účasti na jednání“. V řízeních se dvěma a více úkony „příprava účasti na jednání“ by dopad činil za každé druhé a další jednání 100 Kč nebo 450 Kč, o tyto částky by se tedy celková náhrada snížila.</w:t>
      </w:r>
    </w:p>
    <w:p w14:paraId="1EFBFBF7" w14:textId="77777777" w:rsidR="00A77B3E" w:rsidRDefault="003B266D">
      <w:pPr>
        <w:pStyle w:val="8"/>
      </w:pPr>
      <w:r>
        <w:lastRenderedPageBreak/>
        <w:t>Nejsou sice k dispozici podrobná data, nicméně nelze vyloučit, že v důsledku novelizace dojde i ke snížení příjmů některých účastníků řízení z rozpočtově sféry - přičemž ovšem, jak je výše uvedeno, tyto dopady by měly být nevýznamné.</w:t>
      </w:r>
    </w:p>
    <w:p w14:paraId="43FDF9D6" w14:textId="77777777" w:rsidR="00A77B3E" w:rsidRDefault="003B266D">
      <w:pPr>
        <w:pStyle w:val="8"/>
      </w:pPr>
      <w:r>
        <w:rPr>
          <w:u w:val="single"/>
        </w:rPr>
        <w:t xml:space="preserve">6.3 Rozpočtová kapitola předkladatele a ostatní rozpočtové kapitoly </w:t>
      </w:r>
    </w:p>
    <w:p w14:paraId="01666F0C" w14:textId="77777777" w:rsidR="00A77B3E" w:rsidRDefault="003B266D">
      <w:pPr>
        <w:pStyle w:val="8"/>
      </w:pPr>
      <w:r>
        <w:t>Veškeré případné zvýšené výdaje rozpočtové kapitoly předkladatele (ty se ovšem nepředpokládají) budou hrazeny z rozpočtu kapitoly v rámci schváleného rozpočtu na daný kalendářní rok a střednědobého výhledu, a to bez nároku na jejich dodatečné navyšování či na navýšení výdajů státního rozpočtu.</w:t>
      </w:r>
    </w:p>
    <w:p w14:paraId="51BECCD7" w14:textId="77777777" w:rsidR="00A77B3E" w:rsidRDefault="003B266D">
      <w:pPr>
        <w:pStyle w:val="9"/>
      </w:pPr>
      <w:r>
        <w:t>Obdobný postup je předpokládán i u ostatních kapitol.</w:t>
      </w:r>
    </w:p>
    <w:p w14:paraId="1FC537C3" w14:textId="77777777" w:rsidR="00A77B3E" w:rsidRDefault="003B266D">
      <w:pPr>
        <w:pStyle w:val="6"/>
      </w:pPr>
      <w:r>
        <w:t>7.   Odůvodnění případného návrhu, aby Poslanecká sněmovna vyslovila s návrhem právního předpisu souhlas již v prvém čtení.</w:t>
      </w:r>
    </w:p>
    <w:p w14:paraId="6BF9091B" w14:textId="77777777" w:rsidR="00A77B3E" w:rsidRDefault="003B266D">
      <w:pPr>
        <w:pStyle w:val="10"/>
      </w:pPr>
      <w:r>
        <w:t>Předkládaný návrh právního předpisu je návrhem vyhlášky. Poslanecká sněmovna s návrhy vyhlášek souhlas nevyslovuje.</w:t>
      </w:r>
    </w:p>
    <w:p w14:paraId="4BDF45C5" w14:textId="77777777" w:rsidR="00A77B3E" w:rsidRDefault="003B266D">
      <w:pPr>
        <w:pStyle w:val="6"/>
      </w:pPr>
      <w:r>
        <w:t>8.   Odůvodnění případného návrhu, aby navrhovaná právní úprava nabyla účinnosti k jinému dni než k 1. lednu nebo k 1. červenci kalendářního roku.</w:t>
      </w:r>
    </w:p>
    <w:p w14:paraId="4F84853C" w14:textId="77777777" w:rsidR="00A77B3E" w:rsidRDefault="003B266D">
      <w:pPr>
        <w:pStyle w:val="10"/>
      </w:pPr>
      <w:r>
        <w:t>Nabytí účinnosti k jinému dni než k 1. lednu nebo k 1. červenci kalendářního roku se nenavrhuje.</w:t>
      </w:r>
    </w:p>
    <w:p w14:paraId="29F83381" w14:textId="77777777" w:rsidR="00A77B3E" w:rsidRDefault="003B266D">
      <w:pPr>
        <w:pStyle w:val="6"/>
      </w:pPr>
      <w:r>
        <w:t>9.</w:t>
      </w:r>
      <w:r>
        <w:t>   Odůvodnění jednotlivých ustanovení návrhu právního předpisu; odůvodnění obsahuje vysvětlení jejich účelu a nezbytnosti, popis právních norem v nich obsažených a z nich vyplývajících práv a povinností.</w:t>
      </w:r>
    </w:p>
    <w:p w14:paraId="31DC9423" w14:textId="77777777" w:rsidR="00A77B3E" w:rsidRDefault="003B266D">
      <w:pPr>
        <w:pStyle w:val="10"/>
      </w:pPr>
      <w:r>
        <w:t>Odůvodnění jednotlivých ustanovení návrhu právního předpisu je obsaženo ve zvláštní části důvodové zprávy.</w:t>
      </w:r>
    </w:p>
    <w:p w14:paraId="762BC5FF" w14:textId="77777777" w:rsidR="00A77B3E" w:rsidRDefault="003B266D">
      <w:pPr>
        <w:pStyle w:val="6"/>
      </w:pPr>
      <w:r>
        <w:t>10.</w:t>
      </w:r>
      <w:r>
        <w:t>   Zhodnocení, zda návrh právního předpisu neobsahuje ustanovení, které by bylo svou povahou technickým předpisem podle právního předpisu upravujícího technické požadavky na výrobky, a informace o splnění oznamovací povinnosti podle tohoto právního předpisu.</w:t>
      </w:r>
    </w:p>
    <w:p w14:paraId="0857CC30" w14:textId="77777777" w:rsidR="00A77B3E" w:rsidRDefault="003B266D">
      <w:pPr>
        <w:pStyle w:val="10"/>
      </w:pPr>
      <w:r>
        <w:t>​Návrh právního předpisu neobsahuje ustanovení, které by bylo svou povahou technickým předpisem podle právního předpisu upravujícího technické požadavky na výrobky; oznamovací povinnost podle tohoto právního předpisu nevzniká.</w:t>
      </w:r>
    </w:p>
    <w:p w14:paraId="2B410D5A" w14:textId="77777777" w:rsidR="00A77B3E" w:rsidRDefault="003B266D">
      <w:pPr>
        <w:pStyle w:val="6"/>
      </w:pPr>
      <w:r>
        <w:t>11.</w:t>
      </w:r>
      <w:r>
        <w:t>   Informaci o konzultaci návrhu právního předpisu s Evropskou centrální bankou a výsledku konzultace, podléhá-li návrh právního předpisu takové konzultaci.</w:t>
      </w:r>
    </w:p>
    <w:p w14:paraId="79AA0D35" w14:textId="77777777" w:rsidR="00A77B3E" w:rsidRDefault="003B266D">
      <w:pPr>
        <w:pStyle w:val="10"/>
      </w:pPr>
      <w:r>
        <w:t>​Návrh právního předpisu nepodléhá konzultaci s Evropskou centrální bankou.</w:t>
      </w:r>
    </w:p>
    <w:p w14:paraId="0BC9B074" w14:textId="77777777" w:rsidR="00A77B3E" w:rsidRDefault="003B266D">
      <w:pPr>
        <w:pStyle w:val="6"/>
      </w:pPr>
      <w:r>
        <w:t>12.   Předpokládaný dopad návrhu právního předpisu, zejména</w:t>
      </w:r>
    </w:p>
    <w:p w14:paraId="538311E7" w14:textId="77777777" w:rsidR="00A77B3E" w:rsidRDefault="003B266D">
      <w:pPr>
        <w:pStyle w:val="11"/>
      </w:pPr>
      <w:r>
        <w:t>12.1   Dopad na práva a povinnosti fyzických a právnických osob.</w:t>
      </w:r>
    </w:p>
    <w:p w14:paraId="6652BADC" w14:textId="77777777" w:rsidR="00A77B3E" w:rsidRDefault="003B266D">
      <w:pPr>
        <w:pStyle w:val="10"/>
      </w:pPr>
      <w:r>
        <w:lastRenderedPageBreak/>
        <w:t>​Dopad bude mít navrhované zvýšení jedné ze sazeb paušální náhrady a změna vymezení úkonů, vznikne tedy právo na vyšší paušální náhradu a tomu odpovídající povinnost. Změna vymezení úkonů se projeví tak, že se částečně mění podmínky, za jakých náhrada náleží.</w:t>
      </w:r>
    </w:p>
    <w:p w14:paraId="0ED77200" w14:textId="77777777" w:rsidR="00A77B3E" w:rsidRDefault="003B266D">
      <w:pPr>
        <w:pStyle w:val="11"/>
      </w:pPr>
      <w:r>
        <w:t>12.2   Dopad na podnikatelské prostředí České republiky.</w:t>
      </w:r>
    </w:p>
    <w:p w14:paraId="7A3D28F0" w14:textId="77777777" w:rsidR="00A77B3E" w:rsidRDefault="003B266D">
      <w:pPr>
        <w:pStyle w:val="10"/>
      </w:pPr>
      <w:r>
        <w:t>Předpokládá se, že dopady se mohou týkat i podnikatelského prostředí. Půjde však pouze o dopady v rámci civilního řízení, kterého se budou podnikatelé účastnit. V případě úspěchu bude náhrada nákladů podnikatelům vyšší, to však platí i pro případ neúspěchu a náhrady nákladů nezastoupenému účastníkovi či účastníkovi nezastoupeným advokátem, notářem či patentovým zástupcem. Nicméně půjde o dopady v řádu stovek či výjimečně jednoho tisíce Kč.</w:t>
      </w:r>
    </w:p>
    <w:p w14:paraId="17586F35" w14:textId="77777777" w:rsidR="00A77B3E" w:rsidRDefault="003B266D">
      <w:pPr>
        <w:pStyle w:val="11"/>
      </w:pPr>
      <w:r>
        <w:t>12.3</w:t>
      </w:r>
      <w:r>
        <w:t>   Zhodnocení, zda návrhem právního předpisu není zakládána veřejná podpora.</w:t>
      </w:r>
    </w:p>
    <w:p w14:paraId="36AF0D03" w14:textId="77777777" w:rsidR="00A77B3E" w:rsidRDefault="003B266D">
      <w:pPr>
        <w:pStyle w:val="10"/>
      </w:pPr>
      <w:r>
        <w:t>​Předkládaný návrh nesouvisí s podporou poskytovanou státem nebo podporou poskytovanou ze státních prostředků, nezakládá se jím tedy veřejná podpora.</w:t>
      </w:r>
    </w:p>
    <w:p w14:paraId="7492EDE0" w14:textId="77777777" w:rsidR="00A77B3E" w:rsidRDefault="003B266D">
      <w:pPr>
        <w:pStyle w:val="11"/>
      </w:pPr>
      <w:r>
        <w:t>12.4   Sociální dopad, včetně dopadu na specifické skupiny obyvatel, především na osoby sociálně slabé, osoby se zdravotním postižením a národnostní menšiny.</w:t>
      </w:r>
    </w:p>
    <w:p w14:paraId="43BC96A6" w14:textId="77777777" w:rsidR="00A77B3E" w:rsidRDefault="003B266D">
      <w:pPr>
        <w:pStyle w:val="10"/>
      </w:pPr>
      <w:r>
        <w:t>Pokud dojde k sociálním dopadům, budou se týkat pouze řízení, kterého se zranitelné osoby účastní, přičemž dopady budou zanedbatelné. V případě úspěchu v řízení se náhrada nákladů těmto osobám navýší, v případě neúspěchu naopak budou muset platit vyšší částku. Pro řízení půjde o dopady v řádu stovek či výjimečně jednoho tisíce Kč.</w:t>
      </w:r>
    </w:p>
    <w:p w14:paraId="34EC23EA" w14:textId="77777777" w:rsidR="00A77B3E" w:rsidRDefault="003B266D">
      <w:pPr>
        <w:pStyle w:val="11"/>
      </w:pPr>
      <w:r>
        <w:t>12.5   Dopad na rovnost mužů a žen, upravuje-li návrh právního předpisu postavení fyzických osob nebo se tohoto postavení dotýká.</w:t>
      </w:r>
    </w:p>
    <w:p w14:paraId="622A9808" w14:textId="77777777" w:rsidR="00A77B3E" w:rsidRDefault="003B266D">
      <w:pPr>
        <w:pStyle w:val="10"/>
      </w:pPr>
      <w:r>
        <w:t>Nepředpokládají se dopady na rovnost mužů a žen.</w:t>
      </w:r>
    </w:p>
    <w:p w14:paraId="17174473" w14:textId="77777777" w:rsidR="00A77B3E" w:rsidRDefault="003B266D">
      <w:pPr>
        <w:pStyle w:val="11"/>
      </w:pPr>
      <w:r>
        <w:t>12.6   Dopad na životní prostředí.</w:t>
      </w:r>
    </w:p>
    <w:p w14:paraId="72A9A593" w14:textId="77777777" w:rsidR="00A77B3E" w:rsidRDefault="003B266D">
      <w:pPr>
        <w:pStyle w:val="10"/>
      </w:pPr>
      <w:r>
        <w:t>​Nepředpokládají se dopady na životní prostředí.</w:t>
      </w:r>
    </w:p>
    <w:p w14:paraId="7141E246" w14:textId="77777777" w:rsidR="00A77B3E" w:rsidRDefault="003B266D">
      <w:pPr>
        <w:pStyle w:val="11"/>
      </w:pPr>
      <w:r>
        <w:t>12.7   Dopad na ochranu práv dětí.</w:t>
      </w:r>
    </w:p>
    <w:p w14:paraId="07928A99" w14:textId="77777777" w:rsidR="00A77B3E" w:rsidRDefault="003B266D">
      <w:pPr>
        <w:pStyle w:val="10"/>
      </w:pPr>
      <w:r>
        <w:t>​Nepředpokládají se dopady na ochranu práv dětí.</w:t>
      </w:r>
    </w:p>
    <w:p w14:paraId="1BDBCA1B" w14:textId="77777777" w:rsidR="00A77B3E" w:rsidRDefault="003B266D">
      <w:pPr>
        <w:pStyle w:val="11"/>
      </w:pPr>
      <w:r>
        <w:t>12.8   Dopad na bezpečnost nebo obranu státu.</w:t>
      </w:r>
    </w:p>
    <w:p w14:paraId="59E51BF7" w14:textId="77777777" w:rsidR="00A77B3E" w:rsidRDefault="003B266D">
      <w:pPr>
        <w:pStyle w:val="10"/>
      </w:pPr>
      <w:r>
        <w:t>​Nepředpokládají se dopady na bezpečnost nebo obranu státu.</w:t>
      </w:r>
    </w:p>
    <w:p w14:paraId="456EA860" w14:textId="77777777" w:rsidR="00A77B3E" w:rsidRDefault="003B266D">
      <w:pPr>
        <w:pStyle w:val="11"/>
      </w:pPr>
      <w:r>
        <w:t>12.9   Dopad ve vztahu k ochraně soukromí a osobních údajů.</w:t>
      </w:r>
    </w:p>
    <w:p w14:paraId="413E35F4" w14:textId="77777777" w:rsidR="00A77B3E" w:rsidRDefault="003B266D">
      <w:pPr>
        <w:pStyle w:val="10"/>
      </w:pPr>
      <w:r>
        <w:t>Nepředpokládají se dopady ve vztahu k ochraně soukromí a osobních údajů.</w:t>
      </w:r>
    </w:p>
    <w:p w14:paraId="0AA8ABA2" w14:textId="77777777" w:rsidR="00A77B3E" w:rsidRDefault="003B266D">
      <w:pPr>
        <w:pStyle w:val="6"/>
      </w:pPr>
      <w:r>
        <w:t>13.   Zhodnocení korupčních rizik návrhu právního předpisu.</w:t>
      </w:r>
    </w:p>
    <w:p w14:paraId="03CD1F1A" w14:textId="77777777" w:rsidR="00A77B3E" w:rsidRDefault="003B266D">
      <w:pPr>
        <w:pStyle w:val="7"/>
      </w:pPr>
      <w:r>
        <w:t>Návrh novelizace vyhlášky nebude obsahovat změnu právní úpravy, která by vybočovala z mezí zákonného zmocnění, a bude předložen v přiměřeném a nezbytně nutném rozsahu, který pro adresáty právní úpravy nepředstavuje nadměrnou zátěž. Navrhované znění novelizace bude standardní a jednoznačné. Kompetence dotčených subjektů nebudou návrhem rozšiřovány.</w:t>
      </w:r>
    </w:p>
    <w:p w14:paraId="6F2ED33A" w14:textId="77777777" w:rsidR="00A77B3E" w:rsidRDefault="003B266D">
      <w:pPr>
        <w:pStyle w:val="9"/>
      </w:pPr>
      <w:r>
        <w:t xml:space="preserve">Vzhledem k tomu, že navrhovaná právní úprava má obsahovat pouze parametrické změny nebo jednoznačné změny ve způsobu určení paušální náhrady pro účely soudního řízení, lze dovozovat, že její implementace bude efektivní. Navrhovaná právní úprava nebude zasahovat do pravidel </w:t>
      </w:r>
      <w:r>
        <w:lastRenderedPageBreak/>
        <w:t>odpovědnosti dotčených orgánů, do opravných prostředků ani do nastavených kontrolních mechanismů. Korupční rizika v budoucnu navrhované právní úpravy lze hodnotit jako málo významná.</w:t>
      </w:r>
    </w:p>
    <w:p w14:paraId="726A4D68" w14:textId="77777777" w:rsidR="00A77B3E" w:rsidRDefault="003B266D">
      <w:pPr>
        <w:pStyle w:val="6"/>
      </w:pPr>
      <w:r>
        <w:t>14.</w:t>
      </w:r>
      <w:r>
        <w:t>   Odůvodnění případné navrhované odchylky v postupu projednání návrhu právního předpisu.</w:t>
      </w:r>
    </w:p>
    <w:p w14:paraId="73287A00" w14:textId="77777777" w:rsidR="00A77B3E" w:rsidRDefault="003B266D">
      <w:pPr>
        <w:pStyle w:val="10"/>
      </w:pPr>
      <w:r>
        <w:t>Nenavrhuje se odchylka v postupu projednání návrhu právního předpisu.</w:t>
      </w:r>
    </w:p>
    <w:p w14:paraId="72DD4F81" w14:textId="77777777" w:rsidR="00A77B3E" w:rsidRDefault="003B266D">
      <w:pPr>
        <w:pStyle w:val="6"/>
      </w:pPr>
      <w:r>
        <w:t>15.   Informace dle zákona o regulaci lobbování</w:t>
      </w:r>
    </w:p>
    <w:p w14:paraId="2F3FEB4B" w14:textId="77777777" w:rsidR="00A77B3E" w:rsidRDefault="003B266D">
      <w:pPr>
        <w:pStyle w:val="10"/>
      </w:pPr>
      <w:r>
        <w:t>​Nedošlo k žádné relevantní skutečnosti podle zákona o lobbování.</w:t>
      </w:r>
    </w:p>
    <w:p w14:paraId="42327795" w14:textId="77777777" w:rsidR="00A77B3E" w:rsidRDefault="00A77B3E">
      <w:pPr>
        <w:pStyle w:val="1"/>
      </w:pPr>
    </w:p>
    <w:p w14:paraId="25227914" w14:textId="77777777" w:rsidR="00A77B3E" w:rsidRDefault="003B266D">
      <w:pPr>
        <w:pStyle w:val="5"/>
      </w:pPr>
      <w:r>
        <w:t>II. Zvláštní část</w:t>
      </w:r>
    </w:p>
    <w:p w14:paraId="368BC7F6" w14:textId="77777777" w:rsidR="00A77B3E" w:rsidRDefault="003B266D">
      <w:pPr>
        <w:pStyle w:val="12"/>
      </w:pPr>
      <w:r>
        <w:t>K čl. I (Vyhláška o stanovení výše paušální náhrady pro účely rozhodování o náhradě nákladů řízení v případech podle § 151 odst. 3 občanského soudního řádu a podle § 89a exekučního řádu)</w:t>
      </w:r>
    </w:p>
    <w:p w14:paraId="2B82FE16" w14:textId="77777777" w:rsidR="00A77B3E" w:rsidRDefault="003B266D">
      <w:pPr>
        <w:pStyle w:val="13"/>
      </w:pPr>
      <w:r>
        <w:t>K § 1 odst. 2</w:t>
      </w:r>
    </w:p>
    <w:p w14:paraId="5B5A640A" w14:textId="77777777" w:rsidR="00A77B3E" w:rsidRDefault="003B266D">
      <w:pPr>
        <w:pStyle w:val="7"/>
      </w:pPr>
      <w:r>
        <w:t>Navrhuje se terminologická – nikoliv obsahová – změna vyhlášky č. 254/2015 Sb. Místo termínu „hodnota sporu“ má být uvedeno „tarifní hodnota“. I nadále se přitom bude tarifní hodnota určovat obdobně jako tarifní hodnota podle advokátního tarifu.</w:t>
      </w:r>
    </w:p>
    <w:p w14:paraId="35BCA980" w14:textId="77777777" w:rsidR="00A77B3E" w:rsidRDefault="003B266D">
      <w:pPr>
        <w:pStyle w:val="9"/>
      </w:pPr>
      <w:r>
        <w:t>Důvodem navrhované změny je okolnost, že vyhláška č. 254/2015 Sb. se neaplikuje pouze ve sporných řízeních, aplikuje se i v jiných druzích civilního procesu.</w:t>
      </w:r>
    </w:p>
    <w:p w14:paraId="21BF737C" w14:textId="77777777" w:rsidR="00A77B3E" w:rsidRDefault="003B266D">
      <w:pPr>
        <w:pStyle w:val="13"/>
      </w:pPr>
      <w:r>
        <w:t>K § 1 odst. 3</w:t>
      </w:r>
    </w:p>
    <w:p w14:paraId="48BE29AC" w14:textId="77777777" w:rsidR="00A77B3E" w:rsidRDefault="003B266D">
      <w:pPr>
        <w:pStyle w:val="10"/>
      </w:pPr>
      <w:r>
        <w:t>Změna navrhovaná v úvodní části ustanovení je legislativně technického rázu.</w:t>
      </w:r>
    </w:p>
    <w:p w14:paraId="42518C38" w14:textId="77777777" w:rsidR="00A77B3E" w:rsidRDefault="003B266D">
      <w:pPr>
        <w:pStyle w:val="13"/>
      </w:pPr>
      <w:r>
        <w:t>K § 1 odst. 3 písm. a) až c)</w:t>
      </w:r>
    </w:p>
    <w:p w14:paraId="4D7D06ED" w14:textId="77777777" w:rsidR="00A77B3E" w:rsidRDefault="003B266D">
      <w:pPr>
        <w:pStyle w:val="7"/>
      </w:pPr>
      <w:r>
        <w:t>Navrhuje se stanovit úkon „příprava na účastenství v řízení, není-li účastník zastoupen, nebo převzetí a příprava zastoupení“. Tento úkon je obdobou úkonu právní služby „převzetí a příprava zastoupení nebo obhajoby na základě smlouvy o poskytnutí právních služeb“ podle § 11 odst. 1 písm. a) advokátního tarifu. Tímto novým úkonem má být nahrazen dosavadní úkon „příprava účasti na jednání“.</w:t>
      </w:r>
    </w:p>
    <w:p w14:paraId="507F8FFB" w14:textId="77777777" w:rsidR="00A77B3E" w:rsidRDefault="003B266D">
      <w:pPr>
        <w:pStyle w:val="8"/>
      </w:pPr>
      <w:r>
        <w:t>Úkon „příprava na účastenství v řízení“ se týká účastníka, který není vůbec zastoupen – ani tzv. jiným zástupcem (tedy jiným zástupcem než advokátem, notářem nebo patentovým zástupcem). Není přitom rozhodné, zda se jedná o účastníka, na základě jehož procesního úkonu (např. žaloby) bylo řízení zahájeno, anebo zda se naopak jedná o účastníka, proti kterému návrh směřuje.</w:t>
      </w:r>
    </w:p>
    <w:p w14:paraId="48C380E0" w14:textId="77777777" w:rsidR="00A77B3E" w:rsidRDefault="003B266D">
      <w:pPr>
        <w:pStyle w:val="8"/>
      </w:pPr>
      <w:r>
        <w:t>Úkon „převzetí a příprava zastoupení“ se týká účastníka zastoupeného tzv. jiným zástupcem.</w:t>
      </w:r>
    </w:p>
    <w:p w14:paraId="0F33F269" w14:textId="77777777" w:rsidR="00A77B3E" w:rsidRDefault="003B266D">
      <w:pPr>
        <w:pStyle w:val="8"/>
      </w:pPr>
      <w:r>
        <w:t>Výše uvedený úkon podle § 1 odst. 3 písm. a) vyhlášky č. 254/2015 Sb. je úkonem jednorázovým. V řízení náleží zásadně jedna paušální náhrada za úkon podle § 1 odst. 3 písm. a) vyhlášky č. 254/2015 Sb., tedy za „přípravu na účastenství v řízení“, anebo za „převzetí a přípravu zastoupení“.</w:t>
      </w:r>
    </w:p>
    <w:p w14:paraId="56E7623C" w14:textId="77777777" w:rsidR="00A77B3E" w:rsidRDefault="003B266D">
      <w:pPr>
        <w:pStyle w:val="9"/>
      </w:pPr>
      <w:r>
        <w:lastRenderedPageBreak/>
        <w:t xml:space="preserve">Pokud by mělo náležet paušálních náhrad víc – tedy účastník by nebyl zastoupen během celého řízení nebo by měl postupně zástupců více – věc by bylo nutné posoudit obdobně jako v případě posuzování více úkonů právní služby podle § 11 odst. 1 písm. a) advokátního tarifu. Bude tedy nutné věc posoudit na základě kritéria účelnosti podle § 142 odst. 1 o. s. ř. (srov. k tomu např. rozsudek Nejvyššího soudu ze dne 10. března 2022, sen. zn. 29 </w:t>
      </w:r>
      <w:proofErr w:type="spellStart"/>
      <w:r>
        <w:t>ICdo</w:t>
      </w:r>
      <w:proofErr w:type="spellEnd"/>
      <w:r>
        <w:t xml:space="preserve"> 31/2019, odstavec 31 odůvodnění) a v exekučním řízení podle § 87 odst. 2 ex. ř., jde-li o oprávněného, a podle § 142 odst. 1 o. s. ř. ve spojení s § 52 odst. 1 ex. ř., jde-li o povinného nebo výjimečně o jiného účastníka exekučního řízení.</w:t>
      </w:r>
    </w:p>
    <w:p w14:paraId="05B08B91" w14:textId="77777777" w:rsidR="00A77B3E" w:rsidRDefault="003B266D">
      <w:pPr>
        <w:pStyle w:val="13"/>
      </w:pPr>
      <w:r>
        <w:t>K § 2 odst. 1</w:t>
      </w:r>
    </w:p>
    <w:p w14:paraId="60E6DF23" w14:textId="77777777" w:rsidR="00A77B3E" w:rsidRDefault="003B266D">
      <w:pPr>
        <w:pStyle w:val="10"/>
      </w:pPr>
      <w:r>
        <w:t>Navrhuje se terminologická změna shodná se změnou navrhovanou v § 1 odst. 2 (srov. důvodovou zprávu výše).</w:t>
      </w:r>
    </w:p>
    <w:p w14:paraId="140B3B07" w14:textId="77777777" w:rsidR="00A77B3E" w:rsidRDefault="003B266D">
      <w:pPr>
        <w:pStyle w:val="13"/>
      </w:pPr>
      <w:r>
        <w:t>K § 2 odst. 2</w:t>
      </w:r>
    </w:p>
    <w:p w14:paraId="0DE431F2" w14:textId="77777777" w:rsidR="00A77B3E" w:rsidRDefault="003B266D">
      <w:pPr>
        <w:pStyle w:val="7"/>
      </w:pPr>
      <w:r>
        <w:t>V návaznosti na navrhované změny právní úpravy úkonů podle § 1 odst. 3 vyhlášky č. 254/2015 Sb. se též navrhuje doplnit, že § 2 odst. 2 se vztahuje na každý úkon do podání návrhu na zahájení řízení včetně, aby došlo ke sjednocení právní úpravy s advokátním tarifem.</w:t>
      </w:r>
    </w:p>
    <w:p w14:paraId="065CBF73" w14:textId="77777777" w:rsidR="00A77B3E" w:rsidRDefault="003B266D">
      <w:pPr>
        <w:pStyle w:val="9"/>
      </w:pPr>
      <w:r>
        <w:t>Navrhuje se též terminologická změna shodná se změnou navrhovanou v § 1 odst. 2 (srov. důvodovou zprávu výše).</w:t>
      </w:r>
    </w:p>
    <w:p w14:paraId="2F294A89" w14:textId="77777777" w:rsidR="00A77B3E" w:rsidRDefault="003B266D">
      <w:pPr>
        <w:pStyle w:val="13"/>
      </w:pPr>
      <w:r>
        <w:t>K § 2 odst. 3</w:t>
      </w:r>
    </w:p>
    <w:p w14:paraId="5E1D469B" w14:textId="77777777" w:rsidR="00A77B3E" w:rsidRDefault="003B266D">
      <w:pPr>
        <w:pStyle w:val="10"/>
      </w:pPr>
      <w:r>
        <w:t>Navrhuje se zvýšit sazbu paušální náhrady 300 Kč za úkon na 450 Kč za úkon. Výše této sazby tak bude opětovně shodná s výší sazby podle advokátního tarifu (v advokátním tarifu byla naposledy tato sazba paušální náhrady zvýšena vyhláškou č. 258/2024 Sb.). Tato změna se navrhuje za účelem zohlednění vývoje ekonomiky (inflace) a za účelem naplnění zásady rovnosti (čl. 37 odst. 3 Listiny základních práv a svobod). V podrobnostech předkladatel odkazuje na obecnou část důvodové zprávy.</w:t>
      </w:r>
    </w:p>
    <w:p w14:paraId="242A842C" w14:textId="77777777" w:rsidR="00A77B3E" w:rsidRDefault="003B266D">
      <w:pPr>
        <w:pStyle w:val="12"/>
      </w:pPr>
      <w:r>
        <w:t>K čl. II (Přechodné ustanovení)</w:t>
      </w:r>
    </w:p>
    <w:p w14:paraId="0E1D59FD" w14:textId="77777777" w:rsidR="00A77B3E" w:rsidRDefault="003B266D">
      <w:pPr>
        <w:pStyle w:val="7"/>
      </w:pPr>
      <w:r>
        <w:t>Navrhuje se přechodné ustanovení, podle kterého za úkony provedené přede dnem nabytí účinnosti této vyhlášky náleží paušální náhrada podle dosavadních právních předpisů. Jedná se o řešení použité i při novelizací předpisů podobné povahy (např. advokátního tarifu).</w:t>
      </w:r>
    </w:p>
    <w:p w14:paraId="1711F5C3" w14:textId="77777777" w:rsidR="00A77B3E" w:rsidRDefault="003B266D">
      <w:pPr>
        <w:pStyle w:val="9"/>
      </w:pPr>
      <w:r>
        <w:t>Co se týče stanovení data, od kterého by se za úkony přiznávala vyšší paušální náhrada, byl zvažován i postup podobný postupu Nejvyššího soudu, který vyhlášku č. 254/2015 Sb. neaplikoval a namísto toho analogicky aplikoval příslušná ustanovení advokátního tarifu, čímž přiznal navýšení náhrady plošně k 1. 1. 2025. Tento postup však zvolen nebyl. Obecně je třeba uvést, že výše paušální náhrady je spojena s provedeným úkonem, řídí se tak úpravou účinnou v době provedení úkonu. Účastníci mají při učinění vymeze</w:t>
      </w:r>
      <w:r>
        <w:t>ných úkonů legitimní očekávání na stanovenou výši paušální náhrady, a to jak ti účastníci, kteří úkon provádí, tak ti účastníci, kteří případně budou hradit náklady. Ze stejného principu vychází i úpravy zákonných či podzákonných ustanovení předpisů o náhradě nákladů, které navýšení vztahují k okamžiku nabytí účinnosti novelizujícího předpisu; za úkony provedené přede dnem nabytí účinnosti novelizačního předpisu náleží náhrada nákladů podle dosavadního předpisu. Jako příklady lze uvést úpravy advokátního ta</w:t>
      </w:r>
      <w:r>
        <w:t>rifu či rozhodování o výši cestovného při novele předpisů upravujících cestovné (IV. ÚS 2530/12).</w:t>
      </w:r>
    </w:p>
    <w:p w14:paraId="270DEBD2" w14:textId="77777777" w:rsidR="00A77B3E" w:rsidRDefault="003B266D">
      <w:pPr>
        <w:pStyle w:val="12"/>
      </w:pPr>
      <w:r>
        <w:t>K čl. III (</w:t>
      </w:r>
      <w:proofErr w:type="spellStart"/>
      <w:r>
        <w:t>Účinnostní</w:t>
      </w:r>
      <w:proofErr w:type="spellEnd"/>
      <w:r>
        <w:t xml:space="preserve"> ustanovení)</w:t>
      </w:r>
    </w:p>
    <w:p w14:paraId="5C1C90AF" w14:textId="77777777" w:rsidR="00A77B3E" w:rsidRDefault="003B266D">
      <w:pPr>
        <w:pStyle w:val="10"/>
      </w:pPr>
      <w:r>
        <w:t xml:space="preserve">Navrhuje se, aby vyhláška nabyla účinnosti dnem 1. ledna 2027. Bude tak zajištěna dostatečná </w:t>
      </w:r>
      <w:proofErr w:type="spellStart"/>
      <w:r>
        <w:t>legisvakanční</w:t>
      </w:r>
      <w:proofErr w:type="spellEnd"/>
      <w:r>
        <w:t xml:space="preserve"> doba. Nenastala přitom skutečnost, která by odůvodňovala stanovení jiného dne </w:t>
      </w:r>
      <w:r>
        <w:lastRenderedPageBreak/>
        <w:t>nabytí účinnosti, než je 1. leden nebo 1. červenec kalendářního roku, srov. k tomu § 9 odst. 3 zákona č. 222/2016 Sb., o Sbírce zákonů a mezinárodních smluv a o tvorbě právních předpisů vyhlašovaných ve Sbírce zákonů a mezinárodních smluv (zákon o Sbírce zákonů a mezinárodních smluv), ve znění pozdějších předpisů.</w:t>
      </w:r>
    </w:p>
    <w:p w14:paraId="4EE768A8" w14:textId="77777777" w:rsidR="00A77B3E" w:rsidRDefault="00A77B3E">
      <w:pPr>
        <w:pStyle w:val="1"/>
      </w:pPr>
    </w:p>
    <w:sectPr w:rsidR="00A77B3E">
      <w:headerReference w:type="even" r:id="rId6"/>
      <w:headerReference w:type="default" r:id="rId7"/>
      <w:pgSz w:w="12240" w:h="15840"/>
      <w:pgMar w:top="1417" w:right="1417" w:bottom="1417" w:left="1417" w:header="40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1203F" w14:textId="77777777" w:rsidR="003B266D" w:rsidRDefault="003B266D">
      <w:r>
        <w:separator/>
      </w:r>
    </w:p>
  </w:endnote>
  <w:endnote w:type="continuationSeparator" w:id="0">
    <w:p w14:paraId="3BE810CA" w14:textId="77777777" w:rsidR="003B266D" w:rsidRDefault="003B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F0CD" w14:textId="77777777" w:rsidR="003B266D" w:rsidRDefault="003B266D">
      <w:r>
        <w:separator/>
      </w:r>
    </w:p>
  </w:footnote>
  <w:footnote w:type="continuationSeparator" w:id="0">
    <w:p w14:paraId="2D7F775A" w14:textId="77777777" w:rsidR="003B266D" w:rsidRDefault="003B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406"/>
    </w:tblGrid>
    <w:tr w:rsidR="00A61F04" w14:paraId="77429B4C" w14:textId="77777777">
      <w:tc>
        <w:tcPr>
          <w:tcW w:w="0" w:type="auto"/>
        </w:tcPr>
        <w:p w14:paraId="34854205" w14:textId="77777777" w:rsidR="00A61F04" w:rsidRDefault="00A61F04">
          <w:pPr>
            <w:pStyle w:val="HlavickaZlutyText"/>
            <w:jc w:val="center"/>
          </w:pPr>
        </w:p>
      </w:tc>
    </w:tr>
    <w:tr w:rsidR="00A61F04" w14:paraId="0283B4A2" w14:textId="77777777">
      <w:tc>
        <w:tcPr>
          <w:tcW w:w="0" w:type="auto"/>
        </w:tcPr>
        <w:p w14:paraId="514C9883" w14:textId="77777777" w:rsidR="00A61F04" w:rsidRDefault="00A61F04">
          <w:pPr>
            <w:pStyle w:val="Hlavicka"/>
            <w:jc w:val="center"/>
          </w:pPr>
        </w:p>
      </w:tc>
    </w:tr>
  </w:tbl>
  <w:p w14:paraId="11B55291" w14:textId="77777777" w:rsidR="00A61F04" w:rsidRDefault="00A61F04">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406"/>
    </w:tblGrid>
    <w:tr w:rsidR="00A61F04" w14:paraId="0D4AFBC8" w14:textId="77777777">
      <w:tc>
        <w:tcPr>
          <w:tcW w:w="0" w:type="auto"/>
        </w:tcPr>
        <w:p w14:paraId="075CC700" w14:textId="77777777" w:rsidR="00A61F04" w:rsidRDefault="00A61F04">
          <w:pPr>
            <w:pStyle w:val="HlavickaZlutyText"/>
            <w:jc w:val="center"/>
          </w:pPr>
        </w:p>
      </w:tc>
    </w:tr>
    <w:tr w:rsidR="00A61F04" w14:paraId="60B58899" w14:textId="77777777">
      <w:tc>
        <w:tcPr>
          <w:tcW w:w="0" w:type="auto"/>
        </w:tcPr>
        <w:p w14:paraId="10A9E4A7" w14:textId="77777777" w:rsidR="00A61F04" w:rsidRDefault="00A61F04">
          <w:pPr>
            <w:pStyle w:val="Hlavicka"/>
          </w:pPr>
        </w:p>
      </w:tc>
    </w:tr>
  </w:tbl>
  <w:p w14:paraId="2F463CAF" w14:textId="77777777" w:rsidR="00A61F04" w:rsidRDefault="00A61F04">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3B266D"/>
    <w:rsid w:val="009739CD"/>
    <w:rsid w:val="00A61F04"/>
    <w:rsid w:val="00A77B3E"/>
    <w:rsid w:val="00CA2A55"/>
    <w:rsid w:val="00DD26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A622F"/>
  <w15:docId w15:val="{CFEF6DF5-9589-47D0-B39D-55606EB9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lavicka">
    <w:name w:val="Hlavicka"/>
    <w:rPr>
      <w:i/>
    </w:rPr>
  </w:style>
  <w:style w:type="paragraph" w:customStyle="1" w:styleId="HlavickaZlutyText">
    <w:name w:val="HlavickaZlutyText"/>
    <w:rPr>
      <w:sz w:val="18"/>
    </w:rPr>
  </w:style>
  <w:style w:type="paragraph" w:customStyle="1" w:styleId="Variantastart">
    <w:name w:val="Varianta_start"/>
    <w:pPr>
      <w:pBdr>
        <w:top w:val="single" w:sz="8" w:space="0" w:color="800080"/>
      </w:pBdr>
      <w:spacing w:after="100"/>
    </w:pPr>
    <w:rPr>
      <w:b/>
      <w:i/>
      <w:color w:val="800080"/>
    </w:rPr>
  </w:style>
  <w:style w:type="paragraph" w:customStyle="1" w:styleId="Variantakonec">
    <w:name w:val="Varianta_konec"/>
    <w:pPr>
      <w:pBdr>
        <w:bottom w:val="single" w:sz="8" w:space="0" w:color="800080"/>
      </w:pBdr>
      <w:spacing w:after="100"/>
    </w:pPr>
    <w:rPr>
      <w:b/>
      <w:i/>
      <w:color w:val="800080"/>
    </w:rPr>
  </w:style>
  <w:style w:type="paragraph" w:customStyle="1" w:styleId="Ucinnoststart">
    <w:name w:val="Ucinnost_start"/>
    <w:pPr>
      <w:pBdr>
        <w:top w:val="single" w:sz="8" w:space="0" w:color="8B0000"/>
      </w:pBdr>
      <w:spacing w:after="100"/>
    </w:pPr>
    <w:rPr>
      <w:b/>
      <w:i/>
      <w:color w:val="8B0000"/>
    </w:rPr>
  </w:style>
  <w:style w:type="paragraph" w:customStyle="1" w:styleId="Ucinnostkonec">
    <w:name w:val="Ucinnost_konec"/>
    <w:pPr>
      <w:pBdr>
        <w:bottom w:val="single" w:sz="8" w:space="0" w:color="8B0000"/>
      </w:pBdr>
      <w:spacing w:after="100"/>
    </w:pPr>
    <w:rPr>
      <w:b/>
      <w:i/>
      <w:color w:val="8B0000"/>
    </w:rPr>
  </w:style>
  <w:style w:type="paragraph" w:customStyle="1" w:styleId="Celex">
    <w:name w:val="Celex"/>
    <w:pPr>
      <w:spacing w:before="120" w:after="120"/>
    </w:pPr>
    <w:rPr>
      <w:i/>
    </w:rPr>
  </w:style>
  <w:style w:type="paragraph" w:customStyle="1" w:styleId="Pripominkystart">
    <w:name w:val="Pripominky_start"/>
    <w:pPr>
      <w:pBdr>
        <w:top w:val="single" w:sz="8" w:space="0" w:color="87CEFA"/>
      </w:pBdr>
      <w:spacing w:after="100"/>
      <w:jc w:val="right"/>
    </w:pPr>
    <w:rPr>
      <w:b/>
      <w:i/>
      <w:color w:val="87CEFA"/>
    </w:rPr>
  </w:style>
  <w:style w:type="paragraph" w:customStyle="1" w:styleId="1">
    <w:name w:val="1"/>
    <w:pPr>
      <w:spacing w:before="11"/>
    </w:pPr>
    <w:rPr>
      <w:sz w:val="0"/>
    </w:rPr>
  </w:style>
  <w:style w:type="paragraph" w:customStyle="1" w:styleId="2">
    <w:name w:val="2"/>
    <w:pPr>
      <w:spacing w:before="57"/>
      <w:ind w:right="227"/>
      <w:jc w:val="right"/>
    </w:pPr>
    <w:rPr>
      <w:b/>
      <w:sz w:val="40"/>
    </w:rPr>
  </w:style>
  <w:style w:type="paragraph" w:customStyle="1" w:styleId="3">
    <w:name w:val="3"/>
    <w:pPr>
      <w:spacing w:after="340"/>
      <w:ind w:left="680" w:right="680"/>
      <w:jc w:val="center"/>
    </w:pPr>
    <w:rPr>
      <w:b/>
      <w:sz w:val="44"/>
    </w:rPr>
  </w:style>
  <w:style w:type="paragraph" w:customStyle="1" w:styleId="4">
    <w:name w:val="4"/>
    <w:pPr>
      <w:spacing w:before="340" w:after="113"/>
      <w:ind w:left="850" w:right="850"/>
      <w:jc w:val="center"/>
    </w:pPr>
    <w:rPr>
      <w:b/>
      <w:sz w:val="34"/>
    </w:rPr>
  </w:style>
  <w:style w:type="paragraph" w:customStyle="1" w:styleId="5">
    <w:name w:val="5"/>
    <w:pPr>
      <w:spacing w:before="510"/>
      <w:ind w:left="850" w:right="850"/>
      <w:jc w:val="center"/>
    </w:pPr>
    <w:rPr>
      <w:b/>
      <w:sz w:val="32"/>
    </w:rPr>
  </w:style>
  <w:style w:type="paragraph" w:customStyle="1" w:styleId="6">
    <w:name w:val="6"/>
    <w:pPr>
      <w:spacing w:before="283" w:after="113"/>
      <w:ind w:left="340" w:hanging="340"/>
    </w:pPr>
    <w:rPr>
      <w:b/>
      <w:sz w:val="26"/>
    </w:rPr>
  </w:style>
  <w:style w:type="paragraph" w:customStyle="1" w:styleId="Varianta6start">
    <w:name w:val="Varianta_6_start"/>
    <w:pPr>
      <w:pBdr>
        <w:top w:val="single" w:sz="8" w:space="0" w:color="800080"/>
      </w:pBdr>
      <w:spacing w:after="100"/>
      <w:ind w:left="340"/>
    </w:pPr>
    <w:rPr>
      <w:b/>
      <w:i/>
      <w:color w:val="800080"/>
    </w:rPr>
  </w:style>
  <w:style w:type="paragraph" w:customStyle="1" w:styleId="Varianta6konec">
    <w:name w:val="Varianta_6_konec"/>
    <w:pPr>
      <w:pBdr>
        <w:bottom w:val="single" w:sz="8" w:space="0" w:color="800080"/>
      </w:pBdr>
      <w:spacing w:after="100"/>
      <w:ind w:left="340"/>
    </w:pPr>
    <w:rPr>
      <w:b/>
      <w:i/>
      <w:color w:val="800080"/>
    </w:rPr>
  </w:style>
  <w:style w:type="paragraph" w:customStyle="1" w:styleId="Ucinnost6start">
    <w:name w:val="Ucinnost_6_start"/>
    <w:pPr>
      <w:pBdr>
        <w:top w:val="single" w:sz="8" w:space="0" w:color="8B0000"/>
      </w:pBdr>
      <w:spacing w:after="100"/>
      <w:ind w:left="340"/>
    </w:pPr>
    <w:rPr>
      <w:b/>
      <w:i/>
      <w:color w:val="8B0000"/>
    </w:rPr>
  </w:style>
  <w:style w:type="paragraph" w:customStyle="1" w:styleId="Ucinnost6konec">
    <w:name w:val="Ucinnost_6_konec"/>
    <w:pPr>
      <w:pBdr>
        <w:bottom w:val="single" w:sz="8" w:space="0" w:color="8B0000"/>
      </w:pBdr>
      <w:spacing w:after="100"/>
      <w:ind w:left="340"/>
    </w:pPr>
    <w:rPr>
      <w:b/>
      <w:i/>
      <w:color w:val="8B0000"/>
    </w:rPr>
  </w:style>
  <w:style w:type="paragraph" w:customStyle="1" w:styleId="Pripominky6start">
    <w:name w:val="Pripominky_6_start"/>
    <w:pPr>
      <w:pBdr>
        <w:top w:val="single" w:sz="8" w:space="0" w:color="87CEFA"/>
      </w:pBdr>
      <w:spacing w:after="100"/>
      <w:ind w:left="340"/>
      <w:jc w:val="right"/>
    </w:pPr>
    <w:rPr>
      <w:b/>
      <w:i/>
      <w:color w:val="87CEFA"/>
    </w:rPr>
  </w:style>
  <w:style w:type="paragraph" w:customStyle="1" w:styleId="7">
    <w:name w:val="7"/>
    <w:pPr>
      <w:spacing w:after="113"/>
      <w:jc w:val="both"/>
    </w:pPr>
    <w:rPr>
      <w:sz w:val="24"/>
    </w:rPr>
  </w:style>
  <w:style w:type="paragraph" w:customStyle="1" w:styleId="8">
    <w:name w:val="8"/>
    <w:pPr>
      <w:spacing w:before="113" w:after="113"/>
      <w:jc w:val="both"/>
    </w:pPr>
    <w:rPr>
      <w:sz w:val="24"/>
    </w:rPr>
  </w:style>
  <w:style w:type="paragraph" w:customStyle="1" w:styleId="9">
    <w:name w:val="9"/>
    <w:pPr>
      <w:spacing w:before="113" w:after="57"/>
      <w:jc w:val="both"/>
    </w:pPr>
    <w:rPr>
      <w:sz w:val="24"/>
    </w:rPr>
  </w:style>
  <w:style w:type="paragraph" w:customStyle="1" w:styleId="10">
    <w:name w:val="10"/>
    <w:pPr>
      <w:spacing w:after="57"/>
      <w:jc w:val="both"/>
    </w:pPr>
    <w:rPr>
      <w:sz w:val="24"/>
    </w:rPr>
  </w:style>
  <w:style w:type="paragraph" w:customStyle="1" w:styleId="11">
    <w:name w:val="11"/>
    <w:pPr>
      <w:spacing w:before="170" w:after="57"/>
      <w:ind w:left="510" w:hanging="510"/>
    </w:pPr>
    <w:rPr>
      <w:b/>
      <w:sz w:val="26"/>
    </w:rPr>
  </w:style>
  <w:style w:type="paragraph" w:customStyle="1" w:styleId="Varianta11start">
    <w:name w:val="Varianta_11_start"/>
    <w:pPr>
      <w:pBdr>
        <w:top w:val="single" w:sz="8" w:space="0" w:color="800080"/>
      </w:pBdr>
      <w:spacing w:after="100"/>
      <w:ind w:left="510"/>
    </w:pPr>
    <w:rPr>
      <w:b/>
      <w:i/>
      <w:color w:val="800080"/>
    </w:rPr>
  </w:style>
  <w:style w:type="paragraph" w:customStyle="1" w:styleId="Varianta11konec">
    <w:name w:val="Varianta_11_konec"/>
    <w:pPr>
      <w:pBdr>
        <w:bottom w:val="single" w:sz="8" w:space="0" w:color="800080"/>
      </w:pBdr>
      <w:spacing w:after="100"/>
      <w:ind w:left="510"/>
    </w:pPr>
    <w:rPr>
      <w:b/>
      <w:i/>
      <w:color w:val="800080"/>
    </w:rPr>
  </w:style>
  <w:style w:type="paragraph" w:customStyle="1" w:styleId="Ucinnost11start">
    <w:name w:val="Ucinnost_11_start"/>
    <w:pPr>
      <w:pBdr>
        <w:top w:val="single" w:sz="8" w:space="0" w:color="8B0000"/>
      </w:pBdr>
      <w:spacing w:after="100"/>
      <w:ind w:left="510"/>
    </w:pPr>
    <w:rPr>
      <w:b/>
      <w:i/>
      <w:color w:val="8B0000"/>
    </w:rPr>
  </w:style>
  <w:style w:type="paragraph" w:customStyle="1" w:styleId="Ucinnost11konec">
    <w:name w:val="Ucinnost_11_konec"/>
    <w:pPr>
      <w:pBdr>
        <w:bottom w:val="single" w:sz="8" w:space="0" w:color="8B0000"/>
      </w:pBdr>
      <w:spacing w:after="100"/>
      <w:ind w:left="510"/>
    </w:pPr>
    <w:rPr>
      <w:b/>
      <w:i/>
      <w:color w:val="8B0000"/>
    </w:rPr>
  </w:style>
  <w:style w:type="paragraph" w:customStyle="1" w:styleId="Pripominky11start">
    <w:name w:val="Pripominky_11_start"/>
    <w:pPr>
      <w:pBdr>
        <w:top w:val="single" w:sz="8" w:space="0" w:color="87CEFA"/>
      </w:pBdr>
      <w:spacing w:after="100"/>
      <w:ind w:left="510"/>
      <w:jc w:val="right"/>
    </w:pPr>
    <w:rPr>
      <w:b/>
      <w:i/>
      <w:color w:val="87CEFA"/>
    </w:rPr>
  </w:style>
  <w:style w:type="paragraph" w:customStyle="1" w:styleId="12">
    <w:name w:val="12"/>
    <w:pPr>
      <w:spacing w:before="170"/>
      <w:ind w:left="850" w:right="850"/>
      <w:jc w:val="center"/>
    </w:pPr>
    <w:rPr>
      <w:b/>
      <w:sz w:val="32"/>
    </w:rPr>
  </w:style>
  <w:style w:type="paragraph" w:customStyle="1" w:styleId="13">
    <w:name w:val="13"/>
    <w:pPr>
      <w:spacing w:before="57"/>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3349</Words>
  <Characters>19764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Důvodová zpráva</dc:title>
  <dc:creator>e-Legislativa</dc:creator>
  <cp:lastModifiedBy>Balabánová Klára</cp:lastModifiedBy>
  <cp:revision>2</cp:revision>
  <dcterms:created xsi:type="dcterms:W3CDTF">2026-09-03T11:19:00Z</dcterms:created>
  <dcterms:modified xsi:type="dcterms:W3CDTF">2026-09-03T11:19:00Z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82536b41-2384-42dc-820a-562661ddc9db:2474</vt:lpwstr>
  </property>
  <property fmtid="{D5CDD505-2E9C-101B-9397-08002B2CF9AE}" pid="3" name="GenerovaneZEditoru">
    <vt:lpwstr>true</vt:lpwstr>
  </property>
  <property fmtid="{D5CDD505-2E9C-101B-9397-08002B2CF9AE}" pid="4" name="IdPodprostoru">
    <vt:lpwstr/>
  </property>
  <property fmtid="{D5CDD505-2E9C-101B-9397-08002B2CF9AE}" pid="5" name="JeUzavrena">
    <vt:lpwstr/>
  </property>
  <property fmtid="{D5CDD505-2E9C-101B-9397-08002B2CF9AE}" pid="6" name="PozadavekId">
    <vt:lpwstr>39126a6a-7e81-4e34-9a9d-4e22c39b7ee4</vt:lpwstr>
  </property>
  <property fmtid="{D5CDD505-2E9C-101B-9397-08002B2CF9AE}" pid="7" name="Verze aplikace">
    <vt:lpwstr>v1.0-07.35.HF6</vt:lpwstr>
  </property>
  <property fmtid="{D5CDD505-2E9C-101B-9397-08002B2CF9AE}" pid="8" name="VrstvaNavrhuId">
    <vt:lpwstr/>
  </property>
  <property fmtid="{D5CDD505-2E9C-101B-9397-08002B2CF9AE}" pid="9" name="VrstvaObsahuId">
    <vt:lpwstr/>
  </property>
</Properties>
</file>