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.0 -->
  <w:body>
    <w:p w:rsidR="00A77B3E"/>
    <w:p w:rsidR="00A77B3E">
      <w:pPr>
        <w:pStyle w:val="1"/>
      </w:pPr>
    </w:p>
    <w:p w:rsidR="00A77B3E">
      <w:pPr>
        <w:pStyle w:val="1"/>
      </w:pPr>
    </w:p>
    <w:p w:rsidR="00A77B3E">
      <w:pPr>
        <w:pStyle w:val="2"/>
      </w:pPr>
      <w:r>
        <w:t>…</w:t>
      </w:r>
    </w:p>
    <w:p w:rsidR="00A77B3E">
      <w:pPr>
        <w:pStyle w:val="3"/>
      </w:pPr>
      <w:r>
        <w:t>NAŘÍZENÍ VLÁDY</w:t>
      </w:r>
    </w:p>
    <w:p w:rsidR="00A77B3E">
      <w:pPr>
        <w:pStyle w:val="4"/>
      </w:pPr>
      <w:r>
        <w:t xml:space="preserve">ze dne …, </w:t>
      </w:r>
    </w:p>
    <w:p w:rsidR="00A77B3E">
      <w:pPr>
        <w:pStyle w:val="5"/>
      </w:pPr>
      <w:r>
        <w:t>kterým se mění nařízení vlády č. 467/2009 Sb., kterým se pro účely trestního zákoníku stanoví, co se považuje za jedy a jaké je množství větší než malé u omamných látek, psychotropních látek, přípravků je obsahujících a jedů</w:t>
      </w:r>
    </w:p>
    <w:p w:rsidR="00A77B3E">
      <w:pPr>
        <w:pStyle w:val="6"/>
      </w:pPr>
      <w:r>
        <w:t>Vláda nařizuje podle § 289 odst. 2 zákona č. 40/2009 Sb., trestní zákoník:</w:t>
      </w:r>
    </w:p>
    <w:p w:rsidR="00A77B3E">
      <w:pPr>
        <w:pStyle w:val="1"/>
      </w:pPr>
    </w:p>
    <w:p w:rsidR="00A77B3E">
      <w:pPr>
        <w:pStyle w:val="7"/>
      </w:pPr>
      <w:r>
        <w:t>Čl. I</w:t>
      </w:r>
    </w:p>
    <w:p w:rsidR="00A77B3E">
      <w:pPr>
        <w:pStyle w:val="8"/>
      </w:pPr>
      <w:r>
        <w:t>Nařízení vlády č. 467/2009 Sb., kterým se pro účely trestního zákoníku stanoví, co se považuje za jedy a jaké je množství větší než malé u omamných látek, psychotropních látek, přípravků je obsahujících a jedů, ve znění nařízení vlády č. 4/2012 Sb. a nálezu Ústavního soudu, vyhlášeného pod č. 259/2013 Sb., se mění takto:</w:t>
      </w:r>
    </w:p>
    <w:p w:rsidR="00A77B3E">
      <w:pPr>
        <w:pStyle w:val="9"/>
      </w:pPr>
      <w:r>
        <w:t>1.</w:t>
      </w:r>
      <w:r>
        <w:t>   V tabulce přílohy č. 1 se řádek, ve kterém je ve sloupci s názvem „Název vysoce toxické chemické látky“ uvedeno „Chlorid rtuťnatý“, zrušuje.</w:t>
      </w:r>
    </w:p>
    <w:p w:rsidR="00A77B3E">
      <w:pPr>
        <w:pStyle w:val="10"/>
      </w:pPr>
      <w:r>
        <w:t>2.</w:t>
      </w:r>
      <w:r>
        <w:t>   V tabulce přílohy č. 1 se řádek, ve kterém je ve sloupci s názvem „Název vysoce toxické chemické látky“ uvedeno „Rtuť, anorganické sloučeniny (s výjimkou sirníku rtuťnatého)“, zrušuje.</w:t>
      </w:r>
    </w:p>
    <w:p w:rsidR="00A77B3E">
      <w:pPr>
        <w:pStyle w:val="10"/>
      </w:pPr>
      <w:r>
        <w:t>3.</w:t>
      </w:r>
      <w:r>
        <w:t>   V tabulce přílohy č. 1 se řádek, ve kterém je ve sloupci s názvem „Název vysoce toxické chemické látky“ uvedeno „Rtuť“, zrušuje.</w:t>
      </w:r>
    </w:p>
    <w:p w:rsidR="00A77B3E">
      <w:pPr>
        <w:pStyle w:val="11"/>
      </w:pPr>
      <w:r>
        <w:t>4.</w:t>
      </w:r>
      <w:r>
        <w:t>   V tabulce přílohy č. 1 se řádek, ve kterém je ve sloupci s názvem „Název vysoce toxické chemické látky“ uvedeno „Rtuť, organické sloučeniny“, zrušuje.</w:t>
      </w:r>
    </w:p>
    <w:p w:rsidR="00A77B3E">
      <w:pPr>
        <w:pStyle w:val="7"/>
      </w:pPr>
      <w:r>
        <w:t>Čl. II</w:t>
      </w:r>
    </w:p>
    <w:p w:rsidR="00A77B3E">
      <w:pPr>
        <w:pStyle w:val="12"/>
      </w:pPr>
      <w:r>
        <w:t>Účinnost</w:t>
      </w:r>
    </w:p>
    <w:p w:rsidR="00A77B3E">
      <w:pPr>
        <w:pStyle w:val="1"/>
      </w:pPr>
    </w:p>
    <w:p w:rsidR="00A77B3E">
      <w:pPr>
        <w:pStyle w:val="8"/>
      </w:pPr>
      <w:r>
        <w:t>Toto nařízení nabývá účinnosti prvním dnem kalendářního měsíce následujícího po dni jeho vyhlášení.</w:t>
      </w:r>
    </w:p>
    <w:p w:rsidR="00A77B3E">
      <w:pPr>
        <w:pStyle w:val="1"/>
      </w:pPr>
    </w:p>
    <w:sectPr>
      <w:headerReference w:type="even" r:id="rId4"/>
      <w:headerReference w:type="default" r:id="rId5"/>
      <w:headerReference w:type="first" r:id="rId6"/>
      <w:pgSz w:w="12240" w:h="15840"/>
      <w:pgMar w:top="1417" w:right="1417" w:bottom="1417" w:left="1417" w:header="400" w:footer="708" w:gutter="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1881"/>
      <w:gridCol w:w="2822"/>
      <w:gridCol w:w="2822"/>
      <w:gridCol w:w="1881"/>
    </w:tblGrid>
    <w:tr>
      <w:tblPrEx>
        <w:tblW w:w="5000" w:type="pct"/>
      </w:tblPrEx>
      <w:tc>
        <w:tcPr>
          <w:gridSpan w:val="4"/>
        </w:tcPr>
        <w:p>
          <w:pPr>
            <w:pStyle w:val="HlavickaZlutyText"/>
            <w:jc w:val="center"/>
          </w:pPr>
        </w:p>
      </w:tc>
    </w:tr>
    <w:tr>
      <w:tblPrEx>
        <w:tblW w:w="5000" w:type="pct"/>
        <w:tblBorders>
          <w:bottom w:val="single" w:sz="12" w:space="0" w:color="000000"/>
        </w:tblBorders>
      </w:tblPrEx>
      <w:tc>
        <w:tcPr>
          <w:tcW w:w="1000" w:type="pct"/>
        </w:tcPr>
        <w:p>
          <w:pPr>
            <w:pStyle w:val="Hlavicka"/>
            <w:jc w:val="left"/>
          </w:pPr>
          <w:r>
            <w:t xml:space="preserve">strana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00" w:type="pct"/>
          <w:gridSpan w:val="2"/>
        </w:tcPr>
        <w:p>
          <w:pPr>
            <w:pStyle w:val="Hlavicka"/>
            <w:jc w:val="center"/>
          </w:pPr>
          <w:r>
            <w:t>Návrh aktu</w:t>
          </w:r>
        </w:p>
      </w:tc>
      <w:tc>
        <w:tcPr>
          <w:tcW w:w="1000" w:type="pct"/>
        </w:tcPr>
        <w:p>
          <w:pPr>
            <w:pStyle w:val="Hlavicka"/>
            <w:jc w:val="right"/>
          </w:pPr>
        </w:p>
      </w:tc>
    </w:tr>
    <w:tr>
      <w:tblPrEx>
        <w:tblW w:w="5000" w:type="pct"/>
      </w:tblPrEx>
      <w:tc>
        <w:tcPr>
          <w:tcW w:w="2500" w:type="pct"/>
          <w:gridSpan w:val="2"/>
        </w:tcPr>
        <w:p>
          <w:pPr>
            <w:pStyle w:val="Hlavicka"/>
            <w:jc w:val="left"/>
          </w:pPr>
          <w:r>
            <w:t>Uzavřená verze: 2026-0075-002-TVO</w:t>
          </w:r>
        </w:p>
      </w:tc>
      <w:tc>
        <w:tcPr>
          <w:tcW w:w="2500" w:type="pct"/>
          <w:gridSpan w:val="2"/>
        </w:tcPr>
        <w:p>
          <w:pPr>
            <w:pStyle w:val="Hlavicka"/>
            <w:jc w:val="right"/>
          </w:pPr>
        </w:p>
      </w:tc>
    </w:tr>
  </w:tbl>
  <w:p>
    <w:pPr>
      <w:pStyle w:val="Hlavic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1881"/>
      <w:gridCol w:w="2822"/>
      <w:gridCol w:w="2822"/>
      <w:gridCol w:w="1881"/>
    </w:tblGrid>
    <w:tr>
      <w:tblPrEx>
        <w:tblW w:w="5000" w:type="pct"/>
      </w:tblPrEx>
      <w:tc>
        <w:tcPr>
          <w:tcW w:w="2500" w:type="pct"/>
          <w:gridSpan w:val="4"/>
        </w:tcPr>
        <w:p>
          <w:pPr>
            <w:pStyle w:val="HlavickaZlutyText"/>
            <w:jc w:val="center"/>
          </w:pPr>
        </w:p>
      </w:tc>
    </w:tr>
    <w:tr>
      <w:tblPrEx>
        <w:tblW w:w="5000" w:type="pct"/>
        <w:tblBorders>
          <w:bottom w:val="single" w:sz="12" w:space="0" w:color="000000"/>
        </w:tblBorders>
      </w:tblPrEx>
      <w:tc>
        <w:tcPr>
          <w:tcW w:w="1000" w:type="pct"/>
        </w:tcPr>
        <w:p>
          <w:pPr>
            <w:pStyle w:val="Hlavicka"/>
            <w:jc w:val="left"/>
          </w:pPr>
        </w:p>
      </w:tc>
      <w:tc>
        <w:tcPr>
          <w:tcW w:w="3000" w:type="pct"/>
          <w:gridSpan w:val="2"/>
        </w:tcPr>
        <w:p>
          <w:pPr>
            <w:pStyle w:val="Hlavicka"/>
            <w:jc w:val="center"/>
          </w:pPr>
          <w:r>
            <w:t>Návrh aktu</w:t>
          </w:r>
        </w:p>
      </w:tc>
      <w:tc>
        <w:tcPr>
          <w:tcW w:w="1000" w:type="pct"/>
        </w:tcPr>
        <w:p>
          <w:pPr>
            <w:pStyle w:val="Hlavicka"/>
            <w:jc w:val="right"/>
          </w:pPr>
          <w:r>
            <w:t xml:space="preserve">strana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  <w:tr>
      <w:tblPrEx>
        <w:tblW w:w="5000" w:type="pct"/>
      </w:tblPrEx>
      <w:tc>
        <w:tcPr>
          <w:tcW w:w="2500" w:type="pct"/>
          <w:gridSpan w:val="2"/>
        </w:tcPr>
        <w:p>
          <w:pPr>
            <w:pStyle w:val="Hlavicka"/>
            <w:jc w:val="left"/>
          </w:pPr>
        </w:p>
      </w:tc>
      <w:tc>
        <w:tcPr>
          <w:tcW w:w="2500" w:type="pct"/>
          <w:gridSpan w:val="2"/>
        </w:tcPr>
        <w:p>
          <w:pPr>
            <w:pStyle w:val="Hlavicka"/>
            <w:jc w:val="right"/>
          </w:pPr>
          <w:r>
            <w:t>Uzavřená verze: 2026-0075-002-TVO</w:t>
          </w:r>
        </w:p>
      </w:tc>
    </w:tr>
  </w:tbl>
  <w:p>
    <w:pPr>
      <w:pStyle w:val="Hlavic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9406"/>
    </w:tblGrid>
    <w:tr>
      <w:tblPrEx>
        <w:tblW w:w="5000" w:type="pct"/>
      </w:tblPrEx>
      <w:tc>
        <w:tcPr/>
        <w:p>
          <w:pPr>
            <w:pStyle w:val="HlavickaZlutyText"/>
            <w:jc w:val="center"/>
          </w:pPr>
        </w:p>
      </w:tc>
    </w:tr>
    <w:tr>
      <w:tblPrEx>
        <w:tblW w:w="5000" w:type="pct"/>
      </w:tblPrEx>
      <w:tc>
        <w:tcPr/>
        <w:p>
          <w:pPr>
            <w:pStyle w:val="Hlavicka"/>
            <w:jc w:val="right"/>
          </w:pPr>
        </w:p>
      </w:tc>
    </w:tr>
  </w:tbl>
  <w:p>
    <w:pPr>
      <w:pStyle w:val="Hlavic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evenAndOddHeader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lavicka">
    <w:name w:val="Hlavicka"/>
    <w:rPr>
      <w:i/>
      <w:sz w:val="20"/>
    </w:rPr>
  </w:style>
  <w:style w:type="paragraph" w:customStyle="1" w:styleId="HlavickaZlutyText">
    <w:name w:val="HlavickaZlutyText"/>
    <w:rPr>
      <w:i w:val="0"/>
      <w:sz w:val="18"/>
    </w:rPr>
  </w:style>
  <w:style w:type="paragraph" w:customStyle="1" w:styleId="Variantastart">
    <w:name w:val="Varianta_start"/>
    <w:pPr>
      <w:pBdr>
        <w:top w:val="single" w:sz="8" w:space="0" w:color="800080"/>
      </w:pBdr>
      <w:spacing w:before="0" w:after="10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Variantakonec">
    <w:name w:val="Varianta_konec"/>
    <w:pPr>
      <w:pBdr>
        <w:bottom w:val="single" w:sz="8" w:space="0" w:color="800080"/>
      </w:pBdr>
      <w:spacing w:before="0" w:after="10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Ucinnoststart">
    <w:name w:val="Ucinnost_start"/>
    <w:pPr>
      <w:pBdr>
        <w:top w:val="single" w:sz="8" w:space="0" w:color="8B0000"/>
      </w:pBdr>
      <w:spacing w:before="0" w:after="10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Ucinnostkonec">
    <w:name w:val="Ucinnost_konec"/>
    <w:pPr>
      <w:pBdr>
        <w:bottom w:val="single" w:sz="8" w:space="0" w:color="8B0000"/>
      </w:pBdr>
      <w:spacing w:before="0" w:after="10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Celex">
    <w:name w:val="Celex"/>
    <w:pPr>
      <w:spacing w:before="120" w:after="120"/>
      <w:jc w:val="left"/>
    </w:pPr>
    <w:rPr>
      <w:rFonts w:ascii="Times New Roman" w:eastAsia="Times New Roman" w:hAnsi="Times New Roman" w:cs="Times New Roman"/>
      <w:i/>
      <w:sz w:val="20"/>
    </w:rPr>
  </w:style>
  <w:style w:type="paragraph" w:customStyle="1" w:styleId="Pripominkystart">
    <w:name w:val="Pripominky_start"/>
    <w:pPr>
      <w:pBdr>
        <w:top w:val="single" w:sz="8" w:space="0" w:color="87CEFA"/>
      </w:pBdr>
      <w:spacing w:before="0" w:after="100"/>
      <w:jc w:val="right"/>
    </w:pPr>
    <w:rPr>
      <w:rFonts w:ascii="Times New Roman" w:eastAsia="Times New Roman" w:hAnsi="Times New Roman" w:cs="Times New Roman"/>
      <w:b/>
      <w:i/>
      <w:color w:val="87CEFA"/>
      <w:sz w:val="20"/>
    </w:rPr>
  </w:style>
  <w:style w:type="paragraph" w:customStyle="1" w:styleId="1">
    <w:name w:val="1"/>
    <w:pPr>
      <w:spacing w:before="11" w:after="0"/>
      <w:ind w:right="0"/>
      <w:jc w:val="left"/>
    </w:pPr>
    <w:rPr>
      <w:rFonts w:ascii="Times New Roman" w:eastAsia="Times New Roman" w:hAnsi="Times New Roman" w:cs="Times New Roman"/>
      <w:sz w:val="0"/>
    </w:rPr>
  </w:style>
  <w:style w:type="paragraph" w:customStyle="1" w:styleId="2">
    <w:name w:val="2"/>
    <w:pPr>
      <w:spacing w:before="57" w:after="227"/>
      <w:ind w:right="0"/>
      <w:jc w:val="center"/>
    </w:pPr>
    <w:rPr>
      <w:rFonts w:ascii="Times New Roman" w:eastAsia="Times New Roman" w:hAnsi="Times New Roman" w:cs="Times New Roman"/>
      <w:b/>
      <w:sz w:val="32"/>
    </w:rPr>
  </w:style>
  <w:style w:type="paragraph" w:customStyle="1" w:styleId="3">
    <w:name w:val="3"/>
    <w:pPr>
      <w:spacing w:before="0" w:after="0"/>
      <w:ind w:left="680" w:right="680"/>
      <w:jc w:val="center"/>
    </w:pPr>
    <w:rPr>
      <w:rFonts w:ascii="Times New Roman" w:eastAsia="Times New Roman" w:hAnsi="Times New Roman" w:cs="Times New Roman"/>
      <w:b/>
      <w:caps/>
      <w:sz w:val="32"/>
    </w:rPr>
  </w:style>
  <w:style w:type="paragraph" w:customStyle="1" w:styleId="4">
    <w:name w:val="4"/>
    <w:pPr>
      <w:spacing w:before="0" w:after="170"/>
      <w:ind w:left="850" w:right="850"/>
      <w:jc w:val="center"/>
    </w:pPr>
    <w:rPr>
      <w:rFonts w:ascii="Times New Roman" w:eastAsia="Times New Roman" w:hAnsi="Times New Roman" w:cs="Times New Roman"/>
      <w:b/>
      <w:sz w:val="28"/>
    </w:rPr>
  </w:style>
  <w:style w:type="paragraph" w:customStyle="1" w:styleId="5">
    <w:name w:val="5"/>
    <w:pPr>
      <w:spacing w:before="340" w:after="113"/>
      <w:ind w:left="850" w:right="850"/>
      <w:jc w:val="center"/>
    </w:pPr>
    <w:rPr>
      <w:rFonts w:ascii="Times New Roman" w:eastAsia="Times New Roman" w:hAnsi="Times New Roman" w:cs="Times New Roman"/>
      <w:b/>
      <w:sz w:val="34"/>
    </w:rPr>
  </w:style>
  <w:style w:type="paragraph" w:customStyle="1" w:styleId="6">
    <w:name w:val="6"/>
    <w:pPr>
      <w:spacing w:before="283" w:after="340"/>
      <w:ind w:right="0"/>
      <w:jc w:val="left"/>
    </w:pPr>
    <w:rPr>
      <w:rFonts w:ascii="Times New Roman" w:eastAsia="Times New Roman" w:hAnsi="Times New Roman" w:cs="Times New Roman"/>
      <w:sz w:val="30"/>
    </w:rPr>
  </w:style>
  <w:style w:type="paragraph" w:customStyle="1" w:styleId="7">
    <w:name w:val="7"/>
    <w:pPr>
      <w:overflowPunct/>
      <w:spacing w:before="227" w:after="113"/>
      <w:ind w:left="0" w:right="0" w:firstLine="0"/>
      <w:jc w:val="center"/>
    </w:pPr>
    <w:rPr>
      <w:rFonts w:ascii="Times New Roman" w:eastAsia="Times New Roman" w:hAnsi="Times New Roman" w:cs="Times New Roman"/>
      <w:sz w:val="28"/>
    </w:rPr>
  </w:style>
  <w:style w:type="paragraph" w:customStyle="1" w:styleId="8">
    <w:name w:val="8"/>
    <w:pPr>
      <w:spacing w:before="0" w:after="57"/>
      <w:ind w:right="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9">
    <w:name w:val="9"/>
    <w:pPr>
      <w:overflowPunct/>
      <w:spacing w:before="0" w:after="28"/>
      <w:ind w:left="340" w:right="0" w:hanging="34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Varianta9start">
    <w:name w:val="Varianta_9_start"/>
    <w:pPr>
      <w:pBdr>
        <w:top w:val="single" w:sz="8" w:space="0" w:color="800080"/>
      </w:pBdr>
      <w:spacing w:before="0" w:after="100"/>
      <w:ind w:left="34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Varianta9konec">
    <w:name w:val="Varianta_9_konec"/>
    <w:pPr>
      <w:pBdr>
        <w:bottom w:val="single" w:sz="8" w:space="0" w:color="800080"/>
      </w:pBdr>
      <w:spacing w:before="0" w:after="100"/>
      <w:ind w:left="34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Ucinnost9start">
    <w:name w:val="Ucinnost_9_start"/>
    <w:pPr>
      <w:pBdr>
        <w:top w:val="single" w:sz="8" w:space="0" w:color="8B0000"/>
      </w:pBdr>
      <w:spacing w:before="0" w:after="100"/>
      <w:ind w:left="34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Ucinnost9konec">
    <w:name w:val="Ucinnost_9_konec"/>
    <w:pPr>
      <w:pBdr>
        <w:bottom w:val="single" w:sz="8" w:space="0" w:color="8B0000"/>
      </w:pBdr>
      <w:spacing w:before="0" w:after="100"/>
      <w:ind w:left="34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Pripominky9start">
    <w:name w:val="Pripominky_9_start"/>
    <w:pPr>
      <w:pBdr>
        <w:top w:val="single" w:sz="8" w:space="0" w:color="87CEFA"/>
      </w:pBdr>
      <w:spacing w:before="0" w:after="100"/>
      <w:ind w:left="340"/>
      <w:jc w:val="right"/>
    </w:pPr>
    <w:rPr>
      <w:rFonts w:ascii="Times New Roman" w:eastAsia="Times New Roman" w:hAnsi="Times New Roman" w:cs="Times New Roman"/>
      <w:b/>
      <w:i/>
      <w:color w:val="87CEFA"/>
      <w:sz w:val="20"/>
    </w:rPr>
  </w:style>
  <w:style w:type="paragraph" w:customStyle="1" w:styleId="10">
    <w:name w:val="10"/>
    <w:pPr>
      <w:overflowPunct/>
      <w:spacing w:before="28" w:after="28"/>
      <w:ind w:left="340" w:right="0" w:hanging="34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Varianta10start">
    <w:name w:val="Varianta_10_start"/>
    <w:pPr>
      <w:pBdr>
        <w:top w:val="single" w:sz="8" w:space="0" w:color="800080"/>
      </w:pBdr>
      <w:spacing w:before="0" w:after="100"/>
      <w:ind w:left="34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Varianta10konec">
    <w:name w:val="Varianta_10_konec"/>
    <w:pPr>
      <w:pBdr>
        <w:bottom w:val="single" w:sz="8" w:space="0" w:color="800080"/>
      </w:pBdr>
      <w:spacing w:before="0" w:after="100"/>
      <w:ind w:left="34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Ucinnost10start">
    <w:name w:val="Ucinnost_10_start"/>
    <w:pPr>
      <w:pBdr>
        <w:top w:val="single" w:sz="8" w:space="0" w:color="8B0000"/>
      </w:pBdr>
      <w:spacing w:before="0" w:after="100"/>
      <w:ind w:left="34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Ucinnost10konec">
    <w:name w:val="Ucinnost_10_konec"/>
    <w:pPr>
      <w:pBdr>
        <w:bottom w:val="single" w:sz="8" w:space="0" w:color="8B0000"/>
      </w:pBdr>
      <w:spacing w:before="0" w:after="100"/>
      <w:ind w:left="34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Pripominky10start">
    <w:name w:val="Pripominky_10_start"/>
    <w:pPr>
      <w:pBdr>
        <w:top w:val="single" w:sz="8" w:space="0" w:color="87CEFA"/>
      </w:pBdr>
      <w:spacing w:before="0" w:after="100"/>
      <w:ind w:left="340"/>
      <w:jc w:val="right"/>
    </w:pPr>
    <w:rPr>
      <w:rFonts w:ascii="Times New Roman" w:eastAsia="Times New Roman" w:hAnsi="Times New Roman" w:cs="Times New Roman"/>
      <w:b/>
      <w:i/>
      <w:color w:val="87CEFA"/>
      <w:sz w:val="20"/>
    </w:rPr>
  </w:style>
  <w:style w:type="paragraph" w:customStyle="1" w:styleId="11">
    <w:name w:val="11"/>
    <w:pPr>
      <w:overflowPunct/>
      <w:spacing w:before="28" w:after="113"/>
      <w:ind w:left="340" w:right="0" w:hanging="34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Varianta11start">
    <w:name w:val="Varianta_11_start"/>
    <w:pPr>
      <w:pBdr>
        <w:top w:val="single" w:sz="8" w:space="0" w:color="800080"/>
      </w:pBdr>
      <w:spacing w:before="0" w:after="100"/>
      <w:ind w:left="34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Varianta11konec">
    <w:name w:val="Varianta_11_konec"/>
    <w:pPr>
      <w:pBdr>
        <w:bottom w:val="single" w:sz="8" w:space="0" w:color="800080"/>
      </w:pBdr>
      <w:spacing w:before="0" w:after="100"/>
      <w:ind w:left="34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Ucinnost11start">
    <w:name w:val="Ucinnost_11_start"/>
    <w:pPr>
      <w:pBdr>
        <w:top w:val="single" w:sz="8" w:space="0" w:color="8B0000"/>
      </w:pBdr>
      <w:spacing w:before="0" w:after="100"/>
      <w:ind w:left="34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Ucinnost11konec">
    <w:name w:val="Ucinnost_11_konec"/>
    <w:pPr>
      <w:pBdr>
        <w:bottom w:val="single" w:sz="8" w:space="0" w:color="8B0000"/>
      </w:pBdr>
      <w:spacing w:before="0" w:after="100"/>
      <w:ind w:left="34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Pripominky11start">
    <w:name w:val="Pripominky_11_start"/>
    <w:pPr>
      <w:pBdr>
        <w:top w:val="single" w:sz="8" w:space="0" w:color="87CEFA"/>
      </w:pBdr>
      <w:spacing w:before="0" w:after="100"/>
      <w:ind w:left="340"/>
      <w:jc w:val="right"/>
    </w:pPr>
    <w:rPr>
      <w:rFonts w:ascii="Times New Roman" w:eastAsia="Times New Roman" w:hAnsi="Times New Roman" w:cs="Times New Roman"/>
      <w:b/>
      <w:i/>
      <w:color w:val="87CEFA"/>
      <w:sz w:val="20"/>
    </w:rPr>
  </w:style>
  <w:style w:type="paragraph" w:customStyle="1" w:styleId="12">
    <w:name w:val="12"/>
    <w:pPr>
      <w:spacing w:before="0" w:after="57"/>
      <w:ind w:left="850" w:right="850"/>
      <w:jc w:val="center"/>
    </w:pPr>
    <w:rPr>
      <w:rFonts w:ascii="Times New Roman" w:eastAsia="Times New Roman" w:hAnsi="Times New Roman" w:cs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