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2B71" w14:textId="77777777" w:rsidR="00C97184" w:rsidRPr="00D726B9" w:rsidRDefault="00C97184" w:rsidP="006453A5">
      <w:pPr>
        <w:jc w:val="right"/>
      </w:pPr>
      <w:r>
        <w:t>IV.</w:t>
      </w:r>
    </w:p>
    <w:p w14:paraId="466D79B9" w14:textId="77777777" w:rsidR="00C97184" w:rsidRPr="00637185" w:rsidRDefault="00C97184" w:rsidP="006453A5">
      <w:pPr>
        <w:jc w:val="center"/>
        <w:rPr>
          <w:b/>
          <w:bCs/>
        </w:rPr>
      </w:pPr>
      <w:r w:rsidRPr="00637185">
        <w:rPr>
          <w:b/>
          <w:bCs/>
        </w:rPr>
        <w:t>DŮVODOVÁ ZPRÁVA</w:t>
      </w:r>
    </w:p>
    <w:p w14:paraId="732D93A8" w14:textId="77777777" w:rsidR="000A1CEA" w:rsidRPr="000A1CEA" w:rsidRDefault="000A1CEA" w:rsidP="006453A5">
      <w:pPr>
        <w:keepNext/>
        <w:spacing w:before="600" w:after="240"/>
        <w:jc w:val="center"/>
        <w:outlineLvl w:val="0"/>
        <w:rPr>
          <w:b/>
        </w:rPr>
      </w:pPr>
      <w:r w:rsidRPr="000A1CEA">
        <w:rPr>
          <w:b/>
        </w:rPr>
        <w:t>O b e c n á   č á s t</w:t>
      </w:r>
    </w:p>
    <w:p w14:paraId="7F9F5D33" w14:textId="77777777" w:rsidR="00C97184" w:rsidRPr="00D7613F" w:rsidRDefault="00C97184" w:rsidP="006453A5">
      <w:pPr>
        <w:pStyle w:val="Nadpis2"/>
      </w:pPr>
      <w:r w:rsidRPr="00D7613F">
        <w:t>Hodnocení dopadů regulace (RIA)</w:t>
      </w:r>
    </w:p>
    <w:p w14:paraId="1FC765DD" w14:textId="2D23DFFB" w:rsidR="00C97184" w:rsidRPr="00382C28" w:rsidRDefault="00C97184" w:rsidP="006453A5">
      <w:r w:rsidRPr="00382C28">
        <w:t>V souladu s Plánem legislativních prací vlády na</w:t>
      </w:r>
      <w:r w:rsidR="0016504D">
        <w:t xml:space="preserve"> zbývající část</w:t>
      </w:r>
      <w:r w:rsidRPr="00382C28">
        <w:t xml:space="preserve"> rok</w:t>
      </w:r>
      <w:r w:rsidR="0016504D">
        <w:t>u</w:t>
      </w:r>
      <w:r w:rsidRPr="00382C28">
        <w:t xml:space="preserve"> 202</w:t>
      </w:r>
      <w:r w:rsidR="00C02A40">
        <w:t>6</w:t>
      </w:r>
      <w:r w:rsidRPr="00382C28">
        <w:t xml:space="preserve"> nebylo hodnocení dopadů regulace zpracováno. </w:t>
      </w:r>
    </w:p>
    <w:p w14:paraId="014BBE6F" w14:textId="77777777" w:rsidR="009064B4" w:rsidRDefault="009064B4" w:rsidP="006453A5">
      <w:pPr>
        <w:pStyle w:val="Nadpis2"/>
      </w:pPr>
      <w:r w:rsidRPr="00D7613F">
        <w:t>Zhodnocení platného právního stavu, odůvodnění hlavních principů navrhované právní úpravy a vysvětlení nezbytnosti navrhované právní úpravy v jejím celku</w:t>
      </w:r>
    </w:p>
    <w:p w14:paraId="280C8A98" w14:textId="6E136E83" w:rsidR="009D79C2" w:rsidRDefault="009D79C2" w:rsidP="008D6AB7">
      <w:r>
        <w:t xml:space="preserve">Návrh se předkládá </w:t>
      </w:r>
      <w:r w:rsidR="005B7B39">
        <w:t>v reakci na programové prohlášení vlády, ve kterém se předpokládá, že dojde k</w:t>
      </w:r>
      <w:r w:rsidR="00C749F0">
        <w:t>e</w:t>
      </w:r>
      <w:r w:rsidR="005B7B39">
        <w:t> zpřísnění postihu za některá trestná jednání související s alkoholem či omamnými a psychotropními látkami, zejména pak že dojde k</w:t>
      </w:r>
      <w:r w:rsidR="00C749F0">
        <w:t>e</w:t>
      </w:r>
      <w:r w:rsidR="005B7B39">
        <w:t> zpřísnění postihu případů, kdy při řízení motorového vozidla ve stavu vylučujícím způsobilost</w:t>
      </w:r>
      <w:r w:rsidR="00C749F0">
        <w:t>, který si pachatel přivodil vlivem návykové látky,</w:t>
      </w:r>
      <w:r w:rsidR="005B7B39">
        <w:t xml:space="preserve"> dojde k </w:t>
      </w:r>
      <w:r w:rsidR="005B7B39" w:rsidRPr="005B7B39">
        <w:t>těžk</w:t>
      </w:r>
      <w:r w:rsidR="005B7B39">
        <w:t xml:space="preserve">é </w:t>
      </w:r>
      <w:r w:rsidR="005B7B39" w:rsidRPr="005B7B39">
        <w:t>újm</w:t>
      </w:r>
      <w:r w:rsidR="005B7B39">
        <w:t>ě</w:t>
      </w:r>
      <w:r w:rsidR="005B7B39" w:rsidRPr="005B7B39">
        <w:t xml:space="preserve"> na zdraví nebo </w:t>
      </w:r>
      <w:r w:rsidR="005B7B39">
        <w:t>ke </w:t>
      </w:r>
      <w:r w:rsidR="005B7B39" w:rsidRPr="005B7B39">
        <w:t>smrt</w:t>
      </w:r>
      <w:r w:rsidR="005B7B39">
        <w:t>i</w:t>
      </w:r>
      <w:r w:rsidR="005B7B39" w:rsidRPr="005B7B39">
        <w:t xml:space="preserve"> jiné osoby</w:t>
      </w:r>
      <w:r w:rsidR="008D6AB7">
        <w:t xml:space="preserve"> („</w:t>
      </w:r>
      <w:r w:rsidR="008D6AB7" w:rsidRPr="007A42C1">
        <w:rPr>
          <w:i/>
          <w:iCs/>
        </w:rPr>
        <w:t>Předložíme protidrogovou novelu trestního zákona, která omezí možnosti snížení trestu pro intoxikovaného pachatele. Zpřísníme tresty osobám, které při řízení pod vlivem alkoholu nebo drog způsobí těžkou újmu na zdraví nebo smrt jiné osoby. Organizátoři drogových obchodů, výrobci a</w:t>
      </w:r>
      <w:r w:rsidR="008D6AB7">
        <w:rPr>
          <w:i/>
          <w:iCs/>
        </w:rPr>
        <w:t> </w:t>
      </w:r>
      <w:r w:rsidR="008D6AB7" w:rsidRPr="007A42C1">
        <w:rPr>
          <w:i/>
          <w:iCs/>
        </w:rPr>
        <w:t>distributoři drog budou čelit vyšším trestním sazbám.</w:t>
      </w:r>
      <w:r w:rsidR="008D6AB7">
        <w:rPr>
          <w:i/>
          <w:iCs/>
        </w:rPr>
        <w:t>“)</w:t>
      </w:r>
      <w:r w:rsidR="005B7B39" w:rsidRPr="005B7B39">
        <w:t xml:space="preserve">. </w:t>
      </w:r>
      <w:r w:rsidR="005B7B39">
        <w:t>Návrh reaguje i</w:t>
      </w:r>
      <w:r w:rsidR="00C749F0">
        <w:t> </w:t>
      </w:r>
      <w:r w:rsidR="005B7B39">
        <w:t>na</w:t>
      </w:r>
      <w:r w:rsidR="00C749F0">
        <w:t> </w:t>
      </w:r>
      <w:r w:rsidR="005B7B39">
        <w:t>některá signalizovan</w:t>
      </w:r>
      <w:r w:rsidR="00C749F0">
        <w:t>á</w:t>
      </w:r>
      <w:r w:rsidR="005B7B39">
        <w:t xml:space="preserve"> závažná jednání </w:t>
      </w:r>
      <w:r>
        <w:t>v oblasti silničního provozu.</w:t>
      </w:r>
    </w:p>
    <w:p w14:paraId="0CA16E2E" w14:textId="50D8883D" w:rsidR="009D79C2" w:rsidRDefault="00651C29" w:rsidP="006453A5">
      <w:r>
        <w:t xml:space="preserve">Na základě toho </w:t>
      </w:r>
      <w:r w:rsidR="00CA569F">
        <w:t>se navrhuj</w:t>
      </w:r>
      <w:r>
        <w:t>e</w:t>
      </w:r>
      <w:r w:rsidR="00CA569F">
        <w:t xml:space="preserve"> provést následující </w:t>
      </w:r>
      <w:r w:rsidR="003822E3">
        <w:t xml:space="preserve">dílčí </w:t>
      </w:r>
      <w:r w:rsidR="00CA569F">
        <w:t>změny trestního zákoníku:</w:t>
      </w:r>
    </w:p>
    <w:p w14:paraId="300DCDFA" w14:textId="0820124F" w:rsidR="00173AEC" w:rsidRDefault="0077056D" w:rsidP="006453A5">
      <w:pPr>
        <w:pStyle w:val="Odstavecseseznamem"/>
        <w:numPr>
          <w:ilvl w:val="0"/>
          <w:numId w:val="2"/>
        </w:numPr>
        <w:spacing w:after="0"/>
        <w:ind w:left="426" w:hanging="426"/>
        <w:contextualSpacing w:val="0"/>
      </w:pPr>
      <w:r>
        <w:t>zavedení institutu zabrání motorového vozidl</w:t>
      </w:r>
      <w:r w:rsidR="002448E1">
        <w:t>a</w:t>
      </w:r>
      <w:r>
        <w:t xml:space="preserve"> jako zvláštního případu ochranného opatření zabrání věci,</w:t>
      </w:r>
    </w:p>
    <w:p w14:paraId="2C8CC089" w14:textId="1DC3260F" w:rsidR="0077056D" w:rsidRDefault="0025058B" w:rsidP="006453A5">
      <w:pPr>
        <w:pStyle w:val="Odstavecseseznamem"/>
        <w:numPr>
          <w:ilvl w:val="0"/>
          <w:numId w:val="2"/>
        </w:numPr>
        <w:spacing w:after="0"/>
        <w:ind w:left="426" w:hanging="426"/>
        <w:contextualSpacing w:val="0"/>
      </w:pPr>
      <w:r>
        <w:t xml:space="preserve">doplnění trestného činu ohrožení pod vlivem návykové látky o nové kvalifikované skutkové podstaty, </w:t>
      </w:r>
      <w:r w:rsidR="005B7B39">
        <w:t>jejichž prostřednictví</w:t>
      </w:r>
      <w:r w:rsidR="00C749F0">
        <w:t>m</w:t>
      </w:r>
      <w:r w:rsidR="005B7B39">
        <w:t xml:space="preserve"> </w:t>
      </w:r>
      <w:r w:rsidR="006A795C">
        <w:t xml:space="preserve">se docílí </w:t>
      </w:r>
      <w:r w:rsidR="005B7B39">
        <w:t xml:space="preserve">zpřísnění postihu </w:t>
      </w:r>
      <w:r w:rsidR="00C749F0">
        <w:t>poškození zdraví nebo usmrcení, ke kterému dojde v důsledku spáchání tohoto trestného činu,</w:t>
      </w:r>
    </w:p>
    <w:p w14:paraId="769DB072" w14:textId="5609E22E" w:rsidR="0025058B" w:rsidRDefault="008876D9" w:rsidP="006453A5">
      <w:pPr>
        <w:pStyle w:val="Odstavecseseznamem"/>
        <w:numPr>
          <w:ilvl w:val="0"/>
          <w:numId w:val="2"/>
        </w:numPr>
        <w:spacing w:after="0"/>
        <w:ind w:left="426" w:hanging="426"/>
        <w:contextualSpacing w:val="0"/>
      </w:pPr>
      <w:r>
        <w:t xml:space="preserve">zpřísnění postihu organizovaného nakládání s drogami, </w:t>
      </w:r>
    </w:p>
    <w:p w14:paraId="244FD329" w14:textId="50D87E7D" w:rsidR="001B510C" w:rsidRDefault="008876D9" w:rsidP="006453A5">
      <w:pPr>
        <w:pStyle w:val="Odstavecseseznamem"/>
        <w:numPr>
          <w:ilvl w:val="0"/>
          <w:numId w:val="2"/>
        </w:numPr>
        <w:spacing w:after="0"/>
        <w:ind w:left="426" w:hanging="426"/>
        <w:contextualSpacing w:val="0"/>
      </w:pPr>
      <w:r>
        <w:t>zavedení nového trestného činu maření výkonu pravomoci úřední osoby v</w:t>
      </w:r>
      <w:r w:rsidR="003822E3">
        <w:t> silničním provozu.</w:t>
      </w:r>
    </w:p>
    <w:p w14:paraId="7805EDDE" w14:textId="5C9DE695" w:rsidR="001B510C" w:rsidRDefault="001B510C" w:rsidP="006453A5">
      <w:pPr>
        <w:pStyle w:val="Nadpis3"/>
      </w:pPr>
      <w:r>
        <w:t xml:space="preserve">Ad </w:t>
      </w:r>
      <w:r w:rsidR="00D27155">
        <w:t>a</w:t>
      </w:r>
      <w:r>
        <w:t>)</w:t>
      </w:r>
      <w:r w:rsidR="003B1D20">
        <w:t xml:space="preserve"> Zabrání motorového vozidla</w:t>
      </w:r>
    </w:p>
    <w:p w14:paraId="0F19C419" w14:textId="14125D6A" w:rsidR="00E82C22" w:rsidRDefault="00E82C22" w:rsidP="00C365AE">
      <w:r>
        <w:t>Problémem nejen trestního</w:t>
      </w:r>
      <w:r w:rsidR="00076A6D">
        <w:t>,</w:t>
      </w:r>
      <w:r>
        <w:t xml:space="preserve"> ale také správního postihu společensky škodlivého jednání </w:t>
      </w:r>
      <w:r w:rsidR="00BB770E">
        <w:t xml:space="preserve">v silničním provozu je relativně vysoká míra opakování protiprávního </w:t>
      </w:r>
      <w:r w:rsidR="00CB6E85">
        <w:t>jednání (recidivy) a nedostatečná účinnost ukládaných sankcí, zejm. trestu zákazu činnosti, který v těchto případ</w:t>
      </w:r>
      <w:r w:rsidR="00A2713C">
        <w:t>ech</w:t>
      </w:r>
      <w:r w:rsidR="00CB6E85">
        <w:t xml:space="preserve"> spočívá </w:t>
      </w:r>
      <w:r w:rsidR="00A2713C">
        <w:t xml:space="preserve">v povinnosti zdržet se řízení motorových vozidel a související </w:t>
      </w:r>
      <w:r w:rsidR="00CB6E85">
        <w:t>ztrátě řidičského oprávnění</w:t>
      </w:r>
      <w:r w:rsidR="00305C42">
        <w:t xml:space="preserve">. </w:t>
      </w:r>
      <w:r w:rsidR="005A5164">
        <w:t>Pokud totiž ř</w:t>
      </w:r>
      <w:r w:rsidR="00305C42">
        <w:t>idič</w:t>
      </w:r>
      <w:r w:rsidR="005A5164">
        <w:t>i zůstává motorové vozidlo,</w:t>
      </w:r>
      <w:r w:rsidR="00E526AE">
        <w:t xml:space="preserve"> tak mu</w:t>
      </w:r>
      <w:r w:rsidR="00305C42">
        <w:t xml:space="preserve"> kromě vzniku </w:t>
      </w:r>
      <w:r w:rsidR="005A5164">
        <w:t xml:space="preserve">trestní </w:t>
      </w:r>
      <w:r w:rsidR="00305C42">
        <w:t>odpovědnosti za</w:t>
      </w:r>
      <w:r w:rsidR="005A5164">
        <w:t xml:space="preserve"> trestný čin</w:t>
      </w:r>
      <w:r w:rsidR="00305C42">
        <w:t xml:space="preserve"> maření výkonu úředního rozhodnutí a vykázání</w:t>
      </w:r>
      <w:r w:rsidR="005A5164">
        <w:t xml:space="preserve"> podle § 337 </w:t>
      </w:r>
      <w:proofErr w:type="spellStart"/>
      <w:r w:rsidR="00106BDB">
        <w:t>tr</w:t>
      </w:r>
      <w:proofErr w:type="spellEnd"/>
      <w:r w:rsidR="00106BDB">
        <w:t>. zák.</w:t>
      </w:r>
      <w:r w:rsidR="005A5164">
        <w:t xml:space="preserve"> nic fakticky nebrání usednout za volant znovu.</w:t>
      </w:r>
    </w:p>
    <w:p w14:paraId="18370F69" w14:textId="510B8CC3" w:rsidR="00346AEE" w:rsidRDefault="008739DB" w:rsidP="00C365AE">
      <w:r>
        <w:t xml:space="preserve">Účinným prostředkem </w:t>
      </w:r>
      <w:r w:rsidR="002D6780">
        <w:t>k</w:t>
      </w:r>
      <w:r>
        <w:t xml:space="preserve"> zamezení dalšího </w:t>
      </w:r>
      <w:r w:rsidR="002D6780">
        <w:t>páchání dopravních přestupk</w:t>
      </w:r>
      <w:r w:rsidR="00076A6D">
        <w:t>ů</w:t>
      </w:r>
      <w:r w:rsidR="002D6780">
        <w:t xml:space="preserve"> nebo trestných činů</w:t>
      </w:r>
      <w:r w:rsidR="006A795C">
        <w:t xml:space="preserve"> v dopravě</w:t>
      </w:r>
      <w:r w:rsidR="002D6780">
        <w:t xml:space="preserve"> se v praxi ukazuje uložení sankce vedoucí k</w:t>
      </w:r>
      <w:r w:rsidR="00F849BF">
        <w:t> propadnutí nebo zabrání motorového vozidla,</w:t>
      </w:r>
      <w:r w:rsidR="0002675B">
        <w:t xml:space="preserve"> </w:t>
      </w:r>
      <w:proofErr w:type="gramStart"/>
      <w:r w:rsidR="00F849BF">
        <w:t>užitím</w:t>
      </w:r>
      <w:proofErr w:type="gramEnd"/>
      <w:r w:rsidR="00F849BF">
        <w:t xml:space="preserve"> kterého se pachatel dopustil protiprávního jednání. </w:t>
      </w:r>
    </w:p>
    <w:p w14:paraId="5E90B5A6" w14:textId="40E8427A" w:rsidR="00A2713C" w:rsidRDefault="00C37B27" w:rsidP="00C365AE">
      <w:r>
        <w:lastRenderedPageBreak/>
        <w:t xml:space="preserve">Omezujícím faktorem ovšem je, že z hlediska trestního práva </w:t>
      </w:r>
      <w:r w:rsidR="00E237FB">
        <w:t>je až na výjimky k možnosti vyslovit propadnutí nebo zabrání vozidla nutné, aby toto vozidlo náleželo pachateli</w:t>
      </w:r>
      <w:r w:rsidR="001920BF">
        <w:t xml:space="preserve"> [resp. trest propadnutí věci lze uložit jedině v případě, že motorové vozidlo náleží pachateli (viz § 70 odst.</w:t>
      </w:r>
      <w:r w:rsidR="00346AEE">
        <w:t> </w:t>
      </w:r>
      <w:r w:rsidR="001920BF">
        <w:t xml:space="preserve">3 </w:t>
      </w:r>
      <w:proofErr w:type="spellStart"/>
      <w:r w:rsidR="00106BDB">
        <w:t>tr</w:t>
      </w:r>
      <w:proofErr w:type="spellEnd"/>
      <w:r w:rsidR="00106BDB">
        <w:t>. zák.</w:t>
      </w:r>
      <w:r w:rsidR="001920BF">
        <w:t>)]</w:t>
      </w:r>
      <w:r w:rsidR="00E237FB">
        <w:t xml:space="preserve">. </w:t>
      </w:r>
      <w:r w:rsidR="002135FB">
        <w:t>Věc, která pachateli</w:t>
      </w:r>
      <w:r w:rsidR="00265A95" w:rsidRPr="00265A95">
        <w:t xml:space="preserve"> </w:t>
      </w:r>
      <w:r w:rsidR="00265A95">
        <w:t>nenáleží</w:t>
      </w:r>
      <w:r w:rsidR="002135FB">
        <w:t>, lze ochranným opatření</w:t>
      </w:r>
      <w:r w:rsidR="00346AEE">
        <w:t>m</w:t>
      </w:r>
      <w:r w:rsidR="002135FB">
        <w:t xml:space="preserve"> zabrat jen v taxativně vymezených případech, </w:t>
      </w:r>
      <w:r w:rsidR="00346AEE">
        <w:t xml:space="preserve">v tomto ohledu </w:t>
      </w:r>
      <w:r w:rsidR="002135FB">
        <w:t xml:space="preserve">je relevantní zejména </w:t>
      </w:r>
      <w:r w:rsidR="00C348D8">
        <w:t>případ podle § 101 odst.</w:t>
      </w:r>
      <w:r w:rsidR="00346AEE">
        <w:t> </w:t>
      </w:r>
      <w:r w:rsidR="00C348D8">
        <w:t>1</w:t>
      </w:r>
      <w:r w:rsidR="00164ABB">
        <w:t xml:space="preserve"> písm.</w:t>
      </w:r>
      <w:r w:rsidR="00AF30DA">
        <w:t> </w:t>
      </w:r>
      <w:r w:rsidR="00164ABB">
        <w:t>c)</w:t>
      </w:r>
      <w:r w:rsidR="00F250FB">
        <w:t xml:space="preserve"> ve spojení s</w:t>
      </w:r>
      <w:r w:rsidR="00106BDB">
        <w:t> </w:t>
      </w:r>
      <w:r w:rsidR="00F250FB">
        <w:t>§ 70 odst. 2 písm. a)</w:t>
      </w:r>
      <w:r w:rsidR="00106BDB">
        <w:t xml:space="preserve"> </w:t>
      </w:r>
      <w:proofErr w:type="spellStart"/>
      <w:r w:rsidR="00106BDB">
        <w:t>tr</w:t>
      </w:r>
      <w:proofErr w:type="spellEnd"/>
      <w:r w:rsidR="00106BDB">
        <w:t>. zák.</w:t>
      </w:r>
      <w:r w:rsidR="00265A95">
        <w:t xml:space="preserve">, </w:t>
      </w:r>
      <w:r w:rsidR="00AF30DA">
        <w:t>tj. případ</w:t>
      </w:r>
      <w:r w:rsidR="00265A95">
        <w:t xml:space="preserve">, kdy </w:t>
      </w:r>
      <w:r w:rsidR="00F250FB">
        <w:t xml:space="preserve">věc </w:t>
      </w:r>
      <w:r w:rsidR="00AF30DA">
        <w:t xml:space="preserve">je </w:t>
      </w:r>
      <w:r w:rsidR="00F250FB">
        <w:t>nástrojem trestné činnosti a zároveň i nadále představuje</w:t>
      </w:r>
      <w:r w:rsidR="003D3F11">
        <w:t xml:space="preserve"> </w:t>
      </w:r>
      <w:r w:rsidR="003D3F11" w:rsidRPr="003D3F11">
        <w:t>ohrož</w:t>
      </w:r>
      <w:r w:rsidR="003D3F11">
        <w:t>ení</w:t>
      </w:r>
      <w:r w:rsidR="003D3F11" w:rsidRPr="003D3F11">
        <w:t xml:space="preserve"> bezpečnost</w:t>
      </w:r>
      <w:r w:rsidR="003D3F11">
        <w:t>i</w:t>
      </w:r>
      <w:r w:rsidR="003D3F11" w:rsidRPr="003D3F11">
        <w:t xml:space="preserve"> lidí nebo majetku, popřípadě společnosti, anebo hrozí nebezpečí, že bude sloužit ke spáchání zločinu</w:t>
      </w:r>
      <w:r w:rsidR="003D3F11">
        <w:t>.</w:t>
      </w:r>
    </w:p>
    <w:p w14:paraId="55D232BF" w14:textId="19C655B1" w:rsidR="00C348D8" w:rsidRDefault="003D3F11" w:rsidP="00C365AE">
      <w:r>
        <w:t>Podle u</w:t>
      </w:r>
      <w:r w:rsidRPr="003D3F11">
        <w:t>snesení Nejvyššího soudu České republiky ze dne 27. 1. 2000</w:t>
      </w:r>
      <w:r>
        <w:t>,</w:t>
      </w:r>
      <w:r w:rsidRPr="003D3F11">
        <w:t xml:space="preserve"> </w:t>
      </w:r>
      <w:proofErr w:type="spellStart"/>
      <w:r w:rsidRPr="003D3F11">
        <w:t>sp</w:t>
      </w:r>
      <w:proofErr w:type="spellEnd"/>
      <w:r w:rsidRPr="003D3F11">
        <w:t xml:space="preserve">. zn. 3 </w:t>
      </w:r>
      <w:proofErr w:type="spellStart"/>
      <w:r w:rsidRPr="003D3F11">
        <w:t>Tz</w:t>
      </w:r>
      <w:proofErr w:type="spellEnd"/>
      <w:r w:rsidRPr="003D3F11">
        <w:t xml:space="preserve"> 13/2000</w:t>
      </w:r>
      <w:r w:rsidR="00715B26">
        <w:t xml:space="preserve">, </w:t>
      </w:r>
      <w:r w:rsidR="006A795C">
        <w:t>(</w:t>
      </w:r>
      <w:hyperlink r:id="rId8" w:history="1">
        <w:r w:rsidR="00144668" w:rsidRPr="00C90253">
          <w:rPr>
            <w:rStyle w:val="Hypertextovodkaz"/>
          </w:rPr>
          <w:t xml:space="preserve">R 61/2000 </w:t>
        </w:r>
        <w:proofErr w:type="spellStart"/>
        <w:r w:rsidR="00144668" w:rsidRPr="00C90253">
          <w:rPr>
            <w:rStyle w:val="Hypertextovodkaz"/>
          </w:rPr>
          <w:t>tr</w:t>
        </w:r>
        <w:proofErr w:type="spellEnd"/>
        <w:r w:rsidR="00144668" w:rsidRPr="00C90253">
          <w:rPr>
            <w:rStyle w:val="Hypertextovodkaz"/>
          </w:rPr>
          <w:t>.</w:t>
        </w:r>
      </w:hyperlink>
      <w:r w:rsidR="006A795C">
        <w:t>)</w:t>
      </w:r>
      <w:r w:rsidR="00144668">
        <w:t xml:space="preserve"> takové kritérium </w:t>
      </w:r>
      <w:r w:rsidR="004347E3">
        <w:t xml:space="preserve">ohrožení uvedených zájmů </w:t>
      </w:r>
      <w:r w:rsidR="00144668">
        <w:t xml:space="preserve">splňují věci, které </w:t>
      </w:r>
      <w:r w:rsidR="00EC56F0" w:rsidRPr="00EC56F0">
        <w:t>jsou těmto zájmům samy o sobě nebezpečné tak, že tato nebezpečnost vychází přímo z jejich vlastností</w:t>
      </w:r>
      <w:r w:rsidR="00076A6D">
        <w:t xml:space="preserve"> (jde tak n</w:t>
      </w:r>
      <w:r w:rsidR="00EC56F0" w:rsidRPr="00EC56F0">
        <w:t xml:space="preserve">apř. </w:t>
      </w:r>
      <w:r w:rsidR="00076A6D">
        <w:t xml:space="preserve">o </w:t>
      </w:r>
      <w:r w:rsidR="00EC56F0" w:rsidRPr="00EC56F0">
        <w:t>zakázané zbraně a střelivo, výbušniny, narkotika, jedy apod.</w:t>
      </w:r>
      <w:r w:rsidR="00076A6D">
        <w:t>).</w:t>
      </w:r>
      <w:r w:rsidR="00EC56F0" w:rsidRPr="00EC56F0">
        <w:t xml:space="preserve"> Může také jít o</w:t>
      </w:r>
      <w:r w:rsidR="00076A6D">
        <w:t> </w:t>
      </w:r>
      <w:r w:rsidR="00EC56F0" w:rsidRPr="00EC56F0">
        <w:t>věci jinak běžného použití, pokud však byly zvlášť přizpůsobeny k páchání určité trestné činnosti tak, aby ji významně usnadňovaly (např. nákladní automobil, který má vybudován zvláštní úkryt pro nelegální převážení osob přes hranice).</w:t>
      </w:r>
      <w:r w:rsidR="004347E3">
        <w:t xml:space="preserve"> </w:t>
      </w:r>
      <w:r w:rsidR="00CB4F93">
        <w:t xml:space="preserve">Motorová vozidla páchání trestné činnosti neuzpůsobená tak tento důvod nejspíše nenaplní, byť mohou být k páchání trestné činnosti pravidelně užívána. </w:t>
      </w:r>
      <w:r w:rsidR="00722A1A">
        <w:t>Alternativní kritérium spočívající v </w:t>
      </w:r>
      <w:proofErr w:type="spellStart"/>
      <w:r w:rsidR="00722A1A" w:rsidRPr="00106BDB">
        <w:t>hrození</w:t>
      </w:r>
      <w:proofErr w:type="spellEnd"/>
      <w:r w:rsidR="00722A1A">
        <w:t>, ž</w:t>
      </w:r>
      <w:r w:rsidR="002F1EE7">
        <w:t xml:space="preserve">e </w:t>
      </w:r>
      <w:r w:rsidR="006A795C">
        <w:t xml:space="preserve">věc </w:t>
      </w:r>
      <w:r w:rsidR="002F1EE7">
        <w:t>bude sloužit ke</w:t>
      </w:r>
      <w:r w:rsidR="00106BDB">
        <w:t> </w:t>
      </w:r>
      <w:r w:rsidR="002F1EE7">
        <w:t>spáchání zločinu</w:t>
      </w:r>
      <w:r w:rsidR="00257A78">
        <w:t>, naráží na skutečnost, že velká část skutkových podstat páchaných v</w:t>
      </w:r>
      <w:r w:rsidR="00EE7737">
        <w:t xml:space="preserve"> silničním provozu </w:t>
      </w:r>
      <w:r w:rsidR="005055CC">
        <w:t>není zločinem</w:t>
      </w:r>
      <w:r w:rsidR="00076A6D">
        <w:t xml:space="preserve"> (zločinem </w:t>
      </w:r>
      <w:r w:rsidR="005055CC">
        <w:t xml:space="preserve">je úmyslný </w:t>
      </w:r>
      <w:r w:rsidR="00076A6D">
        <w:t xml:space="preserve">trestný čin </w:t>
      </w:r>
      <w:r w:rsidR="005055CC">
        <w:t xml:space="preserve">s horní hranicí trestní sazby </w:t>
      </w:r>
      <w:r w:rsidR="00762852">
        <w:t>více než pět let odnětí svobody</w:t>
      </w:r>
      <w:r w:rsidR="00076A6D">
        <w:t>)</w:t>
      </w:r>
      <w:r w:rsidR="00762852">
        <w:t xml:space="preserve">. Vyloučeny jsou tím automaticky všechny nedbalostní trestné činy, ale také </w:t>
      </w:r>
      <w:r w:rsidR="00C365AE">
        <w:t xml:space="preserve">např. </w:t>
      </w:r>
      <w:r w:rsidR="00762852">
        <w:t xml:space="preserve">úmyslný trestný čin ohrožení pod vlivem </w:t>
      </w:r>
      <w:r w:rsidR="000B173E">
        <w:t>návykové látky.</w:t>
      </w:r>
    </w:p>
    <w:p w14:paraId="15575FAC" w14:textId="5665FDAF" w:rsidR="00F2188D" w:rsidRDefault="000B173E" w:rsidP="00C365AE">
      <w:r>
        <w:t>V oblasti správního trestání je potom situace podobná, podle § 53 odst. 1 zákon</w:t>
      </w:r>
      <w:r w:rsidR="00F6431F">
        <w:t xml:space="preserve">a </w:t>
      </w:r>
      <w:r>
        <w:t>č.</w:t>
      </w:r>
      <w:r w:rsidR="00612DD8">
        <w:t> </w:t>
      </w:r>
      <w:r>
        <w:t>250/2016</w:t>
      </w:r>
      <w:r w:rsidR="00612DD8">
        <w:t> </w:t>
      </w:r>
      <w:r w:rsidR="00F6431F">
        <w:t>Sb., o odpovědnosti za přestupky</w:t>
      </w:r>
      <w:r w:rsidR="005A45A4">
        <w:t>, ve znění pozdějších předpisů,</w:t>
      </w:r>
      <w:r w:rsidR="00F6431F">
        <w:t xml:space="preserve"> lze zabrat věc, která nenáleží pachateli, jen v případě, že to vyžaduje </w:t>
      </w:r>
      <w:r w:rsidR="00F6431F" w:rsidRPr="00F6431F">
        <w:t>bezpečnost osob nebo majetku anebo jiný obdobný obecný zájem</w:t>
      </w:r>
      <w:r w:rsidR="005A45A4">
        <w:t xml:space="preserve">, a to </w:t>
      </w:r>
      <w:r w:rsidR="00A63849">
        <w:t>za</w:t>
      </w:r>
      <w:r w:rsidR="005A45A4">
        <w:t xml:space="preserve"> současného</w:t>
      </w:r>
      <w:r w:rsidR="00A63849">
        <w:t xml:space="preserve"> splnění přiměřenosti ochranného opatření ke</w:t>
      </w:r>
      <w:r w:rsidR="00076A6D">
        <w:t> </w:t>
      </w:r>
      <w:r w:rsidR="00A63849">
        <w:t>spáchanému přestupku.</w:t>
      </w:r>
    </w:p>
    <w:p w14:paraId="75EC7FC5" w14:textId="2F6D62D4" w:rsidR="00550781" w:rsidRDefault="00224299" w:rsidP="00C365AE">
      <w:r>
        <w:t>Výše popsan</w:t>
      </w:r>
      <w:r w:rsidR="004529BD">
        <w:t>ý</w:t>
      </w:r>
      <w:r>
        <w:t xml:space="preserve"> stávající</w:t>
      </w:r>
      <w:r w:rsidR="005A45A4">
        <w:t xml:space="preserve"> </w:t>
      </w:r>
      <w:r w:rsidR="00550781">
        <w:t xml:space="preserve">stav je řidiči v praxi často zneužíván. </w:t>
      </w:r>
      <w:r w:rsidR="00ED1F4C">
        <w:t xml:space="preserve">Řidiči opakovaně páchající přestupky vyznačující se agresivním stylem jízdy </w:t>
      </w:r>
      <w:r w:rsidR="00D904E2">
        <w:t>k takovému jednání záměrně využívají vozidla, která jim nenáleží, aby se této sankci vyh</w:t>
      </w:r>
      <w:r w:rsidR="004B055D">
        <w:t xml:space="preserve">nuli. Vozidla si </w:t>
      </w:r>
      <w:r w:rsidR="00B446CF">
        <w:t xml:space="preserve">tak </w:t>
      </w:r>
      <w:r w:rsidR="004B055D">
        <w:t xml:space="preserve">půjčují od rodinných příslušníků, přátel nebo si je pronajímají od leasingových společností. </w:t>
      </w:r>
      <w:r w:rsidR="0046235B">
        <w:t xml:space="preserve">Řidiči užívající k páchání přestupků a trestných činů </w:t>
      </w:r>
      <w:r w:rsidR="00224301">
        <w:t xml:space="preserve">vlastní vozidla </w:t>
      </w:r>
      <w:r w:rsidR="0046235B">
        <w:t>jsou tak v neopodstatněně nevýhodnější pozici.</w:t>
      </w:r>
    </w:p>
    <w:p w14:paraId="4896454F" w14:textId="1543B037" w:rsidR="000B173E" w:rsidRDefault="00550781" w:rsidP="00C365AE">
      <w:r>
        <w:t xml:space="preserve">Mohou proto nastat situace, </w:t>
      </w:r>
      <w:r w:rsidR="0046235B">
        <w:t>ve kterých bude k</w:t>
      </w:r>
      <w:r w:rsidR="00541178">
        <w:t> </w:t>
      </w:r>
      <w:r w:rsidR="0046235B">
        <w:t>ochraně</w:t>
      </w:r>
      <w:r w:rsidR="00541178">
        <w:t xml:space="preserve"> společnosti a vzhledem ke spáchanému jednání přiměřené, opodstatněné a </w:t>
      </w:r>
      <w:r w:rsidR="009A1054">
        <w:t xml:space="preserve">legitimní zabrat motorové vozidlo, </w:t>
      </w:r>
      <w:r w:rsidR="00150B9E">
        <w:t>přestože</w:t>
      </w:r>
      <w:r w:rsidR="009A1054">
        <w:t xml:space="preserve"> nebylo upraveno k páchání trestné činnosti</w:t>
      </w:r>
      <w:r w:rsidR="00224301">
        <w:t xml:space="preserve"> a </w:t>
      </w:r>
      <w:r w:rsidR="009A1054">
        <w:t>nehrozí, že bude uži</w:t>
      </w:r>
      <w:r w:rsidR="00150B9E">
        <w:t>to ke spáchání zločinu</w:t>
      </w:r>
      <w:r w:rsidR="00955A50">
        <w:t xml:space="preserve">, </w:t>
      </w:r>
      <w:r w:rsidR="00224301">
        <w:t xml:space="preserve">což </w:t>
      </w:r>
      <w:r w:rsidR="00955A50">
        <w:t>současná podoba trestního zákoníku neumožňuje. Vzhledem k</w:t>
      </w:r>
      <w:r w:rsidR="00044746">
        <w:t> </w:t>
      </w:r>
      <w:r w:rsidR="00955A50">
        <w:t>tomu</w:t>
      </w:r>
      <w:r w:rsidR="00044746">
        <w:t xml:space="preserve">, </w:t>
      </w:r>
      <w:r w:rsidR="0068507F">
        <w:t>že jen zákon stanoví, jaké trestní sankce lze ukládat, jediným řešením na</w:t>
      </w:r>
      <w:r w:rsidR="008C0284">
        <w:t>stoleného problému je změna zákona.</w:t>
      </w:r>
    </w:p>
    <w:p w14:paraId="61DB3F7D" w14:textId="60CBF1F0" w:rsidR="00813727" w:rsidRPr="00E82C22" w:rsidRDefault="0021405E" w:rsidP="00C365AE">
      <w:r>
        <w:t>Vedle funkce zabrání vozidla</w:t>
      </w:r>
      <w:r w:rsidR="00644E72">
        <w:t xml:space="preserve"> spočívající v </w:t>
      </w:r>
      <w:r>
        <w:t>zabráněn</w:t>
      </w:r>
      <w:r w:rsidR="00644E72">
        <w:t>í</w:t>
      </w:r>
      <w:r>
        <w:t xml:space="preserve"> jeho dalšímu užití k protiprávní činnosti lze </w:t>
      </w:r>
      <w:r w:rsidR="00375E68">
        <w:t xml:space="preserve">identifikovat i funkci preventivní. </w:t>
      </w:r>
      <w:r w:rsidR="009C26E2">
        <w:t>L</w:t>
      </w:r>
      <w:r w:rsidR="00375E68">
        <w:t>ze očekávat, že provozovatelé vozidel budou více dbát toho, aby jimi provozované vozidlo nebylo použito k páchání protiprávní činnosti</w:t>
      </w:r>
      <w:r w:rsidR="009C26E2">
        <w:t xml:space="preserve"> a </w:t>
      </w:r>
      <w:r w:rsidR="00CF09E7">
        <w:t xml:space="preserve">hrozba zabrání vozidla </w:t>
      </w:r>
      <w:r w:rsidR="009C26E2">
        <w:t xml:space="preserve">by mohla </w:t>
      </w:r>
      <w:r w:rsidR="00CF09E7">
        <w:t xml:space="preserve">zapůsobit také na pachatele, který by neměl chtít způsobit zabrání vozidla třetí osobě, neboť to pro něj bude mít konsekvence nejen </w:t>
      </w:r>
      <w:r w:rsidR="004841BE">
        <w:t>sociální, ale také civilněprávně deliktní, neboť zabrání vozidla lze považovat za škodu způsobenou provozovateli, příp</w:t>
      </w:r>
      <w:r w:rsidR="008B2C30">
        <w:t>. si lze představit i vznik ušlého zisku.</w:t>
      </w:r>
    </w:p>
    <w:p w14:paraId="6E7357BB" w14:textId="31DEFF8D" w:rsidR="0081754A" w:rsidRDefault="001B510C" w:rsidP="00C365AE">
      <w:pPr>
        <w:pStyle w:val="Nadpis3"/>
      </w:pPr>
      <w:r>
        <w:t xml:space="preserve">Ad </w:t>
      </w:r>
      <w:r w:rsidR="00D27155">
        <w:t>b</w:t>
      </w:r>
      <w:r>
        <w:t xml:space="preserve">) </w:t>
      </w:r>
      <w:r w:rsidR="0081754A">
        <w:t>Zpřísnění trestného činu ohrožení pod vlivem návykové látky</w:t>
      </w:r>
    </w:p>
    <w:p w14:paraId="3F3C36EF" w14:textId="5BB9AD78" w:rsidR="008F5C91" w:rsidRPr="008F5C91" w:rsidRDefault="008F5C91" w:rsidP="00C365AE">
      <w:r>
        <w:t xml:space="preserve">Řízení pod vlivem alkoholu </w:t>
      </w:r>
      <w:r w:rsidR="00B65FCE">
        <w:t>je společně s nepřiměřenou rychlostí dlouhodobě nejčastější příčinou dopravních nehod</w:t>
      </w:r>
      <w:r w:rsidR="00342EE7">
        <w:t> a v</w:t>
      </w:r>
      <w:r w:rsidR="00B65FCE">
        <w:t>elmi často vede k tragickým následků</w:t>
      </w:r>
      <w:r w:rsidR="00342EE7">
        <w:t>m</w:t>
      </w:r>
      <w:r w:rsidR="00B65FCE">
        <w:t xml:space="preserve">. Byť je </w:t>
      </w:r>
      <w:r w:rsidR="00342EE7">
        <w:t xml:space="preserve">stávající </w:t>
      </w:r>
      <w:r w:rsidR="00B65FCE">
        <w:t xml:space="preserve">právní </w:t>
      </w:r>
      <w:r w:rsidR="00B65FCE">
        <w:lastRenderedPageBreak/>
        <w:t>úprava</w:t>
      </w:r>
      <w:r w:rsidR="00F05884">
        <w:t xml:space="preserve"> trestného činu ohrožení pod vlivem návykové látky</w:t>
      </w:r>
      <w:r w:rsidR="00B65FCE">
        <w:t xml:space="preserve"> poměrně přísná v tom, že uplatňuje trestní odpovědnost i</w:t>
      </w:r>
      <w:r w:rsidR="00CF0BC9">
        <w:t xml:space="preserve"> v případech, kdy nedojde ke konkrétnímu ohrožení jiné osoby nebo majetku</w:t>
      </w:r>
      <w:r w:rsidR="00CA5103">
        <w:t xml:space="preserve"> (jedná se o tzv. abstraktně ohrožovací trestný čin, srov. formulaci </w:t>
      </w:r>
      <w:r w:rsidR="00E147DA">
        <w:t>„činnost, při které by mohl ohrozit život nebo zdraví lidí nebo způsobit značnou škodu na majetku</w:t>
      </w:r>
      <w:r w:rsidR="00B446CF">
        <w:t>“</w:t>
      </w:r>
      <w:r w:rsidR="00F25151">
        <w:t xml:space="preserve">), z hlediska poruchových následků je </w:t>
      </w:r>
      <w:r w:rsidR="00F05884">
        <w:t xml:space="preserve">tento </w:t>
      </w:r>
      <w:r w:rsidR="00F25151">
        <w:t>trestný čin oproti obecným poruchovým trestným činům (ublížení na zdraví apod.)</w:t>
      </w:r>
      <w:r w:rsidR="005464B0">
        <w:t xml:space="preserve"> přísnější pouze ve vztahu k prostému ublížení na zdraví</w:t>
      </w:r>
      <w:r w:rsidR="00E147DA">
        <w:t>.</w:t>
      </w:r>
      <w:r w:rsidR="005464B0">
        <w:t xml:space="preserve"> Způsobení těžších následků není </w:t>
      </w:r>
      <w:r w:rsidR="00F90FCC">
        <w:t xml:space="preserve">v těchto případech přísnější, neboť odpovědnost se přesouvá do roviny souběhu s nedbalostním trestným činem. </w:t>
      </w:r>
      <w:r w:rsidR="00C32C57">
        <w:t>Z</w:t>
      </w:r>
      <w:r w:rsidR="00144D1B">
        <w:t xml:space="preserve"> těchto důvodů a také z obavy </w:t>
      </w:r>
      <w:r w:rsidR="003C69FF">
        <w:t xml:space="preserve">z </w:t>
      </w:r>
      <w:r w:rsidR="00144D1B">
        <w:t>možné</w:t>
      </w:r>
      <w:r w:rsidR="003C69FF">
        <w:t>ho</w:t>
      </w:r>
      <w:r w:rsidR="00144D1B">
        <w:t xml:space="preserve"> navýšení počtu ročních případů jízdy pod vlivem návykových látek</w:t>
      </w:r>
      <w:r w:rsidR="00C32C57">
        <w:t> v reakci na </w:t>
      </w:r>
      <w:r w:rsidR="00144D1B">
        <w:t xml:space="preserve">přijetí </w:t>
      </w:r>
      <w:r w:rsidR="00F335A8">
        <w:t xml:space="preserve">částečné legalizace a částečné </w:t>
      </w:r>
      <w:proofErr w:type="spellStart"/>
      <w:r w:rsidR="00F335A8">
        <w:t>depenalizace</w:t>
      </w:r>
      <w:proofErr w:type="spellEnd"/>
      <w:r w:rsidR="00F335A8">
        <w:t xml:space="preserve"> nakládání s konopím </w:t>
      </w:r>
      <w:r w:rsidR="00C32C57">
        <w:t xml:space="preserve">se vláda </w:t>
      </w:r>
      <w:r w:rsidR="00F335A8">
        <w:t>ve svém programové</w:t>
      </w:r>
      <w:r w:rsidR="002E775B">
        <w:t>m</w:t>
      </w:r>
      <w:r w:rsidR="00F335A8">
        <w:t xml:space="preserve"> prohlášení zavázala zpřísnit „</w:t>
      </w:r>
      <w:r w:rsidR="00F335A8" w:rsidRPr="00453AE7">
        <w:rPr>
          <w:i/>
          <w:iCs/>
        </w:rPr>
        <w:t>tresty osobám, které při řízení pod vlivem alkoholu nebo drog způsobí těžkou újmu na</w:t>
      </w:r>
      <w:r w:rsidR="00F05884">
        <w:rPr>
          <w:i/>
          <w:iCs/>
        </w:rPr>
        <w:t> </w:t>
      </w:r>
      <w:r w:rsidR="00F335A8" w:rsidRPr="00453AE7">
        <w:rPr>
          <w:i/>
          <w:iCs/>
        </w:rPr>
        <w:t>zdraví nebo smrt jiné osoby</w:t>
      </w:r>
      <w:r w:rsidR="00F335A8" w:rsidRPr="00606705">
        <w:t>.</w:t>
      </w:r>
      <w:r w:rsidR="00F335A8">
        <w:t>“</w:t>
      </w:r>
    </w:p>
    <w:p w14:paraId="2A0B6CD6" w14:textId="322FB400" w:rsidR="001B510C" w:rsidRDefault="001B510C" w:rsidP="00C365AE">
      <w:pPr>
        <w:pStyle w:val="Nadpis3"/>
      </w:pPr>
      <w:r>
        <w:t xml:space="preserve">Ad </w:t>
      </w:r>
      <w:r w:rsidR="00D27155">
        <w:t>c</w:t>
      </w:r>
      <w:r>
        <w:t>)</w:t>
      </w:r>
      <w:r w:rsidR="0081754A">
        <w:t xml:space="preserve"> Zpřísnění </w:t>
      </w:r>
      <w:r w:rsidR="00FE58B4">
        <w:t xml:space="preserve">postihu organizovaného nakládání s drogami </w:t>
      </w:r>
    </w:p>
    <w:p w14:paraId="0CE1F854" w14:textId="7728727C" w:rsidR="00D12722" w:rsidRDefault="00D12722" w:rsidP="00C365AE">
      <w:r>
        <w:t xml:space="preserve">Vláda se ve svém programovém prohlášení zavázala zpřísnit postih </w:t>
      </w:r>
      <w:r w:rsidR="00FC406D">
        <w:t>o</w:t>
      </w:r>
      <w:r w:rsidR="00FC406D" w:rsidRPr="00544DF4">
        <w:t>rganizáto</w:t>
      </w:r>
      <w:r w:rsidR="00FC406D">
        <w:t>rů</w:t>
      </w:r>
      <w:r w:rsidR="00FC406D" w:rsidRPr="00544DF4">
        <w:t xml:space="preserve"> </w:t>
      </w:r>
      <w:r w:rsidRPr="00544DF4">
        <w:t xml:space="preserve">drogových obchodů, </w:t>
      </w:r>
      <w:r w:rsidR="00FC406D" w:rsidRPr="00544DF4">
        <w:t>výrobc</w:t>
      </w:r>
      <w:r w:rsidR="00FC406D">
        <w:t>ů</w:t>
      </w:r>
      <w:r w:rsidR="00FC406D" w:rsidRPr="00544DF4">
        <w:t xml:space="preserve"> </w:t>
      </w:r>
      <w:r w:rsidRPr="00544DF4">
        <w:t xml:space="preserve">a </w:t>
      </w:r>
      <w:r w:rsidR="00FC406D" w:rsidRPr="00544DF4">
        <w:t>distributo</w:t>
      </w:r>
      <w:r w:rsidR="00FC406D">
        <w:t>rů</w:t>
      </w:r>
      <w:r w:rsidR="00FC406D" w:rsidRPr="00544DF4">
        <w:t xml:space="preserve"> </w:t>
      </w:r>
      <w:r w:rsidRPr="00544DF4">
        <w:t>drog</w:t>
      </w:r>
      <w:r>
        <w:t xml:space="preserve">. </w:t>
      </w:r>
      <w:r w:rsidRPr="0073219E">
        <w:t>Právě organizátoři, výrobci a osoby zajišťující distribuci vytvářejí podmínky pro dostupnost drog. Jejich činnost neohrožuje jen jednotlivé uživatele, ale</w:t>
      </w:r>
      <w:r w:rsidR="00476336">
        <w:t> </w:t>
      </w:r>
      <w:r w:rsidRPr="0073219E">
        <w:t>i</w:t>
      </w:r>
      <w:r w:rsidR="00281785">
        <w:t> </w:t>
      </w:r>
      <w:r w:rsidRPr="0073219E">
        <w:t>širší veřejný zájem na ochraně veřejného zdraví, bezpečnosti a veřejného pořádku.</w:t>
      </w:r>
      <w:r>
        <w:t xml:space="preserve"> Navrhuje se proto zvýšení dolní sazby u </w:t>
      </w:r>
      <w:r w:rsidR="00721D61">
        <w:t xml:space="preserve">kvalifikované skutkové </w:t>
      </w:r>
      <w:r>
        <w:t>podstat</w:t>
      </w:r>
      <w:r w:rsidR="008D6AB7">
        <w:t>y</w:t>
      </w:r>
      <w:r>
        <w:t xml:space="preserve">, </w:t>
      </w:r>
      <w:r w:rsidR="00721D61">
        <w:t xml:space="preserve">která </w:t>
      </w:r>
      <w:r w:rsidR="009C6D80">
        <w:t xml:space="preserve">přísněji </w:t>
      </w:r>
      <w:r w:rsidR="00721D61">
        <w:t xml:space="preserve">postihuje </w:t>
      </w:r>
      <w:r w:rsidR="009C6D80">
        <w:t>spáchání drogových trestných činů členy organizované skupiny</w:t>
      </w:r>
      <w:r>
        <w:t>.</w:t>
      </w:r>
      <w:r w:rsidR="00721D61">
        <w:t xml:space="preserve"> Respektuje se záměr zákonodárce projevený přijetím zákona č. 270/2025 Sb.</w:t>
      </w:r>
      <w:r w:rsidR="00124587">
        <w:t xml:space="preserve"> privilegovat neoprávněné nakládání s konopím pro jiného, u kterého </w:t>
      </w:r>
      <w:r w:rsidR="004A65B1">
        <w:t xml:space="preserve">se </w:t>
      </w:r>
      <w:r w:rsidR="00124587">
        <w:t xml:space="preserve">proto </w:t>
      </w:r>
      <w:r w:rsidR="008F5C46">
        <w:t xml:space="preserve">takové </w:t>
      </w:r>
      <w:r w:rsidR="00124587">
        <w:t xml:space="preserve">zpřísnění </w:t>
      </w:r>
      <w:r w:rsidR="004A65B1">
        <w:t>nenavrhuje</w:t>
      </w:r>
      <w:r w:rsidR="00124587">
        <w:t xml:space="preserve">. </w:t>
      </w:r>
    </w:p>
    <w:p w14:paraId="1C84D043" w14:textId="1B6A02A0" w:rsidR="001B510C" w:rsidRDefault="001B510C" w:rsidP="00C365AE">
      <w:pPr>
        <w:pStyle w:val="Nadpis3"/>
      </w:pPr>
      <w:r>
        <w:t xml:space="preserve">Ad </w:t>
      </w:r>
      <w:r w:rsidR="00D27155">
        <w:t>d</w:t>
      </w:r>
      <w:r>
        <w:t>)</w:t>
      </w:r>
      <w:r w:rsidR="0081754A">
        <w:t xml:space="preserve"> Nový trestný čin maření výkonu pravomoci úřední osoby v silničním provozu</w:t>
      </w:r>
    </w:p>
    <w:p w14:paraId="056A6757" w14:textId="14C3D4BE" w:rsidR="00426450" w:rsidRDefault="003C660D" w:rsidP="00C365AE">
      <w:r>
        <w:t>Policie ČR za loňský rok eviduje bezmála 500</w:t>
      </w:r>
      <w:r w:rsidR="00067A50">
        <w:t xml:space="preserve"> případů pronásledování řidiče motorového vozidla.</w:t>
      </w:r>
      <w:r>
        <w:t xml:space="preserve"> </w:t>
      </w:r>
      <w:r w:rsidR="00067A50">
        <w:t xml:space="preserve">Takové jednání je obvykle mimořádně nebezpečné, </w:t>
      </w:r>
      <w:r w:rsidR="00691AE4">
        <w:t xml:space="preserve">ujíždějící řidiči reagují zkratkovitě, porušují řadu pravidel silničního provozu a ohrožují ostatní účastníky provozu. Přestože </w:t>
      </w:r>
      <w:r w:rsidR="00726951">
        <w:t xml:space="preserve">takové jednání vede </w:t>
      </w:r>
      <w:r w:rsidR="00B446CF">
        <w:t xml:space="preserve">odhadem </w:t>
      </w:r>
      <w:r w:rsidR="00726951">
        <w:t xml:space="preserve">v 80 % případů k zahájení trestního řízení pro některý z již existujících trestných činů, </w:t>
      </w:r>
      <w:r w:rsidR="00683527">
        <w:t xml:space="preserve">ve zbytku </w:t>
      </w:r>
      <w:r w:rsidR="007328D7">
        <w:t>případů,</w:t>
      </w:r>
      <w:r w:rsidR="00683527">
        <w:t> často jen šťastnou náhodou</w:t>
      </w:r>
      <w:r w:rsidR="005920A0">
        <w:t>,</w:t>
      </w:r>
      <w:r w:rsidR="00683527">
        <w:t xml:space="preserve"> nedojde k následku relevantnímu pro trestní právo (například je ohrožen menší počet osob</w:t>
      </w:r>
      <w:r w:rsidR="004A65B1">
        <w:t>,</w:t>
      </w:r>
      <w:r w:rsidR="00683527">
        <w:t xml:space="preserve"> než se vyžaduje ke</w:t>
      </w:r>
      <w:r w:rsidR="00B446CF">
        <w:t> </w:t>
      </w:r>
      <w:r w:rsidR="00683527">
        <w:t xml:space="preserve">spáchání trestného činu obecného ohrožení). </w:t>
      </w:r>
      <w:r w:rsidR="00B446CF">
        <w:t>„</w:t>
      </w:r>
      <w:r w:rsidR="00667202">
        <w:t>Policejní honička</w:t>
      </w:r>
      <w:r w:rsidR="00B446CF">
        <w:t>“</w:t>
      </w:r>
      <w:r w:rsidR="00667202">
        <w:t xml:space="preserve"> je ovšem natolik nebezpečným společenským jevem, že</w:t>
      </w:r>
      <w:r w:rsidR="00612DD8">
        <w:t> </w:t>
      </w:r>
      <w:r w:rsidR="00667202">
        <w:t>za předpokladu, že při ní dojde k </w:t>
      </w:r>
      <w:proofErr w:type="gramStart"/>
      <w:r w:rsidR="00FE61DC">
        <w:t>ohrožení</w:t>
      </w:r>
      <w:proofErr w:type="gramEnd"/>
      <w:r w:rsidR="00667202">
        <w:t xml:space="preserve"> byť jediné osoby nebo </w:t>
      </w:r>
      <w:r w:rsidR="003533FD">
        <w:t>hrozí-li při něm značná škoda na cizím majetku, jeví se jako přiměřené reagovat na</w:t>
      </w:r>
      <w:r w:rsidR="00DF4E00">
        <w:t> </w:t>
      </w:r>
      <w:r w:rsidR="003533FD">
        <w:t>takové zvlášť bezohledné jednání prostředky trestního práva.</w:t>
      </w:r>
      <w:r w:rsidR="00FE61DC">
        <w:t xml:space="preserve"> V případech, kdy nedojde ke</w:t>
      </w:r>
      <w:r w:rsidR="00DF4E00">
        <w:t> </w:t>
      </w:r>
      <w:r w:rsidR="00FE61DC">
        <w:t xml:space="preserve">spáchání trestného činu, je samotné ujíždění postižitelné pouze jako přestupek podle </w:t>
      </w:r>
      <w:r w:rsidR="008D1454" w:rsidRPr="008D1454">
        <w:t>§ 125c odst. 1 písm. f) bod 5 zákona č.</w:t>
      </w:r>
      <w:r w:rsidR="00612DD8">
        <w:t> </w:t>
      </w:r>
      <w:r w:rsidR="008D1454" w:rsidRPr="008D1454">
        <w:t>361/2000 Sb.</w:t>
      </w:r>
      <w:r w:rsidR="008D1454">
        <w:t>,</w:t>
      </w:r>
      <w:r w:rsidR="00612DD8" w:rsidRPr="00612DD8">
        <w:t xml:space="preserve"> </w:t>
      </w:r>
      <w:r w:rsidR="00612DD8" w:rsidRPr="00EE7D84">
        <w:t>o</w:t>
      </w:r>
      <w:r w:rsidR="00612DD8">
        <w:t xml:space="preserve"> </w:t>
      </w:r>
      <w:r w:rsidR="00612DD8" w:rsidRPr="00EE7D84">
        <w:t>provozu</w:t>
      </w:r>
      <w:r w:rsidR="00612DD8">
        <w:t xml:space="preserve"> </w:t>
      </w:r>
      <w:r w:rsidR="00612DD8" w:rsidRPr="00EE7D84">
        <w:t>na</w:t>
      </w:r>
      <w:r w:rsidR="00612DD8">
        <w:t> </w:t>
      </w:r>
      <w:r w:rsidR="00612DD8" w:rsidRPr="00EE7D84">
        <w:t>pozemních</w:t>
      </w:r>
      <w:r w:rsidR="00612DD8">
        <w:t xml:space="preserve"> </w:t>
      </w:r>
      <w:r w:rsidR="00612DD8" w:rsidRPr="00EE7D84">
        <w:t>komunikacích a</w:t>
      </w:r>
      <w:r w:rsidR="00DF4E00">
        <w:t> </w:t>
      </w:r>
      <w:r w:rsidR="00612DD8" w:rsidRPr="00EE7D84">
        <w:t>o</w:t>
      </w:r>
      <w:r w:rsidR="00DF4E00">
        <w:t> </w:t>
      </w:r>
      <w:r w:rsidR="00612DD8" w:rsidRPr="00EE7D84">
        <w:t>změnách některých zákonů (zákon</w:t>
      </w:r>
      <w:r w:rsidR="00612DD8">
        <w:t xml:space="preserve"> </w:t>
      </w:r>
      <w:r w:rsidR="00612DD8" w:rsidRPr="00EE7D84">
        <w:t>o</w:t>
      </w:r>
      <w:r w:rsidR="00612DD8">
        <w:t> </w:t>
      </w:r>
      <w:r w:rsidR="00612DD8" w:rsidRPr="00EE7D84">
        <w:t>silničním</w:t>
      </w:r>
      <w:r w:rsidR="00612DD8">
        <w:t xml:space="preserve"> </w:t>
      </w:r>
      <w:r w:rsidR="00612DD8" w:rsidRPr="00EE7D84">
        <w:t>provozu)</w:t>
      </w:r>
      <w:r w:rsidR="00D83ECB">
        <w:t>.</w:t>
      </w:r>
    </w:p>
    <w:p w14:paraId="7F53EDC1" w14:textId="7B8D3353" w:rsidR="009064B4" w:rsidRDefault="009064B4" w:rsidP="00C365AE">
      <w:pPr>
        <w:pStyle w:val="Nadpis2"/>
        <w:rPr>
          <w:rFonts w:eastAsia="Calibri"/>
        </w:rPr>
      </w:pPr>
      <w:r w:rsidRPr="009064B4">
        <w:rPr>
          <w:rFonts w:eastAsia="Calibri"/>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27D496E0" w14:textId="1F7D978F" w:rsidR="00BA07C2" w:rsidRDefault="0060031A" w:rsidP="00C365AE">
      <w:pPr>
        <w:rPr>
          <w:bCs/>
        </w:rPr>
      </w:pPr>
      <w:r>
        <w:t>N</w:t>
      </w:r>
      <w:r w:rsidR="00EE3D38">
        <w:t>avrhovaná</w:t>
      </w:r>
      <w:r w:rsidR="00BA07C2" w:rsidRPr="00BA07C2">
        <w:t xml:space="preserve"> právní úprava </w:t>
      </w:r>
      <w:r>
        <w:t xml:space="preserve">je </w:t>
      </w:r>
      <w:r w:rsidR="00BA07C2" w:rsidRPr="00BA07C2">
        <w:t>v souladu s ústavním pořádkem České republiky</w:t>
      </w:r>
      <w:r w:rsidR="00BA07C2" w:rsidRPr="00BA07C2">
        <w:rPr>
          <w:bCs/>
        </w:rPr>
        <w:t xml:space="preserve">. </w:t>
      </w:r>
      <w:r w:rsidR="00BA07C2" w:rsidRPr="00BA07C2">
        <w:t xml:space="preserve">Úprava respektuje čl. 2 odst. 2 Listiny základních práv a svobod a čl. 2 odst. 3 Ústavy, podle kterých lze státní moc uplatňovat v případech, v mezích a způsoby, které stanoví zákon, přičemž státní moc slouží všem občanům. </w:t>
      </w:r>
      <w:r>
        <w:t>Navrhovaná</w:t>
      </w:r>
      <w:r w:rsidRPr="00BA07C2">
        <w:t xml:space="preserve"> </w:t>
      </w:r>
      <w:r w:rsidR="00BA07C2" w:rsidRPr="00BA07C2">
        <w:rPr>
          <w:bCs/>
        </w:rPr>
        <w:t xml:space="preserve">právní úprava rovněž plně respektuje požadavek uvedený v čl. 39 Listiny, který stanoví výhradu zákona pro vymezení, jaká jednání jsou trestným činem a jaký trest nebo jiné újmy na právech nebo majetku lze za jeho spáchání uložit. </w:t>
      </w:r>
      <w:r w:rsidR="00BA07C2" w:rsidRPr="00BA07C2">
        <w:rPr>
          <w:bCs/>
        </w:rPr>
        <w:lastRenderedPageBreak/>
        <w:t>V</w:t>
      </w:r>
      <w:r>
        <w:rPr>
          <w:bCs/>
        </w:rPr>
        <w:t> </w:t>
      </w:r>
      <w:r w:rsidRPr="00BA07C2">
        <w:rPr>
          <w:bCs/>
        </w:rPr>
        <w:t>navr</w:t>
      </w:r>
      <w:r>
        <w:rPr>
          <w:bCs/>
        </w:rPr>
        <w:t xml:space="preserve">hované </w:t>
      </w:r>
      <w:r w:rsidR="00BA07C2" w:rsidRPr="00BA07C2">
        <w:rPr>
          <w:bCs/>
        </w:rPr>
        <w:t>právní úpravě jsou respektovány obecné zásady uplatňující se v oblasti trestního práva hmotného (zejména </w:t>
      </w:r>
      <w:r w:rsidR="00BA07C2" w:rsidRPr="00BA07C2">
        <w:rPr>
          <w:bCs/>
          <w:i/>
          <w:iCs/>
        </w:rPr>
        <w:t xml:space="preserve">ultima ratio, </w:t>
      </w:r>
      <w:proofErr w:type="spellStart"/>
      <w:r w:rsidR="00BA07C2" w:rsidRPr="00BA07C2">
        <w:rPr>
          <w:bCs/>
          <w:i/>
          <w:iCs/>
        </w:rPr>
        <w:t>nullum</w:t>
      </w:r>
      <w:proofErr w:type="spellEnd"/>
      <w:r w:rsidR="00BA07C2" w:rsidRPr="00BA07C2">
        <w:rPr>
          <w:bCs/>
          <w:i/>
          <w:iCs/>
        </w:rPr>
        <w:t xml:space="preserve"> </w:t>
      </w:r>
      <w:proofErr w:type="spellStart"/>
      <w:r w:rsidR="00BA07C2" w:rsidRPr="00BA07C2">
        <w:rPr>
          <w:bCs/>
          <w:i/>
          <w:iCs/>
        </w:rPr>
        <w:t>crimen</w:t>
      </w:r>
      <w:proofErr w:type="spellEnd"/>
      <w:r w:rsidR="00BA07C2" w:rsidRPr="00BA07C2">
        <w:rPr>
          <w:bCs/>
          <w:i/>
          <w:iCs/>
        </w:rPr>
        <w:t xml:space="preserve"> sine lege, </w:t>
      </w:r>
      <w:proofErr w:type="spellStart"/>
      <w:r w:rsidR="00BA07C2" w:rsidRPr="00BA07C2">
        <w:rPr>
          <w:bCs/>
          <w:i/>
          <w:iCs/>
        </w:rPr>
        <w:t>nulla</w:t>
      </w:r>
      <w:proofErr w:type="spellEnd"/>
      <w:r w:rsidR="00BA07C2" w:rsidRPr="00BA07C2">
        <w:rPr>
          <w:bCs/>
          <w:i/>
          <w:iCs/>
        </w:rPr>
        <w:t xml:space="preserve"> </w:t>
      </w:r>
      <w:proofErr w:type="spellStart"/>
      <w:r w:rsidR="00BA07C2" w:rsidRPr="00BA07C2">
        <w:rPr>
          <w:bCs/>
          <w:i/>
          <w:iCs/>
        </w:rPr>
        <w:t>poena</w:t>
      </w:r>
      <w:proofErr w:type="spellEnd"/>
      <w:r w:rsidR="00BA07C2" w:rsidRPr="00BA07C2">
        <w:rPr>
          <w:bCs/>
          <w:i/>
          <w:iCs/>
        </w:rPr>
        <w:t xml:space="preserve"> sine lege, zákaz retroaktivity, zákaz analogie in </w:t>
      </w:r>
      <w:proofErr w:type="spellStart"/>
      <w:r w:rsidR="00BA07C2" w:rsidRPr="00BA07C2">
        <w:rPr>
          <w:bCs/>
          <w:i/>
          <w:iCs/>
        </w:rPr>
        <w:t>malam</w:t>
      </w:r>
      <w:proofErr w:type="spellEnd"/>
      <w:r w:rsidR="00BA07C2" w:rsidRPr="00BA07C2">
        <w:rPr>
          <w:bCs/>
          <w:i/>
          <w:iCs/>
        </w:rPr>
        <w:t xml:space="preserve"> partem, zásada přiměřenosti</w:t>
      </w:r>
      <w:r w:rsidR="00BA07C2" w:rsidRPr="00BA07C2">
        <w:rPr>
          <w:bCs/>
        </w:rPr>
        <w:t>).</w:t>
      </w:r>
    </w:p>
    <w:p w14:paraId="069FC6D4" w14:textId="07FC4B33" w:rsidR="00CE6723" w:rsidRDefault="007213C6" w:rsidP="00C365AE">
      <w:r>
        <w:t>Nový institut zabrání motorového vozidla je jen zvláštním případe</w:t>
      </w:r>
      <w:r w:rsidR="00C738AE">
        <w:t>m</w:t>
      </w:r>
      <w:r>
        <w:t xml:space="preserve"> ochranného opatření zabrání věci, které je považováno za souladné</w:t>
      </w:r>
      <w:r w:rsidR="00C738AE">
        <w:t xml:space="preserve"> s ústavním pořádkem</w:t>
      </w:r>
      <w:r w:rsidR="00E10F63">
        <w:t xml:space="preserve"> a </w:t>
      </w:r>
      <w:r w:rsidR="00C738AE">
        <w:t xml:space="preserve">unijním i mezinárodním právem. </w:t>
      </w:r>
      <w:r w:rsidR="00CE6723">
        <w:t xml:space="preserve">I na novou úpravu tudíž lze vztáhnout </w:t>
      </w:r>
      <w:r w:rsidR="00D90BC6">
        <w:t>judikatura Soudního dvora Evropské unie a</w:t>
      </w:r>
      <w:r w:rsidR="00CE6723">
        <w:t> </w:t>
      </w:r>
      <w:r w:rsidR="00D90BC6">
        <w:t>Evropského soudu pro lidská práva</w:t>
      </w:r>
      <w:r w:rsidR="00CE6723">
        <w:t>, která se vztahuje na ochranné opatření zabrání věci</w:t>
      </w:r>
      <w:r w:rsidR="00D90BC6">
        <w:t>.</w:t>
      </w:r>
    </w:p>
    <w:p w14:paraId="1A7D7C5B" w14:textId="24C49F08" w:rsidR="00D64819" w:rsidRPr="00D64819" w:rsidRDefault="00BE4139" w:rsidP="00C365AE">
      <w:r>
        <w:t xml:space="preserve">Právní úprava </w:t>
      </w:r>
      <w:r w:rsidR="00CE6723">
        <w:t xml:space="preserve">obsažená </w:t>
      </w:r>
      <w:r>
        <w:t>v trestním zákoníku již dnes umož</w:t>
      </w:r>
      <w:r w:rsidR="00C43787">
        <w:t>ň</w:t>
      </w:r>
      <w:r>
        <w:t>uje zabrání majetku osobám, které se nedopustil</w:t>
      </w:r>
      <w:r w:rsidR="00CE6723">
        <w:t>y</w:t>
      </w:r>
      <w:r w:rsidR="0075473D">
        <w:t xml:space="preserve"> žádného</w:t>
      </w:r>
      <w:r>
        <w:t xml:space="preserve"> protiprávního jednání. </w:t>
      </w:r>
      <w:r w:rsidR="00335CCF">
        <w:t xml:space="preserve">Byť se </w:t>
      </w:r>
      <w:r w:rsidR="001810E1">
        <w:t xml:space="preserve">změna </w:t>
      </w:r>
      <w:r w:rsidR="00335CCF">
        <w:t xml:space="preserve">dotýká </w:t>
      </w:r>
      <w:r w:rsidR="00543CCB">
        <w:t xml:space="preserve">práva každého vlastnit majetek podle čl. 11 Listiny </w:t>
      </w:r>
      <w:r w:rsidR="00576C12">
        <w:t xml:space="preserve">a ochrany vlastnictví podle Evropské úmluvy o ochraně lidských práv, </w:t>
      </w:r>
      <w:r w:rsidR="00E07025">
        <w:t xml:space="preserve">nepředstavuje </w:t>
      </w:r>
      <w:r w:rsidR="00576C12">
        <w:t>jejich porušení.</w:t>
      </w:r>
      <w:r w:rsidR="00A470CD">
        <w:t xml:space="preserve"> </w:t>
      </w:r>
      <w:r w:rsidR="00D64819" w:rsidRPr="00D64819">
        <w:t>Pokud jde o ochranu vlastnického práva, Ústavní soud aplikuje test proporcionality. Důvodem zásahu do vlastnictví může být ochrana jiných základních práv nebo ochrana veřejného zájmu. Zásada proporcionality zahrnuje tři kritéria posuzování přípustnosti zásahu: První z nich je princip způsobilosti naplnění účelu, podle něhož musí být příslušné opatření vůbec schopno dosáhnout zamýšleného cíle, jímž je ochrana veřejného zájmu. Dále se jedná o princip potřebnosti/nezbytnosti zásahu. Třetím principem je princip přiměřenosti (proporcionalita v užším smyslu), tj. zda při zohlednění podstaty a smyslu dotčeného základního práva převáží zájem na dosažení sledovaného cíle, resp. podle kterého újma na základním právu nesmí být nepřiměřená ve vztahu k zamýšlenému cíli, tj. opatření omezující základní lidská práva a svobody nesmějí, jde-li o kolizi základního práva či svobody s</w:t>
      </w:r>
      <w:r w:rsidR="00E703A3">
        <w:t> </w:t>
      </w:r>
      <w:r w:rsidR="00D64819" w:rsidRPr="00D64819">
        <w:t>veřejným zájmem, svými negativními důsledky přesahovat pozitiva, která představuje veřejný zájem na těchto opatřeních</w:t>
      </w:r>
      <w:r w:rsidR="00AA33CD">
        <w:t xml:space="preserve"> </w:t>
      </w:r>
      <w:r w:rsidR="00D64819" w:rsidRPr="00D64819">
        <w:t>(viz např. nález </w:t>
      </w:r>
      <w:r w:rsidR="00D64819">
        <w:t xml:space="preserve">Ústavního soudu </w:t>
      </w:r>
      <w:proofErr w:type="spellStart"/>
      <w:r w:rsidR="00D64819">
        <w:t>sp</w:t>
      </w:r>
      <w:proofErr w:type="spellEnd"/>
      <w:r w:rsidR="00D64819">
        <w:t xml:space="preserve">. zn. </w:t>
      </w:r>
      <w:proofErr w:type="spellStart"/>
      <w:r w:rsidR="00D64819" w:rsidRPr="00D64819">
        <w:t>Pl</w:t>
      </w:r>
      <w:proofErr w:type="spellEnd"/>
      <w:r w:rsidR="00D64819" w:rsidRPr="00D64819">
        <w:t>. ÚS 21/</w:t>
      </w:r>
      <w:r w:rsidR="000660E7">
        <w:t>1</w:t>
      </w:r>
      <w:r w:rsidR="000660E7" w:rsidRPr="00D64819">
        <w:t>7</w:t>
      </w:r>
      <w:r w:rsidR="00D64819" w:rsidRPr="00D64819">
        <w:t>).</w:t>
      </w:r>
    </w:p>
    <w:p w14:paraId="5EAC4BB4" w14:textId="7F7D252C" w:rsidR="001A16CA" w:rsidRPr="00427037" w:rsidRDefault="00335CCF" w:rsidP="00C365AE">
      <w:r>
        <w:t>Tímto návrhem se</w:t>
      </w:r>
      <w:r w:rsidR="00A470CD">
        <w:t xml:space="preserve"> nikterak nemění procesní záruky stanovené </w:t>
      </w:r>
      <w:r w:rsidR="001810E1">
        <w:t>pro</w:t>
      </w:r>
      <w:r w:rsidR="00A470CD">
        <w:t> trestní řízení</w:t>
      </w:r>
      <w:r w:rsidR="00A41F4C">
        <w:t>, zůstává zachováno právo každého p</w:t>
      </w:r>
      <w:r w:rsidR="001A16CA" w:rsidRPr="00427037">
        <w:t>odle čl. 6 odst. 1 Úmluvy na to, aby jeho záležitost byla spravedlivě, veřejně a</w:t>
      </w:r>
      <w:r w:rsidR="0060031A">
        <w:t> </w:t>
      </w:r>
      <w:r w:rsidR="001A16CA" w:rsidRPr="00427037">
        <w:t>v</w:t>
      </w:r>
      <w:r w:rsidR="0060031A">
        <w:t> </w:t>
      </w:r>
      <w:r w:rsidR="001A16CA" w:rsidRPr="00427037">
        <w:t>přiměřené lhůtě projednána nezávislým a nestranným soudem zřízeným zákonem, který rozhodne o jeho občanských právech nebo závazcích nebo o oprávněnosti jakéhokoli trestního obvinění proti němu. Tzv. civilní větev práva na spravedlivý proces je široce aplikovatelná v zásadě bez ohledu na druh vnitrostátního řízení, týká-li se řízení</w:t>
      </w:r>
      <w:r w:rsidR="0060031A">
        <w:t xml:space="preserve"> </w:t>
      </w:r>
      <w:r w:rsidR="001A16CA" w:rsidRPr="00427037">
        <w:t xml:space="preserve">mj. občanského práva dotčené osoby, tedy také jejího práva vlastnit majetek. </w:t>
      </w:r>
    </w:p>
    <w:p w14:paraId="792CA935" w14:textId="37AD2B93" w:rsidR="00335CCF" w:rsidRPr="00352B2D" w:rsidRDefault="001A16CA" w:rsidP="00C365AE">
      <w:r w:rsidRPr="00427037">
        <w:t>Podle čl. 13 Úmluvy musí mít každý, jehož práva a svobody přiznané Úmluvou byly porušeny, účinné opravné prostředky před národním orgánem, i když se porušení dopustily osoby při plnění úředních povinností. Ochranu vlastnictví každé fyzické nebo právnické osoby zajišťuje čl. 1 dodatkového protokolu k Úmluvě, jenž se aplikuje jako dodatkový článek k Úmluvě a v souladu s ní.</w:t>
      </w:r>
    </w:p>
    <w:p w14:paraId="6106AB2E" w14:textId="0B843241" w:rsidR="00EE3D38" w:rsidRPr="00427037" w:rsidRDefault="00EE3D38" w:rsidP="00C365AE">
      <w:pPr>
        <w:rPr>
          <w:bCs/>
        </w:rPr>
      </w:pPr>
      <w:r w:rsidRPr="00427037">
        <w:rPr>
          <w:bCs/>
        </w:rPr>
        <w:t>Problematiku konfiskace majetku, který je nástrojem trestné činnosti nebo výnosem z trestné činnosti, popř. náhradní hodnotou za výnos z trestné činnosti, upravují následující mnohostranné mezinárodní úmluvy, jichž je Česká republika smluvní stranou:</w:t>
      </w:r>
    </w:p>
    <w:p w14:paraId="57E1ECD6" w14:textId="77777777" w:rsidR="00EE3D38" w:rsidRPr="00427037" w:rsidRDefault="00EE3D38" w:rsidP="00C365AE">
      <w:pPr>
        <w:numPr>
          <w:ilvl w:val="0"/>
          <w:numId w:val="3"/>
        </w:numPr>
        <w:tabs>
          <w:tab w:val="num" w:pos="567"/>
        </w:tabs>
        <w:suppressAutoHyphens/>
        <w:ind w:left="567" w:hanging="567"/>
      </w:pPr>
      <w:r w:rsidRPr="00427037">
        <w:t xml:space="preserve">Úmluva o praní, vyhledávání, zadržování a konfiskaci výnosů ze zločinu (Štrasburk, 8. 11. 1990, </w:t>
      </w:r>
      <w:proofErr w:type="spellStart"/>
      <w:r w:rsidRPr="00427037">
        <w:t>vyhl</w:t>
      </w:r>
      <w:proofErr w:type="spellEnd"/>
      <w:r w:rsidRPr="00427037">
        <w:t>. pod č. 33/1997 Sb.),</w:t>
      </w:r>
    </w:p>
    <w:p w14:paraId="1147A184" w14:textId="77777777" w:rsidR="00EE3D38" w:rsidRPr="00427037" w:rsidRDefault="00EE3D38" w:rsidP="00C365AE">
      <w:pPr>
        <w:numPr>
          <w:ilvl w:val="0"/>
          <w:numId w:val="3"/>
        </w:numPr>
        <w:tabs>
          <w:tab w:val="num" w:pos="567"/>
        </w:tabs>
        <w:suppressAutoHyphens/>
        <w:ind w:left="567" w:hanging="567"/>
      </w:pPr>
      <w:r w:rsidRPr="00427037">
        <w:t xml:space="preserve">Trestněprávní úmluva o korupci (Štrasburk, 27. 1. 1999, </w:t>
      </w:r>
      <w:proofErr w:type="spellStart"/>
      <w:r w:rsidRPr="00427037">
        <w:t>vyhl</w:t>
      </w:r>
      <w:proofErr w:type="spellEnd"/>
      <w:r w:rsidRPr="00427037">
        <w:t>. pod č. 70/2002 Sb. m. s.),</w:t>
      </w:r>
    </w:p>
    <w:p w14:paraId="040BFB48" w14:textId="77777777" w:rsidR="00EE3D38" w:rsidRPr="00427037" w:rsidRDefault="00EE3D38" w:rsidP="00C365AE">
      <w:pPr>
        <w:numPr>
          <w:ilvl w:val="0"/>
          <w:numId w:val="3"/>
        </w:numPr>
        <w:tabs>
          <w:tab w:val="num" w:pos="567"/>
        </w:tabs>
        <w:suppressAutoHyphens/>
        <w:ind w:left="567" w:hanging="567"/>
      </w:pPr>
      <w:r w:rsidRPr="00427037">
        <w:t xml:space="preserve">Mezinárodní úmluva o potlačování financování terorismu (New York, 9. 12. 1999, </w:t>
      </w:r>
      <w:proofErr w:type="spellStart"/>
      <w:r w:rsidRPr="00427037">
        <w:t>vyhl</w:t>
      </w:r>
      <w:proofErr w:type="spellEnd"/>
      <w:r w:rsidRPr="00427037">
        <w:t>. pod č. 18/2006 Sb. m. s.),</w:t>
      </w:r>
    </w:p>
    <w:p w14:paraId="5AB3A0B8" w14:textId="2AA7D8B6" w:rsidR="00EE3D38" w:rsidRPr="00427037" w:rsidRDefault="00EE3D38" w:rsidP="00C365AE">
      <w:pPr>
        <w:numPr>
          <w:ilvl w:val="0"/>
          <w:numId w:val="3"/>
        </w:numPr>
        <w:tabs>
          <w:tab w:val="num" w:pos="567"/>
        </w:tabs>
        <w:suppressAutoHyphens/>
        <w:ind w:left="567" w:hanging="567"/>
      </w:pPr>
      <w:r w:rsidRPr="00427037">
        <w:t>Úmluva Organizace spojených národů proti nedovolenému obchodu s omamnými a psychotropními látkami (Vídeň, 7. 12.</w:t>
      </w:r>
      <w:r w:rsidR="00A021B1">
        <w:t xml:space="preserve"> </w:t>
      </w:r>
      <w:r w:rsidRPr="00427037">
        <w:t xml:space="preserve">1989, </w:t>
      </w:r>
      <w:proofErr w:type="spellStart"/>
      <w:r w:rsidRPr="00427037">
        <w:rPr>
          <w:bCs/>
        </w:rPr>
        <w:t>vyhl</w:t>
      </w:r>
      <w:proofErr w:type="spellEnd"/>
      <w:r w:rsidRPr="00427037">
        <w:rPr>
          <w:bCs/>
        </w:rPr>
        <w:t xml:space="preserve">. pod č. </w:t>
      </w:r>
      <w:r w:rsidRPr="00427037">
        <w:t>462/1991 Sb.),</w:t>
      </w:r>
    </w:p>
    <w:p w14:paraId="38298916" w14:textId="77777777" w:rsidR="00EE3D38" w:rsidRPr="00427037" w:rsidRDefault="00EE3D38" w:rsidP="00C365AE">
      <w:pPr>
        <w:numPr>
          <w:ilvl w:val="0"/>
          <w:numId w:val="3"/>
        </w:numPr>
        <w:tabs>
          <w:tab w:val="num" w:pos="567"/>
        </w:tabs>
        <w:suppressAutoHyphens/>
        <w:ind w:left="567" w:hanging="567"/>
      </w:pPr>
      <w:r w:rsidRPr="00427037">
        <w:t xml:space="preserve">Úmluva o boji proti podplácení zahraničních veřejných činitelů v mezinárodních podnikatelských transakcích (Paříž, 17. 12. 1997, </w:t>
      </w:r>
      <w:proofErr w:type="spellStart"/>
      <w:r w:rsidRPr="00427037">
        <w:rPr>
          <w:bCs/>
        </w:rPr>
        <w:t>vyhl</w:t>
      </w:r>
      <w:proofErr w:type="spellEnd"/>
      <w:r w:rsidRPr="00427037">
        <w:rPr>
          <w:bCs/>
        </w:rPr>
        <w:t xml:space="preserve">. pod č. </w:t>
      </w:r>
      <w:r w:rsidRPr="00427037">
        <w:t>25/2000 Sb. m. s.),</w:t>
      </w:r>
    </w:p>
    <w:p w14:paraId="2C7CED75" w14:textId="111B4D72" w:rsidR="00EE3D38" w:rsidRPr="00427037" w:rsidRDefault="00EE3D38" w:rsidP="00C365AE">
      <w:pPr>
        <w:numPr>
          <w:ilvl w:val="0"/>
          <w:numId w:val="3"/>
        </w:numPr>
        <w:tabs>
          <w:tab w:val="num" w:pos="567"/>
        </w:tabs>
        <w:suppressAutoHyphens/>
        <w:ind w:left="567" w:hanging="567"/>
      </w:pPr>
      <w:r w:rsidRPr="00427037">
        <w:lastRenderedPageBreak/>
        <w:t>Úmluva Organizace spojených národů proti nadnárodnímu organizovanému zločinu (New York, 15. 11.</w:t>
      </w:r>
      <w:r w:rsidR="00471A91">
        <w:t xml:space="preserve"> 2000</w:t>
      </w:r>
      <w:r w:rsidRPr="00427037">
        <w:t xml:space="preserve">, </w:t>
      </w:r>
      <w:proofErr w:type="spellStart"/>
      <w:r w:rsidRPr="00427037">
        <w:rPr>
          <w:bCs/>
        </w:rPr>
        <w:t>vyhl</w:t>
      </w:r>
      <w:proofErr w:type="spellEnd"/>
      <w:r w:rsidRPr="00427037">
        <w:rPr>
          <w:bCs/>
        </w:rPr>
        <w:t xml:space="preserve">. pod č. </w:t>
      </w:r>
      <w:r w:rsidRPr="00427037">
        <w:t>75/2013 Sb. m. s.),</w:t>
      </w:r>
    </w:p>
    <w:p w14:paraId="4FAE5A86" w14:textId="77777777" w:rsidR="00EE3D38" w:rsidRPr="00427037" w:rsidRDefault="00EE3D38" w:rsidP="00C365AE">
      <w:pPr>
        <w:numPr>
          <w:ilvl w:val="0"/>
          <w:numId w:val="3"/>
        </w:numPr>
        <w:tabs>
          <w:tab w:val="num" w:pos="567"/>
        </w:tabs>
        <w:suppressAutoHyphens/>
        <w:ind w:left="567" w:hanging="567"/>
      </w:pPr>
      <w:r w:rsidRPr="00427037">
        <w:t xml:space="preserve">Úmluva Organizace spojených národů proti korupci (New York, 31. 10. 2003, </w:t>
      </w:r>
      <w:proofErr w:type="spellStart"/>
      <w:r w:rsidRPr="00427037">
        <w:rPr>
          <w:bCs/>
        </w:rPr>
        <w:t>vyhl</w:t>
      </w:r>
      <w:proofErr w:type="spellEnd"/>
      <w:r w:rsidRPr="00427037">
        <w:rPr>
          <w:bCs/>
        </w:rPr>
        <w:t>. pod č. </w:t>
      </w:r>
      <w:r w:rsidRPr="00427037">
        <w:t>105/2013 Sb. m. s.),</w:t>
      </w:r>
    </w:p>
    <w:p w14:paraId="6ED3A948" w14:textId="77777777" w:rsidR="00EE3D38" w:rsidRPr="00427037" w:rsidRDefault="00EE3D38" w:rsidP="00C365AE">
      <w:pPr>
        <w:numPr>
          <w:ilvl w:val="0"/>
          <w:numId w:val="3"/>
        </w:numPr>
        <w:tabs>
          <w:tab w:val="num" w:pos="567"/>
        </w:tabs>
        <w:suppressAutoHyphens/>
        <w:ind w:left="567" w:hanging="567"/>
      </w:pPr>
      <w:r w:rsidRPr="00427037">
        <w:t>Úmluva Rady Evropy o praní, vyhledávání, zajištění a konfiskaci výnosů z trestné činnosti a o financování terorismu (Varšava, 16. 5. 2005, doposud neratifikována).</w:t>
      </w:r>
    </w:p>
    <w:p w14:paraId="491230DB" w14:textId="2E1A988B" w:rsidR="00EE3D38" w:rsidRDefault="00EE3D38" w:rsidP="00C365AE">
      <w:r w:rsidRPr="00427037">
        <w:rPr>
          <w:bCs/>
        </w:rPr>
        <w:t xml:space="preserve">Tyto úmluvy obsahují převážně obecná ustanovení o povinnosti státu zajistit a zkonfiskovat majetek, který je nástrojem nebo výnosem z trestného činu nebo jehož hodnota odpovídá výnosům z trestné činnosti, které nelze zkonfiskovat. </w:t>
      </w:r>
      <w:r w:rsidRPr="00427037">
        <w:t xml:space="preserve">Úmluva Organizace spojených národů proti korupci pak požaduje možnost zajistit a konfiskovat i majetek, ve který byly výnosy z trestné činnosti přeměněny, nebo s kterým byly smíseny, </w:t>
      </w:r>
      <w:r w:rsidR="00C47954">
        <w:t xml:space="preserve">a to </w:t>
      </w:r>
      <w:r w:rsidRPr="00427037">
        <w:t>až do výše výnosu. S těmito mezinárodními smlouvami není navržená úprava v rozporu.</w:t>
      </w:r>
    </w:p>
    <w:p w14:paraId="472EB726" w14:textId="28290F8F" w:rsidR="009D3772" w:rsidRPr="00427037" w:rsidRDefault="009D3772" w:rsidP="00C365AE">
      <w:pPr>
        <w:rPr>
          <w:bCs/>
        </w:rPr>
      </w:pPr>
      <w:r>
        <w:t xml:space="preserve">Na úrovni Evropské unie konfiskace upravuje </w:t>
      </w:r>
      <w:r w:rsidR="00B643FC">
        <w:t>s</w:t>
      </w:r>
      <w:r w:rsidRPr="009D3772">
        <w:t>měrnice Evropského parlamentu a Rady (EU) 2024/1260 ze dne 24. dubna 2024 o vymáhání a konfiskaci majetku</w:t>
      </w:r>
      <w:r w:rsidR="00B643FC">
        <w:t xml:space="preserve">. Ta však upravuje </w:t>
      </w:r>
      <w:r w:rsidR="002624F3">
        <w:t>nezbytná opatření členských států vedoucí ke konfiskaci vymezeného majetku, nebrání vnitrostátní úpravě upravit jiné případy konfiskace majetku.</w:t>
      </w:r>
    </w:p>
    <w:p w14:paraId="5EA85C61" w14:textId="4E48EEDE" w:rsidR="009D71C6" w:rsidRDefault="007568A6" w:rsidP="00C365AE">
      <w:r>
        <w:t>Ani navrhované zpřísnění trestného činu ohrožení pod vlivem návykové látky není v rozporu s</w:t>
      </w:r>
      <w:r w:rsidR="001B118A">
        <w:t> unijním a mezinárodním právem.</w:t>
      </w:r>
      <w:r w:rsidR="00BF45FA">
        <w:t xml:space="preserve"> Z evropských předpisů se</w:t>
      </w:r>
      <w:r w:rsidR="00D64819">
        <w:t xml:space="preserve"> dané problematiky v obecné</w:t>
      </w:r>
      <w:r w:rsidR="00BF45FA">
        <w:t xml:space="preserve"> </w:t>
      </w:r>
      <w:r w:rsidR="00D64819">
        <w:t xml:space="preserve">rovině </w:t>
      </w:r>
      <w:r w:rsidR="00BF45FA">
        <w:t>dotýká s</w:t>
      </w:r>
      <w:r w:rsidR="00BF45FA" w:rsidRPr="00BF45FA">
        <w:t xml:space="preserve">měrnice Evropského parlamentu a </w:t>
      </w:r>
      <w:r w:rsidR="009E6026">
        <w:t>R</w:t>
      </w:r>
      <w:r w:rsidR="009E6026" w:rsidRPr="00BF45FA">
        <w:t xml:space="preserve">ady </w:t>
      </w:r>
      <w:r w:rsidR="00BF45FA" w:rsidRPr="00BF45FA">
        <w:t>(EU) 2025/2205 ze dne 22. října 2025 o řidičských průkazech, o změně nařízení Evropského parlamentu a Rady (EU) 2018/1724 a</w:t>
      </w:r>
      <w:r w:rsidR="00D64819">
        <w:t> </w:t>
      </w:r>
      <w:r w:rsidR="00BF45FA" w:rsidRPr="00BF45FA">
        <w:t xml:space="preserve">směrnice Evropského parlamentu a Rady (EU) 2022/2561 a o zrušení směrnice Evropského parlamentu a Rady 2006/126/ES a nařízení Komise (EU) č. 383/2012 </w:t>
      </w:r>
      <w:r w:rsidR="006F5801">
        <w:t xml:space="preserve">a </w:t>
      </w:r>
      <w:r w:rsidR="002F2A81">
        <w:t xml:space="preserve">dále také doporučení </w:t>
      </w:r>
      <w:r w:rsidR="00D22E7C">
        <w:t>Komise ze dne 21.</w:t>
      </w:r>
      <w:r w:rsidR="0060031A">
        <w:t> </w:t>
      </w:r>
      <w:r w:rsidR="00D22E7C">
        <w:t xml:space="preserve">října </w:t>
      </w:r>
      <w:r w:rsidR="00173DD1">
        <w:t xml:space="preserve">2003 </w:t>
      </w:r>
      <w:r w:rsidR="002F2A81">
        <w:t>o vymáhání právních předpisů v</w:t>
      </w:r>
      <w:r w:rsidR="00D22E7C">
        <w:t> </w:t>
      </w:r>
      <w:r w:rsidR="002F2A81">
        <w:t>oblasti</w:t>
      </w:r>
      <w:r w:rsidR="00D22E7C">
        <w:t xml:space="preserve"> </w:t>
      </w:r>
      <w:r w:rsidR="002F2A81">
        <w:t>bezpečnosti silničního provozu (2004/345/ES)</w:t>
      </w:r>
      <w:r w:rsidR="000B0955">
        <w:t>.</w:t>
      </w:r>
      <w:r w:rsidR="00E20F00">
        <w:t xml:space="preserve"> Z těchto předpisů neplyne </w:t>
      </w:r>
      <w:r w:rsidR="00D64819">
        <w:t xml:space="preserve">ani </w:t>
      </w:r>
      <w:r w:rsidR="00E20F00">
        <w:t xml:space="preserve">žádná překážka </w:t>
      </w:r>
      <w:r w:rsidR="00D64819">
        <w:t xml:space="preserve">pro zakotvení </w:t>
      </w:r>
      <w:r w:rsidR="00E20F00">
        <w:t xml:space="preserve">trestněprávního postihu ujíždění před osobou, která v rámci své veřejnoprávní pravomoci dala pokyn k zastavení vozidla nebo </w:t>
      </w:r>
      <w:r w:rsidR="00D64819">
        <w:t xml:space="preserve">před osobou, </w:t>
      </w:r>
      <w:r w:rsidR="00E20F00">
        <w:t xml:space="preserve">která </w:t>
      </w:r>
      <w:r w:rsidR="00D64819">
        <w:t xml:space="preserve">pachatele </w:t>
      </w:r>
      <w:r w:rsidR="00A0099A">
        <w:t xml:space="preserve">v souladu se zákonem pronásleduje z důvodu </w:t>
      </w:r>
      <w:r w:rsidR="00D64819">
        <w:t xml:space="preserve">jeho </w:t>
      </w:r>
      <w:r w:rsidR="00A0099A">
        <w:t>protiprávní činnosti.</w:t>
      </w:r>
    </w:p>
    <w:p w14:paraId="76A26443" w14:textId="601B16FD" w:rsidR="00284A85" w:rsidRDefault="000B0955" w:rsidP="00C365AE">
      <w:r>
        <w:t xml:space="preserve">Změny </w:t>
      </w:r>
      <w:r w:rsidR="00603F26">
        <w:t xml:space="preserve">v drogových trestných činech se </w:t>
      </w:r>
      <w:r w:rsidR="005C6831">
        <w:t xml:space="preserve">na úrovni evropských předpisů </w:t>
      </w:r>
      <w:r w:rsidR="00603F26">
        <w:t>dotýkají r</w:t>
      </w:r>
      <w:r w:rsidR="00603F26" w:rsidRPr="00603F26">
        <w:t>ámcové</w:t>
      </w:r>
      <w:r w:rsidR="00603F26">
        <w:t>ho</w:t>
      </w:r>
      <w:r w:rsidR="00603F26" w:rsidRPr="00603F26">
        <w:t xml:space="preserve"> rozhodnutí Rady 2004/757/SVV ze dne 25. října 2004, kterým se stanoví minimální ustanovení týkající se znaků skutkových podstat trestných činů a sankcí v oblasti nedovoleného obchodu s</w:t>
      </w:r>
      <w:r w:rsidR="005C6831">
        <w:t> </w:t>
      </w:r>
      <w:r w:rsidR="00603F26" w:rsidRPr="00603F26">
        <w:t>drogami</w:t>
      </w:r>
      <w:r w:rsidR="005C6831">
        <w:t xml:space="preserve">. Jak ale vyplývá ze samostatného názvu </w:t>
      </w:r>
      <w:r w:rsidR="00E46488">
        <w:t>rámcového rozhodnutí, tento předpis stanoví pouze tresty minimální</w:t>
      </w:r>
      <w:r w:rsidR="00C649B0">
        <w:t xml:space="preserve"> a </w:t>
      </w:r>
      <w:r w:rsidR="00E46488">
        <w:t xml:space="preserve">jakémukoliv zpřísnění tedy nebrání. </w:t>
      </w:r>
    </w:p>
    <w:p w14:paraId="65F5B7D3" w14:textId="2C844C05" w:rsidR="00E46488" w:rsidRDefault="008267DC" w:rsidP="00C365AE">
      <w:r w:rsidRPr="008267DC">
        <w:t>Základní</w:t>
      </w:r>
      <w:r w:rsidR="00C649B0">
        <w:t>mi</w:t>
      </w:r>
      <w:r w:rsidRPr="008267DC">
        <w:t xml:space="preserve"> mezinárodněprávní</w:t>
      </w:r>
      <w:r w:rsidR="00C649B0">
        <w:t>mi</w:t>
      </w:r>
      <w:r w:rsidRPr="008267DC">
        <w:t xml:space="preserve"> prameny upravující</w:t>
      </w:r>
      <w:r w:rsidR="00C649B0">
        <w:t>mi</w:t>
      </w:r>
      <w:r w:rsidRPr="008267DC">
        <w:t xml:space="preserve"> prohibici a trestnost </w:t>
      </w:r>
      <w:r w:rsidR="00B6172A">
        <w:t>nakládání s </w:t>
      </w:r>
      <w:r w:rsidRPr="008267DC">
        <w:t>omamn</w:t>
      </w:r>
      <w:r w:rsidR="00B6172A">
        <w:t>ými</w:t>
      </w:r>
      <w:r w:rsidRPr="008267DC">
        <w:t xml:space="preserve"> lát</w:t>
      </w:r>
      <w:r w:rsidR="00B6172A">
        <w:t xml:space="preserve">kami </w:t>
      </w:r>
      <w:r w:rsidRPr="008267DC">
        <w:t>pak jsou Jednotná úmluva o omamných látkách z roku 1961 (</w:t>
      </w:r>
      <w:proofErr w:type="spellStart"/>
      <w:r w:rsidRPr="008267DC">
        <w:t>publ</w:t>
      </w:r>
      <w:proofErr w:type="spellEnd"/>
      <w:r w:rsidRPr="008267DC">
        <w:t>.</w:t>
      </w:r>
      <w:r w:rsidR="00B6172A">
        <w:t> </w:t>
      </w:r>
      <w:r w:rsidRPr="008267DC">
        <w:t>pod</w:t>
      </w:r>
      <w:r w:rsidR="00B6172A">
        <w:t> </w:t>
      </w:r>
      <w:r w:rsidRPr="008267DC">
        <w:t>č.</w:t>
      </w:r>
      <w:r w:rsidR="00351C83">
        <w:t> </w:t>
      </w:r>
      <w:r w:rsidRPr="008267DC">
        <w:t>47/1965 Sb.), Úmluva o psychotropních látkách z roku 1971 (</w:t>
      </w:r>
      <w:proofErr w:type="spellStart"/>
      <w:r w:rsidRPr="008267DC">
        <w:t>publ</w:t>
      </w:r>
      <w:proofErr w:type="spellEnd"/>
      <w:r w:rsidRPr="008267DC">
        <w:t>. pod č.</w:t>
      </w:r>
      <w:r w:rsidR="00B6172A">
        <w:t> </w:t>
      </w:r>
      <w:r w:rsidRPr="008267DC">
        <w:t>462/1991 Sb.) a</w:t>
      </w:r>
      <w:r w:rsidR="00351C83">
        <w:t> </w:t>
      </w:r>
      <w:r w:rsidRPr="008267DC">
        <w:t>Úmluva Organizace spojených národů proti nedovolenému obchodu s</w:t>
      </w:r>
      <w:r w:rsidR="00B6172A">
        <w:t> </w:t>
      </w:r>
      <w:r w:rsidRPr="008267DC">
        <w:t>omamnými a</w:t>
      </w:r>
      <w:r w:rsidR="00351C83">
        <w:t> </w:t>
      </w:r>
      <w:r w:rsidRPr="008267DC">
        <w:t>psychotropními látkami z roku 1988 (</w:t>
      </w:r>
      <w:proofErr w:type="spellStart"/>
      <w:r w:rsidRPr="008267DC">
        <w:t>publ</w:t>
      </w:r>
      <w:proofErr w:type="spellEnd"/>
      <w:r w:rsidRPr="008267DC">
        <w:t>. pod č. 462/1991 Sb.). Tyto mezinárodní smlouvy nestanoví konkrétní požadavky na výši trestní sazby nebo na obligatorní druhy trestů, které lze za daná jednání uložit.</w:t>
      </w:r>
    </w:p>
    <w:p w14:paraId="6EDFCF59" w14:textId="42199981" w:rsidR="0055562B" w:rsidRDefault="0055562B" w:rsidP="00C365AE">
      <w:pPr>
        <w:pStyle w:val="Nadpis2"/>
      </w:pPr>
      <w:r w:rsidRPr="002759C8">
        <w:t>Předpokládaný hospodářský a finanční dopad navrhované právní úpravy na státní rozpočet a ostatní veřejné rozpočty</w:t>
      </w:r>
    </w:p>
    <w:p w14:paraId="371E0C64" w14:textId="5FCC9C1A" w:rsidR="00CC6684" w:rsidRDefault="00C74DBB" w:rsidP="00C365AE">
      <w:r>
        <w:t xml:space="preserve">Odhaduje se, že </w:t>
      </w:r>
      <w:r w:rsidR="000E63F8">
        <w:t xml:space="preserve">zavedení </w:t>
      </w:r>
      <w:r>
        <w:t>navrhovan</w:t>
      </w:r>
      <w:r w:rsidR="000E63F8">
        <w:t>ého</w:t>
      </w:r>
      <w:r>
        <w:t xml:space="preserve"> </w:t>
      </w:r>
      <w:r w:rsidR="000E63F8">
        <w:t>trestného činu</w:t>
      </w:r>
      <w:r>
        <w:t xml:space="preserve"> </w:t>
      </w:r>
      <w:r w:rsidR="0024039F">
        <w:t>maření výkonu pravomoci úřední osoby v silničním provozu</w:t>
      </w:r>
      <w:r w:rsidR="004256B0">
        <w:t xml:space="preserve"> </w:t>
      </w:r>
      <w:r w:rsidR="00085E3E">
        <w:t xml:space="preserve">povede k zahájení přibližně </w:t>
      </w:r>
      <w:r w:rsidR="00B516EF">
        <w:t xml:space="preserve">100 </w:t>
      </w:r>
      <w:r w:rsidR="00917EB5">
        <w:t>trestních řízení ročně</w:t>
      </w:r>
      <w:r w:rsidR="00B516EF">
        <w:t xml:space="preserve">, která by jinak nebyla zahájena pro </w:t>
      </w:r>
      <w:r w:rsidR="004256B0">
        <w:t xml:space="preserve">spáchání jiného trestného činu, </w:t>
      </w:r>
      <w:r w:rsidR="00F02F8D">
        <w:t xml:space="preserve">kterého </w:t>
      </w:r>
      <w:r w:rsidR="004256B0">
        <w:t xml:space="preserve">se pachatelé tohoto jednání dopouštějí (např. </w:t>
      </w:r>
      <w:r w:rsidR="00981C96">
        <w:t xml:space="preserve">pro </w:t>
      </w:r>
      <w:r w:rsidR="0024039F">
        <w:t xml:space="preserve">trestný čin obecného ohrožení, </w:t>
      </w:r>
      <w:r w:rsidR="008C164C">
        <w:t xml:space="preserve">ohrožení pod vlivem návykové látky nebo </w:t>
      </w:r>
      <w:r w:rsidR="008C164C">
        <w:lastRenderedPageBreak/>
        <w:t>maření výkonu úředního rozhodnutí nebo vykázání</w:t>
      </w:r>
      <w:r w:rsidR="004256B0">
        <w:t>)</w:t>
      </w:r>
      <w:r w:rsidR="00917EB5">
        <w:t>.</w:t>
      </w:r>
      <w:r w:rsidR="00F71527">
        <w:t xml:space="preserve"> </w:t>
      </w:r>
      <w:r w:rsidR="00E973C7">
        <w:t xml:space="preserve">Vzhledem k sazbě trestu odnětí svobody bude v prvním stupni příslušný vždy okresní soud (srov. </w:t>
      </w:r>
      <w:r w:rsidR="00416494">
        <w:t xml:space="preserve">§ 16 ve spojení s § 17 </w:t>
      </w:r>
      <w:proofErr w:type="spellStart"/>
      <w:r w:rsidR="00416494">
        <w:t>tr</w:t>
      </w:r>
      <w:proofErr w:type="spellEnd"/>
      <w:r w:rsidR="00C5383B">
        <w:t xml:space="preserve">. </w:t>
      </w:r>
      <w:r w:rsidR="00416494">
        <w:t>řádu)</w:t>
      </w:r>
      <w:r w:rsidR="00D4147F">
        <w:t>.</w:t>
      </w:r>
      <w:r w:rsidR="00F71527">
        <w:t xml:space="preserve"> </w:t>
      </w:r>
      <w:r w:rsidR="00D506A8">
        <w:t>J</w:t>
      </w:r>
      <w:r w:rsidR="00C448FC" w:rsidRPr="00C448FC">
        <w:t xml:space="preserve">edná </w:t>
      </w:r>
      <w:r w:rsidR="00872345">
        <w:t xml:space="preserve">se </w:t>
      </w:r>
      <w:r w:rsidR="00F71527">
        <w:t xml:space="preserve">tak </w:t>
      </w:r>
      <w:r w:rsidR="00C448FC" w:rsidRPr="00C448FC">
        <w:t xml:space="preserve">o </w:t>
      </w:r>
      <w:r w:rsidR="00F71527">
        <w:t xml:space="preserve">zcela </w:t>
      </w:r>
      <w:r w:rsidR="00B92669">
        <w:t>zanedbatelný</w:t>
      </w:r>
      <w:r w:rsidR="00C448FC" w:rsidRPr="00C448FC">
        <w:t xml:space="preserve"> nárůst nápadu v trestních věcech</w:t>
      </w:r>
      <w:r w:rsidR="00F71527">
        <w:t>, a to</w:t>
      </w:r>
      <w:r w:rsidR="00C448FC" w:rsidRPr="00C448FC">
        <w:t xml:space="preserve"> </w:t>
      </w:r>
      <w:r w:rsidR="00062C60">
        <w:t>o</w:t>
      </w:r>
      <w:r w:rsidR="00F55425">
        <w:t xml:space="preserve"> méně než 0,2 %</w:t>
      </w:r>
      <w:r w:rsidR="00981C96">
        <w:t>,</w:t>
      </w:r>
      <w:r w:rsidR="00F71527">
        <w:t xml:space="preserve"> rozprostřený po celém území republiky</w:t>
      </w:r>
      <w:r w:rsidR="00F55425">
        <w:t xml:space="preserve"> </w:t>
      </w:r>
      <w:r w:rsidR="00C448FC" w:rsidRPr="00C448FC">
        <w:t>(</w:t>
      </w:r>
      <w:r w:rsidR="00CC4A3F">
        <w:t xml:space="preserve">aktuální nápad </w:t>
      </w:r>
      <w:r w:rsidR="00C448FC" w:rsidRPr="00C448FC">
        <w:t xml:space="preserve">je </w:t>
      </w:r>
      <w:r w:rsidR="00CC4A3F">
        <w:t>přibližně</w:t>
      </w:r>
      <w:r w:rsidR="00C448FC" w:rsidRPr="00C448FC">
        <w:t xml:space="preserve"> 60 000 osob ročně na</w:t>
      </w:r>
      <w:r w:rsidR="00F71527">
        <w:t> </w:t>
      </w:r>
      <w:r w:rsidR="00C448FC" w:rsidRPr="00C448FC">
        <w:t>okresních soudech</w:t>
      </w:r>
      <w:r w:rsidR="00062C60">
        <w:t>)</w:t>
      </w:r>
      <w:r w:rsidR="00C448FC" w:rsidRPr="00C448FC">
        <w:t>.</w:t>
      </w:r>
      <w:r w:rsidR="00F71527">
        <w:t xml:space="preserve"> </w:t>
      </w:r>
      <w:r w:rsidR="00FF4E50">
        <w:t>Personální obsazení soudů se určuje podle</w:t>
      </w:r>
      <w:r w:rsidR="00014566">
        <w:t xml:space="preserve"> systemizačních měřítek, která </w:t>
      </w:r>
      <w:r w:rsidR="00615CF8">
        <w:t xml:space="preserve">stanoví, kolik </w:t>
      </w:r>
      <w:r w:rsidR="00A67F6E">
        <w:t xml:space="preserve">věcí </w:t>
      </w:r>
      <w:r w:rsidR="00615CF8" w:rsidRPr="00615CF8">
        <w:t>(u trestních agend počet věcí vychází z</w:t>
      </w:r>
      <w:r w:rsidR="0068667D">
        <w:t> </w:t>
      </w:r>
      <w:r w:rsidR="00615CF8" w:rsidRPr="00615CF8">
        <w:t xml:space="preserve">počtu obžalovaných osob) musí </w:t>
      </w:r>
      <w:r w:rsidR="007D50C1" w:rsidRPr="00615CF8">
        <w:t xml:space="preserve">být </w:t>
      </w:r>
      <w:r w:rsidR="00615CF8" w:rsidRPr="00615CF8">
        <w:t>soudce či zaměstnanec soudu dané instance za jeden soudní rok schopen vyřídit, věnoval-li by se vyřizování výlučně této jedné agendy.</w:t>
      </w:r>
      <w:r w:rsidR="00D5766E">
        <w:t xml:space="preserve"> Na základě těchto měřítek by si nový trestný čin </w:t>
      </w:r>
      <w:r w:rsidR="00491D3B">
        <w:t>ne</w:t>
      </w:r>
      <w:r w:rsidR="00D5766E">
        <w:t xml:space="preserve">vyžádal </w:t>
      </w:r>
      <w:r w:rsidR="00491D3B">
        <w:t xml:space="preserve">ani jedno celé </w:t>
      </w:r>
      <w:r w:rsidR="0060031A">
        <w:t xml:space="preserve">systemizované </w:t>
      </w:r>
      <w:r w:rsidR="00491D3B">
        <w:t>místo</w:t>
      </w:r>
      <w:r w:rsidR="00D5766E">
        <w:t xml:space="preserve"> </w:t>
      </w:r>
      <w:r w:rsidR="00491D3B">
        <w:t xml:space="preserve">z řad </w:t>
      </w:r>
      <w:r w:rsidR="00D5766E">
        <w:t>soudc</w:t>
      </w:r>
      <w:r w:rsidR="00491D3B">
        <w:t>ů</w:t>
      </w:r>
      <w:r w:rsidR="003D61A2">
        <w:t>, referent</w:t>
      </w:r>
      <w:r w:rsidR="00491D3B">
        <w:t>ů</w:t>
      </w:r>
      <w:r w:rsidR="003D61A2">
        <w:t xml:space="preserve">, </w:t>
      </w:r>
      <w:r w:rsidR="00B15EE2">
        <w:t xml:space="preserve">vedoucích soudních kanceláří, protokolujících </w:t>
      </w:r>
      <w:r w:rsidR="006C2C9D">
        <w:t>úředníků</w:t>
      </w:r>
      <w:r w:rsidR="00B15EE2">
        <w:t xml:space="preserve"> a soudních zapisovatel</w:t>
      </w:r>
      <w:r w:rsidR="006C2C9D">
        <w:t>ů</w:t>
      </w:r>
      <w:r w:rsidR="00F71527">
        <w:t xml:space="preserve">; obdobné platí i pro státní zástupce. </w:t>
      </w:r>
    </w:p>
    <w:p w14:paraId="01E7658D" w14:textId="64163F9F" w:rsidR="00404CD5" w:rsidRDefault="00B81E20" w:rsidP="00C365AE">
      <w:r>
        <w:t>U</w:t>
      </w:r>
      <w:r w:rsidR="004F10A1">
        <w:t xml:space="preserve">vedená jednání </w:t>
      </w:r>
      <w:r>
        <w:t xml:space="preserve">jsou </w:t>
      </w:r>
      <w:r w:rsidR="000D6148">
        <w:t xml:space="preserve">již v současnosti </w:t>
      </w:r>
      <w:r w:rsidR="004F10A1">
        <w:t>prověř</w:t>
      </w:r>
      <w:r>
        <w:t xml:space="preserve">ována </w:t>
      </w:r>
      <w:r w:rsidR="004F10A1">
        <w:t>jako přestupky</w:t>
      </w:r>
      <w:r>
        <w:t>, nepředpokládají se ani dopady na Polici</w:t>
      </w:r>
      <w:r w:rsidR="00D26045">
        <w:t>i</w:t>
      </w:r>
      <w:r>
        <w:t xml:space="preserve"> ČR</w:t>
      </w:r>
      <w:r w:rsidR="004F10A1">
        <w:t>.</w:t>
      </w:r>
    </w:p>
    <w:p w14:paraId="36B2AE1B" w14:textId="773CDB91" w:rsidR="00463EA2" w:rsidRDefault="00463EA2" w:rsidP="00C365AE">
      <w:r w:rsidRPr="00463EA2">
        <w:t xml:space="preserve">Určité jednorázové náklady </w:t>
      </w:r>
      <w:r w:rsidR="003F22A2">
        <w:t>přinese</w:t>
      </w:r>
      <w:r w:rsidRPr="00463EA2">
        <w:t xml:space="preserve"> potřeb</w:t>
      </w:r>
      <w:r w:rsidR="003F22A2">
        <w:t>a</w:t>
      </w:r>
      <w:r w:rsidRPr="00463EA2">
        <w:t xml:space="preserve"> úprav statistik a výkaznictví</w:t>
      </w:r>
      <w:r w:rsidR="00C51121">
        <w:t>, příp. informační</w:t>
      </w:r>
      <w:r w:rsidR="005A7EA3">
        <w:t>ho</w:t>
      </w:r>
      <w:r w:rsidR="00C51121">
        <w:t xml:space="preserve"> </w:t>
      </w:r>
      <w:r w:rsidR="005A7EA3">
        <w:t xml:space="preserve">systému </w:t>
      </w:r>
      <w:r w:rsidR="00C51121">
        <w:t>rejstříku trestů</w:t>
      </w:r>
      <w:r w:rsidRPr="00463EA2">
        <w:t>. Tyto náklady budou uhrazeny v rámci výdajových limitů příslušné kapitoly státního rozpočtu na příslušný rozpočtový rok bez nároků na jejich navýšení.</w:t>
      </w:r>
    </w:p>
    <w:p w14:paraId="4F03EAEB" w14:textId="6CD16D99" w:rsidR="0036118B" w:rsidRDefault="00B81E20" w:rsidP="00C365AE">
      <w:r>
        <w:t xml:space="preserve">Pozitivní dopad na státní rozpočet může mít umožnění zabírání motorových vozidel podle navrhovaného § 103a </w:t>
      </w:r>
      <w:proofErr w:type="spellStart"/>
      <w:r w:rsidR="00106BDB">
        <w:t>tr</w:t>
      </w:r>
      <w:proofErr w:type="spellEnd"/>
      <w:r w:rsidR="00106BDB">
        <w:t>. zák</w:t>
      </w:r>
      <w:r>
        <w:t>. Z</w:t>
      </w:r>
      <w:r w:rsidR="0036118B">
        <w:t>abraná motorová vozidla připadnou státu</w:t>
      </w:r>
      <w:r w:rsidR="005A7EA3">
        <w:t>, který</w:t>
      </w:r>
      <w:r w:rsidR="0036118B">
        <w:t xml:space="preserve"> je </w:t>
      </w:r>
      <w:r w:rsidR="005A7EA3">
        <w:t xml:space="preserve">následně </w:t>
      </w:r>
      <w:r w:rsidR="0036118B">
        <w:t>může buďto využí</w:t>
      </w:r>
      <w:r>
        <w:t>va</w:t>
      </w:r>
      <w:r w:rsidR="0036118B">
        <w:t xml:space="preserve">t, nebo </w:t>
      </w:r>
      <w:r w:rsidR="005A7EA3">
        <w:t>zcizit</w:t>
      </w:r>
      <w:r w:rsidR="0036118B">
        <w:t>. Je proto možné očekávat s tím spojené úspory nebo příjmy na</w:t>
      </w:r>
      <w:r w:rsidR="00106BDB">
        <w:t> </w:t>
      </w:r>
      <w:r w:rsidR="0036118B">
        <w:t>straně státního rozpočtu, nelze je však ani orientačně vyčíslit.</w:t>
      </w:r>
    </w:p>
    <w:p w14:paraId="6C0638BD" w14:textId="5B3D35DF" w:rsidR="009552AF" w:rsidRDefault="009552AF" w:rsidP="00C365AE">
      <w:pPr>
        <w:pStyle w:val="Nadpis2"/>
      </w:pPr>
      <w:r w:rsidRPr="002759C8">
        <w:t>Předpokládaný hospodářský a finanční dopad na podnikatelské prostředí České republik</w:t>
      </w:r>
      <w:r w:rsidR="00807CC4">
        <w:t>y</w:t>
      </w:r>
    </w:p>
    <w:p w14:paraId="28D8AAB8" w14:textId="5D2C1204" w:rsidR="009F7F1E" w:rsidRDefault="008D0F71" w:rsidP="00C365AE">
      <w:r>
        <w:t>Možn</w:t>
      </w:r>
      <w:r w:rsidR="00BC1070">
        <w:t>ý</w:t>
      </w:r>
      <w:r>
        <w:t xml:space="preserve"> dopad na podnikatelské prostředí</w:t>
      </w:r>
      <w:r w:rsidR="00100C1E">
        <w:t xml:space="preserve"> může mít nový institut zabrání </w:t>
      </w:r>
      <w:r w:rsidR="00BC1070">
        <w:t xml:space="preserve">motorového vozidla. </w:t>
      </w:r>
      <w:r w:rsidR="00871990">
        <w:t>Pokud bude v rámci podnikatelské činnosti pronajat</w:t>
      </w:r>
      <w:r w:rsidR="00FA1018">
        <w:t>o vozidlo, které bude následně užito ke</w:t>
      </w:r>
      <w:r w:rsidR="00074361">
        <w:t> </w:t>
      </w:r>
      <w:r w:rsidR="00FA1018">
        <w:t>spáchání úmyslného trestného činu v</w:t>
      </w:r>
      <w:r w:rsidR="00037C3A">
        <w:t> souvislosti s provozem na pozemních komunikacích</w:t>
      </w:r>
      <w:r w:rsidR="00DC390B">
        <w:t xml:space="preserve">, může </w:t>
      </w:r>
      <w:r w:rsidR="00074361">
        <w:t xml:space="preserve">za zákonem stanovených podmínek </w:t>
      </w:r>
      <w:r w:rsidR="00DC390B">
        <w:t xml:space="preserve">dojít k jeho zabrání. </w:t>
      </w:r>
      <w:r w:rsidR="00074361">
        <w:t>Uložení t</w:t>
      </w:r>
      <w:r w:rsidR="00DC390B">
        <w:t>akové</w:t>
      </w:r>
      <w:r w:rsidR="00074361">
        <w:t>ho</w:t>
      </w:r>
      <w:r w:rsidR="00DC390B">
        <w:t xml:space="preserve"> ochranné</w:t>
      </w:r>
      <w:r w:rsidR="00074361">
        <w:t>ho</w:t>
      </w:r>
      <w:r w:rsidR="00DC390B">
        <w:t xml:space="preserve"> opatření však nesmí být </w:t>
      </w:r>
      <w:r w:rsidR="00074361">
        <w:t xml:space="preserve">v daném případě </w:t>
      </w:r>
      <w:r w:rsidR="00DC390B">
        <w:t>nepřiměřené a musí být prokázáno, že pronajímatel</w:t>
      </w:r>
      <w:r w:rsidR="00E01D4A">
        <w:t xml:space="preserve"> umožnil</w:t>
      </w:r>
      <w:r w:rsidR="00DC390B">
        <w:t>, aby vozidlo bylo ke spáchání takového činu užito</w:t>
      </w:r>
      <w:r w:rsidR="00E01D4A">
        <w:t>, přestože jej mohl předpokládat</w:t>
      </w:r>
      <w:r w:rsidR="00DC390B">
        <w:t>.</w:t>
      </w:r>
      <w:r w:rsidR="009F7F1E">
        <w:t xml:space="preserve"> </w:t>
      </w:r>
      <w:r w:rsidR="00446A5A">
        <w:t xml:space="preserve">Zabrat motorové vozidlo bude za splnění stejných podmínek </w:t>
      </w:r>
      <w:r w:rsidR="000F2A87">
        <w:t xml:space="preserve">možné </w:t>
      </w:r>
      <w:r w:rsidR="00446A5A">
        <w:t>také</w:t>
      </w:r>
      <w:r w:rsidR="009F7F1E">
        <w:t xml:space="preserve"> podnikatel</w:t>
      </w:r>
      <w:r w:rsidR="00446A5A">
        <w:t>i</w:t>
      </w:r>
      <w:r w:rsidR="009F7F1E">
        <w:t>, kte</w:t>
      </w:r>
      <w:r w:rsidR="00446A5A">
        <w:t>rý</w:t>
      </w:r>
      <w:r w:rsidR="00566487">
        <w:t> </w:t>
      </w:r>
      <w:r w:rsidR="009F7F1E">
        <w:t>svěřuj</w:t>
      </w:r>
      <w:r w:rsidR="00FB6403">
        <w:t>e</w:t>
      </w:r>
      <w:r w:rsidR="00446A5A">
        <w:t xml:space="preserve"> </w:t>
      </w:r>
      <w:r w:rsidR="009F7F1E">
        <w:t>k</w:t>
      </w:r>
      <w:r w:rsidR="003118B1">
        <w:t> užívání motorová vozidla svým zaměstnancům.</w:t>
      </w:r>
    </w:p>
    <w:p w14:paraId="76ECBAA2" w14:textId="77777777" w:rsidR="009552AF" w:rsidRDefault="009552AF" w:rsidP="00C365AE">
      <w:pPr>
        <w:pStyle w:val="Nadpis2"/>
      </w:pPr>
      <w:r w:rsidRPr="002759C8">
        <w:t>Zhodnocení dopadů navrhovaného řešení ve vztahu k zákazu diskriminace a ve vztahu k rovnosti mužů a žen</w:t>
      </w:r>
    </w:p>
    <w:p w14:paraId="330D559D" w14:textId="6E0E2110" w:rsidR="008D6732" w:rsidRPr="008D6732" w:rsidRDefault="00074361" w:rsidP="00C365AE">
      <w:r w:rsidRPr="002759C8">
        <w:rPr>
          <w:bCs/>
        </w:rPr>
        <w:t xml:space="preserve">Navrhovaná právní úprava </w:t>
      </w:r>
      <w:r w:rsidR="008D6732">
        <w:t>nemá diskriminační charakter a je neutrální z hlediska rovnosti mužů a</w:t>
      </w:r>
      <w:r w:rsidR="0077261F">
        <w:t> </w:t>
      </w:r>
      <w:r w:rsidR="008D6732">
        <w:t xml:space="preserve">žen. </w:t>
      </w:r>
    </w:p>
    <w:p w14:paraId="4FAE94EC" w14:textId="77777777" w:rsidR="009552AF" w:rsidRDefault="009552AF" w:rsidP="00C365AE">
      <w:pPr>
        <w:pStyle w:val="Nadpis2"/>
      </w:pPr>
      <w:r w:rsidRPr="002759C8">
        <w:t>Zhodnocení dopadů navrhovaného řešení ve vztahu k ochraně soukromí a osobních údajů</w:t>
      </w:r>
    </w:p>
    <w:p w14:paraId="36D729C0" w14:textId="2F1748A4" w:rsidR="005C071B" w:rsidRPr="005C071B" w:rsidRDefault="00074361" w:rsidP="00C365AE">
      <w:r w:rsidRPr="002759C8">
        <w:rPr>
          <w:bCs/>
        </w:rPr>
        <w:t xml:space="preserve">Navrhovaná právní úprava </w:t>
      </w:r>
      <w:r w:rsidR="005C071B">
        <w:t xml:space="preserve">nezavádí žádný nový typ zpracování osobních </w:t>
      </w:r>
      <w:r w:rsidR="003B53EF">
        <w:t>údajů</w:t>
      </w:r>
      <w:r w:rsidR="00416D89">
        <w:t>, u</w:t>
      </w:r>
      <w:r w:rsidR="009A6A86">
        <w:t xml:space="preserve">platní se tak existující záruky </w:t>
      </w:r>
      <w:r w:rsidR="007D797F">
        <w:t xml:space="preserve">ochrany </w:t>
      </w:r>
      <w:r w:rsidR="009A6A86">
        <w:t>osobních údajů.</w:t>
      </w:r>
      <w:r w:rsidR="003A1784">
        <w:t xml:space="preserve"> Předmětná právní úprava nesouvisí s ochranou soukromí.</w:t>
      </w:r>
    </w:p>
    <w:p w14:paraId="5A7C223A" w14:textId="77777777" w:rsidR="009552AF" w:rsidRDefault="009552AF" w:rsidP="00C365AE">
      <w:pPr>
        <w:pStyle w:val="Nadpis2"/>
      </w:pPr>
      <w:r w:rsidRPr="002759C8">
        <w:t>Zhodnocení korupčních rizik</w:t>
      </w:r>
    </w:p>
    <w:p w14:paraId="7F1AED91" w14:textId="62D92B8F" w:rsidR="00EA74B3" w:rsidRPr="002759C8" w:rsidRDefault="00EA74B3" w:rsidP="00C365AE">
      <w:pPr>
        <w:rPr>
          <w:bCs/>
        </w:rPr>
      </w:pPr>
      <w:r w:rsidRPr="002759C8">
        <w:rPr>
          <w:bCs/>
        </w:rPr>
        <w:t xml:space="preserve">Navrhovaná právní úprava není spojena s vyššími korupčními riziky, než </w:t>
      </w:r>
      <w:r w:rsidR="00FB4645">
        <w:rPr>
          <w:bCs/>
        </w:rPr>
        <w:t>jakým</w:t>
      </w:r>
      <w:r w:rsidRPr="002759C8">
        <w:rPr>
          <w:bCs/>
        </w:rPr>
        <w:t xml:space="preserve"> čelí státní orgány obecně již </w:t>
      </w:r>
      <w:r w:rsidR="009C53D5">
        <w:rPr>
          <w:bCs/>
        </w:rPr>
        <w:t>v současné době</w:t>
      </w:r>
      <w:r w:rsidRPr="002759C8">
        <w:rPr>
          <w:bCs/>
        </w:rPr>
        <w:t>. Korupční riziko tak není nové,</w:t>
      </w:r>
      <w:r w:rsidR="009C53D5">
        <w:rPr>
          <w:bCs/>
        </w:rPr>
        <w:t xml:space="preserve"> neboť</w:t>
      </w:r>
      <w:r w:rsidRPr="002759C8">
        <w:rPr>
          <w:bCs/>
        </w:rPr>
        <w:t xml:space="preserve"> je přítomno i při </w:t>
      </w:r>
      <w:r w:rsidRPr="002759C8">
        <w:rPr>
          <w:bCs/>
        </w:rPr>
        <w:lastRenderedPageBreak/>
        <w:t xml:space="preserve">aplikaci stávající účinné právní úpravy trestního řízení. Prostředky ochrany proti tomuto riziku jsou tudíž obsaženy již ve stávající právní úpravě. Předně jsou to zákonné požadavky a postupy při výběru osoby státního zástupce a soudce, u nichž jsou kladeny zvýšené nároky na jejich morální integritu a osobnostní záruky. Dále jsou to mechanismy kontroly, jež spočívají zejména ve výkonu dohledu vyššího státního zastupitelství nad nižším státním zastupitelstvím </w:t>
      </w:r>
      <w:r w:rsidRPr="002759C8">
        <w:rPr>
          <w:bCs/>
          <w:lang w:eastAsia="cs-CZ"/>
        </w:rPr>
        <w:t xml:space="preserve">a v soudní fázi řízení </w:t>
      </w:r>
      <w:r w:rsidRPr="002759C8">
        <w:rPr>
          <w:bCs/>
        </w:rPr>
        <w:t>pak v systému řádných a mimořádných opravných prostředků.</w:t>
      </w:r>
    </w:p>
    <w:p w14:paraId="23EB0374" w14:textId="77777777" w:rsidR="009552AF" w:rsidRDefault="009552AF" w:rsidP="00C365AE">
      <w:pPr>
        <w:pStyle w:val="Nadpis2"/>
      </w:pPr>
      <w:r w:rsidRPr="002759C8">
        <w:t>Zhodnocení dopadů na bezpečnost nebo obranu státu</w:t>
      </w:r>
    </w:p>
    <w:p w14:paraId="7C3563F8" w14:textId="7281002C" w:rsidR="008F257D" w:rsidRPr="008F257D" w:rsidRDefault="008F257D" w:rsidP="00C365AE">
      <w:r>
        <w:t>Předpokládá se pozitivní dopad na bezpečnost</w:t>
      </w:r>
      <w:r w:rsidR="00B35B36">
        <w:t xml:space="preserve"> </w:t>
      </w:r>
      <w:r>
        <w:t>provozu na pozemních komunikacích.</w:t>
      </w:r>
      <w:r w:rsidR="00821D5F">
        <w:t xml:space="preserve"> </w:t>
      </w:r>
      <w:r w:rsidR="00821D5F" w:rsidRPr="008220F5">
        <w:rPr>
          <w:lang w:eastAsia="cs-CZ"/>
        </w:rPr>
        <w:t xml:space="preserve">Navrhovaná právní </w:t>
      </w:r>
      <w:r>
        <w:t>úprava nemá vliv na obranu státu.</w:t>
      </w:r>
    </w:p>
    <w:p w14:paraId="25F3C127" w14:textId="33EC563D" w:rsidR="002D2F45" w:rsidRDefault="0058323A" w:rsidP="00C365AE">
      <w:pPr>
        <w:pStyle w:val="Nadpis2"/>
        <w:rPr>
          <w:rFonts w:eastAsia="Calibri"/>
          <w:lang w:eastAsia="cs-CZ"/>
        </w:rPr>
      </w:pPr>
      <w:r w:rsidRPr="0058323A">
        <w:rPr>
          <w:rFonts w:eastAsia="Calibri"/>
          <w:lang w:eastAsia="cs-CZ"/>
        </w:rPr>
        <w:t>Zhodnocení sociálních dopadů, včetně dopadů na specifické skupiny obyvatel, zejména osoby sociálně slabé, osoby se zdravotním postižením a národnostní menšiny, dopadů na ochranu práv dětí a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06966274" w14:textId="59F0841B" w:rsidR="0021117E" w:rsidRPr="002D2F45" w:rsidRDefault="008220F5" w:rsidP="00C365AE">
      <w:pPr>
        <w:rPr>
          <w:lang w:eastAsia="cs-CZ"/>
        </w:rPr>
      </w:pPr>
      <w:r w:rsidRPr="008220F5">
        <w:rPr>
          <w:lang w:eastAsia="cs-CZ"/>
        </w:rPr>
        <w:t>Navrhovaná právní úprava není spojena s žádnými negativními sociálními dopady, dopady na</w:t>
      </w:r>
      <w:r w:rsidR="00821D5F">
        <w:rPr>
          <w:lang w:eastAsia="cs-CZ"/>
        </w:rPr>
        <w:t> </w:t>
      </w:r>
      <w:r w:rsidRPr="008220F5">
        <w:rPr>
          <w:lang w:eastAsia="cs-CZ"/>
        </w:rPr>
        <w:t>specifické skupiny obyvatel, děti a na rodiny.</w:t>
      </w:r>
    </w:p>
    <w:p w14:paraId="4BA41002" w14:textId="1328F961" w:rsidR="00E13804" w:rsidRPr="00BE0F58" w:rsidRDefault="00E13804" w:rsidP="00C365AE">
      <w:pPr>
        <w:pStyle w:val="Nadpis2"/>
        <w:rPr>
          <w:rFonts w:eastAsia="Calibri"/>
        </w:rPr>
      </w:pPr>
      <w:r w:rsidRPr="00BE0F58">
        <w:rPr>
          <w:rFonts w:eastAsia="Calibri"/>
        </w:rPr>
        <w:t xml:space="preserve">Zhodnocení dopadů na životní prostředí </w:t>
      </w:r>
    </w:p>
    <w:p w14:paraId="55A6D06D" w14:textId="1C2C609D" w:rsidR="00E13804" w:rsidRPr="00E13804" w:rsidRDefault="00E13804" w:rsidP="00C365AE">
      <w:r w:rsidRPr="00BE0F58">
        <w:t xml:space="preserve">Navrhovaná právní úprava není spojena s dopady na životní prostředí. </w:t>
      </w:r>
    </w:p>
    <w:p w14:paraId="456B8007" w14:textId="77777777" w:rsidR="00074361" w:rsidRPr="00074361" w:rsidRDefault="00E13804" w:rsidP="00C365AE">
      <w:pPr>
        <w:pStyle w:val="Nadpis2"/>
        <w:rPr>
          <w:rFonts w:eastAsia="Calibri"/>
        </w:rPr>
      </w:pPr>
      <w:r w:rsidRPr="00074361">
        <w:rPr>
          <w:rFonts w:eastAsia="Calibri"/>
        </w:rPr>
        <w:t>Zhodnocení územních dopadů, včetně dopadů na územní samosprávné celky</w:t>
      </w:r>
    </w:p>
    <w:p w14:paraId="41DF02EE" w14:textId="7B08DDD7" w:rsidR="00D07F4A" w:rsidRPr="00074361" w:rsidRDefault="00821D5F" w:rsidP="00C365AE">
      <w:r w:rsidRPr="00C01B68">
        <w:t xml:space="preserve">Navrhovaná </w:t>
      </w:r>
      <w:r w:rsidR="00E13804" w:rsidRPr="002759C8">
        <w:t>právní úprava není spojena s</w:t>
      </w:r>
      <w:r w:rsidR="009512F2">
        <w:t xml:space="preserve"> negativními </w:t>
      </w:r>
      <w:r w:rsidR="00E13804" w:rsidRPr="002759C8">
        <w:t>dopady na územní samosprávné celky.</w:t>
      </w:r>
      <w:r w:rsidR="00E13804" w:rsidRPr="00074361">
        <w:t xml:space="preserve"> </w:t>
      </w:r>
    </w:p>
    <w:p w14:paraId="0A436508" w14:textId="5C4296BF" w:rsidR="00351C83" w:rsidRDefault="00351C83" w:rsidP="00C365AE">
      <w:r>
        <w:t xml:space="preserve">V souvislosti se zavedením nového trestného činu </w:t>
      </w:r>
      <w:r w:rsidR="00AC120F">
        <w:t xml:space="preserve">lze očekávat úbytek agendy </w:t>
      </w:r>
      <w:r w:rsidR="00DE2C5B">
        <w:t xml:space="preserve">obecních úřadů </w:t>
      </w:r>
      <w:r w:rsidR="00AC120F">
        <w:t>obcí s</w:t>
      </w:r>
      <w:r w:rsidR="00DE2C5B">
        <w:t> rozšířenou působností, které dosud projednával</w:t>
      </w:r>
      <w:r>
        <w:t>y</w:t>
      </w:r>
      <w:r w:rsidR="00DE2C5B">
        <w:t xml:space="preserve"> přestupky </w:t>
      </w:r>
      <w:r w:rsidR="009A28F0">
        <w:t>podle</w:t>
      </w:r>
      <w:r w:rsidR="009A28F0" w:rsidRPr="009A28F0">
        <w:t xml:space="preserve"> </w:t>
      </w:r>
      <w:r w:rsidRPr="009A28F0">
        <w:t>§</w:t>
      </w:r>
      <w:r>
        <w:t xml:space="preserve"> </w:t>
      </w:r>
      <w:r w:rsidR="009A28F0" w:rsidRPr="009A28F0">
        <w:t>125c odst. 1 písm.</w:t>
      </w:r>
      <w:r>
        <w:t> </w:t>
      </w:r>
      <w:r w:rsidR="009A28F0" w:rsidRPr="009A28F0">
        <w:t>f) bod 5 zákona č. 361/2000 Sb</w:t>
      </w:r>
      <w:r w:rsidR="009A28F0">
        <w:t>.</w:t>
      </w:r>
      <w:r>
        <w:t xml:space="preserve">, </w:t>
      </w:r>
      <w:r w:rsidR="001440EF" w:rsidRPr="00EE7D84">
        <w:t>o</w:t>
      </w:r>
      <w:r w:rsidR="001440EF">
        <w:t xml:space="preserve"> </w:t>
      </w:r>
      <w:r w:rsidR="001440EF" w:rsidRPr="00EE7D84">
        <w:t>provozu</w:t>
      </w:r>
      <w:r w:rsidR="001440EF">
        <w:t xml:space="preserve"> </w:t>
      </w:r>
      <w:r w:rsidR="001440EF" w:rsidRPr="00EE7D84">
        <w:t>na</w:t>
      </w:r>
      <w:r w:rsidR="001440EF">
        <w:t> </w:t>
      </w:r>
      <w:r w:rsidR="001440EF" w:rsidRPr="00EE7D84">
        <w:t>pozemních</w:t>
      </w:r>
      <w:r w:rsidR="001440EF">
        <w:t xml:space="preserve"> </w:t>
      </w:r>
      <w:r w:rsidR="001440EF" w:rsidRPr="00EE7D84">
        <w:t>komunikacích a o změnách některých zákonů (zákon</w:t>
      </w:r>
      <w:r w:rsidR="001440EF">
        <w:t xml:space="preserve"> </w:t>
      </w:r>
      <w:r w:rsidR="001440EF" w:rsidRPr="00EE7D84">
        <w:t>o</w:t>
      </w:r>
      <w:r w:rsidR="001440EF">
        <w:t> </w:t>
      </w:r>
      <w:r w:rsidR="001440EF" w:rsidRPr="00EE7D84">
        <w:t>silničním</w:t>
      </w:r>
      <w:r w:rsidR="001440EF">
        <w:t xml:space="preserve"> </w:t>
      </w:r>
      <w:r w:rsidR="001440EF" w:rsidRPr="00EE7D84">
        <w:t>provozu)</w:t>
      </w:r>
      <w:r w:rsidR="001440EF">
        <w:t xml:space="preserve">, </w:t>
      </w:r>
      <w:r>
        <w:t>jde nicméně o úbytek zanedbatelný (viz část „</w:t>
      </w:r>
      <w:r w:rsidRPr="002759C8">
        <w:t>Předpokládaný hospodářský a finanční dopad navrhované právní úpravy na státní rozpočet a</w:t>
      </w:r>
      <w:r w:rsidR="001440EF">
        <w:t> </w:t>
      </w:r>
      <w:r w:rsidRPr="002759C8">
        <w:t>ostatní veřejné rozpočty</w:t>
      </w:r>
      <w:r>
        <w:t>“ této části důvodové zprávy).</w:t>
      </w:r>
    </w:p>
    <w:p w14:paraId="50FA7C95" w14:textId="77777777" w:rsidR="00E13804" w:rsidRPr="002759C8" w:rsidRDefault="00E13804" w:rsidP="00C365AE">
      <w:pPr>
        <w:pStyle w:val="Nadpis2"/>
      </w:pPr>
      <w:r w:rsidRPr="00C365AE">
        <w:t>Zhodnocení souladu navrhovaného řešení se zásadami tvorby digitálně přívětivé</w:t>
      </w:r>
      <w:r w:rsidRPr="002759C8">
        <w:t xml:space="preserve"> legislativy, včetně zhodnocení rizika vyloučení nebo omezení možnosti přístupu specifických skupin osob k některým službám v důsledku digitalizace jejich poskytování (digitální vyloučení)</w:t>
      </w:r>
    </w:p>
    <w:p w14:paraId="132615F5" w14:textId="77777777" w:rsidR="009B20EE" w:rsidRPr="00662AF0" w:rsidRDefault="009B20EE" w:rsidP="00C365AE">
      <w:r w:rsidRPr="00C01B68">
        <w:t>Navrhovaná právní úprava neupravuje poskytování služeb, nesouvisí tedy přímo s digitalizací služeb a nemá negativní dopady na možnosti přístupu specifických skupin osob k nim.</w:t>
      </w:r>
    </w:p>
    <w:p w14:paraId="19276C03" w14:textId="77777777" w:rsidR="00E13804" w:rsidRPr="00BE0F58" w:rsidRDefault="00E13804" w:rsidP="00C365AE">
      <w:pPr>
        <w:pStyle w:val="Nadpis2"/>
      </w:pPr>
      <w:r w:rsidRPr="00BE0F58">
        <w:t xml:space="preserve">Zhodnocení, zda návrh právního předpisu neobsahuje ustanovení, které by bylo svou povahou technickým předpisem podle právního předpisu upravujícího technické </w:t>
      </w:r>
      <w:r w:rsidRPr="00BE0F58">
        <w:lastRenderedPageBreak/>
        <w:t>požadavky na výrobky, a informace o splnění oznamovací povinnosti podle tohoto právního předpisu</w:t>
      </w:r>
    </w:p>
    <w:p w14:paraId="54BB1E20" w14:textId="019DF62E" w:rsidR="00E13804" w:rsidRPr="00E13804" w:rsidRDefault="00E13804" w:rsidP="00C365AE">
      <w:r w:rsidRPr="00BE0F58">
        <w:t xml:space="preserve">Žádné ustanovení </w:t>
      </w:r>
      <w:r w:rsidR="00821D5F">
        <w:t>navrhované</w:t>
      </w:r>
      <w:r w:rsidR="00821D5F" w:rsidRPr="00BE0F58">
        <w:t xml:space="preserve"> </w:t>
      </w:r>
      <w:r w:rsidRPr="00BE0F58">
        <w:t>právní úpravy nemá povahu technického předpisu.</w:t>
      </w:r>
    </w:p>
    <w:p w14:paraId="297FA1B8" w14:textId="77777777" w:rsidR="00E13804" w:rsidRPr="00BE0F58" w:rsidRDefault="00E13804" w:rsidP="00C365AE">
      <w:pPr>
        <w:pStyle w:val="Nadpis2"/>
      </w:pPr>
      <w:r w:rsidRPr="00BE0F58">
        <w:t>Zhodnocení, zda návrhem právního předpisu není zakládána veřejná podpora</w:t>
      </w:r>
    </w:p>
    <w:p w14:paraId="6569C1D5" w14:textId="23F9FF8E" w:rsidR="00E13804" w:rsidRDefault="00821D5F" w:rsidP="00C365AE">
      <w:r w:rsidRPr="00C01B68">
        <w:t xml:space="preserve">Navrhovaná </w:t>
      </w:r>
      <w:r>
        <w:t xml:space="preserve">právní úprava </w:t>
      </w:r>
      <w:r w:rsidR="00E13804" w:rsidRPr="00BE0F58">
        <w:t>nezakládá veřejnou podporu.</w:t>
      </w:r>
    </w:p>
    <w:p w14:paraId="253DF926" w14:textId="77777777" w:rsidR="00E13804" w:rsidRPr="009512F2" w:rsidRDefault="00E13804" w:rsidP="00C365AE">
      <w:pPr>
        <w:pStyle w:val="Nadpis2"/>
      </w:pPr>
      <w:r w:rsidRPr="009512F2">
        <w:t>Zhodnocení dopadů na práva a povinnosti fyzických a právnických osob</w:t>
      </w:r>
    </w:p>
    <w:p w14:paraId="23C82BAA" w14:textId="48CDB0F2" w:rsidR="006A4708" w:rsidRDefault="00821D5F" w:rsidP="00C365AE">
      <w:r w:rsidRPr="00C01B68">
        <w:t xml:space="preserve">Navrhovaná </w:t>
      </w:r>
      <w:r w:rsidR="006A4708">
        <w:t>právní úprava nezakládá žádné nové povinnosti osob, pouze zpřísňuje postih za</w:t>
      </w:r>
      <w:r w:rsidR="00D07F4A">
        <w:t> </w:t>
      </w:r>
      <w:r w:rsidR="006A4708">
        <w:t>porušení již existujících povinností v oblasti silničního provozu a nakládání s návykovými látkami.</w:t>
      </w:r>
    </w:p>
    <w:p w14:paraId="558BE871" w14:textId="2FB2B84C" w:rsidR="00E13804" w:rsidRDefault="00821D5F" w:rsidP="00C365AE">
      <w:r w:rsidRPr="00C01B68">
        <w:t xml:space="preserve">Navrhovaná </w:t>
      </w:r>
      <w:r w:rsidR="00E13804" w:rsidRPr="00A266F4">
        <w:t xml:space="preserve">úprava </w:t>
      </w:r>
      <w:r w:rsidR="001A1E7C" w:rsidRPr="00A266F4">
        <w:t xml:space="preserve">zabrání motorového vozidla </w:t>
      </w:r>
      <w:r w:rsidR="00E13804" w:rsidRPr="00A266F4">
        <w:t xml:space="preserve">má dopady na </w:t>
      </w:r>
      <w:r w:rsidR="00B02561" w:rsidRPr="00A266F4">
        <w:t xml:space="preserve">práva </w:t>
      </w:r>
      <w:r w:rsidR="00E13804" w:rsidRPr="00A266F4">
        <w:t>fyzick</w:t>
      </w:r>
      <w:r w:rsidR="00B02561" w:rsidRPr="00A266F4">
        <w:t>ých</w:t>
      </w:r>
      <w:r w:rsidR="00E13804" w:rsidRPr="00A266F4">
        <w:t xml:space="preserve"> a právnick</w:t>
      </w:r>
      <w:r w:rsidR="00B02561" w:rsidRPr="00A266F4">
        <w:t>ých</w:t>
      </w:r>
      <w:r w:rsidR="00E13804" w:rsidRPr="00A266F4">
        <w:t xml:space="preserve"> osob v tom smyslu, že zasahuje do jejich práva vlastnit majetek</w:t>
      </w:r>
      <w:r w:rsidR="00D07F4A">
        <w:t>, jde však o zásah legitimní, který bude možný pouze v případech, bude-li takový zásah přiměřený a nezbytný z hlediska ochrany společnosti</w:t>
      </w:r>
      <w:r w:rsidR="0098266F">
        <w:t>.</w:t>
      </w:r>
      <w:r w:rsidR="0098266F" w:rsidRPr="00A266F4">
        <w:t xml:space="preserve"> </w:t>
      </w:r>
      <w:r w:rsidR="00D07F4A">
        <w:t xml:space="preserve">Dotčené </w:t>
      </w:r>
      <w:r w:rsidR="00E13804" w:rsidRPr="00A266F4">
        <w:t xml:space="preserve">osoby mají </w:t>
      </w:r>
      <w:r w:rsidR="00D07F4A">
        <w:t xml:space="preserve">přitom </w:t>
      </w:r>
      <w:r w:rsidR="00E13804" w:rsidRPr="00A266F4">
        <w:t>zaručenu možnost účastnit se řízení, mají právo podávat návrhy</w:t>
      </w:r>
      <w:r w:rsidR="001A1E7C" w:rsidRPr="00A266F4">
        <w:t xml:space="preserve">, </w:t>
      </w:r>
      <w:r w:rsidR="009A7BC2" w:rsidRPr="00A266F4">
        <w:t>nahlížet do spisu</w:t>
      </w:r>
      <w:r w:rsidR="00E13804" w:rsidRPr="00A266F4">
        <w:t xml:space="preserve"> a</w:t>
      </w:r>
      <w:r w:rsidR="009A7BC2" w:rsidRPr="00A266F4">
        <w:t> </w:t>
      </w:r>
      <w:r w:rsidR="00EF690A" w:rsidRPr="00A266F4">
        <w:t>podat odvolání</w:t>
      </w:r>
      <w:r w:rsidR="00E13804" w:rsidRPr="00A266F4">
        <w:t xml:space="preserve"> </w:t>
      </w:r>
      <w:r w:rsidR="00EF690A" w:rsidRPr="00A266F4">
        <w:t>pro nesprávnost výroku o zabrání věci</w:t>
      </w:r>
      <w:r w:rsidR="00E13804" w:rsidRPr="00A266F4">
        <w:t>, tj.</w:t>
      </w:r>
      <w:r w:rsidR="004246F5" w:rsidRPr="00A266F4">
        <w:t> </w:t>
      </w:r>
      <w:r w:rsidR="00E13804" w:rsidRPr="00A266F4">
        <w:t>je zaručeno jejich právo na spravedlivý proces</w:t>
      </w:r>
      <w:r w:rsidR="00E13804">
        <w:t xml:space="preserve">. </w:t>
      </w:r>
    </w:p>
    <w:p w14:paraId="5E67C90C" w14:textId="4E80BF92" w:rsidR="0015285E" w:rsidRDefault="0015285E" w:rsidP="00C365AE">
      <w:r>
        <w:br w:type="page"/>
      </w:r>
    </w:p>
    <w:p w14:paraId="35F05847" w14:textId="77777777" w:rsidR="0015285E" w:rsidRPr="0015285E" w:rsidRDefault="0015285E" w:rsidP="00C365AE">
      <w:pPr>
        <w:pStyle w:val="Nadpis1"/>
      </w:pPr>
      <w:r w:rsidRPr="0015285E">
        <w:lastRenderedPageBreak/>
        <w:t>Z v l á š t n í   č á s t</w:t>
      </w:r>
    </w:p>
    <w:p w14:paraId="3C42193C" w14:textId="47C6BC52" w:rsidR="005E4BC0" w:rsidRDefault="00965475" w:rsidP="00C365AE">
      <w:pPr>
        <w:pStyle w:val="Nadpis2"/>
      </w:pPr>
      <w:r>
        <w:t>K</w:t>
      </w:r>
      <w:r w:rsidR="009305D3">
        <w:t xml:space="preserve"> části </w:t>
      </w:r>
      <w:r w:rsidR="00920782">
        <w:t xml:space="preserve">první – </w:t>
      </w:r>
      <w:r w:rsidR="00421843">
        <w:t>Z</w:t>
      </w:r>
      <w:r w:rsidR="00920782">
        <w:t>měna trestního zákoníku</w:t>
      </w:r>
    </w:p>
    <w:p w14:paraId="2D251D4F" w14:textId="12EB3DC5" w:rsidR="00750C3A" w:rsidRDefault="009305D3" w:rsidP="00C365AE">
      <w:pPr>
        <w:pStyle w:val="Nadpis3"/>
      </w:pPr>
      <w:r>
        <w:t>K</w:t>
      </w:r>
      <w:r w:rsidR="00750C3A">
        <w:t> </w:t>
      </w:r>
      <w:r w:rsidR="004C360E">
        <w:t>bod</w:t>
      </w:r>
      <w:r w:rsidR="00750C3A">
        <w:t xml:space="preserve">u </w:t>
      </w:r>
      <w:r w:rsidR="00CC4CA5">
        <w:t xml:space="preserve">1 </w:t>
      </w:r>
      <w:r w:rsidR="00750C3A">
        <w:t>(§ 102)</w:t>
      </w:r>
    </w:p>
    <w:p w14:paraId="5460B8D6" w14:textId="59FE7AE0" w:rsidR="00750C3A" w:rsidRPr="00750C3A" w:rsidRDefault="00750C3A" w:rsidP="005F5A6A">
      <w:r w:rsidRPr="00A73F03">
        <w:t>Navrhovaná</w:t>
      </w:r>
      <w:r>
        <w:t xml:space="preserve"> </w:t>
      </w:r>
      <w:r w:rsidRPr="00A73F03">
        <w:t xml:space="preserve">změna § 102 </w:t>
      </w:r>
      <w:proofErr w:type="spellStart"/>
      <w:r>
        <w:t>tr</w:t>
      </w:r>
      <w:proofErr w:type="spellEnd"/>
      <w:r>
        <w:t xml:space="preserve">. zák. </w:t>
      </w:r>
      <w:r w:rsidRPr="00A73F03">
        <w:t>zajišťuje systematickou návaznost institutu zabrání náhradní hodnoty na nově zaváděné zabrání motorového vozidla podle § 103a odst. 1</w:t>
      </w:r>
      <w:r>
        <w:t xml:space="preserve"> </w:t>
      </w:r>
      <w:proofErr w:type="spellStart"/>
      <w:r>
        <w:t>tr</w:t>
      </w:r>
      <w:proofErr w:type="spellEnd"/>
      <w:r>
        <w:t>. zák</w:t>
      </w:r>
      <w:r w:rsidRPr="00A73F03">
        <w:t xml:space="preserve">. Jejím účelem je zabránit tomu, aby osoba, které by jinak mohlo být motorové vozidlo podle tohoto ustanovení zabráno, mohla zmařit účel ochranného opatření tím, že vozidlo před rozhodnutím </w:t>
      </w:r>
      <w:r w:rsidR="005E34D8" w:rsidRPr="00A73F03">
        <w:t>o</w:t>
      </w:r>
      <w:r w:rsidR="005E34D8">
        <w:t> </w:t>
      </w:r>
      <w:r w:rsidRPr="00A73F03">
        <w:t>zabrání zničí, poškodí, zcizí, učiní neupotřebitelným, odstraní nebo jinak vyvede z dosahu rozhodnutí soudu.</w:t>
      </w:r>
      <w:r>
        <w:t xml:space="preserve"> </w:t>
      </w:r>
    </w:p>
    <w:p w14:paraId="73502329" w14:textId="22A6FBA4" w:rsidR="00F84510" w:rsidRDefault="00F84510" w:rsidP="00F84510">
      <w:pPr>
        <w:pStyle w:val="Nadpis3"/>
      </w:pPr>
      <w:r>
        <w:t xml:space="preserve">K bodu </w:t>
      </w:r>
      <w:r w:rsidR="00CC4CA5">
        <w:t xml:space="preserve">2 </w:t>
      </w:r>
      <w:r>
        <w:t>(§ 103a)</w:t>
      </w:r>
    </w:p>
    <w:p w14:paraId="6461C05F" w14:textId="77777777" w:rsidR="00F84510" w:rsidRDefault="00F84510" w:rsidP="00F84510">
      <w:r>
        <w:t xml:space="preserve">Rozšiřuje se možnost uložit ochranné opatření zabrání věci tak, aby za splnění zákonných podmínek bylo možné zabrat motorové vozidlo v případech, kdy bylo toto vozidlo užito pachatelem jakožto účastníkem provozu na pozemních komunikacích ke spáchání úmyslného trestného činu nebo činu jinak trestného v souvislosti s provozem na pozemních komunikacích, avšak současně nejsou splněny podmínky pro vyslovení propadnutí věci ani pro zabrání věci podle dosavadní obecné úpravy. </w:t>
      </w:r>
    </w:p>
    <w:p w14:paraId="151DECAF" w14:textId="77777777" w:rsidR="00F84510" w:rsidRDefault="00F84510" w:rsidP="00F84510">
      <w:r>
        <w:t xml:space="preserve">Smyslem navrhované úpravy je reagovat na dnešní stav, kdy je pachateli využívána situace, že věc nenáležející pachateli, která je nástrojem trestné činnosti, není možno nechat propadnout a je možno ji zabrat pouze tehdy, ohrožuje-li </w:t>
      </w:r>
      <w:r w:rsidRPr="00A70DA1">
        <w:t>bezpečnost lidí nebo majetku, popřípadě společnosti, anebo hrozí nebezpečí, že bude sloužit ke</w:t>
      </w:r>
      <w:r>
        <w:t> </w:t>
      </w:r>
      <w:r w:rsidRPr="00A70DA1">
        <w:t>spáchání zločinu.</w:t>
      </w:r>
      <w:r>
        <w:t xml:space="preserve"> Ustanovení tak sleduje především preventivní a ochranný účel, neboť má bránit dalšímu zneužívání motorových vozidel k páchání úmyslné trestné činnosti v silničním provozu nebo v přímé souvislosti s ním.</w:t>
      </w:r>
    </w:p>
    <w:p w14:paraId="364D0313" w14:textId="77777777" w:rsidR="00086F0A" w:rsidRDefault="003C74A4" w:rsidP="00F84510">
      <w:r>
        <w:t>I</w:t>
      </w:r>
      <w:r w:rsidRPr="00AB13EB">
        <w:t xml:space="preserve"> na toto ochranné opatření se budou </w:t>
      </w:r>
      <w:r>
        <w:t>s</w:t>
      </w:r>
      <w:r w:rsidRPr="00AB13EB">
        <w:t>amozřejmě aplikovat obecné zásady pro ukládání trestních sankcí (§ 37 a</w:t>
      </w:r>
      <w:r>
        <w:t> </w:t>
      </w:r>
      <w:r w:rsidRPr="00AB13EB">
        <w:t xml:space="preserve">38 </w:t>
      </w:r>
      <w:proofErr w:type="spellStart"/>
      <w:r w:rsidRPr="00AB13EB">
        <w:t>tr</w:t>
      </w:r>
      <w:proofErr w:type="spellEnd"/>
      <w:r w:rsidRPr="00AB13EB">
        <w:t xml:space="preserve">. zák.) a ochranných opatření (§ 96 </w:t>
      </w:r>
      <w:proofErr w:type="spellStart"/>
      <w:r w:rsidRPr="00AB13EB">
        <w:t>tr</w:t>
      </w:r>
      <w:proofErr w:type="spellEnd"/>
      <w:r w:rsidRPr="00AB13EB">
        <w:t>. zák.)</w:t>
      </w:r>
      <w:r w:rsidR="00086F0A">
        <w:t>, zejména tedy zásada přiměřenosti</w:t>
      </w:r>
      <w:r w:rsidRPr="00AB13EB">
        <w:t>.</w:t>
      </w:r>
      <w:r w:rsidR="000E14EF">
        <w:t xml:space="preserve"> </w:t>
      </w:r>
    </w:p>
    <w:p w14:paraId="2076C4B8" w14:textId="77777777" w:rsidR="00FD1D6C" w:rsidRDefault="00F84510" w:rsidP="00F84510">
      <w:r w:rsidRPr="00AB13EB">
        <w:t xml:space="preserve">Ustanovení § 103a odst. 1 </w:t>
      </w:r>
      <w:proofErr w:type="spellStart"/>
      <w:r w:rsidRPr="00AB13EB">
        <w:t>tr</w:t>
      </w:r>
      <w:proofErr w:type="spellEnd"/>
      <w:r w:rsidRPr="00AB13EB">
        <w:t xml:space="preserve">. zák. upravuje </w:t>
      </w:r>
      <w:r w:rsidR="00116B09">
        <w:t xml:space="preserve">zvláštní </w:t>
      </w:r>
      <w:r w:rsidRPr="00AB13EB">
        <w:t>podmínky pro uložení tohoto opatření</w:t>
      </w:r>
      <w:r w:rsidR="00117364">
        <w:t xml:space="preserve">. </w:t>
      </w:r>
    </w:p>
    <w:p w14:paraId="7E9F8EF4" w14:textId="3E54AC57" w:rsidR="00F84510" w:rsidRDefault="00F84510" w:rsidP="00F84510">
      <w:r>
        <w:t xml:space="preserve">Aby bylo možno vyslovit zabrání motorového vozidla, musí jít </w:t>
      </w:r>
      <w:r w:rsidR="00B3268D">
        <w:t xml:space="preserve">v prvé řadě </w:t>
      </w:r>
      <w:r>
        <w:t xml:space="preserve">o vozidlo, které bylo užito ke spáchání úmyslného trestného činu nebo činu jinak trestného (tj. je nástrojem úmyslné trestné činnosti), přičemž se jedná o trestný čin (čin jinak trestný) spáchaný v souvislosti s provozem na pozemních komunikacích, tj. mezi tímto jednáním a provozem na pozemních komunikacích musí existovat souvislost. Při splnění poslední uvedené podmínky se tak může jednat např. o trestný čin </w:t>
      </w:r>
      <w:r w:rsidRPr="00361699">
        <w:t xml:space="preserve">ohrožení pod vlivem návykové látky podle § 274 </w:t>
      </w:r>
      <w:proofErr w:type="spellStart"/>
      <w:r w:rsidRPr="00361699">
        <w:t>tr</w:t>
      </w:r>
      <w:proofErr w:type="spellEnd"/>
      <w:r w:rsidRPr="00361699">
        <w:t>. zák., maření výkonu úředního rozhodnutí a vykázání podle §</w:t>
      </w:r>
      <w:r>
        <w:t> </w:t>
      </w:r>
      <w:r w:rsidRPr="00361699">
        <w:t xml:space="preserve">337 </w:t>
      </w:r>
      <w:proofErr w:type="spellStart"/>
      <w:r w:rsidRPr="00361699">
        <w:t>tr</w:t>
      </w:r>
      <w:proofErr w:type="spellEnd"/>
      <w:r w:rsidRPr="00361699">
        <w:t xml:space="preserve">. zák., obecné ohrožení podle § 272 </w:t>
      </w:r>
      <w:proofErr w:type="spellStart"/>
      <w:r w:rsidRPr="00361699">
        <w:t>tr</w:t>
      </w:r>
      <w:proofErr w:type="spellEnd"/>
      <w:r w:rsidRPr="00361699">
        <w:t>.</w:t>
      </w:r>
      <w:r>
        <w:t> </w:t>
      </w:r>
      <w:r w:rsidRPr="00361699">
        <w:t>zák.</w:t>
      </w:r>
      <w:r>
        <w:t xml:space="preserve">, vydírání podle § 175 </w:t>
      </w:r>
      <w:proofErr w:type="spellStart"/>
      <w:r>
        <w:t>tr</w:t>
      </w:r>
      <w:proofErr w:type="spellEnd"/>
      <w:r>
        <w:t>. zák. (případy tzv. vybržďování), nově navrhovan</w:t>
      </w:r>
      <w:r w:rsidR="00796BD2">
        <w:t>ý</w:t>
      </w:r>
      <w:r>
        <w:t xml:space="preserve"> trestn</w:t>
      </w:r>
      <w:r w:rsidR="00796BD2">
        <w:t>ý</w:t>
      </w:r>
      <w:r>
        <w:t xml:space="preserve"> čin maření výkonu pravomoci úřední osoby v silničním provozu podle § 327a </w:t>
      </w:r>
      <w:proofErr w:type="spellStart"/>
      <w:r>
        <w:t>tr</w:t>
      </w:r>
      <w:proofErr w:type="spellEnd"/>
      <w:r>
        <w:t xml:space="preserve">. zák. </w:t>
      </w:r>
      <w:r w:rsidRPr="00361699">
        <w:t>aj.</w:t>
      </w:r>
    </w:p>
    <w:p w14:paraId="4A3C17C8" w14:textId="77777777" w:rsidR="00F84510" w:rsidRPr="00772C7E" w:rsidRDefault="00F84510" w:rsidP="00F84510">
      <w:r>
        <w:t xml:space="preserve">Musí se přitom jednat o vozidlo náležející jiné osobě než pachateli [pokud by náleželo vozidlo pachateli, bylo by možné mu jej nechat propadnout podle § 70 odst. 2 písm. a) </w:t>
      </w:r>
      <w:proofErr w:type="spellStart"/>
      <w:r>
        <w:t>tr</w:t>
      </w:r>
      <w:proofErr w:type="spellEnd"/>
      <w:r>
        <w:t xml:space="preserve">. zák., popř. za podmínek § 101 odst. 1 písm. a) nebo b) </w:t>
      </w:r>
      <w:proofErr w:type="spellStart"/>
      <w:r>
        <w:t>tr</w:t>
      </w:r>
      <w:proofErr w:type="spellEnd"/>
      <w:r>
        <w:t xml:space="preserve">. zák. zabrat]. Pokud by v konkrétním případě bylo shledáno, že vozidlo je věcí ohrožující bezpečnost lidí nebo majetku nebo hrozí nebezpečí, že bude sloužit ke spáchání zločinu, bude na místě jej nechat zabrat podle § 101 odst. 1 písm. c) </w:t>
      </w:r>
      <w:proofErr w:type="spellStart"/>
      <w:r>
        <w:t>tr</w:t>
      </w:r>
      <w:proofErr w:type="spellEnd"/>
      <w:r>
        <w:t xml:space="preserve">. zák., které má přednost (§ 103a </w:t>
      </w:r>
      <w:proofErr w:type="spellStart"/>
      <w:r>
        <w:t>tr</w:t>
      </w:r>
      <w:proofErr w:type="spellEnd"/>
      <w:r>
        <w:t xml:space="preserve">. zák. je k tomuto ustanovení ustanovením subsidiárním). </w:t>
      </w:r>
    </w:p>
    <w:p w14:paraId="25A12030" w14:textId="6EBB5C46" w:rsidR="00F84510" w:rsidRDefault="00B3268D" w:rsidP="00F84510">
      <w:r>
        <w:lastRenderedPageBreak/>
        <w:t>D</w:t>
      </w:r>
      <w:r w:rsidR="00B95500">
        <w:t xml:space="preserve">alší </w:t>
      </w:r>
      <w:r w:rsidR="005C17D8">
        <w:t>podmínkou</w:t>
      </w:r>
      <w:r w:rsidR="005B4ACA">
        <w:t xml:space="preserve"> </w:t>
      </w:r>
      <w:r w:rsidR="00B95500">
        <w:t xml:space="preserve">uložení zabrání motorového vozidla </w:t>
      </w:r>
      <w:r>
        <w:t xml:space="preserve">je </w:t>
      </w:r>
      <w:r w:rsidR="005B4ACA">
        <w:t>skutečnost</w:t>
      </w:r>
      <w:r w:rsidR="005C17D8">
        <w:t xml:space="preserve">, že </w:t>
      </w:r>
      <w:r w:rsidR="00AB6578">
        <w:t>osob</w:t>
      </w:r>
      <w:r w:rsidR="00400664">
        <w:t>a</w:t>
      </w:r>
      <w:r w:rsidR="00AB6578">
        <w:t xml:space="preserve">, které motorové vozidlo náleží, </w:t>
      </w:r>
      <w:r w:rsidR="005B4ACA">
        <w:t xml:space="preserve">takové užití motorového vozidla umožní, i když </w:t>
      </w:r>
      <w:r w:rsidR="00400664">
        <w:t xml:space="preserve">může </w:t>
      </w:r>
      <w:r w:rsidR="005B4ACA">
        <w:t>z objektivního i</w:t>
      </w:r>
      <w:r w:rsidR="009D7A0A">
        <w:t> </w:t>
      </w:r>
      <w:r w:rsidR="005B4ACA">
        <w:t>subjektivního hlediska předpokládat, že se tak stane</w:t>
      </w:r>
      <w:r w:rsidR="007B130B">
        <w:t>, resp.</w:t>
      </w:r>
      <w:r w:rsidR="00B95500">
        <w:t xml:space="preserve"> by</w:t>
      </w:r>
      <w:r w:rsidR="007B130B">
        <w:t xml:space="preserve"> </w:t>
      </w:r>
      <w:r w:rsidR="00B95500">
        <w:t xml:space="preserve">se tak </w:t>
      </w:r>
      <w:r w:rsidR="007B130B">
        <w:t>stát mohlo</w:t>
      </w:r>
      <w:r w:rsidR="005B4ACA">
        <w:t xml:space="preserve">. </w:t>
      </w:r>
      <w:r w:rsidR="00407500">
        <w:t xml:space="preserve">Situací, kdy osoba mohla předpokládat užití </w:t>
      </w:r>
      <w:r w:rsidR="00202805">
        <w:t xml:space="preserve">motorového vozidla </w:t>
      </w:r>
      <w:r w:rsidR="00407500">
        <w:t xml:space="preserve">k trestnému činu </w:t>
      </w:r>
      <w:r w:rsidR="00F84510">
        <w:t xml:space="preserve">ve smyslu § 103a odst. </w:t>
      </w:r>
      <w:r w:rsidR="00841A84">
        <w:t xml:space="preserve">1 písm. b) </w:t>
      </w:r>
      <w:proofErr w:type="spellStart"/>
      <w:r w:rsidR="00F84510">
        <w:t>tr</w:t>
      </w:r>
      <w:proofErr w:type="spellEnd"/>
      <w:r w:rsidR="00F84510">
        <w:t>. zák.</w:t>
      </w:r>
      <w:r w:rsidR="009D7A0A">
        <w:t>,</w:t>
      </w:r>
      <w:r w:rsidR="00F84510">
        <w:t xml:space="preserve"> lze </w:t>
      </w:r>
      <w:r w:rsidR="00E1154E">
        <w:t>v </w:t>
      </w:r>
      <w:r w:rsidR="00F84510">
        <w:t xml:space="preserve">konkrétních případech zpravidla chápat zejména to, že osoba, které vozidlo náleží, vozidlo svěří </w:t>
      </w:r>
      <w:r w:rsidR="001C69C7">
        <w:t xml:space="preserve">nebo pronajme </w:t>
      </w:r>
      <w:r w:rsidR="00F84510">
        <w:t xml:space="preserve">osobě, </w:t>
      </w:r>
      <w:r w:rsidR="00A67DD0">
        <w:t>o </w:t>
      </w:r>
      <w:r w:rsidR="00F84510">
        <w:t xml:space="preserve">níž ví, že má uložen </w:t>
      </w:r>
      <w:r w:rsidR="009D7A0A">
        <w:t xml:space="preserve">trest </w:t>
      </w:r>
      <w:r w:rsidR="00F84510">
        <w:t>zákaz</w:t>
      </w:r>
      <w:r w:rsidR="009D7A0A">
        <w:t>u</w:t>
      </w:r>
      <w:r w:rsidR="00F84510">
        <w:t xml:space="preserve"> řízení motorových vozidel, </w:t>
      </w:r>
      <w:r w:rsidR="00A67DD0">
        <w:t>že</w:t>
      </w:r>
      <w:r w:rsidR="00B95500">
        <w:t> </w:t>
      </w:r>
      <w:r w:rsidR="00F84510">
        <w:t xml:space="preserve">je pod vlivem alkoholu nebo jiné návykové látky, případně </w:t>
      </w:r>
      <w:r w:rsidR="002648EE">
        <w:t xml:space="preserve">že </w:t>
      </w:r>
      <w:r w:rsidR="00F84510">
        <w:t>se v</w:t>
      </w:r>
      <w:r w:rsidR="00FD1D6C">
        <w:t> </w:t>
      </w:r>
      <w:r w:rsidR="00F84510">
        <w:t xml:space="preserve">minulosti dopustila závažného či opakovaného porušování pravidel silničního provozu nebo už předmětné vozidlo využila </w:t>
      </w:r>
      <w:r w:rsidR="001C69C7">
        <w:t> k </w:t>
      </w:r>
      <w:r w:rsidR="00F84510">
        <w:t>protiprávnímu jednání a lze předpokládat, že vozidlo bude takto opět využito</w:t>
      </w:r>
      <w:r w:rsidR="00FD1D6C">
        <w:t xml:space="preserve"> (samozřejmě za předpokladu, že takové jednání nebude podle konkrétních okolností posouzeno jako účastenství ve formě pomoci)</w:t>
      </w:r>
      <w:r w:rsidR="00F84510">
        <w:t xml:space="preserve">. </w:t>
      </w:r>
      <w:r w:rsidR="00E444C4">
        <w:t>Obdobné platí nejen v případě aktivního svěření vozidla pachateli, ale i</w:t>
      </w:r>
      <w:r w:rsidR="00FD1D6C">
        <w:t> </w:t>
      </w:r>
      <w:r w:rsidR="004B3FA3">
        <w:t>tehdy</w:t>
      </w:r>
      <w:r w:rsidR="00F84510">
        <w:t xml:space="preserve">, </w:t>
      </w:r>
      <w:r w:rsidR="004B3FA3">
        <w:t xml:space="preserve">pokud </w:t>
      </w:r>
      <w:r w:rsidR="00F84510">
        <w:t xml:space="preserve">vlastník ponechá </w:t>
      </w:r>
      <w:r w:rsidR="0012053B">
        <w:t xml:space="preserve">rizikové </w:t>
      </w:r>
      <w:r w:rsidR="00F84510">
        <w:t>osobě volný a</w:t>
      </w:r>
      <w:r w:rsidR="00E444C4">
        <w:t> </w:t>
      </w:r>
      <w:r w:rsidR="00F84510">
        <w:t>nekontrolovaný přístup ke klíčům od</w:t>
      </w:r>
      <w:r w:rsidR="00FD1D6C">
        <w:t> </w:t>
      </w:r>
      <w:r w:rsidR="00F84510">
        <w:t xml:space="preserve">vozidla, osvědčení o registraci vozidla nebo samotnému vozidlu, </w:t>
      </w:r>
      <w:r w:rsidR="00CF2810">
        <w:t>ne</w:t>
      </w:r>
      <w:r w:rsidR="00F84510">
        <w:t xml:space="preserve">odebere osobě, u níž vzniklo uvedené riziko, svěřené klíče, </w:t>
      </w:r>
      <w:r w:rsidR="00CF2810">
        <w:t>ne</w:t>
      </w:r>
      <w:r w:rsidR="00F84510">
        <w:t xml:space="preserve">zabrání jí v dalším užívání vozidla po předchozím incidentu </w:t>
      </w:r>
      <w:r w:rsidR="00A46445">
        <w:t>a </w:t>
      </w:r>
      <w:r w:rsidR="00F84510">
        <w:t xml:space="preserve">bude tolerovat jeho opakované používání přes zjevné varovné signály. </w:t>
      </w:r>
      <w:r w:rsidR="00E904F2">
        <w:t>Umožnění užití motorového vozidla ke spáchání trestného činu nebude zpravidla možné shled</w:t>
      </w:r>
      <w:r w:rsidR="00003F1D">
        <w:t>at</w:t>
      </w:r>
      <w:r w:rsidR="00F84510">
        <w:t xml:space="preserve"> naopak </w:t>
      </w:r>
      <w:r w:rsidR="00003F1D">
        <w:t>tehdy</w:t>
      </w:r>
      <w:r w:rsidR="00F84510">
        <w:t xml:space="preserve">, jestliže pachatel vozidlo užil bez vědomí </w:t>
      </w:r>
      <w:r w:rsidR="00003F1D">
        <w:t xml:space="preserve">vlastníka, </w:t>
      </w:r>
      <w:r w:rsidR="00F84510">
        <w:t xml:space="preserve">přes přijatá zabezpečovací opatření, vylákal si je lstí nebo je užil v rozporu s výslovným zákazem, který nebyl pouze formální, ale byl provázen </w:t>
      </w:r>
      <w:r w:rsidR="00D91762">
        <w:t>i </w:t>
      </w:r>
      <w:r w:rsidR="00F84510">
        <w:t>konkrétními kroky směřujícími k tomu, aby k takovému užití skutečně nedošlo.</w:t>
      </w:r>
    </w:p>
    <w:p w14:paraId="7710F589" w14:textId="2AC26986" w:rsidR="00830E9A" w:rsidRDefault="00830E9A" w:rsidP="00830E9A">
      <w:r>
        <w:t xml:space="preserve">Ustanovení § 103a odst. 2 </w:t>
      </w:r>
      <w:proofErr w:type="spellStart"/>
      <w:r w:rsidR="00E444C4">
        <w:t>tr</w:t>
      </w:r>
      <w:proofErr w:type="spellEnd"/>
      <w:r w:rsidR="00E444C4">
        <w:t xml:space="preserve">. zák. </w:t>
      </w:r>
      <w:r>
        <w:t xml:space="preserve">demonstrativně uvádí okolnosti, ke kterým se má přihlížet při zvažování, zda </w:t>
      </w:r>
      <w:r w:rsidR="00E75933">
        <w:t>je</w:t>
      </w:r>
      <w:r>
        <w:t xml:space="preserve"> </w:t>
      </w:r>
      <w:r w:rsidR="00E75933">
        <w:t xml:space="preserve">namístě </w:t>
      </w:r>
      <w:r>
        <w:t>vyslov</w:t>
      </w:r>
      <w:r w:rsidR="00E75933">
        <w:t xml:space="preserve">it </w:t>
      </w:r>
      <w:r>
        <w:t>zabrání motorového vozidla</w:t>
      </w:r>
      <w:r w:rsidR="009F1B2F">
        <w:t xml:space="preserve"> </w:t>
      </w:r>
      <w:r>
        <w:t>– jedná se zejména o okolnosti svěření vozidla pachateli, zda již v minulosti bylo vozidlo obdobně zneužito, zda byly na vozidle provedeny úpravy nasvědčující jeho protiprávnímu využití</w:t>
      </w:r>
      <w:r w:rsidR="00FD1D6C">
        <w:t xml:space="preserve">, o </w:t>
      </w:r>
      <w:r w:rsidR="00735932">
        <w:t>povahu</w:t>
      </w:r>
      <w:r>
        <w:t xml:space="preserve"> vztahu mezi pachatelem a osobou, které vozidlo náleží</w:t>
      </w:r>
      <w:r w:rsidR="00FD1D6C">
        <w:t xml:space="preserve"> aj</w:t>
      </w:r>
      <w:r>
        <w:t>. Tímto demonstrativním výčtem jsou nastíněny situace, kdy právě bude do značné míry možno klást i vlastníku vozidla k tíži, že se s jeho vozidlem páchá trestná činnost (typicky při tuningových úpravách vozidla, při opakovaném porušování dopravních předpisů vozidlem apod.). Navržená úprava tak usiluje o</w:t>
      </w:r>
      <w:r w:rsidR="00B531B2">
        <w:t> </w:t>
      </w:r>
      <w:r>
        <w:t>spravedlivou rovnováhu mezi požadavkem účinné reakce na nebezpečné formy kriminality v</w:t>
      </w:r>
      <w:r w:rsidR="00B531B2">
        <w:t> </w:t>
      </w:r>
      <w:r w:rsidR="00735932">
        <w:t xml:space="preserve">silničním provozu </w:t>
      </w:r>
      <w:r>
        <w:t xml:space="preserve">a ochranou práv osob, jež se na protiprávním jednání nepodílely. </w:t>
      </w:r>
    </w:p>
    <w:p w14:paraId="315C98FF" w14:textId="5B588CA2" w:rsidR="00F84510" w:rsidRDefault="00F84510" w:rsidP="00F84510">
      <w:r>
        <w:t xml:space="preserve">V této souvislosti lze upozornit, že se nejedná o nároky kladené na provozovatele vozidla nově, ten má totiž podle § 10 odst. 2 zákona č. 361/2000 Sb., </w:t>
      </w:r>
      <w:r w:rsidRPr="00EE7D84">
        <w:t>o</w:t>
      </w:r>
      <w:r>
        <w:t xml:space="preserve"> </w:t>
      </w:r>
      <w:r w:rsidRPr="00EE7D84">
        <w:t>provozu</w:t>
      </w:r>
      <w:r>
        <w:t xml:space="preserve"> </w:t>
      </w:r>
      <w:r w:rsidRPr="00EE7D84">
        <w:t>na</w:t>
      </w:r>
      <w:r>
        <w:t> </w:t>
      </w:r>
      <w:r w:rsidRPr="00EE7D84">
        <w:t>pozemních</w:t>
      </w:r>
      <w:r>
        <w:t xml:space="preserve"> </w:t>
      </w:r>
      <w:r w:rsidRPr="00EE7D84">
        <w:t>komunikacích a o změnách některých zákonů (zákon</w:t>
      </w:r>
      <w:r>
        <w:t xml:space="preserve"> </w:t>
      </w:r>
      <w:r w:rsidRPr="00EE7D84">
        <w:t>o</w:t>
      </w:r>
      <w:r>
        <w:t> </w:t>
      </w:r>
      <w:r w:rsidRPr="00EE7D84">
        <w:t>silničním</w:t>
      </w:r>
      <w:r>
        <w:t xml:space="preserve"> </w:t>
      </w:r>
      <w:r w:rsidRPr="00EE7D84">
        <w:t>provozu)</w:t>
      </w:r>
      <w:r>
        <w:t>, objektivní povinnost zajistit</w:t>
      </w:r>
      <w:r w:rsidRPr="00B33E7E">
        <w:t xml:space="preserve">, aby při užití vozidla na pozemní komunikaci byly dodržovány povinnosti řidiče a pravidla provozu na pozemních komunikacích stanovená </w:t>
      </w:r>
      <w:r w:rsidR="009006F0">
        <w:t xml:space="preserve">v </w:t>
      </w:r>
      <w:r>
        <w:t>zákoně o silničním provozu</w:t>
      </w:r>
      <w:r w:rsidRPr="00B33E7E">
        <w:t>.</w:t>
      </w:r>
    </w:p>
    <w:p w14:paraId="48663405" w14:textId="7F56F83E" w:rsidR="00F84510" w:rsidRDefault="00F84510" w:rsidP="00F84510">
      <w:r>
        <w:t xml:space="preserve">V rámci snahy o minimalizaci zásahu do práv třetích osob </w:t>
      </w:r>
      <w:r w:rsidRPr="005D166D">
        <w:t>byl</w:t>
      </w:r>
      <w:r>
        <w:t>o</w:t>
      </w:r>
      <w:r w:rsidRPr="005D166D">
        <w:t xml:space="preserve"> </w:t>
      </w:r>
      <w:r>
        <w:t>z</w:t>
      </w:r>
      <w:r w:rsidRPr="005D166D">
        <w:t>važován</w:t>
      </w:r>
      <w:r>
        <w:t>o</w:t>
      </w:r>
      <w:r w:rsidRPr="005D166D">
        <w:t xml:space="preserve"> </w:t>
      </w:r>
      <w:r>
        <w:t>taktéž</w:t>
      </w:r>
      <w:r w:rsidRPr="005D166D">
        <w:t xml:space="preserve"> </w:t>
      </w:r>
      <w:r>
        <w:t>řešení</w:t>
      </w:r>
      <w:r w:rsidRPr="005D166D">
        <w:t xml:space="preserve">, podle </w:t>
      </w:r>
      <w:r>
        <w:t xml:space="preserve">něhož </w:t>
      </w:r>
      <w:r w:rsidRPr="005D166D">
        <w:t>by bylo pachateli trestného činu spáchaného v souvislosti s provozem na</w:t>
      </w:r>
      <w:r>
        <w:t> </w:t>
      </w:r>
      <w:r w:rsidRPr="005D166D">
        <w:t xml:space="preserve">pozemních komunikacích </w:t>
      </w:r>
      <w:r w:rsidR="00291F31" w:rsidRPr="005D166D">
        <w:t xml:space="preserve">možno </w:t>
      </w:r>
      <w:r w:rsidRPr="005D166D">
        <w:t>uložit povinnost uhradit částku odpovídající hodnotě užitého vozidla, které nelze postihnout propadnutím</w:t>
      </w:r>
      <w:r>
        <w:t xml:space="preserve"> věci,</w:t>
      </w:r>
      <w:r w:rsidRPr="005D166D">
        <w:t xml:space="preserve"> protože mu nenáleží. K tomuto řešení </w:t>
      </w:r>
      <w:r>
        <w:t xml:space="preserve">se </w:t>
      </w:r>
      <w:r w:rsidRPr="005D166D">
        <w:t xml:space="preserve">však </w:t>
      </w:r>
      <w:r>
        <w:t>ne</w:t>
      </w:r>
      <w:r w:rsidRPr="005D166D">
        <w:t>přistoup</w:t>
      </w:r>
      <w:r>
        <w:t>ilo, protože je</w:t>
      </w:r>
      <w:r w:rsidRPr="005D166D">
        <w:t>-li pachatel osobou dostatečně majetnou, lze obdobného účelu dosáhnout uložením peněžitého trestu</w:t>
      </w:r>
      <w:r>
        <w:t xml:space="preserve">, </w:t>
      </w:r>
      <w:r w:rsidRPr="005D166D">
        <w:t xml:space="preserve">není-li tomu tak, postrádalo by takové opatření praktický význam, neboť by bylo zpravidla </w:t>
      </w:r>
      <w:proofErr w:type="spellStart"/>
      <w:r w:rsidRPr="005D166D">
        <w:t>nevymožitelné</w:t>
      </w:r>
      <w:proofErr w:type="spellEnd"/>
      <w:r w:rsidRPr="005D166D">
        <w:t xml:space="preserve">. Navrhovaná úprava přitom nesleduje primárně majetkový postih pachatele, </w:t>
      </w:r>
      <w:r>
        <w:t xml:space="preserve">ale </w:t>
      </w:r>
      <w:r w:rsidRPr="005D166D">
        <w:t>ochranný cíl spočívající v odnětí vozidla, kterým byla trestná činnost páchána, z běžného užívání, a tím ve znemožnění nebo alespoň podstatném ztížení dalšího páchání obdobné trestné činnosti.</w:t>
      </w:r>
      <w:r>
        <w:t xml:space="preserve"> Jedná se tak o možnost, jak zabránit tzv</w:t>
      </w:r>
      <w:r w:rsidR="00895244">
        <w:t>. </w:t>
      </w:r>
      <w:r>
        <w:t xml:space="preserve">silničním pirátům a dalším pachatelům trestných činů v dopravě v páchání závažné protiprávní činnosti v motorových vozidlech jim nenáležejících. Znemožnění páchání trestné činnosti zabráním nezbytného nástroje (byť legitimně použitelného) by mělo být možné, zvláště </w:t>
      </w:r>
      <w:r>
        <w:lastRenderedPageBreak/>
        <w:t xml:space="preserve">pak v některých křiklavých případech (záměrný nákup tzv. </w:t>
      </w:r>
      <w:proofErr w:type="spellStart"/>
      <w:r>
        <w:t>muscle</w:t>
      </w:r>
      <w:proofErr w:type="spellEnd"/>
      <w:r>
        <w:t xml:space="preserve"> car „na firmu“, tuningové úpravy takového vozidla leasingovým nájemcem apod.).</w:t>
      </w:r>
    </w:p>
    <w:p w14:paraId="0B1E018C" w14:textId="35515614" w:rsidR="00BE6852" w:rsidRDefault="00BE6852" w:rsidP="00C365AE">
      <w:pPr>
        <w:pStyle w:val="Nadpis3"/>
      </w:pPr>
      <w:r>
        <w:t>K</w:t>
      </w:r>
      <w:r w:rsidR="004C360E">
        <w:t xml:space="preserve"> bodu </w:t>
      </w:r>
      <w:r w:rsidR="00CC4CA5">
        <w:t xml:space="preserve">3 </w:t>
      </w:r>
      <w:r w:rsidR="004C360E">
        <w:t>[</w:t>
      </w:r>
      <w:r>
        <w:t>§ 253</w:t>
      </w:r>
      <w:r w:rsidR="004C360E">
        <w:t xml:space="preserve"> odst. 2 písm. c) a § 274 odst. 2 písm. c)]</w:t>
      </w:r>
    </w:p>
    <w:p w14:paraId="7927B892" w14:textId="5390ADF0" w:rsidR="003E54C1" w:rsidRDefault="00120366" w:rsidP="00C365AE">
      <w:r>
        <w:t>Speciální recidiva je v případě několika trestných činů okolností podmiňují</w:t>
      </w:r>
      <w:r w:rsidR="00142B51">
        <w:t>cí</w:t>
      </w:r>
      <w:r>
        <w:t xml:space="preserve"> použití vyšší trestní sazby. </w:t>
      </w:r>
      <w:r w:rsidR="004E282D">
        <w:t xml:space="preserve">V některých případech je přísněji trestné opětovné spáchání trestného činu [např. </w:t>
      </w:r>
      <w:r w:rsidR="00106BDB">
        <w:t xml:space="preserve">opětovné spáchání </w:t>
      </w:r>
      <w:r w:rsidR="004E282D">
        <w:t>vražd</w:t>
      </w:r>
      <w:r w:rsidR="00106BDB">
        <w:t>y</w:t>
      </w:r>
      <w:r w:rsidR="004E282D">
        <w:t xml:space="preserve"> podle § 140 odst. 3 písm. h) </w:t>
      </w:r>
      <w:proofErr w:type="spellStart"/>
      <w:r w:rsidR="004E282D">
        <w:t>tr</w:t>
      </w:r>
      <w:proofErr w:type="spellEnd"/>
      <w:r w:rsidR="004E282D">
        <w:t>. zák., těžké</w:t>
      </w:r>
      <w:r w:rsidR="00106BDB">
        <w:t>ho</w:t>
      </w:r>
      <w:r w:rsidR="004E282D">
        <w:t xml:space="preserve"> ublížení </w:t>
      </w:r>
      <w:r w:rsidR="00847F48">
        <w:t>n</w:t>
      </w:r>
      <w:r w:rsidR="004E282D">
        <w:t xml:space="preserve">a zdraví podle § 145 odst. 2 písm. g) </w:t>
      </w:r>
      <w:proofErr w:type="spellStart"/>
      <w:r w:rsidR="004E282D">
        <w:t>tr</w:t>
      </w:r>
      <w:proofErr w:type="spellEnd"/>
      <w:r w:rsidR="004E282D">
        <w:t>. zák.</w:t>
      </w:r>
      <w:r w:rsidR="00FF392A">
        <w:t xml:space="preserve">, </w:t>
      </w:r>
      <w:r w:rsidR="00FF392A" w:rsidRPr="003B7FDD">
        <w:t>nedovolené</w:t>
      </w:r>
      <w:r w:rsidR="00106BDB">
        <w:t>ho</w:t>
      </w:r>
      <w:r w:rsidR="00FF392A" w:rsidRPr="003B7FDD">
        <w:t xml:space="preserve"> přerušení těhotenství bez souhlasu těhotné ženy podle § 159 odst. 2 písm. e) </w:t>
      </w:r>
      <w:proofErr w:type="spellStart"/>
      <w:r w:rsidR="00FF392A" w:rsidRPr="003B7FDD">
        <w:t>tr</w:t>
      </w:r>
      <w:proofErr w:type="spellEnd"/>
      <w:r w:rsidR="00FF392A" w:rsidRPr="003B7FDD">
        <w:t xml:space="preserve">. zák., svěření dítěte do moci jiného podle § 169 odst. 2 písm. c) </w:t>
      </w:r>
      <w:proofErr w:type="spellStart"/>
      <w:r w:rsidR="00FF392A" w:rsidRPr="003B7FDD">
        <w:t>tr</w:t>
      </w:r>
      <w:proofErr w:type="spellEnd"/>
      <w:r w:rsidR="00FF392A" w:rsidRPr="003B7FDD">
        <w:t xml:space="preserve">. zák., svádění k pohlavnímu styku podle § 202 odst. 3 písm. d) </w:t>
      </w:r>
      <w:proofErr w:type="spellStart"/>
      <w:r w:rsidR="00FF392A" w:rsidRPr="003B7FDD">
        <w:t>tr</w:t>
      </w:r>
      <w:proofErr w:type="spellEnd"/>
      <w:r w:rsidR="00FF392A" w:rsidRPr="003B7FDD">
        <w:t>. zák. a další]</w:t>
      </w:r>
      <w:r w:rsidR="00FF392A">
        <w:t xml:space="preserve"> bez časového omezení, v některých případech je formálně právní skutečností opětovné spáchání </w:t>
      </w:r>
      <w:r w:rsidR="003E54C1">
        <w:t xml:space="preserve">daného </w:t>
      </w:r>
      <w:r w:rsidR="00FF392A">
        <w:t>trestného činu pouze v určitém časově vymezeném období (v případě k</w:t>
      </w:r>
      <w:r w:rsidR="00171ED0">
        <w:t>rádež</w:t>
      </w:r>
      <w:r w:rsidR="00FF392A">
        <w:t>e</w:t>
      </w:r>
      <w:r w:rsidR="00171ED0">
        <w:t xml:space="preserve"> </w:t>
      </w:r>
      <w:r w:rsidR="00FF392A">
        <w:t xml:space="preserve">podle </w:t>
      </w:r>
      <w:r w:rsidR="00171ED0">
        <w:t>§ 205 odst.</w:t>
      </w:r>
      <w:r w:rsidR="00106BDB">
        <w:t> </w:t>
      </w:r>
      <w:r w:rsidR="00171ED0">
        <w:t>1 písm. f)</w:t>
      </w:r>
      <w:r w:rsidR="00FF392A">
        <w:t xml:space="preserve"> </w:t>
      </w:r>
      <w:proofErr w:type="spellStart"/>
      <w:r w:rsidR="00FF392A">
        <w:t>tr</w:t>
      </w:r>
      <w:proofErr w:type="spellEnd"/>
      <w:r w:rsidR="00FF392A">
        <w:t>. zák., p</w:t>
      </w:r>
      <w:r w:rsidR="00171ED0">
        <w:t xml:space="preserve">oškozování spotřebitele </w:t>
      </w:r>
      <w:r w:rsidR="00FF392A">
        <w:t xml:space="preserve">podle </w:t>
      </w:r>
      <w:r w:rsidR="00171ED0">
        <w:t>§ 253 odst. 2 písm. c)</w:t>
      </w:r>
      <w:r w:rsidR="00FF392A">
        <w:t xml:space="preserve"> </w:t>
      </w:r>
      <w:proofErr w:type="spellStart"/>
      <w:r w:rsidR="00FF392A">
        <w:t>tr</w:t>
      </w:r>
      <w:proofErr w:type="spellEnd"/>
      <w:r w:rsidR="00FF392A">
        <w:t>. zák., o</w:t>
      </w:r>
      <w:r w:rsidR="00171ED0">
        <w:t xml:space="preserve">hrožení pod vlivem návykové látky </w:t>
      </w:r>
      <w:r w:rsidR="00FF392A">
        <w:t xml:space="preserve">podle </w:t>
      </w:r>
      <w:r w:rsidR="00171ED0">
        <w:t>§</w:t>
      </w:r>
      <w:r w:rsidR="00FF392A">
        <w:t> </w:t>
      </w:r>
      <w:r w:rsidR="00171ED0">
        <w:t>274 odst. 2 písm. c)</w:t>
      </w:r>
      <w:r w:rsidR="00FF392A">
        <w:t xml:space="preserve"> </w:t>
      </w:r>
      <w:proofErr w:type="spellStart"/>
      <w:r w:rsidR="00FF392A">
        <w:t>tr</w:t>
      </w:r>
      <w:proofErr w:type="spellEnd"/>
      <w:r w:rsidR="00FF392A">
        <w:t>. zák., n</w:t>
      </w:r>
      <w:r w:rsidR="00171ED0" w:rsidRPr="003B7FDD">
        <w:t>eoprávněn</w:t>
      </w:r>
      <w:r w:rsidR="00FF392A">
        <w:t>é</w:t>
      </w:r>
      <w:r w:rsidR="00171ED0" w:rsidRPr="003B7FDD">
        <w:t xml:space="preserve"> výrob</w:t>
      </w:r>
      <w:r w:rsidR="00FF392A">
        <w:t>y</w:t>
      </w:r>
      <w:r w:rsidR="00171ED0" w:rsidRPr="003B7FDD">
        <w:t xml:space="preserve"> a jiné</w:t>
      </w:r>
      <w:r w:rsidR="00FF392A">
        <w:t>ho</w:t>
      </w:r>
      <w:r w:rsidR="00171ED0" w:rsidRPr="003B7FDD">
        <w:t xml:space="preserve"> nakládání s omamnými nebo psychotropními látkami, s rostlinami nebo houbami je obsahujícími nebo s</w:t>
      </w:r>
      <w:r w:rsidR="00171ED0">
        <w:t> </w:t>
      </w:r>
      <w:r w:rsidR="00171ED0" w:rsidRPr="003B7FDD">
        <w:t>jedy</w:t>
      </w:r>
      <w:r w:rsidR="00171ED0">
        <w:t xml:space="preserve"> </w:t>
      </w:r>
      <w:r w:rsidR="00FF392A">
        <w:t xml:space="preserve">podle </w:t>
      </w:r>
      <w:r w:rsidR="00171ED0">
        <w:t>§ 283 odst. 2 písm. b)</w:t>
      </w:r>
      <w:r w:rsidR="00FF392A">
        <w:t xml:space="preserve"> </w:t>
      </w:r>
      <w:proofErr w:type="spellStart"/>
      <w:r w:rsidR="00FF392A">
        <w:t>tr</w:t>
      </w:r>
      <w:proofErr w:type="spellEnd"/>
      <w:r w:rsidR="00FF392A">
        <w:t>. zák., n</w:t>
      </w:r>
      <w:r w:rsidR="00171ED0" w:rsidRPr="003B7FDD">
        <w:t>edovolen</w:t>
      </w:r>
      <w:r w:rsidR="00FF392A">
        <w:t>é</w:t>
      </w:r>
      <w:r w:rsidR="00171ED0" w:rsidRPr="003B7FDD">
        <w:t xml:space="preserve"> výrob</w:t>
      </w:r>
      <w:r w:rsidR="00FF392A">
        <w:t>y</w:t>
      </w:r>
      <w:r w:rsidR="00171ED0" w:rsidRPr="003B7FDD">
        <w:t xml:space="preserve"> a jiné</w:t>
      </w:r>
      <w:r w:rsidR="00FF392A">
        <w:t>ho</w:t>
      </w:r>
      <w:r w:rsidR="00171ED0" w:rsidRPr="003B7FDD">
        <w:t xml:space="preserve"> nakládání s konopím</w:t>
      </w:r>
      <w:r w:rsidR="00171ED0">
        <w:t xml:space="preserve"> </w:t>
      </w:r>
      <w:r w:rsidR="00FF392A">
        <w:t xml:space="preserve">podle </w:t>
      </w:r>
      <w:r w:rsidR="00171ED0">
        <w:t>§ 283a odst. 3 písm. b)</w:t>
      </w:r>
      <w:r w:rsidR="00FF392A">
        <w:t xml:space="preserve"> </w:t>
      </w:r>
      <w:proofErr w:type="spellStart"/>
      <w:r w:rsidR="00FF392A">
        <w:t>tr</w:t>
      </w:r>
      <w:proofErr w:type="spellEnd"/>
      <w:r w:rsidR="00FF392A">
        <w:t>. zák. a v případě p</w:t>
      </w:r>
      <w:r w:rsidR="00171ED0" w:rsidRPr="003B7FDD">
        <w:t>ytláctví</w:t>
      </w:r>
      <w:r w:rsidR="00171ED0">
        <w:t xml:space="preserve"> </w:t>
      </w:r>
      <w:r w:rsidR="00FF392A">
        <w:t xml:space="preserve">podle </w:t>
      </w:r>
      <w:r w:rsidR="00171ED0">
        <w:t>§ 304 odst. 2 písm. e)</w:t>
      </w:r>
      <w:r w:rsidR="00FF392A">
        <w:t xml:space="preserve"> </w:t>
      </w:r>
      <w:proofErr w:type="spellStart"/>
      <w:r w:rsidR="00FF392A">
        <w:t>tr</w:t>
      </w:r>
      <w:proofErr w:type="spellEnd"/>
      <w:r w:rsidR="00FF392A">
        <w:t>. zák.].</w:t>
      </w:r>
      <w:r w:rsidR="003E54C1">
        <w:t xml:space="preserve"> Počátek tohoto období je pak vázán na </w:t>
      </w:r>
      <w:r w:rsidR="008651F4">
        <w:t>„</w:t>
      </w:r>
      <w:r w:rsidR="003E54C1">
        <w:t>odsouzení nebo na potrestání</w:t>
      </w:r>
      <w:r w:rsidR="008651F4">
        <w:t xml:space="preserve"> za takový čin“</w:t>
      </w:r>
      <w:r w:rsidR="003E54C1">
        <w:t xml:space="preserve">, pouze </w:t>
      </w:r>
      <w:r w:rsidR="00894E22">
        <w:t>v</w:t>
      </w:r>
      <w:r w:rsidR="003E54C1">
        <w:t xml:space="preserve"> případě poškozování spotřebitele a ohrožení pod vlivem návykové látky na </w:t>
      </w:r>
      <w:r w:rsidR="008651F4">
        <w:t>„</w:t>
      </w:r>
      <w:r w:rsidR="003E54C1">
        <w:t>odsouzení nebo propuštění z výkonu trestu odnětí svobody uloženého za takový čin</w:t>
      </w:r>
      <w:r w:rsidR="008651F4">
        <w:t>“</w:t>
      </w:r>
      <w:r w:rsidR="003E54C1">
        <w:t>. Pro odlišný přístup není dán přesvědčivý důvod, lze předpokládat, že v tomto došlo pouze k recepci textace trestního zákona (zákona č. 140/1961 Sb.)</w:t>
      </w:r>
      <w:r w:rsidR="008651F4">
        <w:t>, relevantní by mělo být kromě odsouzení i</w:t>
      </w:r>
      <w:r w:rsidR="00106BDB">
        <w:t> </w:t>
      </w:r>
      <w:r w:rsidR="008651F4">
        <w:t>vykonání trestu uloženého za předchozí trestný čin, bez ohledu na druh trestu</w:t>
      </w:r>
      <w:r w:rsidR="00520FE1">
        <w:t xml:space="preserve"> – je-li </w:t>
      </w:r>
      <w:r w:rsidR="0038298F">
        <w:t xml:space="preserve">v těchto případech </w:t>
      </w:r>
      <w:r w:rsidR="00520FE1">
        <w:t>recidiva okolností zvyšující škodlivost jednání pachatele</w:t>
      </w:r>
      <w:r w:rsidR="0038298F">
        <w:t xml:space="preserve"> vyžadující jeho přísnější postih, </w:t>
      </w:r>
      <w:r w:rsidR="00291F31">
        <w:t xml:space="preserve">protože předchozí potrestání nemělo dostatečný efekt, </w:t>
      </w:r>
      <w:r w:rsidR="0038298F">
        <w:t>měla by jej zvyšovat nejen v případech, kdy došlo k uložení trestu odnětí svobody, ale i</w:t>
      </w:r>
      <w:r w:rsidR="00106BDB">
        <w:t> </w:t>
      </w:r>
      <w:r w:rsidR="0038298F">
        <w:t xml:space="preserve">v případech, kdy došlo k uložení jiného druhu trestu (podle dnešní úpravy tak recidiva nemusí být u trestných činů podle § 253 a 274 </w:t>
      </w:r>
      <w:proofErr w:type="spellStart"/>
      <w:r w:rsidR="00C5383B">
        <w:t>tr</w:t>
      </w:r>
      <w:proofErr w:type="spellEnd"/>
      <w:r w:rsidR="00C5383B">
        <w:t xml:space="preserve">. zák. </w:t>
      </w:r>
      <w:r w:rsidR="0038298F">
        <w:t>relevantní, i když nedošlo k výkonu uloženého alternativního trestu</w:t>
      </w:r>
      <w:r w:rsidR="00106BDB">
        <w:t>).</w:t>
      </w:r>
    </w:p>
    <w:p w14:paraId="365204F8" w14:textId="64835CA7" w:rsidR="0031744D" w:rsidRDefault="0031744D" w:rsidP="00C365AE">
      <w:pPr>
        <w:pStyle w:val="Nadpis3"/>
      </w:pPr>
      <w:r>
        <w:t>K</w:t>
      </w:r>
      <w:r w:rsidR="004C360E">
        <w:t xml:space="preserve"> bodům </w:t>
      </w:r>
      <w:r w:rsidR="00CC4CA5">
        <w:t xml:space="preserve">4 </w:t>
      </w:r>
      <w:r w:rsidR="004C360E">
        <w:t xml:space="preserve">až </w:t>
      </w:r>
      <w:r w:rsidR="00CC4CA5">
        <w:t xml:space="preserve">6 </w:t>
      </w:r>
      <w:r w:rsidR="004C360E">
        <w:t>(</w:t>
      </w:r>
      <w:r>
        <w:t>§ 274</w:t>
      </w:r>
      <w:r w:rsidR="00C9495A">
        <w:t xml:space="preserve"> odst. 1 a 2</w:t>
      </w:r>
      <w:r w:rsidR="004C360E">
        <w:t>)</w:t>
      </w:r>
    </w:p>
    <w:p w14:paraId="499F9CA7" w14:textId="5940D628" w:rsidR="00D71619" w:rsidRDefault="00D66DFE" w:rsidP="00C365AE">
      <w:r>
        <w:t xml:space="preserve">Trestný čin ohrožení pod vlivem návykové látky spočívá ve výkonu </w:t>
      </w:r>
      <w:r w:rsidRPr="00D66DFE">
        <w:t xml:space="preserve">zaměstnání nebo </w:t>
      </w:r>
      <w:r>
        <w:t>jiné</w:t>
      </w:r>
      <w:r w:rsidRPr="00D66DFE">
        <w:t xml:space="preserve"> činnost</w:t>
      </w:r>
      <w:r>
        <w:t>i</w:t>
      </w:r>
      <w:r w:rsidRPr="00D66DFE">
        <w:t xml:space="preserve">, při kterých </w:t>
      </w:r>
      <w:r>
        <w:t xml:space="preserve">může být ohrožen </w:t>
      </w:r>
      <w:r w:rsidRPr="00D66DFE">
        <w:t xml:space="preserve">život nebo zdraví lidí nebo </w:t>
      </w:r>
      <w:r>
        <w:t xml:space="preserve">způsobena značná </w:t>
      </w:r>
      <w:r w:rsidRPr="00D66DFE">
        <w:t>škod</w:t>
      </w:r>
      <w:r>
        <w:t>a</w:t>
      </w:r>
      <w:r w:rsidRPr="00D66DFE">
        <w:t xml:space="preserve"> na</w:t>
      </w:r>
      <w:r>
        <w:t> </w:t>
      </w:r>
      <w:r w:rsidRPr="00D66DFE">
        <w:t>majetk</w:t>
      </w:r>
      <w:r>
        <w:t xml:space="preserve">u, </w:t>
      </w:r>
      <w:r w:rsidRPr="00D66DFE">
        <w:t xml:space="preserve">ve stavu vylučujícím způsobilost, který si </w:t>
      </w:r>
      <w:r>
        <w:t xml:space="preserve">pachatel </w:t>
      </w:r>
      <w:r w:rsidRPr="00D66DFE">
        <w:t>přivodil vlivem návykové látky</w:t>
      </w:r>
      <w:r>
        <w:t>.</w:t>
      </w:r>
      <w:r w:rsidR="00D71619">
        <w:t xml:space="preserve"> </w:t>
      </w:r>
      <w:r w:rsidRPr="00C47115">
        <w:t xml:space="preserve">Výkonem zaměstnání nebo jiné činnosti ve smyslu § 274 odst. 1 </w:t>
      </w:r>
      <w:proofErr w:type="spellStart"/>
      <w:r w:rsidR="00D71619">
        <w:t>tr</w:t>
      </w:r>
      <w:proofErr w:type="spellEnd"/>
      <w:r w:rsidR="00D71619">
        <w:t xml:space="preserve">. zák. </w:t>
      </w:r>
      <w:r w:rsidRPr="00C47115">
        <w:t xml:space="preserve">se </w:t>
      </w:r>
      <w:r w:rsidR="00D71619">
        <w:t xml:space="preserve">přitom </w:t>
      </w:r>
      <w:r w:rsidRPr="00C47115">
        <w:t>rozumí výkon takového zaměstnání nebo činnosti, jejíž bezpečný výkon vyžaduje soustředěnou pozornost a schopnost správně vnímat a pohotově reagovat na vznikající situaci.</w:t>
      </w:r>
      <w:r w:rsidR="00D71619">
        <w:t xml:space="preserve"> </w:t>
      </w:r>
      <w:r w:rsidR="00723905">
        <w:t xml:space="preserve">Není přitom důvodu, proč není výslovně uvedeno i „povolání“ </w:t>
      </w:r>
      <w:r w:rsidR="00723905" w:rsidRPr="00C47115">
        <w:t>(</w:t>
      </w:r>
      <w:r w:rsidR="00D71619" w:rsidRPr="00C47115">
        <w:t>profesní činnost vykonávan</w:t>
      </w:r>
      <w:r w:rsidR="00723905" w:rsidRPr="00C47115">
        <w:t>á</w:t>
      </w:r>
      <w:r w:rsidR="00D71619" w:rsidRPr="00C47115">
        <w:t xml:space="preserve"> jinak než v pracovněprávním vztahu při výkonu závislé práce</w:t>
      </w:r>
      <w:r w:rsidR="00723905" w:rsidRPr="00C47115">
        <w:t>)</w:t>
      </w:r>
      <w:r w:rsidR="00723905">
        <w:t xml:space="preserve">, které tak dnes je subsumováno pod „jinou činnost“, byť </w:t>
      </w:r>
      <w:r w:rsidR="003468C3">
        <w:t xml:space="preserve">„povolání“ je </w:t>
      </w:r>
      <w:r w:rsidR="00723905">
        <w:t xml:space="preserve">v jiných ustanoveních trestního zákoníku kladeno naroveň „zaměstnání“. </w:t>
      </w:r>
    </w:p>
    <w:p w14:paraId="1B3A8FFB" w14:textId="3D3F0715" w:rsidR="00723905" w:rsidRDefault="00ED71A9" w:rsidP="00C365AE">
      <w:r>
        <w:t xml:space="preserve">Dále se navrhuje, aby za tento trestný čin bylo možné uložit trest propadnutí věci, a to i jako trest samostatný (tento druh trestu lze za spáchání trestného činu ohrožení pod vlivem návykové látky uložit, nicméně s ohledem na § 72 </w:t>
      </w:r>
      <w:proofErr w:type="spellStart"/>
      <w:r>
        <w:t>tr</w:t>
      </w:r>
      <w:proofErr w:type="spellEnd"/>
      <w:r>
        <w:t>. zák. vždy jen spolu s jiným druhem trestu). Tímto způsobem bude posílena možnost soudní individualizace trestů.</w:t>
      </w:r>
    </w:p>
    <w:p w14:paraId="20695FD9" w14:textId="5E6E674F" w:rsidR="00D71619" w:rsidRDefault="00ED71A9" w:rsidP="00C365AE">
      <w:r>
        <w:t xml:space="preserve">Naopak z výčtu trestů uvedených v § 274 </w:t>
      </w:r>
      <w:proofErr w:type="spellStart"/>
      <w:r>
        <w:t>tr</w:t>
      </w:r>
      <w:proofErr w:type="spellEnd"/>
      <w:r>
        <w:t>. zák. se vypouští odkaz na peněžitý trest – novela trestního zákoníku provedená zákonem č. 270/2025 Sb.</w:t>
      </w:r>
      <w:r w:rsidR="003468C3">
        <w:t xml:space="preserve"> umožnila uložit peněžitý trest za kterýkoli trestný čin, jeho uvedení ve zvláštní části trestního zákoníku tak ztrácí opodstatnění.</w:t>
      </w:r>
    </w:p>
    <w:p w14:paraId="72FA5CE6" w14:textId="77777777" w:rsidR="00B051DE" w:rsidRPr="00CA02DA" w:rsidRDefault="00B051DE" w:rsidP="00B051DE">
      <w:pPr>
        <w:pStyle w:val="Nadpis3"/>
      </w:pPr>
      <w:r w:rsidRPr="00CA02DA">
        <w:lastRenderedPageBreak/>
        <w:t>K bodu 7 (§ 274 odst. 3 až 5)</w:t>
      </w:r>
    </w:p>
    <w:p w14:paraId="1634494C" w14:textId="6EEC9CD5" w:rsidR="009E20D2" w:rsidRPr="00244486" w:rsidRDefault="002F5426" w:rsidP="00C365AE">
      <w:r>
        <w:t xml:space="preserve">V </w:t>
      </w:r>
      <w:r w:rsidR="003468C3">
        <w:t>programové</w:t>
      </w:r>
      <w:r>
        <w:t>m</w:t>
      </w:r>
      <w:r w:rsidR="003468C3">
        <w:t xml:space="preserve"> prohlášení </w:t>
      </w:r>
      <w:r>
        <w:t xml:space="preserve">se vláda mj. zavázala zpřísnit </w:t>
      </w:r>
      <w:r w:rsidRPr="0031783F">
        <w:t>„</w:t>
      </w:r>
      <w:r w:rsidRPr="0031783F">
        <w:rPr>
          <w:i/>
          <w:iCs/>
        </w:rPr>
        <w:t xml:space="preserve">tresty osobám, které při řízení pod vlivem alkoholu nebo drog způsobí těžkou újmu na zdraví nebo smrt </w:t>
      </w:r>
      <w:r w:rsidRPr="00244486">
        <w:rPr>
          <w:i/>
          <w:iCs/>
        </w:rPr>
        <w:t>jiné osoby</w:t>
      </w:r>
      <w:r w:rsidRPr="00244486">
        <w:t>“</w:t>
      </w:r>
      <w:r w:rsidR="009E20D2" w:rsidRPr="00244486">
        <w:t>.</w:t>
      </w:r>
    </w:p>
    <w:p w14:paraId="1462B41D" w14:textId="5167CD1A" w:rsidR="002F5426" w:rsidRDefault="0027288E" w:rsidP="00C365AE">
      <w:r w:rsidRPr="00244486">
        <w:t xml:space="preserve">Lze </w:t>
      </w:r>
      <w:proofErr w:type="gramStart"/>
      <w:r w:rsidRPr="00244486">
        <w:t>říci</w:t>
      </w:r>
      <w:proofErr w:type="gramEnd"/>
      <w:r w:rsidRPr="00244486">
        <w:t xml:space="preserve">, že </w:t>
      </w:r>
      <w:r w:rsidR="00275679" w:rsidRPr="00244486">
        <w:t>stav vylučující způsobilost několikanásobně zvyšuje pravděpodobnos</w:t>
      </w:r>
      <w:r w:rsidR="00275679">
        <w:t>t dopravní nehody</w:t>
      </w:r>
      <w:r w:rsidR="00EF64A7">
        <w:t xml:space="preserve"> a </w:t>
      </w:r>
      <w:r w:rsidR="00275679">
        <w:t>pokud tak pachatel činí</w:t>
      </w:r>
      <w:r w:rsidR="00007326">
        <w:t xml:space="preserve"> úmyslně, odpovídajícím způsobem se tím zvyšuje i závažnost jeho jednání ve vztahu k vzniklé poruše. Trestní zákoník již dnes přísněji trestá pachatele, který</w:t>
      </w:r>
      <w:r w:rsidR="002B6F88">
        <w:t> </w:t>
      </w:r>
      <w:r w:rsidR="00F634F6">
        <w:t xml:space="preserve">tímto jednáním způsobí ublížení na zdraví. </w:t>
      </w:r>
      <w:r w:rsidR="00CC44E2">
        <w:t>Z</w:t>
      </w:r>
      <w:r w:rsidR="00F634F6">
        <w:t xml:space="preserve">atímco podle § 148 odst. 1 </w:t>
      </w:r>
      <w:proofErr w:type="spellStart"/>
      <w:r w:rsidR="00106BDB">
        <w:t>tr</w:t>
      </w:r>
      <w:proofErr w:type="spellEnd"/>
      <w:r w:rsidR="00106BDB">
        <w:t>. zák.</w:t>
      </w:r>
      <w:r w:rsidR="00F96B53">
        <w:t xml:space="preserve"> </w:t>
      </w:r>
      <w:r w:rsidR="00793637">
        <w:t>hrozí</w:t>
      </w:r>
      <w:r w:rsidR="00F634F6">
        <w:t xml:space="preserve"> za</w:t>
      </w:r>
      <w:r w:rsidR="002F5426">
        <w:t> </w:t>
      </w:r>
      <w:r w:rsidR="00CC44E2">
        <w:t xml:space="preserve">nedbalostní </w:t>
      </w:r>
      <w:r w:rsidR="00F634F6">
        <w:t xml:space="preserve">ublížení na zdraví při porušení důležité povinnosti, </w:t>
      </w:r>
      <w:r w:rsidR="00F634F6" w:rsidRPr="00692B40">
        <w:t xml:space="preserve">kterou zdržení se požití návykových látek před anebo při řízení motorového vozidla bezpochyby je </w:t>
      </w:r>
      <w:r w:rsidR="00F634F6">
        <w:t>(</w:t>
      </w:r>
      <w:r w:rsidR="005A463D" w:rsidRPr="005A463D">
        <w:t xml:space="preserve">srov. rozhodnutí Nejvyššího soudu </w:t>
      </w:r>
      <w:proofErr w:type="spellStart"/>
      <w:r w:rsidR="005A463D" w:rsidRPr="005A463D">
        <w:t>sp</w:t>
      </w:r>
      <w:proofErr w:type="spellEnd"/>
      <w:r w:rsidR="005A463D" w:rsidRPr="005A463D">
        <w:t xml:space="preserve">. zn. 7 </w:t>
      </w:r>
      <w:proofErr w:type="spellStart"/>
      <w:r w:rsidR="005A463D" w:rsidRPr="005A463D">
        <w:t>Tdo</w:t>
      </w:r>
      <w:proofErr w:type="spellEnd"/>
      <w:r w:rsidR="005A463D" w:rsidRPr="005A463D">
        <w:t xml:space="preserve"> 450/2015 </w:t>
      </w:r>
      <w:r w:rsidR="002F5426">
        <w:t xml:space="preserve">nebo rozhodnutí Nejvyššího soudu </w:t>
      </w:r>
      <w:proofErr w:type="spellStart"/>
      <w:r w:rsidR="005A463D" w:rsidRPr="005A463D">
        <w:t>sp</w:t>
      </w:r>
      <w:proofErr w:type="spellEnd"/>
      <w:r w:rsidR="005A463D" w:rsidRPr="005A463D">
        <w:t>.</w:t>
      </w:r>
      <w:r w:rsidR="00914C94">
        <w:t> </w:t>
      </w:r>
      <w:r w:rsidR="005A463D" w:rsidRPr="005A463D">
        <w:t>zn. 7</w:t>
      </w:r>
      <w:r w:rsidR="005D5F8B">
        <w:t> </w:t>
      </w:r>
      <w:proofErr w:type="spellStart"/>
      <w:r w:rsidR="005A463D" w:rsidRPr="005A463D">
        <w:t>Tdo</w:t>
      </w:r>
      <w:proofErr w:type="spellEnd"/>
      <w:r w:rsidR="005D5F8B">
        <w:t> </w:t>
      </w:r>
      <w:r w:rsidR="005A463D" w:rsidRPr="005A463D">
        <w:t>788/2016</w:t>
      </w:r>
      <w:r w:rsidR="00F634F6">
        <w:t>)</w:t>
      </w:r>
      <w:r w:rsidR="00F778C0">
        <w:t xml:space="preserve">, </w:t>
      </w:r>
      <w:r w:rsidR="00793637">
        <w:t xml:space="preserve">trest odnětí svobody až na jeden rok, </w:t>
      </w:r>
      <w:r w:rsidR="00ED553D">
        <w:t xml:space="preserve">za trestný čin </w:t>
      </w:r>
      <w:r w:rsidR="00CA4AEE">
        <w:t xml:space="preserve">podle </w:t>
      </w:r>
      <w:r w:rsidR="00ED553D">
        <w:t xml:space="preserve">§ 274 odst. 2 </w:t>
      </w:r>
      <w:proofErr w:type="spellStart"/>
      <w:r w:rsidR="00C5383B">
        <w:t>tr</w:t>
      </w:r>
      <w:proofErr w:type="spellEnd"/>
      <w:r w:rsidR="00C5383B">
        <w:t>. zák.</w:t>
      </w:r>
      <w:r w:rsidR="00B41C1A">
        <w:t xml:space="preserve">, kterým pachatel způsobí řízením motorového vozidla ve stavu vylučujícím způsobilost jinému ublížení na zdraví, </w:t>
      </w:r>
      <w:r w:rsidR="00D255B0">
        <w:t xml:space="preserve">činí </w:t>
      </w:r>
      <w:r w:rsidR="00ED553D">
        <w:t>sazba</w:t>
      </w:r>
      <w:r w:rsidR="00D255B0" w:rsidRPr="00D255B0">
        <w:t xml:space="preserve"> </w:t>
      </w:r>
      <w:r w:rsidR="00D255B0">
        <w:t>trestu odnětí svobody</w:t>
      </w:r>
      <w:r w:rsidR="00ED553D">
        <w:t xml:space="preserve"> </w:t>
      </w:r>
      <w:r w:rsidR="00604070">
        <w:t xml:space="preserve">šest měsíců až tři léta. </w:t>
      </w:r>
    </w:p>
    <w:p w14:paraId="7248F963" w14:textId="77626251" w:rsidR="003468C3" w:rsidRDefault="001E7503" w:rsidP="00C365AE">
      <w:r>
        <w:t xml:space="preserve">Stejně tak lze ale zvýšenou závažnost shledat u </w:t>
      </w:r>
      <w:r w:rsidR="001A57CB">
        <w:t xml:space="preserve">dalších </w:t>
      </w:r>
      <w:r>
        <w:t>těžších následků, k</w:t>
      </w:r>
      <w:r w:rsidR="004B50FB">
        <w:t xml:space="preserve">terými jsou způsobení ublížení na zdraví nejméně dvou osob (v současné době postihováno podle § 148 odst. 2 </w:t>
      </w:r>
      <w:proofErr w:type="spellStart"/>
      <w:r w:rsidR="00C5383B">
        <w:t>tr</w:t>
      </w:r>
      <w:proofErr w:type="spellEnd"/>
      <w:r w:rsidR="00C5383B">
        <w:t xml:space="preserve">. zák. </w:t>
      </w:r>
      <w:r w:rsidR="004B50FB">
        <w:t xml:space="preserve">sazbou trestu odnětí svobody až na tři léta), </w:t>
      </w:r>
      <w:r w:rsidR="00533491">
        <w:t xml:space="preserve">způsobení těžké újmy na zdraví (dnes postihováno </w:t>
      </w:r>
      <w:r w:rsidR="00FC3883">
        <w:t xml:space="preserve">podle § 147 odst. 2 </w:t>
      </w:r>
      <w:proofErr w:type="spellStart"/>
      <w:r w:rsidR="00C5383B">
        <w:t>tr</w:t>
      </w:r>
      <w:proofErr w:type="spellEnd"/>
      <w:r w:rsidR="00C5383B">
        <w:t xml:space="preserve">. zák. </w:t>
      </w:r>
      <w:r w:rsidR="00FC3883">
        <w:t xml:space="preserve">se sazbou šest měsíců až čtyři léta), </w:t>
      </w:r>
      <w:r w:rsidR="00191C48">
        <w:t xml:space="preserve">způsobení těžké újmy na zdraví nejméně dvou osob (dnes postihováno podle § 147 odst. 3 </w:t>
      </w:r>
      <w:proofErr w:type="spellStart"/>
      <w:r w:rsidR="00C5383B">
        <w:t>tr</w:t>
      </w:r>
      <w:proofErr w:type="spellEnd"/>
      <w:r w:rsidR="00C5383B">
        <w:t>. zák.</w:t>
      </w:r>
      <w:r w:rsidR="00DD7DA5">
        <w:t xml:space="preserve"> </w:t>
      </w:r>
      <w:r w:rsidR="00191C48">
        <w:t xml:space="preserve">se sazbou </w:t>
      </w:r>
      <w:r w:rsidR="00B12502">
        <w:t>dvě léta</w:t>
      </w:r>
      <w:r w:rsidR="00191C48">
        <w:t xml:space="preserve"> až </w:t>
      </w:r>
      <w:r w:rsidR="00B12502">
        <w:t>osm</w:t>
      </w:r>
      <w:r w:rsidR="00191C48">
        <w:t xml:space="preserve"> l</w:t>
      </w:r>
      <w:r w:rsidR="00765026">
        <w:t>e</w:t>
      </w:r>
      <w:r w:rsidR="00191C48">
        <w:t>t</w:t>
      </w:r>
      <w:r w:rsidR="00652FB6">
        <w:t xml:space="preserve">), </w:t>
      </w:r>
      <w:r w:rsidR="0025347D">
        <w:t>způsobení smrti (dnes postihováno podle § 143 odst. 2</w:t>
      </w:r>
      <w:r w:rsidR="00B568F1">
        <w:t xml:space="preserve"> </w:t>
      </w:r>
      <w:proofErr w:type="spellStart"/>
      <w:r w:rsidR="00C5383B">
        <w:t>tr</w:t>
      </w:r>
      <w:proofErr w:type="spellEnd"/>
      <w:r w:rsidR="00C5383B">
        <w:t xml:space="preserve">. zák. </w:t>
      </w:r>
      <w:r w:rsidR="00B568F1">
        <w:t xml:space="preserve">se sazbou jeden rok až šest let) </w:t>
      </w:r>
      <w:r w:rsidR="00B568F1" w:rsidRPr="00051BE8">
        <w:t xml:space="preserve">a u </w:t>
      </w:r>
      <w:r w:rsidR="00AC49CC" w:rsidRPr="00051BE8">
        <w:t>způsobení</w:t>
      </w:r>
      <w:r w:rsidR="00B568F1" w:rsidRPr="00051BE8">
        <w:t xml:space="preserve"> smrti nejméně dvou osob</w:t>
      </w:r>
      <w:r w:rsidR="00AC49CC" w:rsidRPr="00051BE8">
        <w:t xml:space="preserve"> (dnes postihováno podle § 143</w:t>
      </w:r>
      <w:r w:rsidR="00F96B53" w:rsidRPr="00051BE8">
        <w:t xml:space="preserve"> odst. 4</w:t>
      </w:r>
      <w:r w:rsidR="00DD7DA5" w:rsidRPr="00051BE8">
        <w:t xml:space="preserve"> </w:t>
      </w:r>
      <w:proofErr w:type="spellStart"/>
      <w:r w:rsidR="00C5383B">
        <w:t>tr</w:t>
      </w:r>
      <w:proofErr w:type="spellEnd"/>
      <w:r w:rsidR="00C5383B">
        <w:t xml:space="preserve">. zák. </w:t>
      </w:r>
      <w:r w:rsidR="00051BE8" w:rsidRPr="00051BE8">
        <w:t>se sazbou tři až deset let</w:t>
      </w:r>
      <w:r w:rsidR="00687582" w:rsidRPr="00051BE8">
        <w:t>)</w:t>
      </w:r>
      <w:r w:rsidR="00FA29ED" w:rsidRPr="00051BE8">
        <w:t>.</w:t>
      </w:r>
      <w:r w:rsidR="00687582" w:rsidRPr="00051BE8">
        <w:t xml:space="preserve"> </w:t>
      </w:r>
    </w:p>
    <w:p w14:paraId="75A3AD0A" w14:textId="4734C6C6" w:rsidR="00051BE8" w:rsidRDefault="00F11290" w:rsidP="00C365AE">
      <w:r w:rsidRPr="00051BE8">
        <w:t>Adekvátně tomu se proto v</w:t>
      </w:r>
      <w:r w:rsidR="00922B5C" w:rsidRPr="00051BE8">
        <w:t> </w:t>
      </w:r>
      <w:r w:rsidRPr="00051BE8">
        <w:t>doplňo</w:t>
      </w:r>
      <w:r w:rsidR="00922B5C" w:rsidRPr="00051BE8">
        <w:t>vaný</w:t>
      </w:r>
      <w:r w:rsidR="00AA63F3">
        <w:t>ch</w:t>
      </w:r>
      <w:r w:rsidR="00922B5C" w:rsidRPr="00051BE8">
        <w:t xml:space="preserve"> odstavc</w:t>
      </w:r>
      <w:r w:rsidR="00AA63F3">
        <w:t>ích</w:t>
      </w:r>
      <w:r w:rsidR="00922B5C" w:rsidRPr="00051BE8">
        <w:t xml:space="preserve"> 3 až 5 </w:t>
      </w:r>
      <w:r w:rsidR="00AA63F3">
        <w:t xml:space="preserve">reagujících na uvedený požadavek programového prohlášení vlády </w:t>
      </w:r>
      <w:r w:rsidR="00922B5C" w:rsidRPr="00051BE8">
        <w:t xml:space="preserve">navrhuje zpřísnit postih, pokud k těmto následkům dojde právě v důsledku řízení </w:t>
      </w:r>
      <w:r w:rsidR="00491CE8" w:rsidRPr="00051BE8">
        <w:t>ve stavu vylučujícím způsobilost</w:t>
      </w:r>
      <w:r w:rsidR="00AA63F3">
        <w:t xml:space="preserve"> (s</w:t>
      </w:r>
      <w:r w:rsidR="00652FB6" w:rsidRPr="00051BE8">
        <w:t xml:space="preserve"> výjimkou způsobení smrti nejméně dvou osob, </w:t>
      </w:r>
      <w:r w:rsidR="00ED3FE1" w:rsidRPr="00051BE8">
        <w:t>v tomto případě se další zpřísnění jeví</w:t>
      </w:r>
      <w:r w:rsidR="00382A84" w:rsidRPr="00051BE8">
        <w:t xml:space="preserve"> již nepřiměřeně přísné</w:t>
      </w:r>
      <w:r w:rsidR="00AA63F3">
        <w:t>, přičemž navržená s</w:t>
      </w:r>
      <w:r w:rsidR="00382A84">
        <w:t>azba se jeví jako dostatečně široká k řádné individualizaci ve všech v</w:t>
      </w:r>
      <w:r w:rsidR="004467E7">
        <w:t> </w:t>
      </w:r>
      <w:r w:rsidR="00382A84">
        <w:t>úva</w:t>
      </w:r>
      <w:r w:rsidR="004467E7">
        <w:t>hu připadajících případech</w:t>
      </w:r>
      <w:r w:rsidR="00AA63F3">
        <w:t>)</w:t>
      </w:r>
      <w:r w:rsidR="004467E7">
        <w:t>. I nadále plat</w:t>
      </w:r>
      <w:r w:rsidR="00AA63F3">
        <w:t>í</w:t>
      </w:r>
      <w:r w:rsidR="004467E7">
        <w:t xml:space="preserve">, že pokud bude pachatelovo zavinění úmyslné nejen ve vztahu k jízdě ve stavu vylučujícím způsobilost, ale také k poruchovému následku, bude odpovědný za přísněji trestné </w:t>
      </w:r>
      <w:r w:rsidR="00846BAC">
        <w:t>úmyslné trestné činy v (jednočinném) souběhu s ohrožením pod vlivem návykové látky.</w:t>
      </w:r>
    </w:p>
    <w:p w14:paraId="3ED0C0DA" w14:textId="5C21F4C1" w:rsidR="00920782" w:rsidRDefault="00920782" w:rsidP="00C365AE">
      <w:pPr>
        <w:pStyle w:val="Nadpis3"/>
      </w:pPr>
      <w:r>
        <w:t>K</w:t>
      </w:r>
      <w:r w:rsidR="004C360E">
        <w:t> </w:t>
      </w:r>
      <w:r w:rsidR="00CC4CA5">
        <w:t>bodu 8</w:t>
      </w:r>
      <w:r w:rsidR="004C360E">
        <w:t xml:space="preserve"> </w:t>
      </w:r>
      <w:r w:rsidR="004D5B98">
        <w:t>(</w:t>
      </w:r>
      <w:r>
        <w:t>§ 283</w:t>
      </w:r>
      <w:r w:rsidR="008B3C47">
        <w:t xml:space="preserve"> odst. 2 úvodní část ustanovení</w:t>
      </w:r>
      <w:r w:rsidR="004C360E">
        <w:t>)</w:t>
      </w:r>
    </w:p>
    <w:p w14:paraId="20A39C69" w14:textId="3EE09CB6" w:rsidR="008B3C47" w:rsidRDefault="008B3C47" w:rsidP="00C365AE">
      <w:r>
        <w:t xml:space="preserve">V programovém prohlášení se vláda mj. zavázala k tomu, že </w:t>
      </w:r>
      <w:r w:rsidR="00297FEC">
        <w:t xml:space="preserve">bude přísněji postihovat organizátory drogových obchodů. Za tímto účelem se navrhuje </w:t>
      </w:r>
      <w:r w:rsidR="00D12722">
        <w:t>zvýšení dolní hranic</w:t>
      </w:r>
      <w:r w:rsidR="000849B1">
        <w:t>e</w:t>
      </w:r>
      <w:r w:rsidR="00D12722">
        <w:t xml:space="preserve"> </w:t>
      </w:r>
      <w:r w:rsidR="000849B1">
        <w:t xml:space="preserve">sazby </w:t>
      </w:r>
      <w:r w:rsidR="00D12722">
        <w:t>trestu odnětí svobody</w:t>
      </w:r>
      <w:r w:rsidR="00297FEC">
        <w:t xml:space="preserve"> </w:t>
      </w:r>
      <w:r w:rsidR="00153961">
        <w:t>v příslušné kvalifikované skutkové podstatě</w:t>
      </w:r>
      <w:r w:rsidR="006205C5">
        <w:t xml:space="preserve"> trestného činu nedovolené výroby a jiného nakládání s omamnými a psychotropními látkami a s jedy</w:t>
      </w:r>
      <w:r w:rsidR="00153961">
        <w:t xml:space="preserve"> </w:t>
      </w:r>
      <w:r w:rsidR="00297FEC">
        <w:t>(blíže</w:t>
      </w:r>
      <w:r w:rsidR="00D12722">
        <w:t xml:space="preserve"> lze odkázat na</w:t>
      </w:r>
      <w:r w:rsidR="00B531B2">
        <w:t> </w:t>
      </w:r>
      <w:r w:rsidR="00D12722">
        <w:t>obecnou část důvodové zprávy</w:t>
      </w:r>
      <w:r w:rsidR="00297FEC">
        <w:t>)</w:t>
      </w:r>
      <w:r w:rsidR="00D12722">
        <w:t>.</w:t>
      </w:r>
    </w:p>
    <w:p w14:paraId="7753DF09" w14:textId="3A35A67B" w:rsidR="005E79B7" w:rsidRDefault="005E79B7" w:rsidP="00C365AE">
      <w:pPr>
        <w:pStyle w:val="Nadpis3"/>
      </w:pPr>
      <w:r>
        <w:t>K</w:t>
      </w:r>
      <w:r w:rsidR="004C360E">
        <w:t xml:space="preserve"> bodu </w:t>
      </w:r>
      <w:r w:rsidR="00454E10">
        <w:t xml:space="preserve">9 </w:t>
      </w:r>
      <w:r w:rsidR="004C360E">
        <w:t>(</w:t>
      </w:r>
      <w:r>
        <w:t>§ 327a</w:t>
      </w:r>
      <w:r w:rsidR="004C360E">
        <w:t>)</w:t>
      </w:r>
    </w:p>
    <w:p w14:paraId="3BF2952A" w14:textId="08168A0D" w:rsidR="00174FDA" w:rsidRDefault="005E79B7" w:rsidP="00C365AE">
      <w:r>
        <w:t xml:space="preserve">Jak již bylo uvedeno v obecné části důvodové zprávy, navrhuje se zavést nový trestný čin, </w:t>
      </w:r>
      <w:r w:rsidR="00D26045">
        <w:t>kter</w:t>
      </w:r>
      <w:r w:rsidR="00174FDA">
        <w:t>ý</w:t>
      </w:r>
      <w:r w:rsidR="00D26045">
        <w:t xml:space="preserve"> bude reagovat na </w:t>
      </w:r>
      <w:r w:rsidR="00174FDA">
        <w:t xml:space="preserve">ztěžování výkonu pravomocí policistů a některých dalších úředních osob v silničním provozu. Jednání, kdy dochází k </w:t>
      </w:r>
      <w:r>
        <w:t>ujíždění před</w:t>
      </w:r>
      <w:r w:rsidR="004B385F">
        <w:t xml:space="preserve"> příslušníkem</w:t>
      </w:r>
      <w:r>
        <w:t xml:space="preserve"> Polici</w:t>
      </w:r>
      <w:r w:rsidR="004B385F">
        <w:t>e</w:t>
      </w:r>
      <w:r>
        <w:t xml:space="preserve"> ČR nebo jinou úřední osobou, která </w:t>
      </w:r>
      <w:r w:rsidR="00D25FA5">
        <w:t>dá pokyn řidiči k zastavení vozidla</w:t>
      </w:r>
      <w:r>
        <w:t xml:space="preserve"> nebo řidiče motorového vozidla pronásled</w:t>
      </w:r>
      <w:r w:rsidR="004B385F">
        <w:t>uje</w:t>
      </w:r>
      <w:r>
        <w:t xml:space="preserve"> z důvodu jeho předchozí protiprávní činnosti</w:t>
      </w:r>
      <w:r w:rsidR="000D6B7B">
        <w:t xml:space="preserve"> (ta</w:t>
      </w:r>
      <w:r>
        <w:t xml:space="preserve"> může, ale nutně nemusí, spočívat v porušení pravidel silničního provozu</w:t>
      </w:r>
      <w:r w:rsidR="000D6B7B">
        <w:t>)</w:t>
      </w:r>
      <w:r w:rsidR="00174FDA">
        <w:t xml:space="preserve">, je jednáním, při kterém často dochází k ohrožení životů a zdraví ostatních účastníků silničního provozu. </w:t>
      </w:r>
    </w:p>
    <w:p w14:paraId="2D6EE55B" w14:textId="166E912F" w:rsidR="005E79B7" w:rsidRDefault="00174FDA" w:rsidP="00C365AE">
      <w:r>
        <w:t xml:space="preserve">Kdo je úřední osobou </w:t>
      </w:r>
      <w:r w:rsidR="008F203D">
        <w:t xml:space="preserve">(§ 127 </w:t>
      </w:r>
      <w:proofErr w:type="spellStart"/>
      <w:r w:rsidR="008F203D">
        <w:t>tr</w:t>
      </w:r>
      <w:proofErr w:type="spellEnd"/>
      <w:r w:rsidR="008F203D">
        <w:t xml:space="preserve">. zák.) </w:t>
      </w:r>
      <w:r>
        <w:t xml:space="preserve">oprávněnou k dání pokynu k zastavení vozidla vyplývá ze zvláštních právních předpisů – kromě </w:t>
      </w:r>
      <w:r w:rsidR="004B385F">
        <w:t xml:space="preserve">příslušníka </w:t>
      </w:r>
      <w:r>
        <w:t xml:space="preserve">Policie ČR </w:t>
      </w:r>
      <w:r w:rsidR="008F203D">
        <w:t xml:space="preserve">jde např. o vojenské policisty, </w:t>
      </w:r>
      <w:r w:rsidR="008F203D">
        <w:lastRenderedPageBreak/>
        <w:t xml:space="preserve">celníky, příslušníky Generální inspekce bezpečnostních sborů, strážníky obecní policie, inspektory silniční dopravy aj. </w:t>
      </w:r>
      <w:r w:rsidR="00472BB8">
        <w:t>[</w:t>
      </w:r>
      <w:r w:rsidR="008F203D">
        <w:t>viz např. § 79 odst. 1 zákona č. 361/2000 Sb.</w:t>
      </w:r>
      <w:r w:rsidR="00F37CF1">
        <w:t xml:space="preserve">, </w:t>
      </w:r>
      <w:r w:rsidR="00F37CF1" w:rsidRPr="00EE7D84">
        <w:t>o</w:t>
      </w:r>
      <w:r w:rsidR="00F37CF1">
        <w:t xml:space="preserve"> </w:t>
      </w:r>
      <w:r w:rsidR="00F37CF1" w:rsidRPr="00EE7D84">
        <w:t>provozu</w:t>
      </w:r>
      <w:r w:rsidR="00F37CF1">
        <w:t xml:space="preserve"> </w:t>
      </w:r>
      <w:r w:rsidR="00F37CF1" w:rsidRPr="00EE7D84">
        <w:t>na</w:t>
      </w:r>
      <w:r w:rsidR="00F37CF1">
        <w:t> </w:t>
      </w:r>
      <w:r w:rsidR="00F37CF1" w:rsidRPr="00EE7D84">
        <w:t>pozemních</w:t>
      </w:r>
      <w:r w:rsidR="00F37CF1">
        <w:t xml:space="preserve"> </w:t>
      </w:r>
      <w:r w:rsidR="00F37CF1" w:rsidRPr="00EE7D84">
        <w:t>komunikacích a o změnách některých zákonů (zákon</w:t>
      </w:r>
      <w:r w:rsidR="00F37CF1">
        <w:t xml:space="preserve"> </w:t>
      </w:r>
      <w:r w:rsidR="00F37CF1" w:rsidRPr="00EE7D84">
        <w:t>o</w:t>
      </w:r>
      <w:r w:rsidR="00F37CF1">
        <w:t> </w:t>
      </w:r>
      <w:r w:rsidR="00F37CF1" w:rsidRPr="00EE7D84">
        <w:t>silničním</w:t>
      </w:r>
      <w:r w:rsidR="00F37CF1">
        <w:t xml:space="preserve"> </w:t>
      </w:r>
      <w:r w:rsidR="00F37CF1" w:rsidRPr="00EE7D84">
        <w:t>provozu)</w:t>
      </w:r>
      <w:r w:rsidR="00472BB8">
        <w:t>]</w:t>
      </w:r>
      <w:r w:rsidR="00F37CF1">
        <w:t xml:space="preserve">. </w:t>
      </w:r>
      <w:r w:rsidR="004A47E2">
        <w:t>K trestní odpovědnosti se nevyžaduje, aby osoba, jež dala pokyn k zastavení vozidla, toto vozidl</w:t>
      </w:r>
      <w:r w:rsidR="003469BB">
        <w:t>o</w:t>
      </w:r>
      <w:r w:rsidR="004A47E2">
        <w:t xml:space="preserve"> začala také pronásledovat</w:t>
      </w:r>
      <w:r w:rsidR="00D427A4">
        <w:t>.</w:t>
      </w:r>
      <w:r w:rsidR="00F37CF1">
        <w:t xml:space="preserve"> Ze zvláštních právních předpisů rovněž vyplývá rozsah, ve</w:t>
      </w:r>
      <w:r w:rsidR="000059D8">
        <w:t> </w:t>
      </w:r>
      <w:r w:rsidR="00F37CF1">
        <w:t xml:space="preserve">kterém mohou tyto osoby ujíždějící vozidlo pronásledovat.  </w:t>
      </w:r>
    </w:p>
    <w:p w14:paraId="18412204" w14:textId="21D494B3" w:rsidR="005E79B7" w:rsidRDefault="00F37CF1" w:rsidP="00C365AE">
      <w:r>
        <w:t>K</w:t>
      </w:r>
      <w:r w:rsidR="00347572">
        <w:t xml:space="preserve">e spáchání </w:t>
      </w:r>
      <w:r>
        <w:t xml:space="preserve">tohoto </w:t>
      </w:r>
      <w:r w:rsidR="00347572">
        <w:t>trestného činu se vyžaduje, aby při takovém jednání došlo k ohrožení života nebo zdraví osoby</w:t>
      </w:r>
      <w:r w:rsidR="006B76F5">
        <w:t xml:space="preserve">, příp. aby při něm hrozila značná škoda na cizím majetku </w:t>
      </w:r>
      <w:r>
        <w:t>[</w:t>
      </w:r>
      <w:r w:rsidR="006B76F5">
        <w:t xml:space="preserve">podle § 138 písm. d) </w:t>
      </w:r>
      <w:proofErr w:type="spellStart"/>
      <w:r w:rsidR="00C5383B">
        <w:t>tr</w:t>
      </w:r>
      <w:proofErr w:type="spellEnd"/>
      <w:r w:rsidR="00C5383B">
        <w:t xml:space="preserve">. zák. </w:t>
      </w:r>
      <w:r w:rsidR="006B76F5">
        <w:t>tedy nejméně 1 mil. Kč</w:t>
      </w:r>
      <w:r>
        <w:t>], což je odlišující znak od korespondujícího přestupku</w:t>
      </w:r>
      <w:r w:rsidR="00347572">
        <w:t xml:space="preserve">. </w:t>
      </w:r>
      <w:r w:rsidR="0090466A">
        <w:t xml:space="preserve">Tato okolnost je konstruována jako tzv. objektivní podmínka trestnosti (srov. § 144 nebo 360 </w:t>
      </w:r>
      <w:proofErr w:type="spellStart"/>
      <w:r w:rsidR="00C5383B">
        <w:t>tr</w:t>
      </w:r>
      <w:proofErr w:type="spellEnd"/>
      <w:r w:rsidR="00C5383B">
        <w:t>. zák.</w:t>
      </w:r>
      <w:r w:rsidR="0090466A">
        <w:t>), tzn. že ve vztahu k</w:t>
      </w:r>
      <w:r>
        <w:t xml:space="preserve"> tomuto </w:t>
      </w:r>
      <w:r w:rsidR="0090466A">
        <w:t>ohrožení se nezkoumá pachatelovo zavinění</w:t>
      </w:r>
      <w:r w:rsidR="008B782F">
        <w:t xml:space="preserve">, záleží pouze na tom, zdali k této okolnosti </w:t>
      </w:r>
      <w:r w:rsidR="00BE6BE4">
        <w:t>v souvislosti s pachatelovým jednáním dojde</w:t>
      </w:r>
      <w:r w:rsidR="008B782F">
        <w:t xml:space="preserve">, či nikoliv, </w:t>
      </w:r>
      <w:r w:rsidR="00111DEA">
        <w:t xml:space="preserve">a to </w:t>
      </w:r>
      <w:r w:rsidR="008B782F">
        <w:t xml:space="preserve">bez ohledu na pachatelův vnitřní stav k ní. Vyžaduje se </w:t>
      </w:r>
      <w:r w:rsidR="000E3B72">
        <w:t xml:space="preserve">tedy </w:t>
      </w:r>
      <w:r w:rsidR="008B782F">
        <w:t xml:space="preserve">pachatelovo úmyslné zavinění </w:t>
      </w:r>
      <w:r w:rsidR="000E3B72">
        <w:t xml:space="preserve">pouze </w:t>
      </w:r>
      <w:r w:rsidR="008B782F">
        <w:t>k</w:t>
      </w:r>
      <w:r w:rsidR="00717069">
        <w:t xml:space="preserve"> neuposlechnutí pokynu k zastavení vozidla </w:t>
      </w:r>
      <w:r w:rsidR="00A71D50">
        <w:t xml:space="preserve">vydaného </w:t>
      </w:r>
      <w:r w:rsidR="00717069">
        <w:t xml:space="preserve">k tomu oprávněnou úřední osobou, </w:t>
      </w:r>
      <w:r w:rsidR="00A71D50">
        <w:t xml:space="preserve">poté již pachatel </w:t>
      </w:r>
      <w:r w:rsidR="00717069">
        <w:t>nese tíhu nahodilosti</w:t>
      </w:r>
      <w:r w:rsidR="00BB7813">
        <w:t xml:space="preserve"> </w:t>
      </w:r>
      <w:r w:rsidR="00717069">
        <w:t>vzniklé situace</w:t>
      </w:r>
      <w:r w:rsidR="003C26AF">
        <w:t xml:space="preserve"> a</w:t>
      </w:r>
      <w:r w:rsidR="00F71527">
        <w:t> </w:t>
      </w:r>
      <w:r w:rsidR="003C26AF">
        <w:t xml:space="preserve">riziko možné trestní odpovědnosti, pokud dojde k uvedenému ohrožení </w:t>
      </w:r>
      <w:r w:rsidR="00A71D50">
        <w:t xml:space="preserve">právem </w:t>
      </w:r>
      <w:r w:rsidR="003C26AF">
        <w:t>chráněných zájmů</w:t>
      </w:r>
      <w:r w:rsidR="003376E8">
        <w:t xml:space="preserve">. </w:t>
      </w:r>
      <w:r w:rsidR="00CF0BC9">
        <w:t>Ohroženou osobou</w:t>
      </w:r>
      <w:r w:rsidR="00B77C13">
        <w:t xml:space="preserve"> ve</w:t>
      </w:r>
      <w:r w:rsidR="00633578">
        <w:t> </w:t>
      </w:r>
      <w:r w:rsidR="00B77C13">
        <w:t xml:space="preserve">smyslu objektivní podmínky trestnosti </w:t>
      </w:r>
      <w:r w:rsidR="00A71D50">
        <w:t xml:space="preserve">přitom </w:t>
      </w:r>
      <w:r w:rsidR="00B77C13">
        <w:t>může být i</w:t>
      </w:r>
      <w:r w:rsidR="00F71527">
        <w:t> </w:t>
      </w:r>
      <w:r w:rsidR="00B77C13">
        <w:t>pronásledující úřední osoba.</w:t>
      </w:r>
    </w:p>
    <w:p w14:paraId="58451AB5" w14:textId="76F00F77" w:rsidR="00F37CF1" w:rsidRDefault="00F37CF1" w:rsidP="00C365AE">
      <w:r>
        <w:t xml:space="preserve">Kvalifikovaná skutková podstata spočívá v tom, že </w:t>
      </w:r>
      <w:r w:rsidR="00821D5F">
        <w:t xml:space="preserve">ujíždějící </w:t>
      </w:r>
      <w:r>
        <w:t xml:space="preserve">pachatel </w:t>
      </w:r>
      <w:r w:rsidR="00821D5F">
        <w:t xml:space="preserve">způsobí </w:t>
      </w:r>
      <w:r w:rsidR="00821D5F" w:rsidRPr="00821D5F">
        <w:t>dopravní nehodu, jinému ublížení na zdraví nebo větší škodu na cizím majetku</w:t>
      </w:r>
      <w:r w:rsidR="00821D5F">
        <w:t xml:space="preserve"> (viz i § 274 odst. 2 </w:t>
      </w:r>
      <w:proofErr w:type="spellStart"/>
      <w:r w:rsidR="00821D5F">
        <w:t>tr</w:t>
      </w:r>
      <w:proofErr w:type="spellEnd"/>
      <w:r w:rsidR="00821D5F">
        <w:t>. zák.).</w:t>
      </w:r>
    </w:p>
    <w:p w14:paraId="1F4DD1FF" w14:textId="713A135F" w:rsidR="00C10314" w:rsidRDefault="00C10314" w:rsidP="00C365AE">
      <w:r w:rsidRPr="00C6242F">
        <w:rPr>
          <w:i/>
          <w:iCs/>
        </w:rPr>
        <w:t>A priori</w:t>
      </w:r>
      <w:r>
        <w:t xml:space="preserve"> není vyloučen jednočinný souběh </w:t>
      </w:r>
      <w:r w:rsidR="00A71D50">
        <w:t>s </w:t>
      </w:r>
      <w:r>
        <w:t>žádným existujícím trestným činem.</w:t>
      </w:r>
    </w:p>
    <w:p w14:paraId="62ED6D08" w14:textId="55475445" w:rsidR="00265D33" w:rsidRDefault="00265D33" w:rsidP="00C365AE">
      <w:pPr>
        <w:pStyle w:val="Nadpis2"/>
      </w:pPr>
      <w:r>
        <w:t xml:space="preserve">K části </w:t>
      </w:r>
      <w:r w:rsidR="004C360E">
        <w:t xml:space="preserve">druhé </w:t>
      </w:r>
      <w:r>
        <w:t xml:space="preserve">– </w:t>
      </w:r>
      <w:r w:rsidR="004C360E">
        <w:t>z</w:t>
      </w:r>
      <w:r>
        <w:t>měna trestního řádu</w:t>
      </w:r>
    </w:p>
    <w:p w14:paraId="5ACA2B58" w14:textId="0797F383" w:rsidR="00F01C96" w:rsidRPr="00F01C96" w:rsidRDefault="002C14E6" w:rsidP="00C365AE">
      <w:r>
        <w:t>Ustanovení § 362 odst.</w:t>
      </w:r>
      <w:r w:rsidR="00F01C96">
        <w:t xml:space="preserve"> 2 </w:t>
      </w:r>
      <w:proofErr w:type="spellStart"/>
      <w:r>
        <w:t>tr</w:t>
      </w:r>
      <w:proofErr w:type="spellEnd"/>
      <w:r w:rsidR="00612DD8">
        <w:t xml:space="preserve">. </w:t>
      </w:r>
      <w:r>
        <w:t xml:space="preserve">řádu </w:t>
      </w:r>
      <w:r w:rsidR="00F01C96">
        <w:t xml:space="preserve">stanoví povinnost </w:t>
      </w:r>
      <w:r w:rsidR="00F01C96" w:rsidRPr="00F01C96">
        <w:t xml:space="preserve">předsedy senátu a v přípravném řízení státního zástupce zaslat </w:t>
      </w:r>
      <w:r w:rsidR="00F92809">
        <w:t xml:space="preserve">příslušnému </w:t>
      </w:r>
      <w:r w:rsidR="00F92809" w:rsidRPr="00F01C96">
        <w:t>obecnímu úřadu obce s</w:t>
      </w:r>
      <w:r w:rsidR="00F92809">
        <w:t> </w:t>
      </w:r>
      <w:r w:rsidR="00F92809" w:rsidRPr="00F01C96">
        <w:t>rozšířenou působností</w:t>
      </w:r>
      <w:r w:rsidR="00F92809">
        <w:t>, pod který spadá agenda řidičských průkazů,</w:t>
      </w:r>
      <w:r w:rsidR="00F92809" w:rsidRPr="00F01C96">
        <w:t xml:space="preserve"> </w:t>
      </w:r>
      <w:r w:rsidR="00F01C96" w:rsidRPr="00F01C96">
        <w:t xml:space="preserve">opis rozhodnutí o podmíněném zastavení trestního stíhání </w:t>
      </w:r>
      <w:r w:rsidR="00B2510F">
        <w:t>(a</w:t>
      </w:r>
      <w:r w:rsidR="00F92809">
        <w:t> </w:t>
      </w:r>
      <w:r w:rsidR="00B2510F">
        <w:t>některých dalších s tím souvisejících rozhodnutí)</w:t>
      </w:r>
      <w:r w:rsidR="00F92809">
        <w:t>, pokud bylo řízení vedeno</w:t>
      </w:r>
      <w:r w:rsidR="00B2510F">
        <w:t xml:space="preserve"> </w:t>
      </w:r>
      <w:r w:rsidR="00475225">
        <w:t>pro</w:t>
      </w:r>
      <w:r w:rsidR="00F71527">
        <w:t> </w:t>
      </w:r>
      <w:r w:rsidR="00475225">
        <w:t>vyjmenované trestné činy spáchané v souvislosti s řízením mo</w:t>
      </w:r>
      <w:r w:rsidR="00106AB2">
        <w:t>to</w:t>
      </w:r>
      <w:r w:rsidR="00475225">
        <w:t>rového vozidla</w:t>
      </w:r>
      <w:r w:rsidR="00E00861">
        <w:t xml:space="preserve">. </w:t>
      </w:r>
      <w:r w:rsidR="00EE7D84">
        <w:t>Tato informační povinnost je stanovena k zajištění postupu podle § 123b odst. 1 zákona č.</w:t>
      </w:r>
      <w:r w:rsidR="00F92809">
        <w:t> </w:t>
      </w:r>
      <w:r w:rsidR="00EE7D84">
        <w:t>361/2000</w:t>
      </w:r>
      <w:r w:rsidR="00F92809">
        <w:t> </w:t>
      </w:r>
      <w:r w:rsidR="00EE7D84">
        <w:t xml:space="preserve">Sb., </w:t>
      </w:r>
      <w:r w:rsidR="00EE7D84" w:rsidRPr="00EE7D84">
        <w:t>o</w:t>
      </w:r>
      <w:r w:rsidR="00F92809">
        <w:t xml:space="preserve"> </w:t>
      </w:r>
      <w:r w:rsidR="00EE7D84" w:rsidRPr="00EE7D84">
        <w:t>provozu</w:t>
      </w:r>
      <w:r w:rsidR="00F92809">
        <w:t xml:space="preserve"> </w:t>
      </w:r>
      <w:r w:rsidR="00EE7D84" w:rsidRPr="00EE7D84">
        <w:t>na</w:t>
      </w:r>
      <w:r w:rsidR="00F92809">
        <w:t> </w:t>
      </w:r>
      <w:r w:rsidR="00EE7D84" w:rsidRPr="00EE7D84">
        <w:t>pozemních</w:t>
      </w:r>
      <w:r w:rsidR="00F92809">
        <w:t xml:space="preserve"> </w:t>
      </w:r>
      <w:r w:rsidR="00EE7D84" w:rsidRPr="00EE7D84">
        <w:t>komunikacích a o změnách některých zákonů (zákon</w:t>
      </w:r>
      <w:r w:rsidR="00F92809">
        <w:t xml:space="preserve"> </w:t>
      </w:r>
      <w:r w:rsidR="00EE7D84" w:rsidRPr="00EE7D84">
        <w:t>o</w:t>
      </w:r>
      <w:r w:rsidR="00F92809">
        <w:t xml:space="preserve"> </w:t>
      </w:r>
      <w:r w:rsidR="00EE7D84" w:rsidRPr="00EE7D84">
        <w:t>silničním</w:t>
      </w:r>
      <w:r w:rsidR="00F92809">
        <w:t xml:space="preserve"> </w:t>
      </w:r>
      <w:r w:rsidR="00EE7D84" w:rsidRPr="00EE7D84">
        <w:t>provozu)</w:t>
      </w:r>
      <w:r w:rsidR="00EE7D84">
        <w:t>,</w:t>
      </w:r>
      <w:r w:rsidR="00F92809">
        <w:t xml:space="preserve"> </w:t>
      </w:r>
      <w:r w:rsidR="00EE7D84">
        <w:t>podle kterého „</w:t>
      </w:r>
      <w:r w:rsidR="00EE7D84" w:rsidRPr="0005090D">
        <w:rPr>
          <w:i/>
          <w:iCs/>
        </w:rPr>
        <w:t>řidiči motorového vozidla, … jehož trestní stíhání bylo podmíněně zastaveno nebo u</w:t>
      </w:r>
      <w:r w:rsidR="00F92809" w:rsidRPr="0005090D">
        <w:rPr>
          <w:i/>
          <w:iCs/>
        </w:rPr>
        <w:t> </w:t>
      </w:r>
      <w:r w:rsidR="00EE7D84" w:rsidRPr="0005090D">
        <w:rPr>
          <w:i/>
          <w:iCs/>
        </w:rPr>
        <w:t>něhož bylo rozhodnuto o podmíněném odložení podání návrhu na</w:t>
      </w:r>
      <w:r w:rsidR="00F92809" w:rsidRPr="0005090D">
        <w:rPr>
          <w:i/>
          <w:iCs/>
        </w:rPr>
        <w:t> </w:t>
      </w:r>
      <w:r w:rsidR="00EE7D84" w:rsidRPr="0005090D">
        <w:rPr>
          <w:i/>
          <w:iCs/>
        </w:rPr>
        <w:t>potrestání, a … trestný čin, … pro nějž bylo trestní řízení vedeno, spáchal jednáním zařazeným do</w:t>
      </w:r>
      <w:r w:rsidR="00F92809" w:rsidRPr="0005090D">
        <w:rPr>
          <w:i/>
          <w:iCs/>
        </w:rPr>
        <w:t> </w:t>
      </w:r>
      <w:r w:rsidR="00EE7D84" w:rsidRPr="0005090D">
        <w:rPr>
          <w:i/>
          <w:iCs/>
        </w:rPr>
        <w:t>bodového hodnocení, se zaznamená v registru řidičů stanovený počet bodů</w:t>
      </w:r>
      <w:r w:rsidR="00EE7D84">
        <w:t xml:space="preserve">“. </w:t>
      </w:r>
      <w:r w:rsidR="00207790">
        <w:t xml:space="preserve">Vzhledem k tomu, že navrhovaný trestný čin </w:t>
      </w:r>
      <w:r w:rsidR="00EE7D84">
        <w:t>maření výkonu pravomoci úřední osoby v silničním provozu koresponduje s jednáním, které je obsaženo v příloze k zákonu o silničním provozu</w:t>
      </w:r>
      <w:r w:rsidR="00F92809">
        <w:t xml:space="preserve"> obsahující jednání zařazená do bodového hodnocení</w:t>
      </w:r>
      <w:r w:rsidR="00EE7D84">
        <w:t xml:space="preserve">, je zapotřebí doplnit </w:t>
      </w:r>
      <w:r w:rsidR="00F92809">
        <w:t xml:space="preserve">tento nový trestný čin </w:t>
      </w:r>
      <w:r w:rsidR="00EE7D84">
        <w:t xml:space="preserve">do výčtu trestných činů, které jsou obsaženy v § 362 odst. 2 </w:t>
      </w:r>
      <w:proofErr w:type="spellStart"/>
      <w:r w:rsidR="00EE7D84">
        <w:t>tr</w:t>
      </w:r>
      <w:proofErr w:type="spellEnd"/>
      <w:r w:rsidR="00612DD8">
        <w:t xml:space="preserve">. </w:t>
      </w:r>
      <w:r w:rsidR="00EE7D84">
        <w:t xml:space="preserve">řádu.  </w:t>
      </w:r>
    </w:p>
    <w:p w14:paraId="169815B9" w14:textId="478E8ECC" w:rsidR="00965475" w:rsidRDefault="00965475" w:rsidP="00C365AE">
      <w:pPr>
        <w:pStyle w:val="Nadpis2"/>
      </w:pPr>
      <w:r>
        <w:t>K</w:t>
      </w:r>
      <w:r w:rsidR="00E71F38">
        <w:t xml:space="preserve"> části </w:t>
      </w:r>
      <w:r w:rsidR="005A2D66">
        <w:t>třetí</w:t>
      </w:r>
      <w:r>
        <w:t xml:space="preserve"> – </w:t>
      </w:r>
      <w:r w:rsidR="004C360E">
        <w:t>ú</w:t>
      </w:r>
      <w:r>
        <w:t>činnost</w:t>
      </w:r>
    </w:p>
    <w:p w14:paraId="7295D00B" w14:textId="1696C888" w:rsidR="00E71F38" w:rsidRPr="0052054C" w:rsidRDefault="00DF5677" w:rsidP="00C365AE">
      <w:pPr>
        <w:rPr>
          <w:bCs/>
        </w:rPr>
      </w:pPr>
      <w:r w:rsidRPr="00C01B68">
        <w:rPr>
          <w:bCs/>
        </w:rPr>
        <w:t>Datum nabytí účinnosti je stanoveno s ohledem na předpokládanou délku legislativního procesu a na pravidla pro stanovení účinnosti obsažená v zákoně o Sbírce zákonů a mezinárodních smluv.</w:t>
      </w:r>
    </w:p>
    <w:sectPr w:rsidR="00E71F38" w:rsidRPr="0052054C" w:rsidSect="00BA6E4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86BA" w14:textId="77777777" w:rsidR="004A62B0" w:rsidRDefault="004A62B0" w:rsidP="00CD5D53">
      <w:pPr>
        <w:spacing w:before="0"/>
      </w:pPr>
      <w:r>
        <w:separator/>
      </w:r>
    </w:p>
  </w:endnote>
  <w:endnote w:type="continuationSeparator" w:id="0">
    <w:p w14:paraId="2E325520" w14:textId="77777777" w:rsidR="004A62B0" w:rsidRDefault="004A62B0" w:rsidP="00CD5D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24760"/>
      <w:docPartObj>
        <w:docPartGallery w:val="Page Numbers (Bottom of Page)"/>
        <w:docPartUnique/>
      </w:docPartObj>
    </w:sdtPr>
    <w:sdtEndPr/>
    <w:sdtContent>
      <w:p w14:paraId="7548103F" w14:textId="7F3CAE4A" w:rsidR="00CD5D53" w:rsidRDefault="00CD5D53">
        <w:pPr>
          <w:pStyle w:val="Zpat"/>
          <w:jc w:val="center"/>
        </w:pPr>
        <w:r>
          <w:fldChar w:fldCharType="begin"/>
        </w:r>
        <w:r>
          <w:instrText>PAGE   \* MERGEFORMAT</w:instrText>
        </w:r>
        <w:r>
          <w:fldChar w:fldCharType="separate"/>
        </w:r>
        <w:r>
          <w:t>2</w:t>
        </w:r>
        <w:r>
          <w:fldChar w:fldCharType="end"/>
        </w:r>
      </w:p>
    </w:sdtContent>
  </w:sdt>
  <w:p w14:paraId="4E428EE5" w14:textId="77777777" w:rsidR="00CD5D53" w:rsidRDefault="00CD5D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6CF1" w14:textId="77777777" w:rsidR="004A62B0" w:rsidRDefault="004A62B0" w:rsidP="00CD5D53">
      <w:pPr>
        <w:spacing w:before="0"/>
      </w:pPr>
      <w:r>
        <w:separator/>
      </w:r>
    </w:p>
  </w:footnote>
  <w:footnote w:type="continuationSeparator" w:id="0">
    <w:p w14:paraId="0F013A1A" w14:textId="77777777" w:rsidR="004A62B0" w:rsidRDefault="004A62B0" w:rsidP="00CD5D5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2BF4"/>
    <w:multiLevelType w:val="hybridMultilevel"/>
    <w:tmpl w:val="C2C0C9B4"/>
    <w:lvl w:ilvl="0" w:tplc="B0E6F09E">
      <w:start w:val="13"/>
      <w:numFmt w:val="lowerLetter"/>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65A9E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3A8C6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7441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60F68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62F01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8050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6047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C0576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5F0AEA"/>
    <w:multiLevelType w:val="hybridMultilevel"/>
    <w:tmpl w:val="1F267B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2C3819"/>
    <w:multiLevelType w:val="hybridMultilevel"/>
    <w:tmpl w:val="7ADE25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414618154">
    <w:abstractNumId w:val="0"/>
  </w:num>
  <w:num w:numId="2" w16cid:durableId="1517957259">
    <w:abstractNumId w:val="1"/>
  </w:num>
  <w:num w:numId="3" w16cid:durableId="1179348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4C"/>
    <w:rsid w:val="00001BE5"/>
    <w:rsid w:val="000026DD"/>
    <w:rsid w:val="00003F1D"/>
    <w:rsid w:val="000054AC"/>
    <w:rsid w:val="000059D8"/>
    <w:rsid w:val="000060C3"/>
    <w:rsid w:val="00007326"/>
    <w:rsid w:val="0001325D"/>
    <w:rsid w:val="00014566"/>
    <w:rsid w:val="00014AA4"/>
    <w:rsid w:val="0002675B"/>
    <w:rsid w:val="000268B1"/>
    <w:rsid w:val="00032C45"/>
    <w:rsid w:val="00033906"/>
    <w:rsid w:val="000374EF"/>
    <w:rsid w:val="00037C3A"/>
    <w:rsid w:val="000407AC"/>
    <w:rsid w:val="00044746"/>
    <w:rsid w:val="0004721C"/>
    <w:rsid w:val="00047E30"/>
    <w:rsid w:val="0005090D"/>
    <w:rsid w:val="00051BE8"/>
    <w:rsid w:val="00051D47"/>
    <w:rsid w:val="00053DCD"/>
    <w:rsid w:val="00062C60"/>
    <w:rsid w:val="00063D63"/>
    <w:rsid w:val="00064E31"/>
    <w:rsid w:val="00064FFA"/>
    <w:rsid w:val="000660E7"/>
    <w:rsid w:val="00067634"/>
    <w:rsid w:val="00067A50"/>
    <w:rsid w:val="00074361"/>
    <w:rsid w:val="00074E13"/>
    <w:rsid w:val="00076A6D"/>
    <w:rsid w:val="000849B1"/>
    <w:rsid w:val="00085E3E"/>
    <w:rsid w:val="00086F0A"/>
    <w:rsid w:val="00095ED1"/>
    <w:rsid w:val="00097A48"/>
    <w:rsid w:val="00097F40"/>
    <w:rsid w:val="000A1CEA"/>
    <w:rsid w:val="000A3053"/>
    <w:rsid w:val="000B0955"/>
    <w:rsid w:val="000B173E"/>
    <w:rsid w:val="000B53E1"/>
    <w:rsid w:val="000C603C"/>
    <w:rsid w:val="000C7B34"/>
    <w:rsid w:val="000D6148"/>
    <w:rsid w:val="000D6B7B"/>
    <w:rsid w:val="000E14EF"/>
    <w:rsid w:val="000E3B72"/>
    <w:rsid w:val="000E5CE7"/>
    <w:rsid w:val="000E63F8"/>
    <w:rsid w:val="000F2A87"/>
    <w:rsid w:val="000F6C4A"/>
    <w:rsid w:val="00100C1E"/>
    <w:rsid w:val="001030C0"/>
    <w:rsid w:val="00106163"/>
    <w:rsid w:val="00106AB2"/>
    <w:rsid w:val="00106BDB"/>
    <w:rsid w:val="001105D6"/>
    <w:rsid w:val="00111DEA"/>
    <w:rsid w:val="00116B09"/>
    <w:rsid w:val="00117364"/>
    <w:rsid w:val="00120366"/>
    <w:rsid w:val="0012053B"/>
    <w:rsid w:val="00121857"/>
    <w:rsid w:val="00122967"/>
    <w:rsid w:val="001232B2"/>
    <w:rsid w:val="00124587"/>
    <w:rsid w:val="00127199"/>
    <w:rsid w:val="00127864"/>
    <w:rsid w:val="00132263"/>
    <w:rsid w:val="001378A3"/>
    <w:rsid w:val="00142B51"/>
    <w:rsid w:val="001440EF"/>
    <w:rsid w:val="00144668"/>
    <w:rsid w:val="00144D1B"/>
    <w:rsid w:val="00145E44"/>
    <w:rsid w:val="00150B9E"/>
    <w:rsid w:val="0015285E"/>
    <w:rsid w:val="00153961"/>
    <w:rsid w:val="00154D35"/>
    <w:rsid w:val="001601D4"/>
    <w:rsid w:val="00164ABB"/>
    <w:rsid w:val="0016504D"/>
    <w:rsid w:val="00171ED0"/>
    <w:rsid w:val="00173AEC"/>
    <w:rsid w:val="00173DD1"/>
    <w:rsid w:val="00174FDA"/>
    <w:rsid w:val="001810E1"/>
    <w:rsid w:val="00186FB6"/>
    <w:rsid w:val="00187E53"/>
    <w:rsid w:val="00190908"/>
    <w:rsid w:val="00191C48"/>
    <w:rsid w:val="001920BF"/>
    <w:rsid w:val="00192196"/>
    <w:rsid w:val="00192C2B"/>
    <w:rsid w:val="001951D8"/>
    <w:rsid w:val="001A0852"/>
    <w:rsid w:val="001A16CA"/>
    <w:rsid w:val="001A1E7C"/>
    <w:rsid w:val="001A57CB"/>
    <w:rsid w:val="001B118A"/>
    <w:rsid w:val="001B510C"/>
    <w:rsid w:val="001B665F"/>
    <w:rsid w:val="001C3D04"/>
    <w:rsid w:val="001C3FCC"/>
    <w:rsid w:val="001C69C7"/>
    <w:rsid w:val="001C7BA6"/>
    <w:rsid w:val="001D2B6B"/>
    <w:rsid w:val="001D5DC3"/>
    <w:rsid w:val="001E06D5"/>
    <w:rsid w:val="001E4D18"/>
    <w:rsid w:val="001E5CEE"/>
    <w:rsid w:val="001E6B97"/>
    <w:rsid w:val="001E6C0E"/>
    <w:rsid w:val="001E7503"/>
    <w:rsid w:val="001F15CB"/>
    <w:rsid w:val="001F79BD"/>
    <w:rsid w:val="00202805"/>
    <w:rsid w:val="00203441"/>
    <w:rsid w:val="00206B91"/>
    <w:rsid w:val="00206F81"/>
    <w:rsid w:val="00207790"/>
    <w:rsid w:val="0021117E"/>
    <w:rsid w:val="0021190B"/>
    <w:rsid w:val="0021278B"/>
    <w:rsid w:val="0021305A"/>
    <w:rsid w:val="002135FB"/>
    <w:rsid w:val="0021405E"/>
    <w:rsid w:val="0021500A"/>
    <w:rsid w:val="002218F5"/>
    <w:rsid w:val="00222596"/>
    <w:rsid w:val="00224299"/>
    <w:rsid w:val="00224301"/>
    <w:rsid w:val="00225403"/>
    <w:rsid w:val="00227981"/>
    <w:rsid w:val="0023013A"/>
    <w:rsid w:val="002334F0"/>
    <w:rsid w:val="0023644C"/>
    <w:rsid w:val="00236A33"/>
    <w:rsid w:val="00237648"/>
    <w:rsid w:val="0024039F"/>
    <w:rsid w:val="00241ABF"/>
    <w:rsid w:val="00244486"/>
    <w:rsid w:val="002448E1"/>
    <w:rsid w:val="00244C21"/>
    <w:rsid w:val="0025058B"/>
    <w:rsid w:val="00250DFA"/>
    <w:rsid w:val="0025347D"/>
    <w:rsid w:val="00254676"/>
    <w:rsid w:val="00254A1E"/>
    <w:rsid w:val="00257A78"/>
    <w:rsid w:val="00257CCA"/>
    <w:rsid w:val="00257F93"/>
    <w:rsid w:val="002624F3"/>
    <w:rsid w:val="0026361C"/>
    <w:rsid w:val="00263EDB"/>
    <w:rsid w:val="002648EE"/>
    <w:rsid w:val="00264FA2"/>
    <w:rsid w:val="00265A95"/>
    <w:rsid w:val="00265D33"/>
    <w:rsid w:val="00266FAE"/>
    <w:rsid w:val="00270580"/>
    <w:rsid w:val="0027288E"/>
    <w:rsid w:val="00274F58"/>
    <w:rsid w:val="00275679"/>
    <w:rsid w:val="00281785"/>
    <w:rsid w:val="00282E6D"/>
    <w:rsid w:val="00284A85"/>
    <w:rsid w:val="002852F6"/>
    <w:rsid w:val="002865A5"/>
    <w:rsid w:val="00291F31"/>
    <w:rsid w:val="00292185"/>
    <w:rsid w:val="00292519"/>
    <w:rsid w:val="00293C6C"/>
    <w:rsid w:val="00296C55"/>
    <w:rsid w:val="00297FEC"/>
    <w:rsid w:val="002A1BB1"/>
    <w:rsid w:val="002A6ECE"/>
    <w:rsid w:val="002B048E"/>
    <w:rsid w:val="002B1CF3"/>
    <w:rsid w:val="002B6691"/>
    <w:rsid w:val="002B6F88"/>
    <w:rsid w:val="002C1409"/>
    <w:rsid w:val="002C14E6"/>
    <w:rsid w:val="002C1D19"/>
    <w:rsid w:val="002C6049"/>
    <w:rsid w:val="002C7C1D"/>
    <w:rsid w:val="002D0557"/>
    <w:rsid w:val="002D2B22"/>
    <w:rsid w:val="002D2F45"/>
    <w:rsid w:val="002D3E65"/>
    <w:rsid w:val="002D4A42"/>
    <w:rsid w:val="002D6780"/>
    <w:rsid w:val="002E073F"/>
    <w:rsid w:val="002E268A"/>
    <w:rsid w:val="002E775B"/>
    <w:rsid w:val="002F1EE7"/>
    <w:rsid w:val="002F2A81"/>
    <w:rsid w:val="002F478A"/>
    <w:rsid w:val="002F5426"/>
    <w:rsid w:val="002F5FED"/>
    <w:rsid w:val="00302EE2"/>
    <w:rsid w:val="00305C42"/>
    <w:rsid w:val="00305FA4"/>
    <w:rsid w:val="00307FFE"/>
    <w:rsid w:val="003118B1"/>
    <w:rsid w:val="003143B5"/>
    <w:rsid w:val="00316C02"/>
    <w:rsid w:val="0031744D"/>
    <w:rsid w:val="0031783F"/>
    <w:rsid w:val="003223AC"/>
    <w:rsid w:val="00322EA2"/>
    <w:rsid w:val="00327BAD"/>
    <w:rsid w:val="003301D9"/>
    <w:rsid w:val="00333BF9"/>
    <w:rsid w:val="003349D8"/>
    <w:rsid w:val="00335CCF"/>
    <w:rsid w:val="0033708D"/>
    <w:rsid w:val="003376E8"/>
    <w:rsid w:val="00337FE7"/>
    <w:rsid w:val="003405FB"/>
    <w:rsid w:val="00341D62"/>
    <w:rsid w:val="00342416"/>
    <w:rsid w:val="00342A0A"/>
    <w:rsid w:val="00342EE7"/>
    <w:rsid w:val="0034492D"/>
    <w:rsid w:val="003468C3"/>
    <w:rsid w:val="003469BB"/>
    <w:rsid w:val="00346AEE"/>
    <w:rsid w:val="00347572"/>
    <w:rsid w:val="00351C83"/>
    <w:rsid w:val="00352B2D"/>
    <w:rsid w:val="003533FD"/>
    <w:rsid w:val="003543FE"/>
    <w:rsid w:val="003571C8"/>
    <w:rsid w:val="0036118B"/>
    <w:rsid w:val="00361699"/>
    <w:rsid w:val="00363B11"/>
    <w:rsid w:val="00366418"/>
    <w:rsid w:val="00366963"/>
    <w:rsid w:val="0036729A"/>
    <w:rsid w:val="00367E5F"/>
    <w:rsid w:val="00375E68"/>
    <w:rsid w:val="003822E3"/>
    <w:rsid w:val="0038298F"/>
    <w:rsid w:val="00382A84"/>
    <w:rsid w:val="00386FB2"/>
    <w:rsid w:val="00387C39"/>
    <w:rsid w:val="003908A9"/>
    <w:rsid w:val="0039094F"/>
    <w:rsid w:val="00390D36"/>
    <w:rsid w:val="00391B06"/>
    <w:rsid w:val="003921C8"/>
    <w:rsid w:val="003A1784"/>
    <w:rsid w:val="003A63AE"/>
    <w:rsid w:val="003A6EA3"/>
    <w:rsid w:val="003B1D20"/>
    <w:rsid w:val="003B525E"/>
    <w:rsid w:val="003B53EF"/>
    <w:rsid w:val="003B70F8"/>
    <w:rsid w:val="003B7FDD"/>
    <w:rsid w:val="003C26AF"/>
    <w:rsid w:val="003C65D1"/>
    <w:rsid w:val="003C660D"/>
    <w:rsid w:val="003C69FF"/>
    <w:rsid w:val="003C74A4"/>
    <w:rsid w:val="003C77FB"/>
    <w:rsid w:val="003D3F11"/>
    <w:rsid w:val="003D4C7F"/>
    <w:rsid w:val="003D61A2"/>
    <w:rsid w:val="003D73C6"/>
    <w:rsid w:val="003E291A"/>
    <w:rsid w:val="003E2F54"/>
    <w:rsid w:val="003E54C1"/>
    <w:rsid w:val="003F0A35"/>
    <w:rsid w:val="003F0F6F"/>
    <w:rsid w:val="003F22A2"/>
    <w:rsid w:val="003F6FF7"/>
    <w:rsid w:val="00400664"/>
    <w:rsid w:val="0040202F"/>
    <w:rsid w:val="00404CD5"/>
    <w:rsid w:val="00407500"/>
    <w:rsid w:val="00415291"/>
    <w:rsid w:val="00416494"/>
    <w:rsid w:val="00416D89"/>
    <w:rsid w:val="00416E2E"/>
    <w:rsid w:val="004211DB"/>
    <w:rsid w:val="00421843"/>
    <w:rsid w:val="00422A9E"/>
    <w:rsid w:val="004246F5"/>
    <w:rsid w:val="004256B0"/>
    <w:rsid w:val="00425A1E"/>
    <w:rsid w:val="00426450"/>
    <w:rsid w:val="004347E3"/>
    <w:rsid w:val="00436FBC"/>
    <w:rsid w:val="00440E78"/>
    <w:rsid w:val="00441133"/>
    <w:rsid w:val="00442174"/>
    <w:rsid w:val="00442B47"/>
    <w:rsid w:val="004467E7"/>
    <w:rsid w:val="00446A5A"/>
    <w:rsid w:val="00450634"/>
    <w:rsid w:val="0045284F"/>
    <w:rsid w:val="004529BD"/>
    <w:rsid w:val="00453AE7"/>
    <w:rsid w:val="00454E10"/>
    <w:rsid w:val="0046235B"/>
    <w:rsid w:val="00462735"/>
    <w:rsid w:val="00463EA2"/>
    <w:rsid w:val="00471A91"/>
    <w:rsid w:val="00471F2C"/>
    <w:rsid w:val="00472BB8"/>
    <w:rsid w:val="00473EF3"/>
    <w:rsid w:val="00474B41"/>
    <w:rsid w:val="004750E2"/>
    <w:rsid w:val="00475225"/>
    <w:rsid w:val="00475689"/>
    <w:rsid w:val="00476336"/>
    <w:rsid w:val="00480FDE"/>
    <w:rsid w:val="00481EB0"/>
    <w:rsid w:val="00482036"/>
    <w:rsid w:val="0048235D"/>
    <w:rsid w:val="004841BE"/>
    <w:rsid w:val="00487C20"/>
    <w:rsid w:val="00491CE8"/>
    <w:rsid w:val="00491D3B"/>
    <w:rsid w:val="00493F61"/>
    <w:rsid w:val="004957B1"/>
    <w:rsid w:val="004A1A47"/>
    <w:rsid w:val="004A3C07"/>
    <w:rsid w:val="004A47E2"/>
    <w:rsid w:val="004A4C7B"/>
    <w:rsid w:val="004A4DE9"/>
    <w:rsid w:val="004A62B0"/>
    <w:rsid w:val="004A65B1"/>
    <w:rsid w:val="004B055D"/>
    <w:rsid w:val="004B28AD"/>
    <w:rsid w:val="004B385F"/>
    <w:rsid w:val="004B3FA3"/>
    <w:rsid w:val="004B43DC"/>
    <w:rsid w:val="004B50FB"/>
    <w:rsid w:val="004B5249"/>
    <w:rsid w:val="004C360E"/>
    <w:rsid w:val="004C3F14"/>
    <w:rsid w:val="004C5020"/>
    <w:rsid w:val="004C5F98"/>
    <w:rsid w:val="004C72AB"/>
    <w:rsid w:val="004D02C5"/>
    <w:rsid w:val="004D2481"/>
    <w:rsid w:val="004D5B98"/>
    <w:rsid w:val="004E2023"/>
    <w:rsid w:val="004E282D"/>
    <w:rsid w:val="004F10A1"/>
    <w:rsid w:val="004F41D7"/>
    <w:rsid w:val="004F4263"/>
    <w:rsid w:val="00500263"/>
    <w:rsid w:val="005055CC"/>
    <w:rsid w:val="005119F1"/>
    <w:rsid w:val="00517098"/>
    <w:rsid w:val="0052054C"/>
    <w:rsid w:val="00520FE1"/>
    <w:rsid w:val="0052236E"/>
    <w:rsid w:val="005262B4"/>
    <w:rsid w:val="005300F3"/>
    <w:rsid w:val="00532469"/>
    <w:rsid w:val="005326C6"/>
    <w:rsid w:val="00533491"/>
    <w:rsid w:val="00534E0A"/>
    <w:rsid w:val="0053590B"/>
    <w:rsid w:val="00536146"/>
    <w:rsid w:val="0053720F"/>
    <w:rsid w:val="00541178"/>
    <w:rsid w:val="00542AFD"/>
    <w:rsid w:val="00543CCB"/>
    <w:rsid w:val="00543E21"/>
    <w:rsid w:val="00544DF4"/>
    <w:rsid w:val="005464B0"/>
    <w:rsid w:val="00546A9F"/>
    <w:rsid w:val="00550781"/>
    <w:rsid w:val="0055219F"/>
    <w:rsid w:val="005525B9"/>
    <w:rsid w:val="0055562B"/>
    <w:rsid w:val="00555C32"/>
    <w:rsid w:val="0055753A"/>
    <w:rsid w:val="00566487"/>
    <w:rsid w:val="00567249"/>
    <w:rsid w:val="005761D5"/>
    <w:rsid w:val="00576346"/>
    <w:rsid w:val="00576C12"/>
    <w:rsid w:val="005827F8"/>
    <w:rsid w:val="0058323A"/>
    <w:rsid w:val="005834F9"/>
    <w:rsid w:val="005920A0"/>
    <w:rsid w:val="00594F9F"/>
    <w:rsid w:val="00595B60"/>
    <w:rsid w:val="00596790"/>
    <w:rsid w:val="005A2D66"/>
    <w:rsid w:val="005A45A4"/>
    <w:rsid w:val="005A463D"/>
    <w:rsid w:val="005A5164"/>
    <w:rsid w:val="005A71BF"/>
    <w:rsid w:val="005A7EA3"/>
    <w:rsid w:val="005B4ACA"/>
    <w:rsid w:val="005B7B39"/>
    <w:rsid w:val="005C071B"/>
    <w:rsid w:val="005C17D8"/>
    <w:rsid w:val="005C2A1C"/>
    <w:rsid w:val="005C3C51"/>
    <w:rsid w:val="005C3DBE"/>
    <w:rsid w:val="005C6598"/>
    <w:rsid w:val="005C6831"/>
    <w:rsid w:val="005D166D"/>
    <w:rsid w:val="005D1A77"/>
    <w:rsid w:val="005D3B5D"/>
    <w:rsid w:val="005D48D5"/>
    <w:rsid w:val="005D5803"/>
    <w:rsid w:val="005D5CC1"/>
    <w:rsid w:val="005D5F8B"/>
    <w:rsid w:val="005E2C47"/>
    <w:rsid w:val="005E34D8"/>
    <w:rsid w:val="005E4BC0"/>
    <w:rsid w:val="005E79B7"/>
    <w:rsid w:val="005F25FB"/>
    <w:rsid w:val="005F323C"/>
    <w:rsid w:val="005F5A6A"/>
    <w:rsid w:val="005F60F2"/>
    <w:rsid w:val="005F7084"/>
    <w:rsid w:val="0060031A"/>
    <w:rsid w:val="00600B6B"/>
    <w:rsid w:val="0060242E"/>
    <w:rsid w:val="006035B4"/>
    <w:rsid w:val="00603F26"/>
    <w:rsid w:val="00604070"/>
    <w:rsid w:val="00606705"/>
    <w:rsid w:val="00610FDF"/>
    <w:rsid w:val="00612DD8"/>
    <w:rsid w:val="00613D0B"/>
    <w:rsid w:val="0061474A"/>
    <w:rsid w:val="00615CF8"/>
    <w:rsid w:val="00617882"/>
    <w:rsid w:val="006179BB"/>
    <w:rsid w:val="006205C5"/>
    <w:rsid w:val="00622F41"/>
    <w:rsid w:val="00623E74"/>
    <w:rsid w:val="006260DC"/>
    <w:rsid w:val="00627AB4"/>
    <w:rsid w:val="00632145"/>
    <w:rsid w:val="00633578"/>
    <w:rsid w:val="00635250"/>
    <w:rsid w:val="00637185"/>
    <w:rsid w:val="0064088C"/>
    <w:rsid w:val="00643019"/>
    <w:rsid w:val="00644E72"/>
    <w:rsid w:val="006453A5"/>
    <w:rsid w:val="0064673C"/>
    <w:rsid w:val="00647AA7"/>
    <w:rsid w:val="00650D37"/>
    <w:rsid w:val="00651C29"/>
    <w:rsid w:val="00652FB6"/>
    <w:rsid w:val="0065505D"/>
    <w:rsid w:val="00660F43"/>
    <w:rsid w:val="0066279C"/>
    <w:rsid w:val="00662BC8"/>
    <w:rsid w:val="00664B03"/>
    <w:rsid w:val="006661EA"/>
    <w:rsid w:val="00667202"/>
    <w:rsid w:val="006678E8"/>
    <w:rsid w:val="00671143"/>
    <w:rsid w:val="00676B87"/>
    <w:rsid w:val="006772F4"/>
    <w:rsid w:val="00681AB1"/>
    <w:rsid w:val="00683077"/>
    <w:rsid w:val="00683527"/>
    <w:rsid w:val="006837D3"/>
    <w:rsid w:val="0068507F"/>
    <w:rsid w:val="0068667D"/>
    <w:rsid w:val="00687582"/>
    <w:rsid w:val="00691AE4"/>
    <w:rsid w:val="00692B40"/>
    <w:rsid w:val="00697344"/>
    <w:rsid w:val="00697FC8"/>
    <w:rsid w:val="006A1474"/>
    <w:rsid w:val="006A1B53"/>
    <w:rsid w:val="006A2F03"/>
    <w:rsid w:val="006A31D0"/>
    <w:rsid w:val="006A3B6E"/>
    <w:rsid w:val="006A4687"/>
    <w:rsid w:val="006A4708"/>
    <w:rsid w:val="006A538E"/>
    <w:rsid w:val="006A795C"/>
    <w:rsid w:val="006B7564"/>
    <w:rsid w:val="006B76F5"/>
    <w:rsid w:val="006C19AF"/>
    <w:rsid w:val="006C2C9D"/>
    <w:rsid w:val="006C6AD5"/>
    <w:rsid w:val="006D226A"/>
    <w:rsid w:val="006D2CEF"/>
    <w:rsid w:val="006D5A21"/>
    <w:rsid w:val="006D7B52"/>
    <w:rsid w:val="006E18CE"/>
    <w:rsid w:val="006E743C"/>
    <w:rsid w:val="006E78A1"/>
    <w:rsid w:val="006F0E19"/>
    <w:rsid w:val="006F56D9"/>
    <w:rsid w:val="006F5801"/>
    <w:rsid w:val="007006D9"/>
    <w:rsid w:val="00701056"/>
    <w:rsid w:val="00701D34"/>
    <w:rsid w:val="007026A1"/>
    <w:rsid w:val="00702CA6"/>
    <w:rsid w:val="0070318F"/>
    <w:rsid w:val="00704D70"/>
    <w:rsid w:val="00711F9E"/>
    <w:rsid w:val="00713627"/>
    <w:rsid w:val="00715B26"/>
    <w:rsid w:val="00716778"/>
    <w:rsid w:val="00717069"/>
    <w:rsid w:val="007213C6"/>
    <w:rsid w:val="007219AB"/>
    <w:rsid w:val="00721D61"/>
    <w:rsid w:val="00722A1A"/>
    <w:rsid w:val="00723905"/>
    <w:rsid w:val="00726951"/>
    <w:rsid w:val="0073219E"/>
    <w:rsid w:val="007328D7"/>
    <w:rsid w:val="00733DC0"/>
    <w:rsid w:val="00735785"/>
    <w:rsid w:val="00735932"/>
    <w:rsid w:val="007401DB"/>
    <w:rsid w:val="00742C9F"/>
    <w:rsid w:val="00747AC3"/>
    <w:rsid w:val="00747D67"/>
    <w:rsid w:val="00750C3A"/>
    <w:rsid w:val="00751372"/>
    <w:rsid w:val="0075473D"/>
    <w:rsid w:val="0075653D"/>
    <w:rsid w:val="0075673B"/>
    <w:rsid w:val="007568A6"/>
    <w:rsid w:val="00756D46"/>
    <w:rsid w:val="00762817"/>
    <w:rsid w:val="00762852"/>
    <w:rsid w:val="00763EFA"/>
    <w:rsid w:val="0076474D"/>
    <w:rsid w:val="00765026"/>
    <w:rsid w:val="0077056D"/>
    <w:rsid w:val="00771699"/>
    <w:rsid w:val="0077261F"/>
    <w:rsid w:val="007729EE"/>
    <w:rsid w:val="00772C7E"/>
    <w:rsid w:val="00777E59"/>
    <w:rsid w:val="007833C8"/>
    <w:rsid w:val="00793637"/>
    <w:rsid w:val="00795D4F"/>
    <w:rsid w:val="00796BD2"/>
    <w:rsid w:val="007A34A4"/>
    <w:rsid w:val="007A42C1"/>
    <w:rsid w:val="007A579D"/>
    <w:rsid w:val="007A5883"/>
    <w:rsid w:val="007B130B"/>
    <w:rsid w:val="007B470B"/>
    <w:rsid w:val="007D0F7F"/>
    <w:rsid w:val="007D15C4"/>
    <w:rsid w:val="007D1808"/>
    <w:rsid w:val="007D2F41"/>
    <w:rsid w:val="007D3A77"/>
    <w:rsid w:val="007D50C1"/>
    <w:rsid w:val="007D573B"/>
    <w:rsid w:val="007D797F"/>
    <w:rsid w:val="007E5C7D"/>
    <w:rsid w:val="007E6A5E"/>
    <w:rsid w:val="007E7A8F"/>
    <w:rsid w:val="007F4901"/>
    <w:rsid w:val="007F4AE3"/>
    <w:rsid w:val="007F4D2A"/>
    <w:rsid w:val="00806B6B"/>
    <w:rsid w:val="008075A9"/>
    <w:rsid w:val="00807676"/>
    <w:rsid w:val="00807CC4"/>
    <w:rsid w:val="00811A42"/>
    <w:rsid w:val="0081337B"/>
    <w:rsid w:val="0081361F"/>
    <w:rsid w:val="00813727"/>
    <w:rsid w:val="0081529A"/>
    <w:rsid w:val="0081754A"/>
    <w:rsid w:val="00821D5F"/>
    <w:rsid w:val="008220F5"/>
    <w:rsid w:val="0082283C"/>
    <w:rsid w:val="00825549"/>
    <w:rsid w:val="008267DC"/>
    <w:rsid w:val="0082684A"/>
    <w:rsid w:val="00830E9A"/>
    <w:rsid w:val="008360F6"/>
    <w:rsid w:val="00836955"/>
    <w:rsid w:val="00841A84"/>
    <w:rsid w:val="00844C9B"/>
    <w:rsid w:val="00846BAC"/>
    <w:rsid w:val="00847F48"/>
    <w:rsid w:val="00851C62"/>
    <w:rsid w:val="00856210"/>
    <w:rsid w:val="00856E1B"/>
    <w:rsid w:val="008624CA"/>
    <w:rsid w:val="008651F4"/>
    <w:rsid w:val="00871990"/>
    <w:rsid w:val="00871CCA"/>
    <w:rsid w:val="00872345"/>
    <w:rsid w:val="008728B0"/>
    <w:rsid w:val="008739DB"/>
    <w:rsid w:val="0088477D"/>
    <w:rsid w:val="008876D9"/>
    <w:rsid w:val="0089224A"/>
    <w:rsid w:val="00894E22"/>
    <w:rsid w:val="00894E85"/>
    <w:rsid w:val="00895244"/>
    <w:rsid w:val="008A47FC"/>
    <w:rsid w:val="008B2C30"/>
    <w:rsid w:val="008B3698"/>
    <w:rsid w:val="008B3C47"/>
    <w:rsid w:val="008B782F"/>
    <w:rsid w:val="008C0284"/>
    <w:rsid w:val="008C164C"/>
    <w:rsid w:val="008C2985"/>
    <w:rsid w:val="008C5326"/>
    <w:rsid w:val="008C6719"/>
    <w:rsid w:val="008C76CB"/>
    <w:rsid w:val="008D0F71"/>
    <w:rsid w:val="008D1454"/>
    <w:rsid w:val="008D19FC"/>
    <w:rsid w:val="008D6732"/>
    <w:rsid w:val="008D6AB7"/>
    <w:rsid w:val="008E1081"/>
    <w:rsid w:val="008E4CAE"/>
    <w:rsid w:val="008E6E45"/>
    <w:rsid w:val="008F062B"/>
    <w:rsid w:val="008F203D"/>
    <w:rsid w:val="008F257D"/>
    <w:rsid w:val="008F5990"/>
    <w:rsid w:val="008F5C46"/>
    <w:rsid w:val="008F5C91"/>
    <w:rsid w:val="008F78F8"/>
    <w:rsid w:val="009006F0"/>
    <w:rsid w:val="00900E5A"/>
    <w:rsid w:val="00903177"/>
    <w:rsid w:val="0090466A"/>
    <w:rsid w:val="00905097"/>
    <w:rsid w:val="009064B4"/>
    <w:rsid w:val="00914C94"/>
    <w:rsid w:val="00917EB5"/>
    <w:rsid w:val="00920782"/>
    <w:rsid w:val="00922B5C"/>
    <w:rsid w:val="00923B29"/>
    <w:rsid w:val="00925D13"/>
    <w:rsid w:val="009268FF"/>
    <w:rsid w:val="009305D3"/>
    <w:rsid w:val="00931C84"/>
    <w:rsid w:val="00933F68"/>
    <w:rsid w:val="009351B7"/>
    <w:rsid w:val="0094106F"/>
    <w:rsid w:val="009414A3"/>
    <w:rsid w:val="00950A61"/>
    <w:rsid w:val="009512F2"/>
    <w:rsid w:val="00953CB4"/>
    <w:rsid w:val="009552AF"/>
    <w:rsid w:val="00955A50"/>
    <w:rsid w:val="009563D2"/>
    <w:rsid w:val="00964B3F"/>
    <w:rsid w:val="00965475"/>
    <w:rsid w:val="009802C8"/>
    <w:rsid w:val="00981C96"/>
    <w:rsid w:val="0098266F"/>
    <w:rsid w:val="009848C8"/>
    <w:rsid w:val="009850ED"/>
    <w:rsid w:val="00985B0E"/>
    <w:rsid w:val="00986DFE"/>
    <w:rsid w:val="00992CB9"/>
    <w:rsid w:val="00993499"/>
    <w:rsid w:val="009A1054"/>
    <w:rsid w:val="009A28F0"/>
    <w:rsid w:val="009A3533"/>
    <w:rsid w:val="009A473A"/>
    <w:rsid w:val="009A5453"/>
    <w:rsid w:val="009A5927"/>
    <w:rsid w:val="009A6A86"/>
    <w:rsid w:val="009A7BC2"/>
    <w:rsid w:val="009B0317"/>
    <w:rsid w:val="009B0FA5"/>
    <w:rsid w:val="009B20EE"/>
    <w:rsid w:val="009B42F2"/>
    <w:rsid w:val="009B590D"/>
    <w:rsid w:val="009B7ABE"/>
    <w:rsid w:val="009C0C07"/>
    <w:rsid w:val="009C1FF1"/>
    <w:rsid w:val="009C26E2"/>
    <w:rsid w:val="009C50AF"/>
    <w:rsid w:val="009C53D5"/>
    <w:rsid w:val="009C6D80"/>
    <w:rsid w:val="009D2A86"/>
    <w:rsid w:val="009D2E7D"/>
    <w:rsid w:val="009D3772"/>
    <w:rsid w:val="009D71C6"/>
    <w:rsid w:val="009D79C2"/>
    <w:rsid w:val="009D7A0A"/>
    <w:rsid w:val="009E20D2"/>
    <w:rsid w:val="009E4CA7"/>
    <w:rsid w:val="009E552B"/>
    <w:rsid w:val="009E6026"/>
    <w:rsid w:val="009F1B2F"/>
    <w:rsid w:val="009F7F1E"/>
    <w:rsid w:val="00A0099A"/>
    <w:rsid w:val="00A021B1"/>
    <w:rsid w:val="00A027D7"/>
    <w:rsid w:val="00A05154"/>
    <w:rsid w:val="00A06C01"/>
    <w:rsid w:val="00A1007D"/>
    <w:rsid w:val="00A112B6"/>
    <w:rsid w:val="00A11CD9"/>
    <w:rsid w:val="00A14656"/>
    <w:rsid w:val="00A225CC"/>
    <w:rsid w:val="00A22AFD"/>
    <w:rsid w:val="00A2300A"/>
    <w:rsid w:val="00A266F4"/>
    <w:rsid w:val="00A26D68"/>
    <w:rsid w:val="00A2713C"/>
    <w:rsid w:val="00A27D2E"/>
    <w:rsid w:val="00A31B59"/>
    <w:rsid w:val="00A32793"/>
    <w:rsid w:val="00A35C23"/>
    <w:rsid w:val="00A41587"/>
    <w:rsid w:val="00A41F4C"/>
    <w:rsid w:val="00A46445"/>
    <w:rsid w:val="00A470CD"/>
    <w:rsid w:val="00A47A6F"/>
    <w:rsid w:val="00A51AE1"/>
    <w:rsid w:val="00A53930"/>
    <w:rsid w:val="00A628B2"/>
    <w:rsid w:val="00A62C06"/>
    <w:rsid w:val="00A63849"/>
    <w:rsid w:val="00A67DD0"/>
    <w:rsid w:val="00A67F6E"/>
    <w:rsid w:val="00A70B64"/>
    <w:rsid w:val="00A70DA1"/>
    <w:rsid w:val="00A70DB6"/>
    <w:rsid w:val="00A71BBA"/>
    <w:rsid w:val="00A71D50"/>
    <w:rsid w:val="00A7272F"/>
    <w:rsid w:val="00A73F03"/>
    <w:rsid w:val="00A748D6"/>
    <w:rsid w:val="00A825E3"/>
    <w:rsid w:val="00A84BF1"/>
    <w:rsid w:val="00A84CAE"/>
    <w:rsid w:val="00A869AB"/>
    <w:rsid w:val="00A931DA"/>
    <w:rsid w:val="00A9509A"/>
    <w:rsid w:val="00AA33CD"/>
    <w:rsid w:val="00AA63F3"/>
    <w:rsid w:val="00AB13EB"/>
    <w:rsid w:val="00AB18E4"/>
    <w:rsid w:val="00AB33DB"/>
    <w:rsid w:val="00AB503A"/>
    <w:rsid w:val="00AB6578"/>
    <w:rsid w:val="00AB70B4"/>
    <w:rsid w:val="00AB7B98"/>
    <w:rsid w:val="00AC062C"/>
    <w:rsid w:val="00AC120F"/>
    <w:rsid w:val="00AC417B"/>
    <w:rsid w:val="00AC49CC"/>
    <w:rsid w:val="00AD31AF"/>
    <w:rsid w:val="00AD4B88"/>
    <w:rsid w:val="00AD6477"/>
    <w:rsid w:val="00AE309C"/>
    <w:rsid w:val="00AF0460"/>
    <w:rsid w:val="00AF05AA"/>
    <w:rsid w:val="00AF30DA"/>
    <w:rsid w:val="00B011BD"/>
    <w:rsid w:val="00B02561"/>
    <w:rsid w:val="00B03725"/>
    <w:rsid w:val="00B03AA0"/>
    <w:rsid w:val="00B04150"/>
    <w:rsid w:val="00B051DE"/>
    <w:rsid w:val="00B05D9B"/>
    <w:rsid w:val="00B07F13"/>
    <w:rsid w:val="00B10342"/>
    <w:rsid w:val="00B12502"/>
    <w:rsid w:val="00B147DB"/>
    <w:rsid w:val="00B15EE2"/>
    <w:rsid w:val="00B174B2"/>
    <w:rsid w:val="00B2510F"/>
    <w:rsid w:val="00B3268D"/>
    <w:rsid w:val="00B33E7E"/>
    <w:rsid w:val="00B35B36"/>
    <w:rsid w:val="00B41C1A"/>
    <w:rsid w:val="00B446CF"/>
    <w:rsid w:val="00B44AE6"/>
    <w:rsid w:val="00B454A9"/>
    <w:rsid w:val="00B4751A"/>
    <w:rsid w:val="00B516EF"/>
    <w:rsid w:val="00B51BD5"/>
    <w:rsid w:val="00B531B2"/>
    <w:rsid w:val="00B55EE6"/>
    <w:rsid w:val="00B567BB"/>
    <w:rsid w:val="00B568F1"/>
    <w:rsid w:val="00B6172A"/>
    <w:rsid w:val="00B6370D"/>
    <w:rsid w:val="00B643FC"/>
    <w:rsid w:val="00B65FCE"/>
    <w:rsid w:val="00B70589"/>
    <w:rsid w:val="00B714DD"/>
    <w:rsid w:val="00B77C13"/>
    <w:rsid w:val="00B81E20"/>
    <w:rsid w:val="00B83466"/>
    <w:rsid w:val="00B87924"/>
    <w:rsid w:val="00B92669"/>
    <w:rsid w:val="00B93B01"/>
    <w:rsid w:val="00B953EA"/>
    <w:rsid w:val="00B95500"/>
    <w:rsid w:val="00B96574"/>
    <w:rsid w:val="00BA07C2"/>
    <w:rsid w:val="00BA3C14"/>
    <w:rsid w:val="00BA55E8"/>
    <w:rsid w:val="00BA5C4A"/>
    <w:rsid w:val="00BA6E4A"/>
    <w:rsid w:val="00BB001C"/>
    <w:rsid w:val="00BB22FE"/>
    <w:rsid w:val="00BB258B"/>
    <w:rsid w:val="00BB4A80"/>
    <w:rsid w:val="00BB770E"/>
    <w:rsid w:val="00BB7813"/>
    <w:rsid w:val="00BC1070"/>
    <w:rsid w:val="00BC4DD1"/>
    <w:rsid w:val="00BC76CC"/>
    <w:rsid w:val="00BC7F40"/>
    <w:rsid w:val="00BD2CF6"/>
    <w:rsid w:val="00BD4A1D"/>
    <w:rsid w:val="00BE4139"/>
    <w:rsid w:val="00BE5425"/>
    <w:rsid w:val="00BE6852"/>
    <w:rsid w:val="00BE6BE4"/>
    <w:rsid w:val="00BF072C"/>
    <w:rsid w:val="00BF21BC"/>
    <w:rsid w:val="00BF2AFD"/>
    <w:rsid w:val="00BF45FA"/>
    <w:rsid w:val="00C02322"/>
    <w:rsid w:val="00C02A40"/>
    <w:rsid w:val="00C02C83"/>
    <w:rsid w:val="00C043F4"/>
    <w:rsid w:val="00C056CF"/>
    <w:rsid w:val="00C10314"/>
    <w:rsid w:val="00C12A49"/>
    <w:rsid w:val="00C14917"/>
    <w:rsid w:val="00C21904"/>
    <w:rsid w:val="00C21B17"/>
    <w:rsid w:val="00C22C69"/>
    <w:rsid w:val="00C242CF"/>
    <w:rsid w:val="00C25F10"/>
    <w:rsid w:val="00C32C57"/>
    <w:rsid w:val="00C348D8"/>
    <w:rsid w:val="00C352C8"/>
    <w:rsid w:val="00C365AE"/>
    <w:rsid w:val="00C37B27"/>
    <w:rsid w:val="00C43787"/>
    <w:rsid w:val="00C448FC"/>
    <w:rsid w:val="00C44D8A"/>
    <w:rsid w:val="00C46A08"/>
    <w:rsid w:val="00C47115"/>
    <w:rsid w:val="00C47954"/>
    <w:rsid w:val="00C50AEB"/>
    <w:rsid w:val="00C51121"/>
    <w:rsid w:val="00C5186A"/>
    <w:rsid w:val="00C5371E"/>
    <w:rsid w:val="00C5383B"/>
    <w:rsid w:val="00C53E95"/>
    <w:rsid w:val="00C60838"/>
    <w:rsid w:val="00C6242F"/>
    <w:rsid w:val="00C649B0"/>
    <w:rsid w:val="00C64D69"/>
    <w:rsid w:val="00C66DB5"/>
    <w:rsid w:val="00C72033"/>
    <w:rsid w:val="00C738AE"/>
    <w:rsid w:val="00C749F0"/>
    <w:rsid w:val="00C74DBB"/>
    <w:rsid w:val="00C770C9"/>
    <w:rsid w:val="00C77C46"/>
    <w:rsid w:val="00C82130"/>
    <w:rsid w:val="00C85A61"/>
    <w:rsid w:val="00C87402"/>
    <w:rsid w:val="00C90253"/>
    <w:rsid w:val="00C94225"/>
    <w:rsid w:val="00C9495A"/>
    <w:rsid w:val="00C97184"/>
    <w:rsid w:val="00CA02DA"/>
    <w:rsid w:val="00CA1122"/>
    <w:rsid w:val="00CA1CAC"/>
    <w:rsid w:val="00CA4AEE"/>
    <w:rsid w:val="00CA4FCE"/>
    <w:rsid w:val="00CA5103"/>
    <w:rsid w:val="00CA569F"/>
    <w:rsid w:val="00CB3BE5"/>
    <w:rsid w:val="00CB4EEE"/>
    <w:rsid w:val="00CB4F93"/>
    <w:rsid w:val="00CB6E85"/>
    <w:rsid w:val="00CC44E2"/>
    <w:rsid w:val="00CC4A3F"/>
    <w:rsid w:val="00CC4CA5"/>
    <w:rsid w:val="00CC6684"/>
    <w:rsid w:val="00CC7A9E"/>
    <w:rsid w:val="00CD3EAD"/>
    <w:rsid w:val="00CD488E"/>
    <w:rsid w:val="00CD5D53"/>
    <w:rsid w:val="00CD7B0F"/>
    <w:rsid w:val="00CE038B"/>
    <w:rsid w:val="00CE6723"/>
    <w:rsid w:val="00CE78E2"/>
    <w:rsid w:val="00CF09E7"/>
    <w:rsid w:val="00CF0BC9"/>
    <w:rsid w:val="00CF2810"/>
    <w:rsid w:val="00CF6A16"/>
    <w:rsid w:val="00CF6AB0"/>
    <w:rsid w:val="00CF7578"/>
    <w:rsid w:val="00D07B9C"/>
    <w:rsid w:val="00D07F4A"/>
    <w:rsid w:val="00D12722"/>
    <w:rsid w:val="00D14B5D"/>
    <w:rsid w:val="00D158B0"/>
    <w:rsid w:val="00D22B2B"/>
    <w:rsid w:val="00D22E0D"/>
    <w:rsid w:val="00D22E7C"/>
    <w:rsid w:val="00D255B0"/>
    <w:rsid w:val="00D25FA5"/>
    <w:rsid w:val="00D26045"/>
    <w:rsid w:val="00D27155"/>
    <w:rsid w:val="00D2767F"/>
    <w:rsid w:val="00D36936"/>
    <w:rsid w:val="00D374B8"/>
    <w:rsid w:val="00D4147F"/>
    <w:rsid w:val="00D427A4"/>
    <w:rsid w:val="00D441C5"/>
    <w:rsid w:val="00D473B1"/>
    <w:rsid w:val="00D47DF8"/>
    <w:rsid w:val="00D506A8"/>
    <w:rsid w:val="00D525F7"/>
    <w:rsid w:val="00D55C05"/>
    <w:rsid w:val="00D55CCF"/>
    <w:rsid w:val="00D5766E"/>
    <w:rsid w:val="00D62EA7"/>
    <w:rsid w:val="00D64819"/>
    <w:rsid w:val="00D66DFE"/>
    <w:rsid w:val="00D71619"/>
    <w:rsid w:val="00D75ECC"/>
    <w:rsid w:val="00D76E47"/>
    <w:rsid w:val="00D8393F"/>
    <w:rsid w:val="00D83ECB"/>
    <w:rsid w:val="00D904E2"/>
    <w:rsid w:val="00D90BC6"/>
    <w:rsid w:val="00D91762"/>
    <w:rsid w:val="00D95B54"/>
    <w:rsid w:val="00DA549F"/>
    <w:rsid w:val="00DA5D6B"/>
    <w:rsid w:val="00DA76F7"/>
    <w:rsid w:val="00DB0740"/>
    <w:rsid w:val="00DB11DF"/>
    <w:rsid w:val="00DB3640"/>
    <w:rsid w:val="00DB3720"/>
    <w:rsid w:val="00DB377A"/>
    <w:rsid w:val="00DB46DA"/>
    <w:rsid w:val="00DB621B"/>
    <w:rsid w:val="00DB6FF1"/>
    <w:rsid w:val="00DB7BA4"/>
    <w:rsid w:val="00DB7DC7"/>
    <w:rsid w:val="00DC1C01"/>
    <w:rsid w:val="00DC390B"/>
    <w:rsid w:val="00DC46DB"/>
    <w:rsid w:val="00DC69D2"/>
    <w:rsid w:val="00DC6D64"/>
    <w:rsid w:val="00DD0D19"/>
    <w:rsid w:val="00DD5154"/>
    <w:rsid w:val="00DD7015"/>
    <w:rsid w:val="00DD71C8"/>
    <w:rsid w:val="00DD7DA5"/>
    <w:rsid w:val="00DE2C5B"/>
    <w:rsid w:val="00DE5676"/>
    <w:rsid w:val="00DF06B2"/>
    <w:rsid w:val="00DF1E05"/>
    <w:rsid w:val="00DF4E00"/>
    <w:rsid w:val="00DF5677"/>
    <w:rsid w:val="00DF7B36"/>
    <w:rsid w:val="00E00299"/>
    <w:rsid w:val="00E00861"/>
    <w:rsid w:val="00E01A63"/>
    <w:rsid w:val="00E01D4A"/>
    <w:rsid w:val="00E0389D"/>
    <w:rsid w:val="00E047AE"/>
    <w:rsid w:val="00E0532F"/>
    <w:rsid w:val="00E05CC8"/>
    <w:rsid w:val="00E07025"/>
    <w:rsid w:val="00E10F63"/>
    <w:rsid w:val="00E1154E"/>
    <w:rsid w:val="00E118C4"/>
    <w:rsid w:val="00E12A67"/>
    <w:rsid w:val="00E13804"/>
    <w:rsid w:val="00E147DA"/>
    <w:rsid w:val="00E15CD7"/>
    <w:rsid w:val="00E20F00"/>
    <w:rsid w:val="00E237FB"/>
    <w:rsid w:val="00E252ED"/>
    <w:rsid w:val="00E26CF6"/>
    <w:rsid w:val="00E36E9C"/>
    <w:rsid w:val="00E4252E"/>
    <w:rsid w:val="00E4271C"/>
    <w:rsid w:val="00E444C4"/>
    <w:rsid w:val="00E45D4B"/>
    <w:rsid w:val="00E46488"/>
    <w:rsid w:val="00E526AE"/>
    <w:rsid w:val="00E53783"/>
    <w:rsid w:val="00E55D4B"/>
    <w:rsid w:val="00E60BE1"/>
    <w:rsid w:val="00E60DC0"/>
    <w:rsid w:val="00E70050"/>
    <w:rsid w:val="00E703A3"/>
    <w:rsid w:val="00E71F38"/>
    <w:rsid w:val="00E724A7"/>
    <w:rsid w:val="00E729CD"/>
    <w:rsid w:val="00E752B6"/>
    <w:rsid w:val="00E75933"/>
    <w:rsid w:val="00E82235"/>
    <w:rsid w:val="00E82277"/>
    <w:rsid w:val="00E82C22"/>
    <w:rsid w:val="00E904F2"/>
    <w:rsid w:val="00E906ED"/>
    <w:rsid w:val="00E9525E"/>
    <w:rsid w:val="00E973C7"/>
    <w:rsid w:val="00E97AF5"/>
    <w:rsid w:val="00E97CDE"/>
    <w:rsid w:val="00EA6BEE"/>
    <w:rsid w:val="00EA74B3"/>
    <w:rsid w:val="00EB6300"/>
    <w:rsid w:val="00EC2156"/>
    <w:rsid w:val="00EC56F0"/>
    <w:rsid w:val="00ED09B2"/>
    <w:rsid w:val="00ED1580"/>
    <w:rsid w:val="00ED1F4C"/>
    <w:rsid w:val="00ED3FE1"/>
    <w:rsid w:val="00ED553D"/>
    <w:rsid w:val="00ED71A9"/>
    <w:rsid w:val="00EE0390"/>
    <w:rsid w:val="00EE3D38"/>
    <w:rsid w:val="00EE7737"/>
    <w:rsid w:val="00EE7D84"/>
    <w:rsid w:val="00EF2482"/>
    <w:rsid w:val="00EF4687"/>
    <w:rsid w:val="00EF64A7"/>
    <w:rsid w:val="00EF690A"/>
    <w:rsid w:val="00F00BDE"/>
    <w:rsid w:val="00F01C96"/>
    <w:rsid w:val="00F02F8D"/>
    <w:rsid w:val="00F032E9"/>
    <w:rsid w:val="00F05884"/>
    <w:rsid w:val="00F059D7"/>
    <w:rsid w:val="00F06A9B"/>
    <w:rsid w:val="00F11290"/>
    <w:rsid w:val="00F14805"/>
    <w:rsid w:val="00F14E92"/>
    <w:rsid w:val="00F154AF"/>
    <w:rsid w:val="00F2188D"/>
    <w:rsid w:val="00F244B4"/>
    <w:rsid w:val="00F250FB"/>
    <w:rsid w:val="00F25151"/>
    <w:rsid w:val="00F300A8"/>
    <w:rsid w:val="00F335A8"/>
    <w:rsid w:val="00F33F43"/>
    <w:rsid w:val="00F34602"/>
    <w:rsid w:val="00F37CF1"/>
    <w:rsid w:val="00F42979"/>
    <w:rsid w:val="00F443A1"/>
    <w:rsid w:val="00F450CD"/>
    <w:rsid w:val="00F45BF4"/>
    <w:rsid w:val="00F50673"/>
    <w:rsid w:val="00F50D97"/>
    <w:rsid w:val="00F51937"/>
    <w:rsid w:val="00F5403C"/>
    <w:rsid w:val="00F55425"/>
    <w:rsid w:val="00F62E7B"/>
    <w:rsid w:val="00F634F6"/>
    <w:rsid w:val="00F6431F"/>
    <w:rsid w:val="00F64EBD"/>
    <w:rsid w:val="00F6625B"/>
    <w:rsid w:val="00F67FB9"/>
    <w:rsid w:val="00F706B4"/>
    <w:rsid w:val="00F71527"/>
    <w:rsid w:val="00F75605"/>
    <w:rsid w:val="00F778C0"/>
    <w:rsid w:val="00F817CE"/>
    <w:rsid w:val="00F823BD"/>
    <w:rsid w:val="00F84510"/>
    <w:rsid w:val="00F849BF"/>
    <w:rsid w:val="00F850B7"/>
    <w:rsid w:val="00F90FCC"/>
    <w:rsid w:val="00F92809"/>
    <w:rsid w:val="00F96B53"/>
    <w:rsid w:val="00FA0D2D"/>
    <w:rsid w:val="00FA0DAB"/>
    <w:rsid w:val="00FA1018"/>
    <w:rsid w:val="00FA29ED"/>
    <w:rsid w:val="00FB1F26"/>
    <w:rsid w:val="00FB4645"/>
    <w:rsid w:val="00FB6403"/>
    <w:rsid w:val="00FB6A67"/>
    <w:rsid w:val="00FC053C"/>
    <w:rsid w:val="00FC1A9D"/>
    <w:rsid w:val="00FC3883"/>
    <w:rsid w:val="00FC406D"/>
    <w:rsid w:val="00FC6713"/>
    <w:rsid w:val="00FC6E87"/>
    <w:rsid w:val="00FD0309"/>
    <w:rsid w:val="00FD06BE"/>
    <w:rsid w:val="00FD1D6C"/>
    <w:rsid w:val="00FD462F"/>
    <w:rsid w:val="00FE0192"/>
    <w:rsid w:val="00FE11E2"/>
    <w:rsid w:val="00FE2845"/>
    <w:rsid w:val="00FE58B4"/>
    <w:rsid w:val="00FE61DC"/>
    <w:rsid w:val="00FF29BE"/>
    <w:rsid w:val="00FF392A"/>
    <w:rsid w:val="00FF4E50"/>
    <w:rsid w:val="00FF512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DA32"/>
  <w15:chartTrackingRefBased/>
  <w15:docId w15:val="{53447725-910A-41C5-90AA-5AF14D0E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2F45"/>
    <w:pPr>
      <w:spacing w:before="120" w:after="0" w:line="240" w:lineRule="auto"/>
      <w:jc w:val="both"/>
    </w:pPr>
    <w:rPr>
      <w:rFonts w:ascii="Times New Roman" w:eastAsia="Calibri" w:hAnsi="Times New Roman" w:cs="Times New Roman"/>
      <w:kern w:val="0"/>
      <w:sz w:val="24"/>
      <w:szCs w:val="24"/>
      <w14:ligatures w14:val="none"/>
    </w:rPr>
  </w:style>
  <w:style w:type="paragraph" w:styleId="Nadpis1">
    <w:name w:val="heading 1"/>
    <w:basedOn w:val="Normln"/>
    <w:next w:val="Normln"/>
    <w:link w:val="Nadpis1Char"/>
    <w:uiPriority w:val="9"/>
    <w:qFormat/>
    <w:rsid w:val="00C02A40"/>
    <w:pPr>
      <w:jc w:val="center"/>
      <w:outlineLvl w:val="0"/>
    </w:pPr>
    <w:rPr>
      <w:b/>
    </w:rPr>
  </w:style>
  <w:style w:type="paragraph" w:styleId="Nadpis2">
    <w:name w:val="heading 2"/>
    <w:basedOn w:val="Normln"/>
    <w:next w:val="Normln"/>
    <w:link w:val="Nadpis2Char"/>
    <w:uiPriority w:val="9"/>
    <w:unhideWhenUsed/>
    <w:qFormat/>
    <w:rsid w:val="00777E59"/>
    <w:pPr>
      <w:keepNext/>
      <w:spacing w:before="480" w:after="120"/>
      <w:outlineLvl w:val="1"/>
    </w:pPr>
    <w:rPr>
      <w:rFonts w:eastAsiaTheme="majorEastAsia"/>
      <w:b/>
      <w:bCs/>
      <w:kern w:val="2"/>
      <w14:ligatures w14:val="standardContextual"/>
    </w:rPr>
  </w:style>
  <w:style w:type="paragraph" w:styleId="Nadpis3">
    <w:name w:val="heading 3"/>
    <w:basedOn w:val="Nadpis2"/>
    <w:next w:val="Normln"/>
    <w:link w:val="Nadpis3Char"/>
    <w:uiPriority w:val="9"/>
    <w:unhideWhenUsed/>
    <w:qFormat/>
    <w:rsid w:val="00965475"/>
    <w:pPr>
      <w:spacing w:before="360"/>
      <w:outlineLvl w:val="2"/>
    </w:pPr>
  </w:style>
  <w:style w:type="paragraph" w:styleId="Nadpis4">
    <w:name w:val="heading 4"/>
    <w:basedOn w:val="Normln"/>
    <w:next w:val="Normln"/>
    <w:link w:val="Nadpis4Char"/>
    <w:uiPriority w:val="9"/>
    <w:semiHidden/>
    <w:unhideWhenUsed/>
    <w:qFormat/>
    <w:rsid w:val="0023644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23644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23644C"/>
    <w:pPr>
      <w:keepNext/>
      <w:keepLines/>
      <w:spacing w:before="40"/>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23644C"/>
    <w:pPr>
      <w:keepNext/>
      <w:keepLines/>
      <w:spacing w:before="40"/>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23644C"/>
    <w:pPr>
      <w:keepNext/>
      <w:keepLines/>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23644C"/>
    <w:pPr>
      <w:keepNext/>
      <w:keepLines/>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2A40"/>
    <w:rPr>
      <w:rFonts w:ascii="Times New Roman" w:hAnsi="Times New Roman"/>
      <w:b/>
      <w:kern w:val="0"/>
      <w:szCs w:val="24"/>
      <w14:ligatures w14:val="none"/>
    </w:rPr>
  </w:style>
  <w:style w:type="character" w:customStyle="1" w:styleId="Nadpis2Char">
    <w:name w:val="Nadpis 2 Char"/>
    <w:basedOn w:val="Standardnpsmoodstavce"/>
    <w:link w:val="Nadpis2"/>
    <w:uiPriority w:val="9"/>
    <w:rsid w:val="00777E59"/>
    <w:rPr>
      <w:rFonts w:ascii="Times New Roman" w:eastAsiaTheme="majorEastAsia" w:hAnsi="Times New Roman" w:cs="Times New Roman"/>
      <w:b/>
      <w:bCs/>
      <w:sz w:val="24"/>
      <w:szCs w:val="24"/>
    </w:rPr>
  </w:style>
  <w:style w:type="character" w:customStyle="1" w:styleId="Nadpis3Char">
    <w:name w:val="Nadpis 3 Char"/>
    <w:basedOn w:val="Standardnpsmoodstavce"/>
    <w:link w:val="Nadpis3"/>
    <w:uiPriority w:val="9"/>
    <w:rsid w:val="00965475"/>
    <w:rPr>
      <w:rFonts w:ascii="Times New Roman" w:eastAsiaTheme="majorEastAsia" w:hAnsi="Times New Roman" w:cs="Times New Roman"/>
      <w:b/>
      <w:bCs/>
      <w:sz w:val="24"/>
      <w:szCs w:val="24"/>
    </w:rPr>
  </w:style>
  <w:style w:type="character" w:customStyle="1" w:styleId="Nadpis4Char">
    <w:name w:val="Nadpis 4 Char"/>
    <w:basedOn w:val="Standardnpsmoodstavce"/>
    <w:link w:val="Nadpis4"/>
    <w:uiPriority w:val="9"/>
    <w:semiHidden/>
    <w:rsid w:val="0023644C"/>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23644C"/>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23644C"/>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23644C"/>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23644C"/>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23644C"/>
    <w:rPr>
      <w:rFonts w:eastAsiaTheme="majorEastAsia" w:cstheme="majorBidi"/>
      <w:color w:val="272727" w:themeColor="text1" w:themeTint="D8"/>
      <w:sz w:val="24"/>
    </w:rPr>
  </w:style>
  <w:style w:type="paragraph" w:styleId="Nzev">
    <w:name w:val="Title"/>
    <w:basedOn w:val="Normln"/>
    <w:next w:val="Normln"/>
    <w:link w:val="NzevChar"/>
    <w:uiPriority w:val="10"/>
    <w:qFormat/>
    <w:rsid w:val="002364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23644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644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23644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644C"/>
    <w:pPr>
      <w:spacing w:before="160"/>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23644C"/>
    <w:rPr>
      <w:rFonts w:ascii="Times New Roman" w:hAnsi="Times New Roman"/>
      <w:i/>
      <w:iCs/>
      <w:color w:val="404040" w:themeColor="text1" w:themeTint="BF"/>
      <w:sz w:val="24"/>
    </w:rPr>
  </w:style>
  <w:style w:type="paragraph" w:styleId="Odstavecseseznamem">
    <w:name w:val="List Paragraph"/>
    <w:basedOn w:val="Normln"/>
    <w:uiPriority w:val="34"/>
    <w:qFormat/>
    <w:rsid w:val="0023644C"/>
    <w:pPr>
      <w:spacing w:after="120"/>
      <w:ind w:left="720"/>
      <w:contextualSpacing/>
    </w:pPr>
    <w:rPr>
      <w:kern w:val="2"/>
      <w14:ligatures w14:val="standardContextual"/>
    </w:rPr>
  </w:style>
  <w:style w:type="character" w:styleId="Zdraznnintenzivn">
    <w:name w:val="Intense Emphasis"/>
    <w:basedOn w:val="Standardnpsmoodstavce"/>
    <w:uiPriority w:val="21"/>
    <w:qFormat/>
    <w:rsid w:val="0023644C"/>
    <w:rPr>
      <w:i/>
      <w:iCs/>
      <w:color w:val="0F4761" w:themeColor="accent1" w:themeShade="BF"/>
    </w:rPr>
  </w:style>
  <w:style w:type="paragraph" w:styleId="Vrazncitt">
    <w:name w:val="Intense Quote"/>
    <w:basedOn w:val="Normln"/>
    <w:next w:val="Normln"/>
    <w:link w:val="VrazncittChar"/>
    <w:uiPriority w:val="30"/>
    <w:qFormat/>
    <w:rsid w:val="00236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VrazncittChar">
    <w:name w:val="Výrazný citát Char"/>
    <w:basedOn w:val="Standardnpsmoodstavce"/>
    <w:link w:val="Vrazncitt"/>
    <w:uiPriority w:val="30"/>
    <w:rsid w:val="0023644C"/>
    <w:rPr>
      <w:rFonts w:ascii="Times New Roman" w:hAnsi="Times New Roman"/>
      <w:i/>
      <w:iCs/>
      <w:color w:val="0F4761" w:themeColor="accent1" w:themeShade="BF"/>
      <w:sz w:val="24"/>
    </w:rPr>
  </w:style>
  <w:style w:type="character" w:styleId="Odkazintenzivn">
    <w:name w:val="Intense Reference"/>
    <w:basedOn w:val="Standardnpsmoodstavce"/>
    <w:uiPriority w:val="32"/>
    <w:qFormat/>
    <w:rsid w:val="0023644C"/>
    <w:rPr>
      <w:b/>
      <w:bCs/>
      <w:smallCaps/>
      <w:color w:val="0F4761" w:themeColor="accent1" w:themeShade="BF"/>
      <w:spacing w:val="5"/>
    </w:rPr>
  </w:style>
  <w:style w:type="character" w:styleId="Odkaznakoment">
    <w:name w:val="annotation reference"/>
    <w:basedOn w:val="Standardnpsmoodstavce"/>
    <w:uiPriority w:val="99"/>
    <w:semiHidden/>
    <w:unhideWhenUsed/>
    <w:rsid w:val="00426450"/>
    <w:rPr>
      <w:sz w:val="16"/>
      <w:szCs w:val="16"/>
    </w:rPr>
  </w:style>
  <w:style w:type="paragraph" w:styleId="Textkomente">
    <w:name w:val="annotation text"/>
    <w:basedOn w:val="Normln"/>
    <w:link w:val="TextkomenteChar"/>
    <w:uiPriority w:val="99"/>
    <w:unhideWhenUsed/>
    <w:rsid w:val="00426450"/>
    <w:rPr>
      <w:sz w:val="20"/>
      <w:szCs w:val="20"/>
    </w:rPr>
  </w:style>
  <w:style w:type="character" w:customStyle="1" w:styleId="TextkomenteChar">
    <w:name w:val="Text komentáře Char"/>
    <w:basedOn w:val="Standardnpsmoodstavce"/>
    <w:link w:val="Textkomente"/>
    <w:uiPriority w:val="99"/>
    <w:rsid w:val="00426450"/>
    <w:rPr>
      <w:rFonts w:ascii="Times New Roman" w:eastAsia="Calibri" w:hAnsi="Times New Roman"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426450"/>
    <w:rPr>
      <w:b/>
      <w:bCs/>
    </w:rPr>
  </w:style>
  <w:style w:type="character" w:customStyle="1" w:styleId="PedmtkomenteChar">
    <w:name w:val="Předmět komentáře Char"/>
    <w:basedOn w:val="TextkomenteChar"/>
    <w:link w:val="Pedmtkomente"/>
    <w:uiPriority w:val="99"/>
    <w:semiHidden/>
    <w:rsid w:val="00426450"/>
    <w:rPr>
      <w:rFonts w:ascii="Times New Roman" w:eastAsia="Calibri" w:hAnsi="Times New Roman" w:cs="Times New Roman"/>
      <w:b/>
      <w:bCs/>
      <w:kern w:val="0"/>
      <w:sz w:val="20"/>
      <w:szCs w:val="20"/>
      <w14:ligatures w14:val="none"/>
    </w:rPr>
  </w:style>
  <w:style w:type="paragraph" w:styleId="Zhlav">
    <w:name w:val="header"/>
    <w:basedOn w:val="Normln"/>
    <w:link w:val="ZhlavChar"/>
    <w:uiPriority w:val="99"/>
    <w:unhideWhenUsed/>
    <w:rsid w:val="00CD5D53"/>
    <w:pPr>
      <w:tabs>
        <w:tab w:val="center" w:pos="4536"/>
        <w:tab w:val="right" w:pos="9072"/>
      </w:tabs>
      <w:spacing w:before="0"/>
    </w:pPr>
  </w:style>
  <w:style w:type="character" w:customStyle="1" w:styleId="ZhlavChar">
    <w:name w:val="Záhlaví Char"/>
    <w:basedOn w:val="Standardnpsmoodstavce"/>
    <w:link w:val="Zhlav"/>
    <w:uiPriority w:val="99"/>
    <w:rsid w:val="00CD5D53"/>
    <w:rPr>
      <w:rFonts w:ascii="Times New Roman" w:eastAsia="Calibri" w:hAnsi="Times New Roman" w:cs="Times New Roman"/>
      <w:kern w:val="0"/>
      <w:sz w:val="24"/>
      <w:szCs w:val="24"/>
      <w14:ligatures w14:val="none"/>
    </w:rPr>
  </w:style>
  <w:style w:type="paragraph" w:styleId="Zpat">
    <w:name w:val="footer"/>
    <w:basedOn w:val="Normln"/>
    <w:link w:val="ZpatChar"/>
    <w:uiPriority w:val="99"/>
    <w:unhideWhenUsed/>
    <w:rsid w:val="00CD5D53"/>
    <w:pPr>
      <w:tabs>
        <w:tab w:val="center" w:pos="4536"/>
        <w:tab w:val="right" w:pos="9072"/>
      </w:tabs>
      <w:spacing w:before="0"/>
    </w:pPr>
  </w:style>
  <w:style w:type="character" w:customStyle="1" w:styleId="ZpatChar">
    <w:name w:val="Zápatí Char"/>
    <w:basedOn w:val="Standardnpsmoodstavce"/>
    <w:link w:val="Zpat"/>
    <w:uiPriority w:val="99"/>
    <w:rsid w:val="00CD5D53"/>
    <w:rPr>
      <w:rFonts w:ascii="Times New Roman" w:eastAsia="Calibri" w:hAnsi="Times New Roman" w:cs="Times New Roman"/>
      <w:kern w:val="0"/>
      <w:sz w:val="24"/>
      <w:szCs w:val="24"/>
      <w14:ligatures w14:val="none"/>
    </w:rPr>
  </w:style>
  <w:style w:type="paragraph" w:styleId="Revize">
    <w:name w:val="Revision"/>
    <w:hidden/>
    <w:uiPriority w:val="99"/>
    <w:semiHidden/>
    <w:rsid w:val="00416E2E"/>
    <w:pPr>
      <w:spacing w:after="0" w:line="240" w:lineRule="auto"/>
    </w:pPr>
    <w:rPr>
      <w:rFonts w:ascii="Times New Roman" w:eastAsia="Calibri" w:hAnsi="Times New Roman" w:cs="Times New Roman"/>
      <w:kern w:val="0"/>
      <w:sz w:val="24"/>
      <w:szCs w:val="24"/>
      <w14:ligatures w14:val="none"/>
    </w:rPr>
  </w:style>
  <w:style w:type="character" w:styleId="Hypertextovodkaz">
    <w:name w:val="Hyperlink"/>
    <w:basedOn w:val="Standardnpsmoodstavce"/>
    <w:uiPriority w:val="99"/>
    <w:unhideWhenUsed/>
    <w:rsid w:val="00C90253"/>
    <w:rPr>
      <w:color w:val="467886" w:themeColor="hyperlink"/>
      <w:u w:val="single"/>
    </w:rPr>
  </w:style>
  <w:style w:type="character" w:styleId="Nevyeenzmnka">
    <w:name w:val="Unresolved Mention"/>
    <w:basedOn w:val="Standardnpsmoodstavce"/>
    <w:uiPriority w:val="99"/>
    <w:semiHidden/>
    <w:unhideWhenUsed/>
    <w:rsid w:val="00C90253"/>
    <w:rPr>
      <w:color w:val="605E5C"/>
      <w:shd w:val="clear" w:color="auto" w:fill="E1DFDD"/>
    </w:rPr>
  </w:style>
  <w:style w:type="character" w:styleId="Sledovanodkaz">
    <w:name w:val="FollowedHyperlink"/>
    <w:basedOn w:val="Standardnpsmoodstavce"/>
    <w:uiPriority w:val="99"/>
    <w:semiHidden/>
    <w:unhideWhenUsed/>
    <w:rsid w:val="002F1EE7"/>
    <w:rPr>
      <w:color w:val="96607D" w:themeColor="followedHyperlink"/>
      <w:u w:val="single"/>
    </w:rPr>
  </w:style>
  <w:style w:type="paragraph" w:customStyle="1" w:styleId="p-margin">
    <w:name w:val="p-margin"/>
    <w:basedOn w:val="Normln"/>
    <w:rsid w:val="005D48D5"/>
    <w:pPr>
      <w:spacing w:before="100" w:beforeAutospacing="1" w:after="100" w:afterAutospacing="1"/>
      <w:jc w:val="left"/>
    </w:pPr>
    <w:rPr>
      <w:rFonts w:eastAsia="Times New Roman"/>
      <w:lang w:eastAsia="cs-CZ"/>
    </w:rPr>
  </w:style>
  <w:style w:type="paragraph" w:customStyle="1" w:styleId="l5">
    <w:name w:val="l5"/>
    <w:basedOn w:val="Normln"/>
    <w:rsid w:val="00B07F13"/>
    <w:pPr>
      <w:spacing w:before="100" w:beforeAutospacing="1" w:after="100" w:afterAutospacing="1"/>
      <w:jc w:val="left"/>
    </w:pPr>
    <w:rPr>
      <w:rFonts w:eastAsia="Times New Roman"/>
      <w:lang w:eastAsia="cs-CZ"/>
    </w:rPr>
  </w:style>
  <w:style w:type="paragraph" w:customStyle="1" w:styleId="l6">
    <w:name w:val="l6"/>
    <w:basedOn w:val="Normln"/>
    <w:rsid w:val="00B07F13"/>
    <w:pPr>
      <w:spacing w:before="100" w:beforeAutospacing="1" w:after="100" w:afterAutospacing="1"/>
      <w:jc w:val="left"/>
    </w:pPr>
    <w:rPr>
      <w:rFonts w:eastAsia="Times New Roman"/>
      <w:lang w:eastAsia="cs-CZ"/>
    </w:rPr>
  </w:style>
  <w:style w:type="character" w:styleId="PromnnHTML">
    <w:name w:val="HTML Variable"/>
    <w:basedOn w:val="Standardnpsmoodstavce"/>
    <w:uiPriority w:val="99"/>
    <w:semiHidden/>
    <w:unhideWhenUsed/>
    <w:rsid w:val="00B07F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40875">
      <w:bodyDiv w:val="1"/>
      <w:marLeft w:val="0"/>
      <w:marRight w:val="0"/>
      <w:marTop w:val="0"/>
      <w:marBottom w:val="0"/>
      <w:divBdr>
        <w:top w:val="none" w:sz="0" w:space="0" w:color="auto"/>
        <w:left w:val="none" w:sz="0" w:space="0" w:color="auto"/>
        <w:bottom w:val="none" w:sz="0" w:space="0" w:color="auto"/>
        <w:right w:val="none" w:sz="0" w:space="0" w:color="auto"/>
      </w:divBdr>
    </w:div>
    <w:div w:id="406804009">
      <w:bodyDiv w:val="1"/>
      <w:marLeft w:val="0"/>
      <w:marRight w:val="0"/>
      <w:marTop w:val="0"/>
      <w:marBottom w:val="0"/>
      <w:divBdr>
        <w:top w:val="none" w:sz="0" w:space="0" w:color="auto"/>
        <w:left w:val="none" w:sz="0" w:space="0" w:color="auto"/>
        <w:bottom w:val="none" w:sz="0" w:space="0" w:color="auto"/>
        <w:right w:val="none" w:sz="0" w:space="0" w:color="auto"/>
      </w:divBdr>
    </w:div>
    <w:div w:id="469788706">
      <w:bodyDiv w:val="1"/>
      <w:marLeft w:val="0"/>
      <w:marRight w:val="0"/>
      <w:marTop w:val="0"/>
      <w:marBottom w:val="0"/>
      <w:divBdr>
        <w:top w:val="none" w:sz="0" w:space="0" w:color="auto"/>
        <w:left w:val="none" w:sz="0" w:space="0" w:color="auto"/>
        <w:bottom w:val="none" w:sz="0" w:space="0" w:color="auto"/>
        <w:right w:val="none" w:sz="0" w:space="0" w:color="auto"/>
      </w:divBdr>
    </w:div>
    <w:div w:id="610477228">
      <w:bodyDiv w:val="1"/>
      <w:marLeft w:val="0"/>
      <w:marRight w:val="0"/>
      <w:marTop w:val="0"/>
      <w:marBottom w:val="0"/>
      <w:divBdr>
        <w:top w:val="none" w:sz="0" w:space="0" w:color="auto"/>
        <w:left w:val="none" w:sz="0" w:space="0" w:color="auto"/>
        <w:bottom w:val="none" w:sz="0" w:space="0" w:color="auto"/>
        <w:right w:val="none" w:sz="0" w:space="0" w:color="auto"/>
      </w:divBdr>
    </w:div>
    <w:div w:id="623586281">
      <w:bodyDiv w:val="1"/>
      <w:marLeft w:val="0"/>
      <w:marRight w:val="0"/>
      <w:marTop w:val="0"/>
      <w:marBottom w:val="0"/>
      <w:divBdr>
        <w:top w:val="none" w:sz="0" w:space="0" w:color="auto"/>
        <w:left w:val="none" w:sz="0" w:space="0" w:color="auto"/>
        <w:bottom w:val="none" w:sz="0" w:space="0" w:color="auto"/>
        <w:right w:val="none" w:sz="0" w:space="0" w:color="auto"/>
      </w:divBdr>
    </w:div>
    <w:div w:id="796723170">
      <w:bodyDiv w:val="1"/>
      <w:marLeft w:val="0"/>
      <w:marRight w:val="0"/>
      <w:marTop w:val="0"/>
      <w:marBottom w:val="0"/>
      <w:divBdr>
        <w:top w:val="none" w:sz="0" w:space="0" w:color="auto"/>
        <w:left w:val="none" w:sz="0" w:space="0" w:color="auto"/>
        <w:bottom w:val="none" w:sz="0" w:space="0" w:color="auto"/>
        <w:right w:val="none" w:sz="0" w:space="0" w:color="auto"/>
      </w:divBdr>
    </w:div>
    <w:div w:id="1436710222">
      <w:bodyDiv w:val="1"/>
      <w:marLeft w:val="0"/>
      <w:marRight w:val="0"/>
      <w:marTop w:val="0"/>
      <w:marBottom w:val="0"/>
      <w:divBdr>
        <w:top w:val="none" w:sz="0" w:space="0" w:color="auto"/>
        <w:left w:val="none" w:sz="0" w:space="0" w:color="auto"/>
        <w:bottom w:val="none" w:sz="0" w:space="0" w:color="auto"/>
        <w:right w:val="none" w:sz="0" w:space="0" w:color="auto"/>
      </w:divBdr>
    </w:div>
    <w:div w:id="1446189869">
      <w:bodyDiv w:val="1"/>
      <w:marLeft w:val="0"/>
      <w:marRight w:val="0"/>
      <w:marTop w:val="0"/>
      <w:marBottom w:val="0"/>
      <w:divBdr>
        <w:top w:val="none" w:sz="0" w:space="0" w:color="auto"/>
        <w:left w:val="none" w:sz="0" w:space="0" w:color="auto"/>
        <w:bottom w:val="none" w:sz="0" w:space="0" w:color="auto"/>
        <w:right w:val="none" w:sz="0" w:space="0" w:color="auto"/>
      </w:divBdr>
    </w:div>
    <w:div w:id="1585265449">
      <w:bodyDiv w:val="1"/>
      <w:marLeft w:val="0"/>
      <w:marRight w:val="0"/>
      <w:marTop w:val="0"/>
      <w:marBottom w:val="0"/>
      <w:divBdr>
        <w:top w:val="none" w:sz="0" w:space="0" w:color="auto"/>
        <w:left w:val="none" w:sz="0" w:space="0" w:color="auto"/>
        <w:bottom w:val="none" w:sz="0" w:space="0" w:color="auto"/>
        <w:right w:val="none" w:sz="0" w:space="0" w:color="auto"/>
      </w:divBdr>
    </w:div>
    <w:div w:id="1878852938">
      <w:bodyDiv w:val="1"/>
      <w:marLeft w:val="0"/>
      <w:marRight w:val="0"/>
      <w:marTop w:val="0"/>
      <w:marBottom w:val="0"/>
      <w:divBdr>
        <w:top w:val="none" w:sz="0" w:space="0" w:color="auto"/>
        <w:left w:val="none" w:sz="0" w:space="0" w:color="auto"/>
        <w:bottom w:val="none" w:sz="0" w:space="0" w:color="auto"/>
        <w:right w:val="none" w:sz="0" w:space="0" w:color="auto"/>
      </w:divBdr>
    </w:div>
    <w:div w:id="20139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irka.nsoud.cz/sbirka/132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2214-310E-4A64-959A-5034223A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13</Pages>
  <Words>6301</Words>
  <Characters>37177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Šarman Dominik Mgr.</dc:creator>
  <cp:keywords/>
  <dc:description/>
  <cp:lastModifiedBy>Šarman Dominik Mgr.</cp:lastModifiedBy>
  <cp:revision>408</cp:revision>
  <dcterms:created xsi:type="dcterms:W3CDTF">2026-03-02T15:31:00Z</dcterms:created>
  <dcterms:modified xsi:type="dcterms:W3CDTF">2026-04-29T15:20:00Z</dcterms:modified>
</cp:coreProperties>
</file>