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BE670" w14:textId="7398B30F" w:rsidR="00C33646" w:rsidRPr="00897682" w:rsidRDefault="00C33646" w:rsidP="002C5C88">
      <w:pPr>
        <w:spacing w:line="240" w:lineRule="auto"/>
        <w:jc w:val="right"/>
        <w:rPr>
          <w:b/>
        </w:rPr>
      </w:pPr>
      <w:r w:rsidRPr="00897682">
        <w:rPr>
          <w:b/>
        </w:rPr>
        <w:t>IV.</w:t>
      </w:r>
    </w:p>
    <w:p w14:paraId="66E76FD4" w14:textId="77777777" w:rsidR="00C33646" w:rsidRPr="00897682" w:rsidRDefault="00C33646" w:rsidP="000501AC">
      <w:pPr>
        <w:spacing w:line="240" w:lineRule="auto"/>
        <w:jc w:val="center"/>
        <w:rPr>
          <w:b/>
        </w:rPr>
      </w:pPr>
    </w:p>
    <w:p w14:paraId="658F61A7" w14:textId="6C2F1FE4" w:rsidR="00C216E4" w:rsidRPr="00897682" w:rsidRDefault="00C216E4" w:rsidP="000501AC">
      <w:pPr>
        <w:spacing w:line="240" w:lineRule="auto"/>
        <w:jc w:val="center"/>
        <w:rPr>
          <w:b/>
        </w:rPr>
      </w:pPr>
      <w:r w:rsidRPr="00897682">
        <w:rPr>
          <w:b/>
        </w:rPr>
        <w:t>DŮVODOVÁ ZPRÁVA</w:t>
      </w:r>
    </w:p>
    <w:p w14:paraId="48A22021" w14:textId="77777777" w:rsidR="00C216E4" w:rsidRPr="00897682" w:rsidRDefault="00C216E4" w:rsidP="000501AC">
      <w:pPr>
        <w:spacing w:line="240" w:lineRule="auto"/>
        <w:jc w:val="center"/>
        <w:rPr>
          <w:b/>
        </w:rPr>
      </w:pPr>
      <w:r w:rsidRPr="00897682">
        <w:rPr>
          <w:b/>
        </w:rPr>
        <w:t>Obecná část</w:t>
      </w:r>
    </w:p>
    <w:p w14:paraId="0EB77160" w14:textId="77777777" w:rsidR="00C216E4" w:rsidRPr="00897682" w:rsidRDefault="00C216E4" w:rsidP="000501AC">
      <w:pPr>
        <w:spacing w:line="240" w:lineRule="auto"/>
        <w:rPr>
          <w:rFonts w:eastAsia="Calibri"/>
          <w:b/>
        </w:rPr>
      </w:pPr>
    </w:p>
    <w:p w14:paraId="2E852C1E" w14:textId="77777777" w:rsidR="00C216E4" w:rsidRPr="00897682" w:rsidRDefault="00C216E4" w:rsidP="000501AC">
      <w:pPr>
        <w:spacing w:line="240" w:lineRule="auto"/>
        <w:outlineLvl w:val="1"/>
        <w:rPr>
          <w:rFonts w:eastAsia="Times New Roman"/>
          <w:b/>
        </w:rPr>
      </w:pPr>
      <w:r w:rsidRPr="00897682">
        <w:rPr>
          <w:rFonts w:eastAsia="Times New Roman"/>
          <w:b/>
        </w:rPr>
        <w:t>Hodnocení dopadů regulace (RIA)</w:t>
      </w:r>
    </w:p>
    <w:p w14:paraId="737F3D2F" w14:textId="4C6A88E0" w:rsidR="00264ED7" w:rsidRPr="00897682" w:rsidRDefault="00264ED7" w:rsidP="00264ED7">
      <w:pPr>
        <w:autoSpaceDE w:val="0"/>
        <w:autoSpaceDN w:val="0"/>
        <w:adjustRightInd w:val="0"/>
        <w:spacing w:line="240" w:lineRule="auto"/>
        <w:rPr>
          <w:rFonts w:eastAsia="Calibri"/>
        </w:rPr>
      </w:pPr>
      <w:r w:rsidRPr="00897682">
        <w:rPr>
          <w:rFonts w:eastAsia="Calibri"/>
        </w:rPr>
        <w:t>Na základě výjimky udělené v souladu s čl</w:t>
      </w:r>
      <w:r w:rsidR="00B5745E" w:rsidRPr="00897682">
        <w:rPr>
          <w:rFonts w:eastAsia="Calibri"/>
        </w:rPr>
        <w:t>ánkem</w:t>
      </w:r>
      <w:r w:rsidRPr="00897682">
        <w:rPr>
          <w:rFonts w:eastAsia="Calibri"/>
        </w:rPr>
        <w:t xml:space="preserve"> 76 odst. 2 Legislativních pravidel vlády a</w:t>
      </w:r>
      <w:r w:rsidR="009E6AD4" w:rsidRPr="00897682">
        <w:rPr>
          <w:rFonts w:eastAsia="Calibri"/>
        </w:rPr>
        <w:t> </w:t>
      </w:r>
      <w:r w:rsidRPr="00897682">
        <w:rPr>
          <w:rFonts w:eastAsia="Calibri"/>
        </w:rPr>
        <w:t>bodem 5.7. Obecných zásad pro hodnocení dopadů regulace (RIA) předsedou Legislativní rady vlády dne 16. 4. 2026 (dopis č. j.</w:t>
      </w:r>
      <w:r w:rsidRPr="00897682">
        <w:t xml:space="preserve"> 16085-2026-UVCR</w:t>
      </w:r>
      <w:r w:rsidRPr="00897682">
        <w:rPr>
          <w:rFonts w:eastAsia="Calibri"/>
        </w:rPr>
        <w:t xml:space="preserve">) nebylo hodnocení dopadů regulace zpracováno. </w:t>
      </w:r>
    </w:p>
    <w:p w14:paraId="2FCB25BF" w14:textId="77777777" w:rsidR="00C216E4" w:rsidRPr="00897682" w:rsidRDefault="00C216E4" w:rsidP="000501AC">
      <w:pPr>
        <w:autoSpaceDE w:val="0"/>
        <w:autoSpaceDN w:val="0"/>
        <w:adjustRightInd w:val="0"/>
        <w:spacing w:line="240" w:lineRule="auto"/>
        <w:rPr>
          <w:rFonts w:eastAsia="Calibri"/>
          <w:bCs w:val="0"/>
        </w:rPr>
      </w:pPr>
    </w:p>
    <w:p w14:paraId="1F73E415" w14:textId="77777777" w:rsidR="00C216E4" w:rsidRPr="00897682" w:rsidRDefault="00C216E4" w:rsidP="000501AC">
      <w:pPr>
        <w:spacing w:line="240" w:lineRule="auto"/>
        <w:outlineLvl w:val="1"/>
        <w:rPr>
          <w:rFonts w:eastAsia="Times New Roman"/>
          <w:b/>
        </w:rPr>
      </w:pPr>
      <w:r w:rsidRPr="00897682">
        <w:rPr>
          <w:rFonts w:eastAsia="Times New Roman"/>
          <w:b/>
        </w:rPr>
        <w:t>Zhodnocení platného právního stavu, odůvodnění hlavních principů navrhované právní úpravy a vysvětlení nezbytnosti navrhované právní úpravy v jejím celku</w:t>
      </w:r>
    </w:p>
    <w:p w14:paraId="28EAD40A" w14:textId="607D8358" w:rsidR="00264ED7" w:rsidRPr="009C5A53" w:rsidRDefault="00201EB0" w:rsidP="00201EB0">
      <w:pPr>
        <w:pStyle w:val="Odstavecseseznamem"/>
        <w:numPr>
          <w:ilvl w:val="0"/>
          <w:numId w:val="11"/>
        </w:numPr>
        <w:spacing w:line="240" w:lineRule="auto"/>
        <w:outlineLvl w:val="1"/>
        <w:rPr>
          <w:rFonts w:eastAsia="Times New Roman"/>
          <w:bCs w:val="0"/>
          <w:i/>
          <w:iCs/>
        </w:rPr>
      </w:pPr>
      <w:r w:rsidRPr="00897682">
        <w:rPr>
          <w:rFonts w:eastAsia="Times New Roman"/>
          <w:bCs w:val="0"/>
          <w:u w:val="single"/>
        </w:rPr>
        <w:t>Oprávnění odvolacího soudu v řízení o odvolání vůči soudu první instance v případě, kdy mu vrací věc k novému projednání a rozhodnutí</w:t>
      </w:r>
      <w:r w:rsidR="009C5A53" w:rsidRPr="009C5A53">
        <w:rPr>
          <w:rFonts w:eastAsia="Times New Roman"/>
          <w:bCs w:val="0"/>
        </w:rPr>
        <w:t xml:space="preserve"> </w:t>
      </w:r>
      <w:r w:rsidR="009C5A53" w:rsidRPr="009C5A53">
        <w:rPr>
          <w:rFonts w:eastAsia="Times New Roman"/>
          <w:bCs w:val="0"/>
          <w:i/>
          <w:iCs/>
        </w:rPr>
        <w:t>(vychází z</w:t>
      </w:r>
      <w:r w:rsidR="00860668">
        <w:rPr>
          <w:rFonts w:eastAsia="Times New Roman"/>
          <w:bCs w:val="0"/>
          <w:i/>
          <w:iCs/>
        </w:rPr>
        <w:t> </w:t>
      </w:r>
      <w:r w:rsidR="009C5A53" w:rsidRPr="009C5A53">
        <w:rPr>
          <w:rFonts w:eastAsia="Times New Roman"/>
          <w:bCs w:val="0"/>
          <w:i/>
          <w:iCs/>
        </w:rPr>
        <w:t>po</w:t>
      </w:r>
      <w:r w:rsidR="00860668">
        <w:rPr>
          <w:rFonts w:eastAsia="Times New Roman"/>
          <w:bCs w:val="0"/>
          <w:i/>
          <w:iCs/>
        </w:rPr>
        <w:t xml:space="preserve">dnětu </w:t>
      </w:r>
      <w:r w:rsidR="009C5A53" w:rsidRPr="009C5A53">
        <w:rPr>
          <w:rFonts w:eastAsia="Times New Roman"/>
          <w:bCs w:val="0"/>
          <w:i/>
          <w:iCs/>
        </w:rPr>
        <w:t>zástupců advokacie)</w:t>
      </w:r>
    </w:p>
    <w:p w14:paraId="4309D14D" w14:textId="2F7E3BE2" w:rsidR="00264ED7" w:rsidRPr="00897682" w:rsidRDefault="00A02AB0" w:rsidP="000501AC">
      <w:pPr>
        <w:spacing w:line="240" w:lineRule="auto"/>
        <w:outlineLvl w:val="1"/>
        <w:rPr>
          <w:bCs w:val="0"/>
          <w:lang w:eastAsia="cs-CZ"/>
        </w:rPr>
      </w:pPr>
      <w:r w:rsidRPr="00897682">
        <w:rPr>
          <w:bCs w:val="0"/>
        </w:rPr>
        <w:t xml:space="preserve">Podle stávající právní úpravy odvolací soud v současné době nemůže odsoudit obviněného, kterého soud prvního stupně zprostil obžaloby, jak vyplývá z ustanovení § 259 odst. 5 písm. a) tr. ř. Odvolací řízení je v České republice sice postaveno především na principu apelace s prvky kasace, principy apelace se však uplatní primárně v případě, </w:t>
      </w:r>
      <w:r w:rsidRPr="00897682">
        <w:rPr>
          <w:bCs w:val="0"/>
          <w:lang w:eastAsia="cs-CZ"/>
        </w:rPr>
        <w:t>že soud prvního stupně uzná obviněného vinným. Naopak v případě rozhodování</w:t>
      </w:r>
      <w:r w:rsidRPr="00897682">
        <w:rPr>
          <w:bCs w:val="0"/>
        </w:rPr>
        <w:t xml:space="preserve"> </w:t>
      </w:r>
      <w:r w:rsidRPr="00897682">
        <w:rPr>
          <w:bCs w:val="0"/>
          <w:lang w:eastAsia="cs-CZ"/>
        </w:rPr>
        <w:t>o odvolání proti zprošťujícímu rozsudku soudu prvního stupně je apelační princip velmi</w:t>
      </w:r>
      <w:r w:rsidRPr="00897682">
        <w:rPr>
          <w:bCs w:val="0"/>
        </w:rPr>
        <w:t xml:space="preserve"> </w:t>
      </w:r>
      <w:r w:rsidRPr="00897682">
        <w:rPr>
          <w:bCs w:val="0"/>
          <w:lang w:eastAsia="cs-CZ"/>
        </w:rPr>
        <w:t xml:space="preserve">omezen, odvolací řízení je založeno primárně na principu kasace. </w:t>
      </w:r>
      <w:r w:rsidRPr="00897682">
        <w:rPr>
          <w:bCs w:val="0"/>
        </w:rPr>
        <w:t xml:space="preserve">Pokud prvoinstanční soud obviněného zprostil obžaloby, pak odvolací soud sám nemůže uznat obviněného vinným, ale může napadený rozsudek pouze zrušit a věc vrátit k novému rozhodnutí prvoinstančnímu soudu. </w:t>
      </w:r>
      <w:r w:rsidR="004E4E6C" w:rsidRPr="00897682">
        <w:rPr>
          <w:bCs w:val="0"/>
        </w:rPr>
        <w:t>Při vrácení věci n</w:t>
      </w:r>
      <w:r w:rsidRPr="00897682">
        <w:rPr>
          <w:bCs w:val="0"/>
          <w:lang w:eastAsia="cs-CZ"/>
        </w:rPr>
        <w:t>emůže zavázat soud prvního stupně,</w:t>
      </w:r>
      <w:r w:rsidRPr="00897682">
        <w:rPr>
          <w:bCs w:val="0"/>
        </w:rPr>
        <w:t xml:space="preserve"> </w:t>
      </w:r>
      <w:r w:rsidRPr="00897682">
        <w:rPr>
          <w:bCs w:val="0"/>
          <w:lang w:eastAsia="cs-CZ"/>
        </w:rPr>
        <w:t xml:space="preserve">aby dospěl k určitým skutkovým závěrům nebo aby určitým způsobem hodnotil důkazy. </w:t>
      </w:r>
      <w:r w:rsidRPr="00897682">
        <w:rPr>
          <w:bCs w:val="0"/>
        </w:rPr>
        <w:t xml:space="preserve">Pokud prvoinstanční soud i nadále setrvá na odlišném hodnocení, </w:t>
      </w:r>
      <w:r w:rsidRPr="00897682">
        <w:rPr>
          <w:bCs w:val="0"/>
          <w:lang w:eastAsia="cs-CZ"/>
        </w:rPr>
        <w:t xml:space="preserve">nemá odvolací soud jinou možnost, než znovu zrušit rozsudek soudu prvního stupně a věc vrátit soudu prvního stupně </w:t>
      </w:r>
      <w:r w:rsidR="000451FA" w:rsidRPr="00897682">
        <w:rPr>
          <w:bCs w:val="0"/>
          <w:lang w:eastAsia="cs-CZ"/>
        </w:rPr>
        <w:br/>
      </w:r>
      <w:r w:rsidRPr="00897682">
        <w:rPr>
          <w:bCs w:val="0"/>
          <w:lang w:eastAsia="cs-CZ"/>
        </w:rPr>
        <w:t xml:space="preserve">k novému projednání a rozhodnutí. </w:t>
      </w:r>
    </w:p>
    <w:p w14:paraId="48E8E60B" w14:textId="3EDF103F" w:rsidR="00E120FE" w:rsidRPr="00897682" w:rsidRDefault="002B0D98" w:rsidP="000501AC">
      <w:pPr>
        <w:spacing w:line="240" w:lineRule="auto"/>
        <w:outlineLvl w:val="1"/>
        <w:rPr>
          <w:rFonts w:eastAsia="Times New Roman"/>
          <w:bCs w:val="0"/>
        </w:rPr>
      </w:pPr>
      <w:r w:rsidRPr="00897682">
        <w:rPr>
          <w:rFonts w:eastAsia="Times New Roman"/>
          <w:bCs w:val="0"/>
        </w:rPr>
        <w:t xml:space="preserve">Pokud jde o rozsah a obsah pokynů odvolacího soudu, vymezil jej </w:t>
      </w:r>
      <w:r w:rsidR="00E120FE" w:rsidRPr="00897682">
        <w:rPr>
          <w:rFonts w:eastAsia="Times New Roman"/>
          <w:bCs w:val="0"/>
        </w:rPr>
        <w:t>Ústavní soud ve svém nálezu ze dne 22. 2. 2022, sp. zn. I. ÚS 1365/21</w:t>
      </w:r>
      <w:r w:rsidRPr="00897682">
        <w:rPr>
          <w:rFonts w:eastAsia="Times New Roman"/>
          <w:bCs w:val="0"/>
        </w:rPr>
        <w:t xml:space="preserve">, v němž </w:t>
      </w:r>
      <w:r w:rsidR="00E120FE" w:rsidRPr="00897682">
        <w:rPr>
          <w:rFonts w:eastAsia="Times New Roman"/>
          <w:bCs w:val="0"/>
        </w:rPr>
        <w:t>uvedl typické výčty situací, které mají obecným soudům poskytnout referenční kritéria ve vztahu k jimi řešeným případům tak</w:t>
      </w:r>
      <w:r w:rsidRPr="00897682">
        <w:rPr>
          <w:rFonts w:eastAsia="Times New Roman"/>
          <w:bCs w:val="0"/>
        </w:rPr>
        <w:t>,</w:t>
      </w:r>
      <w:r w:rsidR="00E120FE" w:rsidRPr="00897682">
        <w:rPr>
          <w:rFonts w:eastAsia="Times New Roman"/>
          <w:bCs w:val="0"/>
        </w:rPr>
        <w:t xml:space="preserve"> aby byl naplněn ústavně-konformní výklad ustanovení § 264 odst. 1 t.</w:t>
      </w:r>
      <w:r w:rsidR="00F1733A" w:rsidRPr="00897682">
        <w:rPr>
          <w:rFonts w:eastAsia="Times New Roman"/>
          <w:bCs w:val="0"/>
        </w:rPr>
        <w:t xml:space="preserve"> </w:t>
      </w:r>
      <w:r w:rsidR="00E120FE" w:rsidRPr="00897682">
        <w:rPr>
          <w:rFonts w:eastAsia="Times New Roman"/>
          <w:bCs w:val="0"/>
        </w:rPr>
        <w:t>ř. z hlediska pokynů týkajících se dokazování a skutkových zjištění.</w:t>
      </w:r>
    </w:p>
    <w:p w14:paraId="0E195453" w14:textId="77777777" w:rsidR="00487C0A" w:rsidRPr="00897682" w:rsidRDefault="00487C0A" w:rsidP="000501AC">
      <w:pPr>
        <w:spacing w:line="240" w:lineRule="auto"/>
        <w:outlineLvl w:val="1"/>
        <w:rPr>
          <w:rFonts w:eastAsia="Times New Roman"/>
        </w:rPr>
      </w:pPr>
      <w:r w:rsidRPr="00897682">
        <w:rPr>
          <w:rFonts w:eastAsia="Times New Roman"/>
        </w:rPr>
        <w:t>Podle</w:t>
      </w:r>
      <w:r w:rsidR="00E120FE" w:rsidRPr="00897682">
        <w:rPr>
          <w:rFonts w:eastAsia="Times New Roman"/>
        </w:rPr>
        <w:t xml:space="preserve"> citovaného nálezu odvolací soud smí soudu prvého stupně uložit zejména pokyn, aby</w:t>
      </w:r>
      <w:r w:rsidRPr="00897682">
        <w:rPr>
          <w:rFonts w:eastAsia="Times New Roman"/>
        </w:rPr>
        <w:t>:</w:t>
      </w:r>
    </w:p>
    <w:p w14:paraId="019F98A8" w14:textId="41B5EF35" w:rsidR="00487C0A" w:rsidRPr="00897682" w:rsidRDefault="00E120FE" w:rsidP="00487C0A">
      <w:pPr>
        <w:pStyle w:val="Odstavecseseznamem"/>
        <w:numPr>
          <w:ilvl w:val="0"/>
          <w:numId w:val="12"/>
        </w:numPr>
        <w:spacing w:line="240" w:lineRule="auto"/>
        <w:outlineLvl w:val="1"/>
        <w:rPr>
          <w:rFonts w:eastAsia="Times New Roman"/>
        </w:rPr>
      </w:pPr>
      <w:r w:rsidRPr="00897682">
        <w:rPr>
          <w:rFonts w:eastAsia="Times New Roman"/>
        </w:rPr>
        <w:t xml:space="preserve">doplnil dokazování ve vztahu k okolnosti, která nebyla objasněna vůbec či byla objasněna jen </w:t>
      </w:r>
      <w:r w:rsidR="00487C0A" w:rsidRPr="00897682">
        <w:rPr>
          <w:rFonts w:eastAsia="Times New Roman"/>
        </w:rPr>
        <w:t>n</w:t>
      </w:r>
      <w:r w:rsidRPr="00897682">
        <w:rPr>
          <w:rFonts w:eastAsia="Times New Roman"/>
        </w:rPr>
        <w:t>edostatečně</w:t>
      </w:r>
      <w:r w:rsidR="00487C0A" w:rsidRPr="00897682">
        <w:rPr>
          <w:rFonts w:eastAsia="Times New Roman"/>
        </w:rPr>
        <w:t>,</w:t>
      </w:r>
    </w:p>
    <w:p w14:paraId="030BC655" w14:textId="77777777" w:rsidR="00487C0A" w:rsidRPr="00897682" w:rsidRDefault="00E120FE" w:rsidP="000501AC">
      <w:pPr>
        <w:pStyle w:val="Odstavecseseznamem"/>
        <w:numPr>
          <w:ilvl w:val="0"/>
          <w:numId w:val="12"/>
        </w:numPr>
        <w:spacing w:line="240" w:lineRule="auto"/>
        <w:outlineLvl w:val="1"/>
        <w:rPr>
          <w:rFonts w:eastAsia="Times New Roman"/>
        </w:rPr>
      </w:pPr>
      <w:r w:rsidRPr="00897682">
        <w:rPr>
          <w:rFonts w:eastAsia="Times New Roman"/>
        </w:rPr>
        <w:t>provedl konkrétní důkaz, který byl navržen, vyhledán či zajištěn, ale soud prv</w:t>
      </w:r>
      <w:r w:rsidR="00487C0A" w:rsidRPr="00897682">
        <w:rPr>
          <w:rFonts w:eastAsia="Times New Roman"/>
        </w:rPr>
        <w:t>ního</w:t>
      </w:r>
      <w:r w:rsidRPr="00897682">
        <w:rPr>
          <w:rFonts w:eastAsia="Times New Roman"/>
        </w:rPr>
        <w:t xml:space="preserve"> stupně jej opomněl provést či jeho provedení zamítl, ačkoliv jej ke zjištění skutkového stavu bylo třeba, či který je pro objasnění věci zcela nezbytný a teprve musí být vyhledán</w:t>
      </w:r>
      <w:r w:rsidR="00487C0A" w:rsidRPr="00897682">
        <w:rPr>
          <w:rFonts w:eastAsia="Times New Roman"/>
        </w:rPr>
        <w:t>,</w:t>
      </w:r>
    </w:p>
    <w:p w14:paraId="322428F9" w14:textId="77777777" w:rsidR="00293A9D" w:rsidRPr="00897682" w:rsidRDefault="00E120FE" w:rsidP="000501AC">
      <w:pPr>
        <w:pStyle w:val="Odstavecseseznamem"/>
        <w:numPr>
          <w:ilvl w:val="0"/>
          <w:numId w:val="12"/>
        </w:numPr>
        <w:spacing w:line="240" w:lineRule="auto"/>
        <w:outlineLvl w:val="1"/>
        <w:rPr>
          <w:rFonts w:eastAsia="Times New Roman"/>
        </w:rPr>
      </w:pPr>
      <w:r w:rsidRPr="00897682">
        <w:rPr>
          <w:rFonts w:eastAsia="Times New Roman"/>
        </w:rPr>
        <w:t>zopakoval již provedený důkaz, z nějž nebyly získány všechny potřebné poznatky</w:t>
      </w:r>
      <w:r w:rsidR="00293A9D" w:rsidRPr="00897682">
        <w:rPr>
          <w:rFonts w:eastAsia="Times New Roman"/>
        </w:rPr>
        <w:t>,</w:t>
      </w:r>
      <w:r w:rsidRPr="00897682">
        <w:rPr>
          <w:rFonts w:eastAsia="Times New Roman"/>
        </w:rPr>
        <w:t xml:space="preserve"> či který byl proveden nezákonným způsobem a tuto vadu lze odstranit</w:t>
      </w:r>
      <w:r w:rsidR="00293A9D" w:rsidRPr="00897682">
        <w:rPr>
          <w:rFonts w:eastAsia="Times New Roman"/>
        </w:rPr>
        <w:t>,</w:t>
      </w:r>
    </w:p>
    <w:p w14:paraId="1639B6C4" w14:textId="77777777" w:rsidR="00293A9D" w:rsidRPr="00897682" w:rsidRDefault="00E120FE" w:rsidP="000501AC">
      <w:pPr>
        <w:pStyle w:val="Odstavecseseznamem"/>
        <w:numPr>
          <w:ilvl w:val="0"/>
          <w:numId w:val="12"/>
        </w:numPr>
        <w:spacing w:line="240" w:lineRule="auto"/>
        <w:outlineLvl w:val="1"/>
        <w:rPr>
          <w:rFonts w:eastAsia="Times New Roman"/>
        </w:rPr>
      </w:pPr>
      <w:r w:rsidRPr="00897682">
        <w:rPr>
          <w:rFonts w:eastAsia="Times New Roman"/>
        </w:rPr>
        <w:lastRenderedPageBreak/>
        <w:t>nepřihlížel k důkazu, který je při náležitém zvážení formálně-materiální povahy důkazu neúčinný či nepřípustný a tuto vadu již nelze odstranit, či který je zcela nepoužitelný</w:t>
      </w:r>
      <w:r w:rsidR="00293A9D" w:rsidRPr="00897682">
        <w:rPr>
          <w:rFonts w:eastAsia="Times New Roman"/>
        </w:rPr>
        <w:t>,</w:t>
      </w:r>
    </w:p>
    <w:p w14:paraId="51F43802" w14:textId="77777777" w:rsidR="00293A9D" w:rsidRPr="00897682" w:rsidRDefault="00E120FE" w:rsidP="000501AC">
      <w:pPr>
        <w:pStyle w:val="Odstavecseseznamem"/>
        <w:numPr>
          <w:ilvl w:val="0"/>
          <w:numId w:val="12"/>
        </w:numPr>
        <w:spacing w:line="240" w:lineRule="auto"/>
        <w:outlineLvl w:val="1"/>
        <w:rPr>
          <w:rFonts w:eastAsia="Times New Roman"/>
        </w:rPr>
      </w:pPr>
      <w:r w:rsidRPr="00897682">
        <w:rPr>
          <w:rFonts w:eastAsia="Times New Roman"/>
        </w:rPr>
        <w:t>hodnotil důkaz ze všech v daném kontextu relevantních hledisek a v souvislosti se všemi relevantními okolnostmi</w:t>
      </w:r>
      <w:r w:rsidR="00293A9D" w:rsidRPr="00897682">
        <w:rPr>
          <w:rFonts w:eastAsia="Times New Roman"/>
        </w:rPr>
        <w:t>,</w:t>
      </w:r>
    </w:p>
    <w:p w14:paraId="5EB0F689" w14:textId="3C8AA01E" w:rsidR="00E120FE" w:rsidRPr="00897682" w:rsidRDefault="00E120FE" w:rsidP="000501AC">
      <w:pPr>
        <w:pStyle w:val="Odstavecseseznamem"/>
        <w:numPr>
          <w:ilvl w:val="0"/>
          <w:numId w:val="12"/>
        </w:numPr>
        <w:spacing w:line="240" w:lineRule="auto"/>
        <w:outlineLvl w:val="1"/>
        <w:rPr>
          <w:rFonts w:eastAsia="Times New Roman"/>
        </w:rPr>
      </w:pPr>
      <w:r w:rsidRPr="00897682">
        <w:rPr>
          <w:rFonts w:eastAsia="Times New Roman"/>
        </w:rPr>
        <w:t>doplnil odůvodnění, jestliže u některých skutkových zjištění není zřejmé, z čeho je soud prvého stupně vyvodil, jestliže jsou vzájemně v rozporu, jestliže z provedených důkazů vůbec nevyplývají, jestliže se některým skutkovým zjištěním soud prvého stupně vůbec nezabýval, či jestliže není zřejmé, jak některý důkaz soud prvého stupně vyhodnotil, co z něj vyvodil a proč či jak se vypořádal s rozpory mezi důkazy</w:t>
      </w:r>
      <w:r w:rsidR="00293A9D" w:rsidRPr="00897682">
        <w:rPr>
          <w:rFonts w:eastAsia="Times New Roman"/>
        </w:rPr>
        <w:t>.</w:t>
      </w:r>
    </w:p>
    <w:p w14:paraId="678F787D" w14:textId="45077F12" w:rsidR="00764E26" w:rsidRPr="00897682" w:rsidRDefault="00764E26" w:rsidP="000501AC">
      <w:pPr>
        <w:spacing w:line="240" w:lineRule="auto"/>
        <w:outlineLvl w:val="1"/>
        <w:rPr>
          <w:rFonts w:eastAsia="Times New Roman"/>
        </w:rPr>
      </w:pPr>
      <w:r w:rsidRPr="00897682">
        <w:rPr>
          <w:rFonts w:eastAsia="Times New Roman"/>
        </w:rPr>
        <w:t xml:space="preserve">Podle </w:t>
      </w:r>
      <w:r w:rsidR="00E120FE" w:rsidRPr="00897682">
        <w:rPr>
          <w:rFonts w:eastAsia="Times New Roman"/>
        </w:rPr>
        <w:t>citovaného nálezu naopak odvolací soud nesmí soudu prvého stupně uložit zejména</w:t>
      </w:r>
      <w:r w:rsidRPr="00897682">
        <w:rPr>
          <w:rFonts w:eastAsia="Times New Roman"/>
        </w:rPr>
        <w:t>, aby:</w:t>
      </w:r>
    </w:p>
    <w:p w14:paraId="5F47525E" w14:textId="0ACAB8A1" w:rsidR="00764E26" w:rsidRPr="00897682" w:rsidRDefault="00E120FE" w:rsidP="00764E26">
      <w:pPr>
        <w:pStyle w:val="Odstavecseseznamem"/>
        <w:numPr>
          <w:ilvl w:val="0"/>
          <w:numId w:val="12"/>
        </w:numPr>
        <w:spacing w:line="240" w:lineRule="auto"/>
        <w:outlineLvl w:val="1"/>
        <w:rPr>
          <w:rFonts w:eastAsia="Times New Roman"/>
        </w:rPr>
      </w:pPr>
      <w:r w:rsidRPr="00897682">
        <w:rPr>
          <w:rFonts w:eastAsia="Times New Roman"/>
        </w:rPr>
        <w:t>učinil konkrétní skutkové zjištění, či dokonce dospěl ke konkrétnímu skutkovému stavu, či naopak aby určité skutkové zjištění nečinil či určitou okolnost neobjasňoval</w:t>
      </w:r>
      <w:r w:rsidR="00764E26" w:rsidRPr="00897682">
        <w:rPr>
          <w:rFonts w:eastAsia="Times New Roman"/>
        </w:rPr>
        <w:t>,</w:t>
      </w:r>
    </w:p>
    <w:p w14:paraId="1F91E5AE" w14:textId="6030E136" w:rsidR="00764E26" w:rsidRPr="00897682" w:rsidRDefault="00E120FE" w:rsidP="00764E26">
      <w:pPr>
        <w:pStyle w:val="Odstavecseseznamem"/>
        <w:numPr>
          <w:ilvl w:val="0"/>
          <w:numId w:val="12"/>
        </w:numPr>
        <w:spacing w:line="240" w:lineRule="auto"/>
        <w:outlineLvl w:val="1"/>
        <w:rPr>
          <w:rFonts w:eastAsia="Times New Roman"/>
        </w:rPr>
      </w:pPr>
      <w:r w:rsidRPr="00897682">
        <w:rPr>
          <w:rFonts w:eastAsia="Times New Roman"/>
        </w:rPr>
        <w:t>hodnotil důkaz konkrétním způsobem či jej hodnotil jen z některých hledisek</w:t>
      </w:r>
      <w:r w:rsidR="00764E26" w:rsidRPr="00897682">
        <w:rPr>
          <w:rFonts w:eastAsia="Times New Roman"/>
        </w:rPr>
        <w:t>,</w:t>
      </w:r>
    </w:p>
    <w:p w14:paraId="0CD4D26D" w14:textId="2130B8C9" w:rsidR="00764E26" w:rsidRPr="00897682" w:rsidRDefault="00E120FE" w:rsidP="00764E26">
      <w:pPr>
        <w:pStyle w:val="Odstavecseseznamem"/>
        <w:numPr>
          <w:ilvl w:val="0"/>
          <w:numId w:val="12"/>
        </w:numPr>
        <w:spacing w:line="240" w:lineRule="auto"/>
        <w:outlineLvl w:val="1"/>
        <w:rPr>
          <w:rFonts w:eastAsia="Times New Roman"/>
        </w:rPr>
      </w:pPr>
      <w:r w:rsidRPr="00897682">
        <w:rPr>
          <w:rFonts w:eastAsia="Times New Roman"/>
        </w:rPr>
        <w:t>provedl nezákonný důkaz</w:t>
      </w:r>
      <w:r w:rsidR="00764E26" w:rsidRPr="00897682">
        <w:rPr>
          <w:rFonts w:eastAsia="Times New Roman"/>
        </w:rPr>
        <w:t>,</w:t>
      </w:r>
    </w:p>
    <w:p w14:paraId="5EE202D5" w14:textId="77777777" w:rsidR="00764E26" w:rsidRPr="00897682" w:rsidRDefault="00E120FE" w:rsidP="00764E26">
      <w:pPr>
        <w:pStyle w:val="Odstavecseseznamem"/>
        <w:numPr>
          <w:ilvl w:val="0"/>
          <w:numId w:val="12"/>
        </w:numPr>
        <w:spacing w:line="240" w:lineRule="auto"/>
        <w:outlineLvl w:val="1"/>
        <w:rPr>
          <w:rFonts w:eastAsia="Times New Roman"/>
        </w:rPr>
      </w:pPr>
      <w:r w:rsidRPr="00897682">
        <w:rPr>
          <w:rFonts w:eastAsia="Times New Roman"/>
        </w:rPr>
        <w:t>závažnost či pravdivost konkrétního důkazu vyhodnotil určitým způsobem</w:t>
      </w:r>
      <w:r w:rsidR="00764E26" w:rsidRPr="00897682">
        <w:rPr>
          <w:rFonts w:eastAsia="Times New Roman"/>
        </w:rPr>
        <w:t>,</w:t>
      </w:r>
    </w:p>
    <w:p w14:paraId="1BEE9124" w14:textId="77777777" w:rsidR="00764E26" w:rsidRPr="00897682" w:rsidRDefault="00E120FE" w:rsidP="00764E26">
      <w:pPr>
        <w:pStyle w:val="Odstavecseseznamem"/>
        <w:numPr>
          <w:ilvl w:val="0"/>
          <w:numId w:val="12"/>
        </w:numPr>
        <w:spacing w:line="240" w:lineRule="auto"/>
        <w:outlineLvl w:val="1"/>
        <w:rPr>
          <w:rFonts w:eastAsia="Times New Roman"/>
        </w:rPr>
      </w:pPr>
      <w:r w:rsidRPr="00897682">
        <w:rPr>
          <w:rFonts w:eastAsia="Times New Roman"/>
        </w:rPr>
        <w:t>určitým konkrétním způsobem vyhodnotil spolehlivost důkazu, zejména věrohodnost svědecké výpovědi</w:t>
      </w:r>
      <w:r w:rsidR="00764E26" w:rsidRPr="00897682">
        <w:rPr>
          <w:rFonts w:eastAsia="Times New Roman"/>
        </w:rPr>
        <w:t>,</w:t>
      </w:r>
    </w:p>
    <w:p w14:paraId="6E762486" w14:textId="77777777" w:rsidR="00764E26" w:rsidRPr="00897682" w:rsidRDefault="00E120FE" w:rsidP="00764E26">
      <w:pPr>
        <w:pStyle w:val="Odstavecseseznamem"/>
        <w:numPr>
          <w:ilvl w:val="0"/>
          <w:numId w:val="12"/>
        </w:numPr>
        <w:spacing w:line="240" w:lineRule="auto"/>
        <w:outlineLvl w:val="1"/>
        <w:rPr>
          <w:rFonts w:eastAsia="Times New Roman"/>
        </w:rPr>
      </w:pPr>
      <w:r w:rsidRPr="00897682">
        <w:rPr>
          <w:rFonts w:eastAsia="Times New Roman"/>
        </w:rPr>
        <w:t>určitou okolnost objasnil jen konkrétně stanovenými důkazními prostředky s výjimkou případů, kdy takový požadavek plyne přímo ze zákona</w:t>
      </w:r>
      <w:r w:rsidR="00764E26" w:rsidRPr="00897682">
        <w:rPr>
          <w:rFonts w:eastAsia="Times New Roman"/>
        </w:rPr>
        <w:t xml:space="preserve">, </w:t>
      </w:r>
      <w:r w:rsidRPr="00897682">
        <w:rPr>
          <w:rFonts w:eastAsia="Times New Roman"/>
        </w:rPr>
        <w:t>či kdy jiným způsobem danou okolnost objasnit nelze (např. v některých situacích vyšetřovací pokus)</w:t>
      </w:r>
      <w:r w:rsidR="00764E26" w:rsidRPr="00897682">
        <w:rPr>
          <w:rFonts w:eastAsia="Times New Roman"/>
        </w:rPr>
        <w:t>,</w:t>
      </w:r>
    </w:p>
    <w:p w14:paraId="119721D5" w14:textId="0E1F9B7B" w:rsidR="00E120FE" w:rsidRPr="00897682" w:rsidRDefault="00E120FE" w:rsidP="00764E26">
      <w:pPr>
        <w:pStyle w:val="Odstavecseseznamem"/>
        <w:numPr>
          <w:ilvl w:val="0"/>
          <w:numId w:val="12"/>
        </w:numPr>
        <w:spacing w:line="240" w:lineRule="auto"/>
        <w:outlineLvl w:val="1"/>
        <w:rPr>
          <w:rFonts w:eastAsia="Times New Roman"/>
        </w:rPr>
      </w:pPr>
      <w:r w:rsidRPr="00897682">
        <w:rPr>
          <w:rFonts w:eastAsia="Times New Roman"/>
        </w:rPr>
        <w:t>po provedení úkonů uložených odvolacím soudem upustil od dalšího dokazování, ačkoliv jej vzhledem k dalšímu důkaznímu vývoji je zapotřebí.</w:t>
      </w:r>
    </w:p>
    <w:p w14:paraId="06DFBDA9" w14:textId="77777777" w:rsidR="0032633A" w:rsidRPr="00897682" w:rsidRDefault="00E120FE" w:rsidP="000501AC">
      <w:pPr>
        <w:spacing w:line="240" w:lineRule="auto"/>
        <w:outlineLvl w:val="1"/>
        <w:rPr>
          <w:rFonts w:eastAsia="Times New Roman"/>
        </w:rPr>
      </w:pPr>
      <w:r w:rsidRPr="00897682">
        <w:rPr>
          <w:rFonts w:eastAsia="Times New Roman"/>
        </w:rPr>
        <w:t> </w:t>
      </w:r>
      <w:r w:rsidR="000F2F14" w:rsidRPr="00897682">
        <w:rPr>
          <w:rFonts w:eastAsia="Times New Roman"/>
        </w:rPr>
        <w:t>Je tedy považováno za protiústavní, pokud odvolací soud r</w:t>
      </w:r>
      <w:r w:rsidRPr="00897682">
        <w:rPr>
          <w:rFonts w:eastAsia="Times New Roman"/>
        </w:rPr>
        <w:t xml:space="preserve">uší opakovaně </w:t>
      </w:r>
      <w:r w:rsidR="000F2F14" w:rsidRPr="00897682">
        <w:rPr>
          <w:rFonts w:eastAsia="Times New Roman"/>
        </w:rPr>
        <w:t>rozsudky prvoinstančního soudu proto</w:t>
      </w:r>
      <w:r w:rsidRPr="00897682">
        <w:rPr>
          <w:rFonts w:eastAsia="Times New Roman"/>
        </w:rPr>
        <w:t>, aby přiměl soud prv</w:t>
      </w:r>
      <w:r w:rsidR="0024133A" w:rsidRPr="00897682">
        <w:rPr>
          <w:rFonts w:eastAsia="Times New Roman"/>
        </w:rPr>
        <w:t>ní</w:t>
      </w:r>
      <w:r w:rsidRPr="00897682">
        <w:rPr>
          <w:rFonts w:eastAsia="Times New Roman"/>
        </w:rPr>
        <w:t xml:space="preserve">ho stupně k převzetí svých skutkových závěrů či hodnocení důkazů. </w:t>
      </w:r>
      <w:r w:rsidR="0032633A" w:rsidRPr="00897682">
        <w:rPr>
          <w:rFonts w:eastAsia="Times New Roman"/>
        </w:rPr>
        <w:t xml:space="preserve">Jako nepřímý tlak označil Ústavní soud případy, kdy odvolací soud </w:t>
      </w:r>
    </w:p>
    <w:p w14:paraId="150837CC" w14:textId="77777777" w:rsidR="0032633A" w:rsidRPr="00897682" w:rsidRDefault="0032633A" w:rsidP="0032633A">
      <w:pPr>
        <w:pStyle w:val="Odstavecseseznamem"/>
        <w:numPr>
          <w:ilvl w:val="0"/>
          <w:numId w:val="12"/>
        </w:numPr>
        <w:spacing w:line="240" w:lineRule="auto"/>
        <w:outlineLvl w:val="1"/>
        <w:rPr>
          <w:rFonts w:eastAsia="Times New Roman"/>
        </w:rPr>
      </w:pPr>
      <w:r w:rsidRPr="00897682">
        <w:rPr>
          <w:rFonts w:eastAsia="Times New Roman"/>
        </w:rPr>
        <w:t>u</w:t>
      </w:r>
      <w:r w:rsidR="00E120FE" w:rsidRPr="00897682">
        <w:rPr>
          <w:rFonts w:eastAsia="Times New Roman"/>
        </w:rPr>
        <w:t>kládá nekonzistentní pokyny</w:t>
      </w:r>
      <w:r w:rsidRPr="00897682">
        <w:rPr>
          <w:rFonts w:eastAsia="Times New Roman"/>
        </w:rPr>
        <w:t>,</w:t>
      </w:r>
    </w:p>
    <w:p w14:paraId="15BCA3F2" w14:textId="77777777" w:rsidR="0032633A" w:rsidRPr="00897682" w:rsidRDefault="00E120FE" w:rsidP="0032633A">
      <w:pPr>
        <w:pStyle w:val="Odstavecseseznamem"/>
        <w:numPr>
          <w:ilvl w:val="0"/>
          <w:numId w:val="12"/>
        </w:numPr>
        <w:spacing w:line="240" w:lineRule="auto"/>
        <w:outlineLvl w:val="1"/>
        <w:rPr>
          <w:rFonts w:eastAsia="Times New Roman"/>
        </w:rPr>
      </w:pPr>
      <w:r w:rsidRPr="00897682">
        <w:rPr>
          <w:rFonts w:eastAsia="Times New Roman"/>
        </w:rPr>
        <w:t>po splnění předchozích pokynů přichází s novými, které se týkají skutečností či důkazů, ohledně nichž se od prvního rozhodnutí nic nezměnilo</w:t>
      </w:r>
      <w:r w:rsidR="0032633A" w:rsidRPr="00897682">
        <w:rPr>
          <w:rFonts w:eastAsia="Times New Roman"/>
        </w:rPr>
        <w:t>,</w:t>
      </w:r>
    </w:p>
    <w:p w14:paraId="6705438B" w14:textId="77777777" w:rsidR="0032633A" w:rsidRPr="00897682" w:rsidRDefault="00E120FE" w:rsidP="0032633A">
      <w:pPr>
        <w:pStyle w:val="Odstavecseseznamem"/>
        <w:numPr>
          <w:ilvl w:val="0"/>
          <w:numId w:val="12"/>
        </w:numPr>
        <w:spacing w:line="240" w:lineRule="auto"/>
        <w:outlineLvl w:val="1"/>
        <w:rPr>
          <w:rFonts w:eastAsia="Times New Roman"/>
        </w:rPr>
      </w:pPr>
      <w:r w:rsidRPr="00897682">
        <w:rPr>
          <w:rFonts w:eastAsia="Times New Roman"/>
        </w:rPr>
        <w:t>nepřímo naznačuje, jaká skutková zjištění či způsob hodnocení konkrétních důkazů by před odvolacím soudem obstály</w:t>
      </w:r>
      <w:r w:rsidR="0032633A" w:rsidRPr="00897682">
        <w:rPr>
          <w:rFonts w:eastAsia="Times New Roman"/>
        </w:rPr>
        <w:t>,</w:t>
      </w:r>
    </w:p>
    <w:p w14:paraId="43DAE40E" w14:textId="77777777" w:rsidR="0032633A" w:rsidRPr="00897682" w:rsidRDefault="00E120FE" w:rsidP="0032633A">
      <w:pPr>
        <w:pStyle w:val="Odstavecseseznamem"/>
        <w:numPr>
          <w:ilvl w:val="0"/>
          <w:numId w:val="12"/>
        </w:numPr>
        <w:spacing w:line="240" w:lineRule="auto"/>
        <w:outlineLvl w:val="1"/>
        <w:rPr>
          <w:rFonts w:eastAsia="Times New Roman"/>
        </w:rPr>
      </w:pPr>
      <w:r w:rsidRPr="00897682">
        <w:rPr>
          <w:rFonts w:eastAsia="Times New Roman"/>
        </w:rPr>
        <w:t>opakovaně ukládá hodnotit důkaz z různých hledisek, ačkoliv tak mohl učinit již napoprvé a od prvního provedení důkazu se podstatně nezměnila situace</w:t>
      </w:r>
      <w:r w:rsidR="0032633A" w:rsidRPr="00897682">
        <w:rPr>
          <w:rFonts w:eastAsia="Times New Roman"/>
        </w:rPr>
        <w:t>,</w:t>
      </w:r>
    </w:p>
    <w:p w14:paraId="627AF650" w14:textId="77777777" w:rsidR="0032633A" w:rsidRPr="00897682" w:rsidRDefault="00E120FE" w:rsidP="0032633A">
      <w:pPr>
        <w:pStyle w:val="Odstavecseseznamem"/>
        <w:numPr>
          <w:ilvl w:val="0"/>
          <w:numId w:val="12"/>
        </w:numPr>
        <w:spacing w:line="240" w:lineRule="auto"/>
        <w:outlineLvl w:val="1"/>
        <w:rPr>
          <w:rFonts w:eastAsia="Times New Roman"/>
        </w:rPr>
      </w:pPr>
      <w:r w:rsidRPr="00897682">
        <w:rPr>
          <w:rFonts w:eastAsia="Times New Roman"/>
        </w:rPr>
        <w:t>uloží pokyn, který považuje za nezbytný pro objektivní objasnění věci, avšak poté, co jej soud prvého stupně nesplní, ale změní svá skutková zjištění ke spokojenosti odvolacího soudu, na jeho splnění netrvá</w:t>
      </w:r>
      <w:r w:rsidR="0032633A" w:rsidRPr="00897682">
        <w:rPr>
          <w:rFonts w:eastAsia="Times New Roman"/>
        </w:rPr>
        <w:t>,</w:t>
      </w:r>
    </w:p>
    <w:p w14:paraId="576321C9" w14:textId="77777777" w:rsidR="0032633A" w:rsidRPr="00897682" w:rsidRDefault="00E120FE" w:rsidP="0032633A">
      <w:pPr>
        <w:pStyle w:val="Odstavecseseznamem"/>
        <w:numPr>
          <w:ilvl w:val="0"/>
          <w:numId w:val="12"/>
        </w:numPr>
        <w:spacing w:line="240" w:lineRule="auto"/>
        <w:outlineLvl w:val="1"/>
        <w:rPr>
          <w:rFonts w:eastAsia="Times New Roman"/>
        </w:rPr>
      </w:pPr>
      <w:r w:rsidRPr="00897682">
        <w:rPr>
          <w:rFonts w:eastAsia="Times New Roman"/>
        </w:rPr>
        <w:t>ukládá opakovaně neurčité a obecné pokyny (např. důkladněji zvážit, pečlivěji odůvodnit, více se zabývat) ohledně stejné skutečnosti či důkazu, bez ohledu na to, že soud prv</w:t>
      </w:r>
      <w:r w:rsidR="0032633A" w:rsidRPr="00897682">
        <w:rPr>
          <w:rFonts w:eastAsia="Times New Roman"/>
        </w:rPr>
        <w:t>ní</w:t>
      </w:r>
      <w:r w:rsidRPr="00897682">
        <w:rPr>
          <w:rFonts w:eastAsia="Times New Roman"/>
        </w:rPr>
        <w:t>ho stupně v tomto směru vynaložil zvláštní úsilí a opakovaně se danou otázkou zabýval, byť pokaždé dospěl ke stejnému výsledku</w:t>
      </w:r>
      <w:r w:rsidR="0032633A" w:rsidRPr="00897682">
        <w:rPr>
          <w:rFonts w:eastAsia="Times New Roman"/>
        </w:rPr>
        <w:t>,</w:t>
      </w:r>
    </w:p>
    <w:p w14:paraId="1F866D00" w14:textId="2CB19C5A" w:rsidR="0032633A" w:rsidRPr="00897682" w:rsidRDefault="00E120FE" w:rsidP="0032633A">
      <w:pPr>
        <w:pStyle w:val="Odstavecseseznamem"/>
        <w:numPr>
          <w:ilvl w:val="0"/>
          <w:numId w:val="12"/>
        </w:numPr>
        <w:spacing w:line="240" w:lineRule="auto"/>
        <w:outlineLvl w:val="1"/>
        <w:rPr>
          <w:rFonts w:eastAsia="Times New Roman"/>
        </w:rPr>
      </w:pPr>
      <w:r w:rsidRPr="00897682">
        <w:rPr>
          <w:rFonts w:eastAsia="Times New Roman"/>
        </w:rPr>
        <w:t>vyjadřuje přímo či nepřímo svůj názor</w:t>
      </w:r>
      <w:r w:rsidR="00112CFA" w:rsidRPr="00897682">
        <w:rPr>
          <w:rFonts w:eastAsia="Times New Roman"/>
        </w:rPr>
        <w:t xml:space="preserve"> </w:t>
      </w:r>
      <w:r w:rsidRPr="00897682">
        <w:rPr>
          <w:rFonts w:eastAsia="Times New Roman"/>
        </w:rPr>
        <w:t>na spolehlivost důkazu (zejména na věrohodnost svědka, obviněného, spoluobviněného či znalce)</w:t>
      </w:r>
      <w:r w:rsidR="0032633A" w:rsidRPr="00897682">
        <w:rPr>
          <w:rFonts w:eastAsia="Times New Roman"/>
        </w:rPr>
        <w:t>,</w:t>
      </w:r>
    </w:p>
    <w:p w14:paraId="213EA1D9" w14:textId="77777777" w:rsidR="0032633A" w:rsidRPr="00897682" w:rsidRDefault="00E120FE" w:rsidP="0032633A">
      <w:pPr>
        <w:pStyle w:val="Odstavecseseznamem"/>
        <w:numPr>
          <w:ilvl w:val="0"/>
          <w:numId w:val="12"/>
        </w:numPr>
        <w:spacing w:line="240" w:lineRule="auto"/>
        <w:outlineLvl w:val="1"/>
        <w:rPr>
          <w:rFonts w:eastAsia="Times New Roman"/>
        </w:rPr>
      </w:pPr>
      <w:r w:rsidRPr="00897682">
        <w:rPr>
          <w:rFonts w:eastAsia="Times New Roman"/>
        </w:rPr>
        <w:t>operuje bez vlastního provedení dokazování otevřeně či implicitně se skutkovým zjištěním, které soud prvého stupně v dané věci vůbec neučinil, či je dokonce vyloučil, uplatňuje rozdílný standard přísnosti ve vztahu k argumentaci soudu prvého stupně podle toho, zda se týká skutkových závěrů, s nimiž sám souhlasí, či nikoliv</w:t>
      </w:r>
      <w:r w:rsidR="0032633A" w:rsidRPr="00897682">
        <w:rPr>
          <w:rFonts w:eastAsia="Times New Roman"/>
        </w:rPr>
        <w:t>,</w:t>
      </w:r>
    </w:p>
    <w:p w14:paraId="4B73BCEE" w14:textId="2576E5AF" w:rsidR="00E120FE" w:rsidRPr="00897682" w:rsidRDefault="00E120FE" w:rsidP="0032633A">
      <w:pPr>
        <w:pStyle w:val="Odstavecseseznamem"/>
        <w:numPr>
          <w:ilvl w:val="0"/>
          <w:numId w:val="12"/>
        </w:numPr>
        <w:spacing w:line="240" w:lineRule="auto"/>
        <w:outlineLvl w:val="1"/>
        <w:rPr>
          <w:rFonts w:eastAsia="Times New Roman"/>
        </w:rPr>
      </w:pPr>
      <w:r w:rsidRPr="00897682">
        <w:rPr>
          <w:rFonts w:eastAsia="Times New Roman"/>
        </w:rPr>
        <w:t>slevuje ze svých původně vysokých požadavků na odůvodnění, jakmile soud prv</w:t>
      </w:r>
      <w:r w:rsidR="0032633A" w:rsidRPr="00897682">
        <w:rPr>
          <w:rFonts w:eastAsia="Times New Roman"/>
        </w:rPr>
        <w:t>ní</w:t>
      </w:r>
      <w:r w:rsidRPr="00897682">
        <w:rPr>
          <w:rFonts w:eastAsia="Times New Roman"/>
        </w:rPr>
        <w:t xml:space="preserve">ho stupně přijme jím preferované závěry, případně změní-li soud prvého stupně svůj závěr, </w:t>
      </w:r>
      <w:r w:rsidRPr="00897682">
        <w:rPr>
          <w:rFonts w:eastAsia="Times New Roman"/>
        </w:rPr>
        <w:lastRenderedPageBreak/>
        <w:t>který původně logicky a přesvědčivým způsobem odůvodnil, akceptuje změnu takového závěru, která konvenuje jeho vlastnímu názoru, aniž by se soud prvého stupně vypořádal se svou původní argumentací a vysvětlil, proč se od ní nově odchýlil atd.</w:t>
      </w:r>
    </w:p>
    <w:p w14:paraId="7C8AB8AB" w14:textId="149F4530" w:rsidR="009E4F22" w:rsidRDefault="000B1420" w:rsidP="009E4F22">
      <w:pPr>
        <w:spacing w:line="240" w:lineRule="auto"/>
        <w:outlineLvl w:val="1"/>
        <w:rPr>
          <w:rFonts w:eastAsia="Times New Roman" w:cs="Times New Roman"/>
          <w:bCs w:val="0"/>
        </w:rPr>
      </w:pPr>
      <w:r w:rsidRPr="00897682">
        <w:rPr>
          <w:rFonts w:eastAsia="Times New Roman"/>
          <w:bCs w:val="0"/>
        </w:rPr>
        <w:t>Od této ustálené judikatury vymezující roli odvolacího soudu se odchýlil nález Ústavního soudu IV. ÚS 2980/22 z</w:t>
      </w:r>
      <w:r w:rsidR="00025D7B" w:rsidRPr="00897682">
        <w:rPr>
          <w:rFonts w:eastAsia="Times New Roman"/>
          <w:bCs w:val="0"/>
        </w:rPr>
        <w:t>e dne</w:t>
      </w:r>
      <w:r w:rsidRPr="00897682">
        <w:rPr>
          <w:rFonts w:eastAsia="Times New Roman"/>
          <w:bCs w:val="0"/>
        </w:rPr>
        <w:t> 21. 3. 2023</w:t>
      </w:r>
      <w:r w:rsidR="009E4F22" w:rsidRPr="00897682">
        <w:rPr>
          <w:rFonts w:eastAsia="Times New Roman"/>
          <w:bCs w:val="0"/>
        </w:rPr>
        <w:t xml:space="preserve">, který připustil, že odvolací soud může zavázat prvoinstanční soud k tomu, aby obžalovaného uznal vinným určitým trestným činem v případě, že </w:t>
      </w:r>
      <w:r w:rsidR="009E4F22" w:rsidRPr="00897682">
        <w:rPr>
          <w:rFonts w:eastAsia="Times New Roman" w:cs="Times New Roman"/>
          <w:bCs w:val="0"/>
        </w:rPr>
        <w:t xml:space="preserve">odvolací soud ve veřejném zasedání o odvolání při zachování všech garancí kontradiktornosti řízení </w:t>
      </w:r>
      <w:r w:rsidR="009E4F22" w:rsidRPr="00897682">
        <w:rPr>
          <w:rFonts w:eastAsia="Times New Roman" w:cs="Times New Roman"/>
          <w:bCs w:val="0"/>
        </w:rPr>
        <w:br/>
        <w:t>a práva na obhajobu zopakuje důkaz či důkazy, z nichž soud prvního stupně tato skutková zjištění učinil, a změní odpovídající skutková zjištění, přičemž dospěje k závěru, že možnosti dokazování již byly vyčerpány, skutkový stav byl v rozsahu nutném pro rozhodnutí zjištěn bez důvodných pochybností a je na místě vydat takové rozhodnutí, které sám vydat nemůže z</w:t>
      </w:r>
      <w:r w:rsidR="001C3343" w:rsidRPr="00897682">
        <w:rPr>
          <w:rFonts w:eastAsia="Times New Roman" w:cs="Times New Roman"/>
          <w:bCs w:val="0"/>
        </w:rPr>
        <w:t> </w:t>
      </w:r>
      <w:r w:rsidR="009E4F22" w:rsidRPr="00897682">
        <w:rPr>
          <w:rFonts w:eastAsia="Times New Roman" w:cs="Times New Roman"/>
          <w:bCs w:val="0"/>
        </w:rPr>
        <w:t xml:space="preserve">důvodu zákonné překážky podle § 259 odst. 5 tr. ř. Soud prvního stupně je v takovém případě povinen vycházet ze skutkového stavu tak, jak byl ustálen odvolacím soudem, nevyžádá-li si procesní vývoj doplnění dokazování. </w:t>
      </w:r>
      <w:r w:rsidR="006915B3" w:rsidRPr="00897682">
        <w:rPr>
          <w:rFonts w:eastAsia="Times New Roman" w:cs="Times New Roman"/>
          <w:bCs w:val="0"/>
        </w:rPr>
        <w:t>V návaznosti na tento nález Ústavního soudu pak některé soudy</w:t>
      </w:r>
      <w:r w:rsidR="00D720CC" w:rsidRPr="00897682">
        <w:rPr>
          <w:rFonts w:eastAsia="Times New Roman" w:cs="Times New Roman"/>
          <w:bCs w:val="0"/>
        </w:rPr>
        <w:t xml:space="preserve"> </w:t>
      </w:r>
      <w:r w:rsidR="006915B3" w:rsidRPr="00897682">
        <w:rPr>
          <w:rFonts w:eastAsia="Times New Roman" w:cs="Times New Roman"/>
          <w:bCs w:val="0"/>
        </w:rPr>
        <w:t>začaly prvoinstanční soudy zavazovat skutkovým stavem tak, jak jej zjistily, s konstatováním, že již není třeba provádět žádné další důkazy, a dáv</w:t>
      </w:r>
      <w:r w:rsidR="00D720CC" w:rsidRPr="00897682">
        <w:rPr>
          <w:rFonts w:eastAsia="Times New Roman" w:cs="Times New Roman"/>
          <w:bCs w:val="0"/>
        </w:rPr>
        <w:t>at</w:t>
      </w:r>
      <w:r w:rsidR="006915B3" w:rsidRPr="00897682">
        <w:rPr>
          <w:rFonts w:eastAsia="Times New Roman" w:cs="Times New Roman"/>
          <w:bCs w:val="0"/>
        </w:rPr>
        <w:t xml:space="preserve"> prvoinstančním soudům pokyny, jak mají o vině rozhodnout. </w:t>
      </w:r>
      <w:r w:rsidR="00375821" w:rsidRPr="00897682">
        <w:rPr>
          <w:rFonts w:eastAsia="Times New Roman" w:cs="Times New Roman"/>
          <w:bCs w:val="0"/>
        </w:rPr>
        <w:t xml:space="preserve">Takový stav však nelze považovat za uspokojivý, protože nelze odhlédnout od toho, že odvolací soud na rozdíl od prvoinstančního soudu neprovádí celé hlavní líčení a dokazování v plném rozsahu, ale provádí pouze některé důkazy, kromě toho svá zjištění o skutkovém stavu a hodnocení důkazů nemůže přenášet na jiný soud, který si v souladu se zásadou bezprostřednosti a volného hodnocení důkazů musí učinit závěr o vině obžalovaného </w:t>
      </w:r>
      <w:r w:rsidR="00D77306" w:rsidRPr="00897682">
        <w:rPr>
          <w:rFonts w:eastAsia="Times New Roman" w:cs="Times New Roman"/>
          <w:bCs w:val="0"/>
        </w:rPr>
        <w:t>samostatně</w:t>
      </w:r>
      <w:r w:rsidR="00E317DA" w:rsidRPr="00897682">
        <w:rPr>
          <w:rFonts w:eastAsia="Times New Roman" w:cs="Times New Roman"/>
          <w:bCs w:val="0"/>
        </w:rPr>
        <w:t>,</w:t>
      </w:r>
      <w:r w:rsidR="00F32A34" w:rsidRPr="00897682">
        <w:rPr>
          <w:rFonts w:eastAsia="Times New Roman" w:cs="Times New Roman"/>
          <w:bCs w:val="0"/>
        </w:rPr>
        <w:t xml:space="preserve"> a odvolací soud jej nemůže zavázat vlastním hodnocením důkazů</w:t>
      </w:r>
      <w:r w:rsidR="00375821" w:rsidRPr="00897682">
        <w:rPr>
          <w:rFonts w:eastAsia="Times New Roman" w:cs="Times New Roman"/>
          <w:bCs w:val="0"/>
        </w:rPr>
        <w:t xml:space="preserve">. </w:t>
      </w:r>
      <w:r w:rsidR="00F32A34" w:rsidRPr="00897682">
        <w:rPr>
          <w:rFonts w:eastAsia="Times New Roman" w:cs="Times New Roman"/>
          <w:bCs w:val="0"/>
        </w:rPr>
        <w:t xml:space="preserve">I když si odvolací soud důkaz sám provede, nemůže své závěry o jeho hodnocení přenášet na soudce prvoinstančního soudu, který si musí tuto otázku posoudit sám. </w:t>
      </w:r>
    </w:p>
    <w:p w14:paraId="0E44D67F" w14:textId="5E5CEC57" w:rsidR="002B4AC2" w:rsidRPr="002B4AC2" w:rsidRDefault="002B4AC2" w:rsidP="002B4AC2">
      <w:pPr>
        <w:spacing w:line="240" w:lineRule="auto"/>
        <w:rPr>
          <w:rFonts w:cs="Times New Roman"/>
          <w:szCs w:val="24"/>
        </w:rPr>
      </w:pPr>
      <w:r>
        <w:rPr>
          <w:rFonts w:eastAsia="Times New Roman"/>
          <w:bCs w:val="0"/>
        </w:rPr>
        <w:t xml:space="preserve">Odvolací soud tedy může vznášet výhrady i ke skutkovým otázkám (v souladu s vymezením těchto pokynů v nálezu Ústavního soudu </w:t>
      </w:r>
      <w:r w:rsidRPr="00E120FE">
        <w:rPr>
          <w:rFonts w:eastAsia="Times New Roman"/>
          <w:bCs w:val="0"/>
        </w:rPr>
        <w:t>sp. zn. I. ÚS 1365/21</w:t>
      </w:r>
      <w:r>
        <w:rPr>
          <w:rFonts w:eastAsia="Times New Roman"/>
          <w:bCs w:val="0"/>
        </w:rPr>
        <w:t xml:space="preserve">), se kterými je prvoinstanční soud povinen se vypořádat, nemůže však prvoinstanční soud zavázat, jak má důkaz hodnotit, ani jej zavázat určitým jím zjištěným skutkovým stavem. </w:t>
      </w:r>
      <w:r w:rsidRPr="00897682">
        <w:rPr>
          <w:rFonts w:eastAsia="Times New Roman"/>
          <w:bCs w:val="0"/>
        </w:rPr>
        <w:t xml:space="preserve">V tomto směru lze považovat </w:t>
      </w:r>
      <w:r w:rsidRPr="00897682">
        <w:rPr>
          <w:bCs w:val="0"/>
          <w:lang w:eastAsia="cs-CZ"/>
        </w:rPr>
        <w:t xml:space="preserve">nález Ústavního soudu </w:t>
      </w:r>
      <w:r w:rsidRPr="00897682">
        <w:rPr>
          <w:rFonts w:eastAsia="Times New Roman"/>
          <w:bCs w:val="0"/>
        </w:rPr>
        <w:t xml:space="preserve">IV. ÚS 2980/22 za výrazně posunující předchozí ustálenou soudní praxi </w:t>
      </w:r>
      <w:r>
        <w:rPr>
          <w:rFonts w:eastAsia="Times New Roman"/>
          <w:bCs w:val="0"/>
        </w:rPr>
        <w:br/>
      </w:r>
      <w:r w:rsidRPr="00897682">
        <w:rPr>
          <w:rFonts w:eastAsia="Times New Roman"/>
          <w:bCs w:val="0"/>
        </w:rPr>
        <w:t xml:space="preserve">a předkladatel má za to, že pokud by mělo dojít k takovému odchýlení se od předchozí praxe, mělo by se tak stát plenárním nálezem Ústavního soudu. </w:t>
      </w:r>
    </w:p>
    <w:p w14:paraId="3F9C2417" w14:textId="0F1AA1DB" w:rsidR="006F0CEB" w:rsidRPr="0022093C" w:rsidRDefault="007630CD" w:rsidP="00150091">
      <w:pPr>
        <w:spacing w:line="240" w:lineRule="auto"/>
        <w:outlineLvl w:val="1"/>
      </w:pPr>
      <w:r w:rsidRPr="00897682">
        <w:rPr>
          <w:bCs w:val="0"/>
          <w:lang w:eastAsia="cs-CZ"/>
        </w:rPr>
        <w:t xml:space="preserve">Cílem navržené právní úpravy je </w:t>
      </w:r>
      <w:r w:rsidR="0081093D" w:rsidRPr="00897682">
        <w:rPr>
          <w:bCs w:val="0"/>
          <w:lang w:eastAsia="cs-CZ"/>
        </w:rPr>
        <w:t xml:space="preserve">v otázce možného zavázání prvoinstančního soudu k určitému posouzení viny </w:t>
      </w:r>
      <w:r w:rsidR="00BD556A" w:rsidRPr="00897682">
        <w:rPr>
          <w:rFonts w:eastAsia="Times New Roman"/>
          <w:bCs w:val="0"/>
        </w:rPr>
        <w:t>zohledn</w:t>
      </w:r>
      <w:r w:rsidR="00D94996" w:rsidRPr="00897682">
        <w:rPr>
          <w:rFonts w:eastAsia="Times New Roman"/>
          <w:bCs w:val="0"/>
        </w:rPr>
        <w:t>it</w:t>
      </w:r>
      <w:r w:rsidR="00BD556A" w:rsidRPr="00897682">
        <w:rPr>
          <w:rFonts w:eastAsia="Times New Roman"/>
          <w:bCs w:val="0"/>
        </w:rPr>
        <w:t xml:space="preserve"> judikatur</w:t>
      </w:r>
      <w:r w:rsidR="00D94996" w:rsidRPr="00897682">
        <w:rPr>
          <w:rFonts w:eastAsia="Times New Roman"/>
          <w:bCs w:val="0"/>
        </w:rPr>
        <w:t>u</w:t>
      </w:r>
      <w:r w:rsidR="00BD556A" w:rsidRPr="00897682">
        <w:rPr>
          <w:rFonts w:eastAsia="Times New Roman"/>
          <w:bCs w:val="0"/>
        </w:rPr>
        <w:t xml:space="preserve"> Evropského soudu pro lidská práva </w:t>
      </w:r>
      <w:r w:rsidR="00D94996" w:rsidRPr="00897682">
        <w:rPr>
          <w:rFonts w:eastAsia="Times New Roman"/>
          <w:bCs w:val="0"/>
        </w:rPr>
        <w:t xml:space="preserve">v této oblasti </w:t>
      </w:r>
      <w:r w:rsidR="00BD556A" w:rsidRPr="00897682">
        <w:rPr>
          <w:rFonts w:eastAsia="Times New Roman"/>
          <w:bCs w:val="0"/>
        </w:rPr>
        <w:t>(dále jen „ESLP“)</w:t>
      </w:r>
      <w:r w:rsidR="00150091">
        <w:rPr>
          <w:rFonts w:eastAsia="Times New Roman"/>
          <w:bCs w:val="0"/>
        </w:rPr>
        <w:t xml:space="preserve">, </w:t>
      </w:r>
      <w:r w:rsidR="008D5A81" w:rsidRPr="00897682">
        <w:rPr>
          <w:rFonts w:eastAsia="Times New Roman"/>
          <w:bCs w:val="0"/>
        </w:rPr>
        <w:t xml:space="preserve">zejména </w:t>
      </w:r>
      <w:r w:rsidR="007158AD" w:rsidRPr="00897682">
        <w:rPr>
          <w:rFonts w:eastAsia="Times New Roman"/>
          <w:bCs w:val="0"/>
        </w:rPr>
        <w:t xml:space="preserve">rozsudek </w:t>
      </w:r>
      <w:r w:rsidR="007158AD" w:rsidRPr="00897682">
        <w:t xml:space="preserve">ve věci </w:t>
      </w:r>
      <w:r w:rsidR="007158AD" w:rsidRPr="00897682">
        <w:rPr>
          <w:i/>
        </w:rPr>
        <w:t xml:space="preserve">Tempel proti České republice </w:t>
      </w:r>
      <w:r w:rsidR="007158AD" w:rsidRPr="00897682">
        <w:t>ze dne 25. června 2020</w:t>
      </w:r>
      <w:r w:rsidR="00774221">
        <w:t xml:space="preserve">, </w:t>
      </w:r>
      <w:r w:rsidR="00774221" w:rsidRPr="00897682">
        <w:t>č. 44151/12</w:t>
      </w:r>
      <w:r w:rsidR="00774221">
        <w:t>.</w:t>
      </w:r>
      <w:r w:rsidR="0022093C">
        <w:t xml:space="preserve"> </w:t>
      </w:r>
      <w:r w:rsidR="00774221">
        <w:t xml:space="preserve">V návaznosti na judikaturu ESLP se </w:t>
      </w:r>
      <w:r w:rsidR="00B70CBA" w:rsidRPr="00897682">
        <w:t xml:space="preserve">upravuje odvolací řízení tak, </w:t>
      </w:r>
      <w:r w:rsidR="006F0CEB" w:rsidRPr="00897682">
        <w:t xml:space="preserve">aby </w:t>
      </w:r>
      <w:r w:rsidR="00B70CBA" w:rsidRPr="00897682">
        <w:t>skýt</w:t>
      </w:r>
      <w:r w:rsidR="006F0CEB" w:rsidRPr="00897682">
        <w:t>alo</w:t>
      </w:r>
      <w:r w:rsidR="00B70CBA" w:rsidRPr="00897682">
        <w:t xml:space="preserve"> dostatečné záruky bránící tomu, aby byla </w:t>
      </w:r>
      <w:r w:rsidR="006F0CEB" w:rsidRPr="00897682">
        <w:t xml:space="preserve">stávající úprava </w:t>
      </w:r>
      <w:r w:rsidR="00B70CBA" w:rsidRPr="00897682">
        <w:t xml:space="preserve">odvolacími soudy využívána příliš široce. </w:t>
      </w:r>
      <w:r w:rsidR="006F0CEB" w:rsidRPr="00897682">
        <w:t>Navrhuje se tedy v souladu s pravidlem, že odvolací soud nesmí s ohledem na zásadu volného hodnocení důkazů a zásadu bezprostřednosti dávat prvoinstančnímu soudu přímé pokyny ve vztahu k hodnocení důkazů, zákonnou úpravu doplnit v tom směru, že pokud odvolací soud při vrácení věci vznese pochybnosti ohledně správnosti skutkových zjištění, prvoinstanční soud sice není vázán hodnocením provedeným odvolacím soudem, má však povinnost se s vznesenými pochybnostmi vypořádat, tj. zdůrazňuje se, že se uplatněnými výhradami má zabývat, byť odvolací soud nemůže vydat závazný pokyn, jak má být důkaz hodnocen</w:t>
      </w:r>
      <w:r w:rsidR="00A33E3A">
        <w:t xml:space="preserve"> a k jakým závěrům má prvoinstanční soud dospět</w:t>
      </w:r>
      <w:r w:rsidR="00675FE2">
        <w:t>.</w:t>
      </w:r>
      <w:r w:rsidR="006F0CEB" w:rsidRPr="00897682">
        <w:t xml:space="preserve"> Předpokladem uplatnění takových výhrad ze strany odvolacího soudu směrem k soudu nalézacímu </w:t>
      </w:r>
      <w:r w:rsidR="003D40C2" w:rsidRPr="00897682">
        <w:t xml:space="preserve">však </w:t>
      </w:r>
      <w:r w:rsidR="006F0CEB" w:rsidRPr="00897682">
        <w:t xml:space="preserve">je, že odvolací soud sám provede potřebné důkazy, </w:t>
      </w:r>
      <w:r w:rsidR="004B4AAE" w:rsidRPr="00897682">
        <w:t xml:space="preserve">o nichž má pochybnosti, </w:t>
      </w:r>
      <w:r w:rsidR="006F0CEB" w:rsidRPr="00897682">
        <w:t xml:space="preserve">jinak je vázán hodnocením důkazů provedeným prvoinstančním soudem. Pokud se prvoinstanční soud se vznesenými výhradami </w:t>
      </w:r>
      <w:r w:rsidR="001D2256" w:rsidRPr="00897682">
        <w:t xml:space="preserve">opakovaně </w:t>
      </w:r>
      <w:r w:rsidR="006F0CEB" w:rsidRPr="00897682">
        <w:t xml:space="preserve">nevypořádá, pak to může výjimečně vést i k postupu podle § 262 tr. ř. </w:t>
      </w:r>
    </w:p>
    <w:p w14:paraId="109EEF8A" w14:textId="63B800EF" w:rsidR="00297E1A" w:rsidRPr="00897682" w:rsidRDefault="006F0CEB" w:rsidP="009E4F22">
      <w:pPr>
        <w:spacing w:line="240" w:lineRule="auto"/>
        <w:outlineLvl w:val="1"/>
      </w:pPr>
      <w:r w:rsidRPr="00897682">
        <w:lastRenderedPageBreak/>
        <w:t xml:space="preserve">Pokud jde o § 262 tr. ř., </w:t>
      </w:r>
      <w:r w:rsidR="008D5A81" w:rsidRPr="00897682">
        <w:t xml:space="preserve">jeví se jako vhodné přímo v zákoně zpřesnit taxativním výčtem důvody, pro které může být </w:t>
      </w:r>
      <w:r w:rsidR="00F75174" w:rsidRPr="00897682">
        <w:t xml:space="preserve">tento postup </w:t>
      </w:r>
      <w:r w:rsidR="008D5A81" w:rsidRPr="00897682">
        <w:t>využit, a nespoléhat se jen na judikaturu Ústavního soudu. Zároveň se navrhuje zdůraznit, že pokud odvolací soud výjimečně takto postupuje z důvodu, že z jeho strany přetrvávají pochybnosti o správnosti skutkových zjištění, pak tomu vždy musí předcházet to, že sám provede důkaz, u něhož má pochybnosti, zda prvoinstanční soud dodržel požadavky na hodnocení důkazů vyplývající ze zásady volného hodnocení důkazů (§ 2 odst. 6 tr. ř.).</w:t>
      </w:r>
    </w:p>
    <w:p w14:paraId="7F1B86AF" w14:textId="7AEC6E69" w:rsidR="005D34AA" w:rsidRPr="00897682" w:rsidRDefault="00461EC5" w:rsidP="005D34AA">
      <w:pPr>
        <w:pStyle w:val="Odstavecseseznamem"/>
        <w:numPr>
          <w:ilvl w:val="0"/>
          <w:numId w:val="11"/>
        </w:numPr>
        <w:spacing w:line="240" w:lineRule="auto"/>
        <w:outlineLvl w:val="1"/>
        <w:rPr>
          <w:bCs w:val="0"/>
          <w:u w:val="single"/>
          <w:lang w:eastAsia="cs-CZ"/>
        </w:rPr>
      </w:pPr>
      <w:r w:rsidRPr="00897682">
        <w:rPr>
          <w:bCs w:val="0"/>
          <w:u w:val="single"/>
          <w:lang w:eastAsia="cs-CZ"/>
        </w:rPr>
        <w:t>Ochrana důvěrnosti komunikace obviněného s jeho obhájcem (podezřelého s jeho advokátem)</w:t>
      </w:r>
      <w:r w:rsidR="00277ADA" w:rsidRPr="00230591">
        <w:rPr>
          <w:bCs w:val="0"/>
          <w:lang w:eastAsia="cs-CZ"/>
        </w:rPr>
        <w:t xml:space="preserve"> </w:t>
      </w:r>
      <w:r w:rsidR="00277ADA">
        <w:rPr>
          <w:bCs w:val="0"/>
          <w:i/>
          <w:iCs/>
          <w:lang w:eastAsia="cs-CZ"/>
        </w:rPr>
        <w:t>(vychází z podnětu zástupců advokacie)</w:t>
      </w:r>
    </w:p>
    <w:p w14:paraId="4AA168AB" w14:textId="77C545AE" w:rsidR="00E63610" w:rsidRPr="00897682" w:rsidRDefault="005D34AA" w:rsidP="00E63610">
      <w:pPr>
        <w:spacing w:line="240" w:lineRule="auto"/>
        <w:outlineLvl w:val="1"/>
        <w:rPr>
          <w:szCs w:val="24"/>
        </w:rPr>
      </w:pPr>
      <w:r w:rsidRPr="00897682">
        <w:rPr>
          <w:szCs w:val="24"/>
        </w:rPr>
        <w:t xml:space="preserve">Dne 18. prosince 2025 vydal </w:t>
      </w:r>
      <w:r w:rsidR="00780CC9" w:rsidRPr="00897682">
        <w:rPr>
          <w:szCs w:val="24"/>
        </w:rPr>
        <w:t xml:space="preserve">ESLP </w:t>
      </w:r>
      <w:r w:rsidRPr="00897682">
        <w:rPr>
          <w:szCs w:val="24"/>
        </w:rPr>
        <w:t xml:space="preserve">rozsudek ve </w:t>
      </w:r>
      <w:r w:rsidR="00CF04F9" w:rsidRPr="00897682">
        <w:rPr>
          <w:szCs w:val="24"/>
        </w:rPr>
        <w:t xml:space="preserve">věci </w:t>
      </w:r>
      <w:r w:rsidR="00CF04F9" w:rsidRPr="00897682">
        <w:rPr>
          <w:i/>
          <w:iCs/>
          <w:szCs w:val="24"/>
        </w:rPr>
        <w:t>Černý a ostatní proti České republice</w:t>
      </w:r>
      <w:r w:rsidR="00CF04F9" w:rsidRPr="00897682">
        <w:rPr>
          <w:szCs w:val="24"/>
        </w:rPr>
        <w:t xml:space="preserve"> </w:t>
      </w:r>
      <w:r w:rsidR="0073250F" w:rsidRPr="00897682">
        <w:rPr>
          <w:szCs w:val="24"/>
        </w:rPr>
        <w:br/>
      </w:r>
      <w:r w:rsidR="00CF04F9" w:rsidRPr="00897682">
        <w:rPr>
          <w:szCs w:val="24"/>
        </w:rPr>
        <w:t>(č. 37514/20 a další)</w:t>
      </w:r>
      <w:r w:rsidR="00E63610" w:rsidRPr="00897682">
        <w:rPr>
          <w:szCs w:val="24"/>
        </w:rPr>
        <w:t>, v němž</w:t>
      </w:r>
      <w:r w:rsidR="00CF04F9" w:rsidRPr="00897682">
        <w:rPr>
          <w:szCs w:val="24"/>
        </w:rPr>
        <w:t xml:space="preserve"> dospěl </w:t>
      </w:r>
      <w:r w:rsidR="00E63610" w:rsidRPr="00897682">
        <w:rPr>
          <w:szCs w:val="24"/>
        </w:rPr>
        <w:t>j</w:t>
      </w:r>
      <w:r w:rsidR="00CF04F9" w:rsidRPr="00897682">
        <w:rPr>
          <w:szCs w:val="24"/>
        </w:rPr>
        <w:t>ednomyslně k závěru o porušení čl</w:t>
      </w:r>
      <w:r w:rsidR="00E63610" w:rsidRPr="00897682">
        <w:rPr>
          <w:szCs w:val="24"/>
        </w:rPr>
        <w:t>ánku</w:t>
      </w:r>
      <w:r w:rsidR="00CF04F9" w:rsidRPr="00897682">
        <w:rPr>
          <w:szCs w:val="24"/>
        </w:rPr>
        <w:t xml:space="preserve"> 6 odst. 1 a článků 8 a 13 Úmluvy</w:t>
      </w:r>
      <w:r w:rsidR="001C1D06" w:rsidRPr="00897682">
        <w:rPr>
          <w:szCs w:val="24"/>
        </w:rPr>
        <w:t xml:space="preserve"> o ochraně lidských práv a svobod (dále jen „Úmluva“)</w:t>
      </w:r>
      <w:r w:rsidR="00CF04F9" w:rsidRPr="00897682">
        <w:rPr>
          <w:szCs w:val="24"/>
        </w:rPr>
        <w:t xml:space="preserve">. Konkrétně shledal porušení práva stěžovatelů – advokátů na respektování soukromého života a korespondence kvůli založení jejich privilegované komunikace s klientem do spisu ze strany trestního soudu, a v této souvislosti i porušení práva na účinný prostředek nápravy. </w:t>
      </w:r>
    </w:p>
    <w:p w14:paraId="10C0A0DB" w14:textId="3D4F1CA1" w:rsidR="00E63610" w:rsidRPr="00897682" w:rsidRDefault="00E63610" w:rsidP="00E63610">
      <w:pPr>
        <w:pStyle w:val="Textodstavce"/>
        <w:ind w:firstLine="0"/>
        <w:rPr>
          <w:rFonts w:ascii="Times New Roman" w:hAnsi="Times New Roman"/>
          <w:sz w:val="24"/>
          <w:szCs w:val="24"/>
        </w:rPr>
      </w:pPr>
      <w:r w:rsidRPr="00897682">
        <w:rPr>
          <w:rFonts w:ascii="Times New Roman" w:hAnsi="Times New Roman"/>
          <w:sz w:val="24"/>
          <w:szCs w:val="24"/>
        </w:rPr>
        <w:t>Z judikatury E</w:t>
      </w:r>
      <w:r w:rsidR="004102E8" w:rsidRPr="00897682">
        <w:rPr>
          <w:rFonts w:ascii="Times New Roman" w:hAnsi="Times New Roman"/>
          <w:sz w:val="24"/>
          <w:szCs w:val="24"/>
        </w:rPr>
        <w:t>SLP</w:t>
      </w:r>
      <w:r w:rsidRPr="00897682">
        <w:rPr>
          <w:rFonts w:ascii="Times New Roman" w:hAnsi="Times New Roman"/>
          <w:sz w:val="24"/>
          <w:szCs w:val="24"/>
        </w:rPr>
        <w:t xml:space="preserve"> vyplývá, že dotčená osoba musí mít k dispozici prostředek nápravy, jehož prostřednictvím by se mohla svým jménem domáhat účinné kontroly v souvislosti s údajným porušením práv na respektování soukromého života a korespondence, potažmo domoci se následného odstranění či zničení privilegované komunikace.</w:t>
      </w:r>
      <w:r w:rsidR="00C839CB" w:rsidRPr="00897682">
        <w:rPr>
          <w:rFonts w:ascii="Times New Roman" w:hAnsi="Times New Roman"/>
          <w:sz w:val="24"/>
          <w:szCs w:val="24"/>
        </w:rPr>
        <w:t xml:space="preserve"> </w:t>
      </w:r>
      <w:r w:rsidRPr="00897682">
        <w:rPr>
          <w:rFonts w:ascii="Times New Roman" w:hAnsi="Times New Roman"/>
          <w:sz w:val="24"/>
          <w:szCs w:val="24"/>
        </w:rPr>
        <w:t>Podle E</w:t>
      </w:r>
      <w:r w:rsidR="004102E8" w:rsidRPr="00897682">
        <w:rPr>
          <w:rFonts w:ascii="Times New Roman" w:hAnsi="Times New Roman"/>
          <w:sz w:val="24"/>
          <w:szCs w:val="24"/>
        </w:rPr>
        <w:t xml:space="preserve">SLP </w:t>
      </w:r>
      <w:r w:rsidRPr="00897682">
        <w:rPr>
          <w:rFonts w:ascii="Times New Roman" w:hAnsi="Times New Roman"/>
          <w:sz w:val="24"/>
          <w:szCs w:val="24"/>
        </w:rPr>
        <w:t xml:space="preserve">stěžovatelé takový prostředek nápravy v případě založení privilegované komunikace do soudního spisu k dispozici neměli. </w:t>
      </w:r>
      <w:r w:rsidR="004102E8" w:rsidRPr="00897682">
        <w:rPr>
          <w:rFonts w:ascii="Times New Roman" w:hAnsi="Times New Roman"/>
          <w:sz w:val="24"/>
          <w:szCs w:val="24"/>
        </w:rPr>
        <w:t>Přezkoumávaná p</w:t>
      </w:r>
      <w:r w:rsidRPr="00897682">
        <w:rPr>
          <w:rFonts w:ascii="Times New Roman" w:hAnsi="Times New Roman"/>
          <w:sz w:val="24"/>
          <w:szCs w:val="24"/>
        </w:rPr>
        <w:t>rávní úprava výslovně nestanov</w:t>
      </w:r>
      <w:r w:rsidR="00EF236F" w:rsidRPr="00897682">
        <w:rPr>
          <w:rFonts w:ascii="Times New Roman" w:hAnsi="Times New Roman"/>
          <w:sz w:val="24"/>
          <w:szCs w:val="24"/>
        </w:rPr>
        <w:t xml:space="preserve">í </w:t>
      </w:r>
      <w:r w:rsidRPr="00897682">
        <w:rPr>
          <w:rFonts w:ascii="Times New Roman" w:hAnsi="Times New Roman"/>
          <w:sz w:val="24"/>
          <w:szCs w:val="24"/>
        </w:rPr>
        <w:t xml:space="preserve">postup pro odstranění, a případně zničení, privilegované komunikace založené ve spise. </w:t>
      </w:r>
    </w:p>
    <w:p w14:paraId="7C2C0EBD" w14:textId="2EF24111" w:rsidR="00CF04F9" w:rsidRPr="00897682" w:rsidRDefault="00CF04F9" w:rsidP="00E63610">
      <w:pPr>
        <w:spacing w:line="240" w:lineRule="auto"/>
        <w:outlineLvl w:val="1"/>
        <w:rPr>
          <w:rFonts w:cs="Times New Roman"/>
          <w:szCs w:val="24"/>
        </w:rPr>
      </w:pPr>
      <w:r w:rsidRPr="00897682">
        <w:rPr>
          <w:rFonts w:cs="Times New Roman"/>
          <w:szCs w:val="24"/>
        </w:rPr>
        <w:t>V mezidobí došlo k významné novelizaci trestn</w:t>
      </w:r>
      <w:r w:rsidR="004F2E5E" w:rsidRPr="00897682">
        <w:rPr>
          <w:rFonts w:cs="Times New Roman"/>
          <w:szCs w:val="24"/>
        </w:rPr>
        <w:t>ího řádu</w:t>
      </w:r>
      <w:r w:rsidRPr="00897682">
        <w:rPr>
          <w:rFonts w:cs="Times New Roman"/>
          <w:szCs w:val="24"/>
        </w:rPr>
        <w:t xml:space="preserve"> a zákona o advokacii. Od 1. ledna 2026 trestní řád obsahuje ustanovení § 35a</w:t>
      </w:r>
      <w:r w:rsidR="00C7452F" w:rsidRPr="00897682">
        <w:rPr>
          <w:rFonts w:cs="Times New Roman"/>
          <w:szCs w:val="24"/>
        </w:rPr>
        <w:t xml:space="preserve"> </w:t>
      </w:r>
      <w:r w:rsidR="00DC263D" w:rsidRPr="00897682">
        <w:rPr>
          <w:rFonts w:cs="Times New Roman"/>
          <w:szCs w:val="24"/>
        </w:rPr>
        <w:t>o</w:t>
      </w:r>
      <w:r w:rsidRPr="00897682">
        <w:rPr>
          <w:rFonts w:cs="Times New Roman"/>
          <w:szCs w:val="24"/>
        </w:rPr>
        <w:t> ochraně důvěrnosti komunikace obviněného s obhájcem, resp. podezřelého s advokátem, včetně výjimky z této ochrany, jestliže obsahem komunikace není poskytování právních služeb.</w:t>
      </w:r>
      <w:r w:rsidRPr="00897682">
        <w:rPr>
          <w:rStyle w:val="Znakapoznpodarou"/>
          <w:rFonts w:cs="Times New Roman"/>
          <w:szCs w:val="24"/>
        </w:rPr>
        <w:footnoteReference w:id="1"/>
      </w:r>
      <w:r w:rsidRPr="00897682">
        <w:rPr>
          <w:rFonts w:cs="Times New Roman"/>
          <w:szCs w:val="24"/>
        </w:rPr>
        <w:t xml:space="preserve"> Od 1. dubna 2025 je důvěrnost informací tvořících obsah privilegované komunikace </w:t>
      </w:r>
      <w:r w:rsidR="00C839CB" w:rsidRPr="00897682">
        <w:rPr>
          <w:rFonts w:cs="Times New Roman"/>
          <w:szCs w:val="24"/>
        </w:rPr>
        <w:t>upravena</w:t>
      </w:r>
      <w:r w:rsidRPr="00897682">
        <w:rPr>
          <w:rFonts w:cs="Times New Roman"/>
          <w:szCs w:val="24"/>
        </w:rPr>
        <w:t xml:space="preserve"> také v § 3a zákona o advokacii.</w:t>
      </w:r>
      <w:r w:rsidRPr="00897682">
        <w:rPr>
          <w:rStyle w:val="Znakapoznpodarou"/>
          <w:rFonts w:cs="Times New Roman"/>
          <w:szCs w:val="24"/>
        </w:rPr>
        <w:footnoteReference w:id="2"/>
      </w:r>
      <w:r w:rsidRPr="00897682">
        <w:rPr>
          <w:rFonts w:cs="Times New Roman"/>
          <w:szCs w:val="24"/>
        </w:rPr>
        <w:t xml:space="preserve"> Současně podle § 35a odst. 3 tr</w:t>
      </w:r>
      <w:r w:rsidR="00C839CB" w:rsidRPr="00897682">
        <w:rPr>
          <w:rFonts w:cs="Times New Roman"/>
          <w:szCs w:val="24"/>
        </w:rPr>
        <w:t>. ř.</w:t>
      </w:r>
      <w:r w:rsidRPr="00897682">
        <w:rPr>
          <w:rFonts w:cs="Times New Roman"/>
          <w:szCs w:val="24"/>
        </w:rPr>
        <w:t xml:space="preserve"> platí, že informace získaná porušením důvěrnosti komunikace nesmí být v trestním řízení použita, s výjimkou případu, kdy se použití takové informace v trestním řízení dovolává sám podezřelý nebo obviněný. Zároveň § 3a odst. 3 zákona o advokacii stanoví, že každý, kdo získá důvěrné informace, je nesmí zneužít nebo prozradit jiné osobě bez zákonného důvodu anebo bez souhlasu toho, komu byly právní služby poskytnuty.</w:t>
      </w:r>
    </w:p>
    <w:p w14:paraId="4D85B4AF" w14:textId="77777777" w:rsidR="0086013E" w:rsidRPr="00897682" w:rsidRDefault="00C839CB" w:rsidP="000501AC">
      <w:pPr>
        <w:spacing w:line="240" w:lineRule="auto"/>
        <w:outlineLvl w:val="1"/>
        <w:rPr>
          <w:rFonts w:cs="Times New Roman"/>
          <w:szCs w:val="24"/>
        </w:rPr>
      </w:pPr>
      <w:r w:rsidRPr="00897682">
        <w:rPr>
          <w:rFonts w:cs="Times New Roman"/>
          <w:szCs w:val="24"/>
        </w:rPr>
        <w:t xml:space="preserve">Na § 35a tr. ř. nicméně nenavazuje úprava, která by stanovila konkrétní postup, </w:t>
      </w:r>
      <w:r w:rsidR="00CF04F9" w:rsidRPr="00897682">
        <w:rPr>
          <w:rFonts w:cs="Times New Roman"/>
          <w:szCs w:val="24"/>
        </w:rPr>
        <w:t>podle něhož dotčená osoba může v</w:t>
      </w:r>
      <w:r w:rsidRPr="00897682">
        <w:rPr>
          <w:rFonts w:cs="Times New Roman"/>
          <w:szCs w:val="24"/>
        </w:rPr>
        <w:t xml:space="preserve"> trestním </w:t>
      </w:r>
      <w:r w:rsidR="00CF04F9" w:rsidRPr="00897682">
        <w:rPr>
          <w:rFonts w:cs="Times New Roman"/>
          <w:szCs w:val="24"/>
        </w:rPr>
        <w:t xml:space="preserve">řízení podat návrh na odstranění </w:t>
      </w:r>
      <w:r w:rsidR="00E727AA" w:rsidRPr="00897682">
        <w:rPr>
          <w:rFonts w:cs="Times New Roman"/>
          <w:szCs w:val="24"/>
        </w:rPr>
        <w:t>důvěrné</w:t>
      </w:r>
      <w:r w:rsidR="00CF04F9" w:rsidRPr="00897682">
        <w:rPr>
          <w:rFonts w:cs="Times New Roman"/>
          <w:szCs w:val="24"/>
        </w:rPr>
        <w:t xml:space="preserve"> komunikace ze spisu, </w:t>
      </w:r>
      <w:r w:rsidRPr="00897682">
        <w:rPr>
          <w:rFonts w:cs="Times New Roman"/>
          <w:szCs w:val="24"/>
        </w:rPr>
        <w:t>jakož i účinný prostředek nápravy, pokud takovému návrhu orgán činný v trestním řízení nevyhoví. Kromě toho není konkrétněji upraven postup, jak má být s </w:t>
      </w:r>
      <w:r w:rsidR="006C09B1" w:rsidRPr="00897682">
        <w:rPr>
          <w:rFonts w:cs="Times New Roman"/>
          <w:szCs w:val="24"/>
        </w:rPr>
        <w:t>důvěrnou</w:t>
      </w:r>
      <w:r w:rsidRPr="00897682">
        <w:rPr>
          <w:rFonts w:cs="Times New Roman"/>
          <w:szCs w:val="24"/>
        </w:rPr>
        <w:t xml:space="preserve"> komunikací naloženo. Stejně tak by i orgán činný v trestním řízení měl být vázán povinností </w:t>
      </w:r>
      <w:r w:rsidR="006930BA" w:rsidRPr="00897682">
        <w:rPr>
          <w:rFonts w:cs="Times New Roman"/>
          <w:szCs w:val="24"/>
        </w:rPr>
        <w:t>důvěrnou</w:t>
      </w:r>
      <w:r w:rsidRPr="00897682">
        <w:rPr>
          <w:rFonts w:cs="Times New Roman"/>
          <w:szCs w:val="24"/>
        </w:rPr>
        <w:t xml:space="preserve"> </w:t>
      </w:r>
      <w:r w:rsidRPr="00897682">
        <w:rPr>
          <w:rFonts w:cs="Times New Roman"/>
          <w:szCs w:val="24"/>
        </w:rPr>
        <w:lastRenderedPageBreak/>
        <w:t>komunikaci z trestního spisu vyjmout i bez návrhu, jakmile na ni sám narazí. V tomto smyslu se tedy navrhuje stávající právní úpravu v trestním řádu doplnit.</w:t>
      </w:r>
    </w:p>
    <w:p w14:paraId="2E4148F8" w14:textId="496854F5" w:rsidR="00C839CB" w:rsidRPr="00897682" w:rsidRDefault="00C839CB" w:rsidP="000501AC">
      <w:pPr>
        <w:spacing w:line="240" w:lineRule="auto"/>
        <w:outlineLvl w:val="1"/>
        <w:rPr>
          <w:rFonts w:cs="Times New Roman"/>
          <w:szCs w:val="24"/>
        </w:rPr>
      </w:pPr>
      <w:r w:rsidRPr="00897682">
        <w:rPr>
          <w:rFonts w:cs="Times New Roman"/>
          <w:szCs w:val="24"/>
        </w:rPr>
        <w:t>V</w:t>
      </w:r>
      <w:r w:rsidR="0086013E" w:rsidRPr="00897682">
        <w:rPr>
          <w:rFonts w:cs="Times New Roman"/>
          <w:szCs w:val="24"/>
        </w:rPr>
        <w:t> </w:t>
      </w:r>
      <w:r w:rsidRPr="00897682">
        <w:rPr>
          <w:rFonts w:cs="Times New Roman"/>
          <w:szCs w:val="24"/>
        </w:rPr>
        <w:t>t</w:t>
      </w:r>
      <w:r w:rsidR="0086013E" w:rsidRPr="00897682">
        <w:rPr>
          <w:rFonts w:cs="Times New Roman"/>
          <w:szCs w:val="24"/>
        </w:rPr>
        <w:t>éto novele</w:t>
      </w:r>
      <w:r w:rsidRPr="00897682">
        <w:rPr>
          <w:rFonts w:cs="Times New Roman"/>
          <w:szCs w:val="24"/>
        </w:rPr>
        <w:t xml:space="preserve"> se provádí pouze nezbytná provazba na § 35a tr. ř., předkladatel si je nicméně vědom širších dopadů judikatury E</w:t>
      </w:r>
      <w:r w:rsidR="00524836" w:rsidRPr="00897682">
        <w:rPr>
          <w:rFonts w:cs="Times New Roman"/>
          <w:szCs w:val="24"/>
        </w:rPr>
        <w:t xml:space="preserve">SLP </w:t>
      </w:r>
      <w:r w:rsidR="004933C3" w:rsidRPr="00897682">
        <w:rPr>
          <w:rFonts w:cs="Times New Roman"/>
          <w:szCs w:val="24"/>
        </w:rPr>
        <w:t>na právní řád</w:t>
      </w:r>
      <w:r w:rsidRPr="00897682">
        <w:rPr>
          <w:rFonts w:cs="Times New Roman"/>
          <w:szCs w:val="24"/>
        </w:rPr>
        <w:t xml:space="preserve">, proto předpokládá, že následně bude legislativně (v rámci předpisů ve své gesci) řešit další s tím spojené otázky, zejména pokud jde o </w:t>
      </w:r>
      <w:r w:rsidR="0073250F" w:rsidRPr="00897682">
        <w:rPr>
          <w:rFonts w:cs="Times New Roman"/>
          <w:szCs w:val="24"/>
        </w:rPr>
        <w:t>vymezení</w:t>
      </w:r>
      <w:r w:rsidRPr="00897682">
        <w:rPr>
          <w:rFonts w:cs="Times New Roman"/>
          <w:szCs w:val="24"/>
        </w:rPr>
        <w:t xml:space="preserve"> okruhu subjektů, jejichž komunikace je chráněna,</w:t>
      </w:r>
      <w:r w:rsidR="002347F6" w:rsidRPr="00897682">
        <w:rPr>
          <w:rFonts w:cs="Times New Roman"/>
          <w:szCs w:val="24"/>
        </w:rPr>
        <w:t xml:space="preserve"> a</w:t>
      </w:r>
      <w:r w:rsidRPr="00897682">
        <w:rPr>
          <w:rFonts w:cs="Times New Roman"/>
          <w:szCs w:val="24"/>
        </w:rPr>
        <w:t xml:space="preserve"> úpravu postupů při zajištění chráněné komunikace a při třídění zajištěných listin a elektronických dat. </w:t>
      </w:r>
    </w:p>
    <w:p w14:paraId="374B1155" w14:textId="78F4C64E" w:rsidR="009E4F22" w:rsidRPr="00897682" w:rsidRDefault="00A82786" w:rsidP="00A82786">
      <w:pPr>
        <w:pStyle w:val="Odstavecseseznamem"/>
        <w:numPr>
          <w:ilvl w:val="0"/>
          <w:numId w:val="11"/>
        </w:numPr>
        <w:spacing w:line="240" w:lineRule="auto"/>
        <w:outlineLvl w:val="1"/>
        <w:rPr>
          <w:rFonts w:eastAsia="Times New Roman" w:cs="Times New Roman"/>
          <w:bCs w:val="0"/>
          <w:szCs w:val="24"/>
          <w:u w:val="single"/>
        </w:rPr>
      </w:pPr>
      <w:r w:rsidRPr="00897682">
        <w:rPr>
          <w:rFonts w:eastAsia="Times New Roman" w:cs="Times New Roman"/>
          <w:bCs w:val="0"/>
          <w:szCs w:val="24"/>
          <w:u w:val="single"/>
        </w:rPr>
        <w:t>Vyšetřování trestných činů souvisejících se zakázkami a hospodařením s majetkem státu v oblasti obrany</w:t>
      </w:r>
    </w:p>
    <w:p w14:paraId="72AA7A53" w14:textId="7E1896B0" w:rsidR="008A2B4C" w:rsidRPr="00897682" w:rsidRDefault="008A2B4C" w:rsidP="008A2B4C">
      <w:pPr>
        <w:spacing w:line="240" w:lineRule="auto"/>
      </w:pPr>
      <w:r w:rsidRPr="00897682">
        <w:t xml:space="preserve">Podle stávající právní úpravy jsou v § 12 odst. 2 tr. ř. vymezeny policejní orgány, které </w:t>
      </w:r>
      <w:r w:rsidRPr="00897682">
        <w:rPr>
          <w:rFonts w:eastAsia="Calibri" w:cs="Times New Roman"/>
          <w:szCs w:val="24"/>
        </w:rPr>
        <w:t xml:space="preserve">mají pravomoci, jež trestní řád svěřuje v trestním řízení policejnímu orgánu, pokud trestní řád výslovně neuvádí, že některou pravomoc má jen některý z nich. Tak tomu je v případě vyšetřování (tj. fáze trestního řízení po zahájení trestního stíhání), neboť § 161 tr. ř. užším způsobem vymezuje policejní orgány, které jsou příslušné </w:t>
      </w:r>
      <w:r w:rsidR="00F015D4" w:rsidRPr="00897682">
        <w:rPr>
          <w:rFonts w:eastAsia="Calibri" w:cs="Times New Roman"/>
          <w:szCs w:val="24"/>
        </w:rPr>
        <w:t xml:space="preserve">konat </w:t>
      </w:r>
      <w:r w:rsidRPr="00897682">
        <w:rPr>
          <w:rFonts w:eastAsia="Calibri" w:cs="Times New Roman"/>
          <w:szCs w:val="24"/>
        </w:rPr>
        <w:t xml:space="preserve">v této fázi trestní řízení. </w:t>
      </w:r>
    </w:p>
    <w:p w14:paraId="1123C73A" w14:textId="514A8D1C" w:rsidR="008A2B4C" w:rsidRPr="00897682" w:rsidRDefault="008A2B4C" w:rsidP="008A2B4C">
      <w:pPr>
        <w:spacing w:line="240" w:lineRule="auto"/>
        <w:rPr>
          <w:rFonts w:eastAsia="Calibri" w:cs="Times New Roman"/>
          <w:szCs w:val="24"/>
        </w:rPr>
      </w:pPr>
      <w:r w:rsidRPr="00897682">
        <w:rPr>
          <w:rFonts w:eastAsia="Calibri" w:cs="Times New Roman"/>
          <w:szCs w:val="24"/>
        </w:rPr>
        <w:t>Pouze útvary Policie Č</w:t>
      </w:r>
      <w:r w:rsidR="009A49D0" w:rsidRPr="00897682">
        <w:rPr>
          <w:rFonts w:eastAsia="Calibri" w:cs="Times New Roman"/>
          <w:szCs w:val="24"/>
        </w:rPr>
        <w:t>eské republiky</w:t>
      </w:r>
      <w:r w:rsidRPr="00897682">
        <w:rPr>
          <w:rFonts w:eastAsia="Calibri" w:cs="Times New Roman"/>
          <w:szCs w:val="24"/>
        </w:rPr>
        <w:t xml:space="preserve"> mají jako policejní orgány neomezenou věcnou působnost a mohou být činní ve všech věcech. Útvar Policie Č</w:t>
      </w:r>
      <w:r w:rsidR="008C7604" w:rsidRPr="00897682">
        <w:rPr>
          <w:rFonts w:eastAsia="Calibri" w:cs="Times New Roman"/>
          <w:szCs w:val="24"/>
        </w:rPr>
        <w:t>eské republiky</w:t>
      </w:r>
      <w:r w:rsidRPr="00897682">
        <w:rPr>
          <w:rFonts w:eastAsia="Calibri" w:cs="Times New Roman"/>
          <w:szCs w:val="24"/>
        </w:rPr>
        <w:t xml:space="preserve"> nemůže provádět úkony v trestním řízení namísto jiných orgánů pouze tehdy, pokud </w:t>
      </w:r>
    </w:p>
    <w:p w14:paraId="249EC654" w14:textId="77777777" w:rsidR="008A2B4C" w:rsidRPr="00897682" w:rsidRDefault="008A2B4C" w:rsidP="008A2B4C">
      <w:pPr>
        <w:pStyle w:val="Odstavecseseznamem"/>
        <w:numPr>
          <w:ilvl w:val="0"/>
          <w:numId w:val="15"/>
        </w:numPr>
        <w:spacing w:line="240" w:lineRule="auto"/>
        <w:rPr>
          <w:rFonts w:eastAsia="Calibri" w:cs="Times New Roman"/>
          <w:szCs w:val="24"/>
        </w:rPr>
      </w:pPr>
      <w:r w:rsidRPr="00897682">
        <w:rPr>
          <w:rFonts w:eastAsia="Calibri" w:cs="Times New Roman"/>
          <w:szCs w:val="24"/>
        </w:rPr>
        <w:t xml:space="preserve">státní zástupce věc přikázal podle § 157 odst. 2 písm. b) tr. ř. jinému policejnímu orgánu, </w:t>
      </w:r>
    </w:p>
    <w:p w14:paraId="7A2B3837" w14:textId="5FE88043" w:rsidR="008A2B4C" w:rsidRPr="00897682" w:rsidRDefault="008A2B4C" w:rsidP="008A2B4C">
      <w:pPr>
        <w:pStyle w:val="Odstavecseseznamem"/>
        <w:numPr>
          <w:ilvl w:val="0"/>
          <w:numId w:val="15"/>
        </w:numPr>
        <w:spacing w:line="240" w:lineRule="auto"/>
        <w:rPr>
          <w:rFonts w:eastAsia="Calibri" w:cs="Times New Roman"/>
          <w:szCs w:val="24"/>
        </w:rPr>
      </w:pPr>
      <w:r w:rsidRPr="00897682">
        <w:rPr>
          <w:rFonts w:eastAsia="Calibri" w:cs="Times New Roman"/>
          <w:szCs w:val="24"/>
        </w:rPr>
        <w:t>státní zástupce si vyhradil provedení určitého úkonu či celého vyšetřování podle § 174 odst. 2 písm. b) tr.</w:t>
      </w:r>
      <w:r w:rsidR="00AF4D58" w:rsidRPr="00897682">
        <w:rPr>
          <w:rFonts w:eastAsia="Calibri" w:cs="Times New Roman"/>
          <w:szCs w:val="24"/>
        </w:rPr>
        <w:t xml:space="preserve"> </w:t>
      </w:r>
      <w:r w:rsidRPr="00897682">
        <w:rPr>
          <w:rFonts w:eastAsia="Calibri" w:cs="Times New Roman"/>
          <w:szCs w:val="24"/>
        </w:rPr>
        <w:t xml:space="preserve">ř., nebo </w:t>
      </w:r>
    </w:p>
    <w:p w14:paraId="67187C8E" w14:textId="2D2FEBA1" w:rsidR="008A2B4C" w:rsidRPr="00897682" w:rsidRDefault="008A2B4C" w:rsidP="008A2B4C">
      <w:pPr>
        <w:pStyle w:val="Odstavecseseznamem"/>
        <w:numPr>
          <w:ilvl w:val="0"/>
          <w:numId w:val="15"/>
        </w:numPr>
        <w:spacing w:line="240" w:lineRule="auto"/>
        <w:rPr>
          <w:rFonts w:eastAsia="Calibri" w:cs="Times New Roman"/>
          <w:szCs w:val="24"/>
        </w:rPr>
      </w:pPr>
      <w:r w:rsidRPr="00897682">
        <w:rPr>
          <w:rFonts w:eastAsia="Calibri" w:cs="Times New Roman"/>
          <w:szCs w:val="24"/>
        </w:rPr>
        <w:t xml:space="preserve">je dána výlučná příslušnost Generální inspekce bezpečnostních sborů (§ 158 odst. 2 </w:t>
      </w:r>
      <w:r w:rsidR="00A37C09" w:rsidRPr="00897682">
        <w:rPr>
          <w:rFonts w:eastAsia="Calibri" w:cs="Times New Roman"/>
          <w:szCs w:val="24"/>
        </w:rPr>
        <w:br/>
      </w:r>
      <w:r w:rsidRPr="00897682">
        <w:rPr>
          <w:rFonts w:eastAsia="Calibri" w:cs="Times New Roman"/>
          <w:szCs w:val="24"/>
        </w:rPr>
        <w:t xml:space="preserve">tr. ř.). </w:t>
      </w:r>
    </w:p>
    <w:p w14:paraId="316F470D" w14:textId="77777777" w:rsidR="008A2B4C" w:rsidRPr="00897682" w:rsidRDefault="008A2B4C" w:rsidP="008A2B4C">
      <w:pPr>
        <w:spacing w:line="240" w:lineRule="auto"/>
        <w:rPr>
          <w:rFonts w:eastAsia="Calibri" w:cs="Times New Roman"/>
          <w:szCs w:val="24"/>
        </w:rPr>
      </w:pPr>
      <w:r w:rsidRPr="00897682">
        <w:rPr>
          <w:rFonts w:eastAsia="Calibri" w:cs="Times New Roman"/>
          <w:szCs w:val="24"/>
        </w:rPr>
        <w:t xml:space="preserve">Působnost ostatních policejních orgánů je vždy určitým způsobem omezena jen na určitou trestnou činnost, která je vymezena typicky okruhem pachatelů, typem trestné činnosti, případně kombinací více kritérií. </w:t>
      </w:r>
    </w:p>
    <w:p w14:paraId="1505940B" w14:textId="47FFF8F1" w:rsidR="008A2B4C" w:rsidRPr="00897682" w:rsidRDefault="008A2B4C" w:rsidP="008A2B4C">
      <w:pPr>
        <w:spacing w:line="240" w:lineRule="auto"/>
        <w:rPr>
          <w:rFonts w:eastAsia="Calibri" w:cs="Times New Roman"/>
          <w:szCs w:val="24"/>
        </w:rPr>
      </w:pPr>
      <w:r w:rsidRPr="00897682">
        <w:rPr>
          <w:rFonts w:eastAsia="Calibri" w:cs="Times New Roman"/>
          <w:szCs w:val="24"/>
        </w:rPr>
        <w:t>Pověřené orgány Vojenské policie</w:t>
      </w:r>
      <w:r w:rsidRPr="00897682">
        <w:rPr>
          <w:rFonts w:eastAsia="Calibri" w:cs="Times New Roman"/>
          <w:b/>
          <w:bCs w:val="0"/>
          <w:szCs w:val="24"/>
        </w:rPr>
        <w:t xml:space="preserve"> </w:t>
      </w:r>
      <w:r w:rsidRPr="00897682">
        <w:rPr>
          <w:rFonts w:eastAsia="Calibri" w:cs="Times New Roman"/>
          <w:szCs w:val="24"/>
        </w:rPr>
        <w:t>jsou oprávněny činit úkony trestního řízení jak ve fázi před zahájením trestního stíhání, tak i po jeho zahájení, neboť jde o orgán oprávněný vést vyšetřování podle § 161 odst. 7 tr. ř. Věcná působnost Vojenské policie je v obou těchto fázích omezena na trestné činy spáchané příslušníky ozbrojených sil, trestné činy spáchané proti příslušníkům ozbrojených sil ve vojenských objektech a trestné činy spáchané proti vojenským objektům, vojenskému materiálu nebo ostatnímu majetku státu, s nímž j</w:t>
      </w:r>
      <w:r w:rsidR="002570B6" w:rsidRPr="00897682">
        <w:rPr>
          <w:rFonts w:eastAsia="Calibri" w:cs="Times New Roman"/>
          <w:szCs w:val="24"/>
        </w:rPr>
        <w:t>e</w:t>
      </w:r>
      <w:r w:rsidRPr="00897682">
        <w:rPr>
          <w:rFonts w:eastAsia="Calibri" w:cs="Times New Roman"/>
          <w:szCs w:val="24"/>
        </w:rPr>
        <w:t xml:space="preserve"> příslušné hospodařit Ministerstvo obrany nebo jím zřízené organizační složky státu nebo s nímž jsou příslušné hospodařit anebo s nímž mají právo hospodařit státní organizace zřízené nebo založené Ministerstvem obrany.</w:t>
      </w:r>
    </w:p>
    <w:p w14:paraId="120D2711" w14:textId="54C2DC15" w:rsidR="008A2B4C" w:rsidRPr="00897682" w:rsidRDefault="008A2B4C" w:rsidP="008A2B4C">
      <w:pPr>
        <w:spacing w:line="240" w:lineRule="auto"/>
        <w:rPr>
          <w:rFonts w:eastAsia="Calibri" w:cs="Times New Roman"/>
          <w:szCs w:val="24"/>
        </w:rPr>
      </w:pPr>
      <w:r w:rsidRPr="00897682">
        <w:rPr>
          <w:rFonts w:eastAsia="Calibri" w:cs="Times New Roman"/>
          <w:szCs w:val="24"/>
        </w:rPr>
        <w:t>Vzhledem k tomu, že věcná působnost Policie Č</w:t>
      </w:r>
      <w:r w:rsidR="00253C4B" w:rsidRPr="00897682">
        <w:rPr>
          <w:rFonts w:eastAsia="Calibri" w:cs="Times New Roman"/>
          <w:szCs w:val="24"/>
        </w:rPr>
        <w:t>eské republiky</w:t>
      </w:r>
      <w:r w:rsidRPr="00897682">
        <w:rPr>
          <w:rFonts w:eastAsia="Calibri" w:cs="Times New Roman"/>
          <w:szCs w:val="24"/>
        </w:rPr>
        <w:t xml:space="preserve"> není omezena, může v praxi dojít k tomu, že se působnost Policie Č</w:t>
      </w:r>
      <w:r w:rsidR="00253C4B" w:rsidRPr="00897682">
        <w:rPr>
          <w:rFonts w:eastAsia="Calibri" w:cs="Times New Roman"/>
          <w:szCs w:val="24"/>
        </w:rPr>
        <w:t>eské republiky</w:t>
      </w:r>
      <w:r w:rsidRPr="00897682">
        <w:rPr>
          <w:rFonts w:eastAsia="Calibri" w:cs="Times New Roman"/>
          <w:szCs w:val="24"/>
        </w:rPr>
        <w:t xml:space="preserve"> a jiného policejního orgánu překrývá. Příslušný útvar Policie Č</w:t>
      </w:r>
      <w:r w:rsidR="00253C4B" w:rsidRPr="00897682">
        <w:rPr>
          <w:rFonts w:eastAsia="Calibri" w:cs="Times New Roman"/>
          <w:szCs w:val="24"/>
        </w:rPr>
        <w:t>eské republiky</w:t>
      </w:r>
      <w:r w:rsidRPr="00897682">
        <w:rPr>
          <w:rFonts w:eastAsia="Calibri" w:cs="Times New Roman"/>
          <w:szCs w:val="24"/>
        </w:rPr>
        <w:t xml:space="preserve"> může </w:t>
      </w:r>
      <w:r w:rsidR="00A63659" w:rsidRPr="00897682">
        <w:rPr>
          <w:rFonts w:eastAsia="Calibri" w:cs="Times New Roman"/>
          <w:szCs w:val="24"/>
        </w:rPr>
        <w:t xml:space="preserve">v rámci své činnosti </w:t>
      </w:r>
      <w:r w:rsidRPr="00897682">
        <w:rPr>
          <w:rFonts w:eastAsia="Calibri" w:cs="Times New Roman"/>
          <w:szCs w:val="24"/>
        </w:rPr>
        <w:t xml:space="preserve">zjistit, že se podezřelý dopustil trestné činnosti, která spadá do věcné příslušnosti jiného policejního orgánu. </w:t>
      </w:r>
      <w:r w:rsidR="004F5266" w:rsidRPr="00897682">
        <w:rPr>
          <w:rFonts w:eastAsia="Calibri" w:cs="Times New Roman"/>
          <w:szCs w:val="24"/>
        </w:rPr>
        <w:br/>
      </w:r>
      <w:r w:rsidRPr="00897682">
        <w:rPr>
          <w:rFonts w:eastAsia="Calibri" w:cs="Times New Roman"/>
          <w:szCs w:val="24"/>
        </w:rPr>
        <w:t xml:space="preserve">V takovém případě může buď vyrozumět příslušný policejní orgán, který zahájí úkony trestního řízení, nebo může ve věci zahájit úkony trestního řízení sám. V případě kompetenčních sporů je na státním zástupci, aby posoudil, který policejní orgán má být nadále příslušný. </w:t>
      </w:r>
    </w:p>
    <w:p w14:paraId="1700C872" w14:textId="6716CA5D" w:rsidR="004F5266" w:rsidRPr="00897682" w:rsidRDefault="004F5266" w:rsidP="004F5266">
      <w:pPr>
        <w:spacing w:line="240" w:lineRule="auto"/>
        <w:rPr>
          <w:rFonts w:eastAsia="Times New Roman" w:cs="Times New Roman"/>
          <w:color w:val="000000" w:themeColor="text1"/>
          <w:szCs w:val="24"/>
        </w:rPr>
      </w:pPr>
      <w:r w:rsidRPr="00897682">
        <w:rPr>
          <w:rFonts w:eastAsia="Calibri" w:cs="Times New Roman"/>
          <w:szCs w:val="24"/>
        </w:rPr>
        <w:t xml:space="preserve">Umožnění </w:t>
      </w:r>
      <w:r w:rsidR="00AC7175" w:rsidRPr="00897682">
        <w:rPr>
          <w:rFonts w:eastAsia="Calibri" w:cs="Times New Roman"/>
          <w:szCs w:val="24"/>
        </w:rPr>
        <w:t xml:space="preserve">sdílené příslušnosti u trestných činů, k jejichž prověřování a vyšetřování je příslušná Vojenská policie, </w:t>
      </w:r>
      <w:r w:rsidRPr="00897682">
        <w:rPr>
          <w:rFonts w:eastAsia="Calibri" w:cs="Times New Roman"/>
          <w:szCs w:val="24"/>
        </w:rPr>
        <w:t xml:space="preserve">se </w:t>
      </w:r>
      <w:r w:rsidR="00AC7175" w:rsidRPr="00897682">
        <w:rPr>
          <w:rFonts w:eastAsia="Calibri" w:cs="Times New Roman"/>
          <w:szCs w:val="24"/>
        </w:rPr>
        <w:t xml:space="preserve">jeví být </w:t>
      </w:r>
      <w:r w:rsidRPr="00897682">
        <w:rPr>
          <w:rFonts w:eastAsia="Calibri" w:cs="Times New Roman"/>
          <w:szCs w:val="24"/>
        </w:rPr>
        <w:t xml:space="preserve">žádoucí v případě prověřování, </w:t>
      </w:r>
      <w:r w:rsidRPr="00897682">
        <w:rPr>
          <w:rFonts w:eastAsia="Times New Roman" w:cs="Times New Roman"/>
          <w:color w:val="000000" w:themeColor="text1"/>
          <w:szCs w:val="24"/>
        </w:rPr>
        <w:t xml:space="preserve">neboť Vojenská policie má v některých případech lepší možnost proniknout do zájmového prostředí a má lepší znalost vojenského prostředí, kromě toho se na základě praktických zkušeností (např. v oblasti daňové kriminality) jeví jako velmi efektivní umožnit vytvoření společného týmu složeného </w:t>
      </w:r>
      <w:r w:rsidRPr="00897682">
        <w:rPr>
          <w:rFonts w:eastAsia="Times New Roman" w:cs="Times New Roman"/>
          <w:color w:val="000000" w:themeColor="text1"/>
          <w:szCs w:val="24"/>
        </w:rPr>
        <w:lastRenderedPageBreak/>
        <w:t xml:space="preserve">z příslušníků Policie České republiky a Vojenské policie, kteří budou moci při prověřování trestné činnosti úzce spolupracovat a využívat tak plně kvality a možnosti obou útvarů. </w:t>
      </w:r>
    </w:p>
    <w:p w14:paraId="73FB8AFB" w14:textId="33666E5D" w:rsidR="00727B0A" w:rsidRPr="00897682" w:rsidRDefault="004F5266" w:rsidP="00727B0A">
      <w:pPr>
        <w:spacing w:line="240" w:lineRule="auto"/>
      </w:pPr>
      <w:r w:rsidRPr="00897682">
        <w:rPr>
          <w:rFonts w:eastAsia="Times New Roman" w:cs="Times New Roman"/>
          <w:color w:val="000000" w:themeColor="text1"/>
          <w:szCs w:val="24"/>
        </w:rPr>
        <w:t>Pokud však jde o vyšetřování, přestože je příslušníkům Vojenské policie vlastní znalost vojenského prostředí, zvyklostí, struktury a vnitřních předpisů, poznatky z aplikační praxe ukazují, že v určitých případech je nutno upřednostnit znalosti a specializaci útvarů Policie České republiky, neboť po Vojenské polici</w:t>
      </w:r>
      <w:r w:rsidR="00C30393">
        <w:rPr>
          <w:rFonts w:eastAsia="Times New Roman" w:cs="Times New Roman"/>
          <w:color w:val="000000" w:themeColor="text1"/>
          <w:szCs w:val="24"/>
        </w:rPr>
        <w:t>i</w:t>
      </w:r>
      <w:r w:rsidRPr="00897682">
        <w:rPr>
          <w:rFonts w:eastAsia="Times New Roman" w:cs="Times New Roman"/>
          <w:color w:val="000000" w:themeColor="text1"/>
          <w:szCs w:val="24"/>
        </w:rPr>
        <w:t xml:space="preserve"> nelze spravedlivě požadovat, aby </w:t>
      </w:r>
      <w:r w:rsidRPr="00897682">
        <w:t>při nízkém počtu jí řešených trestních věcí mohla dosáhnout takové míry odbornosti, jak</w:t>
      </w:r>
      <w:r w:rsidR="00C30393">
        <w:t>o</w:t>
      </w:r>
      <w:r w:rsidRPr="00897682">
        <w:t xml:space="preserve"> je tomu u útvarů Policie České republiky, které uvedené trestné činy vyšetřují prakticky každodenně. </w:t>
      </w:r>
    </w:p>
    <w:p w14:paraId="4D2E01C8" w14:textId="093DDDCC" w:rsidR="00EE229D" w:rsidRPr="00897682" w:rsidRDefault="00B46875" w:rsidP="00EE229D">
      <w:pPr>
        <w:spacing w:line="240" w:lineRule="auto"/>
        <w:rPr>
          <w:rFonts w:eastAsia="Times New Roman" w:cs="Times New Roman"/>
          <w:color w:val="000000" w:themeColor="text1"/>
          <w:szCs w:val="24"/>
        </w:rPr>
      </w:pPr>
      <w:r w:rsidRPr="00897682">
        <w:t xml:space="preserve">Navrhuje se proto zakotvit </w:t>
      </w:r>
      <w:r w:rsidR="00EE229D" w:rsidRPr="00897682">
        <w:t xml:space="preserve">výlučnou </w:t>
      </w:r>
      <w:r w:rsidR="004F5266" w:rsidRPr="00897682">
        <w:rPr>
          <w:rFonts w:eastAsia="Times New Roman" w:cs="Times New Roman"/>
          <w:color w:val="000000" w:themeColor="text1"/>
          <w:szCs w:val="24"/>
        </w:rPr>
        <w:t xml:space="preserve">příslušnost </w:t>
      </w:r>
      <w:r w:rsidR="00EE229D" w:rsidRPr="00897682">
        <w:rPr>
          <w:rFonts w:eastAsia="Times New Roman" w:cs="Times New Roman"/>
          <w:color w:val="000000" w:themeColor="text1"/>
          <w:szCs w:val="24"/>
        </w:rPr>
        <w:t xml:space="preserve">útvarů Policie České republiky </w:t>
      </w:r>
      <w:r w:rsidR="004F5266" w:rsidRPr="00897682">
        <w:rPr>
          <w:rFonts w:eastAsia="Times New Roman" w:cs="Times New Roman"/>
          <w:color w:val="000000" w:themeColor="text1"/>
          <w:szCs w:val="24"/>
        </w:rPr>
        <w:t>k vyšetřování vybraných korupčních, majetkových a hospodářských trestných činů spojených se zadáváním veřejných zakázek a hospodařením se státním majetkem v resortu obrany. Vyšetřování této specifické trestné činnosti, zpravidla organizovaného charakteru, mnohdy i mimořádně složitých hospodářských kauz, předpokládá nezbytné odborné znalosti a zkušenosti, přičemž tyto kauzy jsou mnohdy rozkrývány postupně</w:t>
      </w:r>
      <w:r w:rsidR="002470F9" w:rsidRPr="00897682">
        <w:rPr>
          <w:rFonts w:eastAsia="Times New Roman" w:cs="Times New Roman"/>
          <w:color w:val="000000" w:themeColor="text1"/>
          <w:szCs w:val="24"/>
        </w:rPr>
        <w:t>,</w:t>
      </w:r>
      <w:r w:rsidR="004F5266" w:rsidRPr="00897682">
        <w:rPr>
          <w:rFonts w:eastAsia="Times New Roman" w:cs="Times New Roman"/>
          <w:color w:val="000000" w:themeColor="text1"/>
          <w:szCs w:val="24"/>
        </w:rPr>
        <w:t xml:space="preserve"> počínaje méně závažnou trestnou činností. </w:t>
      </w:r>
      <w:r w:rsidR="00EE229D" w:rsidRPr="00897682">
        <w:rPr>
          <w:rFonts w:eastAsia="Times New Roman" w:cs="Times New Roman"/>
          <w:color w:val="000000" w:themeColor="text1"/>
          <w:szCs w:val="24"/>
        </w:rPr>
        <w:t xml:space="preserve">Navržená změna navíc přispěje k nezávislejšímu vyšetřování trestných činů, jež jsou typicky spojeny se zadáváním veřejných zakázek a s hospodařením s majetkem státu v resortu obrany. </w:t>
      </w:r>
    </w:p>
    <w:p w14:paraId="5E1EFB5E" w14:textId="2BEB88D5" w:rsidR="004F5266" w:rsidRPr="00897682" w:rsidRDefault="004F5266" w:rsidP="004F5266">
      <w:pPr>
        <w:spacing w:line="240" w:lineRule="auto"/>
        <w:rPr>
          <w:rFonts w:eastAsia="Times New Roman" w:cs="Times New Roman"/>
          <w:color w:val="000000" w:themeColor="text1"/>
          <w:szCs w:val="24"/>
        </w:rPr>
      </w:pPr>
      <w:r w:rsidRPr="00897682">
        <w:rPr>
          <w:rFonts w:eastAsia="Times New Roman" w:cs="Times New Roman"/>
          <w:color w:val="000000" w:themeColor="text1"/>
          <w:szCs w:val="24"/>
        </w:rPr>
        <w:t xml:space="preserve">Dnes útvary Policie České republiky své oprávnění prověřovat uvedené trestné činy v zásadě nevyužívají, neboť k tomu nejsou motivovány. Jiná situace ovšem nastane po přijetí této novely, </w:t>
      </w:r>
      <w:r w:rsidR="00EE229D" w:rsidRPr="00897682">
        <w:rPr>
          <w:rFonts w:eastAsia="Times New Roman" w:cs="Times New Roman"/>
          <w:color w:val="000000" w:themeColor="text1"/>
          <w:szCs w:val="24"/>
        </w:rPr>
        <w:t xml:space="preserve">která jim svěří určitý úsek trestné činnosti dosud vyšetřované Vojenskou policií – pokud budou útvary Policie České republiky výlučně příslušné k jejímu vyšetřování, pak budou mít zájem i na provedení prověřování. </w:t>
      </w:r>
    </w:p>
    <w:p w14:paraId="412C69DD" w14:textId="5FE60B97" w:rsidR="00D93FFB" w:rsidRPr="00897682" w:rsidRDefault="00D93FFB" w:rsidP="00D93FFB">
      <w:pPr>
        <w:spacing w:line="240" w:lineRule="auto"/>
      </w:pPr>
      <w:r w:rsidRPr="00897682">
        <w:rPr>
          <w:rFonts w:eastAsia="Times New Roman" w:cs="Times New Roman"/>
          <w:color w:val="000000" w:themeColor="text1"/>
          <w:szCs w:val="24"/>
        </w:rPr>
        <w:t xml:space="preserve">Pro srovnání lze uvést, že v roce 2025 bylo Vojenskou policií šetřeno 14 trestných činů podvodu, 2 trestné činy porušení povinnosti při správě cizího majetku, 2 trestné činy </w:t>
      </w:r>
      <w:r w:rsidRPr="00897682">
        <w:rPr>
          <w:rFonts w:eastAsia="Times New Roman"/>
        </w:rPr>
        <w:t xml:space="preserve">zjednání výhody při zadání veřejné zakázky, při veřejné soutěži a veřejné dražbě, 3 trestné činy zneužití pravomoci úřední osoby a 1 trestný čin přijetí úplatku, z ostatních relevantních trestných činů nebyl šetřen žádný. V roce 2024 pak bylo Vojenskou policí šetřeno 13 trestných činů podvodu, 1 trestný čin legalizace výnosů z trestné činnosti, 2 trestné činy legalizace výnosů z trestné činnosti z nedbalosti a 4 trestné činy porušení povinností při správě majetku, z ostatních relevantních trestných činů nebyl šetřen žádný. Navržená změna příslušnosti k vyšetřování zákonem vymezených trestných činů spáchaných v souvislosti se zadáváním veřejných zakázek v oblasti obrany nebo hospodaření s majetkem státu v resortu obrany by mohla přispět k efektivnějšímu prověřování a vyšetřování těchto trestných činů. Vojenská policie by pak byla příslušná k vyšetřování trestných činů ve zbylé oblasti působnosti, kde je naopak na místě, aby její příslušnost zůstala zachována s ohledem </w:t>
      </w:r>
      <w:bookmarkStart w:id="0" w:name="_heading=h.wsmaxs3jcs6l" w:colFirst="0" w:colLast="0"/>
      <w:bookmarkEnd w:id="0"/>
      <w:r w:rsidRPr="00897682">
        <w:rPr>
          <w:rFonts w:eastAsia="Times New Roman" w:cs="Times New Roman"/>
          <w:color w:val="000000" w:themeColor="text1"/>
          <w:szCs w:val="24"/>
        </w:rPr>
        <w:t xml:space="preserve">na ochranu specifických vojenských zájmů (zejména trestné činy příslušníků ozbrojených sil, trestné činy namířené proti nim nebo proti vojenským objektům). Lze očekávat, že po zapojení útvarů Policie České republiky počet šetřených trestných činů naroste. </w:t>
      </w:r>
    </w:p>
    <w:p w14:paraId="64E6D446" w14:textId="46D1E6C7" w:rsidR="00264ED7" w:rsidRPr="00897682" w:rsidRDefault="00DD286F" w:rsidP="00A03CBF">
      <w:pPr>
        <w:pStyle w:val="Odstavecseseznamem"/>
        <w:numPr>
          <w:ilvl w:val="0"/>
          <w:numId w:val="11"/>
        </w:numPr>
        <w:spacing w:line="240" w:lineRule="auto"/>
        <w:outlineLvl w:val="1"/>
        <w:rPr>
          <w:rFonts w:eastAsia="Times New Roman"/>
          <w:bCs w:val="0"/>
          <w:u w:val="single"/>
        </w:rPr>
      </w:pPr>
      <w:r w:rsidRPr="00897682">
        <w:rPr>
          <w:rFonts w:eastAsia="Times New Roman"/>
          <w:bCs w:val="0"/>
          <w:u w:val="single"/>
        </w:rPr>
        <w:t>Příkaz k</w:t>
      </w:r>
      <w:r w:rsidR="00277ADA">
        <w:rPr>
          <w:rFonts w:eastAsia="Times New Roman"/>
          <w:bCs w:val="0"/>
          <w:u w:val="single"/>
        </w:rPr>
        <w:t> </w:t>
      </w:r>
      <w:r w:rsidRPr="00897682">
        <w:rPr>
          <w:rFonts w:eastAsia="Times New Roman"/>
          <w:bCs w:val="0"/>
          <w:u w:val="single"/>
        </w:rPr>
        <w:t>pátrání</w:t>
      </w:r>
      <w:r w:rsidR="00277ADA" w:rsidRPr="00270823">
        <w:rPr>
          <w:rFonts w:eastAsia="Times New Roman"/>
          <w:bCs w:val="0"/>
        </w:rPr>
        <w:t xml:space="preserve"> </w:t>
      </w:r>
      <w:r w:rsidR="00277ADA">
        <w:rPr>
          <w:rFonts w:eastAsia="Times New Roman"/>
          <w:bCs w:val="0"/>
          <w:i/>
          <w:iCs/>
        </w:rPr>
        <w:t>(vychází z</w:t>
      </w:r>
      <w:r w:rsidR="008B5D51">
        <w:rPr>
          <w:rFonts w:eastAsia="Times New Roman"/>
          <w:bCs w:val="0"/>
          <w:i/>
          <w:iCs/>
        </w:rPr>
        <w:t> </w:t>
      </w:r>
      <w:r w:rsidR="00277ADA">
        <w:rPr>
          <w:rFonts w:eastAsia="Times New Roman"/>
          <w:bCs w:val="0"/>
          <w:i/>
          <w:iCs/>
        </w:rPr>
        <w:t>podnět</w:t>
      </w:r>
      <w:r w:rsidR="008B5D51">
        <w:rPr>
          <w:rFonts w:eastAsia="Times New Roman"/>
          <w:bCs w:val="0"/>
          <w:i/>
          <w:iCs/>
        </w:rPr>
        <w:t>u</w:t>
      </w:r>
      <w:r w:rsidR="00277ADA">
        <w:rPr>
          <w:rFonts w:eastAsia="Times New Roman"/>
          <w:bCs w:val="0"/>
          <w:i/>
          <w:iCs/>
        </w:rPr>
        <w:t xml:space="preserve"> soud</w:t>
      </w:r>
      <w:r w:rsidR="008B5D51">
        <w:rPr>
          <w:rFonts w:eastAsia="Times New Roman"/>
          <w:bCs w:val="0"/>
          <w:i/>
          <w:iCs/>
        </w:rPr>
        <w:t>ů</w:t>
      </w:r>
      <w:r w:rsidR="00277ADA">
        <w:rPr>
          <w:rFonts w:eastAsia="Times New Roman"/>
          <w:bCs w:val="0"/>
          <w:i/>
          <w:iCs/>
        </w:rPr>
        <w:t xml:space="preserve"> a Policie ČR</w:t>
      </w:r>
      <w:r w:rsidR="00A954D3">
        <w:rPr>
          <w:rFonts w:eastAsia="Times New Roman"/>
          <w:bCs w:val="0"/>
          <w:i/>
          <w:iCs/>
        </w:rPr>
        <w:t xml:space="preserve">, přispívá k zefektivnění řízení </w:t>
      </w:r>
      <w:r w:rsidR="00795602">
        <w:rPr>
          <w:rFonts w:eastAsia="Times New Roman"/>
          <w:bCs w:val="0"/>
          <w:i/>
          <w:iCs/>
        </w:rPr>
        <w:br/>
      </w:r>
      <w:r w:rsidR="00A954D3">
        <w:rPr>
          <w:rFonts w:eastAsia="Times New Roman"/>
          <w:bCs w:val="0"/>
          <w:i/>
          <w:iCs/>
        </w:rPr>
        <w:t>a tím i k plnění programového prohlášení vlády</w:t>
      </w:r>
      <w:r w:rsidR="00277ADA">
        <w:rPr>
          <w:rFonts w:eastAsia="Times New Roman"/>
          <w:bCs w:val="0"/>
          <w:i/>
          <w:iCs/>
        </w:rPr>
        <w:t>)</w:t>
      </w:r>
    </w:p>
    <w:p w14:paraId="33240263" w14:textId="257648D5" w:rsidR="00DD286F" w:rsidRPr="00897682" w:rsidRDefault="00EE62A2" w:rsidP="00CE0788">
      <w:pPr>
        <w:spacing w:line="240" w:lineRule="auto"/>
        <w:rPr>
          <w:rFonts w:eastAsia="Aptos" w:cs="Times New Roman"/>
        </w:rPr>
      </w:pPr>
      <w:r w:rsidRPr="00897682">
        <w:rPr>
          <w:rFonts w:eastAsia="Aptos" w:cs="Times New Roman"/>
        </w:rPr>
        <w:t xml:space="preserve">V </w:t>
      </w:r>
      <w:r w:rsidR="00DD286F" w:rsidRPr="00897682">
        <w:rPr>
          <w:rFonts w:eastAsia="Aptos" w:cs="Times New Roman"/>
        </w:rPr>
        <w:t>současné právní úprav</w:t>
      </w:r>
      <w:r w:rsidRPr="00897682">
        <w:rPr>
          <w:rFonts w:eastAsia="Aptos" w:cs="Times New Roman"/>
        </w:rPr>
        <w:t xml:space="preserve">ě </w:t>
      </w:r>
      <w:r w:rsidR="00DD286F" w:rsidRPr="00897682">
        <w:rPr>
          <w:rFonts w:eastAsia="Aptos" w:cs="Times New Roman"/>
        </w:rPr>
        <w:t xml:space="preserve">absentují dostatečně efektivní nástroje pro doručení písemnosti, jejíž doručení je potřebné pro řádné provedení trestního řízení. </w:t>
      </w:r>
      <w:r w:rsidR="006C6358" w:rsidRPr="00897682">
        <w:rPr>
          <w:rFonts w:eastAsia="Aptos" w:cs="Times New Roman"/>
        </w:rPr>
        <w:t xml:space="preserve">Stávající trestní řád upravuje </w:t>
      </w:r>
      <w:r w:rsidR="00DD286F" w:rsidRPr="00897682">
        <w:rPr>
          <w:rFonts w:eastAsia="Aptos" w:cs="Times New Roman"/>
        </w:rPr>
        <w:t>institut předvedení, který je však primárně určen k zajištění účasti osoby při výslechu. V praxi je z důvodu absence jiných možností někdy tento institut využíván k tomu, aby osoba byla předvedena k výslechu za účelem zjištění, kde se zdržuje a jaké jsou její kontaktní údaje, přičemž je jí zároveň doručena relevantní písemnost. Takové využití institutu předvedení však zejména v případě, že je osoba předváděna před soud, vede k neefektivnímu vynakládání finančních i personálních zdrojů Policie</w:t>
      </w:r>
      <w:r w:rsidR="006C6358" w:rsidRPr="00897682">
        <w:rPr>
          <w:rFonts w:eastAsia="Aptos" w:cs="Times New Roman"/>
        </w:rPr>
        <w:t xml:space="preserve"> České republiky</w:t>
      </w:r>
      <w:r w:rsidR="00DD286F" w:rsidRPr="00897682">
        <w:rPr>
          <w:rFonts w:eastAsia="Aptos" w:cs="Times New Roman"/>
        </w:rPr>
        <w:t xml:space="preserve"> (eskorty k místně vzdálenému soudu). Současně je takový postup zbytečně invazivní i vůči dotčené osobě. </w:t>
      </w:r>
    </w:p>
    <w:p w14:paraId="077C5341" w14:textId="0F6AEEE9" w:rsidR="00DD286F" w:rsidRPr="00897682" w:rsidRDefault="008869CE" w:rsidP="00CE0788">
      <w:pPr>
        <w:spacing w:line="240" w:lineRule="auto"/>
        <w:rPr>
          <w:rFonts w:eastAsia="Aptos" w:cs="Times New Roman"/>
        </w:rPr>
      </w:pPr>
      <w:r w:rsidRPr="00897682">
        <w:rPr>
          <w:rFonts w:eastAsia="Aptos" w:cs="Times New Roman"/>
        </w:rPr>
        <w:lastRenderedPageBreak/>
        <w:t xml:space="preserve">Proto se navrhuje s ohledem na možnost využít pro doručení písemnosti systém elektronického trestního řízení </w:t>
      </w:r>
      <w:r w:rsidR="00670C5B" w:rsidRPr="00897682">
        <w:rPr>
          <w:rFonts w:eastAsia="Aptos" w:cs="Times New Roman"/>
        </w:rPr>
        <w:t xml:space="preserve">(ETŘ) </w:t>
      </w:r>
      <w:r w:rsidRPr="00897682">
        <w:rPr>
          <w:rFonts w:eastAsia="Aptos" w:cs="Times New Roman"/>
        </w:rPr>
        <w:t>upravit nový</w:t>
      </w:r>
      <w:r w:rsidR="00DD286F" w:rsidRPr="00897682">
        <w:rPr>
          <w:rFonts w:eastAsia="Aptos" w:cs="Times New Roman"/>
        </w:rPr>
        <w:t xml:space="preserve"> příkaz k pátrání po osobě za účelem doručení písemnosti, který umožní v odůvodněných případech realizovat doručení písemnosti prostřednictvím Policie </w:t>
      </w:r>
      <w:r w:rsidRPr="00897682">
        <w:rPr>
          <w:rFonts w:eastAsia="Aptos" w:cs="Times New Roman"/>
        </w:rPr>
        <w:t xml:space="preserve">České republiky </w:t>
      </w:r>
      <w:r w:rsidR="00DD286F" w:rsidRPr="00897682">
        <w:rPr>
          <w:rFonts w:eastAsia="Aptos" w:cs="Times New Roman"/>
        </w:rPr>
        <w:t xml:space="preserve">(případně po předvedení </w:t>
      </w:r>
      <w:r w:rsidRPr="00897682">
        <w:rPr>
          <w:rFonts w:eastAsia="Aptos" w:cs="Times New Roman"/>
        </w:rPr>
        <w:t>na nejbližší služebnu Policie České republiky</w:t>
      </w:r>
      <w:r w:rsidR="00DD286F" w:rsidRPr="00897682">
        <w:rPr>
          <w:rFonts w:eastAsia="Aptos" w:cs="Times New Roman"/>
        </w:rPr>
        <w:t>, neposkytne-li osoba potřebnou součinnost)</w:t>
      </w:r>
      <w:r w:rsidRPr="00897682">
        <w:rPr>
          <w:rFonts w:eastAsia="Aptos" w:cs="Times New Roman"/>
        </w:rPr>
        <w:t>. Vytvoření takového institutu</w:t>
      </w:r>
      <w:r w:rsidR="00DD286F" w:rsidRPr="00897682">
        <w:rPr>
          <w:rFonts w:eastAsia="Aptos" w:cs="Times New Roman"/>
        </w:rPr>
        <w:t xml:space="preserve"> je</w:t>
      </w:r>
      <w:r w:rsidR="00B43299" w:rsidRPr="00897682">
        <w:rPr>
          <w:rFonts w:eastAsia="Aptos" w:cs="Times New Roman"/>
        </w:rPr>
        <w:t xml:space="preserve"> </w:t>
      </w:r>
      <w:r w:rsidR="00DD286F" w:rsidRPr="00897682">
        <w:rPr>
          <w:rFonts w:eastAsia="Aptos" w:cs="Times New Roman"/>
        </w:rPr>
        <w:t>potřebné jednak z pohledu hospodárnějšího využití kapacit Policie</w:t>
      </w:r>
      <w:r w:rsidR="00B43299" w:rsidRPr="00897682">
        <w:rPr>
          <w:rFonts w:eastAsia="Aptos" w:cs="Times New Roman"/>
        </w:rPr>
        <w:t xml:space="preserve"> České republiky</w:t>
      </w:r>
      <w:r w:rsidR="00DD286F" w:rsidRPr="00897682">
        <w:rPr>
          <w:rFonts w:eastAsia="Aptos" w:cs="Times New Roman"/>
        </w:rPr>
        <w:t>, jednak z hlediska minimalizace zásahů do práva na osobní svobodu osoby, jíž je písemnost doručována.</w:t>
      </w:r>
    </w:p>
    <w:p w14:paraId="7C016698" w14:textId="267EB9F0" w:rsidR="00DD286F" w:rsidRPr="00897682" w:rsidRDefault="00DD286F" w:rsidP="00D56D28">
      <w:pPr>
        <w:pStyle w:val="Odstavecseseznamem"/>
        <w:keepNext/>
        <w:numPr>
          <w:ilvl w:val="0"/>
          <w:numId w:val="11"/>
        </w:numPr>
        <w:spacing w:line="240" w:lineRule="auto"/>
        <w:outlineLvl w:val="2"/>
        <w:rPr>
          <w:rFonts w:eastAsia="Calibri"/>
          <w:u w:val="single"/>
        </w:rPr>
      </w:pPr>
      <w:r w:rsidRPr="00897682">
        <w:rPr>
          <w:rFonts w:eastAsia="Calibri"/>
          <w:u w:val="single"/>
        </w:rPr>
        <w:t>Využití videokonferencí v trestním řízení a nakládání se zvukovými a obrazovými záznamy</w:t>
      </w:r>
      <w:r w:rsidR="00453789" w:rsidRPr="00270823">
        <w:rPr>
          <w:rFonts w:eastAsia="Calibri"/>
        </w:rPr>
        <w:t xml:space="preserve"> </w:t>
      </w:r>
      <w:r w:rsidR="00453789">
        <w:rPr>
          <w:rFonts w:eastAsia="Calibri"/>
          <w:i/>
          <w:iCs/>
        </w:rPr>
        <w:t>(vychází z požadavků Policie ČR, přispívá k</w:t>
      </w:r>
      <w:r w:rsidR="00795602">
        <w:rPr>
          <w:rFonts w:eastAsia="Calibri"/>
          <w:i/>
          <w:iCs/>
        </w:rPr>
        <w:t xml:space="preserve"> zefektivnění trestního řízení a tím i k </w:t>
      </w:r>
      <w:r w:rsidR="00453789">
        <w:rPr>
          <w:rFonts w:eastAsia="Calibri"/>
          <w:i/>
          <w:iCs/>
        </w:rPr>
        <w:t>plnění programového prohlášení vlády)</w:t>
      </w:r>
    </w:p>
    <w:p w14:paraId="21ACBE0D" w14:textId="444D888C" w:rsidR="00F2397E" w:rsidRPr="00897682" w:rsidRDefault="00F2397E" w:rsidP="00F2397E">
      <w:pPr>
        <w:spacing w:line="240" w:lineRule="auto"/>
        <w:rPr>
          <w:rFonts w:eastAsia="Calibri"/>
        </w:rPr>
      </w:pPr>
      <w:r w:rsidRPr="00897682">
        <w:rPr>
          <w:rFonts w:eastAsia="Calibri"/>
        </w:rPr>
        <w:t xml:space="preserve">Podle ustanovení § 111a tr. zák. upravujícího provádění výslechu prostřednictvím videokonferenčního zařízení je vyžadováno, aby totožnost vyslýchané osoby byla ověřena v místě, kde se vyslýchaná osoba v průběhu úkonu nachází. Zároveň je </w:t>
      </w:r>
      <w:r w:rsidRPr="00897682">
        <w:rPr>
          <w:rFonts w:eastAsia="Calibri"/>
          <w:i/>
          <w:iCs/>
        </w:rPr>
        <w:t>de lege lata</w:t>
      </w:r>
      <w:r w:rsidRPr="00897682">
        <w:rPr>
          <w:rFonts w:eastAsia="Calibri"/>
        </w:rPr>
        <w:t xml:space="preserve"> nutné, aby zaměstnanec, který totožnost ověřuje, byl výslechu po celou dobu osobně přítomen.</w:t>
      </w:r>
    </w:p>
    <w:p w14:paraId="7B03B962" w14:textId="5ADD9E2F" w:rsidR="00F2397E" w:rsidRPr="00897682" w:rsidRDefault="00F2397E" w:rsidP="00F2397E">
      <w:pPr>
        <w:spacing w:line="240" w:lineRule="auto"/>
        <w:rPr>
          <w:rFonts w:eastAsia="Calibri"/>
        </w:rPr>
      </w:pPr>
      <w:r w:rsidRPr="00897682">
        <w:rPr>
          <w:rFonts w:eastAsia="Calibri"/>
        </w:rPr>
        <w:t>Od doby přijetí právní úpravy provádění výslechu pomocí videokonferenčního zařízení (tj. od r. 2012) přitom došlo k výraznému technickému pokroku, ve světle kterého se stávající úprava jeví jako nedůvodně rigidní, když dnes jsou k dispo</w:t>
      </w:r>
      <w:r w:rsidR="000A05DC" w:rsidRPr="00897682">
        <w:rPr>
          <w:rFonts w:eastAsia="Calibri"/>
        </w:rPr>
        <w:t>z</w:t>
      </w:r>
      <w:r w:rsidRPr="00897682">
        <w:rPr>
          <w:rFonts w:eastAsia="Calibri"/>
        </w:rPr>
        <w:t>ici nástroje, které osobě provádějící výslech umožní přesvědčivě ověřit totožnost osoby na dálku</w:t>
      </w:r>
      <w:r w:rsidR="000A05DC" w:rsidRPr="00897682">
        <w:rPr>
          <w:rFonts w:eastAsia="Calibri"/>
        </w:rPr>
        <w:t>,</w:t>
      </w:r>
      <w:r w:rsidRPr="00897682">
        <w:rPr>
          <w:rFonts w:eastAsia="Calibri"/>
        </w:rPr>
        <w:t xml:space="preserve"> a tím fakticky učinit využití videokonferencí flexibilnějším. Navrhovaná právní úprava také reaguje na poznatky praxe, zejména z doby pandemie onemocnění Covid-19, kdy se ukázalo, že je jiný postup možný</w:t>
      </w:r>
      <w:r w:rsidR="000A05DC" w:rsidRPr="00897682">
        <w:rPr>
          <w:rFonts w:eastAsia="Calibri"/>
        </w:rPr>
        <w:t>,</w:t>
      </w:r>
      <w:r w:rsidRPr="00897682">
        <w:rPr>
          <w:rFonts w:eastAsia="Calibri"/>
        </w:rPr>
        <w:t xml:space="preserve"> a</w:t>
      </w:r>
      <w:r w:rsidR="000A05DC" w:rsidRPr="00897682">
        <w:rPr>
          <w:rFonts w:eastAsia="Calibri"/>
        </w:rPr>
        <w:t> </w:t>
      </w:r>
      <w:r w:rsidRPr="00897682">
        <w:rPr>
          <w:rFonts w:eastAsia="Calibri"/>
        </w:rPr>
        <w:t>dnešní proces provádění videokonferenčního výslechu se ukázal jako zbytečně formalizovaný.</w:t>
      </w:r>
    </w:p>
    <w:p w14:paraId="58EBDB70" w14:textId="17D8FEA4" w:rsidR="00F2397E" w:rsidRPr="00897682" w:rsidRDefault="00F2397E" w:rsidP="00F2397E">
      <w:pPr>
        <w:spacing w:line="240" w:lineRule="auto"/>
        <w:rPr>
          <w:rFonts w:eastAsia="Calibri"/>
        </w:rPr>
      </w:pPr>
      <w:r w:rsidRPr="00897682">
        <w:rPr>
          <w:rFonts w:eastAsia="Calibri"/>
        </w:rPr>
        <w:t>Nadále zůstáv</w:t>
      </w:r>
      <w:r w:rsidR="004572A2" w:rsidRPr="00897682">
        <w:rPr>
          <w:rFonts w:eastAsia="Calibri"/>
        </w:rPr>
        <w:t>ají</w:t>
      </w:r>
      <w:r w:rsidRPr="00897682">
        <w:rPr>
          <w:rFonts w:eastAsia="Calibri"/>
        </w:rPr>
        <w:t xml:space="preserve"> zachován</w:t>
      </w:r>
      <w:r w:rsidR="004572A2" w:rsidRPr="00897682">
        <w:rPr>
          <w:rFonts w:eastAsia="Calibri"/>
        </w:rPr>
        <w:t>y</w:t>
      </w:r>
      <w:r w:rsidRPr="00897682">
        <w:rPr>
          <w:rFonts w:eastAsia="Calibri"/>
        </w:rPr>
        <w:t xml:space="preserve"> podmínk</w:t>
      </w:r>
      <w:r w:rsidR="004572A2" w:rsidRPr="00897682">
        <w:rPr>
          <w:rFonts w:eastAsia="Calibri"/>
        </w:rPr>
        <w:t>y</w:t>
      </w:r>
      <w:r w:rsidRPr="00897682">
        <w:rPr>
          <w:rFonts w:eastAsia="Calibri"/>
        </w:rPr>
        <w:t xml:space="preserve"> plynoucí z dosavadního § 52a tr. ř. pro provedení úkonu trestního řízení prostřednictvím videokonferenčního zařízení, a sice že takový postup musí být potřebný pro ochranu práv osob</w:t>
      </w:r>
      <w:r w:rsidR="004572A2" w:rsidRPr="00897682">
        <w:rPr>
          <w:rFonts w:eastAsia="Calibri"/>
        </w:rPr>
        <w:t>, nebo jej vyžaduje bezpečnost nebo jiné závažné důvody</w:t>
      </w:r>
      <w:r w:rsidRPr="00897682">
        <w:rPr>
          <w:rFonts w:eastAsia="Calibri"/>
        </w:rPr>
        <w:t xml:space="preserve">. To posuzuje osoba provádějící výslech v každém případě individuálně, s přihlédnutím ke konkrétní osobě a okolnostem, které osobní přítomnost této osoby znesnadňují či znemožňují, jakož </w:t>
      </w:r>
      <w:r w:rsidR="004572A2" w:rsidRPr="00897682">
        <w:rPr>
          <w:rFonts w:eastAsia="Calibri"/>
        </w:rPr>
        <w:br/>
      </w:r>
      <w:r w:rsidRPr="00897682">
        <w:rPr>
          <w:rFonts w:eastAsia="Calibri"/>
        </w:rPr>
        <w:t xml:space="preserve">i k důvodu, pro který je přítomnost či participace této osoby v trestním řízení vyžadována. </w:t>
      </w:r>
    </w:p>
    <w:p w14:paraId="6B4E34D2" w14:textId="53007DB9" w:rsidR="00F2397E" w:rsidRPr="00897682" w:rsidRDefault="00F2397E" w:rsidP="00F2397E">
      <w:pPr>
        <w:spacing w:line="240" w:lineRule="auto"/>
        <w:rPr>
          <w:rFonts w:eastAsia="Calibri"/>
        </w:rPr>
      </w:pPr>
      <w:r w:rsidRPr="00897682">
        <w:rPr>
          <w:rFonts w:eastAsia="Calibri"/>
        </w:rPr>
        <w:t>Cílem navrhované právní úpravy je upravit podmínky pro provádění výslechu prostřednictvím videokonferenčního zařízení tak, aby mohl být vzhledem k vývoji informačních</w:t>
      </w:r>
      <w:r w:rsidR="00E94F10" w:rsidRPr="00897682">
        <w:rPr>
          <w:rFonts w:eastAsia="Calibri"/>
        </w:rPr>
        <w:t xml:space="preserve"> </w:t>
      </w:r>
      <w:r w:rsidRPr="00897682">
        <w:rPr>
          <w:rFonts w:eastAsia="Calibri"/>
        </w:rPr>
        <w:t>a komunikačních technologií lépe využit potenciál tohoto institutu. Jelikož již nadále nebude vyžadována přítomnost osoby ověřující totožnost vyslýchaného přímo na daném místě, bude provedení výslechu prostřednictvím videokonferenčního zařízení klást nižší nároky na personální zajištění, čímž se umožní jeho častější využití a současně dojde také ke snížení nákladů a zrychlení řízení. Navrhované změny rovněž umožní využití možnosti provedení výslechu prostřednictvím videokonferenčního zařízení v řadě dalších situací, v nichž by podle dosavadní právní úpravy bylo konání takového výslechu možné jen s obtížemi (za příklad mohou sloužit tzv. POL POINTy využívané ve Středočeském kraji).</w:t>
      </w:r>
    </w:p>
    <w:p w14:paraId="5BAD1DC4" w14:textId="77777777" w:rsidR="00C23824" w:rsidRPr="00897682" w:rsidRDefault="00DD286F" w:rsidP="00FC53C1">
      <w:pPr>
        <w:spacing w:line="240" w:lineRule="auto"/>
        <w:rPr>
          <w:rFonts w:eastAsia="Calibri"/>
        </w:rPr>
      </w:pPr>
      <w:r w:rsidRPr="00897682">
        <w:rPr>
          <w:rFonts w:eastAsia="Calibri"/>
        </w:rPr>
        <w:t xml:space="preserve">Druhou změnou podřazenou pod tento bod </w:t>
      </w:r>
      <w:r w:rsidR="00521B0B" w:rsidRPr="00897682">
        <w:rPr>
          <w:rFonts w:eastAsia="Calibri"/>
        </w:rPr>
        <w:t>je zákonné zakotvení</w:t>
      </w:r>
      <w:r w:rsidRPr="00897682">
        <w:rPr>
          <w:rFonts w:eastAsia="Calibri"/>
        </w:rPr>
        <w:t xml:space="preserve"> datové</w:t>
      </w:r>
      <w:r w:rsidR="00521B0B" w:rsidRPr="00897682">
        <w:rPr>
          <w:rFonts w:eastAsia="Calibri"/>
        </w:rPr>
        <w:t>ho</w:t>
      </w:r>
      <w:r w:rsidRPr="00897682">
        <w:rPr>
          <w:rFonts w:eastAsia="Calibri"/>
        </w:rPr>
        <w:t xml:space="preserve"> úložiště Ministerstva spravedlnosti, jehož bude možné využít jako prostředku k uchovávání zvukových nebo obrazových záznamů pořízených o úkonu, mj. i záznamu o videokonferenčním výslechu. To soudům umožní přejít na nový systém umožňování nahlížení do takovýchto záznamů a pořizování jejich kopií ve smyslu § 65 tr. ř. </w:t>
      </w:r>
    </w:p>
    <w:p w14:paraId="1AC26010" w14:textId="03F0CCE2" w:rsidR="00BD6F56" w:rsidRPr="00897682" w:rsidRDefault="00DD286F" w:rsidP="00FC53C1">
      <w:pPr>
        <w:spacing w:line="240" w:lineRule="auto"/>
        <w:rPr>
          <w:rFonts w:eastAsia="Calibri"/>
        </w:rPr>
      </w:pPr>
      <w:r w:rsidRPr="00897682">
        <w:rPr>
          <w:rFonts w:eastAsia="Calibri"/>
        </w:rPr>
        <w:t xml:space="preserve">Za stávajícího stavu lze takové záznamy přehrát pouze osobně při nahlížení do spisů u soudu a kopie takových záznamů se „vypalují“ na kompaktní disky (CD), jejichž pořizování je v dnešní době, kdy je tato technologie na ústupu, neekonomické a problematické. Není bez významu, že většina nově vyráběných počítačů dnes již nedisponuje mechanikami pro přehrání </w:t>
      </w:r>
      <w:r w:rsidRPr="00897682">
        <w:rPr>
          <w:rFonts w:eastAsia="Calibri"/>
        </w:rPr>
        <w:lastRenderedPageBreak/>
        <w:t>takových záznamů, takže tato cesta pořizování kopií záznamů je pro osoby, které tyto kopie žádají, nepraktická. Vzhledem k tomu, že z důvodu bezpečnosti není možné kopie vytvářet přímo na zařízení (typicky USB flash disk) přinesená osobami s právem nahlížet do spisů, jeví se navržený způsob jako nejvhodnější</w:t>
      </w:r>
      <w:r w:rsidR="00EA37A3" w:rsidRPr="00897682">
        <w:rPr>
          <w:rFonts w:eastAsia="Calibri"/>
        </w:rPr>
        <w:t xml:space="preserve"> a</w:t>
      </w:r>
      <w:r w:rsidRPr="00897682">
        <w:rPr>
          <w:rFonts w:eastAsia="Calibri"/>
        </w:rPr>
        <w:t xml:space="preserve"> administrativně i časově méně zatěžující než dnešní stav.</w:t>
      </w:r>
    </w:p>
    <w:p w14:paraId="724D2750" w14:textId="0575153D" w:rsidR="001F6E55" w:rsidRPr="001F6E55" w:rsidRDefault="00FC53C1" w:rsidP="001F6E55">
      <w:pPr>
        <w:pStyle w:val="Odstavecseseznamem"/>
        <w:numPr>
          <w:ilvl w:val="0"/>
          <w:numId w:val="11"/>
        </w:numPr>
        <w:spacing w:line="240" w:lineRule="auto"/>
        <w:rPr>
          <w:rFonts w:eastAsia="Calibri"/>
        </w:rPr>
      </w:pPr>
      <w:r w:rsidRPr="00897682">
        <w:rPr>
          <w:rFonts w:eastAsia="Calibri"/>
          <w:u w:val="single"/>
        </w:rPr>
        <w:t>Nahrazení protokolace hlavního líčení, veřejného zasedání a vazebního zasedání zvukovým záznamem s automatickým předpisem</w:t>
      </w:r>
      <w:r w:rsidRPr="00270823">
        <w:rPr>
          <w:rFonts w:eastAsia="Calibri"/>
        </w:rPr>
        <w:t xml:space="preserve"> </w:t>
      </w:r>
      <w:r w:rsidR="001F6E55">
        <w:rPr>
          <w:rFonts w:eastAsia="Calibri"/>
          <w:i/>
          <w:iCs/>
        </w:rPr>
        <w:t xml:space="preserve">(vychází zčásti z požadavků soudů, </w:t>
      </w:r>
      <w:r w:rsidR="001F6E55" w:rsidRPr="001F6E55">
        <w:rPr>
          <w:rFonts w:eastAsia="Calibri"/>
          <w:i/>
          <w:iCs/>
        </w:rPr>
        <w:t>přispívá k zefektivnění trestního řízení a tím i k plnění programového prohlášení vlády)</w:t>
      </w:r>
    </w:p>
    <w:p w14:paraId="16D75A2A" w14:textId="0694E8D4" w:rsidR="00344BC3" w:rsidRPr="00897682" w:rsidRDefault="009A306E" w:rsidP="009A306E">
      <w:pPr>
        <w:spacing w:line="240" w:lineRule="auto"/>
        <w:rPr>
          <w:rFonts w:eastAsia="Aptos" w:cs="Times New Roman"/>
          <w:bCs w:val="0"/>
          <w:szCs w:val="24"/>
        </w:rPr>
      </w:pPr>
      <w:r w:rsidRPr="00897682">
        <w:rPr>
          <w:rFonts w:eastAsia="Calibri"/>
        </w:rPr>
        <w:t xml:space="preserve">Původní představa, podle níž </w:t>
      </w:r>
      <w:r w:rsidRPr="00897682">
        <w:rPr>
          <w:rFonts w:cs="Times New Roman"/>
          <w:szCs w:val="24"/>
        </w:rPr>
        <w:t xml:space="preserve">protokol o hlavním líčení, veřejném zasedání, případně vazebním zasedání, bude samostatně vyhotovovat protokolující nebo vyšší soudní úředník, se v praxi příliš neosvědčila, neboť se sice zrychlilo soudní jednání, protože předseda senátu již nemusí diktovat do protokolu, ale </w:t>
      </w:r>
      <w:r w:rsidR="00F6627A" w:rsidRPr="00897682">
        <w:rPr>
          <w:rFonts w:cs="Times New Roman"/>
          <w:szCs w:val="24"/>
        </w:rPr>
        <w:t xml:space="preserve">na druhou stranu se prodloužila doba, </w:t>
      </w:r>
      <w:r w:rsidRPr="00897682">
        <w:rPr>
          <w:rFonts w:cs="Times New Roman"/>
          <w:szCs w:val="24"/>
        </w:rPr>
        <w:t xml:space="preserve">v níž jsou protokoly o průběhu </w:t>
      </w:r>
      <w:r w:rsidR="00F6627A" w:rsidRPr="00897682">
        <w:rPr>
          <w:rFonts w:cs="Times New Roman"/>
          <w:szCs w:val="24"/>
        </w:rPr>
        <w:t xml:space="preserve">jednání </w:t>
      </w:r>
      <w:r w:rsidRPr="00897682">
        <w:rPr>
          <w:rFonts w:cs="Times New Roman"/>
          <w:szCs w:val="24"/>
        </w:rPr>
        <w:t>vyhotovovány</w:t>
      </w:r>
      <w:r w:rsidR="00F6627A" w:rsidRPr="00897682">
        <w:rPr>
          <w:rFonts w:cs="Times New Roman"/>
          <w:szCs w:val="24"/>
        </w:rPr>
        <w:t xml:space="preserve">. </w:t>
      </w:r>
      <w:r w:rsidR="00AF289C" w:rsidRPr="00897682">
        <w:rPr>
          <w:rFonts w:eastAsia="Aptos" w:cs="Times New Roman"/>
          <w:szCs w:val="24"/>
        </w:rPr>
        <w:t xml:space="preserve">Kromě toho se stává stále palčivějším problémem nedostatek administrativních pracovníků s ohledem </w:t>
      </w:r>
      <w:r w:rsidR="00BD1502">
        <w:rPr>
          <w:rFonts w:eastAsia="Aptos" w:cs="Times New Roman"/>
          <w:szCs w:val="24"/>
        </w:rPr>
        <w:t xml:space="preserve">na </w:t>
      </w:r>
      <w:r w:rsidR="00AF289C" w:rsidRPr="00897682">
        <w:rPr>
          <w:rFonts w:eastAsia="Aptos" w:cs="Times New Roman"/>
          <w:szCs w:val="24"/>
        </w:rPr>
        <w:t xml:space="preserve">jejich nízkou platovou základnu a značné nároky na kvalitu jejich práce. Soudy proto mají potíže vůbec zajistit dostatek zapisovatelů. </w:t>
      </w:r>
    </w:p>
    <w:p w14:paraId="17FAD9FE" w14:textId="354FDF32" w:rsidR="009A306E" w:rsidRPr="00897682" w:rsidRDefault="00F6627A" w:rsidP="009A306E">
      <w:pPr>
        <w:spacing w:line="240" w:lineRule="auto"/>
        <w:rPr>
          <w:rFonts w:cs="Times New Roman"/>
          <w:szCs w:val="24"/>
        </w:rPr>
      </w:pPr>
      <w:r w:rsidRPr="00897682">
        <w:rPr>
          <w:rFonts w:cs="Times New Roman"/>
          <w:szCs w:val="24"/>
        </w:rPr>
        <w:t>Navrhuje se proto využít plně potenciál, který se nabízí s rozvojem moderní techniky, a nahradit protokolaci z hlavního líčení, veřejného zasedání a vazebního zasedání využitím technických zařízení, která zaznamenají soudní jednání a vyhotoví jeho automatický přepis. Rozhodný tak napříště bude zvukový záznam z jednání. Pořízený</w:t>
      </w:r>
      <w:r w:rsidR="009A306E" w:rsidRPr="00897682">
        <w:rPr>
          <w:rFonts w:cs="Times New Roman"/>
          <w:szCs w:val="24"/>
        </w:rPr>
        <w:t xml:space="preserve"> přepis </w:t>
      </w:r>
      <w:r w:rsidRPr="00897682">
        <w:rPr>
          <w:rFonts w:cs="Times New Roman"/>
          <w:szCs w:val="24"/>
        </w:rPr>
        <w:t xml:space="preserve">(který nebude kontrolován) </w:t>
      </w:r>
      <w:r w:rsidR="009A306E" w:rsidRPr="00897682">
        <w:rPr>
          <w:rFonts w:cs="Times New Roman"/>
          <w:szCs w:val="24"/>
        </w:rPr>
        <w:t>nebude na rozdíl od protokolu veřejnou listinou a nebude sloužit k důkazním účelům, ale bude pouze orientační pomůckou, kdy s</w:t>
      </w:r>
      <w:r w:rsidR="00D939CB" w:rsidRPr="00897682">
        <w:rPr>
          <w:rFonts w:cs="Times New Roman"/>
          <w:szCs w:val="24"/>
        </w:rPr>
        <w:t xml:space="preserve"> </w:t>
      </w:r>
      <w:r w:rsidR="009A306E" w:rsidRPr="00897682">
        <w:rPr>
          <w:rFonts w:cs="Times New Roman"/>
          <w:szCs w:val="24"/>
        </w:rPr>
        <w:t xml:space="preserve">ohledem </w:t>
      </w:r>
      <w:r w:rsidR="00D939CB" w:rsidRPr="00897682">
        <w:rPr>
          <w:rFonts w:cs="Times New Roman"/>
          <w:szCs w:val="24"/>
        </w:rPr>
        <w:t xml:space="preserve">na </w:t>
      </w:r>
      <w:r w:rsidR="009A306E" w:rsidRPr="00897682">
        <w:rPr>
          <w:rFonts w:cs="Times New Roman"/>
          <w:szCs w:val="24"/>
        </w:rPr>
        <w:t xml:space="preserve">tzv. indexaci v tomto přepisu nebude problém záznam </w:t>
      </w:r>
      <w:r w:rsidRPr="00897682">
        <w:rPr>
          <w:rFonts w:cs="Times New Roman"/>
          <w:szCs w:val="24"/>
        </w:rPr>
        <w:br/>
      </w:r>
      <w:r w:rsidR="009A306E" w:rsidRPr="00897682">
        <w:rPr>
          <w:rFonts w:cs="Times New Roman"/>
          <w:szCs w:val="24"/>
        </w:rPr>
        <w:t xml:space="preserve">o provedení kteréhokoli důkazu kdykoli rychle vyhledat. Záznamy ze soudních jednání budou uchovávány ve výše zmiňovaném datovém úložišti a v trestním spisu bude poznamenáno, kde se záznam nachází. Oprávněným osobám pak bude </w:t>
      </w:r>
      <w:r w:rsidR="00D939CB" w:rsidRPr="00897682">
        <w:rPr>
          <w:rFonts w:cs="Times New Roman"/>
          <w:szCs w:val="24"/>
        </w:rPr>
        <w:t xml:space="preserve">na vyžádání </w:t>
      </w:r>
      <w:r w:rsidR="009A306E" w:rsidRPr="00897682">
        <w:rPr>
          <w:rFonts w:cs="Times New Roman"/>
          <w:szCs w:val="24"/>
        </w:rPr>
        <w:t xml:space="preserve">umožněn dálkový přístup k takovému záznamu. </w:t>
      </w:r>
    </w:p>
    <w:p w14:paraId="35D709A7" w14:textId="2DEC122A" w:rsidR="00344BC3" w:rsidRPr="00897682" w:rsidRDefault="003360ED" w:rsidP="00FC53C1">
      <w:pPr>
        <w:spacing w:line="240" w:lineRule="auto"/>
        <w:rPr>
          <w:rFonts w:eastAsia="Calibri"/>
        </w:rPr>
      </w:pPr>
      <w:r w:rsidRPr="00897682">
        <w:rPr>
          <w:rFonts w:eastAsia="Calibri"/>
        </w:rPr>
        <w:t>Navržená úprava obsahuje řadu dalších dílčích změn reagujících na aktuální problémy praxe nebo nejnovější soudní judikaturu, stručně je lze shrnout následovně</w:t>
      </w:r>
      <w:r w:rsidR="0080019E" w:rsidRPr="00897682">
        <w:rPr>
          <w:rFonts w:eastAsia="Calibri"/>
        </w:rPr>
        <w:t xml:space="preserve"> (v podrobnostech srov. odůvodnění ve zvláštní části důvodové zprávy)</w:t>
      </w:r>
      <w:r w:rsidRPr="00897682">
        <w:rPr>
          <w:rFonts w:eastAsia="Calibri"/>
        </w:rPr>
        <w:t>:</w:t>
      </w:r>
    </w:p>
    <w:p w14:paraId="03135CA2" w14:textId="3B38F6CA" w:rsidR="00264ED7" w:rsidRPr="007C1CBC" w:rsidRDefault="00264ED7" w:rsidP="00264ED7">
      <w:pPr>
        <w:pStyle w:val="Odstavecseseznamem"/>
        <w:numPr>
          <w:ilvl w:val="0"/>
          <w:numId w:val="10"/>
        </w:numPr>
        <w:spacing w:line="240" w:lineRule="auto"/>
        <w:rPr>
          <w:i/>
          <w:iCs/>
        </w:rPr>
      </w:pPr>
      <w:r w:rsidRPr="007C1CBC">
        <w:rPr>
          <w:u w:val="single"/>
        </w:rPr>
        <w:t>Povinnost státního zástupce nezatajit v řízení před soudem důkaz svědčící ve prospěch obviněného</w:t>
      </w:r>
      <w:r w:rsidR="001109D8" w:rsidRPr="007C1CBC">
        <w:t xml:space="preserve"> </w:t>
      </w:r>
      <w:r w:rsidR="001109D8" w:rsidRPr="007C1CBC">
        <w:rPr>
          <w:i/>
          <w:iCs/>
        </w:rPr>
        <w:t>(vychází z podnětu zástupců advokacie)</w:t>
      </w:r>
    </w:p>
    <w:p w14:paraId="18D55638" w14:textId="77777777" w:rsidR="00264ED7" w:rsidRPr="00897682" w:rsidRDefault="00264ED7" w:rsidP="00264ED7">
      <w:pPr>
        <w:spacing w:line="240" w:lineRule="auto"/>
      </w:pPr>
      <w:r w:rsidRPr="00897682">
        <w:t xml:space="preserve">Výslovně se navrhuje upravit, že pokud v řízení před soudem státní zástupce zjistí existenci důkazu ve prospěch obviněného, nesmí jej soudu zatajit. </w:t>
      </w:r>
    </w:p>
    <w:p w14:paraId="4B5971FF" w14:textId="59048AC9" w:rsidR="00264ED7" w:rsidRPr="004D4FCF" w:rsidRDefault="00264ED7" w:rsidP="004D4FCF">
      <w:pPr>
        <w:pStyle w:val="Odstavecseseznamem"/>
        <w:numPr>
          <w:ilvl w:val="0"/>
          <w:numId w:val="10"/>
        </w:numPr>
        <w:spacing w:line="240" w:lineRule="auto"/>
        <w:rPr>
          <w:i/>
          <w:iCs/>
        </w:rPr>
      </w:pPr>
      <w:r w:rsidRPr="00230591">
        <w:rPr>
          <w:u w:val="single"/>
        </w:rPr>
        <w:t>Rozšíření ochrany údajů před zveřejněním i na oznamovatele trestného činu a osobu podávající vysvětlení</w:t>
      </w:r>
      <w:r w:rsidR="004D4FCF" w:rsidRPr="009640B7">
        <w:rPr>
          <w:i/>
          <w:iCs/>
        </w:rPr>
        <w:t xml:space="preserve"> </w:t>
      </w:r>
      <w:r w:rsidR="004D4FCF">
        <w:rPr>
          <w:i/>
          <w:iCs/>
        </w:rPr>
        <w:t>(</w:t>
      </w:r>
      <w:r w:rsidR="00ED7B2C">
        <w:rPr>
          <w:i/>
          <w:iCs/>
        </w:rPr>
        <w:t>vychází z podnětu</w:t>
      </w:r>
      <w:r w:rsidR="004D4FCF">
        <w:rPr>
          <w:i/>
          <w:iCs/>
        </w:rPr>
        <w:t xml:space="preserve"> neziskových organizací</w:t>
      </w:r>
      <w:r w:rsidR="004D4FCF" w:rsidRPr="009640B7">
        <w:rPr>
          <w:i/>
          <w:iCs/>
        </w:rPr>
        <w:t>)</w:t>
      </w:r>
    </w:p>
    <w:p w14:paraId="15B44A08" w14:textId="77777777" w:rsidR="0080019E" w:rsidRPr="00897682" w:rsidRDefault="00264ED7" w:rsidP="0080019E">
      <w:pPr>
        <w:spacing w:line="240" w:lineRule="auto"/>
        <w:rPr>
          <w:rFonts w:eastAsia="Times New Roman"/>
          <w:lang w:eastAsia="cs-CZ"/>
        </w:rPr>
      </w:pPr>
      <w:r w:rsidRPr="00897682">
        <w:rPr>
          <w:rFonts w:eastAsia="Times New Roman"/>
          <w:lang w:eastAsia="cs-CZ"/>
        </w:rPr>
        <w:t xml:space="preserve">Dnes v přípravném řízení nesmějí orgány činné v trestním řízení v rámci poskytování informací o své činnosti zveřejnit informace umožňující zjištění totožnosti podezřelého, obviněného, poškozeného, zúčastněné osoby a svědka. Mezi takto chráněné osoby se navrhuje doplnit </w:t>
      </w:r>
      <w:r w:rsidRPr="00897682">
        <w:rPr>
          <w:rFonts w:eastAsia="Times New Roman"/>
          <w:lang w:eastAsia="cs-CZ"/>
        </w:rPr>
        <w:br/>
        <w:t xml:space="preserve">i osobu podávající vysvětlení a oznamovatele trestného činu. </w:t>
      </w:r>
    </w:p>
    <w:p w14:paraId="6B70E721" w14:textId="60B0E947" w:rsidR="0080019E" w:rsidRPr="00897682" w:rsidRDefault="00264ED7" w:rsidP="00E6194B">
      <w:pPr>
        <w:pStyle w:val="Odstavecseseznamem"/>
        <w:numPr>
          <w:ilvl w:val="0"/>
          <w:numId w:val="16"/>
        </w:numPr>
        <w:spacing w:line="240" w:lineRule="auto"/>
        <w:rPr>
          <w:lang w:eastAsia="cs-CZ"/>
        </w:rPr>
      </w:pPr>
      <w:r w:rsidRPr="00230591">
        <w:rPr>
          <w:u w:val="single"/>
        </w:rPr>
        <w:t>Výslovné vymezení, při kterých úkonech obhájce nemůže zastoupit obviněného</w:t>
      </w:r>
      <w:r w:rsidRPr="00897682">
        <w:rPr>
          <w:i/>
          <w:iCs/>
        </w:rPr>
        <w:t xml:space="preserve"> </w:t>
      </w:r>
      <w:r w:rsidR="007C1CBC">
        <w:rPr>
          <w:i/>
          <w:iCs/>
        </w:rPr>
        <w:t>(vychází z podnětu zástupců advokacie)</w:t>
      </w:r>
    </w:p>
    <w:p w14:paraId="444C55F4" w14:textId="3AE0167F" w:rsidR="00375582" w:rsidRPr="00897682" w:rsidRDefault="00264ED7" w:rsidP="00E33268">
      <w:pPr>
        <w:spacing w:line="240" w:lineRule="auto"/>
        <w:rPr>
          <w:lang w:eastAsia="cs-CZ"/>
        </w:rPr>
      </w:pPr>
      <w:r w:rsidRPr="00897682">
        <w:rPr>
          <w:lang w:eastAsia="cs-CZ"/>
        </w:rPr>
        <w:t>Navrhuje se obecně vymezit, které úkony může učinit pouze obviněný a nikoli jeho obhájce</w:t>
      </w:r>
      <w:r w:rsidR="00E33268" w:rsidRPr="00897682">
        <w:rPr>
          <w:lang w:eastAsia="cs-CZ"/>
        </w:rPr>
        <w:t>.</w:t>
      </w:r>
    </w:p>
    <w:p w14:paraId="339181B5" w14:textId="457EC9F1" w:rsidR="00E33268" w:rsidRPr="00897682" w:rsidRDefault="00264ED7" w:rsidP="00EC400D">
      <w:pPr>
        <w:pStyle w:val="Odstavecseseznamem"/>
        <w:numPr>
          <w:ilvl w:val="0"/>
          <w:numId w:val="16"/>
        </w:numPr>
        <w:spacing w:line="240" w:lineRule="auto"/>
        <w:ind w:left="714" w:hanging="357"/>
        <w:rPr>
          <w:i/>
          <w:iCs/>
        </w:rPr>
      </w:pPr>
      <w:r w:rsidRPr="001651CE">
        <w:rPr>
          <w:u w:val="single"/>
        </w:rPr>
        <w:t xml:space="preserve">Rozšíření možnosti zničit nebezpečné věci již v průběhu trestního řízení také na věci, </w:t>
      </w:r>
      <w:r w:rsidRPr="001651CE">
        <w:rPr>
          <w:rFonts w:eastAsia="Times New Roman"/>
          <w:u w:val="single"/>
          <w:lang w:eastAsia="cs-CZ"/>
        </w:rPr>
        <w:t>jejichž držení je v rozporu s jinými právními předpisy a jejichž úschova vyžaduje zvláštní podmínky nebo zvláštní odbornou způsobilost, které lze zajistit jen s</w:t>
      </w:r>
      <w:r w:rsidR="00693700">
        <w:rPr>
          <w:rFonts w:eastAsia="Times New Roman"/>
          <w:u w:val="single"/>
          <w:lang w:eastAsia="cs-CZ"/>
        </w:rPr>
        <w:t> </w:t>
      </w:r>
      <w:r w:rsidRPr="001651CE">
        <w:rPr>
          <w:rFonts w:eastAsia="Times New Roman"/>
          <w:u w:val="single"/>
          <w:lang w:eastAsia="cs-CZ"/>
        </w:rPr>
        <w:t>nepřiměřenými obtížemi, anebo jejichž úschova je spojena s nepřiměřenými náklady</w:t>
      </w:r>
      <w:r w:rsidRPr="00897682">
        <w:rPr>
          <w:rFonts w:eastAsia="Times New Roman"/>
          <w:i/>
          <w:iCs/>
          <w:lang w:eastAsia="cs-CZ"/>
        </w:rPr>
        <w:t xml:space="preserve"> </w:t>
      </w:r>
      <w:r w:rsidR="007C1CBC">
        <w:rPr>
          <w:rFonts w:eastAsia="Times New Roman"/>
          <w:i/>
          <w:iCs/>
          <w:lang w:eastAsia="cs-CZ"/>
        </w:rPr>
        <w:lastRenderedPageBreak/>
        <w:t xml:space="preserve">(vychází z podnětu </w:t>
      </w:r>
      <w:r w:rsidR="001651CE">
        <w:rPr>
          <w:rFonts w:eastAsia="Times New Roman"/>
          <w:i/>
          <w:iCs/>
          <w:lang w:eastAsia="cs-CZ"/>
        </w:rPr>
        <w:t>G</w:t>
      </w:r>
      <w:r w:rsidR="007C1CBC">
        <w:rPr>
          <w:rFonts w:eastAsia="Times New Roman"/>
          <w:i/>
          <w:iCs/>
          <w:lang w:eastAsia="cs-CZ"/>
        </w:rPr>
        <w:t>enerálního ředitelství cel, přispívá k úspoře finančních nákladů státu)</w:t>
      </w:r>
    </w:p>
    <w:p w14:paraId="0BF7B0AA" w14:textId="2660F897" w:rsidR="00264ED7" w:rsidRPr="00897682" w:rsidRDefault="00264ED7" w:rsidP="00F349D3">
      <w:pPr>
        <w:spacing w:line="240" w:lineRule="auto"/>
        <w:rPr>
          <w:i/>
          <w:iCs/>
        </w:rPr>
      </w:pPr>
      <w:r w:rsidRPr="00897682">
        <w:rPr>
          <w:rFonts w:eastAsia="Times New Roman"/>
        </w:rPr>
        <w:t>Navrhuje se umožnit zničení věci již v průběhu trestního řízení také u další kategorie věcí, které sice ze své povahy neohrožují přímo bezpečnost lidí nebo majetku, ale jejich</w:t>
      </w:r>
      <w:r w:rsidR="00E33268" w:rsidRPr="00897682">
        <w:rPr>
          <w:rFonts w:eastAsia="Times New Roman"/>
        </w:rPr>
        <w:t>ž</w:t>
      </w:r>
      <w:r w:rsidRPr="00897682">
        <w:rPr>
          <w:rFonts w:eastAsia="Times New Roman"/>
        </w:rPr>
        <w:t xml:space="preserve"> držení je v rozporu s právními předpisy České republiky a jejich</w:t>
      </w:r>
      <w:r w:rsidR="00E33268" w:rsidRPr="00897682">
        <w:rPr>
          <w:rFonts w:eastAsia="Times New Roman"/>
        </w:rPr>
        <w:t>ž</w:t>
      </w:r>
      <w:r w:rsidRPr="00897682">
        <w:rPr>
          <w:rFonts w:eastAsia="Times New Roman"/>
        </w:rPr>
        <w:t xml:space="preserve"> úschova je obtížná nebo nepřiměřeně nákladná. V praxi se jedná např. o skladování velkého množství (mnohdy kumulativně o</w:t>
      </w:r>
      <w:r w:rsidR="00C935EC" w:rsidRPr="00897682">
        <w:rPr>
          <w:rFonts w:eastAsia="Times New Roman"/>
        </w:rPr>
        <w:t> </w:t>
      </w:r>
      <w:r w:rsidRPr="00897682">
        <w:rPr>
          <w:rFonts w:eastAsia="Times New Roman"/>
        </w:rPr>
        <w:t xml:space="preserve">několik desítek až stovek tun) neoprávněně nezdaněných tabákových výrobků. Navržená úprava šetří peněžní prostředky státu. </w:t>
      </w:r>
    </w:p>
    <w:p w14:paraId="267DD512" w14:textId="11174E06" w:rsidR="00264ED7" w:rsidRPr="00897682" w:rsidRDefault="00264ED7" w:rsidP="003D7DA7">
      <w:pPr>
        <w:pStyle w:val="Odstavecseseznamem"/>
        <w:numPr>
          <w:ilvl w:val="0"/>
          <w:numId w:val="10"/>
        </w:numPr>
        <w:spacing w:line="240" w:lineRule="auto"/>
        <w:rPr>
          <w:i/>
          <w:iCs/>
        </w:rPr>
      </w:pPr>
      <w:r w:rsidRPr="00310E8C">
        <w:rPr>
          <w:u w:val="single"/>
        </w:rPr>
        <w:t xml:space="preserve">V návaznosti na judikaturu Ústavního soudu </w:t>
      </w:r>
      <w:r w:rsidR="00693700">
        <w:rPr>
          <w:u w:val="single"/>
        </w:rPr>
        <w:t xml:space="preserve">změna </w:t>
      </w:r>
      <w:r w:rsidRPr="00310E8C">
        <w:rPr>
          <w:u w:val="single"/>
        </w:rPr>
        <w:t>počát</w:t>
      </w:r>
      <w:r w:rsidR="00693700">
        <w:rPr>
          <w:u w:val="single"/>
        </w:rPr>
        <w:t>ku</w:t>
      </w:r>
      <w:r w:rsidRPr="00310E8C">
        <w:rPr>
          <w:u w:val="single"/>
        </w:rPr>
        <w:t xml:space="preserve"> běhu lhůty pro podání stížnosti proti usnesení až na okamžik jeho doručení </w:t>
      </w:r>
      <w:r w:rsidRPr="00897682">
        <w:rPr>
          <w:i/>
          <w:iCs/>
        </w:rPr>
        <w:t>(</w:t>
      </w:r>
      <w:r w:rsidR="00310E8C">
        <w:rPr>
          <w:i/>
          <w:iCs/>
        </w:rPr>
        <w:t xml:space="preserve">vychází z podnětu </w:t>
      </w:r>
      <w:r w:rsidRPr="00897682">
        <w:rPr>
          <w:i/>
          <w:iCs/>
        </w:rPr>
        <w:t>soudů)</w:t>
      </w:r>
    </w:p>
    <w:p w14:paraId="4463EDD4" w14:textId="23A148BC" w:rsidR="00264ED7" w:rsidRPr="00897682" w:rsidRDefault="00264ED7" w:rsidP="003D7DA7">
      <w:pPr>
        <w:spacing w:line="240" w:lineRule="auto"/>
      </w:pPr>
      <w:r w:rsidRPr="00897682">
        <w:t>Navrhuje se v zákoně zohlednit novou judikaturu Ústavního soudu, podle níž běží lhůta pro podání stížnosti až od doručení rozhodnutí</w:t>
      </w:r>
      <w:r w:rsidR="00AF2831" w:rsidRPr="00897682">
        <w:t>,</w:t>
      </w:r>
      <w:r w:rsidRPr="00897682">
        <w:t xml:space="preserve"> i když byla osoba přítomna vyhlášení rozhodnutí. </w:t>
      </w:r>
    </w:p>
    <w:p w14:paraId="48A7B322" w14:textId="429B34AE" w:rsidR="00264ED7" w:rsidRPr="00372798" w:rsidRDefault="00264ED7" w:rsidP="003D7DA7">
      <w:pPr>
        <w:pStyle w:val="Odstavecseseznamem"/>
        <w:numPr>
          <w:ilvl w:val="0"/>
          <w:numId w:val="10"/>
        </w:numPr>
        <w:spacing w:line="240" w:lineRule="auto"/>
      </w:pPr>
      <w:r w:rsidRPr="00080822">
        <w:rPr>
          <w:u w:val="single"/>
        </w:rPr>
        <w:t xml:space="preserve">Zakotvení vyrozumívací povinnosti vůči podezřelému po odložení </w:t>
      </w:r>
      <w:r w:rsidR="005F006D" w:rsidRPr="00080822">
        <w:rPr>
          <w:u w:val="single"/>
        </w:rPr>
        <w:t xml:space="preserve">nebo jiném vyřízení </w:t>
      </w:r>
      <w:r w:rsidRPr="00080822">
        <w:rPr>
          <w:u w:val="single"/>
        </w:rPr>
        <w:t xml:space="preserve">věci nebo </w:t>
      </w:r>
      <w:r w:rsidR="001D0CB2">
        <w:rPr>
          <w:u w:val="single"/>
        </w:rPr>
        <w:t xml:space="preserve">po </w:t>
      </w:r>
      <w:r w:rsidRPr="00080822">
        <w:rPr>
          <w:u w:val="single"/>
        </w:rPr>
        <w:t>zahájení stíhání jiné osoby, že již dále není podezřelý</w:t>
      </w:r>
      <w:r w:rsidRPr="00372798">
        <w:t xml:space="preserve"> </w:t>
      </w:r>
      <w:r w:rsidR="00372798">
        <w:rPr>
          <w:i/>
          <w:iCs/>
        </w:rPr>
        <w:t>(převzato z původně připravované rekodifikace trestního řízení)</w:t>
      </w:r>
    </w:p>
    <w:p w14:paraId="64900660" w14:textId="3FA11772" w:rsidR="00264ED7" w:rsidRPr="00897682" w:rsidRDefault="00264ED7" w:rsidP="003D7DA7">
      <w:pPr>
        <w:spacing w:line="240" w:lineRule="auto"/>
      </w:pPr>
      <w:r w:rsidRPr="00897682">
        <w:t>Navrhuje se z původně připrav</w:t>
      </w:r>
      <w:r w:rsidR="003D7DA7" w:rsidRPr="00897682">
        <w:t>ované</w:t>
      </w:r>
      <w:r w:rsidRPr="00897682">
        <w:t xml:space="preserve"> rekodifikace trestního práva procesního převzít úpravu, podle níž je osoba, která na základě vůči ní provedených úkonů ví, že je podezřelá ze spáchání trestného činu, vyrozuměna o tom, že věc byla odložena</w:t>
      </w:r>
      <w:r w:rsidR="00A23301" w:rsidRPr="00897682">
        <w:t xml:space="preserve"> nebo jinak vyřízena</w:t>
      </w:r>
      <w:r w:rsidRPr="00897682">
        <w:t xml:space="preserve">, nebo že trestní stíhání bylo zahájeno vůči jiné osobě, aby nežila v nejistotě, zda je stále podezřelá. </w:t>
      </w:r>
    </w:p>
    <w:p w14:paraId="3A166D8A" w14:textId="46A779EA" w:rsidR="002B1EF6" w:rsidRPr="00E23653" w:rsidRDefault="00264ED7" w:rsidP="0053222B">
      <w:pPr>
        <w:pStyle w:val="Odstavecseseznamem"/>
        <w:numPr>
          <w:ilvl w:val="0"/>
          <w:numId w:val="10"/>
        </w:numPr>
        <w:spacing w:line="240" w:lineRule="auto"/>
        <w:rPr>
          <w:u w:val="single"/>
        </w:rPr>
      </w:pPr>
      <w:r w:rsidRPr="00E23653">
        <w:rPr>
          <w:u w:val="single"/>
        </w:rPr>
        <w:t xml:space="preserve">Umožnění poměrného rozdělení peněžních prostředků mezi poškozené, pokud zaslali peněžní prostředky na cizí účet a je prokázáno, že jde o výnos z trestné činnosti </w:t>
      </w:r>
      <w:r w:rsidR="00E23653">
        <w:rPr>
          <w:i/>
          <w:iCs/>
        </w:rPr>
        <w:t>(vychází z podnětu zástupců justice, pracovní skupina pro modernizaci trestního řádu tento podnět podpořila)</w:t>
      </w:r>
    </w:p>
    <w:p w14:paraId="0C5587A6" w14:textId="54574D0E" w:rsidR="00264ED7" w:rsidRPr="00897682" w:rsidRDefault="00264ED7" w:rsidP="002B1EF6">
      <w:pPr>
        <w:spacing w:line="240" w:lineRule="auto"/>
      </w:pPr>
      <w:r w:rsidRPr="00897682">
        <w:t xml:space="preserve">V praxi nejsou efektivně řešitelné situace, a to zejména v přeshraničních případech, kdy jsou zajištěny peněžní prostředky a je zřejmé, že patří poškozeným (např. je prokázáno, že od nich byly podvodně vylákány nebo ukradeny, byly zaslány z jejich účtu, ale není možné zjistit osobu pachatele), ovšem jejich výše není taková, aby odpovídala jednotlivým nárokům poškozených na jejich vydání, protože </w:t>
      </w:r>
      <w:r w:rsidR="009B133F" w:rsidRPr="00897682">
        <w:t xml:space="preserve">část </w:t>
      </w:r>
      <w:r w:rsidRPr="00897682">
        <w:t>pen</w:t>
      </w:r>
      <w:r w:rsidR="009B133F" w:rsidRPr="00897682">
        <w:t>ěžních prostředků</w:t>
      </w:r>
      <w:r w:rsidRPr="00897682">
        <w:t xml:space="preserve"> již byl</w:t>
      </w:r>
      <w:r w:rsidR="009B133F" w:rsidRPr="00897682">
        <w:t>a</w:t>
      </w:r>
      <w:r w:rsidRPr="00897682">
        <w:t xml:space="preserve"> z účtu vybrán</w:t>
      </w:r>
      <w:r w:rsidR="009B133F" w:rsidRPr="00897682">
        <w:t>a</w:t>
      </w:r>
      <w:r w:rsidRPr="00897682">
        <w:t xml:space="preserve">. Navrhuje se proto tento problém řešit tak, že peněžní prostředky, které byly zajištěny jako výnos z trestné činnosti na účtu, na který byly zaslány poškozenými, orgán činný v trestním řízení rozdělí mezi poškozené poměrně podle výše jejich nároků na jejich vrácení, pokud poškození, kteří nárok na jejich vydání v trestním řízení uplatnili, s takovým postupem souhlasí a je zřejmé, že jim patří (např. je prokázáno, že od nich byly podvodně vylákány).  Proti takovému rozhodnutí je </w:t>
      </w:r>
      <w:r w:rsidR="009B133F" w:rsidRPr="00897682">
        <w:t xml:space="preserve">v přípravném řízení </w:t>
      </w:r>
      <w:r w:rsidRPr="00897682">
        <w:t>přípustná stížnost k soudci. Tímto způsobem tak dojde v těchto případech nejrychlejší a nejefektivnější cestou alespoň k částečnému uspokojení nároků poškozených.</w:t>
      </w:r>
    </w:p>
    <w:p w14:paraId="13EC9FE5" w14:textId="77777777" w:rsidR="00264ED7" w:rsidRPr="0076448E" w:rsidRDefault="00264ED7" w:rsidP="003D7DA7">
      <w:pPr>
        <w:pStyle w:val="Odstavecseseznamem"/>
        <w:numPr>
          <w:ilvl w:val="0"/>
          <w:numId w:val="10"/>
        </w:numPr>
        <w:spacing w:line="240" w:lineRule="auto"/>
        <w:rPr>
          <w:u w:val="single"/>
        </w:rPr>
      </w:pPr>
      <w:r w:rsidRPr="0076448E">
        <w:rPr>
          <w:u w:val="single"/>
        </w:rPr>
        <w:t>Učinění výjimky ze zákazu zveřejnění údajů o tom, proti komu se trestní řízení vede, pro údaj o jeho státní příslušnosti</w:t>
      </w:r>
    </w:p>
    <w:p w14:paraId="1697BA44" w14:textId="3DFC9805" w:rsidR="00264ED7" w:rsidRDefault="00264ED7" w:rsidP="00871B9A">
      <w:pPr>
        <w:spacing w:line="240" w:lineRule="auto"/>
      </w:pPr>
      <w:r w:rsidRPr="00897682">
        <w:t xml:space="preserve">Navrhuje se umožnit, aby orgány činné v trestním řízení mohly </w:t>
      </w:r>
      <w:r w:rsidR="008536C3" w:rsidRPr="00897682">
        <w:t xml:space="preserve">v odůvodněných případech </w:t>
      </w:r>
      <w:r w:rsidRPr="00897682">
        <w:t>veřejnost informovat o státní příslušnosti podezřelého nebo obviněného</w:t>
      </w:r>
      <w:r w:rsidR="008536C3" w:rsidRPr="00897682">
        <w:t>, aby bylo zabráněno šíření zavádějících informací</w:t>
      </w:r>
      <w:r w:rsidR="00EC0A0C">
        <w:t xml:space="preserve"> (dezinformacím)</w:t>
      </w:r>
      <w:r w:rsidRPr="00897682">
        <w:t xml:space="preserve">. </w:t>
      </w:r>
    </w:p>
    <w:p w14:paraId="397E2856" w14:textId="77777777" w:rsidR="00375582" w:rsidRDefault="00375582" w:rsidP="00871B9A">
      <w:pPr>
        <w:spacing w:line="240" w:lineRule="auto"/>
      </w:pPr>
    </w:p>
    <w:p w14:paraId="0024B091" w14:textId="77777777" w:rsidR="00EC0A0C" w:rsidRDefault="00EC0A0C" w:rsidP="00871B9A">
      <w:pPr>
        <w:spacing w:line="240" w:lineRule="auto"/>
      </w:pPr>
    </w:p>
    <w:p w14:paraId="135F4A19" w14:textId="77777777" w:rsidR="00EC0A0C" w:rsidRPr="00897682" w:rsidRDefault="00EC0A0C" w:rsidP="00871B9A">
      <w:pPr>
        <w:spacing w:line="240" w:lineRule="auto"/>
      </w:pPr>
    </w:p>
    <w:p w14:paraId="28336C70" w14:textId="58C22305" w:rsidR="00730C8E" w:rsidRPr="00897682" w:rsidRDefault="00730C8E" w:rsidP="001B494D">
      <w:pPr>
        <w:spacing w:line="240" w:lineRule="auto"/>
        <w:outlineLvl w:val="1"/>
        <w:rPr>
          <w:rFonts w:eastAsia="Times New Roman"/>
          <w:b/>
        </w:rPr>
      </w:pPr>
      <w:r w:rsidRPr="00897682">
        <w:rPr>
          <w:rFonts w:eastAsia="Times New Roman"/>
          <w:b/>
        </w:rPr>
        <w:lastRenderedPageBreak/>
        <w:t>Zhodnocení souladu navrhované právní úpravy s ústavním pořádkem České republiky, mezinárodními smlouvami, jimiž je Česká republika vázána, a s předpisy Evropské unie, judikaturou soudních orgánů Evropské unie nebo obecnými právními zásadami práva Evropské unie a judikaturou E</w:t>
      </w:r>
      <w:r w:rsidR="0063395A" w:rsidRPr="00897682">
        <w:rPr>
          <w:rFonts w:eastAsia="Times New Roman"/>
          <w:b/>
        </w:rPr>
        <w:t>vropského soudu pro lidská práva</w:t>
      </w:r>
    </w:p>
    <w:p w14:paraId="155DBFA0" w14:textId="15FDF729" w:rsidR="00DC4930" w:rsidRPr="00897682" w:rsidRDefault="00DC4930" w:rsidP="001B494D">
      <w:pPr>
        <w:spacing w:line="240" w:lineRule="auto"/>
        <w:outlineLvl w:val="1"/>
        <w:rPr>
          <w:rFonts w:eastAsia="Times New Roman"/>
          <w:bCs w:val="0"/>
          <w:i/>
          <w:iCs/>
        </w:rPr>
      </w:pPr>
      <w:r w:rsidRPr="00897682">
        <w:rPr>
          <w:rFonts w:eastAsia="Times New Roman"/>
          <w:bCs w:val="0"/>
          <w:i/>
          <w:iCs/>
        </w:rPr>
        <w:t xml:space="preserve">Ad 1. </w:t>
      </w:r>
    </w:p>
    <w:p w14:paraId="3961E665" w14:textId="3BF56053" w:rsidR="00750A56" w:rsidRPr="00897682" w:rsidRDefault="00BF3DCD" w:rsidP="003458D6">
      <w:pPr>
        <w:spacing w:line="240" w:lineRule="auto"/>
        <w:outlineLvl w:val="1"/>
        <w:rPr>
          <w:szCs w:val="24"/>
        </w:rPr>
      </w:pPr>
      <w:r w:rsidRPr="00897682">
        <w:rPr>
          <w:rFonts w:eastAsia="Times New Roman"/>
          <w:bCs w:val="0"/>
        </w:rPr>
        <w:t>Pokud jde o úpravu řízení o odvolání a mimořádných opravných prostředcích</w:t>
      </w:r>
      <w:r w:rsidR="003458D6" w:rsidRPr="00897682">
        <w:rPr>
          <w:rFonts w:eastAsia="Times New Roman"/>
          <w:bCs w:val="0"/>
        </w:rPr>
        <w:t xml:space="preserve">, z pohledu ústavních předpisů je </w:t>
      </w:r>
      <w:r w:rsidR="003458D6" w:rsidRPr="00897682">
        <w:rPr>
          <w:szCs w:val="24"/>
        </w:rPr>
        <w:t>relevantní zejména právo na zákonného soudce ve smyslu článku 38 odst. 1 Listiny základních práv a svobod</w:t>
      </w:r>
      <w:r w:rsidR="00750A56" w:rsidRPr="00897682">
        <w:rPr>
          <w:szCs w:val="24"/>
        </w:rPr>
        <w:t xml:space="preserve"> a článek 2 odst. 3 Ústavy, resp. čl</w:t>
      </w:r>
      <w:r w:rsidR="00B5745E" w:rsidRPr="00897682">
        <w:rPr>
          <w:szCs w:val="24"/>
        </w:rPr>
        <w:t>ánek</w:t>
      </w:r>
      <w:r w:rsidR="00750A56" w:rsidRPr="00897682">
        <w:rPr>
          <w:szCs w:val="24"/>
        </w:rPr>
        <w:t xml:space="preserve"> 2 odst. 2 Listiny základních práv a svobod, který stanoví, že státní moc je možno uplatňovat jen v případech, mezích a způsoby, které stanoví zákon, přirozeně při respektu k principu proporcionality plynoucímu z požadavku právního státu (čl. 1 odst. 1 Ústavy). Pokud se tak neděje, představuje jednání či akt státní moci svévoli. </w:t>
      </w:r>
    </w:p>
    <w:p w14:paraId="21258B4C" w14:textId="444FCC34" w:rsidR="003458D6" w:rsidRPr="00897682" w:rsidRDefault="003458D6" w:rsidP="003458D6">
      <w:pPr>
        <w:spacing w:line="240" w:lineRule="auto"/>
        <w:outlineLvl w:val="1"/>
        <w:rPr>
          <w:rFonts w:eastAsia="Times New Roman"/>
          <w:bCs w:val="0"/>
        </w:rPr>
      </w:pPr>
      <w:r w:rsidRPr="00897682">
        <w:rPr>
          <w:szCs w:val="24"/>
        </w:rPr>
        <w:t xml:space="preserve">V souvislosti s ústavně zaručeným právem </w:t>
      </w:r>
      <w:r w:rsidR="00A51E2F" w:rsidRPr="00897682">
        <w:rPr>
          <w:szCs w:val="24"/>
        </w:rPr>
        <w:t xml:space="preserve">na zákonného soudce </w:t>
      </w:r>
      <w:r w:rsidRPr="00897682">
        <w:rPr>
          <w:szCs w:val="24"/>
        </w:rPr>
        <w:t>se Ústavní soud zabýval postupy odvolacích soudů v trestním řízení podle § 262 tr. ř. poměrně často, v současnosti tedy již existuje poměrně bohatá judikatura Ústavního soudu k této otázce.</w:t>
      </w:r>
      <w:r w:rsidRPr="00897682">
        <w:rPr>
          <w:rStyle w:val="Znakapoznpodarou"/>
          <w:szCs w:val="24"/>
        </w:rPr>
        <w:footnoteReference w:id="3"/>
      </w:r>
      <w:r w:rsidRPr="00897682">
        <w:rPr>
          <w:szCs w:val="24"/>
        </w:rPr>
        <w:t xml:space="preserve"> V usnesení sp. zn. IV. ÚS 1222/20 ze dne 30. června 2020 se Ústavní soud zabýval návrhem na zrušení tohoto ustanovení. </w:t>
      </w:r>
    </w:p>
    <w:p w14:paraId="385DB75B" w14:textId="77777777" w:rsidR="003458D6" w:rsidRPr="00897682" w:rsidRDefault="003458D6" w:rsidP="003458D6">
      <w:pPr>
        <w:pStyle w:val="Textpoznpodarou"/>
        <w:spacing w:before="120"/>
        <w:jc w:val="both"/>
        <w:rPr>
          <w:sz w:val="24"/>
          <w:szCs w:val="24"/>
        </w:rPr>
      </w:pPr>
      <w:r w:rsidRPr="00897682">
        <w:rPr>
          <w:sz w:val="24"/>
          <w:szCs w:val="24"/>
        </w:rPr>
        <w:t>Ve své rozhodovací činnosti Ústavní soud zdůraznil, že postup podle § 262 tr. ř. je zcela výjimečný a že má jasně dané ústavněprávní mantinely (viz např. nález sp. zn. III. ÚS 90/95 ze dne 7. prosince 1995, usnesení I. ÚS 112/98 ze dne 14. července 1998). Vyzdvihl zejména nutnost, aby byla rozhodnutí odvolacích soudů náležitě odůvodněna. Musí tak obsahovat konkrétní výhrady vůči rozhodnutí soudu prvního stupně (viz např. nález sp. zn. IV. ÚS 4091/18 ze dne 5. února 2019).</w:t>
      </w:r>
    </w:p>
    <w:p w14:paraId="7E4FE23D" w14:textId="01B12456" w:rsidR="003458D6" w:rsidRPr="00897682" w:rsidRDefault="003458D6" w:rsidP="003458D6">
      <w:pPr>
        <w:pStyle w:val="Textpoznpodarou"/>
        <w:spacing w:before="120"/>
        <w:jc w:val="both"/>
        <w:rPr>
          <w:sz w:val="24"/>
          <w:szCs w:val="24"/>
        </w:rPr>
      </w:pPr>
      <w:r w:rsidRPr="00897682">
        <w:rPr>
          <w:sz w:val="24"/>
          <w:szCs w:val="24"/>
        </w:rPr>
        <w:t>Ústavní soud akceptuje, že ústavní právo na zákonného soudce se neuplatňuje absolutně v tom smyslu, že by za všech okolností bylo nutné trvat na projednání věci soudcem, resp. soudem určeným podle zákonných pravidel upravujících způsob ustavení senátu či samosoudce, který bude ve věci rozhodovat, zaručujících stabilitu obsazení soudu a zamezujících jeho svévolným změnám, pokud by to znamenalo porušení či pravděpodobné porušení jiných významných zásad spravedlivého procesu (zejména zásady nestrannosti a nezávislosti soudce)</w:t>
      </w:r>
      <w:r w:rsidR="002F4BDA" w:rsidRPr="00897682">
        <w:rPr>
          <w:sz w:val="24"/>
          <w:szCs w:val="24"/>
        </w:rPr>
        <w:t>,</w:t>
      </w:r>
      <w:r w:rsidRPr="00897682">
        <w:rPr>
          <w:sz w:val="24"/>
          <w:szCs w:val="24"/>
        </w:rPr>
        <w:t xml:space="preserve"> nebo pokud by to zpochybňovalo celkovou zákonnost řízení a objektivitu meritorního rozhodnutí.</w:t>
      </w:r>
      <w:r w:rsidRPr="00897682">
        <w:rPr>
          <w:b/>
          <w:sz w:val="24"/>
          <w:szCs w:val="24"/>
        </w:rPr>
        <w:t xml:space="preserve"> </w:t>
      </w:r>
      <w:r w:rsidRPr="00897682">
        <w:rPr>
          <w:sz w:val="24"/>
          <w:szCs w:val="24"/>
        </w:rPr>
        <w:t xml:space="preserve">Pokud jde o důvody, pro které lze ústavně konformně využít postup podle § 262 tr. ř., základním kritériem pro posouzení jejich existence je zejména to, zda u dosavadního senátu (resp. samosoudce) lze zajistit dodržení základních zásad trestního řízení, jak jsou uvedeny v § 2 trestního řádu, a vyloučit jakékoli pochybnosti o nestrannosti soudu jako principu uvedeného </w:t>
      </w:r>
      <w:r w:rsidR="002F4BDA" w:rsidRPr="00897682">
        <w:rPr>
          <w:sz w:val="24"/>
          <w:szCs w:val="24"/>
        </w:rPr>
        <w:br/>
      </w:r>
      <w:r w:rsidRPr="00897682">
        <w:rPr>
          <w:sz w:val="24"/>
          <w:szCs w:val="24"/>
        </w:rPr>
        <w:t>v čl</w:t>
      </w:r>
      <w:r w:rsidR="00B5745E" w:rsidRPr="00897682">
        <w:rPr>
          <w:sz w:val="24"/>
          <w:szCs w:val="24"/>
        </w:rPr>
        <w:t>ánku</w:t>
      </w:r>
      <w:r w:rsidRPr="00897682">
        <w:rPr>
          <w:sz w:val="24"/>
          <w:szCs w:val="24"/>
        </w:rPr>
        <w:t xml:space="preserve"> 36 odst. 1 Listiny.</w:t>
      </w:r>
    </w:p>
    <w:p w14:paraId="59A7499A" w14:textId="16CF85F6" w:rsidR="003458D6" w:rsidRPr="00897682" w:rsidRDefault="003458D6" w:rsidP="003458D6">
      <w:pPr>
        <w:spacing w:line="240" w:lineRule="auto"/>
      </w:pPr>
      <w:r w:rsidRPr="00897682">
        <w:t xml:space="preserve">V nálezu sp. zn. II. ÚS 3564/12 ze dne 5. 3. 2013 Ústavní soud stanovil, že postup odvolacího soudu podle § 262 tr. ř. je možné považovat za ústavně konformní pouze tehdy, jestliže je tento krok odůvodněn vysokou pravděpodobností, že v případě ponechání věci současnému soudci tento nebude schopen ukončit řízení způsobem, jenž by mohl odvolací soud aprobovat. </w:t>
      </w:r>
      <w:r w:rsidR="00B5657F" w:rsidRPr="00897682">
        <w:br/>
      </w:r>
      <w:r w:rsidRPr="00897682">
        <w:lastRenderedPageBreak/>
        <w:t xml:space="preserve">S ohledem na okolnosti se může jednat např. i o opakované nerespektování závazných pokynů odvolacího soudu. </w:t>
      </w:r>
    </w:p>
    <w:p w14:paraId="01BF7423" w14:textId="77777777" w:rsidR="003458D6" w:rsidRPr="00897682" w:rsidRDefault="003458D6" w:rsidP="003458D6">
      <w:pPr>
        <w:spacing w:line="240" w:lineRule="auto"/>
      </w:pPr>
      <w:r w:rsidRPr="00897682">
        <w:t xml:space="preserve">Ústavní soud ve své judikatuře rovněž odkazuje na judikaturu Nejvyššího soudu, </w:t>
      </w:r>
      <w:r w:rsidRPr="00897682">
        <w:br/>
        <w:t xml:space="preserve">např. na usnesení sp. zn. 11 Tdo 652/2015 ze dne 24. 6. 2015, v němž Nejvyšší soud uvedl, že použití výjimky zakotvené v citovaném ustanovení </w:t>
      </w:r>
      <w:r w:rsidRPr="00897682">
        <w:rPr>
          <w:i/>
        </w:rPr>
        <w:t xml:space="preserve">„je nutno posuzovat i s ohledem </w:t>
      </w:r>
      <w:r w:rsidRPr="00897682">
        <w:rPr>
          <w:i/>
        </w:rPr>
        <w:br/>
        <w:t>na ustanovení § 259 odst. 5 písm. a) tr. ř., dle něhož odvolací soud nemůže sám uznat obžalovaného vinným skutkem, pro nějž byl napadeným rozsudkem zproštěn. Použití ustanovení § 262 věta první tr. ř. […] je možností, jak ukončit opakovanou výměnu názorů mezi soudy prvního a druhého stupně a snahou vyhnout se tak bezúčelnému protahování trestního řízení. Použití citovaného ustanovení musí být motivováno snahou zajistit všechny roviny práva na spravedlivý proces, nikoliv snahou o jejich eliminaci.“</w:t>
      </w:r>
      <w:r w:rsidRPr="00897682">
        <w:t xml:space="preserve"> </w:t>
      </w:r>
    </w:p>
    <w:p w14:paraId="28D7185E" w14:textId="77777777" w:rsidR="003458D6" w:rsidRPr="00897682" w:rsidRDefault="003458D6" w:rsidP="003458D6">
      <w:pPr>
        <w:spacing w:line="240" w:lineRule="auto"/>
      </w:pPr>
      <w:r w:rsidRPr="00897682">
        <w:t xml:space="preserve">Ústavní soud dále rozvedl své úvahy ohledně podmínek aplikace předmětného ustanovení tak, že je nezbytné, aby v takovémto případě zrušující rozhodnutí odvolacího soudu vždy obsahovalo konkrétní výhrady k rozhodnutí soudu prvního stupně (srov. usnesení ze dne 14. července 1998 sp. zn. I. ÚS 112/98). </w:t>
      </w:r>
    </w:p>
    <w:p w14:paraId="40BDBEFF" w14:textId="77777777" w:rsidR="0002592A" w:rsidRPr="00897682" w:rsidRDefault="0002592A" w:rsidP="0002592A">
      <w:pPr>
        <w:pStyle w:val="Textpoznpodarou"/>
        <w:spacing w:before="120"/>
        <w:jc w:val="both"/>
        <w:rPr>
          <w:sz w:val="24"/>
          <w:szCs w:val="24"/>
        </w:rPr>
      </w:pPr>
      <w:r w:rsidRPr="00897682">
        <w:rPr>
          <w:sz w:val="24"/>
          <w:szCs w:val="24"/>
        </w:rPr>
        <w:t>Rekapitulaci ústavněprávních podmínek pro použití § 262 trestního řádu ze strany odvolacích soudů obsahuje nález pléna Ústavního soudu, sp. zn. Pl. ÚS 110/20 ze dne 27. července 2021. Ústavní soud využil této příležitosti, aby zdůraznil, že:</w:t>
      </w:r>
    </w:p>
    <w:p w14:paraId="4A5513C7" w14:textId="77777777" w:rsidR="0002592A" w:rsidRPr="00897682" w:rsidRDefault="0002592A" w:rsidP="0002592A">
      <w:pPr>
        <w:pStyle w:val="Textcitace"/>
        <w:ind w:left="0" w:right="0"/>
        <w:rPr>
          <w:rFonts w:ascii="Times New Roman" w:hAnsi="Times New Roman"/>
          <w:sz w:val="24"/>
          <w:szCs w:val="24"/>
        </w:rPr>
      </w:pPr>
      <w:r w:rsidRPr="00897682">
        <w:rPr>
          <w:rFonts w:ascii="Times New Roman" w:hAnsi="Times New Roman"/>
          <w:sz w:val="24"/>
          <w:szCs w:val="24"/>
        </w:rPr>
        <w:t>„43. (…) odnětí věci rozhodujícímu soudci podle tohoto ustanovení je mimořádným (výjimečným) procesním prostředkem, k jehož použití musejí být dány důležité důvody, které musejí být zřetelné, zřejmé a bezpochybné. Postup odvolacího soudu podle uvedeného ustanovení lze za ústavně konformní považovat pouze tehdy, je-li tento krok odůvodněn vysokou pravděpodobností, že v případě ponechání věci současnému soudci tento nebude schopen ukončit řízení způsobem, jejž by mohl odvolací soud aprobovat. Je přitom nezbytné, aby rozhodnutí odvolacího soudu vyjmenovávalo konkrétní pochybení soudu nalézacího. Zároveň platí, že uvedené ustanovení nevytváří odvolacímu soudu širší prostor k prosazení svého vlastního názoru na postup a závěry nalézacího soudu, než jaký mu vymezuje trestní řád, v to počítaje zákaz adresovaný odvolacímu soudu samostatně meritorně rozhodnout v případě předvídaném v § 259 odst. 5 písm. a) tr. ř. O porušení ústavně zaručených základních práv a svobod stěžovatele by šlo také v případech odnětí věci podle § 262 tr. ř., bylo-li by rozhodování soudu odvolacího projevem zjevné libovůle, a to zvláště tehdy, neodůvodnil-li by odvolací soud svůj závěr o nutnosti postupu podle § 262 tr. ř. náležitě nebo spočíval-li by takový závěr na důvodech evidentně nepřípadných (…).</w:t>
      </w:r>
    </w:p>
    <w:p w14:paraId="3CE49CA6" w14:textId="77777777" w:rsidR="0002592A" w:rsidRPr="00897682" w:rsidRDefault="0002592A" w:rsidP="0002592A">
      <w:pPr>
        <w:pStyle w:val="Textcitace"/>
        <w:ind w:left="0" w:right="0"/>
        <w:rPr>
          <w:rFonts w:ascii="Times New Roman" w:hAnsi="Times New Roman"/>
          <w:sz w:val="24"/>
          <w:szCs w:val="24"/>
        </w:rPr>
      </w:pPr>
      <w:r w:rsidRPr="00897682">
        <w:rPr>
          <w:rFonts w:ascii="Times New Roman" w:hAnsi="Times New Roman"/>
          <w:sz w:val="24"/>
          <w:szCs w:val="24"/>
        </w:rPr>
        <w:t>44. (…) použití § 262 tr. ř. je nerozlučně svázáno s výhradami, které má odvolací soud vůči rozhodnutí soudu prvního stupně či jeho postupu a pro které ruší jeho rozhodnutí a věc vrací soudu prvního stupně. Podle § 263 odst. 7 tr. ř. přitom platí, že z hlediska změny nebo doplnění skutkových zjištění může odvolací soud přihlížet jen k důkazům, které byly provedeny ve veřejném zasedání před odvolacím soudem; tyto důkazy hodnotí v návaznosti na důkazy provedené soudem prvního stupně v hlavním líčení. Odvolací soud je vázán hodnocením těchto důkazů soudem prvního stupně s výjimkou těch důkazů, které odvolací soud sám ve veřejném zasedání znovu provedl.</w:t>
      </w:r>
    </w:p>
    <w:p w14:paraId="295A609A" w14:textId="70D7FD34" w:rsidR="0002592A" w:rsidRPr="00897682" w:rsidRDefault="0002592A" w:rsidP="0002592A">
      <w:pPr>
        <w:pStyle w:val="Textcitace"/>
        <w:ind w:left="0" w:right="0"/>
        <w:rPr>
          <w:rFonts w:ascii="Times New Roman" w:hAnsi="Times New Roman"/>
          <w:sz w:val="24"/>
          <w:szCs w:val="24"/>
        </w:rPr>
      </w:pPr>
      <w:r w:rsidRPr="00897682">
        <w:rPr>
          <w:rFonts w:ascii="Times New Roman" w:hAnsi="Times New Roman"/>
          <w:sz w:val="24"/>
          <w:szCs w:val="24"/>
        </w:rPr>
        <w:t xml:space="preserve">45. (…) odvolací soud nemůže závazně hodnotit důkazy, které sám neprovede, a nemůže si ani na soudech nižších stupňů jiné konkrétní hodnocení důkazů vynucovat (…). Odvolací soud tedy nesmí sám nahrazovat hodnocení důkazů, které provedl pouze soud prvního stupně, a tím své vlastní hodnocení, skrze zákonem danou závaznost názorů vyššího soudu, prosazovat navzdory zásadě ústnosti a přímosti trestního řízení. Naproti tomu může odvolací soud rozvést, proč jsou skutková zjištění nalézacího soudu vadná, v čem je třeba je doplnit, popř. k jakým důkazům je třeba ještě přihlédnout (…). Odvolací soud proto např. může zavázat soud prvního stupně, aby </w:t>
      </w:r>
      <w:r w:rsidRPr="00897682">
        <w:rPr>
          <w:rFonts w:ascii="Times New Roman" w:hAnsi="Times New Roman"/>
          <w:sz w:val="24"/>
          <w:szCs w:val="24"/>
        </w:rPr>
        <w:lastRenderedPageBreak/>
        <w:t xml:space="preserve">se vypořádal se všemi okolnostmi významnými pro rozhodnutí, odstranil nejasnosti nebo neúplnosti svých skutkových zjištění, případně aby některé důkazy zopakoval nebo provedl další důkazy. Dostojí-li však rozhodnutí soudu prvního stupně těmto požadavkům, nemůže ho odvolací soud zrušit pouze z důvodu, aby prosadil své hodnocení takto provedených důkazů a </w:t>
      </w:r>
      <w:r w:rsidRPr="00897682">
        <w:rPr>
          <w:rFonts w:ascii="Times New Roman" w:hAnsi="Times New Roman"/>
          <w:sz w:val="24"/>
          <w:szCs w:val="24"/>
        </w:rPr>
        <w:br/>
        <w:t>z něho plynoucí závěry ohledně skutkových zjištění (…).“</w:t>
      </w:r>
    </w:p>
    <w:p w14:paraId="2919AC87" w14:textId="5A0AC71C" w:rsidR="0002592A" w:rsidRPr="00897682" w:rsidRDefault="0002592A" w:rsidP="0002592A">
      <w:pPr>
        <w:spacing w:line="240" w:lineRule="auto"/>
      </w:pPr>
      <w:r w:rsidRPr="00897682">
        <w:t>V návaznosti na uvedenou judikaturu se navrhuje taxativně vymezit důvody, pro které může být tento výjimečný postup použit. Navržená úprava je s</w:t>
      </w:r>
      <w:r w:rsidR="009C40BA" w:rsidRPr="00897682">
        <w:t xml:space="preserve"> výše </w:t>
      </w:r>
      <w:r w:rsidRPr="00897682">
        <w:t xml:space="preserve">uvedenou judikaturou v souladu, </w:t>
      </w:r>
      <w:r w:rsidR="00FC034B" w:rsidRPr="00897682">
        <w:t>z</w:t>
      </w:r>
      <w:r w:rsidRPr="00897682">
        <w:t>ároveň zdůrazňuje, že pokud je důležitým důvodem opakované dostatečné nevypořádání se s pochybností o správnosti skutkových zjištění, musí odvolací soud nejprve sám provést důkazy, které jsou z pohledu uplatněných výtek relevantní. Tím je zákonem opakovaně zdůrazněn princip, který zdůrazňuje ve svých rozhodnutích i Ústavní soud.</w:t>
      </w:r>
    </w:p>
    <w:p w14:paraId="33A03C2E" w14:textId="6127364A" w:rsidR="003458D6" w:rsidRPr="00897682" w:rsidRDefault="009E6FC9" w:rsidP="003458D6">
      <w:pPr>
        <w:spacing w:line="240" w:lineRule="auto"/>
      </w:pPr>
      <w:r w:rsidRPr="00897682">
        <w:t xml:space="preserve">Pokud jde o pokyny, které může odvolací soud dát prvoinstančnímu soudu, </w:t>
      </w:r>
      <w:r w:rsidR="003458D6" w:rsidRPr="00897682">
        <w:t xml:space="preserve">Ústavní soud konstatoval, že za výhrady stran vnitřní rozpornosti a nelogičnosti hodnocení důkazů nelze skrývat snahu odvolacího soudu rozšířit svůj zákonem vymezený prostor k prosazení svého názoru na postup a závěry soudu prvního stupně, ať už jde o oprávnění ve věci sám meritorně rozhodnout, nebo pouze zrušit rozsudek soudu prvního stupně a vrátit věc tomuto soudu </w:t>
      </w:r>
      <w:r w:rsidR="0002592A" w:rsidRPr="00897682">
        <w:br/>
      </w:r>
      <w:r w:rsidR="003458D6" w:rsidRPr="00897682">
        <w:t>k novému projednání a rozhodnutí. Dle konstantní judikatury Ústavního soudu i Nejvyššího soudu tedy odvolací soud nemůže zrušit rozsudek soudu prvního stupně pouze z toho důvodu, aby prosadil své vlastní hodnocení provedených důkazů (srov. např. nález sp. zn. I. ÚS 1922/09 ze dne 7. 9. 2009, nález sp. zn. I. ÚS 109/11 ze dne 14. 4. 2011, nález sp. zn. II. ÚS 3564/12 ze dne 5. 3. 2013, usnesení Nejvyššího soudu sp. zn. 11 Tdo 652/2015 ze dne 24. 6. 2015).</w:t>
      </w:r>
    </w:p>
    <w:p w14:paraId="253180BC" w14:textId="1309A852" w:rsidR="003458D6" w:rsidRPr="00897682" w:rsidRDefault="00742161" w:rsidP="003458D6">
      <w:pPr>
        <w:spacing w:line="240" w:lineRule="auto"/>
      </w:pPr>
      <w:r w:rsidRPr="00897682">
        <w:t>V</w:t>
      </w:r>
      <w:r w:rsidR="003458D6" w:rsidRPr="00897682">
        <w:t xml:space="preserve">ymezení, kam až sahají hranice prostoru, jenž je odvolacímu soudu vymezen k prosazení svého názoru na postup a závěry prvostupňového soudu, </w:t>
      </w:r>
      <w:r w:rsidRPr="00897682">
        <w:t xml:space="preserve">učinil Ústavní soud ve výše citovaném nálezu </w:t>
      </w:r>
      <w:r w:rsidRPr="00897682">
        <w:rPr>
          <w:rFonts w:eastAsia="Times New Roman"/>
          <w:bCs w:val="0"/>
        </w:rPr>
        <w:t xml:space="preserve">sp. zn. I. ÚS 1365/21. </w:t>
      </w:r>
    </w:p>
    <w:p w14:paraId="772485D5" w14:textId="14CEFACA" w:rsidR="003458D6" w:rsidRPr="00897682" w:rsidRDefault="003458D6" w:rsidP="003458D6">
      <w:pPr>
        <w:spacing w:line="240" w:lineRule="auto"/>
      </w:pPr>
      <w:r w:rsidRPr="00897682">
        <w:t>Ústavní soud také</w:t>
      </w:r>
      <w:r w:rsidR="00D96EC1" w:rsidRPr="00897682">
        <w:t xml:space="preserve"> </w:t>
      </w:r>
      <w:r w:rsidRPr="00897682">
        <w:t>uvedl, že otázka určení limitů pravomoci odvolacího soudu zasahovat do skutkových zjištění soudu prvního stupně</w:t>
      </w:r>
      <w:r w:rsidR="00D96EC1" w:rsidRPr="00897682">
        <w:t xml:space="preserve"> </w:t>
      </w:r>
      <w:r w:rsidRPr="00897682">
        <w:t>není záležitostí pouze podústavního práva, ale má přesah i do oblasti ústavního práva, konkrétně do ústavně zaručeného práva jednotlivce na spravedlivý proces. Ústavní soud uvedl, že je v rozporu s právem na spravedlivý proces, pokud odvolací soud nad rámec svého zákonného oprávnění, jakož i procesních pravidel pro dokazování, spekulativně mění skutková zjištění nalézacího soudu, aniž by provedl všechny relevantní důkazy, z nichž tato skutková zjištění vyplývají (nález sp. zn. I. ÚS 3235/15 ze dne 26. 4. 2016).</w:t>
      </w:r>
    </w:p>
    <w:p w14:paraId="3D9F3FC0" w14:textId="15BC5FD9" w:rsidR="002C21C8" w:rsidRPr="00897682" w:rsidRDefault="003458D6" w:rsidP="002C21C8">
      <w:pPr>
        <w:spacing w:line="240" w:lineRule="auto"/>
        <w:outlineLvl w:val="1"/>
        <w:rPr>
          <w:rFonts w:eastAsia="Times New Roman"/>
        </w:rPr>
      </w:pPr>
      <w:r w:rsidRPr="00897682">
        <w:rPr>
          <w:szCs w:val="24"/>
        </w:rPr>
        <w:t>Pokud měl Ústavní soud za to, že odvolací soud nepatřičně zasáhl do skutkových zjištění prvostupňového soudu, již v několika případech neváhal zakročit (viz např. nález sp. zn. I. ÚS 794/16 ze dne 21. června 2016</w:t>
      </w:r>
      <w:r w:rsidR="002C21C8" w:rsidRPr="00897682">
        <w:rPr>
          <w:szCs w:val="24"/>
        </w:rPr>
        <w:t xml:space="preserve"> nebo </w:t>
      </w:r>
      <w:r w:rsidR="002C21C8" w:rsidRPr="00897682">
        <w:rPr>
          <w:rFonts w:eastAsia="Times New Roman"/>
        </w:rPr>
        <w:t>nález Ústavního soudu ze dne 21. 3. 2023, sp. zn. IV. ÚS 2980/22</w:t>
      </w:r>
      <w:r w:rsidR="006971DF" w:rsidRPr="00897682">
        <w:rPr>
          <w:rFonts w:eastAsia="Times New Roman"/>
        </w:rPr>
        <w:t>)</w:t>
      </w:r>
      <w:r w:rsidR="002C21C8" w:rsidRPr="00897682">
        <w:rPr>
          <w:rFonts w:eastAsia="Times New Roman"/>
        </w:rPr>
        <w:t>. </w:t>
      </w:r>
    </w:p>
    <w:p w14:paraId="16FC13CF" w14:textId="512176DD" w:rsidR="00C819BB" w:rsidRPr="00C819BB" w:rsidRDefault="00C819BB" w:rsidP="00C819BB">
      <w:pPr>
        <w:spacing w:line="240" w:lineRule="auto"/>
      </w:pPr>
      <w:r w:rsidRPr="00C819BB">
        <w:t>Z tohoto ustáleného výkladu vybočil nález Ústavního soudu IV. ÚS 2980/22 ze dne 21. 3. 2023, který připustil, že odvolací soud může zavázat prvoinstanční soud k tomu, aby obžalovaného uznal vinným určitým trestným činem v případě, že odvolací soud ve veřejném zasedání o</w:t>
      </w:r>
      <w:r>
        <w:t> </w:t>
      </w:r>
      <w:r w:rsidRPr="00C819BB">
        <w:t>odvolání při zachování všech garancí kontradiktornosti řízení a práva na obhajobu zopakuje důkaz či důkazy, z nichž soud prvního stupně tato skutková zjištění učinil, a změní odpovídající skutková zjištění, přičemž dospěje k závěru, že možnosti dokazování již byly vyčerpány, skutkový stav byl v rozsahu nutném pro rozhodnutí zjištěn bez důvodných pochybností a je na místě vydat takové rozhodnutí, které sám vydat nemůže z důvodu zákonné překážky podle §</w:t>
      </w:r>
      <w:r w:rsidR="00653973">
        <w:t> </w:t>
      </w:r>
      <w:r w:rsidRPr="00C819BB">
        <w:t xml:space="preserve">259 odst. 5 tr. ř. Navržená úprava si klade za cíl navázat na většinovou judikaturu Ústavního soudu, neboť předkladatel má za to, že takový významný judikatorní posun by se měl stát cestou plenárního nálezu Ústavního soudu, když je třeba se vypořádat zejména s dopady na zásadu </w:t>
      </w:r>
      <w:r w:rsidRPr="00C819BB">
        <w:lastRenderedPageBreak/>
        <w:t xml:space="preserve">bezprostřednosti a volného hodnocení důkazů, přičemž </w:t>
      </w:r>
      <w:r w:rsidR="00617393">
        <w:t xml:space="preserve">je </w:t>
      </w:r>
      <w:r w:rsidRPr="00C819BB">
        <w:t xml:space="preserve">primárně </w:t>
      </w:r>
      <w:r w:rsidR="00617393">
        <w:t xml:space="preserve">věcí </w:t>
      </w:r>
      <w:r w:rsidRPr="00C819BB">
        <w:t>zá</w:t>
      </w:r>
      <w:r w:rsidR="00617393">
        <w:t>kona upravit</w:t>
      </w:r>
      <w:r w:rsidRPr="00C819BB">
        <w:t xml:space="preserve">, v jakých otázkách je, anebo není nalézací soud </w:t>
      </w:r>
      <w:r w:rsidR="00617393">
        <w:t xml:space="preserve">vázán </w:t>
      </w:r>
      <w:r w:rsidRPr="00C819BB">
        <w:t>názorem odvolacího soudu.</w:t>
      </w:r>
    </w:p>
    <w:p w14:paraId="7661CD78" w14:textId="32D2865E" w:rsidR="003458D6" w:rsidRPr="00897682" w:rsidRDefault="003458D6" w:rsidP="003458D6">
      <w:pPr>
        <w:spacing w:line="240" w:lineRule="auto"/>
      </w:pPr>
      <w:r w:rsidRPr="00897682">
        <w:t xml:space="preserve">Pokud jde o Úmluvu a judikaturu </w:t>
      </w:r>
      <w:r w:rsidR="00D31457" w:rsidRPr="00897682">
        <w:t>E</w:t>
      </w:r>
      <w:r w:rsidR="00524836" w:rsidRPr="00897682">
        <w:t>SLP</w:t>
      </w:r>
      <w:r w:rsidRPr="00897682">
        <w:t xml:space="preserve">, z hlediska navržené právní úpravy je významný zejména článek 6 odst. 1 Úmluvy zakotvující právo na spravedlivý proces. </w:t>
      </w:r>
      <w:r w:rsidR="00D31457" w:rsidRPr="00897682">
        <w:t xml:space="preserve">Významný je v této věci rozsudek </w:t>
      </w:r>
      <w:r w:rsidRPr="00897682">
        <w:t xml:space="preserve">ve věci </w:t>
      </w:r>
      <w:r w:rsidRPr="00897682">
        <w:rPr>
          <w:i/>
        </w:rPr>
        <w:t>Tempel proti České republice</w:t>
      </w:r>
      <w:r w:rsidRPr="00897682">
        <w:t xml:space="preserve"> jednak tím, že </w:t>
      </w:r>
      <w:r w:rsidR="00245EF1" w:rsidRPr="00897682">
        <w:t>uvádí</w:t>
      </w:r>
      <w:r w:rsidRPr="00897682">
        <w:t xml:space="preserve"> důvod</w:t>
      </w:r>
      <w:r w:rsidR="00245EF1" w:rsidRPr="00897682">
        <w:t>y,</w:t>
      </w:r>
      <w:r w:rsidRPr="00897682">
        <w:t xml:space="preserve"> pro </w:t>
      </w:r>
      <w:r w:rsidR="00245EF1" w:rsidRPr="00897682">
        <w:t>které je možné postupovat podle § 262 tr. ř.</w:t>
      </w:r>
      <w:r w:rsidRPr="00897682">
        <w:t xml:space="preserve">, a jednak tím, že výslovně zdůrazňuje požadavek na předchozí provedení relevantních důkazů odvolacím soudem, pokud důvodem takového postupu má být opakované dostatečné nevypořádání se s výtkami odvolacího soudu stran skutkových zjištění. </w:t>
      </w:r>
    </w:p>
    <w:p w14:paraId="2114716D" w14:textId="5C1FC8E4" w:rsidR="003458D6" w:rsidRPr="00897682" w:rsidRDefault="003458D6" w:rsidP="003458D6">
      <w:pPr>
        <w:spacing w:line="240" w:lineRule="auto"/>
      </w:pPr>
      <w:r w:rsidRPr="00897682">
        <w:t xml:space="preserve">Z pohledu judikatury </w:t>
      </w:r>
      <w:r w:rsidR="00524836" w:rsidRPr="00897682">
        <w:t xml:space="preserve">ESLP </w:t>
      </w:r>
      <w:r w:rsidRPr="00897682">
        <w:t>ve vztahu k právu na spravedlivý proces je pro rozhodnutí podle §</w:t>
      </w:r>
      <w:r w:rsidR="00947613" w:rsidRPr="00897682">
        <w:t> </w:t>
      </w:r>
      <w:r w:rsidRPr="00897682">
        <w:t>262 tr. ř. relevantní také požadavek na řádné odůvodnění takového postupu, aby se nejednalo o projev libovůle odvolacího soudu.  Při interpretaci čl</w:t>
      </w:r>
      <w:r w:rsidR="00B5745E" w:rsidRPr="00897682">
        <w:t>ánku</w:t>
      </w:r>
      <w:r w:rsidRPr="00897682">
        <w:t xml:space="preserve"> 6 odst. 1 Úmluvy dospěl </w:t>
      </w:r>
      <w:r w:rsidR="00840379" w:rsidRPr="00897682">
        <w:t>ESLP</w:t>
      </w:r>
      <w:r w:rsidRPr="00897682">
        <w:t xml:space="preserve"> k</w:t>
      </w:r>
      <w:r w:rsidR="00B5745E" w:rsidRPr="00897682">
        <w:t> </w:t>
      </w:r>
      <w:r w:rsidRPr="00897682">
        <w:t xml:space="preserve">závěru, že </w:t>
      </w:r>
      <w:r w:rsidRPr="00897682">
        <w:rPr>
          <w:i/>
        </w:rPr>
        <w:t>„čl. 6 odst. 1 Úmluvy zavazuje soudy uvést důvody pro svá rozhodnutí, i když toto ustanovení nelze interpretovat tak, že vyžaduje detailní odpověď na každý argument vznesený stranami.“</w:t>
      </w:r>
      <w:r w:rsidRPr="00897682">
        <w:t xml:space="preserve"> (srov. např. rozsudek ve věci </w:t>
      </w:r>
      <w:r w:rsidRPr="00897682">
        <w:rPr>
          <w:i/>
          <w:iCs/>
        </w:rPr>
        <w:t>Ruiz Torija proti Španělsku</w:t>
      </w:r>
      <w:r w:rsidRPr="00897682">
        <w:t xml:space="preserve"> ze dne 9. 12. 1994, č. 18390/91 nebo rozsudek ve věci </w:t>
      </w:r>
      <w:r w:rsidRPr="00897682">
        <w:rPr>
          <w:i/>
          <w:iCs/>
        </w:rPr>
        <w:t>Van De Hurk</w:t>
      </w:r>
      <w:r w:rsidRPr="00897682">
        <w:t xml:space="preserve"> </w:t>
      </w:r>
      <w:r w:rsidRPr="00897682">
        <w:rPr>
          <w:i/>
          <w:iCs/>
        </w:rPr>
        <w:t>proti Nizozemsku</w:t>
      </w:r>
      <w:r w:rsidRPr="00897682">
        <w:t xml:space="preserve"> ze dne 19. 4. 1994, č. 16034/90). V rozsudku ve věci </w:t>
      </w:r>
      <w:r w:rsidRPr="00897682">
        <w:rPr>
          <w:i/>
          <w:iCs/>
        </w:rPr>
        <w:t>Boldea proti Rumunsku</w:t>
      </w:r>
      <w:r w:rsidRPr="00897682">
        <w:t xml:space="preserve"> ze dne 15. 2. 2007, č. 19997/02, </w:t>
      </w:r>
      <w:r w:rsidR="00B921EB" w:rsidRPr="00897682">
        <w:t>ESLP</w:t>
      </w:r>
      <w:r w:rsidRPr="00897682">
        <w:t xml:space="preserve"> konstatoval, že </w:t>
      </w:r>
      <w:r w:rsidRPr="00897682">
        <w:rPr>
          <w:i/>
        </w:rPr>
        <w:t>„z</w:t>
      </w:r>
      <w:r w:rsidR="00947613" w:rsidRPr="00897682">
        <w:rPr>
          <w:i/>
        </w:rPr>
        <w:t> </w:t>
      </w:r>
      <w:r w:rsidRPr="00897682">
        <w:rPr>
          <w:i/>
        </w:rPr>
        <w:t>rozhodnutí musí jednoznačně vyplývat, že hlavní otázky posuzovaného případu byly náležitě posouzeny.“</w:t>
      </w:r>
      <w:r w:rsidRPr="00897682">
        <w:t xml:space="preserve"> Tomuto požadavku odpovídají nároky kladené na odůvodnění </w:t>
      </w:r>
      <w:r w:rsidR="00185130" w:rsidRPr="00897682">
        <w:t xml:space="preserve">rozsudku a </w:t>
      </w:r>
      <w:r w:rsidRPr="00897682">
        <w:t xml:space="preserve">usnesení podle </w:t>
      </w:r>
      <w:r w:rsidR="00185130" w:rsidRPr="00897682">
        <w:t xml:space="preserve">§ 125 tr. ř. a </w:t>
      </w:r>
      <w:r w:rsidRPr="00897682">
        <w:t>§ 134 odst. 2 tr. ř.</w:t>
      </w:r>
    </w:p>
    <w:p w14:paraId="15058BC7" w14:textId="77777777" w:rsidR="00DC4930" w:rsidRPr="00897682" w:rsidRDefault="00DC4930" w:rsidP="00DC4930">
      <w:pPr>
        <w:spacing w:line="240" w:lineRule="auto"/>
      </w:pPr>
      <w:r w:rsidRPr="00897682">
        <w:t>Pokud jde o jiné mezinárodní smlouvy, kterými je Česká republika vázána, lze zmínit zejména článek 14 Mezinárodního paktu o občanských a politických právech zaručující právo na spravedlivý proces.</w:t>
      </w:r>
    </w:p>
    <w:p w14:paraId="10D00E10" w14:textId="77777777" w:rsidR="00DC4930" w:rsidRPr="00897682" w:rsidRDefault="00DC4930" w:rsidP="00DC4930">
      <w:pPr>
        <w:spacing w:line="240" w:lineRule="auto"/>
      </w:pPr>
      <w:r w:rsidRPr="00897682">
        <w:t xml:space="preserve">Předpisy Evropské unie danou problematiku specificky neupravují, v obecné rovině zakotvuje právo na spravedlivý proces článek 47 Listiny základních práv Evropské unie. </w:t>
      </w:r>
    </w:p>
    <w:p w14:paraId="340EF5F4" w14:textId="70D4832F" w:rsidR="00630EEC" w:rsidRPr="00897682" w:rsidRDefault="00DC4930" w:rsidP="003458D6">
      <w:pPr>
        <w:spacing w:line="240" w:lineRule="auto"/>
        <w:rPr>
          <w:i/>
          <w:iCs/>
        </w:rPr>
      </w:pPr>
      <w:r w:rsidRPr="00897682">
        <w:rPr>
          <w:i/>
          <w:iCs/>
        </w:rPr>
        <w:t xml:space="preserve">Ad 2. </w:t>
      </w:r>
    </w:p>
    <w:p w14:paraId="5BC951E5" w14:textId="7D56C90B" w:rsidR="00DC4930" w:rsidRPr="00897682" w:rsidRDefault="00DC4930" w:rsidP="003458D6">
      <w:pPr>
        <w:spacing w:line="240" w:lineRule="auto"/>
      </w:pPr>
      <w:r w:rsidRPr="00897682">
        <w:t xml:space="preserve">Z hlediska ochrany důvěrnosti komunikace je relevantní zejména článek </w:t>
      </w:r>
      <w:r w:rsidR="00B75E00" w:rsidRPr="00897682">
        <w:t>7 odst. 1 Listiny základních práv a svobod (nedotknutelnost soukromí)</w:t>
      </w:r>
      <w:r w:rsidR="000239AA" w:rsidRPr="00897682">
        <w:t xml:space="preserve">, </w:t>
      </w:r>
      <w:r w:rsidR="00B75E00" w:rsidRPr="00897682">
        <w:t xml:space="preserve">článek </w:t>
      </w:r>
      <w:r w:rsidRPr="00897682">
        <w:t>13 Listiny základních práv a</w:t>
      </w:r>
      <w:r w:rsidR="000239AA" w:rsidRPr="00897682">
        <w:t> </w:t>
      </w:r>
      <w:r w:rsidRPr="00897682">
        <w:t xml:space="preserve">svobod chránící listovní tajemství listin a jiných zpráv přenášených nebo uchovávaných v soukromí a článek 36 zaručující právo na soudní ochranu. Z pohledu Úmluvy pak jde </w:t>
      </w:r>
      <w:r w:rsidR="0000211B" w:rsidRPr="00897682">
        <w:t xml:space="preserve">zejména </w:t>
      </w:r>
      <w:r w:rsidRPr="00897682">
        <w:t xml:space="preserve">o článek 6, 8 a 13. </w:t>
      </w:r>
    </w:p>
    <w:p w14:paraId="7999B40F" w14:textId="09FAF40B" w:rsidR="000E40C3" w:rsidRPr="00897682" w:rsidRDefault="000E40C3" w:rsidP="000E40C3">
      <w:pPr>
        <w:spacing w:line="240" w:lineRule="auto"/>
      </w:pPr>
      <w:r w:rsidRPr="00897682">
        <w:t xml:space="preserve">Navržená úprava tyto články respektuje a je s nimi v souladu, neboť posiluje princip důvěrnosti komunikace mezi obviněným a jeho obhájcem (podezřelým a jeho advokátem). </w:t>
      </w:r>
    </w:p>
    <w:p w14:paraId="4A2957DF" w14:textId="2FB72B4F" w:rsidR="00BB0E1C" w:rsidRPr="00897682" w:rsidRDefault="00F0229C" w:rsidP="000E40C3">
      <w:pPr>
        <w:spacing w:line="240" w:lineRule="auto"/>
      </w:pPr>
      <w:r w:rsidRPr="00897682">
        <w:t>Ústavní soud se otázce důvěrnosti při výkonu advokacie věnoval např. v nálezu sp. zn. </w:t>
      </w:r>
      <w:r w:rsidR="00AF305C" w:rsidRPr="00897682">
        <w:t>II. ÚS 3533/18</w:t>
      </w:r>
      <w:r w:rsidR="00A74220" w:rsidRPr="00897682">
        <w:t xml:space="preserve">, v němž uvedl, že </w:t>
      </w:r>
      <w:r w:rsidRPr="00897682">
        <w:t xml:space="preserve">povinnost mlčenlivosti je základním předpokladem pro poskytování právní pomoci a tím i nezbytnou podmínkou fungování demokratické společnosti. Advokáti totiž v demokratické společnosti vykonávají zásadní úlohu, obhajobu stran sporu v soudním řízení, kterou by nebyli schopni zajistit, pokud by nemohli zaručit důvěrnost výměny informací </w:t>
      </w:r>
      <w:r w:rsidR="008E3072" w:rsidRPr="00897682">
        <w:t>(</w:t>
      </w:r>
      <w:r w:rsidRPr="00897682">
        <w:t xml:space="preserve">srov. rozsudek </w:t>
      </w:r>
      <w:r w:rsidR="00524836" w:rsidRPr="00897682">
        <w:t xml:space="preserve">ESLP </w:t>
      </w:r>
      <w:r w:rsidRPr="00897682">
        <w:t xml:space="preserve">ve věci </w:t>
      </w:r>
      <w:r w:rsidRPr="00897682">
        <w:rPr>
          <w:i/>
          <w:iCs/>
        </w:rPr>
        <w:t>Michaud proti Francii</w:t>
      </w:r>
      <w:r w:rsidRPr="00897682">
        <w:t xml:space="preserve"> ze dne 6. 12. 2012, č. stížnosti 12323/11</w:t>
      </w:r>
      <w:r w:rsidR="008E3072" w:rsidRPr="00897682">
        <w:t>).</w:t>
      </w:r>
      <w:r w:rsidRPr="00897682">
        <w:t xml:space="preserve"> Výkon profese advokáta totiž vychází z důvěrného vztahu mezi advokátem a klientem a</w:t>
      </w:r>
      <w:r w:rsidR="00FC6690" w:rsidRPr="00897682">
        <w:t> </w:t>
      </w:r>
      <w:r w:rsidRPr="00897682">
        <w:t>z</w:t>
      </w:r>
      <w:r w:rsidR="00FC6690" w:rsidRPr="00897682">
        <w:t> </w:t>
      </w:r>
      <w:r w:rsidRPr="00897682">
        <w:t xml:space="preserve">důvěry klienta v mlčenlivost advokáta </w:t>
      </w:r>
      <w:r w:rsidR="008E3072" w:rsidRPr="00897682">
        <w:t>(</w:t>
      </w:r>
      <w:r w:rsidRPr="00897682">
        <w:t>srov. např. nález sp. zn. </w:t>
      </w:r>
      <w:r w:rsidR="008E3072" w:rsidRPr="00897682">
        <w:t>IV. ÚS 799/15</w:t>
      </w:r>
      <w:r w:rsidRPr="00897682">
        <w:t xml:space="preserve"> ze dne 9. 7. 2015</w:t>
      </w:r>
      <w:r w:rsidR="008E3072" w:rsidRPr="00897682">
        <w:t>)</w:t>
      </w:r>
      <w:r w:rsidRPr="00897682">
        <w:t>. Nejedná se proto o výsadu advokáta, která by měla založit jeho vynětí z obecně platného a závazného právního řádu, nýbrž jde o povinnost uloženou advokátovi v zájmu jeho klientů a</w:t>
      </w:r>
      <w:r w:rsidR="00310B42" w:rsidRPr="00897682">
        <w:t> </w:t>
      </w:r>
      <w:r w:rsidRPr="00897682">
        <w:t>pro jejich ochranu. V tomto smyslu také profesionální tajemství a jeho dodržování advokátem požívá příslušné ochrany. Svým významem je tedy advokátní mlčenlivost součástí práva na spravedlivý proces (srov. usnesení sp. zn. </w:t>
      </w:r>
      <w:r w:rsidR="00BB0E1C" w:rsidRPr="00897682">
        <w:t xml:space="preserve">III. ÚS 3988/13 </w:t>
      </w:r>
      <w:r w:rsidRPr="00897682">
        <w:t>ze dne 24. 3. 2014).</w:t>
      </w:r>
    </w:p>
    <w:p w14:paraId="27FD824D" w14:textId="1B244FC0" w:rsidR="00C3113F" w:rsidRPr="00897682" w:rsidRDefault="00C3113F" w:rsidP="00C3113F">
      <w:pPr>
        <w:pStyle w:val="Textodstavce"/>
        <w:ind w:firstLine="0"/>
        <w:rPr>
          <w:rFonts w:ascii="Times New Roman" w:hAnsi="Times New Roman"/>
          <w:sz w:val="24"/>
          <w:szCs w:val="24"/>
        </w:rPr>
      </w:pPr>
      <w:r w:rsidRPr="00897682">
        <w:rPr>
          <w:rFonts w:ascii="Times New Roman" w:hAnsi="Times New Roman"/>
          <w:sz w:val="24"/>
          <w:szCs w:val="24"/>
        </w:rPr>
        <w:lastRenderedPageBreak/>
        <w:t xml:space="preserve">Nejvyšší soud v rozsudku ze dne 16. dubna 2025, sp. zn. </w:t>
      </w:r>
      <w:hyperlink r:id="rId8" w:history="1">
        <w:r w:rsidRPr="00897682">
          <w:rPr>
            <w:rStyle w:val="Hypertextovodkaz"/>
            <w:rFonts w:ascii="Times New Roman" w:hAnsi="Times New Roman"/>
            <w:color w:val="auto"/>
            <w:sz w:val="24"/>
            <w:szCs w:val="24"/>
            <w:u w:val="none"/>
          </w:rPr>
          <w:t>30 Cdo 1849/2024</w:t>
        </w:r>
      </w:hyperlink>
      <w:r w:rsidRPr="00897682">
        <w:rPr>
          <w:rFonts w:ascii="Times New Roman" w:hAnsi="Times New Roman"/>
          <w:sz w:val="24"/>
          <w:szCs w:val="24"/>
        </w:rPr>
        <w:t>, body 62–63, podotkl, že vytříděná komunikace by se neměla zakládat přímo do spisu, na místě je vytvořit přílohu uchovávanou zvlášť (mimo spis) a do spisu učinit jen záznam o tom, že tak soud učinil a kde je příloha uložena, což vyloučí přístup k těmto datům při nahlížení do spisu, ale v případě potřeby či sporu umožní zpětné přezkoumání. Po pravomocném skončení řízení by mělo dojít ke zničení materiálu za současného pořízení záznamu.</w:t>
      </w:r>
    </w:p>
    <w:p w14:paraId="36D86583" w14:textId="28CE9DE0" w:rsidR="00DC4930" w:rsidRPr="00897682" w:rsidRDefault="007E64BE" w:rsidP="003458D6">
      <w:pPr>
        <w:spacing w:line="240" w:lineRule="auto"/>
      </w:pPr>
      <w:r w:rsidRPr="00897682">
        <w:t xml:space="preserve">Z hlediska judikatury </w:t>
      </w:r>
      <w:r w:rsidR="00524836" w:rsidRPr="00897682">
        <w:t xml:space="preserve">ESLP </w:t>
      </w:r>
      <w:r w:rsidRPr="00897682">
        <w:t xml:space="preserve">je významný </w:t>
      </w:r>
      <w:r w:rsidR="00DC4930" w:rsidRPr="00897682">
        <w:rPr>
          <w:szCs w:val="24"/>
        </w:rPr>
        <w:t xml:space="preserve">rozsudek ve věci </w:t>
      </w:r>
      <w:r w:rsidR="00DC4930" w:rsidRPr="00897682">
        <w:rPr>
          <w:i/>
          <w:iCs/>
          <w:szCs w:val="24"/>
        </w:rPr>
        <w:t>Černý a ostatní proti České republice</w:t>
      </w:r>
      <w:r w:rsidR="00DC4930" w:rsidRPr="00897682">
        <w:rPr>
          <w:szCs w:val="24"/>
        </w:rPr>
        <w:t xml:space="preserve"> (č. 37514/20 a další), </w:t>
      </w:r>
      <w:r w:rsidRPr="00897682">
        <w:rPr>
          <w:szCs w:val="24"/>
        </w:rPr>
        <w:t xml:space="preserve">kterým bylo shledáno </w:t>
      </w:r>
      <w:r w:rsidR="00DC4930" w:rsidRPr="00897682">
        <w:rPr>
          <w:szCs w:val="24"/>
        </w:rPr>
        <w:t>porušení článku 6 odst. 1 a článků 8 a 13 Úmluvy</w:t>
      </w:r>
      <w:r w:rsidRPr="00897682">
        <w:rPr>
          <w:szCs w:val="24"/>
        </w:rPr>
        <w:t xml:space="preserve"> a který navržená úprava v některých aspektech provádí do oblasti trestního práva. </w:t>
      </w:r>
      <w:r w:rsidR="00D57E28" w:rsidRPr="00897682">
        <w:rPr>
          <w:szCs w:val="24"/>
        </w:rPr>
        <w:t xml:space="preserve">Ve vztahu k nakládání s chráněnou důvěrnou komunikací je významný rozsudek ve věci </w:t>
      </w:r>
      <w:r w:rsidR="00DC4930" w:rsidRPr="00897682">
        <w:rPr>
          <w:rFonts w:cs="Times New Roman"/>
          <w:i/>
          <w:iCs/>
          <w:szCs w:val="24"/>
        </w:rPr>
        <w:t>Matanovič proti Chorvatsku</w:t>
      </w:r>
      <w:r w:rsidR="00DC4930" w:rsidRPr="00897682">
        <w:rPr>
          <w:rFonts w:cs="Times New Roman"/>
          <w:szCs w:val="24"/>
        </w:rPr>
        <w:t>, č. 2742/12</w:t>
      </w:r>
      <w:r w:rsidR="00D57E28" w:rsidRPr="00897682">
        <w:rPr>
          <w:rFonts w:cs="Times New Roman"/>
          <w:szCs w:val="24"/>
        </w:rPr>
        <w:t xml:space="preserve">, </w:t>
      </w:r>
      <w:r w:rsidR="00B5300E" w:rsidRPr="00897682">
        <w:rPr>
          <w:rFonts w:cs="Times New Roman"/>
          <w:szCs w:val="24"/>
        </w:rPr>
        <w:t xml:space="preserve">podle něhož je třeba obhajobě </w:t>
      </w:r>
      <w:r w:rsidR="00C15F3C" w:rsidRPr="00897682">
        <w:rPr>
          <w:rFonts w:cs="Times New Roman"/>
          <w:szCs w:val="24"/>
        </w:rPr>
        <w:t xml:space="preserve">umožnit </w:t>
      </w:r>
      <w:r w:rsidR="00B5300E" w:rsidRPr="00897682">
        <w:rPr>
          <w:rFonts w:cs="Times New Roman"/>
          <w:szCs w:val="24"/>
        </w:rPr>
        <w:t>přístup k </w:t>
      </w:r>
      <w:r w:rsidR="006145C8" w:rsidRPr="00897682">
        <w:rPr>
          <w:rFonts w:cs="Times New Roman"/>
          <w:szCs w:val="24"/>
        </w:rPr>
        <w:t>materiálům</w:t>
      </w:r>
      <w:r w:rsidR="00B5300E" w:rsidRPr="00897682">
        <w:rPr>
          <w:rFonts w:cs="Times New Roman"/>
          <w:szCs w:val="24"/>
        </w:rPr>
        <w:t xml:space="preserve"> získaným orgány činnými v trestním řízení, pokud se domáhá jejich p</w:t>
      </w:r>
      <w:r w:rsidR="006145C8" w:rsidRPr="00897682">
        <w:rPr>
          <w:rFonts w:cs="Times New Roman"/>
          <w:szCs w:val="24"/>
        </w:rPr>
        <w:t>řezkoumání za účelem případného použití ve prospěch obhajoby</w:t>
      </w:r>
      <w:r w:rsidR="00B5300E" w:rsidRPr="00897682">
        <w:rPr>
          <w:rFonts w:cs="Times New Roman"/>
          <w:szCs w:val="24"/>
        </w:rPr>
        <w:t xml:space="preserve">. </w:t>
      </w:r>
    </w:p>
    <w:p w14:paraId="51CB2D66" w14:textId="11D080DB" w:rsidR="00F0229C" w:rsidRPr="00897682" w:rsidRDefault="00F0229C" w:rsidP="00F0229C">
      <w:pPr>
        <w:spacing w:line="240" w:lineRule="auto"/>
      </w:pPr>
      <w:r w:rsidRPr="00897682">
        <w:t xml:space="preserve">V rozsudku </w:t>
      </w:r>
      <w:r w:rsidRPr="00897682">
        <w:rPr>
          <w:i/>
          <w:iCs/>
        </w:rPr>
        <w:t>Särgava proti Estonsku</w:t>
      </w:r>
      <w:r w:rsidR="00E0405E" w:rsidRPr="00897682">
        <w:t>, č. 698/19</w:t>
      </w:r>
      <w:r w:rsidR="00EE5A53" w:rsidRPr="00897682">
        <w:t xml:space="preserve">, </w:t>
      </w:r>
      <w:r w:rsidRPr="00897682">
        <w:t xml:space="preserve">ESLP vyslovil, že nedostatečné procesní záruky k ochraně důvěrných údajů, které byly zajištěny při zabavení a následném zkoumání notebooku a mobilního telefonu advokáta, představují porušení článku 8 Úmluvy. </w:t>
      </w:r>
    </w:p>
    <w:p w14:paraId="6E5DC469" w14:textId="63E64E1F" w:rsidR="00F0229C" w:rsidRPr="00897682" w:rsidRDefault="00F0229C" w:rsidP="00F0229C">
      <w:pPr>
        <w:spacing w:line="240" w:lineRule="auto"/>
      </w:pPr>
      <w:r w:rsidRPr="00897682">
        <w:t xml:space="preserve">V rozsudku </w:t>
      </w:r>
      <w:r w:rsidRPr="00897682">
        <w:rPr>
          <w:i/>
          <w:iCs/>
        </w:rPr>
        <w:t>Michaud proti Franci</w:t>
      </w:r>
      <w:r w:rsidR="00F2551F" w:rsidRPr="00897682">
        <w:rPr>
          <w:i/>
          <w:iCs/>
        </w:rPr>
        <w:t>i</w:t>
      </w:r>
      <w:r w:rsidR="004C69F1" w:rsidRPr="00897682">
        <w:t xml:space="preserve">, č. 12323/11, </w:t>
      </w:r>
      <w:r w:rsidR="00F2551F" w:rsidRPr="00897682">
        <w:t xml:space="preserve">ESLP </w:t>
      </w:r>
      <w:r w:rsidRPr="00897682">
        <w:t>připomněl, že čl</w:t>
      </w:r>
      <w:r w:rsidR="00B5745E" w:rsidRPr="00897682">
        <w:t>ánek</w:t>
      </w:r>
      <w:r w:rsidRPr="00897682">
        <w:t xml:space="preserve"> 8 Úmluvy zaručuje mj. každému právo na respektování korespondence a chrání důvěrnost všech výměn informací, kterých se jednotlivci účastní za účelem komunikace. Povinnost advokáta předložit ústřednímu orgánu informace shromážděné v rámci výměny informací s jejich klienty tedy představuje zásah do jejich práva na respektování korespondence. Představuje také zásah do jejich práva na respektování soukromého života, do kterého náleží jak činnosti profesionální, tak obchodní povahy. Soud dále připomněl, že čl</w:t>
      </w:r>
      <w:r w:rsidR="00B5745E" w:rsidRPr="00897682">
        <w:t>ánek</w:t>
      </w:r>
      <w:r w:rsidRPr="00897682">
        <w:t xml:space="preserve"> 8 Úmluvy poskytuje zesílenou ochranu výměny informací mezi advokáty a jejich klienty. Advokáti totiž v demokratické společnosti vykonávají zásadní úlohu, obhajobu stran sporu v soudním řízení, kterou by nebyli schopni zajistit, pokud by nemohli zaručit důvěrnost výměny informací. Na této důvěře mezi advokátem a jeho klientem závisí mj. i naplnění práva na spravedlivý proces a zejména právo obviněného neobviňovat sebe sama. Tato zásada důvěrnosti nicméně není nedotknutelná. V projednávané věci je ji třeba poměřit důležitostí boje proti praní špinavých peněz.</w:t>
      </w:r>
    </w:p>
    <w:p w14:paraId="650710FE" w14:textId="5BE2146C" w:rsidR="00F0229C" w:rsidRPr="00897682" w:rsidRDefault="00F0229C" w:rsidP="00F0229C">
      <w:pPr>
        <w:spacing w:line="240" w:lineRule="auto"/>
      </w:pPr>
      <w:r w:rsidRPr="00897682">
        <w:t>Pokud jde o vztah k právním předpisům E</w:t>
      </w:r>
      <w:r w:rsidR="00E6368F" w:rsidRPr="00897682">
        <w:t>vropské unie</w:t>
      </w:r>
      <w:r w:rsidRPr="00897682">
        <w:t>, návrhu se dotýkají zejména </w:t>
      </w:r>
      <w:r w:rsidR="00E6368F" w:rsidRPr="00897682">
        <w:t>čl</w:t>
      </w:r>
      <w:r w:rsidR="00FC13BA" w:rsidRPr="00897682">
        <w:t>ánek</w:t>
      </w:r>
      <w:r w:rsidR="00E6368F" w:rsidRPr="00897682">
        <w:t xml:space="preserve"> 7 a</w:t>
      </w:r>
      <w:r w:rsidR="00FC13BA" w:rsidRPr="00897682">
        <w:t> </w:t>
      </w:r>
      <w:r w:rsidR="00E6368F" w:rsidRPr="00897682">
        <w:t>47</w:t>
      </w:r>
      <w:r w:rsidRPr="00897682">
        <w:t> </w:t>
      </w:r>
      <w:r w:rsidR="00E6368F" w:rsidRPr="00897682">
        <w:t xml:space="preserve">Listiny </w:t>
      </w:r>
      <w:r w:rsidRPr="00897682">
        <w:t>základních práv Evropské unie. Podle čl</w:t>
      </w:r>
      <w:r w:rsidR="00B5745E" w:rsidRPr="00897682">
        <w:t>ánku</w:t>
      </w:r>
      <w:r w:rsidRPr="00897682">
        <w:t xml:space="preserve"> 7 má každý právo na respektování svého soukromého a rodinného života, obydlí a komunikace. Ochrana důvěrnosti informací mezi advokátem a klientem spadá pod tuto kategorii práv, přičemž jde o její kvalifikovanou podobu opírající se o právo na právní pomoc a právo na účinnou právní ochranu podle čl</w:t>
      </w:r>
      <w:r w:rsidR="00FC13BA" w:rsidRPr="00897682">
        <w:t>ánku</w:t>
      </w:r>
      <w:r w:rsidRPr="00897682">
        <w:t xml:space="preserve"> 47. Dle čl</w:t>
      </w:r>
      <w:r w:rsidR="00FC13BA" w:rsidRPr="00897682">
        <w:t>ánku</w:t>
      </w:r>
      <w:r w:rsidRPr="00897682">
        <w:t xml:space="preserve"> 47 odst. 1 </w:t>
      </w:r>
      <w:r w:rsidR="00FC13BA" w:rsidRPr="00897682">
        <w:t xml:space="preserve">Úmluvy </w:t>
      </w:r>
      <w:r w:rsidRPr="00897682">
        <w:t xml:space="preserve">má každý, jehož práva a svobody zaručené právem Unie byly porušeny, právo na účinné prostředky nápravy před soudem za podmínek stanovených tímto článkem. Tomu odpovídá právo </w:t>
      </w:r>
      <w:r w:rsidR="00FC13BA" w:rsidRPr="00897682">
        <w:t xml:space="preserve">obviněného (podezřelého) </w:t>
      </w:r>
      <w:r w:rsidRPr="00897682">
        <w:t xml:space="preserve">na ochranu důvěrnosti informací </w:t>
      </w:r>
      <w:r w:rsidR="00FC13BA" w:rsidRPr="00897682">
        <w:t>podle § 35a tr. ř.,</w:t>
      </w:r>
      <w:r w:rsidRPr="00897682">
        <w:t xml:space="preserve"> včetně ochrany soudní, </w:t>
      </w:r>
      <w:r w:rsidR="00FC13BA" w:rsidRPr="00897682">
        <w:t xml:space="preserve">která se nově přiznává v § 35b tr. ř. ve spojení s § 146a odst. 2 tr. ř. </w:t>
      </w:r>
      <w:r w:rsidRPr="00897682">
        <w:t> </w:t>
      </w:r>
    </w:p>
    <w:p w14:paraId="46A599EF" w14:textId="244E5E57" w:rsidR="00F0229C" w:rsidRPr="00897682" w:rsidRDefault="00F0229C" w:rsidP="00F0229C">
      <w:pPr>
        <w:spacing w:line="240" w:lineRule="auto"/>
      </w:pPr>
      <w:r w:rsidRPr="00897682">
        <w:t>Podle čl</w:t>
      </w:r>
      <w:r w:rsidR="00B5745E" w:rsidRPr="00897682">
        <w:t>ánku</w:t>
      </w:r>
      <w:r w:rsidRPr="00897682">
        <w:t xml:space="preserve"> 47 odst. 2 </w:t>
      </w:r>
      <w:r w:rsidR="00463C5C" w:rsidRPr="00897682">
        <w:t xml:space="preserve">Úmluvy </w:t>
      </w:r>
      <w:r w:rsidRPr="00897682">
        <w:t>musí být každému umožněno poradit se, být obhajován a být zastupován, přičemž z práva na právní pomoc plyne i nezbytnost důvěrnosti informací tvořící</w:t>
      </w:r>
      <w:r w:rsidR="004F6F95" w:rsidRPr="00897682">
        <w:t>ch</w:t>
      </w:r>
      <w:r w:rsidRPr="00897682">
        <w:t xml:space="preserve"> obsah komunikace mezi advokátem a klientem.</w:t>
      </w:r>
    </w:p>
    <w:p w14:paraId="4BE1837E" w14:textId="6EBA254A" w:rsidR="00572394" w:rsidRPr="00897682" w:rsidRDefault="00F0229C" w:rsidP="00F0229C">
      <w:pPr>
        <w:spacing w:line="240" w:lineRule="auto"/>
      </w:pPr>
      <w:r w:rsidRPr="00897682">
        <w:t>Na úrovni sekundárního práva E</w:t>
      </w:r>
      <w:r w:rsidR="00463C5C" w:rsidRPr="00897682">
        <w:t>vropské unie</w:t>
      </w:r>
      <w:r w:rsidRPr="00897682">
        <w:t xml:space="preserve"> se návrhu </w:t>
      </w:r>
      <w:r w:rsidR="00463C5C" w:rsidRPr="00897682">
        <w:t xml:space="preserve">dotýká článek 4 </w:t>
      </w:r>
      <w:r w:rsidRPr="00897682">
        <w:t>směrnice Evropského parlamentu a Rady </w:t>
      </w:r>
      <w:r w:rsidR="00463C5C" w:rsidRPr="00897682">
        <w:t>2013/48/EU</w:t>
      </w:r>
      <w:r w:rsidRPr="00897682">
        <w:t> ze dne 22. října 2013 o právu na přístup k obhájci v trestním řízení a řízení týkajícím se evropského zatýkacího rozkazu a o právu na informování třetí strany a právu na komunikaci s třetími osobami a konzulárními úřady v případě zbavení osobní svobody</w:t>
      </w:r>
      <w:r w:rsidR="00F7066F" w:rsidRPr="00897682">
        <w:t>. Po</w:t>
      </w:r>
      <w:r w:rsidRPr="00897682">
        <w:t xml:space="preserve">dle citovaného ustanovení členské státy respektují důvěrnost komunikace mezi podezřelými nebo obviněnými osobami a jejich obhájcem v rámci výkonu práva na přístup </w:t>
      </w:r>
      <w:r w:rsidR="00F7066F" w:rsidRPr="00897682">
        <w:br/>
      </w:r>
      <w:r w:rsidRPr="00897682">
        <w:lastRenderedPageBreak/>
        <w:t xml:space="preserve">k obhájci stanoveného podle této směrnice. Tato komunikace zahrnuje schůzky, korespondenci, telefonické hovory a jiné formy komunikace, které jsou přípustné podle vnitrostátního práva. </w:t>
      </w:r>
      <w:r w:rsidR="00F7066F" w:rsidRPr="00897682">
        <w:t xml:space="preserve">Tomu odpovídá </w:t>
      </w:r>
      <w:r w:rsidR="00572394" w:rsidRPr="00897682">
        <w:t xml:space="preserve">zejména </w:t>
      </w:r>
      <w:r w:rsidR="002D3703" w:rsidRPr="00897682">
        <w:t xml:space="preserve">stávající </w:t>
      </w:r>
      <w:r w:rsidR="00F7066F" w:rsidRPr="00897682">
        <w:t>§ 35a tr. ř.</w:t>
      </w:r>
      <w:r w:rsidR="002D3703" w:rsidRPr="00897682">
        <w:t>, který takovou ochranu zakotvuje, navržený § 35b tr. ř. pak konkrétně provádí způsob, jakým je ochrana poskytována.</w:t>
      </w:r>
    </w:p>
    <w:p w14:paraId="42DE9BA6" w14:textId="3788FE0A" w:rsidR="003A305D" w:rsidRPr="00897682" w:rsidRDefault="00035579" w:rsidP="00F0229C">
      <w:pPr>
        <w:spacing w:line="240" w:lineRule="auto"/>
      </w:pPr>
      <w:r w:rsidRPr="00897682">
        <w:t>Pokud jde o jiné mezinárodní smlouvy, kterými je Česká republika vázána, lze zmínit zejména článek 14 Mezinárodního paktu o občanských a politických právech zaručující právo na spravedlivý proces.</w:t>
      </w:r>
      <w:r w:rsidR="00AD5D50" w:rsidRPr="00897682">
        <w:t xml:space="preserve"> </w:t>
      </w:r>
      <w:r w:rsidR="003A305D" w:rsidRPr="00897682">
        <w:t xml:space="preserve">Významná je rovněž </w:t>
      </w:r>
      <w:r w:rsidR="003A305D" w:rsidRPr="00897682">
        <w:rPr>
          <w:bCs w:val="0"/>
        </w:rPr>
        <w:t>Úmluva Rady Evropy o ochraně profese advokáta</w:t>
      </w:r>
      <w:r w:rsidR="00AD5D50" w:rsidRPr="00897682">
        <w:rPr>
          <w:bCs w:val="0"/>
        </w:rPr>
        <w:t>,</w:t>
      </w:r>
      <w:r w:rsidR="003A305D" w:rsidRPr="00897682">
        <w:rPr>
          <w:bCs w:val="0"/>
        </w:rPr>
        <w:t xml:space="preserve"> podepsaná Českou republikou dne 14. listopadu 2025</w:t>
      </w:r>
      <w:r w:rsidR="00984B9A" w:rsidRPr="00897682">
        <w:rPr>
          <w:bCs w:val="0"/>
        </w:rPr>
        <w:t xml:space="preserve">, která v článku 6 chrání důvěrnost komunikace mezi advokátem a jeho klientem. </w:t>
      </w:r>
    </w:p>
    <w:p w14:paraId="28502DC1" w14:textId="7ABADA19" w:rsidR="003458D6" w:rsidRPr="00897682" w:rsidRDefault="003458D6" w:rsidP="003458D6">
      <w:pPr>
        <w:spacing w:line="240" w:lineRule="auto"/>
      </w:pPr>
      <w:r w:rsidRPr="00897682">
        <w:t>Lze uzavřít, že navržená právní úprava je v souladu s ústavním pořádkem České republiky</w:t>
      </w:r>
      <w:r w:rsidR="000B250C" w:rsidRPr="00897682">
        <w:t>,</w:t>
      </w:r>
      <w:r w:rsidRPr="00897682">
        <w:t xml:space="preserve"> s Úmluvou a relevantní judikaturou </w:t>
      </w:r>
      <w:r w:rsidR="00216483" w:rsidRPr="00897682">
        <w:t>ESLP</w:t>
      </w:r>
      <w:r w:rsidR="000B250C" w:rsidRPr="00897682">
        <w:t>, jakož i s předpisy Evropské unie a ostatními mezinárodními smlouvami</w:t>
      </w:r>
      <w:r w:rsidRPr="00897682">
        <w:t>.</w:t>
      </w:r>
    </w:p>
    <w:p w14:paraId="0BDDEBAB" w14:textId="2ACBF41A" w:rsidR="00672B6F" w:rsidRPr="00897682" w:rsidRDefault="00672B6F" w:rsidP="003458D6">
      <w:pPr>
        <w:spacing w:line="240" w:lineRule="auto"/>
        <w:rPr>
          <w:i/>
          <w:iCs/>
        </w:rPr>
      </w:pPr>
      <w:r w:rsidRPr="00897682">
        <w:rPr>
          <w:i/>
          <w:iCs/>
        </w:rPr>
        <w:t xml:space="preserve">Ad 3. </w:t>
      </w:r>
    </w:p>
    <w:p w14:paraId="12CF2DAC" w14:textId="6C54C673" w:rsidR="00760215" w:rsidRPr="00897682" w:rsidRDefault="00760215" w:rsidP="00760215">
      <w:pPr>
        <w:spacing w:line="240" w:lineRule="auto"/>
        <w:rPr>
          <w:rFonts w:eastAsia="Times New Roman" w:cs="Times New Roman"/>
          <w:color w:val="000000" w:themeColor="text1"/>
          <w:szCs w:val="24"/>
        </w:rPr>
      </w:pPr>
      <w:r w:rsidRPr="00897682">
        <w:t xml:space="preserve">Pokud jde o prověřování a vyšetřování trestných činů, je třeba dbát na jejich nezávislost </w:t>
      </w:r>
      <w:r w:rsidRPr="00897682">
        <w:br/>
        <w:t xml:space="preserve">a nestrannost. Požadavek na nestrannost a nezávislost vyšetřování trestných činů požaduje ESLP zejména v souvislosti s právem na účinné vyšetřování, které se primárně vztahuje k jiným trestným činům, než kterých se týká navržená právní úprava. </w:t>
      </w:r>
      <w:r w:rsidRPr="00897682">
        <w:rPr>
          <w:rFonts w:eastAsia="Times New Roman" w:cs="Times New Roman"/>
          <w:color w:val="000000" w:themeColor="text1"/>
          <w:szCs w:val="24"/>
        </w:rPr>
        <w:t>K právu na účinné vyšetřování v oblasti majetkové trestné činnosti se vyjádřil Ústavní soud např. v nálezu 1958/23 ze dne 10. 4. 2024, když uvedl, že „z</w:t>
      </w:r>
      <w:r w:rsidRPr="00897682">
        <w:rPr>
          <w:rFonts w:eastAsia="Times New Roman" w:cs="Times New Roman"/>
          <w:i/>
          <w:iCs/>
          <w:color w:val="000000" w:themeColor="text1"/>
          <w:szCs w:val="24"/>
        </w:rPr>
        <w:t xml:space="preserve"> práva na ochranu vlastnit majetek podle čl. 11 odst. 1 Listiny základních práv a svobod a čl. 1 Dodatkového protokolu k Úmluvě o ochraně lidských práv a základních svobod vyplývá u závažných zásahů do majetkových práv kriminální povahy povinnost státu vést účinné trestní vyšetřování… Stát proto podle ESLP poruší své povinnosti vést účinné vyšetřování a tím konstituuje zásah do ústavně zaručeného práva na ochranu majetku pouze u vad a pochybení extrémní povahy (srov. rozsudek ze dne 14. 10. 2008 ve věci Blumberga proti Lotyšsku č. 70930/01; dále viz rozsudky ze dne 12. 12. 2013 ve věci Zagrebačka banka d.d. proti Chorvatsku č. 39544/05, ze dne 25. 2. 2020 ve věci Abukauskai proti Litvě, č. 72065/17, a ze dne 19. 1. 2023 ve věci Korotyuk proti Ukrajině č. 74663/17)“.</w:t>
      </w:r>
      <w:r w:rsidR="00F6498E" w:rsidRPr="00897682">
        <w:rPr>
          <w:rFonts w:eastAsia="Times New Roman" w:cs="Times New Roman"/>
          <w:color w:val="000000" w:themeColor="text1"/>
          <w:szCs w:val="24"/>
        </w:rPr>
        <w:t xml:space="preserve"> Jde tedy o závažn</w:t>
      </w:r>
      <w:r w:rsidR="00B90DD0" w:rsidRPr="00897682">
        <w:rPr>
          <w:rFonts w:eastAsia="Times New Roman" w:cs="Times New Roman"/>
          <w:color w:val="000000" w:themeColor="text1"/>
          <w:szCs w:val="24"/>
        </w:rPr>
        <w:t>é</w:t>
      </w:r>
      <w:r w:rsidR="00F6498E" w:rsidRPr="00897682">
        <w:rPr>
          <w:rFonts w:eastAsia="Times New Roman" w:cs="Times New Roman"/>
          <w:color w:val="000000" w:themeColor="text1"/>
          <w:szCs w:val="24"/>
        </w:rPr>
        <w:t xml:space="preserve"> zásahy do majetkových práv např. typu žhářských útoků aj. a toto právo se tedy typicky u trestné činnosti, o kterou jde, neuplatní. </w:t>
      </w:r>
    </w:p>
    <w:p w14:paraId="15C1B90D" w14:textId="3BD7F252" w:rsidR="00760215" w:rsidRPr="00897682" w:rsidRDefault="00F6498E" w:rsidP="003458D6">
      <w:pPr>
        <w:spacing w:line="240" w:lineRule="auto"/>
        <w:rPr>
          <w:rFonts w:eastAsia="Times New Roman" w:cs="Times New Roman"/>
          <w:color w:val="000000" w:themeColor="text1"/>
          <w:szCs w:val="24"/>
        </w:rPr>
      </w:pPr>
      <w:r w:rsidRPr="00897682">
        <w:rPr>
          <w:rFonts w:eastAsia="Times New Roman" w:cs="Times New Roman"/>
          <w:color w:val="000000" w:themeColor="text1"/>
          <w:szCs w:val="24"/>
        </w:rPr>
        <w:t xml:space="preserve">Pokud jde o předpisy Evropské unie a mezinárodní smlouvy, této otázce se specificky nevěnují. </w:t>
      </w:r>
    </w:p>
    <w:p w14:paraId="35738CF9" w14:textId="2350EE87" w:rsidR="00760215" w:rsidRPr="00897682" w:rsidRDefault="00760215" w:rsidP="003458D6">
      <w:pPr>
        <w:spacing w:line="240" w:lineRule="auto"/>
        <w:rPr>
          <w:i/>
          <w:iCs/>
        </w:rPr>
      </w:pPr>
      <w:r w:rsidRPr="00897682">
        <w:rPr>
          <w:i/>
          <w:iCs/>
        </w:rPr>
        <w:t xml:space="preserve">Ad 4. </w:t>
      </w:r>
    </w:p>
    <w:p w14:paraId="1AFE38AD" w14:textId="5A0955CB" w:rsidR="00DD286F" w:rsidRPr="00897682" w:rsidRDefault="00DD286F" w:rsidP="00BF3DCD">
      <w:pPr>
        <w:spacing w:line="240" w:lineRule="auto"/>
        <w:rPr>
          <w:rFonts w:eastAsia="Aptos" w:cs="Times New Roman"/>
          <w:bCs w:val="0"/>
        </w:rPr>
      </w:pPr>
      <w:r w:rsidRPr="00897682">
        <w:rPr>
          <w:rFonts w:eastAsia="Aptos" w:cs="Times New Roman"/>
        </w:rPr>
        <w:t>Navrhovaná úprava příkazu k pátrání je v souladu s ústavním pořádkem České republiky, mezinárodními smlouvami, jimiž je Česká republika vázána, i předpisy Evropské unie. Navržená problematika příkazu k pátrání je v případě předvedení osoby na policejní služebnu spojena se zásahem do práva na osobní svobodu ve smyslu čl</w:t>
      </w:r>
      <w:r w:rsidR="00B5745E" w:rsidRPr="00897682">
        <w:rPr>
          <w:rFonts w:eastAsia="Aptos" w:cs="Times New Roman"/>
        </w:rPr>
        <w:t>ánku</w:t>
      </w:r>
      <w:r w:rsidRPr="00897682">
        <w:rPr>
          <w:rFonts w:eastAsia="Aptos" w:cs="Times New Roman"/>
        </w:rPr>
        <w:t xml:space="preserve"> 8 Listiny základních práv a svobod, čl</w:t>
      </w:r>
      <w:r w:rsidR="00B5745E" w:rsidRPr="00897682">
        <w:rPr>
          <w:rFonts w:eastAsia="Aptos" w:cs="Times New Roman"/>
        </w:rPr>
        <w:t>ánku</w:t>
      </w:r>
      <w:r w:rsidRPr="00897682">
        <w:rPr>
          <w:rFonts w:eastAsia="Aptos" w:cs="Times New Roman"/>
        </w:rPr>
        <w:t xml:space="preserve"> 5 Úmluvy, čl. 9 Mezinárodního paktu o občanských a politických právech a</w:t>
      </w:r>
      <w:r w:rsidR="00B5745E" w:rsidRPr="00897682">
        <w:rPr>
          <w:rFonts w:eastAsia="Aptos" w:cs="Times New Roman"/>
        </w:rPr>
        <w:t> </w:t>
      </w:r>
      <w:r w:rsidRPr="00897682">
        <w:rPr>
          <w:rFonts w:eastAsia="Aptos" w:cs="Times New Roman"/>
        </w:rPr>
        <w:t>čl</w:t>
      </w:r>
      <w:r w:rsidR="00B5745E" w:rsidRPr="00897682">
        <w:rPr>
          <w:rFonts w:eastAsia="Aptos" w:cs="Times New Roman"/>
        </w:rPr>
        <w:t>ánku</w:t>
      </w:r>
      <w:r w:rsidRPr="00897682">
        <w:rPr>
          <w:rFonts w:eastAsia="Aptos" w:cs="Times New Roman"/>
        </w:rPr>
        <w:t xml:space="preserve"> 6 Listiny základních práv EU. </w:t>
      </w:r>
    </w:p>
    <w:p w14:paraId="25D0F900" w14:textId="77777777" w:rsidR="00DD286F" w:rsidRPr="00897682" w:rsidRDefault="00DD286F" w:rsidP="00BF3DCD">
      <w:pPr>
        <w:spacing w:line="240" w:lineRule="auto"/>
        <w:rPr>
          <w:rFonts w:eastAsia="Aptos" w:cs="Times New Roman"/>
          <w:bCs w:val="0"/>
        </w:rPr>
      </w:pPr>
      <w:r w:rsidRPr="00897682">
        <w:rPr>
          <w:rFonts w:eastAsia="Aptos" w:cs="Times New Roman"/>
        </w:rPr>
        <w:t xml:space="preserve">Z těchto dokumentů mj. vyplývá, že každé zbavení, resp. omezení, osobní svobody musí být provedeno pouze ze zákonných důvodů a zákonným způsobem. Současně musí spadat pod případ, které taxativně vyjmenovává článek 5 Úmluvy. </w:t>
      </w:r>
    </w:p>
    <w:p w14:paraId="5CED38A9" w14:textId="77777777" w:rsidR="00DD286F" w:rsidRPr="00897682" w:rsidRDefault="00DD286F" w:rsidP="00BF3DCD">
      <w:pPr>
        <w:spacing w:line="240" w:lineRule="auto"/>
        <w:rPr>
          <w:rFonts w:eastAsia="Aptos" w:cs="Times New Roman"/>
          <w:bCs w:val="0"/>
        </w:rPr>
      </w:pPr>
      <w:r w:rsidRPr="00897682">
        <w:rPr>
          <w:rFonts w:eastAsia="Aptos" w:cs="Times New Roman"/>
        </w:rPr>
        <w:t xml:space="preserve">Navrhovaná úprava příkazu k pátrání požadavky zmíněných lidskoprávních dokumentů respektuje, když umožňuje předvedení hledané osoby pouze jako krajní prostředek pro případ, kdy hledaná osoba neposkytnutím součinnosti brání naplnění účelu trestního řízení a jeho řádnému provedení. Návrh současně omezení osobní svobody omezuje na dobu nezbytnou pro naplnění účelu příkazu k pátrání, tedy pouze na dobu nutnou k doručení písemnosti a zjištění údajů potřebných pro další vedení trestního řízení. Jelikož je doručení písemnosti a zjištění </w:t>
      </w:r>
      <w:r w:rsidRPr="00897682">
        <w:rPr>
          <w:rFonts w:eastAsia="Aptos" w:cs="Times New Roman"/>
        </w:rPr>
        <w:lastRenderedPageBreak/>
        <w:t>údajů o pobytu hledané osoby v těchto případech nezbytné pro řádné provedení trestního řízení a naplnění jeho účelu, jeví se tento krátkodobý zásah do práva na osobní svobodu jako proporcionální sledovanému účelu.</w:t>
      </w:r>
    </w:p>
    <w:p w14:paraId="13A38610" w14:textId="50079F3B" w:rsidR="00DD286F" w:rsidRPr="00897682" w:rsidRDefault="00DD286F" w:rsidP="00BF3DCD">
      <w:pPr>
        <w:spacing w:line="240" w:lineRule="auto"/>
        <w:rPr>
          <w:rFonts w:eastAsia="Aptos" w:cs="Times New Roman"/>
          <w:bCs w:val="0"/>
        </w:rPr>
      </w:pPr>
      <w:r w:rsidRPr="00897682">
        <w:rPr>
          <w:rFonts w:eastAsia="Aptos" w:cs="Times New Roman"/>
        </w:rPr>
        <w:t>E</w:t>
      </w:r>
      <w:r w:rsidR="004102E8" w:rsidRPr="00897682">
        <w:rPr>
          <w:rFonts w:eastAsia="Aptos" w:cs="Times New Roman"/>
        </w:rPr>
        <w:t>SLP</w:t>
      </w:r>
      <w:r w:rsidRPr="00897682">
        <w:rPr>
          <w:rFonts w:eastAsia="Aptos" w:cs="Times New Roman"/>
        </w:rPr>
        <w:t xml:space="preserve"> při posuzování, zda se jedná o zbavení osobní svobody ve smyslu článku 5 Úmluvy, hodnotí zejména druh, délku, účinky a způsoby výkonu předmětného opatření (srov. např. rozsudek ze dne 11. října 2016, </w:t>
      </w:r>
      <w:r w:rsidRPr="00897682">
        <w:rPr>
          <w:rFonts w:eastAsia="Aptos" w:cs="Times New Roman"/>
          <w:i/>
          <w:iCs/>
        </w:rPr>
        <w:t>Kasparov proti Rusku</w:t>
      </w:r>
      <w:r w:rsidRPr="00897682">
        <w:rPr>
          <w:rFonts w:eastAsia="Aptos" w:cs="Times New Roman"/>
        </w:rPr>
        <w:t xml:space="preserve">, č. 53659/07; rozsudek ze dne 5. dubna 2016, </w:t>
      </w:r>
      <w:r w:rsidRPr="00897682">
        <w:rPr>
          <w:rFonts w:eastAsia="Aptos" w:cs="Times New Roman"/>
          <w:i/>
          <w:iCs/>
        </w:rPr>
        <w:t>Cazan proti Rumunsku</w:t>
      </w:r>
      <w:r w:rsidRPr="00897682">
        <w:rPr>
          <w:rFonts w:eastAsia="Aptos" w:cs="Times New Roman"/>
        </w:rPr>
        <w:t xml:space="preserve">, č. 30050/12; rozsudek ze dne 24. června 2008, </w:t>
      </w:r>
      <w:r w:rsidRPr="00897682">
        <w:rPr>
          <w:rFonts w:eastAsia="Aptos" w:cs="Times New Roman"/>
          <w:i/>
          <w:iCs/>
        </w:rPr>
        <w:t>Foka proti Turecku</w:t>
      </w:r>
      <w:r w:rsidRPr="00897682">
        <w:rPr>
          <w:rFonts w:eastAsia="Aptos" w:cs="Times New Roman"/>
        </w:rPr>
        <w:t>, č. </w:t>
      </w:r>
      <w:hyperlink r:id="rId9" w:tgtFrame="_blank" w:history="1">
        <w:r w:rsidRPr="00897682">
          <w:rPr>
            <w:rStyle w:val="Hypertextovodkaz"/>
            <w:rFonts w:eastAsia="Aptos" w:cs="Times New Roman"/>
            <w:color w:val="auto"/>
            <w:u w:val="none"/>
          </w:rPr>
          <w:t>28940/95</w:t>
        </w:r>
      </w:hyperlink>
      <w:r w:rsidRPr="00897682">
        <w:rPr>
          <w:rFonts w:eastAsia="Aptos" w:cs="Times New Roman"/>
        </w:rPr>
        <w:t xml:space="preserve">; rozsudek velkého senátu ze dne 23. února 2012, </w:t>
      </w:r>
      <w:r w:rsidRPr="00897682">
        <w:rPr>
          <w:rFonts w:eastAsia="Aptos" w:cs="Times New Roman"/>
          <w:i/>
          <w:iCs/>
        </w:rPr>
        <w:t>Creangă proti Rumunsku</w:t>
      </w:r>
      <w:r w:rsidRPr="00897682">
        <w:rPr>
          <w:rFonts w:eastAsia="Aptos" w:cs="Times New Roman"/>
        </w:rPr>
        <w:t>, č. </w:t>
      </w:r>
      <w:hyperlink r:id="rId10" w:tgtFrame="_blank" w:history="1">
        <w:r w:rsidRPr="00897682">
          <w:rPr>
            <w:rStyle w:val="Hypertextovodkaz"/>
            <w:rFonts w:eastAsia="Aptos" w:cs="Times New Roman"/>
            <w:color w:val="auto"/>
            <w:u w:val="none"/>
          </w:rPr>
          <w:t>29226/03</w:t>
        </w:r>
      </w:hyperlink>
      <w:r w:rsidRPr="00897682">
        <w:rPr>
          <w:rFonts w:eastAsia="Aptos" w:cs="Times New Roman"/>
        </w:rPr>
        <w:t xml:space="preserve">). Předvedení hledané osoby pro tento účel zřejmě spadá pod „zbavení osobní svobody“ ve smyslu článku 5 Úmluvy, byť by záleželo, jak by soud hodnotil jednotlivá kritéria. Takové omezení osobní svobody je v souladu s čl. 5 odst. 1 písm. b) Úmluvy (k tomu srov. rozsudek ze dne 4. listopadu 2003, č. </w:t>
      </w:r>
      <w:hyperlink r:id="rId11" w:anchor="{%22appno%22:[%2247244/99%22]}" w:tgtFrame="_blank" w:history="1">
        <w:r w:rsidRPr="00897682">
          <w:rPr>
            <w:rStyle w:val="Hypertextovodkaz"/>
            <w:rFonts w:eastAsia="Aptos" w:cs="Times New Roman"/>
            <w:color w:val="auto"/>
            <w:u w:val="none"/>
          </w:rPr>
          <w:t>47244/99</w:t>
        </w:r>
      </w:hyperlink>
      <w:r w:rsidRPr="00897682">
        <w:rPr>
          <w:rFonts w:eastAsia="Aptos" w:cs="Times New Roman"/>
        </w:rPr>
        <w:t xml:space="preserve">, </w:t>
      </w:r>
      <w:r w:rsidRPr="00897682">
        <w:rPr>
          <w:rFonts w:eastAsia="Aptos" w:cs="Times New Roman"/>
          <w:i/>
          <w:iCs/>
        </w:rPr>
        <w:t>Novotka proti Slovensku</w:t>
      </w:r>
      <w:r w:rsidRPr="00897682">
        <w:rPr>
          <w:rFonts w:eastAsia="Aptos" w:cs="Times New Roman"/>
        </w:rPr>
        <w:t xml:space="preserve">, který se týkal předvedení na policejní služebnu za účelem ověření totožnosti, a kdy byl stěžovatel </w:t>
      </w:r>
      <w:r w:rsidR="00C03803" w:rsidRPr="00897682">
        <w:rPr>
          <w:rFonts w:eastAsia="Aptos" w:cs="Times New Roman"/>
        </w:rPr>
        <w:t xml:space="preserve">dokonce </w:t>
      </w:r>
      <w:r w:rsidRPr="00897682">
        <w:rPr>
          <w:rFonts w:eastAsia="Aptos" w:cs="Times New Roman"/>
        </w:rPr>
        <w:t xml:space="preserve">omezen asi na hodinu v cele – soud tento zásah shledal za souladný s článkem 5 Úmluvy). </w:t>
      </w:r>
    </w:p>
    <w:p w14:paraId="580B9EE1" w14:textId="77777777" w:rsidR="0007717E" w:rsidRPr="00897682" w:rsidRDefault="00DD286F" w:rsidP="00BF3DCD">
      <w:pPr>
        <w:spacing w:line="240" w:lineRule="auto"/>
        <w:rPr>
          <w:rFonts w:eastAsia="Aptos" w:cs="Times New Roman"/>
        </w:rPr>
      </w:pPr>
      <w:r w:rsidRPr="00897682">
        <w:rPr>
          <w:rFonts w:eastAsia="Aptos" w:cs="Times New Roman"/>
        </w:rPr>
        <w:t>Využití institutu předvedení v případech opakovaného neúspěšného doručování určitých písemností aproboval i Ústavní soud v nálezu sp. IV. ÚS 1507/21 ze dne 24. srpna 2021, přičemž uvedl, že v takovém případě „</w:t>
      </w:r>
      <w:r w:rsidRPr="00897682">
        <w:rPr>
          <w:rFonts w:eastAsia="Aptos" w:cs="Times New Roman"/>
          <w:i/>
          <w:iCs/>
        </w:rPr>
        <w:t>nemusí jít o předvedení na předem určený den a čas, ale může být provedeno v podstatě kdykoli, jakmile bude policií zastižen na jím uvedených adresách nebo kdekoli jinde</w:t>
      </w:r>
      <w:r w:rsidRPr="00897682">
        <w:rPr>
          <w:rFonts w:eastAsia="Aptos" w:cs="Times New Roman"/>
        </w:rPr>
        <w:t xml:space="preserve">.“ </w:t>
      </w:r>
    </w:p>
    <w:p w14:paraId="035ABF0D" w14:textId="4E7FF5A4" w:rsidR="00DD286F" w:rsidRPr="00897682" w:rsidRDefault="00DD286F" w:rsidP="00BF3DCD">
      <w:pPr>
        <w:spacing w:line="240" w:lineRule="auto"/>
        <w:rPr>
          <w:rFonts w:eastAsia="Aptos" w:cs="Times New Roman"/>
        </w:rPr>
      </w:pPr>
      <w:r w:rsidRPr="00897682">
        <w:rPr>
          <w:rFonts w:eastAsia="Aptos" w:cs="Times New Roman"/>
        </w:rPr>
        <w:t xml:space="preserve">S ohledem na </w:t>
      </w:r>
      <w:r w:rsidR="0007717E" w:rsidRPr="00897682">
        <w:rPr>
          <w:rFonts w:eastAsia="Aptos" w:cs="Times New Roman"/>
        </w:rPr>
        <w:t xml:space="preserve">výše uvedené </w:t>
      </w:r>
      <w:r w:rsidRPr="00897682">
        <w:rPr>
          <w:rFonts w:eastAsia="Aptos" w:cs="Times New Roman"/>
        </w:rPr>
        <w:t>se navrhuje upravit postup, který zajišťuje co nejmenší zásah do práv hledané osoby a současně umožňuje dosažení úspěšného provedení trestního řízení.</w:t>
      </w:r>
    </w:p>
    <w:p w14:paraId="4C800F02" w14:textId="2DA532F0" w:rsidR="00007253" w:rsidRPr="00897682" w:rsidRDefault="00007253" w:rsidP="00BF3DCD">
      <w:pPr>
        <w:spacing w:line="240" w:lineRule="auto"/>
        <w:rPr>
          <w:rFonts w:eastAsia="Aptos" w:cs="Times New Roman"/>
        </w:rPr>
      </w:pPr>
      <w:r w:rsidRPr="00897682">
        <w:rPr>
          <w:rFonts w:eastAsia="Times New Roman" w:cs="Times New Roman"/>
          <w:color w:val="000000" w:themeColor="text1"/>
          <w:szCs w:val="24"/>
        </w:rPr>
        <w:t>Pokud jde o předpisy Evropské unie a mezinárodní smlouvy, této otázce se specificky nevěnují.</w:t>
      </w:r>
    </w:p>
    <w:p w14:paraId="431BC26A" w14:textId="27875882" w:rsidR="00DD286F" w:rsidRPr="00897682" w:rsidRDefault="00760215" w:rsidP="00BF3DCD">
      <w:pPr>
        <w:spacing w:line="240" w:lineRule="auto"/>
        <w:outlineLvl w:val="1"/>
        <w:rPr>
          <w:rFonts w:eastAsia="Times New Roman"/>
          <w:bCs w:val="0"/>
          <w:i/>
          <w:iCs/>
        </w:rPr>
      </w:pPr>
      <w:r w:rsidRPr="00897682">
        <w:rPr>
          <w:rFonts w:eastAsia="Times New Roman"/>
          <w:bCs w:val="0"/>
          <w:i/>
          <w:iCs/>
        </w:rPr>
        <w:t xml:space="preserve">Ad </w:t>
      </w:r>
      <w:r w:rsidR="003E624B" w:rsidRPr="00897682">
        <w:rPr>
          <w:rFonts w:eastAsia="Times New Roman"/>
          <w:bCs w:val="0"/>
          <w:i/>
          <w:iCs/>
        </w:rPr>
        <w:t>5</w:t>
      </w:r>
      <w:r w:rsidRPr="00897682">
        <w:rPr>
          <w:rFonts w:eastAsia="Times New Roman"/>
          <w:bCs w:val="0"/>
          <w:i/>
          <w:iCs/>
        </w:rPr>
        <w:t xml:space="preserve">. </w:t>
      </w:r>
    </w:p>
    <w:p w14:paraId="32805E83" w14:textId="357EF327" w:rsidR="00330565" w:rsidRPr="00897682" w:rsidRDefault="00330565" w:rsidP="00330565">
      <w:pPr>
        <w:spacing w:line="240" w:lineRule="auto"/>
        <w:rPr>
          <w:iCs/>
        </w:rPr>
      </w:pPr>
      <w:r w:rsidRPr="00897682">
        <w:rPr>
          <w:rFonts w:ascii="TimesNewRoman" w:hAnsi="TimesNewRoman" w:cs="TimesNewRoman"/>
        </w:rPr>
        <w:t>Pokud jde o využívání videokonference v trestním řízení, ESLP se videokonferencemi zabývá ve vztahu k obviněnému z hlediska dodržení záruk práva na spravedlivý proces, zejména z hlediska respektování práv obhajoby. Podle judikatury ESLP není účast obviněného na jednání soudu prostřednictvím videokonference sama o sobě v rozporu s Úmluvou, nicméně vždy je třeba zkoumat, zda použití tohoto prostředku v konkrétním případě sleduje nějaký legitimní cíl a zda je způsob jeho provedení slučitelný s požadavky na respektování práv obhajoby, jak jsou zakotvena v článku 6 Úmluvy</w:t>
      </w:r>
      <w:r w:rsidR="005A48B2" w:rsidRPr="00897682">
        <w:rPr>
          <w:rFonts w:ascii="TimesNewRoman" w:hAnsi="TimesNewRoman" w:cs="TimesNewRoman"/>
        </w:rPr>
        <w:t xml:space="preserve"> (srov. např. </w:t>
      </w:r>
      <w:r w:rsidR="005A48B2" w:rsidRPr="00897682">
        <w:t xml:space="preserve">rozsudek ze dne 5. října 2006 ve věci </w:t>
      </w:r>
      <w:r w:rsidR="005A48B2" w:rsidRPr="00897682">
        <w:rPr>
          <w:i/>
        </w:rPr>
        <w:t>Marcello Viola proti Itálii,</w:t>
      </w:r>
      <w:r w:rsidR="005A48B2" w:rsidRPr="00897682">
        <w:t xml:space="preserve"> rozhodnutí ze dne 8. ledna 2008 o přípustnosti stížnosti ve věci </w:t>
      </w:r>
      <w:r w:rsidR="005A48B2" w:rsidRPr="00897682">
        <w:rPr>
          <w:i/>
        </w:rPr>
        <w:t xml:space="preserve">Condé Nast Publications LTD a Carter proti Velké Británii </w:t>
      </w:r>
      <w:r w:rsidR="005A48B2" w:rsidRPr="00897682">
        <w:rPr>
          <w:iCs/>
        </w:rPr>
        <w:t>nebo rozsudek</w:t>
      </w:r>
      <w:r w:rsidR="005A48B2" w:rsidRPr="00897682">
        <w:t xml:space="preserve"> ze dne 26. června 2008 ve věci </w:t>
      </w:r>
      <w:r w:rsidR="005A48B2" w:rsidRPr="00897682">
        <w:rPr>
          <w:i/>
        </w:rPr>
        <w:t>Shulepov proti Rusku</w:t>
      </w:r>
      <w:r w:rsidR="005A48B2" w:rsidRPr="00897682">
        <w:rPr>
          <w:iCs/>
        </w:rPr>
        <w:t xml:space="preserve">). </w:t>
      </w:r>
      <w:r w:rsidRPr="00897682">
        <w:rPr>
          <w:rFonts w:ascii="TimesNewRoman" w:hAnsi="TimesNewRoman" w:cs="TimesNewRoman"/>
        </w:rPr>
        <w:t xml:space="preserve">Za takový legitimní cíl je považována např. ochrana veřejné bezpečnosti a veřejného pořádku a předcházení páchání jiných trestných činů nebo zájem na řádném výkonu spravedlnosti. </w:t>
      </w:r>
      <w:r w:rsidR="005A48B2" w:rsidRPr="00897682">
        <w:rPr>
          <w:rFonts w:ascii="TimesNewRoman" w:hAnsi="TimesNewRoman" w:cs="TimesNewRoman"/>
        </w:rPr>
        <w:t>Tomu odpovídá stávající § 52a tr. ř.</w:t>
      </w:r>
    </w:p>
    <w:p w14:paraId="6998F00B" w14:textId="369AADCA" w:rsidR="00330565" w:rsidRPr="00897682" w:rsidRDefault="00330565" w:rsidP="00330565">
      <w:pPr>
        <w:spacing w:line="240" w:lineRule="auto"/>
        <w:rPr>
          <w:rFonts w:ascii="TimesNewRoman" w:hAnsi="TimesNewRoman" w:cs="TimesNewRoman"/>
        </w:rPr>
      </w:pPr>
      <w:r w:rsidRPr="00897682">
        <w:rPr>
          <w:rFonts w:ascii="TimesNewRoman" w:hAnsi="TimesNewRoman" w:cs="TimesNewRoman"/>
        </w:rPr>
        <w:t xml:space="preserve">Možnost využívat videokonferenci v trestním řízení v přeshraničních případech vyplývá pro členské státy EU z článku 10 Úmluvy o vzájemné pomoci v trestních věcech mezi státy Evropské unie, vypracované Radou na základě článku 34 Smlouvy  o Evropské unii ze dne 29. 5. 2000 (u nás byla vyhlášena ve Sbírce zákonů formou sdělení MZV č. 55/2006 Sb.) a z Druhého dodatkového protokolu k Evropské úmluvě o vzájemné pomoci ve věcech trestních ze dne 8. 11. 2001, který obsahuje téměř shodná ustanovení jako citovaná úmluva. </w:t>
      </w:r>
    </w:p>
    <w:p w14:paraId="2B3DC0B2" w14:textId="21A5D0C7" w:rsidR="00330565" w:rsidRPr="00897682" w:rsidRDefault="00330565" w:rsidP="00703F93">
      <w:pPr>
        <w:spacing w:line="240" w:lineRule="auto"/>
        <w:rPr>
          <w:rFonts w:ascii="TimesNewRoman" w:hAnsi="TimesNewRoman" w:cs="TimesNewRoman"/>
        </w:rPr>
      </w:pPr>
      <w:r w:rsidRPr="00897682">
        <w:rPr>
          <w:rFonts w:ascii="TimesNewRoman" w:hAnsi="TimesNewRoman" w:cs="TimesNewRoman"/>
        </w:rPr>
        <w:t>Možnost výslechu prostřednictvím videokonferencí upravuje také např. Dodatková úmluva o</w:t>
      </w:r>
      <w:r w:rsidR="003F2784" w:rsidRPr="00897682">
        <w:rPr>
          <w:rFonts w:ascii="TimesNewRoman" w:hAnsi="TimesNewRoman" w:cs="TimesNewRoman"/>
        </w:rPr>
        <w:t> </w:t>
      </w:r>
      <w:r w:rsidRPr="00897682">
        <w:rPr>
          <w:rFonts w:ascii="TimesNewRoman" w:hAnsi="TimesNewRoman" w:cs="TimesNewRoman"/>
        </w:rPr>
        <w:t xml:space="preserve">vzájemné právní pomoci v trestních věcech mezi Českou republikou a USA, vyhlášená </w:t>
      </w:r>
      <w:r w:rsidRPr="00897682">
        <w:t>pod č. 7/2010 Sb. m. s.</w:t>
      </w:r>
    </w:p>
    <w:p w14:paraId="39CAD6F5" w14:textId="710AC47C" w:rsidR="00703F93" w:rsidRPr="00897682" w:rsidRDefault="00703F93" w:rsidP="00703F93">
      <w:pPr>
        <w:spacing w:line="240" w:lineRule="auto"/>
        <w:rPr>
          <w:rFonts w:eastAsia="Calibri"/>
        </w:rPr>
      </w:pPr>
      <w:r w:rsidRPr="00897682">
        <w:rPr>
          <w:rFonts w:eastAsia="Calibri"/>
        </w:rPr>
        <w:t>E</w:t>
      </w:r>
      <w:r w:rsidR="00DD286F" w:rsidRPr="00897682">
        <w:rPr>
          <w:rFonts w:eastAsia="Calibri"/>
        </w:rPr>
        <w:t xml:space="preserve">xistující </w:t>
      </w:r>
      <w:r w:rsidRPr="00897682">
        <w:rPr>
          <w:rFonts w:eastAsia="Calibri"/>
        </w:rPr>
        <w:t xml:space="preserve">mezinárodní </w:t>
      </w:r>
      <w:r w:rsidR="00DD286F" w:rsidRPr="00897682">
        <w:rPr>
          <w:rFonts w:eastAsia="Calibri"/>
        </w:rPr>
        <w:t>smlouvy</w:t>
      </w:r>
      <w:r w:rsidRPr="00897682">
        <w:rPr>
          <w:rFonts w:eastAsia="Calibri"/>
        </w:rPr>
        <w:t xml:space="preserve"> se netýkají používání videokonferencí ve vnitrostátních případech, ale upravují tuto problematiku výlučně ve vztahu k přeshraniční justiční spolupráci. </w:t>
      </w:r>
    </w:p>
    <w:p w14:paraId="2567F4C0" w14:textId="3772E768" w:rsidR="00DD286F" w:rsidRPr="00897682" w:rsidRDefault="00703F93" w:rsidP="00330565">
      <w:pPr>
        <w:spacing w:line="240" w:lineRule="auto"/>
        <w:rPr>
          <w:rFonts w:eastAsia="Calibri"/>
        </w:rPr>
      </w:pPr>
      <w:r w:rsidRPr="00897682">
        <w:rPr>
          <w:rFonts w:eastAsia="Calibri"/>
        </w:rPr>
        <w:lastRenderedPageBreak/>
        <w:t xml:space="preserve">Stejně tak pokud jde o předpisy Evropské unie, </w:t>
      </w:r>
      <w:r w:rsidR="00DD286F" w:rsidRPr="00897682">
        <w:rPr>
          <w:rFonts w:eastAsia="Calibri"/>
        </w:rPr>
        <w:t xml:space="preserve">užívání videokonferencí </w:t>
      </w:r>
      <w:r w:rsidRPr="00897682">
        <w:rPr>
          <w:rFonts w:eastAsia="Calibri"/>
        </w:rPr>
        <w:t xml:space="preserve">upravuje </w:t>
      </w:r>
      <w:r w:rsidR="00DD286F" w:rsidRPr="00897682">
        <w:rPr>
          <w:rFonts w:eastAsia="Calibri"/>
        </w:rPr>
        <w:t xml:space="preserve">nařízení Evropského parlamentu a Rady (EU) 2023/2844 ze dne 13. prosince 2023 o digitalizaci justiční spolupráce a přístupu ke spravedlnosti v přeshraničních občanských, obchodních a trestních věcech a o změně některých aktů </w:t>
      </w:r>
      <w:r w:rsidRPr="00897682">
        <w:rPr>
          <w:rFonts w:eastAsia="Calibri"/>
        </w:rPr>
        <w:t xml:space="preserve">pouze pro </w:t>
      </w:r>
      <w:r w:rsidR="00DD286F" w:rsidRPr="00897682">
        <w:rPr>
          <w:rFonts w:eastAsia="Calibri"/>
        </w:rPr>
        <w:t xml:space="preserve">oblast </w:t>
      </w:r>
      <w:r w:rsidRPr="00897682">
        <w:rPr>
          <w:rFonts w:eastAsia="Calibri"/>
        </w:rPr>
        <w:t xml:space="preserve">přeshraniční </w:t>
      </w:r>
      <w:r w:rsidR="00DD286F" w:rsidRPr="00897682">
        <w:rPr>
          <w:rFonts w:eastAsia="Calibri"/>
        </w:rPr>
        <w:t xml:space="preserve">justiční spolupráce. </w:t>
      </w:r>
    </w:p>
    <w:p w14:paraId="282B6FAC" w14:textId="5C199AD9" w:rsidR="00DD286F" w:rsidRPr="00897682" w:rsidRDefault="00330565" w:rsidP="00BF3DCD">
      <w:pPr>
        <w:spacing w:line="240" w:lineRule="auto"/>
        <w:outlineLvl w:val="1"/>
        <w:rPr>
          <w:rFonts w:eastAsia="Times New Roman"/>
          <w:bCs w:val="0"/>
          <w:i/>
          <w:iCs/>
        </w:rPr>
      </w:pPr>
      <w:r w:rsidRPr="00897682">
        <w:rPr>
          <w:rFonts w:eastAsia="Times New Roman"/>
          <w:bCs w:val="0"/>
          <w:i/>
          <w:iCs/>
        </w:rPr>
        <w:t xml:space="preserve">Ad 6. </w:t>
      </w:r>
    </w:p>
    <w:p w14:paraId="33401836" w14:textId="01DF317A" w:rsidR="00BA4CC0" w:rsidRPr="00897682" w:rsidRDefault="00A06E6A" w:rsidP="00BA4CC0">
      <w:pPr>
        <w:spacing w:line="240" w:lineRule="auto"/>
        <w:rPr>
          <w:rFonts w:eastAsia="Times New Roman"/>
          <w:bCs w:val="0"/>
        </w:rPr>
      </w:pPr>
      <w:r w:rsidRPr="00897682">
        <w:rPr>
          <w:rFonts w:eastAsia="Times New Roman"/>
          <w:bCs w:val="0"/>
        </w:rPr>
        <w:t xml:space="preserve">Otázkou protokolace </w:t>
      </w:r>
      <w:r w:rsidR="00BA4CC0" w:rsidRPr="00897682">
        <w:rPr>
          <w:rFonts w:eastAsia="Times New Roman"/>
          <w:bCs w:val="0"/>
        </w:rPr>
        <w:t>a rozporu se zvukovým záznamem</w:t>
      </w:r>
      <w:r w:rsidRPr="00897682">
        <w:rPr>
          <w:rFonts w:eastAsia="Times New Roman"/>
          <w:bCs w:val="0"/>
        </w:rPr>
        <w:t xml:space="preserve"> v trestním řízení se </w:t>
      </w:r>
      <w:r w:rsidR="00BA4CC0" w:rsidRPr="00897682">
        <w:rPr>
          <w:rFonts w:eastAsia="Times New Roman"/>
          <w:bCs w:val="0"/>
        </w:rPr>
        <w:t xml:space="preserve">Ústavní soud zabýval zejména z pohledu </w:t>
      </w:r>
      <w:r w:rsidR="00BA4CC0" w:rsidRPr="00897682">
        <w:rPr>
          <w:rFonts w:eastAsia="Times New Roman"/>
        </w:rPr>
        <w:t>ústavně garantovaného základního práva na spravedlivý proces (článek 36 odst. 1 Listiny základních práv a svobod), jehož podstatnou součástí je právo na obhajobu (článek 40 odst. 3 Listiny základních práv a svobod).</w:t>
      </w:r>
    </w:p>
    <w:p w14:paraId="0C3F4BEA" w14:textId="156FCD6B" w:rsidR="00BA4CC0" w:rsidRPr="00897682" w:rsidRDefault="00C27EFD" w:rsidP="001B494D">
      <w:pPr>
        <w:spacing w:line="240" w:lineRule="auto"/>
        <w:rPr>
          <w:rFonts w:eastAsia="Times New Roman"/>
          <w:bCs w:val="0"/>
        </w:rPr>
      </w:pPr>
      <w:r w:rsidRPr="00897682">
        <w:rPr>
          <w:rFonts w:eastAsia="Times New Roman"/>
          <w:bCs w:val="0"/>
        </w:rPr>
        <w:t xml:space="preserve">V nálezu IV. ÚS 388/06 ze dne 17. 4. 2007 Ústavní soud uvedl, že pokud není </w:t>
      </w:r>
      <w:r w:rsidR="00BA4CC0" w:rsidRPr="00897682">
        <w:rPr>
          <w:rFonts w:eastAsia="Times New Roman"/>
        </w:rPr>
        <w:t>obžalovanému či jeho obhájci na základě žádosti soudem umožněno zkonfrontovat zvukový záznam s jeho přepisem v protokolu, ať již tím, že je mu umožněn poslech záznamu, nebo tím, že mu je poskytnuta jeho kopie, je obhajobě znemožněno vznést proti protokolaci konkrétní námitky či kvalifikovaně brojit proti výpovědím osob vypovídajících během hlavního líčení, čehož důsledkem je porušení ústavně garantovaného základního práva na spravedlivý proces (čl. 36 odst. 1 Listiny základních práv a svobod), jehož podstatnou součástí je právo na obhajobu (čl. 40 odst. 3 Listiny základních práv a svobod).</w:t>
      </w:r>
    </w:p>
    <w:p w14:paraId="35E5FE31" w14:textId="07F90E39" w:rsidR="00BA4CC0" w:rsidRPr="00897682" w:rsidRDefault="00C27EFD" w:rsidP="00BA4CC0">
      <w:pPr>
        <w:spacing w:line="240" w:lineRule="auto"/>
        <w:rPr>
          <w:rFonts w:eastAsia="Times New Roman"/>
        </w:rPr>
      </w:pPr>
      <w:r w:rsidRPr="00897682">
        <w:rPr>
          <w:rFonts w:eastAsia="Times New Roman"/>
          <w:bCs w:val="0"/>
        </w:rPr>
        <w:t xml:space="preserve">V nálezu </w:t>
      </w:r>
      <w:r w:rsidR="00BA4CC0" w:rsidRPr="00897682">
        <w:rPr>
          <w:rFonts w:eastAsia="Times New Roman"/>
          <w:bCs w:val="0"/>
        </w:rPr>
        <w:t>III. ÚS 348/21 ze dne 9. 6. 2021</w:t>
      </w:r>
      <w:r w:rsidRPr="00897682">
        <w:rPr>
          <w:rFonts w:eastAsia="Times New Roman"/>
          <w:bCs w:val="0"/>
        </w:rPr>
        <w:t xml:space="preserve"> Ústavní soud konstatoval, že </w:t>
      </w:r>
      <w:r w:rsidRPr="00897682">
        <w:rPr>
          <w:rFonts w:eastAsia="Times New Roman"/>
        </w:rPr>
        <w:t xml:space="preserve">v každé věci, v níž je uplatněna rozhodovací pravomoc obecných soudů, musí být zajištěn soulad mezi pořízeným audiozáznamem jednání (veřejného zasedání) soudu, v jehož průběhu dochází k vyhlášení rozhodnutí, písemným protokolem z tohoto jednání (veřejného zasedání), jakož i písemným vyhotovením samotného rozhodnutí tohoto soudu. Vyskytne-li se rozpor mezi písemným vyhotovením protokolu o úkonu a zvukovým záznamem, je třeba vycházet ze zvukového záznamu. </w:t>
      </w:r>
    </w:p>
    <w:p w14:paraId="7240F18B" w14:textId="40703E49" w:rsidR="006E46D9" w:rsidRPr="00897682" w:rsidRDefault="006E46D9" w:rsidP="00BA4CC0">
      <w:pPr>
        <w:spacing w:line="240" w:lineRule="auto"/>
        <w:rPr>
          <w:rFonts w:eastAsia="Times New Roman"/>
          <w:bCs w:val="0"/>
        </w:rPr>
      </w:pPr>
      <w:r w:rsidRPr="00897682">
        <w:rPr>
          <w:rFonts w:eastAsia="Times New Roman"/>
          <w:bCs w:val="0"/>
        </w:rPr>
        <w:t>V nálezu III. ÚS 4071/17 ze dne 31. 7. 2018 Ústavní soud uvedl, že pokud</w:t>
      </w:r>
      <w:r w:rsidRPr="00897682">
        <w:rPr>
          <w:rFonts w:eastAsia="Times New Roman"/>
        </w:rPr>
        <w:t xml:space="preserve"> obecný soud odmítne provedení důkazu zvukovým záznamem z porady senátu soudu a nepřekračuje-li přitom jeho provedení přijatelnou míru kontextuálního zásahu do základního práva na ochranu soukromí, je takový postup v rozporu se základními právy účastníka řízení dle čl. 36 odst. 1 a čl. 38 odst. 1 Listiny základních práv a svobod, jakož i čl. 6 odst. 1 Úmluvy o ochraně lidských práv a</w:t>
      </w:r>
      <w:r w:rsidR="00BF3EE9" w:rsidRPr="00897682">
        <w:rPr>
          <w:rFonts w:eastAsia="Times New Roman"/>
        </w:rPr>
        <w:t> </w:t>
      </w:r>
      <w:r w:rsidRPr="00897682">
        <w:rPr>
          <w:rFonts w:eastAsia="Times New Roman"/>
        </w:rPr>
        <w:t>základních svobod.</w:t>
      </w:r>
    </w:p>
    <w:p w14:paraId="672E14CB" w14:textId="7749433E" w:rsidR="00A06E6A" w:rsidRPr="00897682" w:rsidRDefault="00C27EFD" w:rsidP="001B494D">
      <w:pPr>
        <w:spacing w:line="240" w:lineRule="auto"/>
        <w:rPr>
          <w:rFonts w:eastAsia="Times New Roman"/>
          <w:bCs w:val="0"/>
        </w:rPr>
      </w:pPr>
      <w:r w:rsidRPr="00897682">
        <w:rPr>
          <w:rFonts w:eastAsia="Times New Roman"/>
          <w:bCs w:val="0"/>
        </w:rPr>
        <w:t xml:space="preserve">Z judikatury Ústavního soudu tedy vyplývá, že v </w:t>
      </w:r>
      <w:r w:rsidR="00BA4CC0" w:rsidRPr="00897682">
        <w:rPr>
          <w:rFonts w:eastAsia="Times New Roman"/>
          <w:bCs w:val="0"/>
        </w:rPr>
        <w:t>případě rozporu mezi písemným protokolem o úkonu a zvukovým záznamem je třeba vycházet ze zvukového záznamu</w:t>
      </w:r>
      <w:r w:rsidR="006E46D9" w:rsidRPr="00897682">
        <w:rPr>
          <w:rFonts w:eastAsia="Times New Roman"/>
          <w:bCs w:val="0"/>
        </w:rPr>
        <w:t xml:space="preserve"> a že zvukový záznam je rozhodným důkazem</w:t>
      </w:r>
      <w:r w:rsidR="00BA4CC0" w:rsidRPr="00897682">
        <w:rPr>
          <w:rFonts w:eastAsia="Times New Roman"/>
          <w:bCs w:val="0"/>
        </w:rPr>
        <w:t>.</w:t>
      </w:r>
      <w:r w:rsidR="009D459A" w:rsidRPr="00897682">
        <w:rPr>
          <w:rFonts w:eastAsia="Times New Roman"/>
          <w:bCs w:val="0"/>
        </w:rPr>
        <w:t xml:space="preserve"> </w:t>
      </w:r>
      <w:r w:rsidR="006E46D9" w:rsidRPr="00897682">
        <w:rPr>
          <w:rFonts w:eastAsia="Times New Roman"/>
          <w:bCs w:val="0"/>
        </w:rPr>
        <w:t xml:space="preserve">Navržená úprava tuto judikaturu respektuje, když napříště stanoví, že jako důkaz bude sloužit pouze zvukový záznam ze soudního jednání, je-li pořízen. </w:t>
      </w:r>
    </w:p>
    <w:p w14:paraId="365EA4C8" w14:textId="3BC0DDD5" w:rsidR="007B6D33" w:rsidRPr="00897682" w:rsidRDefault="00A43B91" w:rsidP="001B494D">
      <w:pPr>
        <w:spacing w:line="240" w:lineRule="auto"/>
        <w:rPr>
          <w:rFonts w:eastAsia="Times New Roman"/>
          <w:bCs w:val="0"/>
        </w:rPr>
      </w:pPr>
      <w:r w:rsidRPr="00897682">
        <w:rPr>
          <w:rFonts w:eastAsia="Times New Roman"/>
          <w:bCs w:val="0"/>
        </w:rPr>
        <w:t>Pokud jde o judikaturu ESLP, p</w:t>
      </w:r>
      <w:r w:rsidR="007B6D33" w:rsidRPr="00897682">
        <w:rPr>
          <w:rFonts w:eastAsia="Times New Roman"/>
          <w:bCs w:val="0"/>
        </w:rPr>
        <w:t>ředpisy Evropské unie</w:t>
      </w:r>
      <w:r w:rsidRPr="00897682">
        <w:rPr>
          <w:rFonts w:eastAsia="Times New Roman"/>
          <w:bCs w:val="0"/>
        </w:rPr>
        <w:t xml:space="preserve"> a </w:t>
      </w:r>
      <w:r w:rsidR="007B6D33" w:rsidRPr="00897682">
        <w:rPr>
          <w:rFonts w:eastAsia="Times New Roman"/>
          <w:bCs w:val="0"/>
        </w:rPr>
        <w:t>mezinárodní smlouvy</w:t>
      </w:r>
      <w:r w:rsidRPr="00897682">
        <w:rPr>
          <w:rFonts w:eastAsia="Times New Roman"/>
          <w:bCs w:val="0"/>
        </w:rPr>
        <w:t xml:space="preserve">, </w:t>
      </w:r>
      <w:r w:rsidR="007B6D33" w:rsidRPr="00897682">
        <w:rPr>
          <w:rFonts w:eastAsia="Times New Roman"/>
          <w:bCs w:val="0"/>
        </w:rPr>
        <w:t xml:space="preserve">této otázce </w:t>
      </w:r>
      <w:r w:rsidRPr="00897682">
        <w:rPr>
          <w:rFonts w:eastAsia="Times New Roman"/>
          <w:bCs w:val="0"/>
        </w:rPr>
        <w:t xml:space="preserve">se </w:t>
      </w:r>
      <w:r w:rsidR="007B6D33" w:rsidRPr="00897682">
        <w:rPr>
          <w:rFonts w:eastAsia="Times New Roman"/>
          <w:bCs w:val="0"/>
        </w:rPr>
        <w:t xml:space="preserve">podrobněji nevěnují. </w:t>
      </w:r>
    </w:p>
    <w:p w14:paraId="083D266B" w14:textId="63BEC72A" w:rsidR="00C216E4" w:rsidRPr="00897682" w:rsidRDefault="00C216E4" w:rsidP="000501AC">
      <w:pPr>
        <w:spacing w:line="240" w:lineRule="auto"/>
        <w:outlineLvl w:val="1"/>
        <w:rPr>
          <w:rFonts w:eastAsia="Times New Roman"/>
          <w:b/>
        </w:rPr>
      </w:pPr>
      <w:r w:rsidRPr="00897682">
        <w:rPr>
          <w:rFonts w:eastAsia="Times New Roman"/>
          <w:b/>
        </w:rPr>
        <w:t xml:space="preserve">Předpokládaný hospodářský a finanční dopad navrhované právní úpravy na státní rozpočet a ostatní veřejné rozpočty </w:t>
      </w:r>
    </w:p>
    <w:p w14:paraId="1601E624" w14:textId="40500CFA" w:rsidR="00232DED" w:rsidRPr="00897682" w:rsidRDefault="00375582" w:rsidP="00232DED">
      <w:pPr>
        <w:spacing w:line="240" w:lineRule="auto"/>
        <w:outlineLvl w:val="1"/>
        <w:rPr>
          <w:rFonts w:eastAsia="Times New Roman"/>
          <w:bCs w:val="0"/>
        </w:rPr>
      </w:pPr>
      <w:r>
        <w:t>V</w:t>
      </w:r>
      <w:r w:rsidR="00337D93" w:rsidRPr="00897682">
        <w:t xml:space="preserve"> souvislosti se zakotvením výlučné příslušnosti útvarů Policie České republiky k vyšetřování vybraných trestných činů spadajících do působnosti Vojenské policie a s posílením jejich prověřovací činnosti v této oblasti je zapotřebí posílit personální kapacity policejních útvarů řešících závažnější a složitější typy případů, konkrétně zejména Národní centrály proti organizovanému zločinu, Národní centrály proti terorismu, extremismu a kybernetické kriminalitě </w:t>
      </w:r>
      <w:r w:rsidR="00232DED" w:rsidRPr="00897682">
        <w:rPr>
          <w:rFonts w:cs="Times New Roman"/>
        </w:rPr>
        <w:t>[</w:t>
      </w:r>
      <w:r w:rsidR="0010183F" w:rsidRPr="00897682">
        <w:rPr>
          <w:rFonts w:cs="Times New Roman"/>
        </w:rPr>
        <w:t xml:space="preserve">pro případ, že by byl spáchán trestný čin </w:t>
      </w:r>
      <w:r w:rsidR="00232DED" w:rsidRPr="00897682">
        <w:rPr>
          <w:rFonts w:eastAsia="Times New Roman"/>
          <w:bCs w:val="0"/>
        </w:rPr>
        <w:t xml:space="preserve">porušení </w:t>
      </w:r>
      <w:r w:rsidR="008E16BD" w:rsidRPr="00897682">
        <w:rPr>
          <w:rFonts w:eastAsia="Times New Roman"/>
          <w:bCs w:val="0"/>
        </w:rPr>
        <w:t xml:space="preserve">mezinárodních </w:t>
      </w:r>
      <w:r w:rsidR="00232DED" w:rsidRPr="00897682">
        <w:rPr>
          <w:rFonts w:eastAsia="Times New Roman"/>
          <w:bCs w:val="0"/>
        </w:rPr>
        <w:t xml:space="preserve">sankcí </w:t>
      </w:r>
      <w:r w:rsidR="0010183F" w:rsidRPr="00897682">
        <w:rPr>
          <w:rFonts w:eastAsia="Times New Roman"/>
          <w:bCs w:val="0"/>
        </w:rPr>
        <w:t xml:space="preserve">podle </w:t>
      </w:r>
      <w:r w:rsidR="00232DED" w:rsidRPr="00897682">
        <w:rPr>
          <w:rFonts w:eastAsia="Times New Roman"/>
          <w:bCs w:val="0"/>
        </w:rPr>
        <w:t>§</w:t>
      </w:r>
      <w:r w:rsidR="008E16BD" w:rsidRPr="00897682">
        <w:rPr>
          <w:rFonts w:eastAsia="Times New Roman"/>
          <w:bCs w:val="0"/>
        </w:rPr>
        <w:t> </w:t>
      </w:r>
      <w:r w:rsidR="00232DED" w:rsidRPr="00897682">
        <w:rPr>
          <w:rFonts w:eastAsia="Times New Roman"/>
          <w:bCs w:val="0"/>
        </w:rPr>
        <w:t xml:space="preserve">410 </w:t>
      </w:r>
      <w:r w:rsidR="0010183F" w:rsidRPr="00897682">
        <w:rPr>
          <w:rFonts w:eastAsia="Times New Roman"/>
          <w:bCs w:val="0"/>
        </w:rPr>
        <w:t xml:space="preserve">tr. zák. </w:t>
      </w:r>
      <w:r w:rsidR="0010183F" w:rsidRPr="00897682">
        <w:rPr>
          <w:rFonts w:eastAsia="Times New Roman"/>
        </w:rPr>
        <w:t xml:space="preserve">ve spojitosti s technologiemi dvojího užití nebo vojenským materiálem </w:t>
      </w:r>
      <w:r w:rsidR="005E5236" w:rsidRPr="00897682">
        <w:rPr>
          <w:rFonts w:eastAsia="Times New Roman"/>
        </w:rPr>
        <w:t xml:space="preserve">ve spojení s trestným činem </w:t>
      </w:r>
      <w:r w:rsidR="00232DED" w:rsidRPr="00897682">
        <w:rPr>
          <w:rFonts w:eastAsia="Times New Roman"/>
          <w:bCs w:val="0"/>
        </w:rPr>
        <w:t xml:space="preserve">zneužití pravomoci </w:t>
      </w:r>
      <w:r w:rsidR="0010183F" w:rsidRPr="00897682">
        <w:rPr>
          <w:rFonts w:eastAsia="Times New Roman"/>
          <w:bCs w:val="0"/>
        </w:rPr>
        <w:t xml:space="preserve">úřední osoby podle </w:t>
      </w:r>
      <w:r w:rsidR="00232DED" w:rsidRPr="00897682">
        <w:rPr>
          <w:rFonts w:eastAsia="Times New Roman"/>
          <w:bCs w:val="0"/>
        </w:rPr>
        <w:t xml:space="preserve">§ 329 </w:t>
      </w:r>
      <w:r w:rsidR="0010183F" w:rsidRPr="00897682">
        <w:rPr>
          <w:rFonts w:eastAsia="Times New Roman"/>
          <w:bCs w:val="0"/>
        </w:rPr>
        <w:t>tr. zák.</w:t>
      </w:r>
      <w:r w:rsidR="00435AD8" w:rsidRPr="00897682">
        <w:rPr>
          <w:rFonts w:eastAsia="Times New Roman"/>
          <w:bCs w:val="0"/>
        </w:rPr>
        <w:t xml:space="preserve"> nebo legalizace výnosů </w:t>
      </w:r>
      <w:r w:rsidR="00435AD8" w:rsidRPr="00897682">
        <w:rPr>
          <w:rFonts w:eastAsia="Times New Roman"/>
          <w:bCs w:val="0"/>
        </w:rPr>
        <w:lastRenderedPageBreak/>
        <w:t>z trestné činnosti podle § 216 tr. zák.</w:t>
      </w:r>
      <w:r w:rsidR="0010183F" w:rsidRPr="00897682">
        <w:rPr>
          <w:rFonts w:eastAsia="Times New Roman"/>
          <w:bCs w:val="0"/>
        </w:rPr>
        <w:t xml:space="preserve">, nebo </w:t>
      </w:r>
      <w:r w:rsidR="00976372" w:rsidRPr="00897682">
        <w:rPr>
          <w:rFonts w:eastAsia="Times New Roman"/>
          <w:bCs w:val="0"/>
        </w:rPr>
        <w:t xml:space="preserve">by se jednalo o </w:t>
      </w:r>
      <w:r w:rsidR="0010183F" w:rsidRPr="00897682">
        <w:rPr>
          <w:rFonts w:eastAsia="Times New Roman"/>
          <w:bCs w:val="0"/>
        </w:rPr>
        <w:t>nedovolené obchodování se zbraněmi, výbušninami, vojenským materiálem, zbožím a</w:t>
      </w:r>
      <w:r w:rsidR="00976372" w:rsidRPr="00897682">
        <w:rPr>
          <w:rFonts w:eastAsia="Times New Roman"/>
          <w:bCs w:val="0"/>
        </w:rPr>
        <w:t> </w:t>
      </w:r>
      <w:r w:rsidR="0010183F" w:rsidRPr="00897682">
        <w:rPr>
          <w:rFonts w:eastAsia="Times New Roman"/>
          <w:bCs w:val="0"/>
        </w:rPr>
        <w:t xml:space="preserve">technologiemi dvojího užití, chemickými, biologickými, radioaktivními a ostatními vysoce nebezpečnými látkami ve spojení </w:t>
      </w:r>
      <w:r w:rsidR="00976372" w:rsidRPr="00897682">
        <w:rPr>
          <w:rFonts w:eastAsia="Times New Roman"/>
          <w:bCs w:val="0"/>
        </w:rPr>
        <w:t>s trestným činem</w:t>
      </w:r>
      <w:r w:rsidR="0010183F" w:rsidRPr="00897682">
        <w:rPr>
          <w:rFonts w:eastAsia="Times New Roman"/>
          <w:bCs w:val="0"/>
        </w:rPr>
        <w:t xml:space="preserve"> podvodu </w:t>
      </w:r>
      <w:r w:rsidR="00976372" w:rsidRPr="00897682">
        <w:rPr>
          <w:rFonts w:eastAsia="Times New Roman"/>
          <w:bCs w:val="0"/>
        </w:rPr>
        <w:t xml:space="preserve">podle </w:t>
      </w:r>
      <w:r w:rsidR="0010183F" w:rsidRPr="00897682">
        <w:rPr>
          <w:rFonts w:eastAsia="Times New Roman"/>
          <w:bCs w:val="0"/>
        </w:rPr>
        <w:t>§ 209</w:t>
      </w:r>
      <w:r w:rsidR="00976372" w:rsidRPr="00897682">
        <w:rPr>
          <w:rFonts w:eastAsia="Times New Roman"/>
          <w:bCs w:val="0"/>
        </w:rPr>
        <w:t xml:space="preserve"> tr. zák.</w:t>
      </w:r>
      <w:r w:rsidR="00435AD8" w:rsidRPr="00897682">
        <w:rPr>
          <w:rFonts w:eastAsia="Times New Roman"/>
          <w:bCs w:val="0"/>
        </w:rPr>
        <w:t>, legalizace výnosů z trestné činnosti podle § 216 tr. zák. nebo</w:t>
      </w:r>
      <w:r w:rsidR="0010183F" w:rsidRPr="00897682">
        <w:rPr>
          <w:rFonts w:eastAsia="Times New Roman"/>
          <w:bCs w:val="0"/>
        </w:rPr>
        <w:t xml:space="preserve"> zneužití pravomoci </w:t>
      </w:r>
      <w:r w:rsidR="00976372" w:rsidRPr="00897682">
        <w:rPr>
          <w:rFonts w:eastAsia="Times New Roman"/>
          <w:bCs w:val="0"/>
        </w:rPr>
        <w:t xml:space="preserve">úřední osoby podle </w:t>
      </w:r>
      <w:r w:rsidR="0010183F" w:rsidRPr="00897682">
        <w:rPr>
          <w:rFonts w:eastAsia="Times New Roman"/>
          <w:bCs w:val="0"/>
        </w:rPr>
        <w:t xml:space="preserve">§ 329 </w:t>
      </w:r>
      <w:r w:rsidR="00976372" w:rsidRPr="00897682">
        <w:rPr>
          <w:rFonts w:eastAsia="Times New Roman"/>
          <w:bCs w:val="0"/>
        </w:rPr>
        <w:t>tr. zák.</w:t>
      </w:r>
      <w:r w:rsidR="0041491A" w:rsidRPr="00897682">
        <w:rPr>
          <w:rFonts w:eastAsia="Times New Roman"/>
          <w:bCs w:val="0"/>
        </w:rPr>
        <w:t>, neboť i v této oblasti je dána příslušnost NCTEKK</w:t>
      </w:r>
      <w:r w:rsidR="0010183F" w:rsidRPr="00897682">
        <w:rPr>
          <w:rFonts w:eastAsia="Times New Roman" w:cs="Times New Roman"/>
          <w:bCs w:val="0"/>
        </w:rPr>
        <w:t>]</w:t>
      </w:r>
      <w:r w:rsidR="00232DED" w:rsidRPr="00897682">
        <w:rPr>
          <w:rFonts w:eastAsia="Times New Roman"/>
          <w:bCs w:val="0"/>
        </w:rPr>
        <w:t xml:space="preserve"> </w:t>
      </w:r>
      <w:r w:rsidR="00232DED" w:rsidRPr="00897682">
        <w:t>a</w:t>
      </w:r>
      <w:r w:rsidR="0010183F" w:rsidRPr="00897682">
        <w:t> </w:t>
      </w:r>
      <w:r w:rsidR="00232DED" w:rsidRPr="00897682">
        <w:t>krajských ředitelství Policie České republiky.</w:t>
      </w:r>
    </w:p>
    <w:p w14:paraId="3A268B3D" w14:textId="37DE3FFD" w:rsidR="00D92897" w:rsidRDefault="00337D93" w:rsidP="00337D93">
      <w:pPr>
        <w:spacing w:line="240" w:lineRule="auto"/>
      </w:pPr>
      <w:r w:rsidRPr="00897682">
        <w:t xml:space="preserve">Odhad počtu služebních míst, které bude zapotřebí vytvořit na pokrytí nových úkolů Policie České republiky, a souvisejících finančních nákladů, je uveden níže. Náklady na platy takto nově vytvořených míst lze odhadovat ročně na cca </w:t>
      </w:r>
      <w:r w:rsidRPr="00897682">
        <w:rPr>
          <w:b/>
          <w:bCs w:val="0"/>
        </w:rPr>
        <w:t>39 mil. Kč</w:t>
      </w:r>
      <w:r w:rsidRPr="00897682">
        <w:t>, přičemž v rozsahu, v jakém nebude možné nárůst výdajů spojených s navýšením počtu služebních míst pokrýt přesunem příslušného počtu služebních míst z Vojenské policie, b</w:t>
      </w:r>
      <w:r w:rsidR="005E30B5" w:rsidRPr="00897682">
        <w:t>y bylo</w:t>
      </w:r>
      <w:r w:rsidRPr="00897682">
        <w:t xml:space="preserve"> třeba navýšit rozpočtovou kapitolu Ministerstva vnitra. </w:t>
      </w:r>
    </w:p>
    <w:p w14:paraId="05D0859C" w14:textId="6047B639" w:rsidR="0084691A" w:rsidRPr="00897682" w:rsidRDefault="0084691A" w:rsidP="00337D93">
      <w:pPr>
        <w:spacing w:line="240" w:lineRule="auto"/>
      </w:pPr>
      <w:r w:rsidRPr="00897682">
        <w:t xml:space="preserve">Požadavky na platy nových služebních míst u Policie České republiky: </w:t>
      </w:r>
    </w:p>
    <w:p w14:paraId="101F9A50" w14:textId="77777777" w:rsidR="007213E9" w:rsidRPr="00897682" w:rsidRDefault="007213E9" w:rsidP="00337D93">
      <w:pPr>
        <w:spacing w:line="240" w:lineRule="auto"/>
      </w:pPr>
    </w:p>
    <w:p w14:paraId="14716305" w14:textId="72B4088B" w:rsidR="00D708A3" w:rsidRPr="00897682" w:rsidRDefault="006C453F" w:rsidP="000501AC">
      <w:pPr>
        <w:spacing w:line="240" w:lineRule="auto"/>
        <w:outlineLvl w:val="1"/>
        <w:rPr>
          <w:rFonts w:eastAsia="Times New Roman"/>
          <w:b/>
        </w:rPr>
      </w:pPr>
      <w:r w:rsidRPr="00897682">
        <w:rPr>
          <w:rFonts w:cs="Times New Roman"/>
          <w:noProof/>
          <w:szCs w:val="24"/>
        </w:rPr>
        <w:drawing>
          <wp:inline distT="0" distB="0" distL="0" distR="0" wp14:anchorId="5A22063C" wp14:editId="165BC0FF">
            <wp:extent cx="5760720" cy="4124960"/>
            <wp:effectExtent l="0" t="0" r="0" b="8890"/>
            <wp:docPr id="805420177"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124960"/>
                    </a:xfrm>
                    <a:prstGeom prst="rect">
                      <a:avLst/>
                    </a:prstGeom>
                    <a:noFill/>
                    <a:ln>
                      <a:noFill/>
                    </a:ln>
                  </pic:spPr>
                </pic:pic>
              </a:graphicData>
            </a:graphic>
          </wp:inline>
        </w:drawing>
      </w:r>
    </w:p>
    <w:p w14:paraId="5A0EB9D8" w14:textId="3AF5A44E" w:rsidR="00375582" w:rsidRPr="00897682" w:rsidRDefault="00375582" w:rsidP="00375582">
      <w:pPr>
        <w:spacing w:line="240" w:lineRule="auto"/>
        <w:outlineLvl w:val="1"/>
        <w:rPr>
          <w:rFonts w:eastAsia="Times New Roman" w:cs="Times New Roman"/>
        </w:rPr>
      </w:pPr>
      <w:r>
        <w:rPr>
          <w:rFonts w:eastAsia="Times New Roman"/>
          <w:bCs w:val="0"/>
        </w:rPr>
        <w:t>Dále se předpokládají z</w:t>
      </w:r>
      <w:r w:rsidRPr="00897682">
        <w:rPr>
          <w:rFonts w:eastAsia="Times New Roman"/>
          <w:bCs w:val="0"/>
        </w:rPr>
        <w:t xml:space="preserve">výšené finanční náklady v souvislosti s potřebou dovybavit jednací síně </w:t>
      </w:r>
      <w:r w:rsidR="0064052A">
        <w:rPr>
          <w:rFonts w:eastAsia="Times New Roman"/>
          <w:bCs w:val="0"/>
        </w:rPr>
        <w:t xml:space="preserve">soudů </w:t>
      </w:r>
      <w:r w:rsidRPr="00897682">
        <w:rPr>
          <w:rFonts w:eastAsia="Times New Roman"/>
          <w:bCs w:val="0"/>
        </w:rPr>
        <w:t xml:space="preserve">technickým zařízením pro záznam a automatický přepis soudních jednání. Aktuálně je těmito technickými zařízeními vybaveno přibližně 96 % jednacích síní, zbývající 4 % představuje cca 50 jednacích síní, které je potřeba novým záznamovým zařízením vybavit, případně aktualizovat stávající technické zázemí tak, aby vyhovovalo novým požadavkům. V této souvislosti lze předpokládat dodatečné průměrné investiční výdaje ve výši 250 000 Kč na jednu jednací síň, tj. celkem 12,5 mil. Kč. S automatickým přepisem záznamu do písma je dále spojen náklad na pořízení dodatečné hardwarové infrastruktury ve výši 6 mil. Kč. </w:t>
      </w:r>
      <w:r w:rsidRPr="00897682">
        <w:rPr>
          <w:rFonts w:eastAsia="Times New Roman" w:cs="Times New Roman"/>
        </w:rPr>
        <w:t xml:space="preserve">Provozní výdaje na správu technického řešení lze odhadovat na 2,5 mil. Kč ročně (údržba technických zařízení). Navržená legislativní úprava přispěje k úspoře personálních nákladů na </w:t>
      </w:r>
      <w:r w:rsidRPr="00897682">
        <w:rPr>
          <w:rFonts w:eastAsia="Times New Roman" w:cs="Times New Roman"/>
        </w:rPr>
        <w:lastRenderedPageBreak/>
        <w:t xml:space="preserve">administrativní pracovníky soudů (v současné době na soudech pracuje cca 600 protokolujících úředníků) a ke zrychlení vyřízení soudního případu. </w:t>
      </w:r>
    </w:p>
    <w:p w14:paraId="01FC8A4F" w14:textId="54FDD201" w:rsidR="00375582" w:rsidRPr="00897682" w:rsidRDefault="00375582" w:rsidP="00375582">
      <w:pPr>
        <w:spacing w:line="240" w:lineRule="auto"/>
        <w:outlineLvl w:val="1"/>
        <w:rPr>
          <w:rFonts w:eastAsia="Times New Roman" w:cs="Times New Roman"/>
        </w:rPr>
      </w:pPr>
      <w:r w:rsidRPr="00897682">
        <w:rPr>
          <w:rFonts w:eastAsia="Times New Roman" w:cs="Times New Roman"/>
        </w:rPr>
        <w:t xml:space="preserve">Za účelem dosažení požadovaného stavu bude proto potřebné navýšit rozpočtovou kapitolu Ministerstva spravedlnosti </w:t>
      </w:r>
      <w:r w:rsidR="002B6271">
        <w:rPr>
          <w:rFonts w:eastAsia="Times New Roman" w:cs="Times New Roman"/>
        </w:rPr>
        <w:t xml:space="preserve">v roce 2027 </w:t>
      </w:r>
      <w:r w:rsidRPr="00897682">
        <w:rPr>
          <w:rFonts w:eastAsia="Times New Roman" w:cs="Times New Roman"/>
        </w:rPr>
        <w:t>o</w:t>
      </w:r>
      <w:r w:rsidR="002B6271">
        <w:rPr>
          <w:rFonts w:eastAsia="Times New Roman" w:cs="Times New Roman"/>
        </w:rPr>
        <w:t xml:space="preserve"> </w:t>
      </w:r>
      <w:r w:rsidRPr="00897682">
        <w:rPr>
          <w:rFonts w:eastAsia="Times New Roman" w:cs="Times New Roman"/>
        </w:rPr>
        <w:t xml:space="preserve">peněžní prostředky </w:t>
      </w:r>
      <w:r w:rsidR="002B6271">
        <w:rPr>
          <w:rFonts w:eastAsia="Times New Roman" w:cs="Times New Roman"/>
        </w:rPr>
        <w:t xml:space="preserve">na investice </w:t>
      </w:r>
      <w:r w:rsidRPr="00897682">
        <w:rPr>
          <w:rFonts w:eastAsia="Times New Roman" w:cs="Times New Roman"/>
        </w:rPr>
        <w:t xml:space="preserve">ve výši </w:t>
      </w:r>
      <w:r w:rsidRPr="00897682">
        <w:rPr>
          <w:rFonts w:eastAsia="Times New Roman" w:cs="Times New Roman"/>
          <w:b/>
          <w:bCs w:val="0"/>
        </w:rPr>
        <w:t>18,5 mil. Kč</w:t>
      </w:r>
      <w:r w:rsidR="002B6271">
        <w:rPr>
          <w:rFonts w:eastAsia="Times New Roman" w:cs="Times New Roman"/>
        </w:rPr>
        <w:t xml:space="preserve"> a v následujících letech o peněžní prostředky na údržbu pořízených technických zařízení ve výši </w:t>
      </w:r>
      <w:r w:rsidR="002B6271" w:rsidRPr="002B6271">
        <w:rPr>
          <w:rFonts w:eastAsia="Times New Roman" w:cs="Times New Roman"/>
          <w:b/>
          <w:bCs w:val="0"/>
        </w:rPr>
        <w:t>2, 5 mil. Kč</w:t>
      </w:r>
      <w:r w:rsidR="002B6271">
        <w:rPr>
          <w:rFonts w:eastAsia="Times New Roman" w:cs="Times New Roman"/>
        </w:rPr>
        <w:t xml:space="preserve"> ročně</w:t>
      </w:r>
      <w:r w:rsidRPr="00897682">
        <w:rPr>
          <w:rFonts w:eastAsia="Times New Roman" w:cs="Times New Roman"/>
        </w:rPr>
        <w:t>.</w:t>
      </w:r>
    </w:p>
    <w:p w14:paraId="772621A7" w14:textId="77777777" w:rsidR="00DD286F" w:rsidRPr="00897682" w:rsidRDefault="00DD286F" w:rsidP="00120E6D">
      <w:pPr>
        <w:spacing w:line="240" w:lineRule="auto"/>
        <w:rPr>
          <w:rFonts w:eastAsia="Aptos" w:cs="Times New Roman"/>
        </w:rPr>
      </w:pPr>
      <w:r w:rsidRPr="00897682">
        <w:rPr>
          <w:rFonts w:eastAsia="Aptos" w:cs="Times New Roman"/>
        </w:rPr>
        <w:t xml:space="preserve">Navrhovaná úprava zavádějící institut pátrání za účelem doručení písemnosti má pozitivní dopady na státní rozpočet, a to zejména z důvodu očekávaného snížení nákladů Policie na eskorty osob k soudům realizované primárně za účelem doručení písemnosti. Úprava současně přispívá k hospodárnějšímu průběhu trestního řízení tím, že umožňuje doručení písemnosti bezodkladně po vypátrání osoby (případně po jejím předvedení na Policii) bez nutnosti provedení eskorty k soudu v řízení před soudem. </w:t>
      </w:r>
    </w:p>
    <w:p w14:paraId="0CE5EA8C" w14:textId="77777777" w:rsidR="00DD286F" w:rsidRPr="00897682" w:rsidRDefault="00DD286F" w:rsidP="00120E6D">
      <w:pPr>
        <w:spacing w:line="240" w:lineRule="auto"/>
        <w:rPr>
          <w:rFonts w:eastAsia="Aptos" w:cs="Times New Roman"/>
        </w:rPr>
      </w:pPr>
      <w:r w:rsidRPr="00897682">
        <w:rPr>
          <w:rFonts w:eastAsia="Aptos" w:cs="Times New Roman"/>
        </w:rPr>
        <w:t xml:space="preserve">Nejvíce finančně a personálně zatěžující jsou pro Policii tzv. dálkové eskorty (tj. eskorty k soudům vzdáleným 100 km a více). Podle kvalifikovaných odhadů Policejního prezidia vyžaduje jedna eskorta k soudu vzdálenému 100 km (tzn. celková vzdálenost eskorty činí 200 km) přibližně 15 člověkohodin, neboť průměrně trvá okolo 5 hodin a zpravidla ji provádějí 3 policisté. Při započtení nákladů na pohonné hmoty lze celkové odhadované náklady na jednu dálkovou eskortu vyčíslit na 6 635 Kč. Počet dálkových eskort v roce 2025 je Policejním prezidiem odhadován na téměř 900, což představuje celkové odhadované výdaje ve výši přibližně 6 mil. Kč ročně. Lze přitom předpokládat, že skutečný počet dálkových eskort, a tedy i náklady na ně vynakládané, budou oproti odhadům podstatně vyšší. </w:t>
      </w:r>
    </w:p>
    <w:p w14:paraId="6B63BF78" w14:textId="2396AC9B" w:rsidR="00DD286F" w:rsidRPr="00897682" w:rsidRDefault="00DD286F" w:rsidP="00120E6D">
      <w:pPr>
        <w:spacing w:line="240" w:lineRule="auto"/>
        <w:rPr>
          <w:rFonts w:eastAsia="Aptos" w:cs="Times New Roman"/>
        </w:rPr>
      </w:pPr>
      <w:r w:rsidRPr="00897682">
        <w:rPr>
          <w:rFonts w:eastAsia="Aptos" w:cs="Times New Roman"/>
        </w:rPr>
        <w:t>Ačkoli navrhovaná úprava nepovede k eliminaci všech dálkových eskort, neboť jsou prováděny i z jiných procesních důvodů, než je doručení písemnosti (typicky účast na úkonech trestního řízení), i přes to lze očekávat významnou úsporu především v oblasti personálních zdrojů Policie, neboť doručení písemnosti prostřednictvím Policie je ve srovnání s dálkovou eskortou výrazně méně zatěžující. Pokud je písemnost doručována na policejní služebně, provádí tento úkon pouze jeden policista, přičemž čas potřebný na jeho provedení lze odhadnout nejdéle na 1 hodinu. Oproti dálkové eskortě tak může v relevantních případech dojít k úspoře nejméně 14 člověkohodin na jeden případ. Současně se tímto postupem šetří prostředky soudů, neboť odpadá nutnost vynakládat prostředky na opakované pokusy o doručení písemnosti.</w:t>
      </w:r>
    </w:p>
    <w:p w14:paraId="6CB54ACA" w14:textId="41D6299B" w:rsidR="00DD286F" w:rsidRPr="00897682" w:rsidRDefault="00DD286F" w:rsidP="00120E6D">
      <w:pPr>
        <w:spacing w:line="240" w:lineRule="auto"/>
        <w:rPr>
          <w:rFonts w:eastAsia="Aptos" w:cs="Times New Roman"/>
        </w:rPr>
      </w:pPr>
      <w:r w:rsidRPr="00897682">
        <w:rPr>
          <w:rFonts w:eastAsia="Aptos" w:cs="Times New Roman"/>
        </w:rPr>
        <w:t xml:space="preserve">Lze předpokládat, že navrhovaná úprava přispěje ke snížení zátěže soudů a zejména Policie </w:t>
      </w:r>
      <w:r w:rsidR="0046296E" w:rsidRPr="00897682">
        <w:rPr>
          <w:rFonts w:eastAsia="Aptos" w:cs="Times New Roman"/>
        </w:rPr>
        <w:t xml:space="preserve">České republiky </w:t>
      </w:r>
      <w:r w:rsidRPr="00897682">
        <w:rPr>
          <w:rFonts w:eastAsia="Aptos" w:cs="Times New Roman"/>
        </w:rPr>
        <w:t>a k hospodárnějšímu využití jejich personálních a finančních kapacit.</w:t>
      </w:r>
    </w:p>
    <w:p w14:paraId="7EF358D7" w14:textId="341020EB" w:rsidR="00F47237" w:rsidRPr="00897682" w:rsidRDefault="00876072" w:rsidP="00120E6D">
      <w:pPr>
        <w:spacing w:line="240" w:lineRule="auto"/>
        <w:rPr>
          <w:rFonts w:eastAsia="Calibri"/>
        </w:rPr>
      </w:pPr>
      <w:r>
        <w:rPr>
          <w:rFonts w:eastAsia="Calibri"/>
        </w:rPr>
        <w:t>Datové</w:t>
      </w:r>
      <w:r w:rsidR="00F47237" w:rsidRPr="00897682">
        <w:rPr>
          <w:rFonts w:eastAsia="Calibri"/>
        </w:rPr>
        <w:t xml:space="preserve"> úložiště Ministerstva spravedlnosti, které mimo jiné umožní uchování některých zvukových nebo obrazových záznamů o úkonu v trestním řízení, již bylo pořízeno, a</w:t>
      </w:r>
      <w:r w:rsidR="0046296E" w:rsidRPr="00897682">
        <w:rPr>
          <w:rFonts w:eastAsia="Calibri"/>
        </w:rPr>
        <w:t> </w:t>
      </w:r>
      <w:r w:rsidR="00F47237" w:rsidRPr="00897682">
        <w:rPr>
          <w:rFonts w:eastAsia="Calibri"/>
        </w:rPr>
        <w:t xml:space="preserve">nepředstavuje tak nutnost vynaložení dalších výdajů. </w:t>
      </w:r>
    </w:p>
    <w:p w14:paraId="7B77E709" w14:textId="7D0C4F30" w:rsidR="00C216E4" w:rsidRPr="00897682" w:rsidRDefault="0031067D" w:rsidP="00120E6D">
      <w:pPr>
        <w:spacing w:line="240" w:lineRule="auto"/>
        <w:rPr>
          <w:rFonts w:eastAsia="Calibri" w:cs="Times New Roman"/>
          <w:bCs w:val="0"/>
          <w:szCs w:val="24"/>
        </w:rPr>
      </w:pPr>
      <w:bookmarkStart w:id="1" w:name="_Hlk220172113"/>
      <w:r w:rsidRPr="00897682">
        <w:rPr>
          <w:rFonts w:eastAsia="Calibri" w:cs="Times New Roman"/>
          <w:bCs w:val="0"/>
          <w:szCs w:val="24"/>
        </w:rPr>
        <w:t>Navržená právní úprava si vyžádá dílčí změny informačních systémů</w:t>
      </w:r>
      <w:r w:rsidR="00FC509C" w:rsidRPr="00897682">
        <w:rPr>
          <w:rFonts w:eastAsia="Calibri" w:cs="Times New Roman"/>
          <w:bCs w:val="0"/>
          <w:szCs w:val="24"/>
        </w:rPr>
        <w:t xml:space="preserve"> </w:t>
      </w:r>
      <w:r w:rsidR="00F6192E" w:rsidRPr="00897682">
        <w:rPr>
          <w:rFonts w:eastAsia="Calibri" w:cs="Times New Roman"/>
          <w:bCs w:val="0"/>
          <w:szCs w:val="24"/>
        </w:rPr>
        <w:t xml:space="preserve">užívaných </w:t>
      </w:r>
      <w:r w:rsidR="00FC509C" w:rsidRPr="00897682">
        <w:rPr>
          <w:rFonts w:eastAsia="Calibri" w:cs="Times New Roman"/>
          <w:bCs w:val="0"/>
          <w:szCs w:val="24"/>
        </w:rPr>
        <w:t>v resortu justice a policejních informačních systémů. Ú</w:t>
      </w:r>
      <w:r w:rsidR="00830A23" w:rsidRPr="00897682">
        <w:rPr>
          <w:rFonts w:eastAsia="Calibri" w:cs="Times New Roman"/>
          <w:bCs w:val="0"/>
          <w:szCs w:val="24"/>
        </w:rPr>
        <w:t xml:space="preserve">prava informačních systémů si vyžádá finanční náklady </w:t>
      </w:r>
      <w:r w:rsidR="00FC509C" w:rsidRPr="00897682">
        <w:rPr>
          <w:rFonts w:eastAsia="Calibri" w:cs="Times New Roman"/>
          <w:bCs w:val="0"/>
          <w:szCs w:val="24"/>
        </w:rPr>
        <w:t xml:space="preserve">řádově </w:t>
      </w:r>
      <w:r w:rsidR="00830A23" w:rsidRPr="00897682">
        <w:rPr>
          <w:rFonts w:eastAsia="Calibri" w:cs="Times New Roman"/>
          <w:bCs w:val="0"/>
          <w:szCs w:val="24"/>
        </w:rPr>
        <w:t xml:space="preserve">ve výši </w:t>
      </w:r>
      <w:r w:rsidR="0046296E" w:rsidRPr="00897682">
        <w:rPr>
          <w:rFonts w:eastAsia="Calibri" w:cs="Times New Roman"/>
          <w:bCs w:val="0"/>
          <w:szCs w:val="24"/>
        </w:rPr>
        <w:t xml:space="preserve">cca </w:t>
      </w:r>
      <w:r w:rsidR="00FC509C" w:rsidRPr="00897682">
        <w:rPr>
          <w:rFonts w:eastAsia="Calibri" w:cs="Times New Roman"/>
          <w:bCs w:val="0"/>
          <w:szCs w:val="24"/>
        </w:rPr>
        <w:t xml:space="preserve">desítek tisíc Kč. </w:t>
      </w:r>
      <w:r w:rsidR="0046296E" w:rsidRPr="00897682">
        <w:rPr>
          <w:rFonts w:eastAsia="Calibri" w:cs="Times New Roman"/>
          <w:bCs w:val="0"/>
          <w:szCs w:val="24"/>
        </w:rPr>
        <w:t>Tyto z</w:t>
      </w:r>
      <w:r w:rsidR="00C216E4" w:rsidRPr="00897682">
        <w:rPr>
          <w:rFonts w:eastAsia="Calibri"/>
        </w:rPr>
        <w:t>výšené finanční náklady spojené s navrženou právní úpravou budou pokryty v rámci schválených výdajových limitů rozpočtov</w:t>
      </w:r>
      <w:r w:rsidR="003C5123" w:rsidRPr="00897682">
        <w:rPr>
          <w:rFonts w:eastAsia="Calibri"/>
        </w:rPr>
        <w:t>ých</w:t>
      </w:r>
      <w:r w:rsidR="00C216E4" w:rsidRPr="00897682">
        <w:rPr>
          <w:rFonts w:eastAsia="Calibri"/>
        </w:rPr>
        <w:t xml:space="preserve"> kapitol Ministerstva spravedlnosti </w:t>
      </w:r>
      <w:r w:rsidR="003C5123" w:rsidRPr="00897682">
        <w:rPr>
          <w:rFonts w:eastAsia="Calibri"/>
        </w:rPr>
        <w:t xml:space="preserve">a Ministerstva vnitra </w:t>
      </w:r>
      <w:r w:rsidR="00C216E4" w:rsidRPr="00897682">
        <w:rPr>
          <w:rFonts w:eastAsia="Calibri"/>
        </w:rPr>
        <w:t>bez navyšujících požadavků na státní rozpočet.</w:t>
      </w:r>
    </w:p>
    <w:bookmarkEnd w:id="1"/>
    <w:p w14:paraId="7895BAC7" w14:textId="0C109FE2" w:rsidR="00C216E4" w:rsidRPr="00897682" w:rsidRDefault="00F67F09" w:rsidP="00120E6D">
      <w:pPr>
        <w:spacing w:line="240" w:lineRule="auto"/>
        <w:rPr>
          <w:rFonts w:eastAsia="Calibri"/>
          <w:bCs w:val="0"/>
        </w:rPr>
      </w:pPr>
      <w:r w:rsidRPr="00897682">
        <w:rPr>
          <w:rFonts w:eastAsia="Calibri"/>
          <w:bCs w:val="0"/>
        </w:rPr>
        <w:t xml:space="preserve">Navržená úprava není spojena s dopady na jiné veřejné rozpočty. </w:t>
      </w:r>
    </w:p>
    <w:p w14:paraId="5BB53EF3" w14:textId="77777777" w:rsidR="00F67F09" w:rsidRDefault="00F67F09" w:rsidP="000501AC">
      <w:pPr>
        <w:spacing w:line="240" w:lineRule="auto"/>
        <w:rPr>
          <w:rFonts w:eastAsia="Calibri"/>
          <w:bCs w:val="0"/>
        </w:rPr>
      </w:pPr>
    </w:p>
    <w:p w14:paraId="7C073B95" w14:textId="77777777" w:rsidR="00701938" w:rsidRPr="00897682" w:rsidRDefault="00701938" w:rsidP="000501AC">
      <w:pPr>
        <w:spacing w:line="240" w:lineRule="auto"/>
        <w:rPr>
          <w:rFonts w:eastAsia="Calibri"/>
          <w:bCs w:val="0"/>
        </w:rPr>
      </w:pPr>
    </w:p>
    <w:p w14:paraId="232B543D" w14:textId="7437C3D0" w:rsidR="00C216E4" w:rsidRPr="00897682" w:rsidRDefault="00C216E4" w:rsidP="000501AC">
      <w:pPr>
        <w:spacing w:line="240" w:lineRule="auto"/>
        <w:outlineLvl w:val="1"/>
        <w:rPr>
          <w:rFonts w:eastAsia="Times New Roman"/>
          <w:b/>
        </w:rPr>
      </w:pPr>
      <w:r w:rsidRPr="00897682">
        <w:rPr>
          <w:rFonts w:eastAsia="Times New Roman"/>
          <w:b/>
        </w:rPr>
        <w:lastRenderedPageBreak/>
        <w:t>Předpokládaný dopad na podnikatelské prostředí České republiky, dále sociální dopady, včetně dopadů na specifické skupiny obyvatel, zejména osoby sociálně slabé, osoby se zdravotním postižením a národnostní menšiny</w:t>
      </w:r>
      <w:r w:rsidR="008A5C92" w:rsidRPr="00897682">
        <w:rPr>
          <w:rFonts w:eastAsia="Times New Roman"/>
          <w:b/>
        </w:rPr>
        <w:t xml:space="preserve"> a</w:t>
      </w:r>
      <w:r w:rsidRPr="00897682">
        <w:rPr>
          <w:rFonts w:eastAsia="Times New Roman"/>
          <w:b/>
        </w:rPr>
        <w:t xml:space="preserve"> dopadů na ochranu práv dětí </w:t>
      </w:r>
      <w:r w:rsidR="008A5C92" w:rsidRPr="00897682">
        <w:rPr>
          <w:rFonts w:eastAsia="Times New Roman"/>
          <w:b/>
        </w:rPr>
        <w:t xml:space="preserve"> </w:t>
      </w:r>
    </w:p>
    <w:p w14:paraId="504B6A05" w14:textId="70AD2711" w:rsidR="00C216E4" w:rsidRPr="00897682" w:rsidRDefault="00C216E4" w:rsidP="000501AC">
      <w:pPr>
        <w:spacing w:line="240" w:lineRule="auto"/>
        <w:rPr>
          <w:rFonts w:eastAsia="Calibri"/>
          <w:bCs w:val="0"/>
        </w:rPr>
      </w:pPr>
      <w:r w:rsidRPr="00897682">
        <w:rPr>
          <w:rFonts w:eastAsia="Calibri"/>
        </w:rPr>
        <w:t>Navržená právní úprava není spojena s dopady na podnikatelské prostředí v České republice, nemá zvláštní sociální dopady</w:t>
      </w:r>
      <w:r w:rsidR="008A5C92" w:rsidRPr="00897682">
        <w:rPr>
          <w:rFonts w:eastAsia="Calibri"/>
        </w:rPr>
        <w:t xml:space="preserve"> ani</w:t>
      </w:r>
      <w:r w:rsidRPr="00897682">
        <w:rPr>
          <w:rFonts w:eastAsia="Calibri"/>
        </w:rPr>
        <w:t xml:space="preserve"> dopady na specifické skupiny obyvatel. </w:t>
      </w:r>
    </w:p>
    <w:p w14:paraId="782F350E" w14:textId="77777777" w:rsidR="00C216E4" w:rsidRPr="00897682" w:rsidRDefault="00C216E4" w:rsidP="000501AC">
      <w:pPr>
        <w:spacing w:line="240" w:lineRule="auto"/>
        <w:rPr>
          <w:rFonts w:eastAsia="Calibri"/>
          <w:bCs w:val="0"/>
        </w:rPr>
      </w:pPr>
    </w:p>
    <w:p w14:paraId="461341DD" w14:textId="77777777" w:rsidR="00C216E4" w:rsidRPr="00897682" w:rsidRDefault="00C216E4" w:rsidP="000501AC">
      <w:pPr>
        <w:spacing w:line="240" w:lineRule="auto"/>
        <w:outlineLvl w:val="1"/>
        <w:rPr>
          <w:rFonts w:eastAsia="Times New Roman"/>
          <w:b/>
        </w:rPr>
      </w:pPr>
      <w:r w:rsidRPr="00897682">
        <w:rPr>
          <w:rFonts w:eastAsia="Times New Roman"/>
          <w:b/>
        </w:rPr>
        <w:t>Zhodnocení dopadů navrhovaného řešení ve vztahu k zákazu diskriminace a ve vztahu k rovnosti mužů a žen</w:t>
      </w:r>
    </w:p>
    <w:p w14:paraId="6BD284CA" w14:textId="77777777" w:rsidR="00C216E4" w:rsidRPr="00897682" w:rsidRDefault="00C216E4" w:rsidP="000501AC">
      <w:pPr>
        <w:spacing w:line="240" w:lineRule="auto"/>
        <w:rPr>
          <w:rFonts w:eastAsia="Calibri"/>
          <w:bCs w:val="0"/>
        </w:rPr>
      </w:pPr>
      <w:bookmarkStart w:id="2" w:name="_Hlk220171873"/>
      <w:r w:rsidRPr="00897682">
        <w:rPr>
          <w:rFonts w:eastAsia="Calibri"/>
        </w:rPr>
        <w:t xml:space="preserve">Navržená právní úprava nemá bezprostřední, ani sekundární dopady na rovnost mužů a žen a nevede k diskriminaci jednoho z pohlaví, neboť nijak nerozlišuje, ani nezvýhodňuje jedno z pohlaví a nestanoví pro ně odlišné podmínky. </w:t>
      </w:r>
    </w:p>
    <w:p w14:paraId="063D1A7E" w14:textId="77777777" w:rsidR="00C216E4" w:rsidRPr="00897682" w:rsidRDefault="00C216E4" w:rsidP="000501AC">
      <w:pPr>
        <w:spacing w:line="240" w:lineRule="auto"/>
        <w:rPr>
          <w:rFonts w:eastAsia="Calibri"/>
          <w:bCs w:val="0"/>
        </w:rPr>
      </w:pPr>
      <w:bookmarkStart w:id="3" w:name="_Hlk127788178"/>
      <w:r w:rsidRPr="00897682">
        <w:rPr>
          <w:rFonts w:eastAsia="Calibri"/>
        </w:rPr>
        <w:t>Navržená právní úprava neupravuje vztahy, které by se dotýkaly zákazu diskriminace ve smyslu antidiskriminačního zákona (tj. nerovného zacházení či znevýhodnění některé osoby z důvodu rasy, etnického původu, národnosti, pohlaví, sexuální orientace, věku, zdravotního postižení, náboženského vyznání, víry či světového názoru). Lze proto konstatovat, že právní úprava obsažená v návrhu zákona nemá žádné dopady ve vztahu k zákazu diskriminace.</w:t>
      </w:r>
    </w:p>
    <w:bookmarkEnd w:id="3"/>
    <w:p w14:paraId="712E16D5" w14:textId="77777777" w:rsidR="00C216E4" w:rsidRPr="00897682" w:rsidRDefault="00C216E4" w:rsidP="000501AC">
      <w:pPr>
        <w:spacing w:line="240" w:lineRule="auto"/>
        <w:rPr>
          <w:rFonts w:eastAsia="Calibri"/>
          <w:b/>
        </w:rPr>
      </w:pPr>
    </w:p>
    <w:p w14:paraId="102ED906" w14:textId="77777777" w:rsidR="00C216E4" w:rsidRPr="00897682" w:rsidRDefault="00C216E4" w:rsidP="000501AC">
      <w:pPr>
        <w:spacing w:line="240" w:lineRule="auto"/>
        <w:outlineLvl w:val="1"/>
        <w:rPr>
          <w:rFonts w:eastAsia="Times New Roman"/>
          <w:b/>
        </w:rPr>
      </w:pPr>
      <w:r w:rsidRPr="00897682">
        <w:rPr>
          <w:rFonts w:eastAsia="Times New Roman"/>
          <w:b/>
        </w:rPr>
        <w:t>Zhodnocení dopadů navrhovaného řešení ve vztahu k ochraně soukromí a osobních údajů</w:t>
      </w:r>
    </w:p>
    <w:bookmarkEnd w:id="2"/>
    <w:p w14:paraId="3A07D421" w14:textId="2C28666F" w:rsidR="00F84B87" w:rsidRPr="00897682" w:rsidRDefault="00F84B87" w:rsidP="00F84B87">
      <w:pPr>
        <w:spacing w:line="240" w:lineRule="auto"/>
        <w:rPr>
          <w:rFonts w:eastAsia="Times New Roman"/>
        </w:rPr>
      </w:pPr>
      <w:r w:rsidRPr="00897682">
        <w:rPr>
          <w:rFonts w:eastAsia="Times New Roman"/>
        </w:rPr>
        <w:t>Problematiky ochrany soukromí a osobních údajů se dotýkají změny ve vztahu k institutu nahlížení do trestních spisů ve formě dálkového zprostředkování přístupu ke zvukovým a</w:t>
      </w:r>
      <w:r w:rsidR="0086684B" w:rsidRPr="00897682">
        <w:rPr>
          <w:rFonts w:eastAsia="Times New Roman"/>
        </w:rPr>
        <w:t> </w:t>
      </w:r>
      <w:r w:rsidRPr="00897682">
        <w:rPr>
          <w:rFonts w:eastAsia="Times New Roman"/>
        </w:rPr>
        <w:t>obrazovým záznamům a ověření totožnosti osoby vyslýchané prostřednictvím</w:t>
      </w:r>
      <w:r w:rsidR="0086684B" w:rsidRPr="00897682">
        <w:rPr>
          <w:rFonts w:eastAsia="Times New Roman"/>
        </w:rPr>
        <w:t xml:space="preserve"> </w:t>
      </w:r>
      <w:r w:rsidRPr="00897682">
        <w:rPr>
          <w:rFonts w:eastAsia="Times New Roman"/>
        </w:rPr>
        <w:t>videokonference</w:t>
      </w:r>
      <w:r w:rsidR="000D2FC7" w:rsidRPr="00897682">
        <w:rPr>
          <w:rFonts w:eastAsia="Times New Roman"/>
        </w:rPr>
        <w:t xml:space="preserve"> a dále změny týkající se možnosti zveřejnit informaci o státní příslušnosti toho, proti komu se vede trestní řízení</w:t>
      </w:r>
      <w:r w:rsidRPr="00897682">
        <w:rPr>
          <w:rFonts w:eastAsia="Times New Roman"/>
        </w:rPr>
        <w:t xml:space="preserve">. </w:t>
      </w:r>
    </w:p>
    <w:p w14:paraId="5961BC1F" w14:textId="77777777" w:rsidR="00F84B87" w:rsidRPr="00897682" w:rsidRDefault="00F84B87" w:rsidP="00F84B87">
      <w:pPr>
        <w:spacing w:line="240" w:lineRule="auto"/>
        <w:rPr>
          <w:rFonts w:eastAsia="Times New Roman"/>
        </w:rPr>
      </w:pPr>
      <w:r w:rsidRPr="00897682">
        <w:rPr>
          <w:rFonts w:eastAsia="Times New Roman"/>
        </w:rPr>
        <w:t xml:space="preserve">Možnost pořizování zvukových a obrazových záznamů k zachycení úkonů orgánů činných v trestním řízení byla do trestního řádu včleněna zákonem č. 265/2001 Sb., tedy před více než dvaceti lety. V souvislosti s nesporným technickým pokrokem, jakož i moderními trendy digitalizace, zpracování jednotlivých agend a úkonů trestního řízení v posledních letech jednoznačně tenduje k převaze elektronických nástrojů nad analogovými, a to i na základě oprávněných požadavků procesních stran. </w:t>
      </w:r>
    </w:p>
    <w:p w14:paraId="157ACBB4" w14:textId="13703244" w:rsidR="00F84B87" w:rsidRPr="00897682" w:rsidRDefault="00F84B87" w:rsidP="00F84B87">
      <w:pPr>
        <w:spacing w:line="240" w:lineRule="auto"/>
        <w:rPr>
          <w:rFonts w:eastAsia="Times New Roman"/>
        </w:rPr>
      </w:pPr>
      <w:r w:rsidRPr="00897682">
        <w:rPr>
          <w:rFonts w:eastAsia="Times New Roman"/>
        </w:rPr>
        <w:t xml:space="preserve">Zásadní navrhovanou změnou je úprava režimu zpřístupňování zvukových nebo obrazových záznamů pořízených soudem nebo státním zástupcem uložených na nově zřizovaném </w:t>
      </w:r>
      <w:r w:rsidR="00876072">
        <w:rPr>
          <w:rFonts w:eastAsia="Times New Roman"/>
        </w:rPr>
        <w:t>datovém</w:t>
      </w:r>
      <w:r w:rsidRPr="00897682">
        <w:rPr>
          <w:rFonts w:eastAsia="Times New Roman"/>
        </w:rPr>
        <w:t xml:space="preserve"> úložišti pod programovou správou Ministerstva spravedlnosti. Zřízením </w:t>
      </w:r>
      <w:r w:rsidR="00876072">
        <w:rPr>
          <w:rFonts w:eastAsia="Times New Roman"/>
        </w:rPr>
        <w:t>datového</w:t>
      </w:r>
      <w:r w:rsidRPr="00897682">
        <w:rPr>
          <w:rFonts w:eastAsia="Times New Roman"/>
        </w:rPr>
        <w:t xml:space="preserve"> úložiště odpadne nutnost uchovávat uvedené záznamy spolu se spisem, případně separátně, což dosud neslo riziko možné ztráty či dočasné nedostupnosti [</w:t>
      </w:r>
      <w:r w:rsidR="00876072">
        <w:rPr>
          <w:rFonts w:eastAsia="Times New Roman"/>
        </w:rPr>
        <w:t>datové</w:t>
      </w:r>
      <w:r w:rsidRPr="00897682">
        <w:rPr>
          <w:rFonts w:eastAsia="Times New Roman"/>
        </w:rPr>
        <w:t xml:space="preserve"> úložiště bude nepřetržitě přístupné a riziko ztráty (poškození souboru) bude zanedbatelné]; současně s tím odpadne v této době již technicky překonané poskytování kopií oprávněným osobám na různých typech nosičů spojené s různými bezpečnostními riziky.</w:t>
      </w:r>
    </w:p>
    <w:p w14:paraId="22E57516" w14:textId="77777777" w:rsidR="00F84B87" w:rsidRPr="00897682" w:rsidRDefault="00F84B87" w:rsidP="00F84B87">
      <w:pPr>
        <w:spacing w:line="240" w:lineRule="auto"/>
        <w:rPr>
          <w:rFonts w:eastAsia="Times New Roman"/>
        </w:rPr>
      </w:pPr>
      <w:r w:rsidRPr="00897682">
        <w:rPr>
          <w:rFonts w:eastAsia="Times New Roman"/>
        </w:rPr>
        <w:t xml:space="preserve">Právní důvod pro uvedený způsob zpracování nadále definuje hlava III. zákona č. 110/2019 Sb., o zpracování osobních údajů – tedy zpracování osobních údajů, které je nezbytné pro plnění úkolu a výkon veřejné moci spravujícího orgánu stanovených jinými zákony za účelem předcházení, vyhledávání a odhalování trestné činnosti, stíhání trestných činů, výkonu trestů a ochranných opatření, zajišťování bezpečnosti České republiky nebo zajišťování veřejného pořádku a vnitřní bezpečnosti, včetně pátrání po osobách a věcech – </w:t>
      </w:r>
      <w:r w:rsidRPr="00897682">
        <w:rPr>
          <w:rFonts w:eastAsia="Times New Roman"/>
          <w:i/>
          <w:iCs/>
        </w:rPr>
        <w:t>in concreto</w:t>
      </w:r>
      <w:r w:rsidRPr="00897682">
        <w:rPr>
          <w:rFonts w:eastAsia="Times New Roman"/>
        </w:rPr>
        <w:t xml:space="preserve"> naplnění práva na přístup k soudnímu spisu a všem podkladům trestního řízení (v tomto případě k databázi </w:t>
      </w:r>
      <w:r w:rsidRPr="00897682">
        <w:rPr>
          <w:rFonts w:eastAsia="Times New Roman"/>
        </w:rPr>
        <w:lastRenderedPageBreak/>
        <w:t>zvukových nebo obrazových záznamů pořízených soudem nebo státním zástupcem v rámci trestního řízení).</w:t>
      </w:r>
    </w:p>
    <w:p w14:paraId="57C98569" w14:textId="77777777" w:rsidR="00F84B87" w:rsidRPr="00897682" w:rsidRDefault="00F84B87" w:rsidP="00F84B87">
      <w:pPr>
        <w:spacing w:line="240" w:lineRule="auto"/>
        <w:rPr>
          <w:rFonts w:eastAsia="Times New Roman"/>
        </w:rPr>
      </w:pPr>
      <w:r w:rsidRPr="00897682">
        <w:rPr>
          <w:rFonts w:eastAsia="Times New Roman"/>
        </w:rPr>
        <w:t>Navrhovaná úprava nepředstavuje nové zpracování osobních údajů obsahem, nýbrž formou.</w:t>
      </w:r>
    </w:p>
    <w:p w14:paraId="691004BA" w14:textId="6212DF5F" w:rsidR="00F84B87" w:rsidRPr="00897682" w:rsidRDefault="00F84B87" w:rsidP="00F84B87">
      <w:pPr>
        <w:spacing w:line="240" w:lineRule="auto"/>
        <w:rPr>
          <w:rFonts w:eastAsia="Times New Roman"/>
        </w:rPr>
      </w:pPr>
      <w:r w:rsidRPr="00897682">
        <w:rPr>
          <w:rFonts w:eastAsia="Times New Roman"/>
        </w:rPr>
        <w:t xml:space="preserve">Uvedeným návrhem se rozsah zpracovávaných osobních údajů nemění; osoby oprávněné nahlížet do spisů mají v zásadě právo seznámit se všemi informacemi relevantními pro dané řízení v rámci zákonných limitů stanovených v § 65 tr. ř., což nová úprava nijak nemodifikuje. Obdobně také není měněn ani okruh osob oprávněných do spisu nahlížet. </w:t>
      </w:r>
    </w:p>
    <w:p w14:paraId="26924FE1" w14:textId="77777777" w:rsidR="00F84B87" w:rsidRPr="00897682" w:rsidRDefault="00F84B87" w:rsidP="00F84B87">
      <w:pPr>
        <w:spacing w:line="240" w:lineRule="auto"/>
        <w:rPr>
          <w:rFonts w:eastAsia="Times New Roman"/>
        </w:rPr>
      </w:pPr>
      <w:r w:rsidRPr="00897682">
        <w:rPr>
          <w:rFonts w:eastAsia="Times New Roman"/>
        </w:rPr>
        <w:t>Z pohledu nezbytnosti a přiměřenosti ve vztahu k účelu zpracování osobních údajů se do navrhované úpravy promítá nezbytnost reflexe požadavku digitalizace, zjednodušení přístupu oprávněných osob k podkladům pro vedení trestního řízení distanční formou a současně též zvýšení ochrany uchovávaných informací prostřednictvím centrálně spravovaného a kontrolovaného datového úložiště. Ve srovnání s dosavadním stavem se jednoznačně jedná o řešení žádoucí a tedy nezbytné; s ohledem na neměnnost rozsahu zpracování též o řešení přiměřené.</w:t>
      </w:r>
    </w:p>
    <w:p w14:paraId="560F2B53" w14:textId="5C4CFB4D" w:rsidR="00F84B87" w:rsidRPr="00897682" w:rsidRDefault="00F84B87" w:rsidP="00F84B87">
      <w:pPr>
        <w:spacing w:line="240" w:lineRule="auto"/>
        <w:rPr>
          <w:rFonts w:eastAsia="Times New Roman"/>
        </w:rPr>
      </w:pPr>
      <w:r w:rsidRPr="00897682">
        <w:rPr>
          <w:rFonts w:eastAsia="Times New Roman"/>
        </w:rPr>
        <w:t xml:space="preserve">Časově omezený přístup ke konkrétnímu zvukovému nebo obrazovému záznamu bude vázán na autentizaci žadatele a ověření jeho oprávnění ke zpřístupnění záznamu vzhledem k jeho poměru k věci. V rámci komunikace advokátů se zpravidla bude uvedený děj realizovat prostřednictvím datové schránky. V rámci ostatních osob přichází v úvahu též komunikace prostřednictvím elektronické pošty, jejíž adresu sdělí osobně při prvním úkonu před orgánem činným v trestním řízení. Legitimním prostředkem se jeví též následná elektronická žádost opatřená kvalifikovaným elektronickým podpisem. V ostatních případech je nezbytné prověřit, zdali žadatel a jím uváděná elektronická adresa k zaslání odkazu na záznam odpovídá osobě oprávněné k tomuto úkonu a její elektronické adrese. Nastavení přístupu k záznamům na datovém úložišti bude vylučovat přístup ke kterémukoliv jinému záznamu s postavením žadatele nesouvisejícím. Současně budou vedeny záznamy (logy) o realizovaných přístupech. </w:t>
      </w:r>
    </w:p>
    <w:p w14:paraId="1EFDFF06" w14:textId="77777777" w:rsidR="00F84B87" w:rsidRPr="00897682" w:rsidRDefault="00F84B87" w:rsidP="00F84B87">
      <w:pPr>
        <w:spacing w:line="240" w:lineRule="auto"/>
        <w:rPr>
          <w:rFonts w:eastAsia="Times New Roman"/>
        </w:rPr>
      </w:pPr>
      <w:r w:rsidRPr="00897682">
        <w:rPr>
          <w:rFonts w:eastAsia="Times New Roman"/>
        </w:rPr>
        <w:t xml:space="preserve">Součástí přístupu k záznamům na datovém úložišti bude též notifikace zdůrazňující možné zákonné postihy v linii přestupkového či trestního práva v oblasti ochrany soukromí a osobních údajů v případě neoprávněného zpřístupnění kopie s narušením práv a svobod třetích osob. </w:t>
      </w:r>
    </w:p>
    <w:p w14:paraId="112D43ED" w14:textId="77777777" w:rsidR="00F84B87" w:rsidRPr="00897682" w:rsidRDefault="00F84B87" w:rsidP="00F84B87">
      <w:pPr>
        <w:spacing w:line="240" w:lineRule="auto"/>
        <w:rPr>
          <w:rFonts w:eastAsia="Times New Roman"/>
        </w:rPr>
      </w:pPr>
      <w:r w:rsidRPr="00897682">
        <w:rPr>
          <w:rFonts w:eastAsia="Times New Roman"/>
        </w:rPr>
        <w:t>Doba uchování záznamů na úložišti bude korespondovat se skartačním režimem spisů a dokumentů jednotlivých agend (rejstříků) v souladu s Instrukcí Ministerstva spravedlnosti č.7/2022 ze dne 7. 9. 2022, č. j. 30/2022-OSKJ-MET, kterou se vydává skartační řád pro okresní, krajské a vrchní soudy.</w:t>
      </w:r>
    </w:p>
    <w:p w14:paraId="10939E29" w14:textId="77777777" w:rsidR="00F84B87" w:rsidRPr="00897682" w:rsidRDefault="00F84B87" w:rsidP="00F84B87">
      <w:pPr>
        <w:spacing w:line="240" w:lineRule="auto"/>
        <w:rPr>
          <w:rFonts w:eastAsia="Times New Roman"/>
        </w:rPr>
      </w:pPr>
      <w:r w:rsidRPr="00897682">
        <w:rPr>
          <w:rFonts w:eastAsia="Times New Roman"/>
        </w:rPr>
        <w:t xml:space="preserve">Riskantnost předmětného navrhovaného zpracování se oproti stávajícímu poskytování záznamů z úkonů orgánů trestního řízení umenšuje tím, že v rámci soudů a státních zástupců budou uvedené záznamy centralizovaně shromážděny na kontrolovaném datovém úložišti, tedy je eliminována možnost ztráty či dočasné nedostupnosti nosičů dat, držených jednotlivými organizačními složkami. </w:t>
      </w:r>
    </w:p>
    <w:p w14:paraId="0A27542E" w14:textId="77777777" w:rsidR="00F84B87" w:rsidRPr="00897682" w:rsidRDefault="00F84B87" w:rsidP="00F84B87">
      <w:pPr>
        <w:spacing w:line="240" w:lineRule="auto"/>
        <w:rPr>
          <w:rFonts w:eastAsia="Times New Roman"/>
        </w:rPr>
      </w:pPr>
      <w:r w:rsidRPr="00897682">
        <w:rPr>
          <w:rFonts w:eastAsia="Times New Roman"/>
        </w:rPr>
        <w:t>Technická rizika spojená se zavedením plošného úložiště jsou řešena v rámci nastavení pravidel kybernetické bezpečnosti, především postupy a metodikou podle instrukce č. 5/2022 Ministerstva spravedlnosti ze dne 30. června 2022, č. j. 115/2022-OI-SP/1 o zajištění bezpečnosti informací v prostředí informačních a komunikačních technologií resortu spravedlnosti. Součástí této instrukce je též politika řízení přístupu jednotlivých uživatelů infomačních systémů, která vylučuje možnost plošného přístupu ke všem informacím, které jsou v databázi obsaženy. Se záznamem v úložišti proto bude vždy nakládat pouze původce, případně oprávněný orgán, do jehož správy bude záznam převeden, což bude zajištěno komplexním systémem softwarových oprávnění přístupu.</w:t>
      </w:r>
    </w:p>
    <w:p w14:paraId="21D50E8D" w14:textId="77777777" w:rsidR="00F84B87" w:rsidRPr="00897682" w:rsidRDefault="00F84B87" w:rsidP="00F84B87">
      <w:pPr>
        <w:spacing w:line="240" w:lineRule="auto"/>
        <w:rPr>
          <w:rFonts w:eastAsia="Times New Roman"/>
        </w:rPr>
      </w:pPr>
      <w:r w:rsidRPr="00897682">
        <w:rPr>
          <w:rFonts w:eastAsia="Times New Roman"/>
        </w:rPr>
        <w:lastRenderedPageBreak/>
        <w:t xml:space="preserve">Riskantnost spojenou s individuálními požadavky na nahlížení a čerpání dat ze záznamů lze s ohledem na požadavek důsledné autentizace žadatelů, povinnosti zákonné mlčenlivosti advokátů a edukace ostatních žadatelů považovat v případě, že je všechny orgány činné v trestním řízení budou důsledně vyžadovat a vymáhat, za minimální. K tomuto snížení nepochybně přistupuje i notifikované upozornění na možné právní následky zneužití takto získaných dat k narušení soukromí a ochrany osobních údajů dalších participujících osob. Kvantita i kvalita zpracování údajů a informací z trestního řízení se v zásadě nemění, naopak vydávání dat z trestního řízení oprávněným osobám bude více kontrolovatelné. </w:t>
      </w:r>
    </w:p>
    <w:p w14:paraId="059C06A7" w14:textId="77777777" w:rsidR="00F84B87" w:rsidRPr="00897682" w:rsidRDefault="00F84B87" w:rsidP="00F84B87">
      <w:pPr>
        <w:spacing w:line="240" w:lineRule="auto"/>
        <w:rPr>
          <w:rFonts w:eastAsia="Times New Roman"/>
        </w:rPr>
      </w:pPr>
      <w:r w:rsidRPr="00897682">
        <w:rPr>
          <w:rFonts w:eastAsia="Times New Roman"/>
        </w:rPr>
        <w:t xml:space="preserve">Možnost provádění výslechu prostřednictvím videokonferenčního zařízení byla zavedena do trestního řádu zákonem č. 459/2011 Sb., kterým se mění zákon č. 141/1961 Sb., o trestním řízení soudním (trestní řád), ve znění pozdějších předpisů, a některé další zákony. K naplnění této úpravy byl pro účely resortu justice zrealizován projekt v rámci Programu CZ15 – Budování kapacit a spolupráce v justici a Nápravné služby včetně alternativních trestů, jejímž výsledem bylo vytvoření vlastní platformy pro provoz videokonferencí. Zejména v době omezení osobních kontaktů v době pandemie Covid-19 prošel systém videokonferencí v justici zátěžovým testem s jednoznačně pozitivními výsledky. Navrhovaná úprava reaguje na některé zjištěné komplikace spojené se zajištěním videokonferencí v kontextu se zachováním procesních pravidel. </w:t>
      </w:r>
    </w:p>
    <w:p w14:paraId="4DB7D676" w14:textId="77777777" w:rsidR="00F84B87" w:rsidRPr="00897682" w:rsidRDefault="00F84B87" w:rsidP="00F84B87">
      <w:pPr>
        <w:spacing w:line="240" w:lineRule="auto"/>
        <w:rPr>
          <w:rFonts w:eastAsia="Times New Roman"/>
        </w:rPr>
      </w:pPr>
      <w:r w:rsidRPr="00897682">
        <w:rPr>
          <w:rFonts w:eastAsia="Times New Roman"/>
        </w:rPr>
        <w:t>Jedním z identifikovaných problémových bodů byla možnost vzdálené autentizace vyslýchané osoby (tj. bez přítomnosti jakékoliv jiné osoby zastupující orgán veřejné moci). V zásadě se navrhuje uznat možnost prokázání totožnosti vyslýchané osoby vzdáleným náhledem na jí předložený průkaz totožnosti, tedy úkon obsahově shodný s úkonem prováděným v živém kontaktu, oba s případnou zákonnou možností orgánu činného v trestním řízení verifikovat předložené údaje s údaji v CEO. Navržený postup se nijak neodchyluje od úkonů prováděných v rámci řízení prováděného za přímé účasti osob na řízení zúčastněných. V příštích letech bude následovat možnost elektronického načtení předloženého průkazu totožnosti nebo ztotožnění osoby pomocí Identity občana (NIA).</w:t>
      </w:r>
    </w:p>
    <w:p w14:paraId="20AB43A3" w14:textId="77777777" w:rsidR="00F84B87" w:rsidRPr="00897682" w:rsidRDefault="00F84B87" w:rsidP="00F84B87">
      <w:pPr>
        <w:spacing w:line="240" w:lineRule="auto"/>
        <w:rPr>
          <w:rFonts w:eastAsia="Times New Roman"/>
        </w:rPr>
      </w:pPr>
      <w:r w:rsidRPr="00897682">
        <w:rPr>
          <w:rFonts w:eastAsia="Times New Roman"/>
        </w:rPr>
        <w:t>I v tomto případě právní důvod pro uvedený způsob zpracování definuje hlava III. zákona č. 110/2019 Sb., o zpracování osobních údajů – tedy zpracování osobních údajů, které je nezbytné pro plnění úkolu a výkon veřejné moci spravujícího orgánu stanovených jinými zákony za účelem předcházení, vyhledávání a odhalování trestné činnosti, stíhání trestných činů, výkonu trestů a ochranných opatření, zajišťování bezpečnosti České republiky nebo zajišťování veřejného pořádku a vnitřní bezpečnosti, včetně pátrání po osobách a věcech – konkrétně zajištění autentizace osoby vyslýchané prostřednictvím videokonferenčního zařízení dle § 111a tr. ř. a zajištění naplnění procesních pravidel.</w:t>
      </w:r>
    </w:p>
    <w:p w14:paraId="654E84BA" w14:textId="77777777" w:rsidR="00F84B87" w:rsidRPr="00897682" w:rsidRDefault="00F84B87" w:rsidP="00F84B87">
      <w:pPr>
        <w:spacing w:line="240" w:lineRule="auto"/>
        <w:rPr>
          <w:rFonts w:eastAsia="Times New Roman"/>
        </w:rPr>
      </w:pPr>
      <w:r w:rsidRPr="00897682">
        <w:rPr>
          <w:rFonts w:eastAsia="Times New Roman"/>
        </w:rPr>
        <w:t xml:space="preserve">Oproti prezenčnímu jednání v jednací místnosti soudu či na státním zastupitelství je při výslechu prováděném prostřednictvím videokonference třeba zvýšeně dbát na zajištění toho, aby bylo vyloučeno jakéhokoliv nepřípustné ovlivňování vyslýchané osoby. Při neúčasti úřední osoby se tak bude dít </w:t>
      </w:r>
      <w:r w:rsidRPr="00897682">
        <w:rPr>
          <w:rFonts w:eastAsia="Times New Roman"/>
          <w:i/>
          <w:iCs/>
        </w:rPr>
        <w:t>ad hoc</w:t>
      </w:r>
      <w:r w:rsidRPr="00897682">
        <w:rPr>
          <w:rFonts w:eastAsia="Times New Roman"/>
        </w:rPr>
        <w:t xml:space="preserve"> prostřednictvím technických prostředků (nastavením kamery, tak aby bylo vyslýchající osobě patrno, že v místnosti, kde vyslýchaná osoba vypovídá, není přítomen nikdo, jehož přítomnost není přípustná). I při realizaci tohoto požadavku bude respektována zásada minimalizace zpracování tak, aby kamera zabírala pouze nezbytně nutný perimetr.</w:t>
      </w:r>
    </w:p>
    <w:p w14:paraId="1046BC79" w14:textId="77777777" w:rsidR="00F84B87" w:rsidRPr="00897682" w:rsidRDefault="00F84B87" w:rsidP="00F84B87">
      <w:pPr>
        <w:spacing w:line="240" w:lineRule="auto"/>
        <w:rPr>
          <w:rFonts w:eastAsia="Times New Roman"/>
        </w:rPr>
      </w:pPr>
      <w:r w:rsidRPr="00897682">
        <w:rPr>
          <w:rFonts w:eastAsia="Times New Roman"/>
        </w:rPr>
        <w:t xml:space="preserve">Z pohledu nezbytnosti a přiměřenosti ve vztahu k účelu zpracování osobních údajů opětovně návrh směřuje ke zjednodušení procesní formy výslechu, a minimalizaci zásahu do soukromí vyslýchaných osob přítomností další úřední osoby. </w:t>
      </w:r>
    </w:p>
    <w:p w14:paraId="04B92CD3" w14:textId="77777777" w:rsidR="00F84B87" w:rsidRPr="00897682" w:rsidRDefault="00F84B87" w:rsidP="00F84B87">
      <w:pPr>
        <w:spacing w:line="240" w:lineRule="auto"/>
        <w:rPr>
          <w:rFonts w:eastAsia="Times New Roman"/>
        </w:rPr>
      </w:pPr>
      <w:r w:rsidRPr="00897682">
        <w:rPr>
          <w:rFonts w:eastAsia="Times New Roman"/>
        </w:rPr>
        <w:t xml:space="preserve">S ohledem na elektronický charakter komunikace lze jako primární riziko vnímat možnost kybernetického útoku na programovou platformu spojenou s možným odposlechem. Tato </w:t>
      </w:r>
      <w:r w:rsidRPr="00897682">
        <w:rPr>
          <w:rFonts w:eastAsia="Times New Roman"/>
        </w:rPr>
        <w:lastRenderedPageBreak/>
        <w:t xml:space="preserve">riskantnost zpracování je eliminována vlastní videokonferenční infrastrukturou specificky vytvořenou pro potřeby justice, a nastavením pravidel kybernetické bezpečnosti, především postupy a metodikou podle instrukce č. 5/2022 Ministerstva spravedlnosti ze dne 30. června 2022, č. j. 115/2022-OI-SP/1 o zajištění bezpečnosti informací v prostředí informačních a komunikačních technologií resortu spravedlnosti. </w:t>
      </w:r>
    </w:p>
    <w:p w14:paraId="4EF95D57" w14:textId="6D870F6C" w:rsidR="00F84B87" w:rsidRPr="00897682" w:rsidRDefault="00F84B87" w:rsidP="00F84B87">
      <w:pPr>
        <w:spacing w:line="240" w:lineRule="auto"/>
        <w:rPr>
          <w:rFonts w:eastAsia="Times New Roman"/>
        </w:rPr>
      </w:pPr>
      <w:r w:rsidRPr="00897682">
        <w:rPr>
          <w:rFonts w:eastAsia="Times New Roman"/>
        </w:rPr>
        <w:t xml:space="preserve">Audiovizuální výstupy budou následně ukládány na </w:t>
      </w:r>
      <w:r w:rsidR="00876072">
        <w:rPr>
          <w:rFonts w:eastAsia="Times New Roman"/>
        </w:rPr>
        <w:t>datovém</w:t>
      </w:r>
      <w:r w:rsidRPr="00897682">
        <w:rPr>
          <w:rFonts w:eastAsia="Times New Roman"/>
        </w:rPr>
        <w:t xml:space="preserve"> úložišti pod programovou správou Ministerstva spravedlnosti a pro hodnocení dopadů jejich dalšího zpracování platí výše uvedené. </w:t>
      </w:r>
    </w:p>
    <w:p w14:paraId="4F7E9F68" w14:textId="77777777" w:rsidR="00F84B87" w:rsidRPr="00897682" w:rsidRDefault="00F84B87" w:rsidP="00F84B87">
      <w:pPr>
        <w:spacing w:line="240" w:lineRule="auto"/>
        <w:rPr>
          <w:rFonts w:eastAsia="Times New Roman"/>
        </w:rPr>
      </w:pPr>
      <w:r w:rsidRPr="00897682">
        <w:rPr>
          <w:rFonts w:eastAsia="Times New Roman"/>
        </w:rPr>
        <w:t>Práva subjektů osobních údajů dle § 27 až 31 zákona č. 110/2019 Sb., o zpracování osobních údajů nejsou navrhovanou úpravou nijak omezena.</w:t>
      </w:r>
    </w:p>
    <w:p w14:paraId="42FA2309" w14:textId="03AE75C3" w:rsidR="000D2FC7" w:rsidRPr="00897682" w:rsidRDefault="000D2FC7" w:rsidP="000D2FC7">
      <w:pPr>
        <w:spacing w:line="240" w:lineRule="auto"/>
        <w:rPr>
          <w:rFonts w:eastAsia="Calibri"/>
          <w:bCs w:val="0"/>
        </w:rPr>
      </w:pPr>
      <w:r w:rsidRPr="00897682">
        <w:rPr>
          <w:rFonts w:eastAsia="Calibri"/>
          <w:bCs w:val="0"/>
        </w:rPr>
        <w:t xml:space="preserve">Navržená úprava dále rozšiřuje operace možného zpracování osobních údajů v souvislosti s poskytováním informací o činnosti orgánů činných v trestním řízení o údaje o státní příslušnosti toho, proti komu se trestní řízení vede. Z pohledu definice osobního údaje dle čl. 4 odst. 1 nařízení Evropského parlamentu a Rady (EU) 2016/679 </w:t>
      </w:r>
      <w:r w:rsidRPr="00897682">
        <w:rPr>
          <w:rFonts w:eastAsia="Calibri"/>
        </w:rPr>
        <w:t>o ochraně osobních údajů</w:t>
      </w:r>
      <w:r w:rsidRPr="00897682">
        <w:rPr>
          <w:rFonts w:eastAsia="Calibri"/>
          <w:bCs w:val="0"/>
        </w:rPr>
        <w:t xml:space="preserve"> (</w:t>
      </w:r>
      <w:r w:rsidR="003A6309" w:rsidRPr="00897682">
        <w:rPr>
          <w:rFonts w:eastAsia="Calibri"/>
          <w:bCs w:val="0"/>
        </w:rPr>
        <w:t xml:space="preserve">dále jen „nařízení </w:t>
      </w:r>
      <w:r w:rsidRPr="00897682">
        <w:rPr>
          <w:rFonts w:eastAsia="Calibri"/>
          <w:bCs w:val="0"/>
        </w:rPr>
        <w:t>GDPR</w:t>
      </w:r>
      <w:r w:rsidR="003A6309" w:rsidRPr="00897682">
        <w:rPr>
          <w:rFonts w:eastAsia="Calibri"/>
          <w:bCs w:val="0"/>
        </w:rPr>
        <w:t>“</w:t>
      </w:r>
      <w:r w:rsidRPr="00897682">
        <w:rPr>
          <w:rFonts w:eastAsia="Calibri"/>
          <w:bCs w:val="0"/>
        </w:rPr>
        <w:t xml:space="preserve">) prostá informace o státní příslušnosti osoby sama o sobě osobní údaj nepředstavuje, není-li spojena s dalšími přímými či nepřímými identifikátory konkrétního subjektu osobních údajů. Lze-li z těchto identifikátorů identitu subjektu osobních údajů vyvodit, nejedná se v případě státní příslušnosti o osobní údaj podléhající specifickému režimu typu zvláštní kategorie osobních údajů dle čl. 9 odst.  1 </w:t>
      </w:r>
      <w:r w:rsidR="00697890" w:rsidRPr="00897682">
        <w:rPr>
          <w:rFonts w:eastAsia="Calibri"/>
          <w:bCs w:val="0"/>
        </w:rPr>
        <w:t xml:space="preserve">nařízení </w:t>
      </w:r>
      <w:r w:rsidRPr="00897682">
        <w:rPr>
          <w:rFonts w:eastAsia="Calibri"/>
          <w:bCs w:val="0"/>
        </w:rPr>
        <w:t xml:space="preserve">GDPR. </w:t>
      </w:r>
    </w:p>
    <w:p w14:paraId="111EF8A6" w14:textId="2D7FF08E" w:rsidR="000D2FC7" w:rsidRPr="00897682" w:rsidRDefault="000D2FC7" w:rsidP="000D2FC7">
      <w:pPr>
        <w:spacing w:line="240" w:lineRule="auto"/>
        <w:rPr>
          <w:rFonts w:eastAsia="Calibri"/>
          <w:bCs w:val="0"/>
        </w:rPr>
      </w:pPr>
      <w:r w:rsidRPr="00897682">
        <w:rPr>
          <w:rFonts w:eastAsia="Calibri"/>
          <w:bCs w:val="0"/>
        </w:rPr>
        <w:t>Právní základ tohoto zpracování osobních údajů je postaven na čl. 6 odst. 1 písm. e) nařízení GDPR – zpracování je nezbytné pro splnění úkolu prováděného ve veřejném zájmu nebo při výkonu veřejné moci, kterým je pověřen správce.</w:t>
      </w:r>
    </w:p>
    <w:p w14:paraId="6C35ACC1" w14:textId="43C2392A" w:rsidR="000D2FC7" w:rsidRPr="00897682" w:rsidRDefault="000D2FC7" w:rsidP="000D2FC7">
      <w:pPr>
        <w:spacing w:line="240" w:lineRule="auto"/>
        <w:rPr>
          <w:rFonts w:eastAsia="Calibri"/>
          <w:bCs w:val="0"/>
        </w:rPr>
      </w:pPr>
      <w:r w:rsidRPr="00897682">
        <w:rPr>
          <w:rFonts w:eastAsia="Calibri"/>
          <w:bCs w:val="0"/>
        </w:rPr>
        <w:t>Navrhované zpracování sleduje zajištění transparentnosti výkonu veřejné moci orgánů činných v trestním řízení, boj proti dezinformacím a případnou eliminaci hrozeb pro veřejnou bezpečnost. Primárně je reagováno na narůstající projevy předsudečné nenávisti, přičítající pravidelně trestnou činnost příslušníkům</w:t>
      </w:r>
      <w:r w:rsidR="00B72F26" w:rsidRPr="00897682">
        <w:rPr>
          <w:rFonts w:eastAsia="Calibri"/>
          <w:bCs w:val="0"/>
        </w:rPr>
        <w:t xml:space="preserve"> minorit.</w:t>
      </w:r>
      <w:r w:rsidRPr="00897682">
        <w:rPr>
          <w:rFonts w:eastAsia="Calibri"/>
          <w:bCs w:val="0"/>
        </w:rPr>
        <w:t xml:space="preserve"> </w:t>
      </w:r>
    </w:p>
    <w:p w14:paraId="623147A5" w14:textId="23EF062A" w:rsidR="000D2FC7" w:rsidRPr="00897682" w:rsidRDefault="000D2FC7" w:rsidP="000D2FC7">
      <w:pPr>
        <w:spacing w:line="240" w:lineRule="auto"/>
        <w:rPr>
          <w:rFonts w:eastAsia="Calibri"/>
          <w:bCs w:val="0"/>
        </w:rPr>
      </w:pPr>
      <w:r w:rsidRPr="00897682">
        <w:rPr>
          <w:rFonts w:eastAsia="Calibri"/>
          <w:bCs w:val="0"/>
        </w:rPr>
        <w:t xml:space="preserve">V rámci zhodnocení dopadu do ochrany soukromí a osobních údajů není identifikováno zvýšené riziko pro práva a svobody subjektů osobních údajů, a to zejména v případě, že uvedení informace o státní příslušnosti nebude spojeno s jinými přímými či nepřímými identifikátory konkrétní fyzické osoby. V řadě případů již orgány činné v trestním řízení ke sdělení informací o státní příslušnosti o osobě zúčastněné na trestním řízení přistoupily (mnohdy za účelem eliminace dezinformací) a není známo, že by poskytnutí této informace přímo vyvolalo nežádoucí zásah do práv a svobod dotčené osoby.  Zájem na transparentnosti trestního řízení, </w:t>
      </w:r>
      <w:r w:rsidR="00E82274" w:rsidRPr="00897682">
        <w:rPr>
          <w:rFonts w:eastAsia="Calibri"/>
          <w:bCs w:val="0"/>
        </w:rPr>
        <w:br/>
      </w:r>
      <w:r w:rsidRPr="00897682">
        <w:rPr>
          <w:rFonts w:eastAsia="Calibri"/>
          <w:bCs w:val="0"/>
        </w:rPr>
        <w:t>a především vyvracení neoprávněných spekulací šířících se mnohdy prostřednictvím sociálních sítí</w:t>
      </w:r>
      <w:r w:rsidR="00E82274" w:rsidRPr="00897682">
        <w:rPr>
          <w:rFonts w:eastAsia="Calibri"/>
          <w:bCs w:val="0"/>
        </w:rPr>
        <w:t>,</w:t>
      </w:r>
      <w:r w:rsidRPr="00897682">
        <w:rPr>
          <w:rFonts w:eastAsia="Calibri"/>
          <w:bCs w:val="0"/>
        </w:rPr>
        <w:t xml:space="preserve"> tak v případě údaje o státní příslušnosti převažuje nad právem na ochranu tohoto údaje před případným zveřejněním. </w:t>
      </w:r>
    </w:p>
    <w:p w14:paraId="17967590" w14:textId="5BD6359F" w:rsidR="000D2FC7" w:rsidRPr="00897682" w:rsidRDefault="000D2FC7" w:rsidP="000D2FC7">
      <w:pPr>
        <w:spacing w:line="240" w:lineRule="auto"/>
        <w:rPr>
          <w:rFonts w:eastAsia="Calibri"/>
          <w:bCs w:val="0"/>
        </w:rPr>
      </w:pPr>
      <w:r w:rsidRPr="00897682">
        <w:rPr>
          <w:rFonts w:eastAsia="Calibri"/>
          <w:bCs w:val="0"/>
        </w:rPr>
        <w:t xml:space="preserve">Je nutno zdůraznit, že vyloučení informace o státní příslušnosti z okruhu informací, které se dle § 8a odst. 1 trestního řádu neposkytují, automaticky nepredikuje, že se taková informace poskytne vždy; záleží na individuálním posouzení příslušného orgánu činného v trestním řízení v kontextu prověřované věci. Rovněž tak není poskytování této informace omezeno charakterem trestné činnosti, lze ovšem předpokládat, že bude žádoucí tyto údaje zpřístupnit </w:t>
      </w:r>
      <w:r w:rsidR="00CD2DFF" w:rsidRPr="00897682">
        <w:rPr>
          <w:rFonts w:eastAsia="Calibri"/>
          <w:bCs w:val="0"/>
        </w:rPr>
        <w:t xml:space="preserve">zejména </w:t>
      </w:r>
      <w:r w:rsidRPr="00897682">
        <w:rPr>
          <w:rFonts w:eastAsia="Calibri"/>
          <w:bCs w:val="0"/>
        </w:rPr>
        <w:t xml:space="preserve">v případě závažných trestných činů.  </w:t>
      </w:r>
    </w:p>
    <w:p w14:paraId="6B0CA366" w14:textId="77777777" w:rsidR="000D2FC7" w:rsidRPr="00897682" w:rsidRDefault="000D2FC7" w:rsidP="00F84B87">
      <w:pPr>
        <w:spacing w:line="240" w:lineRule="auto"/>
        <w:rPr>
          <w:rFonts w:eastAsia="Calibri"/>
          <w:b/>
        </w:rPr>
      </w:pPr>
    </w:p>
    <w:p w14:paraId="530ECAA1" w14:textId="467AC231" w:rsidR="00C216E4" w:rsidRPr="00897682" w:rsidRDefault="00C216E4" w:rsidP="000501AC">
      <w:pPr>
        <w:spacing w:line="240" w:lineRule="auto"/>
        <w:outlineLvl w:val="1"/>
        <w:rPr>
          <w:rFonts w:eastAsia="Times New Roman"/>
          <w:b/>
        </w:rPr>
      </w:pPr>
      <w:r w:rsidRPr="00897682">
        <w:rPr>
          <w:rFonts w:eastAsia="Times New Roman"/>
          <w:b/>
        </w:rPr>
        <w:t>Zhodnocení korupčních rizik</w:t>
      </w:r>
    </w:p>
    <w:p w14:paraId="798067F0" w14:textId="20AFCD92" w:rsidR="00C216E4" w:rsidRPr="00897682" w:rsidRDefault="00A82410" w:rsidP="000501AC">
      <w:pPr>
        <w:spacing w:line="240" w:lineRule="auto"/>
        <w:rPr>
          <w:rFonts w:eastAsia="Calibri"/>
        </w:rPr>
      </w:pPr>
      <w:bookmarkStart w:id="4" w:name="_Hlk220171538"/>
      <w:r w:rsidRPr="00897682">
        <w:rPr>
          <w:rFonts w:eastAsia="Calibri"/>
        </w:rPr>
        <w:t xml:space="preserve">Navržená právní </w:t>
      </w:r>
      <w:r w:rsidR="00C216E4" w:rsidRPr="00897682">
        <w:rPr>
          <w:rFonts w:eastAsia="Calibri"/>
        </w:rPr>
        <w:t xml:space="preserve">úprava nepřináší zvýšení korupčního rizika. </w:t>
      </w:r>
    </w:p>
    <w:p w14:paraId="4E206024" w14:textId="459902D9" w:rsidR="00C216E4" w:rsidRPr="00897682" w:rsidRDefault="00A82410" w:rsidP="000501AC">
      <w:pPr>
        <w:spacing w:line="240" w:lineRule="auto"/>
        <w:rPr>
          <w:rFonts w:eastAsia="Calibri"/>
        </w:rPr>
      </w:pPr>
      <w:r w:rsidRPr="00897682">
        <w:rPr>
          <w:rFonts w:eastAsia="Calibri"/>
        </w:rPr>
        <w:lastRenderedPageBreak/>
        <w:t xml:space="preserve">Navržená </w:t>
      </w:r>
      <w:r w:rsidR="00C216E4" w:rsidRPr="00897682">
        <w:rPr>
          <w:rFonts w:eastAsia="Calibri"/>
        </w:rPr>
        <w:t>právní úprava</w:t>
      </w:r>
      <w:r w:rsidR="00B144F6" w:rsidRPr="00897682">
        <w:rPr>
          <w:rFonts w:eastAsia="Calibri"/>
        </w:rPr>
        <w:t xml:space="preserve"> </w:t>
      </w:r>
      <w:r w:rsidR="00C216E4" w:rsidRPr="00897682">
        <w:rPr>
          <w:rFonts w:eastAsia="Calibri"/>
        </w:rPr>
        <w:t>není spojena s vyššími korupčními riziky, než kterým čelí orgány činné v trestním řízení obecně, zejména u zájmových nebo politických kauz. Korupční riziko pro ně není nové, je přítomno i při účinnosti stávající právní úpravy. Prostředky ochrany proti tomuto riziku jsou tudíž obsaženy již ve stávající právní úpravě. Předně jsou to zákonné požadavky a</w:t>
      </w:r>
      <w:r w:rsidRPr="00897682">
        <w:rPr>
          <w:rFonts w:eastAsia="Calibri"/>
        </w:rPr>
        <w:t> </w:t>
      </w:r>
      <w:r w:rsidR="00C216E4" w:rsidRPr="00897682">
        <w:rPr>
          <w:rFonts w:eastAsia="Calibri"/>
        </w:rPr>
        <w:t>postupy při výběru osoby státního zástupce a soudce, u nichž jsou kladeny zvýšené nároky na</w:t>
      </w:r>
      <w:r w:rsidRPr="00897682">
        <w:rPr>
          <w:rFonts w:eastAsia="Calibri"/>
        </w:rPr>
        <w:t> </w:t>
      </w:r>
      <w:r w:rsidR="00C216E4" w:rsidRPr="00897682">
        <w:rPr>
          <w:rFonts w:eastAsia="Calibri"/>
        </w:rPr>
        <w:t>jejich morální integritu a osobnostní záruky. Dále jsou to pak určité mechanismy kontroly, jež spočívají zejména ve výkonu dohledu vyššího státního zastupitelství nad nižším státním zastupitelstvím (a případně dohledu nad dohledem), jakož i v systému řádných a mimořádných opravných prostředků.</w:t>
      </w:r>
    </w:p>
    <w:p w14:paraId="4B152BF4" w14:textId="77777777" w:rsidR="00C216E4" w:rsidRPr="00897682" w:rsidRDefault="00C216E4" w:rsidP="000501AC">
      <w:pPr>
        <w:spacing w:line="240" w:lineRule="auto"/>
        <w:rPr>
          <w:rFonts w:eastAsia="Calibri"/>
        </w:rPr>
      </w:pPr>
      <w:r w:rsidRPr="00897682">
        <w:rPr>
          <w:rFonts w:eastAsia="Calibri"/>
        </w:rPr>
        <w:t>Kromě těchto procesních pojistek se čelí tomuto riziku i hrozbou trestního stíhání toho, kdo úplatek nabídl, poskytl nebo slíbil, jakož i toho, kdo si dal úplatek slíbit nebo jej přijal. Je-li pachatelem trestného činu přijetí úplatku úřední osoba, jde o okolnost podmiňující použití vyšší trestní sazby, kde hrozí trest odnětí svobody ve výši tři léta až deset let (v případě, kdy byl tento trestný čin spáchán v úmyslu opatřit sobě nebo jinému značný prospěch, je dána trestní sazba pět až dvanáct let). V případě podplacení je rovněž skutečnost, že byl tento trestný čin spáchán vůči úřední osobě, okolností podmiňující použití vyšší trestní sazby (pachateli v tomto případě hrozí podle § 332 odst. 2 tr. zák. trest odnětí svobody ve výši jeden rok až šest let).</w:t>
      </w:r>
    </w:p>
    <w:bookmarkEnd w:id="4"/>
    <w:p w14:paraId="0644188B" w14:textId="77777777" w:rsidR="00C216E4" w:rsidRPr="00897682" w:rsidRDefault="00C216E4" w:rsidP="000501AC">
      <w:pPr>
        <w:spacing w:line="240" w:lineRule="auto"/>
        <w:rPr>
          <w:rFonts w:eastAsia="Calibri"/>
          <w:b/>
          <w:bCs w:val="0"/>
        </w:rPr>
      </w:pPr>
    </w:p>
    <w:p w14:paraId="7D6E4B5C" w14:textId="77777777" w:rsidR="00C216E4" w:rsidRPr="00897682" w:rsidRDefault="00C216E4" w:rsidP="000501AC">
      <w:pPr>
        <w:spacing w:line="240" w:lineRule="auto"/>
        <w:outlineLvl w:val="1"/>
        <w:rPr>
          <w:rFonts w:eastAsia="Times New Roman"/>
          <w:b/>
        </w:rPr>
      </w:pPr>
      <w:r w:rsidRPr="00897682">
        <w:rPr>
          <w:rFonts w:eastAsia="Times New Roman"/>
          <w:b/>
        </w:rPr>
        <w:t>Zhodnocení dopadů na bezpečnost nebo obranu státu</w:t>
      </w:r>
    </w:p>
    <w:p w14:paraId="0B4DF17A" w14:textId="60B8E725" w:rsidR="00C216E4" w:rsidRPr="00897682" w:rsidRDefault="00A82410" w:rsidP="000501AC">
      <w:pPr>
        <w:spacing w:line="240" w:lineRule="auto"/>
        <w:rPr>
          <w:rFonts w:eastAsia="Calibri"/>
          <w:bCs w:val="0"/>
        </w:rPr>
      </w:pPr>
      <w:r w:rsidRPr="00897682">
        <w:rPr>
          <w:rFonts w:eastAsia="Calibri"/>
        </w:rPr>
        <w:t xml:space="preserve">Navržená právní </w:t>
      </w:r>
      <w:r w:rsidR="00C216E4" w:rsidRPr="00897682">
        <w:rPr>
          <w:rFonts w:eastAsia="Calibri"/>
        </w:rPr>
        <w:t>úprava nepřináší negativní dopady na bezpečnost nebo obranu státu.</w:t>
      </w:r>
    </w:p>
    <w:p w14:paraId="48357BE9" w14:textId="77777777" w:rsidR="00C216E4" w:rsidRPr="00897682" w:rsidRDefault="00C216E4" w:rsidP="000501AC">
      <w:pPr>
        <w:spacing w:line="240" w:lineRule="auto"/>
        <w:rPr>
          <w:rFonts w:eastAsia="Calibri"/>
          <w:bCs w:val="0"/>
        </w:rPr>
      </w:pPr>
    </w:p>
    <w:p w14:paraId="46DF6206" w14:textId="77777777" w:rsidR="00C216E4" w:rsidRPr="00897682" w:rsidRDefault="00C216E4" w:rsidP="000501AC">
      <w:pPr>
        <w:autoSpaceDE w:val="0"/>
        <w:autoSpaceDN w:val="0"/>
        <w:adjustRightInd w:val="0"/>
        <w:spacing w:line="240" w:lineRule="auto"/>
        <w:rPr>
          <w:rFonts w:eastAsia="Calibri"/>
          <w:b/>
          <w:bCs w:val="0"/>
          <w:lang w:eastAsia="cs-CZ"/>
        </w:rPr>
      </w:pPr>
      <w:r w:rsidRPr="00897682">
        <w:rPr>
          <w:rFonts w:eastAsia="Calibri"/>
          <w:b/>
          <w:lang w:eastAsia="cs-CZ"/>
        </w:rPr>
        <w:t>Zhodnocení sociálních dopadů, včetně dopadů na specifické skupiny obyvatel, zejména osoby sociálně slabé, osoby se zdravotním postižením a národnostní menšiny, dopadů na ochranu práv dětí a dopadů na rodiny, zejména s ohledem na plnění funkcí rodiny, s ohledem na počet vyživovaných členů, na případnou přítomnost hendikepovaných členů a rodiny samoživitelů, rodiny se třemi a více dětmi a další specifické životní situace, dále s ohledem na posílení integrity a stability rodiny a posílení rodinné harmonie, lepší rovnováhy mezi prací a rodinou a na posílení mezigeneračních a širších příbuzenských vztahů</w:t>
      </w:r>
    </w:p>
    <w:p w14:paraId="2AF664B6" w14:textId="08EC8025" w:rsidR="00C216E4" w:rsidRPr="00897682" w:rsidRDefault="00CA45F5" w:rsidP="000501AC">
      <w:pPr>
        <w:spacing w:line="240" w:lineRule="auto"/>
        <w:rPr>
          <w:rFonts w:eastAsia="Calibri"/>
          <w:lang w:eastAsia="cs-CZ"/>
        </w:rPr>
      </w:pPr>
      <w:r w:rsidRPr="00897682">
        <w:rPr>
          <w:rFonts w:eastAsia="Calibri"/>
        </w:rPr>
        <w:t xml:space="preserve">Navržená </w:t>
      </w:r>
      <w:r w:rsidR="00C216E4" w:rsidRPr="00897682">
        <w:rPr>
          <w:rFonts w:eastAsia="Calibri"/>
        </w:rPr>
        <w:t>právní úprava není spojena s negativními sociálními dopady</w:t>
      </w:r>
      <w:r w:rsidR="00A82410" w:rsidRPr="00897682">
        <w:rPr>
          <w:rFonts w:eastAsia="Calibri"/>
        </w:rPr>
        <w:t xml:space="preserve"> ani s </w:t>
      </w:r>
      <w:r w:rsidR="00C216E4" w:rsidRPr="00897682">
        <w:rPr>
          <w:rFonts w:eastAsia="Calibri"/>
        </w:rPr>
        <w:t xml:space="preserve">dopady na specifické skupiny obyvatel, děti a na rodiny. </w:t>
      </w:r>
      <w:r w:rsidR="00C216E4" w:rsidRPr="00897682">
        <w:rPr>
          <w:rFonts w:eastAsia="Calibri"/>
          <w:lang w:eastAsia="cs-CZ"/>
        </w:rPr>
        <w:t xml:space="preserve">Navržená právní úprava se nedotýká postavení rodin, rovnováhy mezi prací a rodinou nebo příbuzenských vztahů, a </w:t>
      </w:r>
      <w:r w:rsidR="00A82410" w:rsidRPr="00897682">
        <w:rPr>
          <w:rFonts w:eastAsia="Calibri"/>
          <w:lang w:eastAsia="cs-CZ"/>
        </w:rPr>
        <w:t xml:space="preserve">ani na </w:t>
      </w:r>
      <w:r w:rsidR="00C216E4" w:rsidRPr="00897682">
        <w:rPr>
          <w:rFonts w:eastAsia="Calibri"/>
          <w:lang w:eastAsia="cs-CZ"/>
        </w:rPr>
        <w:t xml:space="preserve">tyto oblasti </w:t>
      </w:r>
      <w:r w:rsidR="00A82410" w:rsidRPr="00897682">
        <w:rPr>
          <w:rFonts w:eastAsia="Calibri"/>
          <w:lang w:eastAsia="cs-CZ"/>
        </w:rPr>
        <w:t xml:space="preserve">nemá </w:t>
      </w:r>
      <w:r w:rsidR="00C216E4" w:rsidRPr="00897682">
        <w:rPr>
          <w:rFonts w:eastAsia="Calibri"/>
          <w:lang w:eastAsia="cs-CZ"/>
        </w:rPr>
        <w:t>negativní dopady.</w:t>
      </w:r>
    </w:p>
    <w:p w14:paraId="4F3FD288" w14:textId="77777777" w:rsidR="00F11B23" w:rsidRPr="00897682" w:rsidRDefault="00F11B23" w:rsidP="000501AC">
      <w:pPr>
        <w:spacing w:line="240" w:lineRule="auto"/>
        <w:rPr>
          <w:rFonts w:eastAsia="Calibri"/>
          <w:b/>
        </w:rPr>
      </w:pPr>
    </w:p>
    <w:p w14:paraId="29548CF6" w14:textId="77777777" w:rsidR="00C216E4" w:rsidRPr="00897682" w:rsidRDefault="00C216E4" w:rsidP="000501AC">
      <w:pPr>
        <w:spacing w:line="240" w:lineRule="auto"/>
        <w:rPr>
          <w:rFonts w:eastAsia="Calibri"/>
          <w:b/>
        </w:rPr>
      </w:pPr>
      <w:r w:rsidRPr="00897682">
        <w:rPr>
          <w:rFonts w:eastAsia="Calibri"/>
          <w:b/>
        </w:rPr>
        <w:t xml:space="preserve">Zhodnocení dopadů na životní prostředí </w:t>
      </w:r>
    </w:p>
    <w:p w14:paraId="2BB081E6" w14:textId="73FCC608" w:rsidR="00C216E4" w:rsidRPr="00897682" w:rsidRDefault="00CA45F5" w:rsidP="000501AC">
      <w:pPr>
        <w:spacing w:line="240" w:lineRule="auto"/>
        <w:rPr>
          <w:rFonts w:eastAsia="Calibri"/>
          <w:bCs w:val="0"/>
        </w:rPr>
      </w:pPr>
      <w:r w:rsidRPr="00897682">
        <w:rPr>
          <w:rFonts w:eastAsia="Calibri"/>
        </w:rPr>
        <w:t xml:space="preserve">Navržená </w:t>
      </w:r>
      <w:r w:rsidR="00C216E4" w:rsidRPr="00897682">
        <w:rPr>
          <w:rFonts w:eastAsia="Calibri"/>
        </w:rPr>
        <w:t xml:space="preserve">právní úprava není spojena s dopady na životní prostředí. </w:t>
      </w:r>
    </w:p>
    <w:p w14:paraId="4EA13A8A" w14:textId="77777777" w:rsidR="008B5ECD" w:rsidRPr="00897682" w:rsidRDefault="008B5ECD" w:rsidP="000501AC">
      <w:pPr>
        <w:spacing w:line="240" w:lineRule="auto"/>
        <w:rPr>
          <w:rFonts w:ascii="Calibri" w:eastAsia="Calibri" w:hAnsi="Calibri"/>
          <w:bCs w:val="0"/>
          <w:sz w:val="22"/>
        </w:rPr>
      </w:pPr>
    </w:p>
    <w:p w14:paraId="5C27B5BE" w14:textId="77777777" w:rsidR="00C216E4" w:rsidRPr="00897682" w:rsidRDefault="00C216E4" w:rsidP="000501AC">
      <w:pPr>
        <w:spacing w:line="240" w:lineRule="auto"/>
        <w:outlineLvl w:val="1"/>
        <w:rPr>
          <w:rFonts w:eastAsia="Times New Roman"/>
          <w:b/>
        </w:rPr>
      </w:pPr>
      <w:r w:rsidRPr="00897682">
        <w:rPr>
          <w:rFonts w:eastAsia="Times New Roman"/>
          <w:b/>
        </w:rPr>
        <w:t>Zhodnocení územních dopadů, včetně dopadů na územní samosprávné celky</w:t>
      </w:r>
    </w:p>
    <w:p w14:paraId="7A7424CB" w14:textId="77777777" w:rsidR="00C216E4" w:rsidRPr="00897682" w:rsidRDefault="00C216E4" w:rsidP="000501AC">
      <w:pPr>
        <w:spacing w:line="240" w:lineRule="auto"/>
        <w:rPr>
          <w:rFonts w:eastAsia="Calibri"/>
          <w:bCs w:val="0"/>
        </w:rPr>
      </w:pPr>
      <w:r w:rsidRPr="00897682">
        <w:rPr>
          <w:rFonts w:eastAsia="Calibri"/>
        </w:rPr>
        <w:t>Navržená právní úprava</w:t>
      </w:r>
      <w:r w:rsidRPr="00897682">
        <w:rPr>
          <w:rFonts w:eastAsia="Calibri"/>
          <w:color w:val="000000"/>
        </w:rPr>
        <w:t xml:space="preserve"> není spojena s dopady na územní samosprávné celky.</w:t>
      </w:r>
      <w:r w:rsidRPr="00897682">
        <w:rPr>
          <w:rFonts w:eastAsia="Calibri"/>
        </w:rPr>
        <w:t xml:space="preserve"> </w:t>
      </w:r>
    </w:p>
    <w:p w14:paraId="54B479BA" w14:textId="77777777" w:rsidR="00C216E4" w:rsidRPr="00897682" w:rsidRDefault="00C216E4" w:rsidP="000501AC">
      <w:pPr>
        <w:spacing w:line="240" w:lineRule="auto"/>
        <w:rPr>
          <w:rFonts w:eastAsia="Calibri"/>
          <w:b/>
          <w:bCs w:val="0"/>
          <w:lang w:eastAsia="cs-CZ"/>
        </w:rPr>
      </w:pPr>
    </w:p>
    <w:p w14:paraId="2AAEC9AF" w14:textId="77777777" w:rsidR="00C216E4" w:rsidRPr="00897682" w:rsidRDefault="00C216E4" w:rsidP="000501AC">
      <w:pPr>
        <w:spacing w:line="240" w:lineRule="auto"/>
        <w:outlineLvl w:val="1"/>
        <w:rPr>
          <w:rFonts w:eastAsia="Times New Roman"/>
          <w:b/>
        </w:rPr>
      </w:pPr>
      <w:r w:rsidRPr="00897682">
        <w:rPr>
          <w:rFonts w:eastAsia="Times New Roman"/>
          <w:b/>
        </w:rPr>
        <w:t>Zhodnocení souladu navrhovaného řešení se zásadami tvorby digitálně přívětivé legislativy, včetně zhodnocení rizika vyloučení nebo omezení možnosti přístupu specifických skupin osob k některým službám v důsledku digitalizace jejich poskytování (digitální vyloučení)</w:t>
      </w:r>
    </w:p>
    <w:p w14:paraId="7B07C125" w14:textId="77777777" w:rsidR="0092768E" w:rsidRPr="00897682" w:rsidRDefault="0092768E" w:rsidP="0092768E">
      <w:pPr>
        <w:spacing w:line="240" w:lineRule="auto"/>
        <w:rPr>
          <w:rFonts w:eastAsia="Calibri"/>
        </w:rPr>
      </w:pPr>
      <w:r w:rsidRPr="00897682">
        <w:rPr>
          <w:rFonts w:eastAsia="Calibri"/>
        </w:rPr>
        <w:lastRenderedPageBreak/>
        <w:t xml:space="preserve">Zjednodušení procesu ověření totožnosti osoby, která je vyslýchaná prostřednictvím videokonferenčního zařízení, povede nejen ke snížení administrativní zátěže, ale i k odstranění jedné z překážek, které omezují vyšší využití videokonferenčního zařízení v rámci trestního řízení; touto cestou tak dojde k posílení digitální přívětivosti legislativy. </w:t>
      </w:r>
    </w:p>
    <w:p w14:paraId="7389ACB0" w14:textId="2C055E2A" w:rsidR="0092768E" w:rsidRPr="00897682" w:rsidRDefault="0092768E" w:rsidP="0092768E">
      <w:pPr>
        <w:spacing w:line="240" w:lineRule="auto"/>
        <w:rPr>
          <w:rFonts w:eastAsia="Calibri"/>
        </w:rPr>
      </w:pPr>
      <w:r w:rsidRPr="00897682">
        <w:rPr>
          <w:rFonts w:eastAsia="Calibri"/>
        </w:rPr>
        <w:t>Efekt zvýšení digitální přívětivosti legislativy lze spatřovat rovněž v úpravě institutu nahlížení do spisů podle § 65 tr. ř., který umožňuje realizovat právo přehrát si obrazové a zvukové záznamy, které budou uloženy v </w:t>
      </w:r>
      <w:r w:rsidR="00701938">
        <w:rPr>
          <w:rFonts w:eastAsia="Calibri"/>
        </w:rPr>
        <w:t>datovém</w:t>
      </w:r>
      <w:r w:rsidRPr="00897682">
        <w:rPr>
          <w:rFonts w:eastAsia="Calibri"/>
        </w:rPr>
        <w:t xml:space="preserve"> úložišti Ministerstva spravedlnosti, a pořízení si jejich kopií i dálkovým způsobem. Tento postup bude fakultativní, tj. nedojde k omezení možnosti nahlížet do spisů i jiným způsobem, riziko digitálního vyloučení tak není dáno. </w:t>
      </w:r>
    </w:p>
    <w:p w14:paraId="00E5B576" w14:textId="02152F16" w:rsidR="00C216E4" w:rsidRPr="00897682" w:rsidRDefault="00C216E4" w:rsidP="00F11B23">
      <w:pPr>
        <w:spacing w:after="160" w:line="240" w:lineRule="auto"/>
        <w:rPr>
          <w:rFonts w:eastAsia="Calibri"/>
        </w:rPr>
      </w:pPr>
      <w:r w:rsidRPr="00897682">
        <w:rPr>
          <w:rFonts w:eastAsia="Times New Roman"/>
          <w:b/>
        </w:rPr>
        <w:t>Zhodnocení, zda návrh právního předpisu neobsahuje ustanovení, které by bylo svou povahou technickým předpisem podle právního předpisu upravujícího technické požadavky na výrobky, a informace o splnění oznamovací povinnosti podle tohoto právního předpisu</w:t>
      </w:r>
    </w:p>
    <w:p w14:paraId="076F2BBD" w14:textId="77777777" w:rsidR="00C216E4" w:rsidRPr="00897682" w:rsidRDefault="00C216E4" w:rsidP="000501AC">
      <w:pPr>
        <w:spacing w:line="240" w:lineRule="auto"/>
        <w:rPr>
          <w:rFonts w:eastAsia="Calibri"/>
        </w:rPr>
      </w:pPr>
      <w:r w:rsidRPr="00897682">
        <w:rPr>
          <w:rFonts w:eastAsia="Calibri"/>
        </w:rPr>
        <w:t>Žádné ustanovení navržené právní úpravy nemá povahu technického předpisu.</w:t>
      </w:r>
    </w:p>
    <w:p w14:paraId="123DC44E" w14:textId="77777777" w:rsidR="00666E0E" w:rsidRPr="00897682" w:rsidRDefault="00666E0E" w:rsidP="001B494D">
      <w:pPr>
        <w:spacing w:line="240" w:lineRule="auto"/>
        <w:rPr>
          <w:rFonts w:eastAsia="Calibri"/>
          <w:bCs w:val="0"/>
        </w:rPr>
      </w:pPr>
    </w:p>
    <w:p w14:paraId="0EA5A43A" w14:textId="254A4DA0" w:rsidR="00C216E4" w:rsidRPr="00897682" w:rsidRDefault="00C216E4" w:rsidP="000501AC">
      <w:pPr>
        <w:spacing w:line="240" w:lineRule="auto"/>
        <w:outlineLvl w:val="1"/>
        <w:rPr>
          <w:rFonts w:eastAsia="Times New Roman"/>
          <w:b/>
        </w:rPr>
      </w:pPr>
      <w:r w:rsidRPr="00897682">
        <w:rPr>
          <w:rFonts w:eastAsia="Times New Roman"/>
          <w:b/>
        </w:rPr>
        <w:t>Zhodnocení, zda návrhem právního předpisu není zakládána veřejná podpora</w:t>
      </w:r>
    </w:p>
    <w:p w14:paraId="0399FF38" w14:textId="77777777" w:rsidR="00C216E4" w:rsidRPr="00897682" w:rsidRDefault="00C216E4" w:rsidP="000501AC">
      <w:pPr>
        <w:spacing w:line="240" w:lineRule="auto"/>
        <w:rPr>
          <w:rFonts w:eastAsia="Calibri"/>
        </w:rPr>
      </w:pPr>
      <w:r w:rsidRPr="00897682">
        <w:rPr>
          <w:rFonts w:eastAsia="Calibri"/>
        </w:rPr>
        <w:t>Návrh zákona nezakládá veřejnou podporu.</w:t>
      </w:r>
    </w:p>
    <w:p w14:paraId="42384627" w14:textId="77777777" w:rsidR="003814EC" w:rsidRPr="00897682" w:rsidRDefault="003814EC" w:rsidP="001B494D">
      <w:pPr>
        <w:spacing w:line="240" w:lineRule="auto"/>
        <w:rPr>
          <w:rFonts w:eastAsia="Times New Roman"/>
          <w:b/>
        </w:rPr>
      </w:pPr>
    </w:p>
    <w:p w14:paraId="45E0B905" w14:textId="57C1D5EA" w:rsidR="00C216E4" w:rsidRPr="00897682" w:rsidRDefault="00C216E4" w:rsidP="000501AC">
      <w:pPr>
        <w:spacing w:line="240" w:lineRule="auto"/>
        <w:outlineLvl w:val="1"/>
        <w:rPr>
          <w:rFonts w:eastAsia="Times New Roman"/>
          <w:b/>
        </w:rPr>
      </w:pPr>
      <w:r w:rsidRPr="00897682">
        <w:rPr>
          <w:rFonts w:eastAsia="Times New Roman"/>
          <w:b/>
        </w:rPr>
        <w:t>Zhodnocení dopadů na práva a povinnosti fyzických a právnických osob</w:t>
      </w:r>
    </w:p>
    <w:p w14:paraId="093AAD12" w14:textId="2BCCAED5" w:rsidR="008647BB" w:rsidRPr="00897682" w:rsidRDefault="008647BB" w:rsidP="008647BB">
      <w:pPr>
        <w:autoSpaceDE w:val="0"/>
        <w:autoSpaceDN w:val="0"/>
        <w:adjustRightInd w:val="0"/>
        <w:spacing w:line="240" w:lineRule="auto"/>
        <w:rPr>
          <w:rFonts w:eastAsia="Times New Roman"/>
          <w:color w:val="000000"/>
          <w:lang w:eastAsia="cs-CZ"/>
        </w:rPr>
      </w:pPr>
      <w:r w:rsidRPr="00897682">
        <w:rPr>
          <w:rFonts w:eastAsia="Times New Roman"/>
          <w:color w:val="000000"/>
          <w:lang w:eastAsia="cs-CZ"/>
        </w:rPr>
        <w:t xml:space="preserve">Navrhovaná právní úprava usnadňuje využití práva nahlížet do spisů, pokud jde o přístup k obrazovým a zvukovým záznamům uloženým v </w:t>
      </w:r>
      <w:r w:rsidR="002941C1">
        <w:rPr>
          <w:rFonts w:eastAsia="Times New Roman"/>
          <w:color w:val="000000"/>
          <w:lang w:eastAsia="cs-CZ"/>
        </w:rPr>
        <w:t>datovém</w:t>
      </w:r>
      <w:r w:rsidRPr="00897682">
        <w:rPr>
          <w:rFonts w:eastAsia="Times New Roman"/>
          <w:color w:val="000000"/>
          <w:lang w:eastAsia="cs-CZ"/>
        </w:rPr>
        <w:t xml:space="preserve"> úložišti Ministerstva spravedlnosti. Toto právo bude nově možné realizovat i distančně, osoba se za tímto účelem již nebude muset dostavovat do budovy soudu nebo státního zastupitelství.</w:t>
      </w:r>
    </w:p>
    <w:p w14:paraId="15F315BD" w14:textId="4672DE84" w:rsidR="00F11B23" w:rsidRPr="00897682" w:rsidRDefault="00F11B23" w:rsidP="008647BB">
      <w:pPr>
        <w:autoSpaceDE w:val="0"/>
        <w:autoSpaceDN w:val="0"/>
        <w:adjustRightInd w:val="0"/>
        <w:spacing w:line="240" w:lineRule="auto"/>
        <w:rPr>
          <w:rFonts w:eastAsia="Times New Roman"/>
          <w:color w:val="000000"/>
          <w:lang w:eastAsia="cs-CZ"/>
        </w:rPr>
      </w:pPr>
      <w:r w:rsidRPr="00897682">
        <w:rPr>
          <w:rFonts w:eastAsia="Times New Roman"/>
          <w:color w:val="000000"/>
          <w:lang w:eastAsia="cs-CZ"/>
        </w:rPr>
        <w:t xml:space="preserve">Navrhovaná právní úprava nově zvýšeně chrání před zveřejněním jeho osobních údajů také oznamovatele trestného činu a osobu podávající vysvětlení. </w:t>
      </w:r>
    </w:p>
    <w:p w14:paraId="0BE8809B" w14:textId="128B4D52" w:rsidR="00F11B23" w:rsidRPr="00897682" w:rsidRDefault="00F11B23" w:rsidP="008647BB">
      <w:pPr>
        <w:autoSpaceDE w:val="0"/>
        <w:autoSpaceDN w:val="0"/>
        <w:adjustRightInd w:val="0"/>
        <w:spacing w:line="240" w:lineRule="auto"/>
        <w:rPr>
          <w:rFonts w:eastAsia="Times New Roman"/>
          <w:color w:val="000000"/>
          <w:lang w:eastAsia="cs-CZ"/>
        </w:rPr>
      </w:pPr>
      <w:r w:rsidRPr="00897682">
        <w:rPr>
          <w:rFonts w:eastAsia="Times New Roman"/>
          <w:color w:val="000000"/>
          <w:lang w:eastAsia="cs-CZ"/>
        </w:rPr>
        <w:t xml:space="preserve">Navrhovaná úprava posiluje právo na ochranu komunikace obviněného a podezřelého s jeho právním zástupcem tím, že mu přiznává právo domáhat se vynětí jeho chráněné komunikace z trestního spisu a žádat soudní přezkum rozhodnutí, kterým není jeho návrhu vyhověno. </w:t>
      </w:r>
    </w:p>
    <w:p w14:paraId="02C7B241" w14:textId="12310E8F" w:rsidR="00F11B23" w:rsidRPr="00897682" w:rsidRDefault="00F11B23" w:rsidP="008647BB">
      <w:pPr>
        <w:autoSpaceDE w:val="0"/>
        <w:autoSpaceDN w:val="0"/>
        <w:adjustRightInd w:val="0"/>
        <w:spacing w:line="240" w:lineRule="auto"/>
        <w:rPr>
          <w:rFonts w:eastAsia="Times New Roman"/>
          <w:color w:val="000000"/>
          <w:lang w:eastAsia="cs-CZ"/>
        </w:rPr>
      </w:pPr>
      <w:r w:rsidRPr="00897682">
        <w:rPr>
          <w:rFonts w:eastAsia="Times New Roman"/>
          <w:color w:val="000000"/>
          <w:lang w:eastAsia="cs-CZ"/>
        </w:rPr>
        <w:t xml:space="preserve">Navrhovaná úprava příkazu k pátrání za účelem doručení písemnosti sice umožňuje v případě, že osoba neposkytne potřebnou součinnost, její předvedení na nejbližší policejní služebnu, což je spojeno s omezením její osobní svobody, oproti stávající úpravě jde nicméně o šetrnější úpravu, neboť nyní je za tímto účelem předváděna před orgán činný v trestním řízení, který písemnost doručuje, tj. zpravidla na vzdálenější místo. </w:t>
      </w:r>
    </w:p>
    <w:p w14:paraId="73A2F096" w14:textId="08D86FE9" w:rsidR="00925BED" w:rsidRPr="00897682" w:rsidRDefault="00925BED" w:rsidP="008647BB">
      <w:pPr>
        <w:autoSpaceDE w:val="0"/>
        <w:autoSpaceDN w:val="0"/>
        <w:adjustRightInd w:val="0"/>
        <w:spacing w:line="240" w:lineRule="auto"/>
        <w:rPr>
          <w:rFonts w:eastAsia="Times New Roman"/>
          <w:color w:val="000000"/>
          <w:lang w:eastAsia="cs-CZ"/>
        </w:rPr>
      </w:pPr>
      <w:r w:rsidRPr="00897682">
        <w:rPr>
          <w:rFonts w:eastAsia="Times New Roman"/>
          <w:color w:val="000000"/>
          <w:lang w:eastAsia="cs-CZ"/>
        </w:rPr>
        <w:t xml:space="preserve">Úprava umožňující poměrné rozdělení peněžních prostředků získaných trestným činem mezi poškozené, přispívá k uspokojení jejich nároků vzniklých v důsledku spáchání trestného činu a v tomto směru je pro ně jednoznačně pozitivní. </w:t>
      </w:r>
    </w:p>
    <w:p w14:paraId="4F68DFE8" w14:textId="36FF7DFB" w:rsidR="00925BED" w:rsidRPr="00897682" w:rsidRDefault="00925BED" w:rsidP="008647BB">
      <w:pPr>
        <w:autoSpaceDE w:val="0"/>
        <w:autoSpaceDN w:val="0"/>
        <w:adjustRightInd w:val="0"/>
        <w:spacing w:line="240" w:lineRule="auto"/>
        <w:rPr>
          <w:rFonts w:eastAsia="Times New Roman"/>
          <w:color w:val="000000"/>
          <w:lang w:eastAsia="cs-CZ"/>
        </w:rPr>
      </w:pPr>
      <w:r w:rsidRPr="00897682">
        <w:rPr>
          <w:rFonts w:eastAsia="Times New Roman"/>
          <w:color w:val="000000"/>
          <w:lang w:eastAsia="cs-CZ"/>
        </w:rPr>
        <w:t xml:space="preserve">Zakotvení povinnosti orgánů činných v trestním řízení vyrozumět podezřelého o tom, že již dále není podezřelý ze spáchání trestného činu, posiluje jeho informovanost. </w:t>
      </w:r>
    </w:p>
    <w:p w14:paraId="5C21534C" w14:textId="77777777" w:rsidR="008647BB" w:rsidRPr="00897682" w:rsidRDefault="008647BB" w:rsidP="008647BB">
      <w:pPr>
        <w:autoSpaceDE w:val="0"/>
        <w:autoSpaceDN w:val="0"/>
        <w:adjustRightInd w:val="0"/>
        <w:spacing w:line="240" w:lineRule="auto"/>
        <w:rPr>
          <w:b/>
          <w:bCs w:val="0"/>
        </w:rPr>
      </w:pPr>
      <w:r w:rsidRPr="00897682">
        <w:rPr>
          <w:rFonts w:eastAsia="Times New Roman"/>
          <w:color w:val="000000"/>
          <w:lang w:eastAsia="cs-CZ"/>
        </w:rPr>
        <w:t>V ostatních ohledech navrhovaná právní úprava sama o sobě nepřináší nové bezprostřední dopady do práv a povinností fyzických či právnických osob.</w:t>
      </w:r>
    </w:p>
    <w:p w14:paraId="6862D0C1" w14:textId="77777777" w:rsidR="000D3078" w:rsidRDefault="000D3078" w:rsidP="007D7C1F">
      <w:pPr>
        <w:spacing w:line="240" w:lineRule="auto"/>
        <w:rPr>
          <w:bCs w:val="0"/>
        </w:rPr>
      </w:pPr>
    </w:p>
    <w:p w14:paraId="4902DDCF" w14:textId="77777777" w:rsidR="000D3078" w:rsidRPr="00897682" w:rsidRDefault="000D3078" w:rsidP="007D7C1F">
      <w:pPr>
        <w:spacing w:line="240" w:lineRule="auto"/>
        <w:rPr>
          <w:bCs w:val="0"/>
        </w:rPr>
      </w:pPr>
    </w:p>
    <w:p w14:paraId="6C232149" w14:textId="7C09243A" w:rsidR="00C216E4" w:rsidRPr="00897682" w:rsidRDefault="00C216E4" w:rsidP="008B5ECD">
      <w:pPr>
        <w:spacing w:line="240" w:lineRule="auto"/>
        <w:jc w:val="center"/>
        <w:rPr>
          <w:b/>
        </w:rPr>
      </w:pPr>
      <w:r w:rsidRPr="00897682">
        <w:rPr>
          <w:b/>
        </w:rPr>
        <w:lastRenderedPageBreak/>
        <w:t>Zvláštní část</w:t>
      </w:r>
    </w:p>
    <w:p w14:paraId="6B645A61" w14:textId="77777777" w:rsidR="00C96B6B" w:rsidRPr="00897682" w:rsidRDefault="00C96B6B" w:rsidP="008B5ECD">
      <w:pPr>
        <w:spacing w:line="240" w:lineRule="auto"/>
        <w:rPr>
          <w:rFonts w:cs="Times New Roman"/>
          <w:b/>
          <w:bCs w:val="0"/>
          <w:szCs w:val="24"/>
          <w:u w:val="single"/>
        </w:rPr>
      </w:pPr>
    </w:p>
    <w:p w14:paraId="3A42BCA8" w14:textId="27F840B6" w:rsidR="009E69DC" w:rsidRPr="00897682" w:rsidRDefault="009E69DC" w:rsidP="009E69DC">
      <w:pPr>
        <w:spacing w:line="240" w:lineRule="auto"/>
        <w:rPr>
          <w:rFonts w:cs="Times New Roman"/>
          <w:b/>
          <w:bCs w:val="0"/>
          <w:szCs w:val="24"/>
        </w:rPr>
      </w:pPr>
      <w:r w:rsidRPr="00897682">
        <w:rPr>
          <w:rFonts w:cs="Times New Roman"/>
          <w:b/>
          <w:bCs w:val="0"/>
          <w:szCs w:val="24"/>
        </w:rPr>
        <w:t>K čl. I – změna trestního řádu</w:t>
      </w:r>
    </w:p>
    <w:p w14:paraId="1207FCC0" w14:textId="690827BA" w:rsidR="00D851C8" w:rsidRPr="00897682" w:rsidRDefault="00CB3D13" w:rsidP="009E69DC">
      <w:pPr>
        <w:spacing w:line="240" w:lineRule="auto"/>
        <w:rPr>
          <w:rFonts w:cs="Times New Roman"/>
          <w:szCs w:val="24"/>
        </w:rPr>
      </w:pPr>
      <w:r w:rsidRPr="00897682">
        <w:rPr>
          <w:rFonts w:cs="Times New Roman"/>
          <w:b/>
          <w:bCs w:val="0"/>
          <w:szCs w:val="24"/>
        </w:rPr>
        <w:t>K bod</w:t>
      </w:r>
      <w:r w:rsidR="00C75805" w:rsidRPr="00897682">
        <w:rPr>
          <w:rFonts w:cs="Times New Roman"/>
          <w:b/>
          <w:bCs w:val="0"/>
          <w:szCs w:val="24"/>
        </w:rPr>
        <w:t>ům</w:t>
      </w:r>
      <w:r w:rsidRPr="00897682">
        <w:rPr>
          <w:rFonts w:cs="Times New Roman"/>
          <w:b/>
          <w:bCs w:val="0"/>
          <w:szCs w:val="24"/>
        </w:rPr>
        <w:t xml:space="preserve"> </w:t>
      </w:r>
      <w:r w:rsidR="00C109E1" w:rsidRPr="00897682">
        <w:rPr>
          <w:rFonts w:cs="Times New Roman"/>
          <w:b/>
          <w:bCs w:val="0"/>
          <w:szCs w:val="24"/>
        </w:rPr>
        <w:t>1</w:t>
      </w:r>
      <w:r w:rsidRPr="00897682">
        <w:rPr>
          <w:rFonts w:cs="Times New Roman"/>
          <w:b/>
          <w:bCs w:val="0"/>
          <w:szCs w:val="24"/>
        </w:rPr>
        <w:t xml:space="preserve"> </w:t>
      </w:r>
      <w:r w:rsidR="00C75805" w:rsidRPr="00897682">
        <w:rPr>
          <w:rFonts w:cs="Times New Roman"/>
          <w:b/>
          <w:bCs w:val="0"/>
          <w:szCs w:val="24"/>
        </w:rPr>
        <w:t xml:space="preserve">a 39 </w:t>
      </w:r>
      <w:r w:rsidR="001C5C95" w:rsidRPr="00897682">
        <w:rPr>
          <w:rFonts w:cs="Times New Roman"/>
          <w:szCs w:val="24"/>
        </w:rPr>
        <w:t>(§ 2 odst. 5</w:t>
      </w:r>
      <w:r w:rsidR="00C75805" w:rsidRPr="00897682">
        <w:rPr>
          <w:rFonts w:cs="Times New Roman"/>
          <w:szCs w:val="24"/>
        </w:rPr>
        <w:t>, § 180 odst. 2</w:t>
      </w:r>
      <w:r w:rsidR="001C5C95" w:rsidRPr="00897682">
        <w:rPr>
          <w:rFonts w:cs="Times New Roman"/>
          <w:szCs w:val="24"/>
        </w:rPr>
        <w:t>)</w:t>
      </w:r>
    </w:p>
    <w:p w14:paraId="1A60FEF4" w14:textId="7A1E78FB" w:rsidR="001C5C95" w:rsidRPr="00897682" w:rsidRDefault="001C5C95" w:rsidP="001C5C95">
      <w:pPr>
        <w:spacing w:line="240" w:lineRule="auto"/>
        <w:rPr>
          <w:rFonts w:eastAsia="Calibri" w:cs="Times New Roman"/>
          <w:szCs w:val="24"/>
        </w:rPr>
      </w:pPr>
      <w:r w:rsidRPr="00897682">
        <w:rPr>
          <w:rFonts w:eastAsia="Calibri" w:cs="Times New Roman"/>
          <w:szCs w:val="24"/>
        </w:rPr>
        <w:t xml:space="preserve">V § 2 odst. 5 </w:t>
      </w:r>
      <w:r w:rsidR="00834712" w:rsidRPr="00897682">
        <w:rPr>
          <w:rFonts w:eastAsia="Calibri" w:cs="Times New Roman"/>
          <w:szCs w:val="24"/>
        </w:rPr>
        <w:t xml:space="preserve">tr. ř. </w:t>
      </w:r>
      <w:r w:rsidRPr="00897682">
        <w:rPr>
          <w:rFonts w:eastAsia="Calibri" w:cs="Times New Roman"/>
          <w:szCs w:val="24"/>
        </w:rPr>
        <w:t xml:space="preserve">je zakotvena vedle zásady zjištění skutkového stavu bez </w:t>
      </w:r>
      <w:r w:rsidR="0032464D" w:rsidRPr="00897682">
        <w:rPr>
          <w:rFonts w:eastAsia="Calibri" w:cs="Times New Roman"/>
          <w:szCs w:val="24"/>
        </w:rPr>
        <w:t>důvodných</w:t>
      </w:r>
      <w:r w:rsidRPr="00897682">
        <w:rPr>
          <w:rFonts w:eastAsia="Calibri" w:cs="Times New Roman"/>
          <w:szCs w:val="24"/>
        </w:rPr>
        <w:t xml:space="preserve"> pochybností </w:t>
      </w:r>
      <w:r w:rsidR="0032464D" w:rsidRPr="00897682">
        <w:rPr>
          <w:rFonts w:eastAsia="Calibri" w:cs="Times New Roman"/>
          <w:szCs w:val="24"/>
        </w:rPr>
        <w:t>(</w:t>
      </w:r>
      <w:r w:rsidR="00CA56E0" w:rsidRPr="00897682">
        <w:rPr>
          <w:rFonts w:eastAsia="Calibri" w:cs="Times New Roman"/>
          <w:szCs w:val="24"/>
        </w:rPr>
        <w:t xml:space="preserve">zakotvení </w:t>
      </w:r>
      <w:r w:rsidR="0032464D" w:rsidRPr="00897682">
        <w:rPr>
          <w:rFonts w:eastAsia="Calibri" w:cs="Times New Roman"/>
          <w:szCs w:val="24"/>
        </w:rPr>
        <w:t xml:space="preserve">nezbytného důkazního standardu) </w:t>
      </w:r>
      <w:r w:rsidRPr="00897682">
        <w:rPr>
          <w:rFonts w:eastAsia="Calibri" w:cs="Times New Roman"/>
          <w:szCs w:val="24"/>
        </w:rPr>
        <w:t>rovněž zásada vyhledávací vyjadřující povinnost orgánů činných v trestním řízení vyhledávat a provádět důkazy ke zjištění uvedeného výsledku. Povinnost státního zástupce je konkretizována tak, že v přípravném řízení stejně jako další orgány činné v tomto stadiu řízení objasňuje i bez návrhu stran stejně pečlivě okolnosti svědčící ve prospěch i v neprospěch osoby, proti níž se řízení vede. V řízení před soudem pak státní zástupce, stejně jako obviněný, může na podporu svých stanovisek navrhovat a provádět důkazy; je však povinen dokazovat vinu obžalovaného. Dosavadní znění citovaného ustanovení výslovně neupravuje postup státního zástupce, pokud až v řízení před soudem zjistí, že existuje důkaz</w:t>
      </w:r>
      <w:r w:rsidR="00F06BCE" w:rsidRPr="00897682">
        <w:rPr>
          <w:rFonts w:eastAsia="Calibri" w:cs="Times New Roman"/>
          <w:szCs w:val="24"/>
        </w:rPr>
        <w:t xml:space="preserve"> </w:t>
      </w:r>
      <w:r w:rsidRPr="00897682">
        <w:rPr>
          <w:rFonts w:eastAsia="Calibri" w:cs="Times New Roman"/>
          <w:szCs w:val="24"/>
        </w:rPr>
        <w:t xml:space="preserve">svědčící ve prospěch obviněného. V návaznosti na povinnost všech orgánů činných v trestním řízení zjišťovat skutkový stav věci bez </w:t>
      </w:r>
      <w:r w:rsidR="00F06BCE" w:rsidRPr="00897682">
        <w:rPr>
          <w:rFonts w:eastAsia="Calibri" w:cs="Times New Roman"/>
          <w:szCs w:val="24"/>
        </w:rPr>
        <w:t>důvodných</w:t>
      </w:r>
      <w:r w:rsidRPr="00897682">
        <w:rPr>
          <w:rFonts w:eastAsia="Calibri" w:cs="Times New Roman"/>
          <w:szCs w:val="24"/>
        </w:rPr>
        <w:t xml:space="preserve"> pochybností lze dovodit, že existenci takového důkazů nesmí státní zástupce zamlčet, byť jeho důkazní povinnost se vztahuje k prokázání viny obžalovaného. </w:t>
      </w:r>
      <w:r w:rsidR="00E93096" w:rsidRPr="00897682">
        <w:rPr>
          <w:rFonts w:eastAsia="Calibri" w:cs="Times New Roman"/>
          <w:szCs w:val="24"/>
        </w:rPr>
        <w:t xml:space="preserve">V tomto smyslu se </w:t>
      </w:r>
      <w:r w:rsidRPr="00897682">
        <w:rPr>
          <w:rFonts w:eastAsia="Calibri" w:cs="Times New Roman"/>
          <w:szCs w:val="24"/>
        </w:rPr>
        <w:t xml:space="preserve">citované ustanovení navrhuje doplnit. </w:t>
      </w:r>
      <w:r w:rsidR="00E93096" w:rsidRPr="00897682">
        <w:rPr>
          <w:rFonts w:eastAsia="Calibri" w:cs="Times New Roman"/>
          <w:szCs w:val="24"/>
        </w:rPr>
        <w:t xml:space="preserve">Další postup pak bude závislý na situaci, státní zástupce může např. vzít zpět </w:t>
      </w:r>
      <w:r w:rsidR="002C45E8" w:rsidRPr="00897682">
        <w:rPr>
          <w:rFonts w:eastAsia="Calibri" w:cs="Times New Roman"/>
          <w:szCs w:val="24"/>
        </w:rPr>
        <w:t xml:space="preserve">obžalobu nebo </w:t>
      </w:r>
      <w:r w:rsidR="00E93096" w:rsidRPr="00897682">
        <w:rPr>
          <w:rFonts w:eastAsia="Calibri" w:cs="Times New Roman"/>
          <w:szCs w:val="24"/>
        </w:rPr>
        <w:t>návrh na schválení dohody o vině</w:t>
      </w:r>
      <w:r w:rsidR="002C45E8" w:rsidRPr="00897682">
        <w:rPr>
          <w:rFonts w:eastAsia="Calibri" w:cs="Times New Roman"/>
          <w:szCs w:val="24"/>
        </w:rPr>
        <w:t xml:space="preserve"> </w:t>
      </w:r>
      <w:r w:rsidR="00E93096" w:rsidRPr="00897682">
        <w:rPr>
          <w:rFonts w:eastAsia="Calibri" w:cs="Times New Roman"/>
          <w:szCs w:val="24"/>
        </w:rPr>
        <w:t>a trestu</w:t>
      </w:r>
      <w:r w:rsidR="002C45E8" w:rsidRPr="00897682">
        <w:rPr>
          <w:rFonts w:eastAsia="Calibri" w:cs="Times New Roman"/>
          <w:szCs w:val="24"/>
        </w:rPr>
        <w:t>,</w:t>
      </w:r>
      <w:r w:rsidR="00E93096" w:rsidRPr="00897682">
        <w:rPr>
          <w:rFonts w:eastAsia="Calibri" w:cs="Times New Roman"/>
          <w:szCs w:val="24"/>
        </w:rPr>
        <w:t xml:space="preserve"> nebo sdělit tuto skutečnost soudu</w:t>
      </w:r>
      <w:r w:rsidR="002C45E8" w:rsidRPr="00897682">
        <w:rPr>
          <w:rFonts w:eastAsia="Calibri" w:cs="Times New Roman"/>
          <w:szCs w:val="24"/>
        </w:rPr>
        <w:t xml:space="preserve"> a obviněnému (jeho obhájci)</w:t>
      </w:r>
      <w:r w:rsidR="00E93096" w:rsidRPr="00897682">
        <w:rPr>
          <w:rFonts w:eastAsia="Calibri" w:cs="Times New Roman"/>
          <w:szCs w:val="24"/>
        </w:rPr>
        <w:t xml:space="preserve">. </w:t>
      </w:r>
      <w:r w:rsidRPr="00897682">
        <w:rPr>
          <w:rFonts w:eastAsia="Calibri" w:cs="Times New Roman"/>
          <w:szCs w:val="24"/>
        </w:rPr>
        <w:t xml:space="preserve">Bude pak na </w:t>
      </w:r>
      <w:r w:rsidR="00944428" w:rsidRPr="00897682">
        <w:rPr>
          <w:rFonts w:eastAsia="Calibri" w:cs="Times New Roman"/>
          <w:szCs w:val="24"/>
        </w:rPr>
        <w:t>soudu, zda v zájmu dodržení zásady zjistit skutkový stav bez důvodných pochybností takový důkaz provede z vlastní iniciativy, nebo zda jej provede na návrh obhajoby</w:t>
      </w:r>
      <w:r w:rsidR="000D4067" w:rsidRPr="00897682">
        <w:rPr>
          <w:rFonts w:eastAsia="Calibri" w:cs="Times New Roman"/>
          <w:szCs w:val="24"/>
        </w:rPr>
        <w:t>,</w:t>
      </w:r>
      <w:r w:rsidR="00944428" w:rsidRPr="00897682">
        <w:rPr>
          <w:rFonts w:eastAsia="Calibri" w:cs="Times New Roman"/>
          <w:szCs w:val="24"/>
        </w:rPr>
        <w:t xml:space="preserve"> či jí umožní takový důkaz </w:t>
      </w:r>
      <w:r w:rsidRPr="00897682">
        <w:rPr>
          <w:rFonts w:eastAsia="Calibri" w:cs="Times New Roman"/>
          <w:szCs w:val="24"/>
        </w:rPr>
        <w:t>se souhlasem soudu přímo prov</w:t>
      </w:r>
      <w:r w:rsidR="00944428" w:rsidRPr="00897682">
        <w:rPr>
          <w:rFonts w:eastAsia="Calibri" w:cs="Times New Roman"/>
          <w:szCs w:val="24"/>
        </w:rPr>
        <w:t xml:space="preserve">ést. </w:t>
      </w:r>
    </w:p>
    <w:p w14:paraId="0839543B" w14:textId="25199999" w:rsidR="001C5C95" w:rsidRPr="00897682" w:rsidRDefault="00944428" w:rsidP="001C5C95">
      <w:pPr>
        <w:spacing w:line="240" w:lineRule="auto"/>
        <w:rPr>
          <w:rFonts w:eastAsia="Calibri"/>
        </w:rPr>
      </w:pPr>
      <w:r w:rsidRPr="00897682">
        <w:rPr>
          <w:rFonts w:cs="Times New Roman"/>
          <w:b/>
          <w:bCs w:val="0"/>
          <w:szCs w:val="24"/>
        </w:rPr>
        <w:t>K bodu 2</w:t>
      </w:r>
      <w:r w:rsidR="006D580E" w:rsidRPr="00897682">
        <w:rPr>
          <w:rFonts w:cs="Times New Roman"/>
          <w:b/>
          <w:bCs w:val="0"/>
          <w:szCs w:val="24"/>
        </w:rPr>
        <w:t xml:space="preserve"> (</w:t>
      </w:r>
      <w:r w:rsidR="006D580E" w:rsidRPr="00897682">
        <w:rPr>
          <w:rFonts w:eastAsia="Calibri"/>
        </w:rPr>
        <w:t>§ 8a odst. 1 vět</w:t>
      </w:r>
      <w:r w:rsidR="002D44CD" w:rsidRPr="00897682">
        <w:rPr>
          <w:rFonts w:eastAsia="Calibri"/>
        </w:rPr>
        <w:t>a</w:t>
      </w:r>
      <w:r w:rsidR="006D580E" w:rsidRPr="00897682">
        <w:rPr>
          <w:rFonts w:eastAsia="Calibri"/>
        </w:rPr>
        <w:t xml:space="preserve"> první)</w:t>
      </w:r>
    </w:p>
    <w:p w14:paraId="40451EA6" w14:textId="41EB3F47" w:rsidR="00F34A20" w:rsidRPr="00897682" w:rsidRDefault="00F34A20" w:rsidP="00F34A20">
      <w:pPr>
        <w:spacing w:line="240" w:lineRule="auto"/>
        <w:rPr>
          <w:rFonts w:eastAsia="Calibri"/>
          <w:bCs w:val="0"/>
        </w:rPr>
      </w:pPr>
      <w:r>
        <w:rPr>
          <w:rFonts w:eastAsia="Calibri"/>
        </w:rPr>
        <w:t>N</w:t>
      </w:r>
      <w:r w:rsidR="00967E9F" w:rsidRPr="00897682">
        <w:rPr>
          <w:rFonts w:eastAsia="Calibri"/>
        </w:rPr>
        <w:t xml:space="preserve">avrhuje </w:t>
      </w:r>
      <w:r>
        <w:rPr>
          <w:rFonts w:eastAsia="Calibri"/>
        </w:rPr>
        <w:t xml:space="preserve">se </w:t>
      </w:r>
      <w:r w:rsidR="00967E9F" w:rsidRPr="00897682">
        <w:rPr>
          <w:rFonts w:eastAsia="Calibri"/>
        </w:rPr>
        <w:t xml:space="preserve">umožnit orgánům činným v trestním řízení, aby mohly veřejnost v odůvodněných případech informovat o státní příslušnosti osoby, proti které se vede trestní řízení (podezřelý, obviněný). </w:t>
      </w:r>
      <w:r w:rsidRPr="00897682">
        <w:rPr>
          <w:rFonts w:eastAsia="Calibri"/>
          <w:bCs w:val="0"/>
        </w:rPr>
        <w:t>Navr</w:t>
      </w:r>
      <w:r>
        <w:rPr>
          <w:rFonts w:eastAsia="Calibri"/>
          <w:bCs w:val="0"/>
        </w:rPr>
        <w:t>žená úprava</w:t>
      </w:r>
      <w:r w:rsidRPr="00897682">
        <w:rPr>
          <w:rFonts w:eastAsia="Calibri"/>
          <w:bCs w:val="0"/>
        </w:rPr>
        <w:t xml:space="preserve"> sleduje zajištění transparentnosti výkonu veřejné moci orgánů činných v trestním řízení, boj proti dezinformacím a případnou eliminaci hrozeb pro veřejnou bezpečnost. Primárně je reagováno na narůstající projevy předsudečné nenávisti, přičítající pravidelně trestnou činnost příslušníkům minorit. </w:t>
      </w:r>
    </w:p>
    <w:p w14:paraId="4B0C3AB7" w14:textId="5E229EAA" w:rsidR="00967E9F" w:rsidRPr="00897682" w:rsidRDefault="00967E9F" w:rsidP="001C5C95">
      <w:pPr>
        <w:spacing w:line="240" w:lineRule="auto"/>
        <w:rPr>
          <w:rFonts w:cs="Times New Roman"/>
          <w:b/>
          <w:bCs w:val="0"/>
          <w:szCs w:val="24"/>
        </w:rPr>
      </w:pPr>
      <w:r w:rsidRPr="00897682">
        <w:rPr>
          <w:rFonts w:eastAsia="Calibri"/>
        </w:rPr>
        <w:t xml:space="preserve">Umožnění </w:t>
      </w:r>
      <w:r w:rsidR="00E3236E" w:rsidRPr="00897682">
        <w:rPr>
          <w:rFonts w:eastAsia="Calibri"/>
        </w:rPr>
        <w:t xml:space="preserve">objektivního </w:t>
      </w:r>
      <w:r w:rsidRPr="00897682">
        <w:rPr>
          <w:rFonts w:eastAsia="Calibri"/>
        </w:rPr>
        <w:t>informování veřejnosti o státní příslušnosti (nikoli etnickém původu) osoby podezřelé nebo obviněné ze spáchání trestného činu přispěje k</w:t>
      </w:r>
      <w:r w:rsidR="00E3236E" w:rsidRPr="00897682">
        <w:rPr>
          <w:rFonts w:eastAsia="Calibri"/>
        </w:rPr>
        <w:t xml:space="preserve"> předcházení vytváření </w:t>
      </w:r>
      <w:r w:rsidR="00ED1E24" w:rsidRPr="00897682">
        <w:rPr>
          <w:rFonts w:eastAsia="Calibri"/>
        </w:rPr>
        <w:br/>
      </w:r>
      <w:r w:rsidR="00E3236E" w:rsidRPr="00897682">
        <w:rPr>
          <w:rFonts w:eastAsia="Calibri"/>
        </w:rPr>
        <w:t>si mylných názorů pramenících z</w:t>
      </w:r>
      <w:r w:rsidRPr="00897682">
        <w:rPr>
          <w:rFonts w:eastAsia="Calibri"/>
        </w:rPr>
        <w:t xml:space="preserve"> předsudků, </w:t>
      </w:r>
      <w:r w:rsidR="00E3236E" w:rsidRPr="00897682">
        <w:rPr>
          <w:rFonts w:eastAsia="Calibri"/>
        </w:rPr>
        <w:t xml:space="preserve">kdy část veřejnosti </w:t>
      </w:r>
      <w:r w:rsidRPr="00897682">
        <w:rPr>
          <w:rFonts w:eastAsia="Calibri"/>
        </w:rPr>
        <w:t xml:space="preserve">tenduje k tomu u každého závažnějšího trestného činu </w:t>
      </w:r>
      <w:r w:rsidR="00CD19F4" w:rsidRPr="00897682">
        <w:rPr>
          <w:rFonts w:eastAsia="Calibri"/>
        </w:rPr>
        <w:t>(</w:t>
      </w:r>
      <w:r w:rsidRPr="00897682">
        <w:rPr>
          <w:rFonts w:eastAsia="Calibri"/>
        </w:rPr>
        <w:t>zejména násilné nebo i majetkové povahy</w:t>
      </w:r>
      <w:r w:rsidR="00CD19F4" w:rsidRPr="00897682">
        <w:rPr>
          <w:rFonts w:eastAsia="Calibri"/>
        </w:rPr>
        <w:t>)</w:t>
      </w:r>
      <w:r w:rsidRPr="00897682">
        <w:rPr>
          <w:rFonts w:eastAsia="Calibri"/>
        </w:rPr>
        <w:t xml:space="preserve"> prvotně předpokládat, že takový trestný čin spáchal ciz</w:t>
      </w:r>
      <w:r w:rsidR="003D1B81">
        <w:rPr>
          <w:rFonts w:eastAsia="Calibri"/>
        </w:rPr>
        <w:t>í státní příslušník</w:t>
      </w:r>
      <w:r w:rsidRPr="00897682">
        <w:rPr>
          <w:rFonts w:eastAsia="Calibri"/>
        </w:rPr>
        <w:t xml:space="preserve">. </w:t>
      </w:r>
    </w:p>
    <w:p w14:paraId="4C7EFD9B" w14:textId="38AD6E1F" w:rsidR="001C5C95" w:rsidRPr="00897682" w:rsidRDefault="002D44CD" w:rsidP="009E69DC">
      <w:pPr>
        <w:spacing w:line="240" w:lineRule="auto"/>
        <w:rPr>
          <w:rFonts w:cs="Times New Roman"/>
          <w:bCs w:val="0"/>
          <w:szCs w:val="24"/>
        </w:rPr>
      </w:pPr>
      <w:r w:rsidRPr="00897682">
        <w:rPr>
          <w:rFonts w:cs="Times New Roman"/>
          <w:b/>
          <w:szCs w:val="24"/>
        </w:rPr>
        <w:t xml:space="preserve">K bodu 3 </w:t>
      </w:r>
      <w:r w:rsidRPr="00897682">
        <w:rPr>
          <w:rFonts w:cs="Times New Roman"/>
          <w:bCs w:val="0"/>
          <w:szCs w:val="24"/>
        </w:rPr>
        <w:t>(§ 8a odst. 1 věta druhá)</w:t>
      </w:r>
    </w:p>
    <w:p w14:paraId="0A812B24" w14:textId="5E67B5C0" w:rsidR="002D44CD" w:rsidRPr="00897682" w:rsidRDefault="002D44CD" w:rsidP="002D44CD">
      <w:pPr>
        <w:spacing w:line="240" w:lineRule="auto"/>
        <w:rPr>
          <w:rFonts w:eastAsia="Times New Roman"/>
          <w:lang w:eastAsia="cs-CZ"/>
        </w:rPr>
      </w:pPr>
      <w:r w:rsidRPr="00897682">
        <w:rPr>
          <w:rFonts w:eastAsia="Times New Roman"/>
          <w:lang w:eastAsia="cs-CZ"/>
        </w:rPr>
        <w:t xml:space="preserve">Podle § 8a odst. 1 tr. ř. v přípravném řízení nesmějí orgány činné v trestním řízení v rámci poskytování informací o své činnosti zveřejnit informace umožňující zjištění totožnosti osoby, proti které se vede trestní řízení, poškozeného, zúčastněné osoby a svědka. Mezi takto chráněné osoby se </w:t>
      </w:r>
      <w:r w:rsidR="0074704F" w:rsidRPr="00897682">
        <w:rPr>
          <w:rFonts w:eastAsia="Times New Roman"/>
          <w:lang w:eastAsia="cs-CZ"/>
        </w:rPr>
        <w:t xml:space="preserve">navrhuje </w:t>
      </w:r>
      <w:r w:rsidRPr="00897682">
        <w:rPr>
          <w:rFonts w:eastAsia="Times New Roman"/>
          <w:lang w:eastAsia="cs-CZ"/>
        </w:rPr>
        <w:t>zařa</w:t>
      </w:r>
      <w:r w:rsidR="0074704F" w:rsidRPr="00897682">
        <w:rPr>
          <w:rFonts w:eastAsia="Times New Roman"/>
          <w:lang w:eastAsia="cs-CZ"/>
        </w:rPr>
        <w:t>dit</w:t>
      </w:r>
      <w:r w:rsidRPr="00897682">
        <w:rPr>
          <w:rFonts w:eastAsia="Times New Roman"/>
          <w:lang w:eastAsia="cs-CZ"/>
        </w:rPr>
        <w:t xml:space="preserve"> také osob</w:t>
      </w:r>
      <w:r w:rsidR="0074704F" w:rsidRPr="00897682">
        <w:rPr>
          <w:rFonts w:eastAsia="Times New Roman"/>
          <w:lang w:eastAsia="cs-CZ"/>
        </w:rPr>
        <w:t xml:space="preserve">u </w:t>
      </w:r>
      <w:r w:rsidRPr="00897682">
        <w:rPr>
          <w:rFonts w:eastAsia="Times New Roman"/>
          <w:lang w:eastAsia="cs-CZ"/>
        </w:rPr>
        <w:t>podávající vysvětlení a oznamovatel</w:t>
      </w:r>
      <w:r w:rsidR="0074704F" w:rsidRPr="00897682">
        <w:rPr>
          <w:rFonts w:eastAsia="Times New Roman"/>
          <w:lang w:eastAsia="cs-CZ"/>
        </w:rPr>
        <w:t>e</w:t>
      </w:r>
      <w:r w:rsidRPr="00897682">
        <w:rPr>
          <w:rFonts w:eastAsia="Times New Roman"/>
          <w:lang w:eastAsia="cs-CZ"/>
        </w:rPr>
        <w:t xml:space="preserve"> (osob</w:t>
      </w:r>
      <w:r w:rsidR="0074704F" w:rsidRPr="00897682">
        <w:rPr>
          <w:rFonts w:eastAsia="Times New Roman"/>
          <w:lang w:eastAsia="cs-CZ"/>
        </w:rPr>
        <w:t>u</w:t>
      </w:r>
      <w:r w:rsidRPr="00897682">
        <w:rPr>
          <w:rFonts w:eastAsia="Times New Roman"/>
          <w:lang w:eastAsia="cs-CZ"/>
        </w:rPr>
        <w:t xml:space="preserve"> podávající trestní oznámení), kte</w:t>
      </w:r>
      <w:r w:rsidR="0074704F" w:rsidRPr="00897682">
        <w:rPr>
          <w:rFonts w:eastAsia="Times New Roman"/>
          <w:lang w:eastAsia="cs-CZ"/>
        </w:rPr>
        <w:t>ří</w:t>
      </w:r>
      <w:r w:rsidRPr="00897682">
        <w:rPr>
          <w:rFonts w:eastAsia="Times New Roman"/>
          <w:lang w:eastAsia="cs-CZ"/>
        </w:rPr>
        <w:t xml:space="preserve"> doposud chráněni nebyl</w:t>
      </w:r>
      <w:r w:rsidR="0074704F" w:rsidRPr="00897682">
        <w:rPr>
          <w:rFonts w:eastAsia="Times New Roman"/>
          <w:lang w:eastAsia="cs-CZ"/>
        </w:rPr>
        <w:t>i</w:t>
      </w:r>
      <w:r w:rsidRPr="00897682">
        <w:rPr>
          <w:rFonts w:eastAsia="Times New Roman"/>
          <w:lang w:eastAsia="cs-CZ"/>
        </w:rPr>
        <w:t>, pokud neměl</w:t>
      </w:r>
      <w:r w:rsidR="0074704F" w:rsidRPr="00897682">
        <w:rPr>
          <w:rFonts w:eastAsia="Times New Roman"/>
          <w:lang w:eastAsia="cs-CZ"/>
        </w:rPr>
        <w:t>i</w:t>
      </w:r>
      <w:r w:rsidRPr="00897682">
        <w:rPr>
          <w:rFonts w:eastAsia="Times New Roman"/>
          <w:lang w:eastAsia="cs-CZ"/>
        </w:rPr>
        <w:t xml:space="preserve"> současně postavení strany trestního řízení nebo svědka (resp. pokud orgán činný v trestním řízení poskytující informace neposoudí materiálně, že daná osoba takové postavení mít může, byť dosud např. jako svědek předvolána nebyla). Zveřejňování informací o nich v přípravném řízení je nežádoucí mj. s ohledem na riziko jejich ovlivňování či zastrašování. </w:t>
      </w:r>
    </w:p>
    <w:p w14:paraId="2424A351" w14:textId="77777777" w:rsidR="00286B13" w:rsidRDefault="00286B13" w:rsidP="009E69DC">
      <w:pPr>
        <w:spacing w:line="240" w:lineRule="auto"/>
        <w:rPr>
          <w:rFonts w:cs="Times New Roman"/>
          <w:b/>
          <w:szCs w:val="24"/>
        </w:rPr>
      </w:pPr>
    </w:p>
    <w:p w14:paraId="04B40DC7" w14:textId="7F777085" w:rsidR="002D44CD" w:rsidRPr="00897682" w:rsidRDefault="00D51C21" w:rsidP="009E69DC">
      <w:pPr>
        <w:spacing w:line="240" w:lineRule="auto"/>
        <w:rPr>
          <w:rFonts w:cs="Times New Roman"/>
          <w:bCs w:val="0"/>
          <w:szCs w:val="24"/>
        </w:rPr>
      </w:pPr>
      <w:r w:rsidRPr="00897682">
        <w:rPr>
          <w:rFonts w:cs="Times New Roman"/>
          <w:b/>
          <w:szCs w:val="24"/>
        </w:rPr>
        <w:lastRenderedPageBreak/>
        <w:t>K bod</w:t>
      </w:r>
      <w:r w:rsidR="00EF2A28" w:rsidRPr="00897682">
        <w:rPr>
          <w:rFonts w:cs="Times New Roman"/>
          <w:b/>
          <w:szCs w:val="24"/>
        </w:rPr>
        <w:t>ům</w:t>
      </w:r>
      <w:r w:rsidRPr="00897682">
        <w:rPr>
          <w:rFonts w:cs="Times New Roman"/>
          <w:b/>
          <w:szCs w:val="24"/>
        </w:rPr>
        <w:t xml:space="preserve"> 4</w:t>
      </w:r>
      <w:r w:rsidRPr="00897682">
        <w:rPr>
          <w:rFonts w:cs="Times New Roman"/>
          <w:bCs w:val="0"/>
          <w:szCs w:val="24"/>
        </w:rPr>
        <w:t xml:space="preserve"> </w:t>
      </w:r>
      <w:r w:rsidR="00EF2A28" w:rsidRPr="00897682">
        <w:rPr>
          <w:rFonts w:cs="Times New Roman"/>
          <w:b/>
          <w:szCs w:val="24"/>
        </w:rPr>
        <w:t>a 6</w:t>
      </w:r>
      <w:r w:rsidR="00EF2A28" w:rsidRPr="00897682">
        <w:rPr>
          <w:rFonts w:cs="Times New Roman"/>
          <w:bCs w:val="0"/>
          <w:szCs w:val="24"/>
        </w:rPr>
        <w:t xml:space="preserve"> </w:t>
      </w:r>
      <w:r w:rsidRPr="00897682">
        <w:rPr>
          <w:rFonts w:cs="Times New Roman"/>
          <w:bCs w:val="0"/>
          <w:szCs w:val="24"/>
        </w:rPr>
        <w:t>(§ 12 odst. 7</w:t>
      </w:r>
      <w:r w:rsidR="00EF2A28" w:rsidRPr="00897682">
        <w:rPr>
          <w:rFonts w:cs="Times New Roman"/>
          <w:bCs w:val="0"/>
          <w:szCs w:val="24"/>
        </w:rPr>
        <w:t>, § 30 odst. 2</w:t>
      </w:r>
      <w:r w:rsidRPr="00897682">
        <w:rPr>
          <w:rFonts w:cs="Times New Roman"/>
          <w:bCs w:val="0"/>
          <w:szCs w:val="24"/>
        </w:rPr>
        <w:t xml:space="preserve">) </w:t>
      </w:r>
    </w:p>
    <w:p w14:paraId="1D70006D" w14:textId="77777777" w:rsidR="0025467D" w:rsidRDefault="00BB1570" w:rsidP="00BB1570">
      <w:pPr>
        <w:spacing w:line="240" w:lineRule="auto"/>
        <w:rPr>
          <w:rFonts w:cs="Times New Roman"/>
          <w:szCs w:val="24"/>
        </w:rPr>
      </w:pPr>
      <w:r w:rsidRPr="00897682">
        <w:rPr>
          <w:rFonts w:cs="Times New Roman"/>
          <w:szCs w:val="24"/>
        </w:rPr>
        <w:t>Odkaz na společenského zástupce se v t</w:t>
      </w:r>
      <w:r w:rsidR="00EF2A28" w:rsidRPr="00897682">
        <w:rPr>
          <w:rFonts w:cs="Times New Roman"/>
          <w:szCs w:val="24"/>
        </w:rPr>
        <w:t>ěchto</w:t>
      </w:r>
      <w:r w:rsidRPr="00897682">
        <w:rPr>
          <w:rFonts w:cs="Times New Roman"/>
          <w:szCs w:val="24"/>
        </w:rPr>
        <w:t xml:space="preserve"> ustanovení</w:t>
      </w:r>
      <w:r w:rsidR="00EF2A28" w:rsidRPr="00897682">
        <w:rPr>
          <w:rFonts w:cs="Times New Roman"/>
          <w:szCs w:val="24"/>
        </w:rPr>
        <w:t>ch</w:t>
      </w:r>
      <w:r w:rsidRPr="00897682">
        <w:rPr>
          <w:rFonts w:cs="Times New Roman"/>
          <w:szCs w:val="24"/>
        </w:rPr>
        <w:t xml:space="preserve"> objevuje jako residuum, neboť tento subjekt jako strana trestního řízení byl již v minulosti zrušen. Proto se navrhuje </w:t>
      </w:r>
      <w:r w:rsidR="00772723" w:rsidRPr="00897682">
        <w:rPr>
          <w:rFonts w:cs="Times New Roman"/>
          <w:szCs w:val="24"/>
        </w:rPr>
        <w:t>odkazy na něj</w:t>
      </w:r>
      <w:r w:rsidRPr="00897682">
        <w:rPr>
          <w:rFonts w:cs="Times New Roman"/>
          <w:szCs w:val="24"/>
        </w:rPr>
        <w:t xml:space="preserve"> zrušit. </w:t>
      </w:r>
    </w:p>
    <w:p w14:paraId="4CB8FD6B" w14:textId="33BAB9A0" w:rsidR="000F4211" w:rsidRPr="00897682" w:rsidRDefault="000F4211" w:rsidP="00BB1570">
      <w:pPr>
        <w:spacing w:line="240" w:lineRule="auto"/>
        <w:rPr>
          <w:rFonts w:cs="Times New Roman"/>
          <w:szCs w:val="24"/>
        </w:rPr>
      </w:pPr>
      <w:r w:rsidRPr="00897682">
        <w:rPr>
          <w:rFonts w:cs="Times New Roman"/>
          <w:b/>
          <w:bCs w:val="0"/>
          <w:szCs w:val="24"/>
        </w:rPr>
        <w:t xml:space="preserve">K bodu 5 </w:t>
      </w:r>
      <w:r w:rsidRPr="00897682">
        <w:rPr>
          <w:rFonts w:cs="Times New Roman"/>
          <w:szCs w:val="24"/>
        </w:rPr>
        <w:t>(§ 27)</w:t>
      </w:r>
    </w:p>
    <w:p w14:paraId="51044532" w14:textId="316BC12F" w:rsidR="000F4211" w:rsidRPr="00897682" w:rsidRDefault="00C31C4E" w:rsidP="000F4211">
      <w:pPr>
        <w:spacing w:line="240" w:lineRule="auto"/>
        <w:rPr>
          <w:rFonts w:cs="Times New Roman"/>
          <w:szCs w:val="24"/>
        </w:rPr>
      </w:pPr>
      <w:r w:rsidRPr="00897682">
        <w:rPr>
          <w:rFonts w:cs="Times New Roman"/>
          <w:szCs w:val="24"/>
        </w:rPr>
        <w:t>Navržené změny navazují na úpravu v § 55b až § 55d tr.</w:t>
      </w:r>
      <w:r w:rsidR="001340B4" w:rsidRPr="00897682">
        <w:rPr>
          <w:rFonts w:cs="Times New Roman"/>
          <w:szCs w:val="24"/>
        </w:rPr>
        <w:t xml:space="preserve"> </w:t>
      </w:r>
      <w:r w:rsidRPr="00897682">
        <w:rPr>
          <w:rFonts w:cs="Times New Roman"/>
          <w:szCs w:val="24"/>
        </w:rPr>
        <w:t xml:space="preserve">ř., která nově v řízení před soudem v případě hlavního líčení, veřejného zasedání a případně i vazebního zasedání až na výjimky </w:t>
      </w:r>
      <w:r w:rsidR="000F4211" w:rsidRPr="00897682">
        <w:rPr>
          <w:rFonts w:cs="Times New Roman"/>
          <w:szCs w:val="24"/>
        </w:rPr>
        <w:t>nepředpokládá povinnost sepisovat o úkonech</w:t>
      </w:r>
      <w:r w:rsidRPr="00897682">
        <w:rPr>
          <w:rFonts w:cs="Times New Roman"/>
          <w:szCs w:val="24"/>
        </w:rPr>
        <w:t xml:space="preserve"> soudu </w:t>
      </w:r>
      <w:r w:rsidR="000F4211" w:rsidRPr="00897682">
        <w:rPr>
          <w:rFonts w:cs="Times New Roman"/>
          <w:szCs w:val="24"/>
        </w:rPr>
        <w:t>protokol</w:t>
      </w:r>
      <w:r w:rsidRPr="00897682">
        <w:rPr>
          <w:rFonts w:cs="Times New Roman"/>
          <w:szCs w:val="24"/>
        </w:rPr>
        <w:t>. Pro</w:t>
      </w:r>
      <w:r w:rsidR="000F4211" w:rsidRPr="00897682">
        <w:rPr>
          <w:rFonts w:cs="Times New Roman"/>
          <w:szCs w:val="24"/>
        </w:rPr>
        <w:t xml:space="preserve"> případ, kdy se v řízení před soudem </w:t>
      </w:r>
      <w:r w:rsidR="00886AAE" w:rsidRPr="00897682">
        <w:rPr>
          <w:rFonts w:cs="Times New Roman"/>
          <w:szCs w:val="24"/>
        </w:rPr>
        <w:t xml:space="preserve">výjimečně </w:t>
      </w:r>
      <w:r w:rsidR="000F4211" w:rsidRPr="00897682">
        <w:rPr>
          <w:rFonts w:cs="Times New Roman"/>
          <w:szCs w:val="24"/>
        </w:rPr>
        <w:t>pořizuje protokol na základě diktátu předsedy senátu</w:t>
      </w:r>
      <w:r w:rsidR="00F41CD3" w:rsidRPr="00897682">
        <w:rPr>
          <w:rFonts w:cs="Times New Roman"/>
          <w:szCs w:val="24"/>
        </w:rPr>
        <w:t xml:space="preserve"> z důvodu technické překážky a je tak třeba nečekaně zajistit protokolaci</w:t>
      </w:r>
      <w:r w:rsidR="000F4211" w:rsidRPr="00897682">
        <w:rPr>
          <w:rFonts w:cs="Times New Roman"/>
          <w:szCs w:val="24"/>
        </w:rPr>
        <w:t>, se</w:t>
      </w:r>
      <w:r w:rsidR="00F41CD3" w:rsidRPr="00897682">
        <w:rPr>
          <w:rFonts w:cs="Times New Roman"/>
          <w:szCs w:val="24"/>
        </w:rPr>
        <w:t xml:space="preserve"> rozšiřuje okruh osob, které mohou být </w:t>
      </w:r>
      <w:r w:rsidR="00886AAE" w:rsidRPr="00897682">
        <w:rPr>
          <w:rFonts w:cs="Times New Roman"/>
          <w:szCs w:val="24"/>
        </w:rPr>
        <w:t xml:space="preserve">pro tento případ </w:t>
      </w:r>
      <w:r w:rsidR="00F41CD3" w:rsidRPr="00897682">
        <w:rPr>
          <w:rFonts w:cs="Times New Roman"/>
          <w:szCs w:val="24"/>
        </w:rPr>
        <w:t>zapisovatelem (kromě zapisovatele vzatého do slibu</w:t>
      </w:r>
      <w:r w:rsidR="00B3025F" w:rsidRPr="00897682">
        <w:rPr>
          <w:rFonts w:cs="Times New Roman"/>
          <w:szCs w:val="24"/>
        </w:rPr>
        <w:t>, protokolujícího úředníka a vyššího soudního úředníka</w:t>
      </w:r>
      <w:r w:rsidR="00F41CD3" w:rsidRPr="00897682">
        <w:rPr>
          <w:rFonts w:cs="Times New Roman"/>
          <w:szCs w:val="24"/>
        </w:rPr>
        <w:t>)</w:t>
      </w:r>
      <w:r w:rsidR="000F4211" w:rsidRPr="00897682">
        <w:rPr>
          <w:rFonts w:cs="Times New Roman"/>
          <w:szCs w:val="24"/>
        </w:rPr>
        <w:t xml:space="preserve">, </w:t>
      </w:r>
      <w:r w:rsidR="00B3025F" w:rsidRPr="00897682">
        <w:rPr>
          <w:rFonts w:cs="Times New Roman"/>
          <w:szCs w:val="24"/>
        </w:rPr>
        <w:t>o asistent</w:t>
      </w:r>
      <w:r w:rsidR="00FB5B2E" w:rsidRPr="00897682">
        <w:rPr>
          <w:rFonts w:cs="Times New Roman"/>
          <w:szCs w:val="24"/>
        </w:rPr>
        <w:t>a</w:t>
      </w:r>
      <w:r w:rsidR="00B3025F" w:rsidRPr="00897682">
        <w:rPr>
          <w:rFonts w:cs="Times New Roman"/>
          <w:szCs w:val="24"/>
        </w:rPr>
        <w:t xml:space="preserve"> soudce, soudní</w:t>
      </w:r>
      <w:r w:rsidR="00FB5B2E" w:rsidRPr="00897682">
        <w:rPr>
          <w:rFonts w:cs="Times New Roman"/>
          <w:szCs w:val="24"/>
        </w:rPr>
        <w:t>ho</w:t>
      </w:r>
      <w:r w:rsidR="00B3025F" w:rsidRPr="00897682">
        <w:rPr>
          <w:rFonts w:cs="Times New Roman"/>
          <w:szCs w:val="24"/>
        </w:rPr>
        <w:t xml:space="preserve"> tajemník</w:t>
      </w:r>
      <w:r w:rsidR="00FB5B2E" w:rsidRPr="00897682">
        <w:rPr>
          <w:rFonts w:cs="Times New Roman"/>
          <w:szCs w:val="24"/>
        </w:rPr>
        <w:t>a</w:t>
      </w:r>
      <w:r w:rsidR="00B3025F" w:rsidRPr="00897682">
        <w:rPr>
          <w:rFonts w:cs="Times New Roman"/>
          <w:szCs w:val="24"/>
        </w:rPr>
        <w:t xml:space="preserve"> a justiční</w:t>
      </w:r>
      <w:r w:rsidR="00FB5B2E" w:rsidRPr="00897682">
        <w:rPr>
          <w:rFonts w:cs="Times New Roman"/>
          <w:szCs w:val="24"/>
        </w:rPr>
        <w:t>ho</w:t>
      </w:r>
      <w:r w:rsidR="00B3025F" w:rsidRPr="00897682">
        <w:rPr>
          <w:rFonts w:cs="Times New Roman"/>
          <w:szCs w:val="24"/>
        </w:rPr>
        <w:t xml:space="preserve"> kandidát</w:t>
      </w:r>
      <w:r w:rsidR="00FB5B2E" w:rsidRPr="00897682">
        <w:rPr>
          <w:rFonts w:cs="Times New Roman"/>
          <w:szCs w:val="24"/>
        </w:rPr>
        <w:t>a</w:t>
      </w:r>
      <w:r w:rsidR="000F4211" w:rsidRPr="00897682">
        <w:rPr>
          <w:rFonts w:cs="Times New Roman"/>
          <w:szCs w:val="24"/>
        </w:rPr>
        <w:t>. Bude záviset na personálních podmínkách u soudu</w:t>
      </w:r>
      <w:r w:rsidR="002E3D8C" w:rsidRPr="00897682">
        <w:rPr>
          <w:rFonts w:cs="Times New Roman"/>
          <w:szCs w:val="24"/>
        </w:rPr>
        <w:t xml:space="preserve"> a aktuální situaci</w:t>
      </w:r>
      <w:r w:rsidR="000F4211" w:rsidRPr="00897682">
        <w:rPr>
          <w:rFonts w:cs="Times New Roman"/>
          <w:szCs w:val="24"/>
        </w:rPr>
        <w:t>, která z těchto osob bude v konkrétním případě zapisovatelem.</w:t>
      </w:r>
    </w:p>
    <w:p w14:paraId="45E2FC3B" w14:textId="13926A07" w:rsidR="00EF2A28" w:rsidRPr="00897682" w:rsidRDefault="00EF2A28" w:rsidP="000F4211">
      <w:pPr>
        <w:spacing w:line="240" w:lineRule="auto"/>
        <w:rPr>
          <w:rFonts w:cs="Times New Roman"/>
          <w:szCs w:val="24"/>
        </w:rPr>
      </w:pPr>
      <w:r w:rsidRPr="00897682">
        <w:rPr>
          <w:rFonts w:cs="Times New Roman"/>
          <w:b/>
          <w:bCs w:val="0"/>
          <w:szCs w:val="24"/>
        </w:rPr>
        <w:t xml:space="preserve">K bodu </w:t>
      </w:r>
      <w:r w:rsidR="00D946F5" w:rsidRPr="00897682">
        <w:rPr>
          <w:rFonts w:cs="Times New Roman"/>
          <w:b/>
          <w:bCs w:val="0"/>
          <w:szCs w:val="24"/>
        </w:rPr>
        <w:t>7</w:t>
      </w:r>
      <w:r w:rsidRPr="00897682">
        <w:rPr>
          <w:rFonts w:cs="Times New Roman"/>
          <w:b/>
          <w:bCs w:val="0"/>
          <w:szCs w:val="24"/>
        </w:rPr>
        <w:t xml:space="preserve"> </w:t>
      </w:r>
      <w:r w:rsidRPr="00897682">
        <w:rPr>
          <w:rFonts w:cs="Times New Roman"/>
          <w:szCs w:val="24"/>
        </w:rPr>
        <w:t>(§ 3</w:t>
      </w:r>
      <w:r w:rsidR="00D946F5" w:rsidRPr="00897682">
        <w:rPr>
          <w:rFonts w:cs="Times New Roman"/>
          <w:szCs w:val="24"/>
        </w:rPr>
        <w:t>5b</w:t>
      </w:r>
      <w:r w:rsidRPr="00897682">
        <w:rPr>
          <w:rFonts w:cs="Times New Roman"/>
          <w:szCs w:val="24"/>
        </w:rPr>
        <w:t xml:space="preserve">) </w:t>
      </w:r>
    </w:p>
    <w:p w14:paraId="2ED23285" w14:textId="77777777" w:rsidR="00EF0521" w:rsidRPr="00897682" w:rsidRDefault="006C1C59" w:rsidP="006C1C59">
      <w:pPr>
        <w:spacing w:line="240" w:lineRule="auto"/>
        <w:rPr>
          <w:rFonts w:cs="Times New Roman"/>
          <w:szCs w:val="24"/>
        </w:rPr>
      </w:pPr>
      <w:r w:rsidRPr="00897682">
        <w:rPr>
          <w:rFonts w:cs="Times New Roman"/>
          <w:szCs w:val="24"/>
        </w:rPr>
        <w:t xml:space="preserve"> V trestním řízení je třeba respektovat důvěrnost komunikace mezi obviněným a jeho obhájcem </w:t>
      </w:r>
      <w:r w:rsidR="00EA3260" w:rsidRPr="00897682">
        <w:rPr>
          <w:rFonts w:cs="Times New Roman"/>
          <w:szCs w:val="24"/>
        </w:rPr>
        <w:t xml:space="preserve">(jakož i podezřelým a jeho advokátem) </w:t>
      </w:r>
      <w:r w:rsidRPr="00897682">
        <w:rPr>
          <w:rFonts w:cs="Times New Roman"/>
          <w:szCs w:val="24"/>
        </w:rPr>
        <w:t xml:space="preserve">při poskytování právní služby. Uvedená povinnost orgánů činných v trestním řízení je </w:t>
      </w:r>
      <w:r w:rsidR="00EA3260" w:rsidRPr="00897682">
        <w:rPr>
          <w:rFonts w:cs="Times New Roman"/>
          <w:szCs w:val="24"/>
        </w:rPr>
        <w:t xml:space="preserve">s účinností k 1. 1. 2026 </w:t>
      </w:r>
      <w:r w:rsidRPr="00897682">
        <w:rPr>
          <w:rFonts w:cs="Times New Roman"/>
          <w:szCs w:val="24"/>
        </w:rPr>
        <w:t>zakotvena v</w:t>
      </w:r>
      <w:r w:rsidR="00EA3260" w:rsidRPr="00897682">
        <w:rPr>
          <w:rFonts w:cs="Times New Roman"/>
          <w:szCs w:val="24"/>
        </w:rPr>
        <w:t xml:space="preserve"> </w:t>
      </w:r>
      <w:r w:rsidRPr="00897682">
        <w:rPr>
          <w:rFonts w:cs="Times New Roman"/>
          <w:szCs w:val="24"/>
        </w:rPr>
        <w:t>§ 35a</w:t>
      </w:r>
      <w:r w:rsidR="00EA3260" w:rsidRPr="00897682">
        <w:rPr>
          <w:rFonts w:cs="Times New Roman"/>
          <w:szCs w:val="24"/>
        </w:rPr>
        <w:t xml:space="preserve"> tr. ř.</w:t>
      </w:r>
      <w:r w:rsidRPr="00897682">
        <w:rPr>
          <w:rFonts w:cs="Times New Roman"/>
          <w:szCs w:val="24"/>
        </w:rPr>
        <w:t xml:space="preserve">, avšak zákon neřeší situaci, jak postupovat v případech, kdy jsou </w:t>
      </w:r>
      <w:r w:rsidR="00EA3260" w:rsidRPr="00897682">
        <w:rPr>
          <w:rFonts w:cs="Times New Roman"/>
          <w:szCs w:val="24"/>
        </w:rPr>
        <w:t xml:space="preserve">součástí trestního spisu, </w:t>
      </w:r>
      <w:r w:rsidRPr="00897682">
        <w:rPr>
          <w:rFonts w:cs="Times New Roman"/>
          <w:szCs w:val="24"/>
        </w:rPr>
        <w:t xml:space="preserve">ať </w:t>
      </w:r>
      <w:r w:rsidR="00EA3260" w:rsidRPr="00897682">
        <w:rPr>
          <w:rFonts w:cs="Times New Roman"/>
          <w:szCs w:val="24"/>
        </w:rPr>
        <w:t xml:space="preserve">již </w:t>
      </w:r>
      <w:r w:rsidRPr="00897682">
        <w:rPr>
          <w:rFonts w:cs="Times New Roman"/>
          <w:szCs w:val="24"/>
        </w:rPr>
        <w:t>v listinné nebo elektronické podobě</w:t>
      </w:r>
      <w:r w:rsidR="00EA3260" w:rsidRPr="00897682">
        <w:rPr>
          <w:rFonts w:cs="Times New Roman"/>
          <w:szCs w:val="24"/>
        </w:rPr>
        <w:t xml:space="preserve">, záznamy obsahující takovou důvěrnou komunikaci a </w:t>
      </w:r>
      <w:r w:rsidRPr="00897682">
        <w:rPr>
          <w:rFonts w:cs="Times New Roman"/>
          <w:szCs w:val="24"/>
        </w:rPr>
        <w:t xml:space="preserve">existuje tak nebezpečí, že zmíněná důvěrnost </w:t>
      </w:r>
      <w:r w:rsidR="00EA3260" w:rsidRPr="00897682">
        <w:rPr>
          <w:rFonts w:cs="Times New Roman"/>
          <w:szCs w:val="24"/>
        </w:rPr>
        <w:t xml:space="preserve">komunikace </w:t>
      </w:r>
      <w:r w:rsidRPr="00897682">
        <w:rPr>
          <w:rFonts w:cs="Times New Roman"/>
          <w:szCs w:val="24"/>
        </w:rPr>
        <w:t>bude prolomena</w:t>
      </w:r>
      <w:r w:rsidR="00EA3260" w:rsidRPr="00897682">
        <w:rPr>
          <w:rFonts w:cs="Times New Roman"/>
          <w:szCs w:val="24"/>
        </w:rPr>
        <w:t xml:space="preserve"> a neoprávněn</w:t>
      </w:r>
      <w:r w:rsidR="00095F7B" w:rsidRPr="00897682">
        <w:rPr>
          <w:rFonts w:cs="Times New Roman"/>
          <w:szCs w:val="24"/>
        </w:rPr>
        <w:t>ě</w:t>
      </w:r>
      <w:r w:rsidR="00EA3260" w:rsidRPr="00897682">
        <w:rPr>
          <w:rFonts w:cs="Times New Roman"/>
          <w:szCs w:val="24"/>
        </w:rPr>
        <w:t xml:space="preserve"> se s jejím obsahem seznámí další osoby</w:t>
      </w:r>
      <w:r w:rsidRPr="00897682">
        <w:rPr>
          <w:rFonts w:cs="Times New Roman"/>
          <w:szCs w:val="24"/>
        </w:rPr>
        <w:t xml:space="preserve">. </w:t>
      </w:r>
    </w:p>
    <w:p w14:paraId="1523E65D" w14:textId="3A00B873" w:rsidR="007A0424" w:rsidRPr="00897682" w:rsidRDefault="007C154E" w:rsidP="000A30C4">
      <w:pPr>
        <w:spacing w:line="240" w:lineRule="auto"/>
        <w:rPr>
          <w:rFonts w:cs="Times New Roman"/>
          <w:szCs w:val="24"/>
        </w:rPr>
      </w:pPr>
      <w:r w:rsidRPr="00897682">
        <w:rPr>
          <w:rFonts w:cs="Times New Roman"/>
          <w:szCs w:val="24"/>
        </w:rPr>
        <w:t xml:space="preserve">Nově se proto upravuje postup v případě, že obviněný nebo obhájce </w:t>
      </w:r>
      <w:r w:rsidR="00FD131E" w:rsidRPr="00897682">
        <w:rPr>
          <w:rFonts w:cs="Times New Roman"/>
          <w:szCs w:val="24"/>
        </w:rPr>
        <w:t xml:space="preserve">(případně podezřelý nebo jeho advokát) </w:t>
      </w:r>
      <w:r w:rsidRPr="00897682">
        <w:rPr>
          <w:rFonts w:cs="Times New Roman"/>
          <w:szCs w:val="24"/>
        </w:rPr>
        <w:t xml:space="preserve">namítají, že trestní spis obsahuje údaje o jejich vzájemné komunikaci. </w:t>
      </w:r>
      <w:r w:rsidR="00F73317" w:rsidRPr="00897682">
        <w:rPr>
          <w:rFonts w:cs="Times New Roman"/>
          <w:szCs w:val="24"/>
        </w:rPr>
        <w:t xml:space="preserve">Tyto osoby mají právo </w:t>
      </w:r>
      <w:r w:rsidRPr="00897682">
        <w:rPr>
          <w:rFonts w:cs="Times New Roman"/>
          <w:szCs w:val="24"/>
        </w:rPr>
        <w:t xml:space="preserve">navrhnout, aby </w:t>
      </w:r>
      <w:r w:rsidR="00F73317" w:rsidRPr="00897682">
        <w:rPr>
          <w:rFonts w:cs="Times New Roman"/>
          <w:szCs w:val="24"/>
        </w:rPr>
        <w:t xml:space="preserve">jimi označené </w:t>
      </w:r>
      <w:r w:rsidRPr="00897682">
        <w:rPr>
          <w:rFonts w:cs="Times New Roman"/>
          <w:szCs w:val="24"/>
        </w:rPr>
        <w:t xml:space="preserve">záznamy obsahující takovou komunikaci byly ze spisu vyňaty s tím, že dokud o takovém návrhu nebude pravomocně rozhodnuto, platí presumpce důvodnosti takového návrhu, tedy </w:t>
      </w:r>
      <w:r w:rsidR="00F73317" w:rsidRPr="00897682">
        <w:rPr>
          <w:rFonts w:cs="Times New Roman"/>
          <w:szCs w:val="24"/>
        </w:rPr>
        <w:t xml:space="preserve">s označenými </w:t>
      </w:r>
      <w:r w:rsidR="005F6913" w:rsidRPr="00897682">
        <w:rPr>
          <w:rFonts w:cs="Times New Roman"/>
          <w:szCs w:val="24"/>
        </w:rPr>
        <w:t xml:space="preserve">listinami nebo </w:t>
      </w:r>
      <w:r w:rsidR="00F73317" w:rsidRPr="00897682">
        <w:rPr>
          <w:rFonts w:cs="Times New Roman"/>
          <w:szCs w:val="24"/>
        </w:rPr>
        <w:t>záznamy</w:t>
      </w:r>
      <w:r w:rsidRPr="00897682">
        <w:rPr>
          <w:rFonts w:cs="Times New Roman"/>
          <w:szCs w:val="24"/>
        </w:rPr>
        <w:t xml:space="preserve"> </w:t>
      </w:r>
      <w:r w:rsidR="00F73317" w:rsidRPr="00897682">
        <w:rPr>
          <w:rFonts w:cs="Times New Roman"/>
          <w:szCs w:val="24"/>
        </w:rPr>
        <w:t xml:space="preserve">dat </w:t>
      </w:r>
      <w:r w:rsidRPr="00897682">
        <w:rPr>
          <w:rFonts w:cs="Times New Roman"/>
          <w:szCs w:val="24"/>
        </w:rPr>
        <w:t xml:space="preserve">je třeba nakládat tak, jako by </w:t>
      </w:r>
      <w:r w:rsidR="00F73317" w:rsidRPr="00897682">
        <w:rPr>
          <w:rFonts w:cs="Times New Roman"/>
          <w:szCs w:val="24"/>
        </w:rPr>
        <w:t xml:space="preserve">chráněnou </w:t>
      </w:r>
      <w:r w:rsidRPr="00897682">
        <w:rPr>
          <w:rFonts w:cs="Times New Roman"/>
          <w:szCs w:val="24"/>
        </w:rPr>
        <w:t xml:space="preserve">komunikaci obsahovaly. </w:t>
      </w:r>
      <w:r w:rsidR="0059555C" w:rsidRPr="00897682">
        <w:rPr>
          <w:rFonts w:cs="Times New Roman"/>
          <w:szCs w:val="24"/>
        </w:rPr>
        <w:t xml:space="preserve">Předpokladem pro účinné uplatnění tohoto práva je, že osoba domáhající se vynětí chráněné komunikace v návrhu dostatečně specifikuje, na jaké listině nebo na jakém místě </w:t>
      </w:r>
      <w:r w:rsidR="007E1269" w:rsidRPr="00897682">
        <w:rPr>
          <w:rFonts w:cs="Times New Roman"/>
          <w:szCs w:val="24"/>
        </w:rPr>
        <w:t xml:space="preserve">v </w:t>
      </w:r>
      <w:r w:rsidR="0059555C" w:rsidRPr="00897682">
        <w:rPr>
          <w:rFonts w:cs="Times New Roman"/>
          <w:szCs w:val="24"/>
        </w:rPr>
        <w:t xml:space="preserve">nosiči informací (ve které složce apod.) </w:t>
      </w:r>
      <w:r w:rsidR="0059555C" w:rsidRPr="00897682">
        <w:rPr>
          <w:rFonts w:cs="Times New Roman"/>
          <w:szCs w:val="24"/>
        </w:rPr>
        <w:br/>
        <w:t>se chráněná komunikace nachází.</w:t>
      </w:r>
      <w:r w:rsidR="000A30C4" w:rsidRPr="00897682">
        <w:rPr>
          <w:rFonts w:cs="Times New Roman"/>
          <w:szCs w:val="24"/>
        </w:rPr>
        <w:t xml:space="preserve"> </w:t>
      </w:r>
      <w:r w:rsidR="007A0424" w:rsidRPr="00897682">
        <w:rPr>
          <w:rFonts w:cs="Times New Roman"/>
          <w:szCs w:val="24"/>
        </w:rPr>
        <w:t xml:space="preserve">Proti rozhodnutí o návrhu je přípustná stížnost, o níž v přípravném řízení rozhoduje soud uvedený v § 146a odst. 2 tr. ř., čímž je zaručen soudní přezkum. </w:t>
      </w:r>
    </w:p>
    <w:p w14:paraId="7FA616A9" w14:textId="04F0C0EC" w:rsidR="00C60A77" w:rsidRPr="00897682" w:rsidRDefault="000A30C4" w:rsidP="000A30C4">
      <w:pPr>
        <w:spacing w:line="240" w:lineRule="auto"/>
        <w:rPr>
          <w:rFonts w:cs="Times New Roman"/>
          <w:szCs w:val="24"/>
        </w:rPr>
      </w:pPr>
      <w:r w:rsidRPr="00897682">
        <w:rPr>
          <w:rFonts w:cs="Times New Roman"/>
          <w:szCs w:val="24"/>
        </w:rPr>
        <w:t xml:space="preserve">Pokud je návrhu pravomocně vyhověno, </w:t>
      </w:r>
      <w:r w:rsidR="00C60A77" w:rsidRPr="00897682">
        <w:rPr>
          <w:rFonts w:cs="Times New Roman"/>
          <w:szCs w:val="24"/>
        </w:rPr>
        <w:t>nelze originál listiny nebo záznamu bez dalšího zničit, neboť se jeho použití jako důkazu může domáhat sám obviněný (podezřelý), k tomu srov. § 35a odst. 3 tr. ř. a judikaturu E</w:t>
      </w:r>
      <w:r w:rsidR="004102E8" w:rsidRPr="00897682">
        <w:rPr>
          <w:rFonts w:cs="Times New Roman"/>
          <w:szCs w:val="24"/>
        </w:rPr>
        <w:t>SLP</w:t>
      </w:r>
      <w:r w:rsidR="00C60A77" w:rsidRPr="00897682">
        <w:rPr>
          <w:rFonts w:cs="Times New Roman"/>
          <w:szCs w:val="24"/>
        </w:rPr>
        <w:t xml:space="preserve"> (srov. </w:t>
      </w:r>
      <w:r w:rsidR="00C60A77" w:rsidRPr="00897682">
        <w:rPr>
          <w:rFonts w:cs="Times New Roman"/>
          <w:i/>
          <w:iCs/>
          <w:szCs w:val="24"/>
        </w:rPr>
        <w:t>Matanovič proti Chorvatsku</w:t>
      </w:r>
      <w:r w:rsidR="00C60A77" w:rsidRPr="00897682">
        <w:rPr>
          <w:rFonts w:cs="Times New Roman"/>
          <w:szCs w:val="24"/>
        </w:rPr>
        <w:t>, č. 2742/12)</w:t>
      </w:r>
      <w:r w:rsidR="00876E1B" w:rsidRPr="00897682">
        <w:rPr>
          <w:rFonts w:cs="Times New Roman"/>
          <w:szCs w:val="24"/>
        </w:rPr>
        <w:t xml:space="preserve">. Kromě toho je třeba zachovat originál listiny nebo elektronického záznamu pro případy, kdy by v řízení před soudem vyvstal spor týkající se autenticity důkazu, tj. </w:t>
      </w:r>
      <w:r w:rsidR="00321E01" w:rsidRPr="00897682">
        <w:rPr>
          <w:rFonts w:cs="Times New Roman"/>
          <w:szCs w:val="24"/>
        </w:rPr>
        <w:t>zda</w:t>
      </w:r>
      <w:r w:rsidR="00876E1B" w:rsidRPr="00897682">
        <w:rPr>
          <w:rFonts w:cs="Times New Roman"/>
          <w:szCs w:val="24"/>
        </w:rPr>
        <w:t xml:space="preserve"> do něj nebylo nepřípustným způsobem zasahováno (ze znaleckého posudku bylo odstraněno více listů</w:t>
      </w:r>
      <w:r w:rsidR="00C45C68" w:rsidRPr="00897682">
        <w:rPr>
          <w:rFonts w:cs="Times New Roman"/>
          <w:szCs w:val="24"/>
        </w:rPr>
        <w:t>,</w:t>
      </w:r>
      <w:r w:rsidR="00876E1B" w:rsidRPr="00897682">
        <w:rPr>
          <w:rFonts w:cs="Times New Roman"/>
          <w:szCs w:val="24"/>
        </w:rPr>
        <w:t xml:space="preserve"> než odpovídá chráněné komunikaci, bylo vymazáno více záznamů, než mělo být vymazáno apod.). </w:t>
      </w:r>
      <w:r w:rsidR="00C45C68" w:rsidRPr="00897682">
        <w:rPr>
          <w:rFonts w:cs="Times New Roman"/>
          <w:szCs w:val="24"/>
        </w:rPr>
        <w:t xml:space="preserve">Proto se stanoví, že originální listina nebo záznam se uchovají odděleně od spisu </w:t>
      </w:r>
      <w:r w:rsidR="000201DC" w:rsidRPr="00897682">
        <w:rPr>
          <w:rFonts w:cs="Times New Roman"/>
          <w:szCs w:val="24"/>
        </w:rPr>
        <w:br/>
        <w:t xml:space="preserve">a zabezpečí </w:t>
      </w:r>
      <w:r w:rsidR="002F23A7" w:rsidRPr="00897682">
        <w:rPr>
          <w:rFonts w:cs="Times New Roman"/>
          <w:szCs w:val="24"/>
        </w:rPr>
        <w:t>s</w:t>
      </w:r>
      <w:r w:rsidR="000201DC" w:rsidRPr="00897682">
        <w:rPr>
          <w:rFonts w:cs="Times New Roman"/>
          <w:szCs w:val="24"/>
        </w:rPr>
        <w:t>e tak, aby se s jejich obsahem nikdo nepovolaný nesměl seznámit</w:t>
      </w:r>
      <w:r w:rsidR="0091185F" w:rsidRPr="00897682">
        <w:rPr>
          <w:rFonts w:cs="Times New Roman"/>
          <w:szCs w:val="24"/>
        </w:rPr>
        <w:t xml:space="preserve"> a nemohl s ní</w:t>
      </w:r>
      <w:r w:rsidR="00092603" w:rsidRPr="00897682">
        <w:rPr>
          <w:rFonts w:cs="Times New Roman"/>
          <w:szCs w:val="24"/>
        </w:rPr>
        <w:t>m</w:t>
      </w:r>
      <w:r w:rsidR="0091185F" w:rsidRPr="00897682">
        <w:rPr>
          <w:rFonts w:cs="Times New Roman"/>
          <w:szCs w:val="24"/>
        </w:rPr>
        <w:t xml:space="preserve"> manipulovat</w:t>
      </w:r>
      <w:r w:rsidR="000201DC" w:rsidRPr="00897682">
        <w:rPr>
          <w:rFonts w:cs="Times New Roman"/>
          <w:szCs w:val="24"/>
        </w:rPr>
        <w:t>. Zákon přitom výslovně stanoví, kdo je oprávněn mít k</w:t>
      </w:r>
      <w:r w:rsidR="002F23A7" w:rsidRPr="00897682">
        <w:rPr>
          <w:rFonts w:cs="Times New Roman"/>
          <w:szCs w:val="24"/>
        </w:rPr>
        <w:t xml:space="preserve"> originálu </w:t>
      </w:r>
      <w:r w:rsidR="000201DC" w:rsidRPr="00897682">
        <w:rPr>
          <w:rFonts w:cs="Times New Roman"/>
          <w:szCs w:val="24"/>
        </w:rPr>
        <w:t>listin</w:t>
      </w:r>
      <w:r w:rsidR="002F23A7" w:rsidRPr="00897682">
        <w:rPr>
          <w:rFonts w:cs="Times New Roman"/>
          <w:szCs w:val="24"/>
        </w:rPr>
        <w:t>y</w:t>
      </w:r>
      <w:r w:rsidR="000201DC" w:rsidRPr="00897682">
        <w:rPr>
          <w:rFonts w:cs="Times New Roman"/>
          <w:szCs w:val="24"/>
        </w:rPr>
        <w:t xml:space="preserve"> nebo záznamu přístup a pro jaký účel</w:t>
      </w:r>
      <w:r w:rsidR="002F23A7" w:rsidRPr="00897682">
        <w:rPr>
          <w:rFonts w:cs="Times New Roman"/>
          <w:szCs w:val="24"/>
        </w:rPr>
        <w:t xml:space="preserve"> (viz výše uvedené důvody pro uchování originálu)</w:t>
      </w:r>
      <w:r w:rsidR="000201DC" w:rsidRPr="00897682">
        <w:rPr>
          <w:rFonts w:cs="Times New Roman"/>
          <w:szCs w:val="24"/>
        </w:rPr>
        <w:t xml:space="preserve">. </w:t>
      </w:r>
      <w:r w:rsidR="009F2425" w:rsidRPr="00897682">
        <w:rPr>
          <w:rFonts w:cs="Times New Roman"/>
          <w:szCs w:val="24"/>
        </w:rPr>
        <w:t>Ve spise se pak tento postup zaznamená.</w:t>
      </w:r>
    </w:p>
    <w:p w14:paraId="1044D903" w14:textId="7ABDDD98" w:rsidR="009F2425" w:rsidRPr="00897682" w:rsidRDefault="000A30C4" w:rsidP="000A30C4">
      <w:pPr>
        <w:spacing w:line="240" w:lineRule="auto"/>
        <w:rPr>
          <w:color w:val="232323"/>
        </w:rPr>
      </w:pPr>
      <w:r w:rsidRPr="00897682">
        <w:rPr>
          <w:color w:val="232323"/>
        </w:rPr>
        <w:t xml:space="preserve">Pokud listina </w:t>
      </w:r>
      <w:r w:rsidR="009F2425" w:rsidRPr="00897682">
        <w:rPr>
          <w:color w:val="232323"/>
        </w:rPr>
        <w:t xml:space="preserve">nebo nosič informací </w:t>
      </w:r>
      <w:r w:rsidRPr="00897682">
        <w:rPr>
          <w:color w:val="232323"/>
        </w:rPr>
        <w:t>obsahuj</w:t>
      </w:r>
      <w:r w:rsidR="00491265" w:rsidRPr="00897682">
        <w:rPr>
          <w:color w:val="232323"/>
        </w:rPr>
        <w:t>í</w:t>
      </w:r>
      <w:r w:rsidRPr="00897682">
        <w:rPr>
          <w:color w:val="232323"/>
        </w:rPr>
        <w:t xml:space="preserve"> i jiné důkazně využitelné údaje, založí se do spisu kopie listiny neobsahující důvěrnou komunikaci chráněnou podle § 35a. </w:t>
      </w:r>
      <w:r w:rsidR="009F2425" w:rsidRPr="00897682">
        <w:rPr>
          <w:color w:val="232323"/>
        </w:rPr>
        <w:t xml:space="preserve">Toho lze docílit </w:t>
      </w:r>
      <w:r w:rsidR="009F2425" w:rsidRPr="00897682">
        <w:rPr>
          <w:color w:val="232323"/>
        </w:rPr>
        <w:lastRenderedPageBreak/>
        <w:t xml:space="preserve">různými způsoby, např. začerněním příslušných pasáží, </w:t>
      </w:r>
      <w:r w:rsidR="00F438C5" w:rsidRPr="00897682">
        <w:rPr>
          <w:color w:val="232323"/>
        </w:rPr>
        <w:t>znepřístupněním příslušné části elektronického záznamu</w:t>
      </w:r>
      <w:r w:rsidR="00364192" w:rsidRPr="00897682">
        <w:rPr>
          <w:color w:val="232323"/>
        </w:rPr>
        <w:t xml:space="preserve"> apod. </w:t>
      </w:r>
      <w:r w:rsidR="000F18AD" w:rsidRPr="00897682">
        <w:rPr>
          <w:color w:val="232323"/>
        </w:rPr>
        <w:t>Pokud již není originál listiny nebo záznamu k dalším</w:t>
      </w:r>
      <w:r w:rsidR="00357851" w:rsidRPr="00897682">
        <w:rPr>
          <w:color w:val="232323"/>
        </w:rPr>
        <w:t>u</w:t>
      </w:r>
      <w:r w:rsidR="000F18AD" w:rsidRPr="00897682">
        <w:rPr>
          <w:color w:val="232323"/>
        </w:rPr>
        <w:t xml:space="preserve"> řízení třeba, přednostně se vrátí tomu, komu byl zajištěn, případně se vydá jiné osobě, pokud by se chráněná komunikace nacházela u osoby, u které byla zajištěna, neoprávněně. Není-li takový postup možný, protože není zřejmé, komu má být vrácena, nebo tato osoba o vrácení nestojí, originál listiny nebo nosiče sleduje osud spisu a zničí se spolu se skartací spisu</w:t>
      </w:r>
      <w:r w:rsidR="004367C9" w:rsidRPr="00897682">
        <w:rPr>
          <w:color w:val="232323"/>
        </w:rPr>
        <w:t xml:space="preserve"> (to je důvodné pro případ, že by byly uplatněny mimořádné opravné prostředky, podána ústavní stížnost nebo stížnost k </w:t>
      </w:r>
      <w:r w:rsidR="004102E8" w:rsidRPr="00897682">
        <w:rPr>
          <w:color w:val="232323"/>
        </w:rPr>
        <w:t>ESLP</w:t>
      </w:r>
      <w:r w:rsidR="004367C9" w:rsidRPr="00897682">
        <w:rPr>
          <w:color w:val="232323"/>
        </w:rPr>
        <w:t xml:space="preserve">). </w:t>
      </w:r>
      <w:r w:rsidR="000F18AD" w:rsidRPr="00897682">
        <w:rPr>
          <w:color w:val="232323"/>
        </w:rPr>
        <w:t xml:space="preserve"> </w:t>
      </w:r>
    </w:p>
    <w:p w14:paraId="32ADD54D" w14:textId="6DD7124C" w:rsidR="00CB7AA2" w:rsidRPr="00897682" w:rsidRDefault="00CB7AA2" w:rsidP="007C154E">
      <w:pPr>
        <w:spacing w:line="240" w:lineRule="auto"/>
        <w:rPr>
          <w:rFonts w:cs="Times New Roman"/>
          <w:szCs w:val="24"/>
        </w:rPr>
      </w:pPr>
      <w:r w:rsidRPr="00897682">
        <w:rPr>
          <w:color w:val="232323"/>
        </w:rPr>
        <w:t xml:space="preserve">Povinnost chránit důvěrnost komunikace podle § 35a tr. ř. je nicméně primárně povinností samotných orgánů činných v trestním řízení. Proto se </w:t>
      </w:r>
      <w:r w:rsidR="007C154E" w:rsidRPr="00897682">
        <w:rPr>
          <w:rFonts w:cs="Times New Roman"/>
          <w:szCs w:val="24"/>
        </w:rPr>
        <w:t>stanoví, že pokud orgán činný</w:t>
      </w:r>
      <w:r w:rsidR="00F73317" w:rsidRPr="00897682">
        <w:rPr>
          <w:rFonts w:cs="Times New Roman"/>
          <w:szCs w:val="24"/>
        </w:rPr>
        <w:t xml:space="preserve"> </w:t>
      </w:r>
      <w:r w:rsidR="007C154E" w:rsidRPr="00897682">
        <w:rPr>
          <w:rFonts w:cs="Times New Roman"/>
          <w:szCs w:val="24"/>
        </w:rPr>
        <w:t>v trestním řízení sám zjistí</w:t>
      </w:r>
      <w:r w:rsidRPr="00897682">
        <w:rPr>
          <w:rFonts w:cs="Times New Roman"/>
          <w:szCs w:val="24"/>
        </w:rPr>
        <w:t xml:space="preserve"> (ať již vlastní činnosti nebo na základě vnějšího podnětu)</w:t>
      </w:r>
      <w:r w:rsidR="007C154E" w:rsidRPr="00897682">
        <w:rPr>
          <w:rFonts w:cs="Times New Roman"/>
          <w:szCs w:val="24"/>
        </w:rPr>
        <w:t xml:space="preserve">, že </w:t>
      </w:r>
      <w:r w:rsidRPr="00897682">
        <w:rPr>
          <w:rFonts w:cs="Times New Roman"/>
          <w:szCs w:val="24"/>
        </w:rPr>
        <w:t xml:space="preserve">trestní </w:t>
      </w:r>
      <w:r w:rsidR="007C154E" w:rsidRPr="00897682">
        <w:rPr>
          <w:rFonts w:cs="Times New Roman"/>
          <w:szCs w:val="24"/>
        </w:rPr>
        <w:t xml:space="preserve">spis </w:t>
      </w:r>
      <w:r w:rsidRPr="00897682">
        <w:rPr>
          <w:rFonts w:cs="Times New Roman"/>
          <w:szCs w:val="24"/>
        </w:rPr>
        <w:t xml:space="preserve">obsahuje </w:t>
      </w:r>
      <w:r w:rsidR="007C154E" w:rsidRPr="00897682">
        <w:rPr>
          <w:rFonts w:cs="Times New Roman"/>
          <w:szCs w:val="24"/>
        </w:rPr>
        <w:t xml:space="preserve">záznam o komunikaci obviněného </w:t>
      </w:r>
      <w:r w:rsidR="00555D09" w:rsidRPr="00897682">
        <w:rPr>
          <w:rFonts w:cs="Times New Roman"/>
          <w:szCs w:val="24"/>
        </w:rPr>
        <w:t>s</w:t>
      </w:r>
      <w:r w:rsidR="007C154E" w:rsidRPr="00897682">
        <w:rPr>
          <w:rFonts w:cs="Times New Roman"/>
          <w:szCs w:val="24"/>
        </w:rPr>
        <w:t xml:space="preserve"> obhájcem </w:t>
      </w:r>
      <w:r w:rsidRPr="00897682">
        <w:rPr>
          <w:rFonts w:cs="Times New Roman"/>
          <w:szCs w:val="24"/>
        </w:rPr>
        <w:t>(nebo podezřelého s advokátem)</w:t>
      </w:r>
      <w:r w:rsidR="007C154E" w:rsidRPr="00897682">
        <w:rPr>
          <w:rFonts w:cs="Times New Roman"/>
          <w:szCs w:val="24"/>
        </w:rPr>
        <w:t xml:space="preserve">, </w:t>
      </w:r>
      <w:r w:rsidRPr="00897682">
        <w:rPr>
          <w:rFonts w:cs="Times New Roman"/>
          <w:szCs w:val="24"/>
        </w:rPr>
        <w:t>vyjme ji z trestního spisu</w:t>
      </w:r>
      <w:r w:rsidR="007C154E" w:rsidRPr="00897682">
        <w:rPr>
          <w:rFonts w:cs="Times New Roman"/>
          <w:szCs w:val="24"/>
        </w:rPr>
        <w:t>.</w:t>
      </w:r>
      <w:r w:rsidR="00BA1993" w:rsidRPr="00897682">
        <w:rPr>
          <w:rFonts w:cs="Times New Roman"/>
          <w:szCs w:val="24"/>
        </w:rPr>
        <w:t xml:space="preserve"> </w:t>
      </w:r>
      <w:r w:rsidR="00FD131E" w:rsidRPr="00897682">
        <w:rPr>
          <w:rFonts w:cs="Times New Roman"/>
          <w:szCs w:val="24"/>
        </w:rPr>
        <w:t xml:space="preserve">Pokud obviněný považuje takové vynětí za neoprávněné, může v přípravném řízení žádat státního zástupce </w:t>
      </w:r>
      <w:r w:rsidR="00BA1993" w:rsidRPr="00897682">
        <w:rPr>
          <w:rFonts w:cs="Times New Roman"/>
          <w:szCs w:val="24"/>
        </w:rPr>
        <w:t xml:space="preserve">o přezkoumání postupu policejního orgánu v rámci dozoru a následně dát podnět k výkonu dohledu nad postupem státního zástupce, což je považováno za účinný prostředek nápravy. </w:t>
      </w:r>
      <w:r w:rsidR="00D82184" w:rsidRPr="00897682">
        <w:rPr>
          <w:rFonts w:cs="Times New Roman"/>
          <w:szCs w:val="24"/>
        </w:rPr>
        <w:t xml:space="preserve">V řízení před soudem může proti takovému postupu brojit </w:t>
      </w:r>
      <w:r w:rsidR="00BF31B5" w:rsidRPr="00897682">
        <w:rPr>
          <w:rFonts w:cs="Times New Roman"/>
          <w:szCs w:val="24"/>
        </w:rPr>
        <w:t xml:space="preserve">obviněný nebo státní zástupce </w:t>
      </w:r>
      <w:r w:rsidR="00D82184" w:rsidRPr="00897682">
        <w:rPr>
          <w:rFonts w:cs="Times New Roman"/>
          <w:szCs w:val="24"/>
        </w:rPr>
        <w:t xml:space="preserve">v rámci dokazování a cestou opravných prostředků. </w:t>
      </w:r>
    </w:p>
    <w:p w14:paraId="6A9090BA" w14:textId="08536C62" w:rsidR="00415A37" w:rsidRPr="00897682" w:rsidRDefault="00415A37" w:rsidP="007C154E">
      <w:pPr>
        <w:spacing w:line="240" w:lineRule="auto"/>
        <w:rPr>
          <w:rFonts w:cs="Times New Roman"/>
          <w:szCs w:val="24"/>
        </w:rPr>
      </w:pPr>
      <w:r w:rsidRPr="00897682">
        <w:rPr>
          <w:rFonts w:cs="Times New Roman"/>
          <w:szCs w:val="24"/>
        </w:rPr>
        <w:t xml:space="preserve">Pokud došlo k tomu, že se orgán činný v trestním řízení s obsahem důvěrné komunikace seznámil, v souladu s § 35a odst. 3 tr. ř. nesmí takto získané informace v trestním řízení </w:t>
      </w:r>
      <w:r w:rsidR="00D418E6" w:rsidRPr="00897682">
        <w:rPr>
          <w:rFonts w:cs="Times New Roman"/>
          <w:szCs w:val="24"/>
        </w:rPr>
        <w:t xml:space="preserve">nijak </w:t>
      </w:r>
      <w:r w:rsidRPr="00897682">
        <w:rPr>
          <w:rFonts w:cs="Times New Roman"/>
          <w:szCs w:val="24"/>
        </w:rPr>
        <w:t xml:space="preserve">použít. </w:t>
      </w:r>
    </w:p>
    <w:p w14:paraId="18310942" w14:textId="72DA60AA" w:rsidR="00CA0D1C" w:rsidRPr="00897682" w:rsidRDefault="00CA0D1C" w:rsidP="006C1C59">
      <w:pPr>
        <w:spacing w:line="240" w:lineRule="auto"/>
        <w:rPr>
          <w:rFonts w:cs="Times New Roman"/>
          <w:szCs w:val="24"/>
        </w:rPr>
      </w:pPr>
      <w:r w:rsidRPr="00897682">
        <w:rPr>
          <w:rFonts w:cs="Times New Roman"/>
          <w:b/>
          <w:bCs w:val="0"/>
          <w:szCs w:val="24"/>
        </w:rPr>
        <w:t xml:space="preserve">K bodu 8 </w:t>
      </w:r>
      <w:r w:rsidRPr="00897682">
        <w:rPr>
          <w:rFonts w:cs="Times New Roman"/>
          <w:szCs w:val="24"/>
        </w:rPr>
        <w:t>(§ 41 odst. 2)</w:t>
      </w:r>
    </w:p>
    <w:p w14:paraId="3539560A" w14:textId="1FA4F0C1" w:rsidR="000B7C4F" w:rsidRPr="00897682" w:rsidRDefault="00CA0D1C" w:rsidP="000F4211">
      <w:pPr>
        <w:spacing w:line="240" w:lineRule="auto"/>
        <w:rPr>
          <w:rFonts w:cs="Times New Roman"/>
          <w:szCs w:val="24"/>
        </w:rPr>
      </w:pPr>
      <w:r w:rsidRPr="00897682">
        <w:rPr>
          <w:rFonts w:cs="Times New Roman"/>
          <w:szCs w:val="24"/>
        </w:rPr>
        <w:t xml:space="preserve">Při výkonu obhajoby má obhájce poměrně široká oprávnění, což v některých případech vede k pochybnostem, v jakém rozsahu, resp. při jakých úkonech, může svého klienta zastoupit. Z praxe soudů vyplývá, že takové pochybnosti vznikají např. tehdy, jestliže se obhájce hodlá v hlavním líčení vyjadřovat k provedeným důkazům (ať již za obviněného nebo spolu s ním), neboť § 214 tr. ř. takové právo výslovně </w:t>
      </w:r>
      <w:r w:rsidR="001340B4" w:rsidRPr="00897682">
        <w:rPr>
          <w:rFonts w:cs="Times New Roman"/>
          <w:szCs w:val="24"/>
        </w:rPr>
        <w:t>přiznává</w:t>
      </w:r>
      <w:r w:rsidRPr="00897682">
        <w:rPr>
          <w:rFonts w:cs="Times New Roman"/>
          <w:szCs w:val="24"/>
        </w:rPr>
        <w:t xml:space="preserve"> jen obžalovanému a soudy toto ustanovení vykládají rozdílně, když někteří soudci toto právo považují za osobní právo obžalovaného, které namísto něj nemůže uplatnit jeho obhájce, jiní soudci naopak umožňují, aby se namísto obžalovaného vyjádřil jeho obhájce. Přitom je přirozené, že obžalovaný může mít výhrady </w:t>
      </w:r>
      <w:r w:rsidR="00407BB3" w:rsidRPr="00897682">
        <w:rPr>
          <w:rFonts w:cs="Times New Roman"/>
          <w:szCs w:val="24"/>
        </w:rPr>
        <w:t xml:space="preserve">typicky </w:t>
      </w:r>
      <w:r w:rsidRPr="00897682">
        <w:rPr>
          <w:rFonts w:cs="Times New Roman"/>
          <w:szCs w:val="24"/>
        </w:rPr>
        <w:t>k obsahu výpovědi svědka</w:t>
      </w:r>
      <w:r w:rsidR="00407BB3" w:rsidRPr="00897682">
        <w:rPr>
          <w:rFonts w:cs="Times New Roman"/>
          <w:szCs w:val="24"/>
        </w:rPr>
        <w:t xml:space="preserve"> (popsaným skutkovým okolnostem)</w:t>
      </w:r>
      <w:r w:rsidR="006D68DC" w:rsidRPr="00897682">
        <w:rPr>
          <w:rFonts w:cs="Times New Roman"/>
          <w:szCs w:val="24"/>
        </w:rPr>
        <w:t xml:space="preserve">, </w:t>
      </w:r>
      <w:r w:rsidR="00872279" w:rsidRPr="00897682">
        <w:rPr>
          <w:rFonts w:cs="Times New Roman"/>
          <w:szCs w:val="24"/>
        </w:rPr>
        <w:t>ale v úvahu přicházejí</w:t>
      </w:r>
      <w:r w:rsidRPr="00897682">
        <w:rPr>
          <w:rFonts w:cs="Times New Roman"/>
          <w:szCs w:val="24"/>
        </w:rPr>
        <w:t xml:space="preserve"> </w:t>
      </w:r>
      <w:r w:rsidR="00872279" w:rsidRPr="00897682">
        <w:rPr>
          <w:rFonts w:cs="Times New Roman"/>
          <w:szCs w:val="24"/>
        </w:rPr>
        <w:t xml:space="preserve">také </w:t>
      </w:r>
      <w:r w:rsidRPr="00897682">
        <w:rPr>
          <w:rFonts w:cs="Times New Roman"/>
          <w:szCs w:val="24"/>
        </w:rPr>
        <w:t>námitky</w:t>
      </w:r>
      <w:r w:rsidR="006D68DC" w:rsidRPr="00897682">
        <w:rPr>
          <w:rFonts w:cs="Times New Roman"/>
          <w:szCs w:val="24"/>
        </w:rPr>
        <w:t xml:space="preserve"> právního charakteru</w:t>
      </w:r>
      <w:r w:rsidRPr="00897682">
        <w:rPr>
          <w:rFonts w:cs="Times New Roman"/>
          <w:szCs w:val="24"/>
        </w:rPr>
        <w:t xml:space="preserve">, </w:t>
      </w:r>
      <w:r w:rsidR="006D68DC" w:rsidRPr="00897682">
        <w:rPr>
          <w:rFonts w:cs="Times New Roman"/>
          <w:szCs w:val="24"/>
        </w:rPr>
        <w:t xml:space="preserve">např. </w:t>
      </w:r>
      <w:r w:rsidRPr="00897682">
        <w:rPr>
          <w:rFonts w:cs="Times New Roman"/>
          <w:szCs w:val="24"/>
        </w:rPr>
        <w:t>že při takovém výslechu nebyly dodrženy procesní podmínky, které zákon vyžaduje</w:t>
      </w:r>
      <w:r w:rsidR="00872279" w:rsidRPr="00897682">
        <w:rPr>
          <w:rFonts w:cs="Times New Roman"/>
          <w:szCs w:val="24"/>
        </w:rPr>
        <w:t>, což vhodněji uplatní obhájce</w:t>
      </w:r>
      <w:r w:rsidRPr="00897682">
        <w:rPr>
          <w:rFonts w:cs="Times New Roman"/>
          <w:szCs w:val="24"/>
        </w:rPr>
        <w:t xml:space="preserve">. </w:t>
      </w:r>
      <w:r w:rsidR="000B7C4F" w:rsidRPr="00897682">
        <w:rPr>
          <w:rFonts w:cs="Times New Roman"/>
          <w:szCs w:val="24"/>
        </w:rPr>
        <w:t xml:space="preserve">Není tedy důvod, proč by takové vyjádření nemohl (po dohodě s obviněným) učinit i obhájce. </w:t>
      </w:r>
    </w:p>
    <w:p w14:paraId="5E7357D3" w14:textId="2040B060" w:rsidR="00BB1570" w:rsidRPr="00897682" w:rsidRDefault="00E87F13" w:rsidP="000F4211">
      <w:pPr>
        <w:spacing w:line="240" w:lineRule="auto"/>
        <w:rPr>
          <w:rFonts w:cs="Times New Roman"/>
          <w:szCs w:val="24"/>
        </w:rPr>
      </w:pPr>
      <w:r w:rsidRPr="00897682">
        <w:rPr>
          <w:rFonts w:cs="Times New Roman"/>
          <w:szCs w:val="24"/>
        </w:rPr>
        <w:t>Protože tuto otázku nelze řešit izolovaně jen pro jeden úkon, n</w:t>
      </w:r>
      <w:r w:rsidR="00CA0D1C" w:rsidRPr="00897682">
        <w:rPr>
          <w:rFonts w:cs="Times New Roman"/>
          <w:szCs w:val="24"/>
        </w:rPr>
        <w:t xml:space="preserve">avrhuje se </w:t>
      </w:r>
      <w:r w:rsidRPr="00897682">
        <w:rPr>
          <w:rFonts w:cs="Times New Roman"/>
          <w:szCs w:val="24"/>
        </w:rPr>
        <w:t xml:space="preserve">ji </w:t>
      </w:r>
      <w:r w:rsidR="007F47AE" w:rsidRPr="00897682">
        <w:rPr>
          <w:rFonts w:cs="Times New Roman"/>
          <w:szCs w:val="24"/>
        </w:rPr>
        <w:t>upravi</w:t>
      </w:r>
      <w:r w:rsidR="00872279" w:rsidRPr="00897682">
        <w:rPr>
          <w:rFonts w:cs="Times New Roman"/>
          <w:szCs w:val="24"/>
        </w:rPr>
        <w:t>t</w:t>
      </w:r>
      <w:r w:rsidR="007F47AE" w:rsidRPr="00897682">
        <w:rPr>
          <w:rFonts w:cs="Times New Roman"/>
          <w:szCs w:val="24"/>
        </w:rPr>
        <w:t xml:space="preserve"> jednotně tak, že v trestním řádu budou vymezeny typy úkonů</w:t>
      </w:r>
      <w:r w:rsidR="00CA0D1C" w:rsidRPr="00897682">
        <w:rPr>
          <w:rFonts w:cs="Times New Roman"/>
          <w:szCs w:val="24"/>
        </w:rPr>
        <w:t>, při nichž je obviněný nezastupitelný</w:t>
      </w:r>
      <w:r w:rsidR="007F47AE" w:rsidRPr="00897682">
        <w:rPr>
          <w:rFonts w:cs="Times New Roman"/>
          <w:szCs w:val="24"/>
        </w:rPr>
        <w:t xml:space="preserve"> a může je učinit pouze sám</w:t>
      </w:r>
      <w:r w:rsidR="00CA0D1C" w:rsidRPr="00897682">
        <w:rPr>
          <w:rFonts w:cs="Times New Roman"/>
          <w:szCs w:val="24"/>
        </w:rPr>
        <w:t>. Výslovně se uvádějí úkony, při nichž je zřejmé, že se jedná o projevy vyjadřující stanovisko obviněného k otázkám viny a trestu</w:t>
      </w:r>
      <w:r w:rsidR="007F47AE" w:rsidRPr="00897682">
        <w:rPr>
          <w:rFonts w:cs="Times New Roman"/>
          <w:szCs w:val="24"/>
        </w:rPr>
        <w:t>,</w:t>
      </w:r>
      <w:r w:rsidR="00CA0D1C" w:rsidRPr="00897682">
        <w:rPr>
          <w:rFonts w:cs="Times New Roman"/>
          <w:szCs w:val="24"/>
        </w:rPr>
        <w:t xml:space="preserve"> a </w:t>
      </w:r>
      <w:r w:rsidR="007F47AE" w:rsidRPr="00897682">
        <w:rPr>
          <w:rFonts w:cs="Times New Roman"/>
          <w:szCs w:val="24"/>
        </w:rPr>
        <w:t xml:space="preserve">zbytkově se uvádějí </w:t>
      </w:r>
      <w:r w:rsidR="00CA0D1C" w:rsidRPr="00897682">
        <w:rPr>
          <w:rFonts w:cs="Times New Roman"/>
          <w:szCs w:val="24"/>
        </w:rPr>
        <w:t>úkony, při nichž je účast obviněného nezastupitelná</w:t>
      </w:r>
      <w:r w:rsidR="007F47AE" w:rsidRPr="00897682">
        <w:rPr>
          <w:rFonts w:cs="Times New Roman"/>
          <w:szCs w:val="24"/>
        </w:rPr>
        <w:t xml:space="preserve">, tj. z povahy věci je musí obviněný vykonat sám, protože se vyžaduje jeho osobní účast </w:t>
      </w:r>
      <w:r w:rsidR="00CA0D1C" w:rsidRPr="00897682">
        <w:rPr>
          <w:rFonts w:cs="Times New Roman"/>
          <w:szCs w:val="24"/>
        </w:rPr>
        <w:t>(</w:t>
      </w:r>
      <w:r w:rsidR="00E74D7B" w:rsidRPr="00897682">
        <w:rPr>
          <w:rFonts w:cs="Times New Roman"/>
          <w:szCs w:val="24"/>
        </w:rPr>
        <w:t xml:space="preserve">tj. typicky je-li k úkonu předvolán obviněný, protože musí něco osobně vykonat, </w:t>
      </w:r>
      <w:r w:rsidR="00CA0D1C" w:rsidRPr="00897682">
        <w:rPr>
          <w:rFonts w:cs="Times New Roman"/>
          <w:szCs w:val="24"/>
        </w:rPr>
        <w:t xml:space="preserve">např. </w:t>
      </w:r>
      <w:r w:rsidR="00E74D7B" w:rsidRPr="00897682">
        <w:rPr>
          <w:rFonts w:cs="Times New Roman"/>
          <w:szCs w:val="24"/>
        </w:rPr>
        <w:t xml:space="preserve">se vyžaduje jeho </w:t>
      </w:r>
      <w:r w:rsidR="00CA0D1C" w:rsidRPr="00897682">
        <w:rPr>
          <w:rFonts w:cs="Times New Roman"/>
          <w:szCs w:val="24"/>
        </w:rPr>
        <w:t>účast na rekognici</w:t>
      </w:r>
      <w:r w:rsidR="005B2858">
        <w:rPr>
          <w:rFonts w:cs="Times New Roman"/>
          <w:szCs w:val="24"/>
        </w:rPr>
        <w:t xml:space="preserve"> či vyšetřovacím pokusu</w:t>
      </w:r>
      <w:r w:rsidR="00CA0D1C" w:rsidRPr="00897682">
        <w:rPr>
          <w:rFonts w:cs="Times New Roman"/>
          <w:szCs w:val="24"/>
        </w:rPr>
        <w:t xml:space="preserve">). </w:t>
      </w:r>
    </w:p>
    <w:p w14:paraId="44DF2718" w14:textId="68098EA7" w:rsidR="00D8142F" w:rsidRPr="00897682" w:rsidRDefault="00D8142F" w:rsidP="00D8142F">
      <w:pPr>
        <w:keepNext/>
        <w:spacing w:line="240" w:lineRule="auto"/>
        <w:outlineLvl w:val="2"/>
        <w:rPr>
          <w:rFonts w:eastAsia="Calibri"/>
          <w:b/>
          <w:bCs w:val="0"/>
        </w:rPr>
      </w:pPr>
      <w:r w:rsidRPr="00897682">
        <w:rPr>
          <w:rFonts w:eastAsia="Calibri"/>
          <w:b/>
          <w:bCs w:val="0"/>
        </w:rPr>
        <w:t xml:space="preserve">K bodům 9, 10 a </w:t>
      </w:r>
      <w:r w:rsidR="00603EC4" w:rsidRPr="00897682">
        <w:rPr>
          <w:rFonts w:eastAsia="Calibri"/>
          <w:b/>
          <w:bCs w:val="0"/>
        </w:rPr>
        <w:t>29</w:t>
      </w:r>
      <w:r w:rsidRPr="00897682">
        <w:rPr>
          <w:rFonts w:eastAsia="Calibri"/>
          <w:b/>
          <w:bCs w:val="0"/>
        </w:rPr>
        <w:t xml:space="preserve"> (§ 55 odst. 2 a § 104b odst. 7)</w:t>
      </w:r>
    </w:p>
    <w:p w14:paraId="3FEB8C79" w14:textId="1C5AB24A" w:rsidR="00D8142F" w:rsidRPr="00897682" w:rsidRDefault="00D8142F" w:rsidP="00D8142F">
      <w:pPr>
        <w:spacing w:line="240" w:lineRule="auto"/>
        <w:rPr>
          <w:rFonts w:eastAsia="Calibri"/>
        </w:rPr>
      </w:pPr>
      <w:r w:rsidRPr="00897682">
        <w:rPr>
          <w:rFonts w:eastAsia="Calibri"/>
        </w:rPr>
        <w:t>Zpřesňuje se vymezení okruhu osobních údajů, které se vedou odděleně za účelem ochrany svědka. Účelem tohoto ustanovení je zabezpečit utajení totožnosti a podoby svědka, jemuž (nebo osobě jemu blízké) v souvislosti s podáním svědectví zřejmě hrozí újma na zdraví nebo jiné vážné nebezpečí porušení jejich základních práv</w:t>
      </w:r>
      <w:r w:rsidR="00DF4BE3" w:rsidRPr="00897682">
        <w:rPr>
          <w:rFonts w:eastAsia="Calibri"/>
        </w:rPr>
        <w:t>. P</w:t>
      </w:r>
      <w:r w:rsidRPr="00897682">
        <w:rPr>
          <w:rFonts w:eastAsia="Calibri"/>
        </w:rPr>
        <w:t>oužit</w:t>
      </w:r>
      <w:r w:rsidR="00DF4BE3" w:rsidRPr="00897682">
        <w:rPr>
          <w:rFonts w:eastAsia="Calibri"/>
        </w:rPr>
        <w:t>á</w:t>
      </w:r>
      <w:r w:rsidRPr="00897682">
        <w:rPr>
          <w:rFonts w:eastAsia="Calibri"/>
        </w:rPr>
        <w:t xml:space="preserve"> terminologie, podle které se vedou mimo trestní spis „osobní údaje svědka“</w:t>
      </w:r>
      <w:r w:rsidR="00DF4BE3" w:rsidRPr="00897682">
        <w:rPr>
          <w:rFonts w:eastAsia="Calibri"/>
        </w:rPr>
        <w:t>,</w:t>
      </w:r>
      <w:r w:rsidRPr="00897682">
        <w:rPr>
          <w:rFonts w:eastAsia="Calibri"/>
        </w:rPr>
        <w:t xml:space="preserve"> nicméně odpovídá době přijetí tohoto ustanovení (zákon č. 292/1993 Sb.), kategorie „osobních údajů“ je mnohem širší než okruh </w:t>
      </w:r>
      <w:r w:rsidRPr="00897682">
        <w:rPr>
          <w:rFonts w:eastAsia="Calibri"/>
        </w:rPr>
        <w:lastRenderedPageBreak/>
        <w:t xml:space="preserve">informací umožňující jeho ztotožnění. Mimo spis tak napříště – vedle jména a příjmení – budou vedeny pouze ty osobní údaje, jež umožňují přímou identifikaci osoby. </w:t>
      </w:r>
    </w:p>
    <w:p w14:paraId="45BA8F0A" w14:textId="475DB8ED" w:rsidR="003A7E9B" w:rsidRPr="00897682" w:rsidRDefault="003A7E9B" w:rsidP="003A7E9B">
      <w:pPr>
        <w:keepNext/>
        <w:spacing w:line="240" w:lineRule="auto"/>
        <w:outlineLvl w:val="2"/>
        <w:rPr>
          <w:rFonts w:eastAsia="Calibri"/>
          <w:b/>
          <w:bCs w:val="0"/>
        </w:rPr>
      </w:pPr>
      <w:r w:rsidRPr="00897682">
        <w:rPr>
          <w:rFonts w:eastAsia="Calibri"/>
          <w:b/>
          <w:bCs w:val="0"/>
        </w:rPr>
        <w:t>K bodu 11 (§ 55a odst. 1)</w:t>
      </w:r>
    </w:p>
    <w:p w14:paraId="210E4D4C" w14:textId="4CD1ABBB" w:rsidR="003A7E9B" w:rsidRPr="00897682" w:rsidRDefault="003A7E9B" w:rsidP="003A7E9B">
      <w:pPr>
        <w:spacing w:line="240" w:lineRule="auto"/>
        <w:rPr>
          <w:rFonts w:eastAsia="Times New Roman"/>
          <w:bCs w:val="0"/>
          <w:lang w:eastAsia="x-none"/>
        </w:rPr>
      </w:pPr>
      <w:r w:rsidRPr="00897682">
        <w:rPr>
          <w:rFonts w:eastAsia="Times New Roman"/>
          <w:lang w:eastAsia="x-none"/>
        </w:rPr>
        <w:t>Jelikož využití těsnopisn</w:t>
      </w:r>
      <w:r w:rsidR="00E65466" w:rsidRPr="00897682">
        <w:rPr>
          <w:rFonts w:eastAsia="Times New Roman"/>
          <w:lang w:eastAsia="x-none"/>
        </w:rPr>
        <w:t>ého</w:t>
      </w:r>
      <w:r w:rsidRPr="00897682">
        <w:rPr>
          <w:rFonts w:eastAsia="Times New Roman"/>
          <w:lang w:eastAsia="x-none"/>
        </w:rPr>
        <w:t xml:space="preserve"> zápis</w:t>
      </w:r>
      <w:r w:rsidR="00E65466" w:rsidRPr="00897682">
        <w:rPr>
          <w:rFonts w:eastAsia="Times New Roman"/>
          <w:lang w:eastAsia="x-none"/>
        </w:rPr>
        <w:t>u</w:t>
      </w:r>
      <w:r w:rsidRPr="00897682">
        <w:rPr>
          <w:rFonts w:eastAsia="Times New Roman"/>
          <w:lang w:eastAsia="x-none"/>
        </w:rPr>
        <w:t xml:space="preserve"> ustoupilo do pozadí a dnes se nepoužívá, je nadbytečné je</w:t>
      </w:r>
      <w:r w:rsidR="00E65466" w:rsidRPr="00897682">
        <w:rPr>
          <w:rFonts w:eastAsia="Times New Roman"/>
          <w:lang w:eastAsia="x-none"/>
        </w:rPr>
        <w:t>j</w:t>
      </w:r>
      <w:r w:rsidRPr="00897682">
        <w:rPr>
          <w:rFonts w:eastAsia="Times New Roman"/>
          <w:lang w:eastAsia="x-none"/>
        </w:rPr>
        <w:t xml:space="preserve"> nadále výslovně uvádět jako prostředek zachycení průběhu úkonu (jeho použití je ale případně i nadále možné, neboť k zachycení průběhu úkonu lze „</w:t>
      </w:r>
      <w:r w:rsidRPr="00897682">
        <w:rPr>
          <w:rFonts w:eastAsia="Times New Roman"/>
          <w:i/>
          <w:iCs/>
          <w:lang w:eastAsia="x-none"/>
        </w:rPr>
        <w:t>podle potřeby využít […] jiného vhodného prostředku</w:t>
      </w:r>
      <w:r w:rsidRPr="00897682">
        <w:rPr>
          <w:rFonts w:eastAsia="Times New Roman"/>
          <w:lang w:eastAsia="x-none"/>
        </w:rPr>
        <w:t>“).</w:t>
      </w:r>
    </w:p>
    <w:p w14:paraId="00D179AE" w14:textId="7C2E1832" w:rsidR="003A7E9B" w:rsidRPr="00897682" w:rsidRDefault="003A7E9B" w:rsidP="003A7E9B">
      <w:pPr>
        <w:keepNext/>
        <w:spacing w:line="240" w:lineRule="auto"/>
        <w:outlineLvl w:val="2"/>
        <w:rPr>
          <w:rFonts w:eastAsia="Calibri"/>
          <w:b/>
          <w:bCs w:val="0"/>
        </w:rPr>
      </w:pPr>
      <w:r w:rsidRPr="00897682">
        <w:rPr>
          <w:rFonts w:eastAsia="Calibri"/>
          <w:b/>
          <w:bCs w:val="0"/>
        </w:rPr>
        <w:t>K bod</w:t>
      </w:r>
      <w:r w:rsidR="004202DD" w:rsidRPr="00897682">
        <w:rPr>
          <w:rFonts w:eastAsia="Calibri"/>
          <w:b/>
          <w:bCs w:val="0"/>
        </w:rPr>
        <w:t>ům</w:t>
      </w:r>
      <w:r w:rsidRPr="00897682">
        <w:rPr>
          <w:rFonts w:eastAsia="Calibri"/>
          <w:b/>
          <w:bCs w:val="0"/>
        </w:rPr>
        <w:t xml:space="preserve"> 12 </w:t>
      </w:r>
      <w:r w:rsidR="004202DD" w:rsidRPr="00897682">
        <w:rPr>
          <w:rFonts w:eastAsia="Calibri"/>
          <w:b/>
          <w:bCs w:val="0"/>
        </w:rPr>
        <w:t xml:space="preserve">a 23 </w:t>
      </w:r>
      <w:r w:rsidRPr="00897682">
        <w:rPr>
          <w:rFonts w:eastAsia="Calibri"/>
          <w:b/>
          <w:bCs w:val="0"/>
        </w:rPr>
        <w:t xml:space="preserve">(§ 55a odst. </w:t>
      </w:r>
      <w:r w:rsidR="004202DD" w:rsidRPr="00897682">
        <w:rPr>
          <w:rFonts w:eastAsia="Calibri"/>
          <w:b/>
          <w:bCs w:val="0"/>
        </w:rPr>
        <w:t>2 a § 73g odst. 6</w:t>
      </w:r>
      <w:r w:rsidRPr="00897682">
        <w:rPr>
          <w:rFonts w:eastAsia="Calibri"/>
          <w:b/>
          <w:bCs w:val="0"/>
        </w:rPr>
        <w:t>)</w:t>
      </w:r>
    </w:p>
    <w:p w14:paraId="7F35B431" w14:textId="77777777" w:rsidR="003A7E9B" w:rsidRPr="00897682" w:rsidRDefault="003A7E9B" w:rsidP="003A7E9B">
      <w:pPr>
        <w:spacing w:line="240" w:lineRule="auto"/>
        <w:rPr>
          <w:rFonts w:eastAsia="Calibri"/>
        </w:rPr>
      </w:pPr>
      <w:r w:rsidRPr="00897682">
        <w:rPr>
          <w:rFonts w:eastAsia="Calibri"/>
        </w:rPr>
        <w:t>Uvádění údajů o prostředku, který byl použit k pořízení zvukového nebo obrazového záznamu a který se doposud uváděl v protokolu sepsaném o úkonu, o němž byl tento záznam pořízen, se již v dnešní době jeví jako nadbytečné. Zatímco v době přijetí stávajícího znění existovala řada možností, jak zvukový nebo obrazový záznam uchovat (v minulosti se v průběhu času jednalo např. o disketu, VHS, CD nebo DVD), dnes se vlivem rozvoje informačních technologií většina uvedených prostředků stala obsoletními; za postačující lze považovat uvedení informace o tom, že takovýto záznam byl pořízen (ostatně ani jiné procesní předpisy s uvedením takovéto informace v protokolech o úkonech nepočítají). Navrhuje se i vypustit požadavek na uvedení údajů o čase a místě provedení záznamu a též o způsobu provedení záznamu, a to pro duplicitu s požadavky vyplývajícími z § 55 tr. ř.</w:t>
      </w:r>
    </w:p>
    <w:p w14:paraId="6C5EC940" w14:textId="5BE344B3" w:rsidR="006A419D" w:rsidRPr="00897682" w:rsidRDefault="00C13DB0" w:rsidP="006A419D">
      <w:pPr>
        <w:spacing w:line="240" w:lineRule="auto"/>
        <w:rPr>
          <w:rFonts w:eastAsia="Calibri"/>
          <w:bCs w:val="0"/>
        </w:rPr>
      </w:pPr>
      <w:r w:rsidRPr="00897682">
        <w:rPr>
          <w:rFonts w:eastAsia="Calibri"/>
        </w:rPr>
        <w:t>Dále se n</w:t>
      </w:r>
      <w:r w:rsidR="006A419D" w:rsidRPr="00897682">
        <w:rPr>
          <w:rFonts w:eastAsia="Calibri"/>
        </w:rPr>
        <w:t xml:space="preserve">avrhuje řešit </w:t>
      </w:r>
      <w:r w:rsidRPr="00897682">
        <w:rPr>
          <w:rFonts w:eastAsia="Calibri"/>
        </w:rPr>
        <w:t xml:space="preserve">jednotně </w:t>
      </w:r>
      <w:r w:rsidR="006A419D" w:rsidRPr="00897682">
        <w:rPr>
          <w:rFonts w:eastAsia="Calibri"/>
        </w:rPr>
        <w:t xml:space="preserve">nakládání se zvukovými nebo obrazovými záznamy pořízenými o úkonech (místo dnešní duplicitní úpravy obsažené v § 55a odst. 2 a § 55b odst. 7 tr. ř.). </w:t>
      </w:r>
    </w:p>
    <w:p w14:paraId="0B5B8155" w14:textId="6336A458" w:rsidR="006A419D" w:rsidRPr="00897682" w:rsidRDefault="006A419D" w:rsidP="006A419D">
      <w:pPr>
        <w:spacing w:line="240" w:lineRule="auto"/>
        <w:rPr>
          <w:rFonts w:eastAsia="Calibri"/>
          <w:bCs w:val="0"/>
        </w:rPr>
      </w:pPr>
      <w:r w:rsidRPr="00897682">
        <w:rPr>
          <w:rFonts w:eastAsia="Calibri"/>
        </w:rPr>
        <w:t xml:space="preserve">Pokud bude pořízen kterýmkoli orgánem činným v trestním řízení zvukový nebo obrazový záznam, připojí se </w:t>
      </w:r>
      <w:r w:rsidR="00B415E1" w:rsidRPr="00897682">
        <w:rPr>
          <w:rFonts w:eastAsia="Calibri"/>
        </w:rPr>
        <w:t xml:space="preserve">na nosiči informací </w:t>
      </w:r>
      <w:r w:rsidRPr="00897682">
        <w:rPr>
          <w:rFonts w:eastAsia="Calibri"/>
        </w:rPr>
        <w:t>ke spisu (pokud je záznam připojen ke spisu, není potřeba takovou skutečnost nikam blíže uvádět)</w:t>
      </w:r>
      <w:r w:rsidR="0059276E" w:rsidRPr="00897682">
        <w:rPr>
          <w:rFonts w:eastAsia="Calibri"/>
        </w:rPr>
        <w:t>,</w:t>
      </w:r>
      <w:r w:rsidRPr="00897682">
        <w:rPr>
          <w:rFonts w:eastAsia="Calibri"/>
        </w:rPr>
        <w:t xml:space="preserve"> nebo se ve spisu uvede, kde je takový záznam uložen – pokud je uložen na nosiči</w:t>
      </w:r>
      <w:r w:rsidR="00391C1B" w:rsidRPr="00897682">
        <w:rPr>
          <w:rFonts w:eastAsia="Calibri"/>
        </w:rPr>
        <w:t xml:space="preserve"> informací</w:t>
      </w:r>
      <w:r w:rsidRPr="00897682">
        <w:rPr>
          <w:rFonts w:eastAsia="Calibri"/>
        </w:rPr>
        <w:t xml:space="preserve">, je třeba specifikovat jeho umístění, </w:t>
      </w:r>
      <w:bookmarkStart w:id="5" w:name="_Hlk150759617"/>
      <w:r w:rsidRPr="00897682">
        <w:rPr>
          <w:rFonts w:eastAsia="Calibri"/>
        </w:rPr>
        <w:t xml:space="preserve">v případě záznamu uchovávaného v rámci hromadného datového úložiště je třeba specifikovat, o jaké úložiště se jedná a v případě, kdy se nejedná o </w:t>
      </w:r>
      <w:r w:rsidR="0061783A" w:rsidRPr="00897682">
        <w:rPr>
          <w:rFonts w:eastAsia="Calibri"/>
        </w:rPr>
        <w:t>datové</w:t>
      </w:r>
      <w:r w:rsidRPr="00897682">
        <w:rPr>
          <w:rFonts w:eastAsia="Calibri"/>
        </w:rPr>
        <w:t xml:space="preserve"> úložiště Ministerstva spravedlnosti, jaké je jeho adresné umístění v rámci souborového systému úložiště. </w:t>
      </w:r>
      <w:bookmarkEnd w:id="5"/>
    </w:p>
    <w:p w14:paraId="507D4EB4" w14:textId="59BFC28B" w:rsidR="006A419D" w:rsidRPr="00897682" w:rsidRDefault="006A419D" w:rsidP="006A419D">
      <w:pPr>
        <w:spacing w:line="240" w:lineRule="auto"/>
        <w:rPr>
          <w:rFonts w:eastAsia="Calibri"/>
          <w:bCs w:val="0"/>
        </w:rPr>
      </w:pPr>
      <w:r w:rsidRPr="00897682">
        <w:rPr>
          <w:rFonts w:eastAsia="Calibri"/>
        </w:rPr>
        <w:t xml:space="preserve">Záznam pořízený soudem nebo státním zástupcem bude nově možné uložit na novém </w:t>
      </w:r>
      <w:r w:rsidR="001F68ED" w:rsidRPr="00897682">
        <w:rPr>
          <w:rFonts w:eastAsia="Calibri"/>
        </w:rPr>
        <w:t xml:space="preserve">datovém </w:t>
      </w:r>
      <w:r w:rsidRPr="00897682">
        <w:rPr>
          <w:rFonts w:eastAsia="Calibri"/>
        </w:rPr>
        <w:t xml:space="preserve">úložišti, které centrálně spravuje Ministerstvo spravedlnosti. Tato změna umožní jednoduchý způsob ukládání, úložiště těchto záznamů bude strukturováno (bude členěno dle kritérií, jako je instituce, letopočet, spisové značky apod.), a tak bude každý jednotlivý záznam jednoduché dohledat. </w:t>
      </w:r>
      <w:bookmarkStart w:id="6" w:name="_Hlk150759644"/>
      <w:r w:rsidRPr="00897682">
        <w:rPr>
          <w:rFonts w:eastAsia="Calibri"/>
        </w:rPr>
        <w:t xml:space="preserve">V případě využití tohoto úložiště postačí uvést tuto skutečnost v protokolu sepsaném o úkonu; vzhledem k členění úložiště již nebude zapotřebí žádné další specifikace. </w:t>
      </w:r>
      <w:bookmarkEnd w:id="6"/>
      <w:r w:rsidRPr="00897682">
        <w:rPr>
          <w:rFonts w:eastAsia="Calibri"/>
        </w:rPr>
        <w:t>Toto centralizované úložiště zvukových a obrazových záznamů budou moci využívat soudy a státní zástupci, s využitím pro policejní orgány se nepočítá.</w:t>
      </w:r>
    </w:p>
    <w:p w14:paraId="72412B66" w14:textId="77777777" w:rsidR="006A419D" w:rsidRPr="00897682" w:rsidRDefault="006A419D" w:rsidP="006A419D">
      <w:pPr>
        <w:spacing w:line="240" w:lineRule="auto"/>
        <w:rPr>
          <w:rFonts w:eastAsia="Calibri"/>
        </w:rPr>
      </w:pPr>
      <w:r w:rsidRPr="00897682">
        <w:rPr>
          <w:rFonts w:eastAsia="Calibri"/>
        </w:rPr>
        <w:t>Skartace zvukových nebo obrazových záznamů, stejně jako doposud, bude sledovat osud spisu, a nebude je tak možné smazat před skartací samotného spisu.</w:t>
      </w:r>
    </w:p>
    <w:p w14:paraId="54CA46EE" w14:textId="53682514" w:rsidR="0041045B" w:rsidRPr="00897682" w:rsidRDefault="0041045B" w:rsidP="006A419D">
      <w:pPr>
        <w:spacing w:line="240" w:lineRule="auto"/>
        <w:rPr>
          <w:rFonts w:eastAsia="Calibri"/>
        </w:rPr>
      </w:pPr>
      <w:r w:rsidRPr="00897682">
        <w:rPr>
          <w:rFonts w:eastAsia="Calibri"/>
          <w:b/>
          <w:bCs w:val="0"/>
        </w:rPr>
        <w:t>K bodu 1</w:t>
      </w:r>
      <w:r w:rsidR="004E0C67" w:rsidRPr="00897682">
        <w:rPr>
          <w:rFonts w:eastAsia="Calibri"/>
          <w:b/>
          <w:bCs w:val="0"/>
        </w:rPr>
        <w:t>3</w:t>
      </w:r>
      <w:r w:rsidRPr="00897682">
        <w:rPr>
          <w:rFonts w:eastAsia="Calibri"/>
          <w:b/>
          <w:bCs w:val="0"/>
        </w:rPr>
        <w:t xml:space="preserve"> </w:t>
      </w:r>
      <w:r w:rsidRPr="00897682">
        <w:rPr>
          <w:rFonts w:eastAsia="Calibri"/>
        </w:rPr>
        <w:t>(§ 55b)</w:t>
      </w:r>
    </w:p>
    <w:p w14:paraId="019C15BF" w14:textId="77777777" w:rsidR="00494E1A" w:rsidRPr="00897682" w:rsidRDefault="0041045B" w:rsidP="0041045B">
      <w:pPr>
        <w:spacing w:line="240" w:lineRule="auto"/>
        <w:rPr>
          <w:rFonts w:cs="Times New Roman"/>
          <w:szCs w:val="24"/>
        </w:rPr>
      </w:pPr>
      <w:r w:rsidRPr="00897682">
        <w:rPr>
          <w:rFonts w:cs="Times New Roman"/>
          <w:szCs w:val="24"/>
        </w:rPr>
        <w:t>Poté, co bylo umožněno, aby se protokol o hlavním líčení (stejně jako o veřejném zasedání</w:t>
      </w:r>
      <w:r w:rsidR="0075103C" w:rsidRPr="00897682">
        <w:rPr>
          <w:rFonts w:cs="Times New Roman"/>
          <w:szCs w:val="24"/>
        </w:rPr>
        <w:t>, případně vazebním zasedání</w:t>
      </w:r>
      <w:r w:rsidRPr="00897682">
        <w:rPr>
          <w:rFonts w:cs="Times New Roman"/>
          <w:szCs w:val="24"/>
        </w:rPr>
        <w:t xml:space="preserve">) nediktoval, ale samostatně jej vyhotovoval protokolující nebo vyšší soudní úředník, se sice zrychlila doba trvání zmíněného úkonu, ale naopak se výrazně prodloužila doba, v níž jsou protokoly o průběhu takových úkonů vyhotovovány (není výjimkou, že u krajských soudů se tak děje i po několika měsících), nehledě na výrazné administrativní zatížení těch, kdo tyto protokoly vyhotovují. </w:t>
      </w:r>
      <w:r w:rsidR="00494E1A" w:rsidRPr="00897682">
        <w:rPr>
          <w:rFonts w:cs="Times New Roman"/>
          <w:szCs w:val="24"/>
        </w:rPr>
        <w:t xml:space="preserve">S ohledem na nízkou výši odměny zapisovatele je pak velmi obtížné vůbec takové místo obsadit a soudy se potýkají s nedostatkem administrativních pracovníků. </w:t>
      </w:r>
    </w:p>
    <w:p w14:paraId="642550E0" w14:textId="77777777" w:rsidR="00124EBE" w:rsidRPr="00897682" w:rsidRDefault="00494E1A" w:rsidP="0041045B">
      <w:pPr>
        <w:spacing w:line="240" w:lineRule="auto"/>
        <w:rPr>
          <w:rFonts w:cs="Times New Roman"/>
          <w:szCs w:val="24"/>
        </w:rPr>
      </w:pPr>
      <w:r w:rsidRPr="00897682">
        <w:rPr>
          <w:rFonts w:cs="Times New Roman"/>
          <w:szCs w:val="24"/>
        </w:rPr>
        <w:lastRenderedPageBreak/>
        <w:t>Původní p</w:t>
      </w:r>
      <w:r w:rsidR="0041045B" w:rsidRPr="00897682">
        <w:rPr>
          <w:rFonts w:cs="Times New Roman"/>
          <w:szCs w:val="24"/>
        </w:rPr>
        <w:t xml:space="preserve">ředstava, že </w:t>
      </w:r>
      <w:r w:rsidRPr="00897682">
        <w:rPr>
          <w:rFonts w:cs="Times New Roman"/>
          <w:szCs w:val="24"/>
        </w:rPr>
        <w:t>protokolující úředník nebo vyšší soudní úředník</w:t>
      </w:r>
      <w:r w:rsidR="0041045B" w:rsidRPr="00897682">
        <w:rPr>
          <w:rFonts w:cs="Times New Roman"/>
          <w:szCs w:val="24"/>
        </w:rPr>
        <w:t xml:space="preserve"> dokáž</w:t>
      </w:r>
      <w:r w:rsidRPr="00897682">
        <w:rPr>
          <w:rFonts w:cs="Times New Roman"/>
          <w:szCs w:val="24"/>
        </w:rPr>
        <w:t>e</w:t>
      </w:r>
      <w:r w:rsidR="0041045B" w:rsidRPr="00897682">
        <w:rPr>
          <w:rFonts w:cs="Times New Roman"/>
          <w:szCs w:val="24"/>
        </w:rPr>
        <w:t xml:space="preserve"> využít možností zjednodušení těchto protokolů způsobem uvedeným v § 55b odst. 3 větě první</w:t>
      </w:r>
      <w:r w:rsidRPr="00897682">
        <w:rPr>
          <w:rFonts w:cs="Times New Roman"/>
          <w:szCs w:val="24"/>
        </w:rPr>
        <w:t xml:space="preserve"> tr. ř.</w:t>
      </w:r>
      <w:r w:rsidR="0041045B" w:rsidRPr="00897682">
        <w:rPr>
          <w:rFonts w:cs="Times New Roman"/>
          <w:szCs w:val="24"/>
        </w:rPr>
        <w:t>, je zcela nemístná, protože to by vyžadovalo podrobnou znalost předchozího obsahu spisu. Stejně tak jen v ojedinělých případech přichází v úvahu vyhotovení tzv. stručného záznamu o průběhu hlavního líčení podle § 55b odst. 4</w:t>
      </w:r>
      <w:r w:rsidR="00C13882" w:rsidRPr="00897682">
        <w:rPr>
          <w:rFonts w:cs="Times New Roman"/>
          <w:szCs w:val="24"/>
        </w:rPr>
        <w:t xml:space="preserve"> tr. ř</w:t>
      </w:r>
      <w:r w:rsidR="0041045B" w:rsidRPr="00897682">
        <w:rPr>
          <w:rFonts w:cs="Times New Roman"/>
          <w:szCs w:val="24"/>
        </w:rPr>
        <w:t xml:space="preserve">. Přitom zvukový záznam o průběhu hlavního líčení je pravidelně připojován ke spisu a kdykoliv lze obsah provedeného úkonu soudu ověřit, nehledě na to, že pokud ve věci není podán opravný prostředek, je vyhotovení protokolu o hlavním líčení úkonem zcela nadbytečným. </w:t>
      </w:r>
    </w:p>
    <w:p w14:paraId="56DDFE18" w14:textId="76304B5C" w:rsidR="0041045B" w:rsidRPr="00897682" w:rsidRDefault="00124EBE" w:rsidP="0041045B">
      <w:pPr>
        <w:spacing w:line="240" w:lineRule="auto"/>
        <w:rPr>
          <w:rFonts w:cs="Times New Roman"/>
          <w:szCs w:val="24"/>
        </w:rPr>
      </w:pPr>
      <w:r w:rsidRPr="00897682">
        <w:rPr>
          <w:rFonts w:cs="Times New Roman"/>
          <w:szCs w:val="24"/>
        </w:rPr>
        <w:t xml:space="preserve">Za účelem </w:t>
      </w:r>
      <w:r w:rsidR="0041045B" w:rsidRPr="00897682">
        <w:rPr>
          <w:rFonts w:cs="Times New Roman"/>
          <w:szCs w:val="24"/>
        </w:rPr>
        <w:t>zjednodušení</w:t>
      </w:r>
      <w:r w:rsidRPr="00897682">
        <w:rPr>
          <w:rFonts w:cs="Times New Roman"/>
          <w:szCs w:val="24"/>
        </w:rPr>
        <w:t xml:space="preserve"> a</w:t>
      </w:r>
      <w:r w:rsidR="0041045B" w:rsidRPr="00897682">
        <w:rPr>
          <w:rFonts w:cs="Times New Roman"/>
          <w:szCs w:val="24"/>
        </w:rPr>
        <w:t xml:space="preserve"> zrychlení </w:t>
      </w:r>
      <w:r w:rsidRPr="00897682">
        <w:rPr>
          <w:rFonts w:cs="Times New Roman"/>
          <w:szCs w:val="24"/>
        </w:rPr>
        <w:t xml:space="preserve">trestního </w:t>
      </w:r>
      <w:r w:rsidR="0041045B" w:rsidRPr="00897682">
        <w:rPr>
          <w:rFonts w:cs="Times New Roman"/>
          <w:szCs w:val="24"/>
        </w:rPr>
        <w:t xml:space="preserve">řízení a snížení nákladů </w:t>
      </w:r>
      <w:r w:rsidRPr="00897682">
        <w:rPr>
          <w:rFonts w:cs="Times New Roman"/>
          <w:szCs w:val="24"/>
        </w:rPr>
        <w:t>s ním spojených</w:t>
      </w:r>
      <w:r w:rsidR="0041045B" w:rsidRPr="00897682">
        <w:rPr>
          <w:rFonts w:cs="Times New Roman"/>
          <w:szCs w:val="24"/>
        </w:rPr>
        <w:t xml:space="preserve"> se proto navrhuje protokoly o hlavním líčení nebo veřejném zasedání </w:t>
      </w:r>
      <w:r w:rsidRPr="00897682">
        <w:rPr>
          <w:rFonts w:cs="Times New Roman"/>
          <w:szCs w:val="24"/>
        </w:rPr>
        <w:t xml:space="preserve">(případně vazebním zasedání) </w:t>
      </w:r>
      <w:r w:rsidR="0041045B" w:rsidRPr="00897682">
        <w:rPr>
          <w:rFonts w:cs="Times New Roman"/>
          <w:szCs w:val="24"/>
        </w:rPr>
        <w:t>v listinné podobě nevyhotovovat, pokud je k dispozici zvukový z</w:t>
      </w:r>
      <w:r w:rsidRPr="00897682">
        <w:rPr>
          <w:rFonts w:cs="Times New Roman"/>
          <w:szCs w:val="24"/>
        </w:rPr>
        <w:t>áz</w:t>
      </w:r>
      <w:r w:rsidR="0041045B" w:rsidRPr="00897682">
        <w:rPr>
          <w:rFonts w:cs="Times New Roman"/>
          <w:szCs w:val="24"/>
        </w:rPr>
        <w:t>n</w:t>
      </w:r>
      <w:r w:rsidRPr="00897682">
        <w:rPr>
          <w:rFonts w:cs="Times New Roman"/>
          <w:szCs w:val="24"/>
        </w:rPr>
        <w:t>a</w:t>
      </w:r>
      <w:r w:rsidR="0041045B" w:rsidRPr="00897682">
        <w:rPr>
          <w:rFonts w:cs="Times New Roman"/>
          <w:szCs w:val="24"/>
        </w:rPr>
        <w:t>m o takovém úkonu</w:t>
      </w:r>
      <w:r w:rsidRPr="00897682">
        <w:rPr>
          <w:rFonts w:cs="Times New Roman"/>
          <w:szCs w:val="24"/>
        </w:rPr>
        <w:t xml:space="preserve"> spolu s automatickým přepisem pořízeným prostřednictvím technického zařízení</w:t>
      </w:r>
      <w:r w:rsidR="0041045B" w:rsidRPr="00897682">
        <w:rPr>
          <w:rFonts w:cs="Times New Roman"/>
          <w:szCs w:val="24"/>
        </w:rPr>
        <w:t>.</w:t>
      </w:r>
      <w:r w:rsidR="003B7048" w:rsidRPr="00897682">
        <w:rPr>
          <w:rFonts w:cs="Times New Roman"/>
          <w:szCs w:val="24"/>
        </w:rPr>
        <w:t xml:space="preserve"> Tento přepis nebude na rozdíl od protokolu veřejnou listinou</w:t>
      </w:r>
      <w:r w:rsidR="00F448C5" w:rsidRPr="00897682">
        <w:rPr>
          <w:rFonts w:cs="Times New Roman"/>
          <w:szCs w:val="24"/>
        </w:rPr>
        <w:t xml:space="preserve"> a nebude sloužit k důkazním účelům</w:t>
      </w:r>
      <w:r w:rsidR="003B7048" w:rsidRPr="00897682">
        <w:rPr>
          <w:rFonts w:cs="Times New Roman"/>
          <w:szCs w:val="24"/>
        </w:rPr>
        <w:t>, ale bude pouze orientační pomůck</w:t>
      </w:r>
      <w:r w:rsidR="00145811" w:rsidRPr="00897682">
        <w:rPr>
          <w:rFonts w:cs="Times New Roman"/>
          <w:szCs w:val="24"/>
        </w:rPr>
        <w:t>ou</w:t>
      </w:r>
      <w:r w:rsidR="003B7048" w:rsidRPr="00897682">
        <w:rPr>
          <w:rFonts w:cs="Times New Roman"/>
          <w:szCs w:val="24"/>
        </w:rPr>
        <w:t xml:space="preserve">, kdy s ohledem </w:t>
      </w:r>
      <w:r w:rsidR="0041045B" w:rsidRPr="00897682">
        <w:rPr>
          <w:rFonts w:cs="Times New Roman"/>
          <w:szCs w:val="24"/>
        </w:rPr>
        <w:t>tzv. indexaci</w:t>
      </w:r>
      <w:r w:rsidR="003B7048" w:rsidRPr="00897682">
        <w:rPr>
          <w:rFonts w:cs="Times New Roman"/>
          <w:szCs w:val="24"/>
        </w:rPr>
        <w:t xml:space="preserve"> v tomto přepis</w:t>
      </w:r>
      <w:r w:rsidR="00CB71BB" w:rsidRPr="00897682">
        <w:rPr>
          <w:rFonts w:cs="Times New Roman"/>
          <w:szCs w:val="24"/>
        </w:rPr>
        <w:t>u</w:t>
      </w:r>
      <w:r w:rsidR="003B7048" w:rsidRPr="00897682">
        <w:rPr>
          <w:rFonts w:cs="Times New Roman"/>
          <w:szCs w:val="24"/>
        </w:rPr>
        <w:t xml:space="preserve"> nebude </w:t>
      </w:r>
      <w:r w:rsidR="0041045B" w:rsidRPr="00897682">
        <w:rPr>
          <w:rFonts w:cs="Times New Roman"/>
          <w:szCs w:val="24"/>
        </w:rPr>
        <w:t xml:space="preserve">problém </w:t>
      </w:r>
      <w:r w:rsidR="003B7048" w:rsidRPr="00897682">
        <w:rPr>
          <w:rFonts w:cs="Times New Roman"/>
          <w:szCs w:val="24"/>
        </w:rPr>
        <w:t xml:space="preserve">záznam o provedení kteréhokoli důkazu </w:t>
      </w:r>
      <w:r w:rsidR="0041045B" w:rsidRPr="00897682">
        <w:rPr>
          <w:rFonts w:cs="Times New Roman"/>
          <w:szCs w:val="24"/>
        </w:rPr>
        <w:t>kdykoli rychle vyhledat.</w:t>
      </w:r>
      <w:r w:rsidR="00930B6E" w:rsidRPr="00897682">
        <w:rPr>
          <w:rFonts w:cs="Times New Roman"/>
          <w:szCs w:val="24"/>
        </w:rPr>
        <w:t xml:space="preserve"> Záznamy ze soudních jednání budou uchovávány ve výše zmiňovaném </w:t>
      </w:r>
      <w:r w:rsidR="0092033E" w:rsidRPr="00897682">
        <w:rPr>
          <w:rFonts w:cs="Times New Roman"/>
          <w:szCs w:val="24"/>
        </w:rPr>
        <w:t>datovém</w:t>
      </w:r>
      <w:r w:rsidR="00930B6E" w:rsidRPr="00897682">
        <w:rPr>
          <w:rFonts w:cs="Times New Roman"/>
          <w:szCs w:val="24"/>
        </w:rPr>
        <w:t xml:space="preserve"> úložišti (srov. odůvodnění k § 55c </w:t>
      </w:r>
      <w:r w:rsidR="00CB2C1C" w:rsidRPr="00897682">
        <w:rPr>
          <w:rFonts w:cs="Times New Roman"/>
          <w:szCs w:val="24"/>
        </w:rPr>
        <w:br/>
      </w:r>
      <w:r w:rsidR="00930B6E" w:rsidRPr="00897682">
        <w:rPr>
          <w:rFonts w:cs="Times New Roman"/>
          <w:szCs w:val="24"/>
        </w:rPr>
        <w:t>tr. ř.) a v trestním spisu bude poznamenáno, kde s</w:t>
      </w:r>
      <w:r w:rsidR="00CB2C1C" w:rsidRPr="00897682">
        <w:rPr>
          <w:rFonts w:cs="Times New Roman"/>
          <w:szCs w:val="24"/>
        </w:rPr>
        <w:t>e</w:t>
      </w:r>
      <w:r w:rsidR="00930B6E" w:rsidRPr="00897682">
        <w:rPr>
          <w:rFonts w:cs="Times New Roman"/>
          <w:szCs w:val="24"/>
        </w:rPr>
        <w:t xml:space="preserve"> záznam nachází. Oprávněným osobám pak bude umožněn dálkový přístup k takovému záznamu (srov. odůvodnění k § 65 tr. ř.). </w:t>
      </w:r>
    </w:p>
    <w:p w14:paraId="08AFAF1F" w14:textId="2F3017D8" w:rsidR="0041045B" w:rsidRPr="00897682" w:rsidRDefault="00921F99" w:rsidP="0041045B">
      <w:pPr>
        <w:spacing w:line="240" w:lineRule="auto"/>
        <w:rPr>
          <w:rFonts w:eastAsia="Calibri"/>
        </w:rPr>
      </w:pPr>
      <w:r w:rsidRPr="00897682">
        <w:rPr>
          <w:rFonts w:eastAsia="Calibri"/>
          <w:b/>
          <w:bCs w:val="0"/>
        </w:rPr>
        <w:t>K bodu 1</w:t>
      </w:r>
      <w:r w:rsidR="00E239E6" w:rsidRPr="00897682">
        <w:rPr>
          <w:rFonts w:eastAsia="Calibri"/>
          <w:b/>
          <w:bCs w:val="0"/>
        </w:rPr>
        <w:t>4</w:t>
      </w:r>
      <w:r w:rsidRPr="00897682">
        <w:rPr>
          <w:rFonts w:eastAsia="Calibri"/>
          <w:b/>
          <w:bCs w:val="0"/>
        </w:rPr>
        <w:t xml:space="preserve"> </w:t>
      </w:r>
      <w:r w:rsidRPr="00897682">
        <w:rPr>
          <w:rFonts w:eastAsia="Calibri"/>
        </w:rPr>
        <w:t>(§ 55</w:t>
      </w:r>
      <w:r w:rsidR="00E239E6" w:rsidRPr="00897682">
        <w:rPr>
          <w:rFonts w:eastAsia="Calibri"/>
        </w:rPr>
        <w:t>c</w:t>
      </w:r>
      <w:r w:rsidRPr="00897682">
        <w:rPr>
          <w:rFonts w:eastAsia="Calibri"/>
        </w:rPr>
        <w:t>)</w:t>
      </w:r>
    </w:p>
    <w:p w14:paraId="7424957C" w14:textId="67D26387" w:rsidR="00921F99" w:rsidRPr="00897682" w:rsidRDefault="00921F99" w:rsidP="00921F99">
      <w:pPr>
        <w:spacing w:line="240" w:lineRule="auto"/>
        <w:rPr>
          <w:rFonts w:cs="Times New Roman"/>
          <w:szCs w:val="24"/>
        </w:rPr>
      </w:pPr>
      <w:r w:rsidRPr="00897682">
        <w:rPr>
          <w:rFonts w:cs="Times New Roman"/>
          <w:szCs w:val="24"/>
        </w:rPr>
        <w:t>V navrženém § 55</w:t>
      </w:r>
      <w:r w:rsidR="00E239E6" w:rsidRPr="00897682">
        <w:rPr>
          <w:rFonts w:cs="Times New Roman"/>
          <w:szCs w:val="24"/>
        </w:rPr>
        <w:t>c</w:t>
      </w:r>
      <w:r w:rsidRPr="00897682">
        <w:rPr>
          <w:rFonts w:cs="Times New Roman"/>
          <w:szCs w:val="24"/>
        </w:rPr>
        <w:t xml:space="preserve"> tr. ř. je upraven postup při pořizování protokolu o hlavním líčení nebo veřejném zasedání (případně vazebním zasedání), pokud pro překážku technické povahy není pořizován zvukový záznam</w:t>
      </w:r>
      <w:r w:rsidR="002D15D7" w:rsidRPr="00897682">
        <w:rPr>
          <w:rFonts w:cs="Times New Roman"/>
          <w:szCs w:val="24"/>
        </w:rPr>
        <w:t xml:space="preserve"> s automatickým přepisem</w:t>
      </w:r>
      <w:r w:rsidRPr="00897682">
        <w:rPr>
          <w:rFonts w:cs="Times New Roman"/>
          <w:szCs w:val="24"/>
        </w:rPr>
        <w:t xml:space="preserve"> a protokol diktuje předseda senátu. Půjde zejména o případy, kdy soud ještě není vybaven potřebným technickým zařízením, nebo má technické zařízení poruchu a nefunguje řádně nebo vůbec. </w:t>
      </w:r>
    </w:p>
    <w:p w14:paraId="3F1B4E10" w14:textId="552C662A" w:rsidR="00921F99" w:rsidRPr="00897682" w:rsidRDefault="00921F99" w:rsidP="00921F99">
      <w:pPr>
        <w:spacing w:line="240" w:lineRule="auto"/>
        <w:rPr>
          <w:rFonts w:cs="Times New Roman"/>
          <w:szCs w:val="24"/>
        </w:rPr>
      </w:pPr>
      <w:r w:rsidRPr="00897682">
        <w:rPr>
          <w:rFonts w:cs="Times New Roman"/>
          <w:szCs w:val="24"/>
        </w:rPr>
        <w:t xml:space="preserve">Pro diktát </w:t>
      </w:r>
      <w:r w:rsidR="008A4936" w:rsidRPr="00897682">
        <w:rPr>
          <w:rFonts w:cs="Times New Roman"/>
          <w:szCs w:val="24"/>
        </w:rPr>
        <w:t xml:space="preserve">i nadále </w:t>
      </w:r>
      <w:r w:rsidRPr="00897682">
        <w:rPr>
          <w:rFonts w:cs="Times New Roman"/>
          <w:szCs w:val="24"/>
        </w:rPr>
        <w:t xml:space="preserve">platí podmínky, za nichž lze protokol zestručnit, </w:t>
      </w:r>
      <w:r w:rsidR="00F17BBF" w:rsidRPr="00897682">
        <w:rPr>
          <w:rFonts w:cs="Times New Roman"/>
          <w:szCs w:val="24"/>
        </w:rPr>
        <w:t xml:space="preserve">které byly </w:t>
      </w:r>
      <w:r w:rsidRPr="00897682">
        <w:rPr>
          <w:rFonts w:cs="Times New Roman"/>
          <w:szCs w:val="24"/>
        </w:rPr>
        <w:t>dosud uvedené v § 55b odst. 3</w:t>
      </w:r>
      <w:r w:rsidR="008A4936" w:rsidRPr="00897682">
        <w:rPr>
          <w:rFonts w:cs="Times New Roman"/>
          <w:szCs w:val="24"/>
        </w:rPr>
        <w:t xml:space="preserve"> tr. ř</w:t>
      </w:r>
      <w:r w:rsidRPr="00897682">
        <w:rPr>
          <w:rFonts w:cs="Times New Roman"/>
          <w:szCs w:val="24"/>
        </w:rPr>
        <w:t xml:space="preserve">.  </w:t>
      </w:r>
    </w:p>
    <w:p w14:paraId="2BCB40B3" w14:textId="640144C8" w:rsidR="00CE2124" w:rsidRPr="00897682" w:rsidRDefault="00721B4A" w:rsidP="00921F99">
      <w:pPr>
        <w:spacing w:line="240" w:lineRule="auto"/>
        <w:rPr>
          <w:rFonts w:cs="Times New Roman"/>
          <w:szCs w:val="24"/>
        </w:rPr>
      </w:pPr>
      <w:r w:rsidRPr="00897682">
        <w:rPr>
          <w:rFonts w:cs="Times New Roman"/>
          <w:b/>
          <w:bCs w:val="0"/>
          <w:szCs w:val="24"/>
        </w:rPr>
        <w:t>K bodu 1</w:t>
      </w:r>
      <w:r w:rsidR="005F7F1F" w:rsidRPr="00897682">
        <w:rPr>
          <w:rFonts w:cs="Times New Roman"/>
          <w:b/>
          <w:bCs w:val="0"/>
          <w:szCs w:val="24"/>
        </w:rPr>
        <w:t>5</w:t>
      </w:r>
      <w:r w:rsidRPr="00897682">
        <w:rPr>
          <w:rFonts w:cs="Times New Roman"/>
          <w:b/>
          <w:bCs w:val="0"/>
          <w:szCs w:val="24"/>
        </w:rPr>
        <w:t xml:space="preserve"> </w:t>
      </w:r>
      <w:r w:rsidRPr="00897682">
        <w:rPr>
          <w:rFonts w:cs="Times New Roman"/>
          <w:szCs w:val="24"/>
        </w:rPr>
        <w:t>(§ 56 odst. 1 věta první)</w:t>
      </w:r>
    </w:p>
    <w:p w14:paraId="2952BAE2" w14:textId="3821DE3F" w:rsidR="004702EA" w:rsidRPr="00897682" w:rsidRDefault="004702EA" w:rsidP="004702EA">
      <w:pPr>
        <w:spacing w:line="240" w:lineRule="auto"/>
        <w:rPr>
          <w:rFonts w:cs="Times New Roman"/>
          <w:szCs w:val="24"/>
        </w:rPr>
      </w:pPr>
      <w:r w:rsidRPr="00897682">
        <w:rPr>
          <w:rFonts w:cs="Times New Roman"/>
          <w:szCs w:val="24"/>
        </w:rPr>
        <w:t xml:space="preserve">Předpokládá se, že protokol o hlavním líčení nebo veřejném zasedání (případně vazebním zasedání) bude pořizován pouze tehdy, pokud bude předsedou senátu diktován zapisovateli. V takovém případě bude i nadále platit, že jej podepisuje předseda senátu a zapisovatel. </w:t>
      </w:r>
    </w:p>
    <w:p w14:paraId="2EFA1560" w14:textId="64F8CA70" w:rsidR="004702EA" w:rsidRPr="00897682" w:rsidRDefault="00386243" w:rsidP="00921F99">
      <w:pPr>
        <w:spacing w:line="240" w:lineRule="auto"/>
        <w:rPr>
          <w:rFonts w:cs="Times New Roman"/>
          <w:szCs w:val="24"/>
        </w:rPr>
      </w:pPr>
      <w:r w:rsidRPr="00897682">
        <w:rPr>
          <w:rFonts w:cs="Times New Roman"/>
          <w:b/>
          <w:bCs w:val="0"/>
          <w:szCs w:val="24"/>
        </w:rPr>
        <w:t>K bod</w:t>
      </w:r>
      <w:r w:rsidR="00AB07A6" w:rsidRPr="00897682">
        <w:rPr>
          <w:rFonts w:cs="Times New Roman"/>
          <w:b/>
          <w:bCs w:val="0"/>
          <w:szCs w:val="24"/>
        </w:rPr>
        <w:t>ům</w:t>
      </w:r>
      <w:r w:rsidRPr="00897682">
        <w:rPr>
          <w:rFonts w:cs="Times New Roman"/>
          <w:b/>
          <w:bCs w:val="0"/>
          <w:szCs w:val="24"/>
        </w:rPr>
        <w:t xml:space="preserve"> 1</w:t>
      </w:r>
      <w:r w:rsidR="005F7F1F" w:rsidRPr="00897682">
        <w:rPr>
          <w:rFonts w:cs="Times New Roman"/>
          <w:b/>
          <w:bCs w:val="0"/>
          <w:szCs w:val="24"/>
        </w:rPr>
        <w:t>6</w:t>
      </w:r>
      <w:r w:rsidRPr="00897682">
        <w:rPr>
          <w:rFonts w:cs="Times New Roman"/>
          <w:b/>
          <w:bCs w:val="0"/>
          <w:szCs w:val="24"/>
        </w:rPr>
        <w:t xml:space="preserve"> </w:t>
      </w:r>
      <w:r w:rsidR="00AB07A6" w:rsidRPr="00897682">
        <w:rPr>
          <w:rFonts w:cs="Times New Roman"/>
          <w:b/>
          <w:bCs w:val="0"/>
          <w:szCs w:val="24"/>
        </w:rPr>
        <w:t>a 1</w:t>
      </w:r>
      <w:r w:rsidR="005F7F1F" w:rsidRPr="00897682">
        <w:rPr>
          <w:rFonts w:cs="Times New Roman"/>
          <w:b/>
          <w:bCs w:val="0"/>
          <w:szCs w:val="24"/>
        </w:rPr>
        <w:t>7</w:t>
      </w:r>
      <w:r w:rsidR="00AB07A6" w:rsidRPr="00897682">
        <w:rPr>
          <w:rFonts w:cs="Times New Roman"/>
          <w:b/>
          <w:bCs w:val="0"/>
          <w:szCs w:val="24"/>
        </w:rPr>
        <w:t xml:space="preserve"> </w:t>
      </w:r>
      <w:r w:rsidRPr="00897682">
        <w:rPr>
          <w:rFonts w:cs="Times New Roman"/>
          <w:szCs w:val="24"/>
        </w:rPr>
        <w:t>(§ 58 odst. 3</w:t>
      </w:r>
      <w:r w:rsidR="00AB07A6" w:rsidRPr="00897682">
        <w:rPr>
          <w:rFonts w:cs="Times New Roman"/>
          <w:szCs w:val="24"/>
        </w:rPr>
        <w:t xml:space="preserve"> a 4</w:t>
      </w:r>
      <w:r w:rsidRPr="00897682">
        <w:rPr>
          <w:rFonts w:cs="Times New Roman"/>
          <w:szCs w:val="24"/>
        </w:rPr>
        <w:t>)</w:t>
      </w:r>
    </w:p>
    <w:p w14:paraId="69F5B5D2" w14:textId="21948F30" w:rsidR="00386243" w:rsidRPr="00897682" w:rsidRDefault="00386243" w:rsidP="00386243">
      <w:pPr>
        <w:spacing w:line="240" w:lineRule="auto"/>
        <w:rPr>
          <w:rFonts w:cs="Times New Roman"/>
          <w:szCs w:val="24"/>
        </w:rPr>
      </w:pPr>
      <w:r w:rsidRPr="00897682">
        <w:rPr>
          <w:rFonts w:cs="Times New Roman"/>
          <w:szCs w:val="24"/>
        </w:rPr>
        <w:t>I nadále bude platit, že o poradě senátu v hlavním líčení nebo veřejném zasedání se bude vždy pořizovat protokol. V případě, že soud bude jednat bez přítomnosti zapisovatele, bude záviset na předsedovi senátu, zda s ohledem na předpokládanou délku takového protokolu jej sepíše sám, případně jím pověřený člen senátu, nebo zda k sepsání přibere zapisovatele.</w:t>
      </w:r>
      <w:r w:rsidR="009109B2">
        <w:rPr>
          <w:rFonts w:cs="Times New Roman"/>
          <w:szCs w:val="24"/>
        </w:rPr>
        <w:t xml:space="preserve"> </w:t>
      </w:r>
      <w:r w:rsidR="00B212CB" w:rsidRPr="00897682">
        <w:rPr>
          <w:rFonts w:cs="Times New Roman"/>
          <w:szCs w:val="24"/>
        </w:rPr>
        <w:t xml:space="preserve">Pokud zapisovatele přibere, </w:t>
      </w:r>
      <w:r w:rsidRPr="00897682">
        <w:rPr>
          <w:rFonts w:cs="Times New Roman"/>
          <w:szCs w:val="24"/>
        </w:rPr>
        <w:t>vedle všech členů senátu protokol podepíše i zapisovatel.</w:t>
      </w:r>
    </w:p>
    <w:p w14:paraId="7D701D1D" w14:textId="3A53CB24" w:rsidR="00386243" w:rsidRPr="00897682" w:rsidRDefault="00356D63" w:rsidP="00386243">
      <w:pPr>
        <w:spacing w:line="240" w:lineRule="auto"/>
        <w:rPr>
          <w:rFonts w:cs="Times New Roman"/>
          <w:szCs w:val="24"/>
        </w:rPr>
      </w:pPr>
      <w:r w:rsidRPr="00897682">
        <w:rPr>
          <w:rFonts w:cs="Times New Roman"/>
          <w:b/>
          <w:bCs w:val="0"/>
          <w:szCs w:val="24"/>
        </w:rPr>
        <w:t>K bodu 1</w:t>
      </w:r>
      <w:r w:rsidR="005F7F1F" w:rsidRPr="00897682">
        <w:rPr>
          <w:rFonts w:cs="Times New Roman"/>
          <w:b/>
          <w:bCs w:val="0"/>
          <w:szCs w:val="24"/>
        </w:rPr>
        <w:t>8</w:t>
      </w:r>
      <w:r w:rsidRPr="00897682">
        <w:rPr>
          <w:rFonts w:cs="Times New Roman"/>
          <w:b/>
          <w:bCs w:val="0"/>
          <w:szCs w:val="24"/>
        </w:rPr>
        <w:t xml:space="preserve"> </w:t>
      </w:r>
      <w:r w:rsidRPr="00897682">
        <w:rPr>
          <w:rFonts w:cs="Times New Roman"/>
          <w:szCs w:val="24"/>
        </w:rPr>
        <w:t xml:space="preserve">(§ 59 odst. 1) </w:t>
      </w:r>
    </w:p>
    <w:p w14:paraId="3DE8165E" w14:textId="343630D9" w:rsidR="00356D63" w:rsidRPr="00897682" w:rsidRDefault="00356D63" w:rsidP="00356D63">
      <w:pPr>
        <w:spacing w:line="240" w:lineRule="auto"/>
        <w:rPr>
          <w:rFonts w:cs="Times New Roman"/>
          <w:szCs w:val="24"/>
        </w:rPr>
      </w:pPr>
      <w:r w:rsidRPr="00897682">
        <w:rPr>
          <w:rFonts w:cs="Times New Roman"/>
          <w:szCs w:val="24"/>
        </w:rPr>
        <w:t xml:space="preserve">Provoz telegrafu byl v České republice ukončen dne 31. 3. 2010, dálnopis byl ukončen v červenci roku 2008, telefaxová veřejná služba již rovněž neexistuje, pouze se připouští </w:t>
      </w:r>
      <w:r w:rsidRPr="00897682">
        <w:rPr>
          <w:rFonts w:cs="Times New Roman"/>
          <w:szCs w:val="24"/>
        </w:rPr>
        <w:br/>
        <w:t xml:space="preserve">u soukromých stanic. Není proto důvod v § 59 odst. 1 tr. ř. tento způsob podání nadále připouštět. </w:t>
      </w:r>
    </w:p>
    <w:p w14:paraId="52B0CCD3" w14:textId="3D5BB9CC" w:rsidR="00921F99" w:rsidRPr="00897682" w:rsidRDefault="005F0DA9" w:rsidP="0041045B">
      <w:pPr>
        <w:spacing w:line="240" w:lineRule="auto"/>
        <w:rPr>
          <w:rFonts w:eastAsia="Calibri"/>
        </w:rPr>
      </w:pPr>
      <w:r w:rsidRPr="00897682">
        <w:rPr>
          <w:rFonts w:eastAsia="Calibri"/>
          <w:b/>
          <w:bCs w:val="0"/>
        </w:rPr>
        <w:t xml:space="preserve">K bodu </w:t>
      </w:r>
      <w:r w:rsidR="005F7F1F" w:rsidRPr="00897682">
        <w:rPr>
          <w:rFonts w:eastAsia="Calibri"/>
          <w:b/>
          <w:bCs w:val="0"/>
        </w:rPr>
        <w:t>19</w:t>
      </w:r>
      <w:r w:rsidR="005A7F27" w:rsidRPr="00897682">
        <w:rPr>
          <w:rFonts w:eastAsia="Calibri"/>
          <w:b/>
          <w:bCs w:val="0"/>
        </w:rPr>
        <w:t xml:space="preserve"> </w:t>
      </w:r>
      <w:r w:rsidRPr="00897682">
        <w:rPr>
          <w:rFonts w:eastAsia="Calibri"/>
        </w:rPr>
        <w:t>(§ 64b)</w:t>
      </w:r>
    </w:p>
    <w:p w14:paraId="2A933802" w14:textId="77777777" w:rsidR="005F0DA9" w:rsidRPr="00897682" w:rsidRDefault="005F0DA9" w:rsidP="005F0DA9">
      <w:pPr>
        <w:spacing w:line="240" w:lineRule="auto"/>
        <w:rPr>
          <w:rFonts w:eastAsia="Aptos" w:cs="Times New Roman"/>
          <w:bCs w:val="0"/>
          <w:kern w:val="2"/>
          <w:szCs w:val="24"/>
          <w14:ligatures w14:val="standardContextual"/>
        </w:rPr>
      </w:pPr>
      <w:r w:rsidRPr="00897682">
        <w:rPr>
          <w:rFonts w:eastAsia="Aptos" w:cs="Times New Roman"/>
          <w:bCs w:val="0"/>
          <w:kern w:val="2"/>
          <w:szCs w:val="24"/>
          <w14:ligatures w14:val="standardContextual"/>
        </w:rPr>
        <w:t xml:space="preserve">Nově se navrhuje upravit příkaz k pátrání pro účely doručení písemnosti, </w:t>
      </w:r>
      <w:r w:rsidRPr="00897682">
        <w:rPr>
          <w:rFonts w:eastAsia="Aptos" w:cs="Times New Roman"/>
          <w:bCs w:val="0"/>
          <w:kern w:val="2"/>
          <w14:ligatures w14:val="standardContextual"/>
        </w:rPr>
        <w:t xml:space="preserve">který může být vydán v případě, že se možnými zákonem předvídanými způsoby nepodařilo doručit písemnost osobě, o které není v době doručování písemnosti známo, kde se fakticky zdržuje (nejde o evidenční </w:t>
      </w:r>
      <w:r w:rsidRPr="00897682">
        <w:rPr>
          <w:rFonts w:eastAsia="Aptos" w:cs="Times New Roman"/>
          <w:bCs w:val="0"/>
          <w:kern w:val="2"/>
          <w14:ligatures w14:val="standardContextual"/>
        </w:rPr>
        <w:lastRenderedPageBreak/>
        <w:t>pobyt, ale o faktické místo pobytu), a pro řádné provedení trestního řízení je třeba takové osobě doručit určitou písemnost. Institut pátrání po osobě pro účely trestního řízení je přitom znám i v řadě zahraničních trestních řádů (např. německý trestní řád – zejm. § 131a, rakouský trestní řád – zejm. § 167-169, švýcarský trestní řád – zejm. čl. 210-211).</w:t>
      </w:r>
      <w:r w:rsidRPr="00897682">
        <w:rPr>
          <w:rFonts w:eastAsia="Aptos" w:cs="Times New Roman"/>
          <w:bCs w:val="0"/>
          <w:kern w:val="2"/>
          <w:szCs w:val="24"/>
          <w14:ligatures w14:val="standardContextual"/>
        </w:rPr>
        <w:t xml:space="preserve"> </w:t>
      </w:r>
    </w:p>
    <w:p w14:paraId="6CD87306" w14:textId="77777777" w:rsidR="005F0DA9" w:rsidRPr="00897682" w:rsidRDefault="005F0DA9" w:rsidP="005F0DA9">
      <w:pPr>
        <w:spacing w:line="240" w:lineRule="auto"/>
        <w:rPr>
          <w:rFonts w:eastAsia="Aptos" w:cs="Times New Roman"/>
          <w:bCs w:val="0"/>
          <w:kern w:val="2"/>
          <w14:ligatures w14:val="standardContextual"/>
        </w:rPr>
      </w:pPr>
      <w:r w:rsidRPr="00897682">
        <w:rPr>
          <w:rFonts w:eastAsia="Aptos" w:cs="Times New Roman"/>
          <w:bCs w:val="0"/>
          <w:kern w:val="2"/>
          <w:szCs w:val="24"/>
          <w14:ligatures w14:val="standardContextual"/>
        </w:rPr>
        <w:t xml:space="preserve">Cílem pátrání je především doručení písemnosti, jejíž doručení je nutné pro řádné provedení trestního řízení, a současně zjištění údajů o aktuálním pobytu hledané osoby tak, </w:t>
      </w:r>
      <w:r w:rsidRPr="00897682">
        <w:rPr>
          <w:rFonts w:eastAsia="Aptos" w:cs="Times New Roman"/>
          <w:bCs w:val="0"/>
          <w:kern w:val="2"/>
          <w14:ligatures w14:val="standardContextual"/>
        </w:rPr>
        <w:t>aby byla pro další průběh trestního řízení zajištěna možnost jak doručování dalších písemností, tak i zastižení hledané osoby pro případ, že by pro trestní řízení byla potřebná její osobní přítomnost.</w:t>
      </w:r>
    </w:p>
    <w:p w14:paraId="46C1A644" w14:textId="4ECC1CF5" w:rsidR="005F0DA9" w:rsidRPr="00897682" w:rsidRDefault="005F0DA9" w:rsidP="005F0DA9">
      <w:pPr>
        <w:spacing w:line="240" w:lineRule="auto"/>
        <w:rPr>
          <w:rFonts w:eastAsia="Aptos" w:cs="Times New Roman"/>
          <w:bCs w:val="0"/>
          <w:kern w:val="2"/>
          <w14:ligatures w14:val="standardContextual"/>
        </w:rPr>
      </w:pPr>
      <w:r w:rsidRPr="00897682">
        <w:rPr>
          <w:rFonts w:eastAsia="Aptos" w:cs="Times New Roman"/>
          <w:bCs w:val="0"/>
          <w:kern w:val="2"/>
          <w14:ligatures w14:val="standardContextual"/>
        </w:rPr>
        <w:t>Zavedení úpravy příkazu k pátrání reaguje na potřeby praxe a na personální vytížení Policie</w:t>
      </w:r>
      <w:r w:rsidR="00CE2531" w:rsidRPr="00897682">
        <w:rPr>
          <w:rFonts w:eastAsia="Aptos" w:cs="Times New Roman"/>
          <w:bCs w:val="0"/>
          <w:kern w:val="2"/>
          <w14:ligatures w14:val="standardContextual"/>
        </w:rPr>
        <w:t xml:space="preserve"> České republiky</w:t>
      </w:r>
      <w:r w:rsidRPr="00897682">
        <w:rPr>
          <w:rFonts w:eastAsia="Aptos" w:cs="Times New Roman"/>
          <w:bCs w:val="0"/>
          <w:kern w:val="2"/>
          <w14:ligatures w14:val="standardContextual"/>
        </w:rPr>
        <w:t>. V současné době je v případech, kdy je nutné doručit písemnost osobě neznámého pobytu a vyslechnout ji k adrese jejího aktuálního pobytu pro účely dalšího doručování či zajištění přítomnosti osoby na úkonech trestního řízení, někdy v praxi vydáván příkaz k předvedení či případně příkaz k zatčení, jsou-li splněny podmínky pro jeho vydání. V takových případech je však osoba předvedena před orgán, který příkaz k jejímu předvedení nebo zatčení vydal. Předváděná nebo zatčená osoba tedy musí být Policií Č</w:t>
      </w:r>
      <w:r w:rsidR="00CE2531" w:rsidRPr="00897682">
        <w:rPr>
          <w:rFonts w:eastAsia="Aptos" w:cs="Times New Roman"/>
          <w:bCs w:val="0"/>
          <w:kern w:val="2"/>
          <w14:ligatures w14:val="standardContextual"/>
        </w:rPr>
        <w:t>eské republiky</w:t>
      </w:r>
      <w:r w:rsidRPr="00897682">
        <w:rPr>
          <w:rFonts w:eastAsia="Aptos" w:cs="Times New Roman"/>
          <w:bCs w:val="0"/>
          <w:kern w:val="2"/>
          <w14:ligatures w14:val="standardContextual"/>
        </w:rPr>
        <w:t xml:space="preserve"> eskortována např. k soudu, často i značně vzdálenému od místa zajištění nebo zatčení osoby. </w:t>
      </w:r>
    </w:p>
    <w:p w14:paraId="0E144690" w14:textId="77777777" w:rsidR="005F0DA9" w:rsidRPr="00897682" w:rsidRDefault="005F0DA9" w:rsidP="005F0DA9">
      <w:pPr>
        <w:spacing w:line="240" w:lineRule="auto"/>
        <w:rPr>
          <w:rFonts w:eastAsia="Aptos" w:cs="Times New Roman"/>
          <w:bCs w:val="0"/>
          <w:kern w:val="2"/>
          <w14:ligatures w14:val="standardContextual"/>
        </w:rPr>
      </w:pPr>
      <w:r w:rsidRPr="00897682">
        <w:rPr>
          <w:rFonts w:eastAsia="Aptos" w:cs="Times New Roman"/>
          <w:bCs w:val="0"/>
          <w:kern w:val="2"/>
          <w14:ligatures w14:val="standardContextual"/>
        </w:rPr>
        <w:t>Takový postup, pokud je primárním účelem zjištění kontaktních údajů a doručení písemnosti, je zbytečně zatěžující pro orgány činné v trestním řízení, ale zejména i zbytečně zasahuje do práv osoby, které je písemnost doručována, neboť v důsledku eskorty může být její osobní svoboda omezena i po dobu několika hodin. Přestože je osoba po provedení potřebných úkonů neprodleně propuštěna na svobodu, může pro ni předvedení představovat i nepřiměřené praktické potíže, zejména pokud je eskortována k vzdálenějšímu soudu, případně jinému orgánu, neboť cestu zpět do místa pobytu si musí zajistit na vlastní náklady.</w:t>
      </w:r>
    </w:p>
    <w:p w14:paraId="3AE3BD35" w14:textId="69629955" w:rsidR="005F0DA9" w:rsidRPr="00897682" w:rsidRDefault="005F0DA9" w:rsidP="005F0DA9">
      <w:pPr>
        <w:spacing w:line="240" w:lineRule="auto"/>
        <w:rPr>
          <w:rFonts w:eastAsia="Aptos" w:cs="Times New Roman"/>
          <w:bCs w:val="0"/>
          <w:kern w:val="2"/>
          <w14:ligatures w14:val="standardContextual"/>
        </w:rPr>
      </w:pPr>
      <w:r w:rsidRPr="00897682">
        <w:rPr>
          <w:rFonts w:eastAsia="Aptos" w:cs="Times New Roman"/>
          <w:bCs w:val="0"/>
          <w:kern w:val="2"/>
          <w14:ligatures w14:val="standardContextual"/>
        </w:rPr>
        <w:t>Navrhovaná úprava uvedené nedostatky odstraňuje tím, že zavádí institut určený výhradně pro pátrání za účelem doručení písemnosti osobě neznámého pobytu prostřednictvím Policie</w:t>
      </w:r>
      <w:r w:rsidR="00CE2531" w:rsidRPr="00897682">
        <w:rPr>
          <w:rFonts w:eastAsia="Aptos" w:cs="Times New Roman"/>
          <w:bCs w:val="0"/>
          <w:kern w:val="2"/>
          <w14:ligatures w14:val="standardContextual"/>
        </w:rPr>
        <w:t xml:space="preserve"> České republiky</w:t>
      </w:r>
      <w:r w:rsidRPr="00897682">
        <w:rPr>
          <w:rFonts w:eastAsia="Aptos" w:cs="Times New Roman"/>
          <w:bCs w:val="0"/>
          <w:kern w:val="2"/>
          <w14:ligatures w14:val="standardContextual"/>
        </w:rPr>
        <w:t xml:space="preserve">, přičemž předvedení je možné pouze při neposkytnutí potřebné součinnosti ze strany hledané osoby. V takovém případě hledaná osoba nebude předváděna k orgánu, který příkaz vydal, ale na nejbližší </w:t>
      </w:r>
      <w:r w:rsidR="00716174" w:rsidRPr="00897682">
        <w:rPr>
          <w:rFonts w:eastAsia="Aptos" w:cs="Times New Roman"/>
          <w:bCs w:val="0"/>
          <w:kern w:val="2"/>
          <w14:ligatures w14:val="standardContextual"/>
        </w:rPr>
        <w:t xml:space="preserve">policejní </w:t>
      </w:r>
      <w:r w:rsidRPr="00897682">
        <w:rPr>
          <w:rFonts w:eastAsia="Aptos" w:cs="Times New Roman"/>
          <w:bCs w:val="0"/>
          <w:kern w:val="2"/>
          <w14:ligatures w14:val="standardContextual"/>
        </w:rPr>
        <w:t xml:space="preserve">služebnu, a to pouze na dobu nezbytnou k doručení písemnosti a zjištění kontaktních údajů hledané osoby. Tím se zvyšuje efektivita trestního řízení a současně se minimalizuje rozsah zásahu do práv hledané osoby. </w:t>
      </w:r>
    </w:p>
    <w:p w14:paraId="4DDE6B40" w14:textId="77777777" w:rsidR="005F0DA9" w:rsidRPr="00897682" w:rsidRDefault="005F0DA9" w:rsidP="005F0DA9">
      <w:pPr>
        <w:spacing w:line="240" w:lineRule="auto"/>
        <w:rPr>
          <w:rFonts w:eastAsia="Aptos" w:cs="Times New Roman"/>
          <w:bCs w:val="0"/>
          <w:kern w:val="2"/>
          <w:szCs w:val="24"/>
          <w14:ligatures w14:val="standardContextual"/>
        </w:rPr>
      </w:pPr>
      <w:r w:rsidRPr="00897682">
        <w:rPr>
          <w:rFonts w:eastAsia="Aptos" w:cs="Times New Roman"/>
          <w:bCs w:val="0"/>
          <w:kern w:val="2"/>
          <w14:ligatures w14:val="standardContextual"/>
        </w:rPr>
        <w:t>Pátrání po</w:t>
      </w:r>
      <w:r w:rsidRPr="00897682">
        <w:rPr>
          <w:rFonts w:eastAsia="Aptos" w:cs="Times New Roman"/>
          <w:bCs w:val="0"/>
          <w:kern w:val="2"/>
          <w:szCs w:val="24"/>
          <w14:ligatures w14:val="standardContextual"/>
        </w:rPr>
        <w:t xml:space="preserve"> hledané osobě může nařídit v přípravném řízení státní zástupce a v řízení před soudem předseda senátu. Okolnosti, z nichž orgán vydávající příkaz dovozuje potřebu jeho vydání, by měly být v příkazu vždy dostatečně popsány. Tím je zajištěno, že institut bude využíván jen v odůvodněných případech, kdy doručení písemnosti nelze zajistit jiným způsobem. </w:t>
      </w:r>
    </w:p>
    <w:p w14:paraId="68C55DA6" w14:textId="7C3F4709" w:rsidR="005F0DA9" w:rsidRPr="00897682" w:rsidRDefault="005F0DA9" w:rsidP="005F0DA9">
      <w:pPr>
        <w:spacing w:line="240" w:lineRule="auto"/>
        <w:rPr>
          <w:rFonts w:eastAsia="Aptos" w:cs="Times New Roman"/>
          <w:bCs w:val="0"/>
          <w:kern w:val="2"/>
          <w14:ligatures w14:val="standardContextual"/>
        </w:rPr>
      </w:pPr>
      <w:r w:rsidRPr="00897682">
        <w:rPr>
          <w:rFonts w:eastAsia="Aptos" w:cs="Times New Roman"/>
          <w:bCs w:val="0"/>
          <w:kern w:val="2"/>
          <w14:ligatures w14:val="standardContextual"/>
        </w:rPr>
        <w:t xml:space="preserve">Orgán činný v trestním řízení, který příkaz k pátrání vydal, jej zašle Policii </w:t>
      </w:r>
      <w:r w:rsidR="00264078" w:rsidRPr="00897682">
        <w:rPr>
          <w:rFonts w:eastAsia="Aptos" w:cs="Times New Roman"/>
          <w:bCs w:val="0"/>
          <w:kern w:val="2"/>
          <w14:ligatures w14:val="standardContextual"/>
        </w:rPr>
        <w:t xml:space="preserve">České republiky </w:t>
      </w:r>
      <w:r w:rsidRPr="00897682">
        <w:rPr>
          <w:rFonts w:eastAsia="Aptos" w:cs="Times New Roman"/>
          <w:bCs w:val="0"/>
          <w:kern w:val="2"/>
          <w14:ligatures w14:val="standardContextual"/>
        </w:rPr>
        <w:t xml:space="preserve">spolu s autorizovanou konverzí písemnosti, která má být po vypátrání doručena. Policie </w:t>
      </w:r>
      <w:r w:rsidR="00264078" w:rsidRPr="00897682">
        <w:rPr>
          <w:rFonts w:eastAsia="Aptos" w:cs="Times New Roman"/>
          <w:bCs w:val="0"/>
          <w:kern w:val="2"/>
          <w14:ligatures w14:val="standardContextual"/>
        </w:rPr>
        <w:t xml:space="preserve">České republiky </w:t>
      </w:r>
      <w:r w:rsidRPr="00897682">
        <w:rPr>
          <w:rFonts w:eastAsia="Aptos" w:cs="Times New Roman"/>
          <w:bCs w:val="0"/>
          <w:kern w:val="2"/>
          <w14:ligatures w14:val="standardContextual"/>
        </w:rPr>
        <w:t xml:space="preserve">písemnost vloží do pátracího svazku systému Evidence trestního řízení, </w:t>
      </w:r>
      <w:r w:rsidR="007E4C19" w:rsidRPr="00897682">
        <w:rPr>
          <w:rFonts w:eastAsia="Aptos" w:cs="Times New Roman"/>
          <w:bCs w:val="0"/>
          <w:kern w:val="2"/>
          <w14:ligatures w14:val="standardContextual"/>
        </w:rPr>
        <w:t xml:space="preserve">(ETŘ) </w:t>
      </w:r>
      <w:r w:rsidRPr="00897682">
        <w:rPr>
          <w:rFonts w:eastAsia="Aptos" w:cs="Times New Roman"/>
          <w:bCs w:val="0"/>
          <w:kern w:val="2"/>
          <w14:ligatures w14:val="standardContextual"/>
        </w:rPr>
        <w:t xml:space="preserve">prostřednictvím něhož ji i následně doručí. </w:t>
      </w:r>
    </w:p>
    <w:p w14:paraId="76A69C9E" w14:textId="2513DB9E" w:rsidR="005F0DA9" w:rsidRPr="00897682" w:rsidRDefault="005F0DA9" w:rsidP="005F0DA9">
      <w:pPr>
        <w:spacing w:line="240" w:lineRule="auto"/>
        <w:rPr>
          <w:rFonts w:eastAsia="Aptos" w:cs="Times New Roman"/>
          <w:bCs w:val="0"/>
          <w:kern w:val="2"/>
          <w:szCs w:val="24"/>
          <w14:ligatures w14:val="standardContextual"/>
        </w:rPr>
      </w:pPr>
      <w:r w:rsidRPr="00897682">
        <w:rPr>
          <w:rFonts w:eastAsia="Aptos" w:cs="Times New Roman"/>
          <w:bCs w:val="0"/>
          <w:kern w:val="2"/>
          <w:szCs w:val="24"/>
          <w14:ligatures w14:val="standardContextual"/>
        </w:rPr>
        <w:t>Obsahem příkazu jsou vždy identifikační údaje hledané osoby vylučující její záměnu s jinou osobou a uvedení důvodu, pro nějž bylo k vydání příkazu k pátrání přistoupeno. Pro případy, kdy by hledaná osoba odmítala po vypátrání poskytnout součinnost potřebnou k doručení písemnosti, se navrhuje upravit jako součást příkazu k pátrání též příkaz k předvedení před Policii</w:t>
      </w:r>
      <w:r w:rsidR="00177026" w:rsidRPr="00897682">
        <w:rPr>
          <w:rFonts w:eastAsia="Aptos" w:cs="Times New Roman"/>
          <w:bCs w:val="0"/>
          <w:kern w:val="2"/>
          <w:szCs w:val="24"/>
          <w14:ligatures w14:val="standardContextual"/>
        </w:rPr>
        <w:t xml:space="preserve"> </w:t>
      </w:r>
      <w:r w:rsidR="00177026" w:rsidRPr="00897682">
        <w:rPr>
          <w:rFonts w:eastAsia="Aptos" w:cs="Times New Roman"/>
          <w:bCs w:val="0"/>
          <w:kern w:val="2"/>
          <w14:ligatures w14:val="standardContextual"/>
        </w:rPr>
        <w:t>České republiky</w:t>
      </w:r>
      <w:r w:rsidRPr="00897682">
        <w:rPr>
          <w:rFonts w:eastAsia="Aptos" w:cs="Times New Roman"/>
          <w:bCs w:val="0"/>
          <w:kern w:val="2"/>
          <w:szCs w:val="24"/>
          <w14:ligatures w14:val="standardContextual"/>
        </w:rPr>
        <w:t xml:space="preserve">. Zajištění hledané osoby Policie </w:t>
      </w:r>
      <w:r w:rsidR="00177026" w:rsidRPr="00897682">
        <w:rPr>
          <w:rFonts w:eastAsia="Aptos" w:cs="Times New Roman"/>
          <w:bCs w:val="0"/>
          <w:kern w:val="2"/>
          <w14:ligatures w14:val="standardContextual"/>
        </w:rPr>
        <w:t>České republiky</w:t>
      </w:r>
      <w:r w:rsidR="00177026" w:rsidRPr="00897682">
        <w:rPr>
          <w:rFonts w:eastAsia="Aptos" w:cs="Times New Roman"/>
          <w:bCs w:val="0"/>
          <w:kern w:val="2"/>
          <w:szCs w:val="24"/>
          <w14:ligatures w14:val="standardContextual"/>
        </w:rPr>
        <w:t xml:space="preserve"> </w:t>
      </w:r>
      <w:r w:rsidRPr="00897682">
        <w:rPr>
          <w:rFonts w:eastAsia="Aptos" w:cs="Times New Roman"/>
          <w:bCs w:val="0"/>
          <w:kern w:val="2"/>
          <w:szCs w:val="24"/>
          <w14:ligatures w14:val="standardContextual"/>
        </w:rPr>
        <w:t>provede podle § 26 odst. 1 písm. c) zákona č. 273/2008 Sb., o Policii České republiky.</w:t>
      </w:r>
    </w:p>
    <w:p w14:paraId="70D34824" w14:textId="6D8E646A" w:rsidR="005F0DA9" w:rsidRPr="00897682" w:rsidRDefault="005F0DA9" w:rsidP="005F0DA9">
      <w:pPr>
        <w:spacing w:line="240" w:lineRule="auto"/>
        <w:rPr>
          <w:rFonts w:eastAsia="Aptos" w:cs="Times New Roman"/>
          <w:bCs w:val="0"/>
          <w:kern w:val="2"/>
          <w:szCs w:val="24"/>
          <w14:ligatures w14:val="standardContextual"/>
        </w:rPr>
      </w:pPr>
      <w:r w:rsidRPr="00897682">
        <w:rPr>
          <w:rFonts w:eastAsia="Aptos" w:cs="Times New Roman"/>
          <w:bCs w:val="0"/>
          <w:kern w:val="2"/>
          <w:szCs w:val="24"/>
          <w14:ligatures w14:val="standardContextual"/>
        </w:rPr>
        <w:t>Pátrání provede na základě příkazu k pátrání Policie</w:t>
      </w:r>
      <w:r w:rsidR="00B200E1" w:rsidRPr="00897682">
        <w:rPr>
          <w:rFonts w:eastAsia="Aptos" w:cs="Times New Roman"/>
          <w:bCs w:val="0"/>
          <w:kern w:val="2"/>
          <w:szCs w:val="24"/>
          <w14:ligatures w14:val="standardContextual"/>
        </w:rPr>
        <w:t xml:space="preserve"> </w:t>
      </w:r>
      <w:r w:rsidR="00B200E1" w:rsidRPr="00897682">
        <w:rPr>
          <w:rFonts w:eastAsia="Aptos" w:cs="Times New Roman"/>
          <w:bCs w:val="0"/>
          <w:kern w:val="2"/>
          <w14:ligatures w14:val="standardContextual"/>
        </w:rPr>
        <w:t>České republiky</w:t>
      </w:r>
      <w:r w:rsidRPr="00897682">
        <w:rPr>
          <w:rFonts w:eastAsia="Aptos" w:cs="Times New Roman"/>
          <w:bCs w:val="0"/>
          <w:kern w:val="2"/>
          <w:szCs w:val="24"/>
          <w14:ligatures w14:val="standardContextual"/>
        </w:rPr>
        <w:t xml:space="preserve">, která je z policejních orgánů nejvhodněji vybavena k efektivnímu provádění pátrání po osobách. Při pátrání přitom </w:t>
      </w:r>
      <w:r w:rsidRPr="00897682">
        <w:rPr>
          <w:rFonts w:eastAsia="Aptos" w:cs="Times New Roman"/>
          <w:bCs w:val="0"/>
          <w:kern w:val="2"/>
          <w:szCs w:val="24"/>
          <w14:ligatures w14:val="standardContextual"/>
        </w:rPr>
        <w:lastRenderedPageBreak/>
        <w:t xml:space="preserve">postupuje podle § 68 zákona č. 273/2008 Sb., o Policii České republiky. Prostřednictvím dvouměsíční lhůty pro informování orgánu, který vydal příkaz, o nevypátrání hledané osoby je zajištěna průběžná kontrola trvání a účelnosti pátrání. Na základě informace o nevypátrání může orgán, který příkaz vydal, kvalifikovaně posoudit zejména skutečnost, zda není na místě zvolit jiný procesní postup. </w:t>
      </w:r>
    </w:p>
    <w:p w14:paraId="748378E6" w14:textId="58FE5DE4" w:rsidR="005F0DA9" w:rsidRPr="00897682" w:rsidRDefault="005F0DA9" w:rsidP="005F0DA9">
      <w:pPr>
        <w:spacing w:line="240" w:lineRule="auto"/>
        <w:rPr>
          <w:rFonts w:eastAsia="Aptos" w:cs="Times New Roman"/>
          <w:bCs w:val="0"/>
          <w:kern w:val="2"/>
          <w:szCs w:val="24"/>
          <w14:ligatures w14:val="standardContextual"/>
        </w:rPr>
      </w:pPr>
      <w:r w:rsidRPr="00897682">
        <w:rPr>
          <w:rFonts w:eastAsia="Aptos" w:cs="Times New Roman"/>
          <w:bCs w:val="0"/>
          <w:kern w:val="2"/>
          <w:szCs w:val="24"/>
          <w14:ligatures w14:val="standardContextual"/>
        </w:rPr>
        <w:t xml:space="preserve">Po vypátrání hledané osoby Policie </w:t>
      </w:r>
      <w:r w:rsidR="00B200E1" w:rsidRPr="00897682">
        <w:rPr>
          <w:rFonts w:eastAsia="Aptos" w:cs="Times New Roman"/>
          <w:bCs w:val="0"/>
          <w:kern w:val="2"/>
          <w14:ligatures w14:val="standardContextual"/>
        </w:rPr>
        <w:t>České republiky</w:t>
      </w:r>
      <w:r w:rsidR="00B200E1" w:rsidRPr="00897682">
        <w:rPr>
          <w:rFonts w:eastAsia="Aptos" w:cs="Times New Roman"/>
          <w:bCs w:val="0"/>
          <w:kern w:val="2"/>
          <w:szCs w:val="24"/>
          <w14:ligatures w14:val="standardContextual"/>
        </w:rPr>
        <w:t xml:space="preserve"> </w:t>
      </w:r>
      <w:r w:rsidRPr="00897682">
        <w:rPr>
          <w:rFonts w:eastAsia="Aptos" w:cs="Times New Roman"/>
          <w:bCs w:val="0"/>
          <w:kern w:val="2"/>
          <w:szCs w:val="24"/>
          <w14:ligatures w14:val="standardContextual"/>
        </w:rPr>
        <w:t>hledanou osobu seznámí se skutečností, že po ní bylo vyhlášeno pátrání, a vyzve ji, aby poskytla součinnost potřebnou pro doručení písemnosti (tj. aby se dobrovolně dostavila na příslušnou policejní služebnu, kde ji bude písemnost doručena, pokud ji neodmítne převzít</w:t>
      </w:r>
      <w:r w:rsidR="00B200E1" w:rsidRPr="00897682">
        <w:rPr>
          <w:rFonts w:eastAsia="Aptos" w:cs="Times New Roman"/>
          <w:bCs w:val="0"/>
          <w:kern w:val="2"/>
          <w:szCs w:val="24"/>
          <w14:ligatures w14:val="standardContextual"/>
        </w:rPr>
        <w:t>)</w:t>
      </w:r>
      <w:r w:rsidRPr="00897682">
        <w:rPr>
          <w:rFonts w:eastAsia="Aptos" w:cs="Times New Roman"/>
          <w:bCs w:val="0"/>
          <w:kern w:val="2"/>
          <w:szCs w:val="24"/>
          <w14:ligatures w14:val="standardContextual"/>
        </w:rPr>
        <w:t>. Pokud hledaná osoba odmítne takovou součinnost poskytnout, může být na služebnu předvedena.</w:t>
      </w:r>
    </w:p>
    <w:p w14:paraId="72C1F814" w14:textId="47565F44" w:rsidR="005F0DA9" w:rsidRPr="00897682" w:rsidRDefault="005F0DA9" w:rsidP="005F0DA9">
      <w:pPr>
        <w:spacing w:line="240" w:lineRule="auto"/>
        <w:rPr>
          <w:rFonts w:eastAsia="Aptos" w:cs="Times New Roman"/>
          <w:bCs w:val="0"/>
          <w:kern w:val="2"/>
          <w:szCs w:val="24"/>
          <w14:ligatures w14:val="standardContextual"/>
        </w:rPr>
      </w:pPr>
      <w:r w:rsidRPr="00897682">
        <w:rPr>
          <w:rFonts w:eastAsia="Aptos" w:cs="Times New Roman"/>
          <w:bCs w:val="0"/>
          <w:kern w:val="2"/>
          <w:szCs w:val="24"/>
          <w14:ligatures w14:val="standardContextual"/>
        </w:rPr>
        <w:t xml:space="preserve">Policie </w:t>
      </w:r>
      <w:r w:rsidR="00BD52AF" w:rsidRPr="00897682">
        <w:rPr>
          <w:rFonts w:eastAsia="Aptos" w:cs="Times New Roman"/>
          <w:bCs w:val="0"/>
          <w:kern w:val="2"/>
          <w14:ligatures w14:val="standardContextual"/>
        </w:rPr>
        <w:t>České republiky</w:t>
      </w:r>
      <w:r w:rsidR="00BD52AF" w:rsidRPr="00897682">
        <w:rPr>
          <w:rFonts w:eastAsia="Aptos" w:cs="Times New Roman"/>
          <w:bCs w:val="0"/>
          <w:kern w:val="2"/>
          <w:szCs w:val="24"/>
          <w14:ligatures w14:val="standardContextual"/>
        </w:rPr>
        <w:t xml:space="preserve"> </w:t>
      </w:r>
      <w:r w:rsidRPr="00897682">
        <w:rPr>
          <w:rFonts w:eastAsia="Aptos" w:cs="Times New Roman"/>
          <w:bCs w:val="0"/>
          <w:kern w:val="2"/>
          <w:szCs w:val="24"/>
          <w14:ligatures w14:val="standardContextual"/>
        </w:rPr>
        <w:t>kromě provedení úkonů za účelem doručení písemnosti zjistí aktuální kontaktní údaje hledané osoby (adresa pobytu, adresa pro doručování, telefonní číslo apod.). O</w:t>
      </w:r>
      <w:r w:rsidR="00BD52AF" w:rsidRPr="00897682">
        <w:rPr>
          <w:rFonts w:eastAsia="Aptos" w:cs="Times New Roman"/>
          <w:bCs w:val="0"/>
          <w:kern w:val="2"/>
          <w:szCs w:val="24"/>
          <w14:ligatures w14:val="standardContextual"/>
        </w:rPr>
        <w:t> </w:t>
      </w:r>
      <w:r w:rsidRPr="00897682">
        <w:rPr>
          <w:rFonts w:eastAsia="Aptos" w:cs="Times New Roman"/>
          <w:bCs w:val="0"/>
          <w:kern w:val="2"/>
          <w:szCs w:val="24"/>
          <w14:ligatures w14:val="standardContextual"/>
        </w:rPr>
        <w:t xml:space="preserve">úkonech spojených s doručením písemnosti (nebo odepřením jejího přijetí) a o zjištěných kontaktních údajích příslušný policista sepíše úřední záznam, který bez zbytečného odkladu zašle orgánu, který příkaz k pátrání vydal. </w:t>
      </w:r>
    </w:p>
    <w:p w14:paraId="0C012378" w14:textId="1C546478" w:rsidR="005F0DA9" w:rsidRPr="00897682" w:rsidRDefault="00A92BA0" w:rsidP="0041045B">
      <w:pPr>
        <w:spacing w:line="240" w:lineRule="auto"/>
        <w:rPr>
          <w:rFonts w:eastAsia="Calibri"/>
        </w:rPr>
      </w:pPr>
      <w:r w:rsidRPr="00897682">
        <w:rPr>
          <w:rFonts w:eastAsia="Calibri"/>
          <w:b/>
          <w:bCs w:val="0"/>
        </w:rPr>
        <w:t>K bod</w:t>
      </w:r>
      <w:r w:rsidR="00F3586F" w:rsidRPr="00897682">
        <w:rPr>
          <w:rFonts w:eastAsia="Calibri"/>
          <w:b/>
          <w:bCs w:val="0"/>
        </w:rPr>
        <w:t>ům</w:t>
      </w:r>
      <w:r w:rsidRPr="00897682">
        <w:rPr>
          <w:rFonts w:eastAsia="Calibri"/>
          <w:b/>
          <w:bCs w:val="0"/>
        </w:rPr>
        <w:t xml:space="preserve"> 2</w:t>
      </w:r>
      <w:r w:rsidR="00FB462D" w:rsidRPr="00897682">
        <w:rPr>
          <w:rFonts w:eastAsia="Calibri"/>
          <w:b/>
          <w:bCs w:val="0"/>
        </w:rPr>
        <w:t>0</w:t>
      </w:r>
      <w:r w:rsidRPr="00897682">
        <w:rPr>
          <w:rFonts w:eastAsia="Calibri"/>
          <w:b/>
          <w:bCs w:val="0"/>
        </w:rPr>
        <w:t xml:space="preserve"> </w:t>
      </w:r>
      <w:r w:rsidR="00F3586F" w:rsidRPr="00897682">
        <w:rPr>
          <w:rFonts w:eastAsia="Calibri"/>
          <w:b/>
          <w:bCs w:val="0"/>
        </w:rPr>
        <w:t>a</w:t>
      </w:r>
      <w:r w:rsidR="00655028" w:rsidRPr="00897682">
        <w:rPr>
          <w:rFonts w:eastAsia="Calibri"/>
          <w:b/>
          <w:bCs w:val="0"/>
        </w:rPr>
        <w:t>ž</w:t>
      </w:r>
      <w:r w:rsidR="00F3586F" w:rsidRPr="00897682">
        <w:rPr>
          <w:rFonts w:eastAsia="Calibri"/>
          <w:b/>
          <w:bCs w:val="0"/>
        </w:rPr>
        <w:t xml:space="preserve"> 2</w:t>
      </w:r>
      <w:r w:rsidR="00FB462D" w:rsidRPr="00897682">
        <w:rPr>
          <w:rFonts w:eastAsia="Calibri"/>
          <w:b/>
          <w:bCs w:val="0"/>
        </w:rPr>
        <w:t>2</w:t>
      </w:r>
      <w:r w:rsidR="00F3586F" w:rsidRPr="00897682">
        <w:rPr>
          <w:rFonts w:eastAsia="Calibri"/>
          <w:b/>
          <w:bCs w:val="0"/>
        </w:rPr>
        <w:t xml:space="preserve"> </w:t>
      </w:r>
      <w:r w:rsidRPr="00897682">
        <w:rPr>
          <w:rFonts w:eastAsia="Calibri"/>
        </w:rPr>
        <w:t>(§ 65 odst. 1</w:t>
      </w:r>
      <w:r w:rsidR="003851C1" w:rsidRPr="00897682">
        <w:rPr>
          <w:rFonts w:eastAsia="Calibri"/>
        </w:rPr>
        <w:t xml:space="preserve"> a 6</w:t>
      </w:r>
      <w:r w:rsidRPr="00897682">
        <w:rPr>
          <w:rFonts w:eastAsia="Calibri"/>
        </w:rPr>
        <w:t>)</w:t>
      </w:r>
    </w:p>
    <w:p w14:paraId="650F76A7" w14:textId="30DF2AC5" w:rsidR="00A92BA0" w:rsidRPr="00897682" w:rsidRDefault="00AE213C" w:rsidP="00A92BA0">
      <w:pPr>
        <w:spacing w:line="240" w:lineRule="auto"/>
        <w:rPr>
          <w:rFonts w:eastAsia="Times New Roman" w:cs="Times New Roman"/>
          <w:szCs w:val="24"/>
          <w:lang w:eastAsia="x-none"/>
        </w:rPr>
      </w:pPr>
      <w:r w:rsidRPr="00897682">
        <w:rPr>
          <w:rFonts w:eastAsia="Calibri" w:cs="Times New Roman"/>
          <w:bCs w:val="0"/>
          <w:szCs w:val="24"/>
          <w:lang w:eastAsia="cs-CZ"/>
        </w:rPr>
        <w:t>Navrhuje se usnadnit</w:t>
      </w:r>
      <w:r w:rsidR="00A92BA0" w:rsidRPr="00897682">
        <w:rPr>
          <w:rFonts w:eastAsia="Calibri" w:cs="Times New Roman"/>
          <w:bCs w:val="0"/>
          <w:szCs w:val="24"/>
          <w:lang w:eastAsia="cs-CZ"/>
        </w:rPr>
        <w:t xml:space="preserve"> přístup k obrazovým a zvukovým záznamům uloženým v</w:t>
      </w:r>
      <w:r w:rsidR="00E35CC2" w:rsidRPr="00897682">
        <w:rPr>
          <w:rFonts w:eastAsia="Calibri" w:cs="Times New Roman"/>
          <w:bCs w:val="0"/>
          <w:szCs w:val="24"/>
          <w:lang w:eastAsia="cs-CZ"/>
        </w:rPr>
        <w:t xml:space="preserve"> datovém </w:t>
      </w:r>
      <w:r w:rsidR="00A92BA0" w:rsidRPr="00897682">
        <w:rPr>
          <w:rFonts w:eastAsia="Calibri" w:cs="Times New Roman"/>
          <w:bCs w:val="0"/>
          <w:szCs w:val="24"/>
          <w:lang w:eastAsia="cs-CZ"/>
        </w:rPr>
        <w:t xml:space="preserve">úložišti Ministerstva spravedlnosti, tj. k jejich přehrání či pořízení si jejich kopií. </w:t>
      </w:r>
      <w:r w:rsidR="00A92BA0" w:rsidRPr="00897682">
        <w:rPr>
          <w:rFonts w:eastAsia="Times New Roman" w:cs="Times New Roman"/>
          <w:szCs w:val="24"/>
          <w:lang w:eastAsia="x-none"/>
        </w:rPr>
        <w:t xml:space="preserve">Toto právo bude nově možné realizovat i distančně, poskytnutím časově omezeného dálkového přístupu k těmto záznamům sdělením internetového odkazu prostřednictvím datové schránky nebo emailové komunikace, podle toho, jakou elektronickou adresu osoba pro takové účely poskytne. Tím dojde ke zjednodušení procesu v případech, kdy oprávněná osoba žádá o zpřístupnění pouze tohoto záznamu – osoba, která si chce záznam přehrát nebo si pořídit jeho kopii, se již nebude muset dostavovat do budovy soudu nebo státního zastupitelství, odpadne také obtížný proces pořizování technických nosičů správou soudu (typicky kompaktních disků), na kterých byly doposud kopie poskytovány (ukládat takové kopie např. na „flash disky“ oprávněných osob není z hlediska bezpečnosti možné). Využití jednotného úložiště </w:t>
      </w:r>
      <w:r w:rsidR="00B04668" w:rsidRPr="00897682">
        <w:rPr>
          <w:rFonts w:eastAsia="Times New Roman" w:cs="Times New Roman"/>
          <w:szCs w:val="24"/>
          <w:lang w:eastAsia="x-none"/>
        </w:rPr>
        <w:br/>
      </w:r>
      <w:r w:rsidR="00A92BA0" w:rsidRPr="00897682">
        <w:rPr>
          <w:rFonts w:eastAsia="Times New Roman" w:cs="Times New Roman"/>
          <w:szCs w:val="24"/>
          <w:lang w:eastAsia="x-none"/>
        </w:rPr>
        <w:t xml:space="preserve">a dálkového přístupu k němu tak bude ekonomickým, rychlých a bezpečným řešením (vhledem k ICT architektuře takového úložiště a spravujícího programového vybavení). </w:t>
      </w:r>
    </w:p>
    <w:p w14:paraId="1D47E459" w14:textId="0B0CCCA8" w:rsidR="00A92BA0" w:rsidRPr="00897682" w:rsidRDefault="00A92BA0" w:rsidP="00A92BA0">
      <w:pPr>
        <w:spacing w:line="240" w:lineRule="auto"/>
        <w:rPr>
          <w:rFonts w:eastAsia="Calibri" w:cs="Times New Roman"/>
          <w:bCs w:val="0"/>
          <w:szCs w:val="24"/>
          <w:lang w:eastAsia="cs-CZ"/>
        </w:rPr>
      </w:pPr>
      <w:r w:rsidRPr="00897682">
        <w:rPr>
          <w:rFonts w:eastAsia="Calibri" w:cs="Times New Roman"/>
          <w:bCs w:val="0"/>
          <w:szCs w:val="24"/>
          <w:lang w:eastAsia="cs-CZ"/>
        </w:rPr>
        <w:t>Vedle této věcné změny dochází ke zpřesnění obsahu práva nahlížet do spisu, kdy se staví najisto, že toto právo zahrnuje i právo nahlédnout, jaké jsou ke spisu připojené věci sloužící k důkazním účelům</w:t>
      </w:r>
      <w:r w:rsidR="007A1287" w:rsidRPr="00897682">
        <w:rPr>
          <w:rFonts w:eastAsia="Calibri" w:cs="Times New Roman"/>
          <w:bCs w:val="0"/>
          <w:szCs w:val="24"/>
          <w:lang w:eastAsia="cs-CZ"/>
        </w:rPr>
        <w:t>,</w:t>
      </w:r>
      <w:r w:rsidRPr="00897682">
        <w:rPr>
          <w:rFonts w:eastAsia="Calibri" w:cs="Times New Roman"/>
          <w:bCs w:val="0"/>
          <w:szCs w:val="24"/>
          <w:lang w:eastAsia="cs-CZ"/>
        </w:rPr>
        <w:t xml:space="preserve"> či právě právo přehrát si obrazové a zvukové záznamy (právem nahlížet do spisu se nově bude rozumět i práva dnes formálně kladená jemu naroveň, jako např. právo činit si ze spisu poznámky nebo pořizovat si na svoje náklady jeho kopie, což povede ke zpřehlednění a k zjednodušení textu). </w:t>
      </w:r>
    </w:p>
    <w:p w14:paraId="3B105DC0" w14:textId="4083728A" w:rsidR="008B5143" w:rsidRPr="00897682" w:rsidRDefault="008B5143" w:rsidP="008B5143">
      <w:pPr>
        <w:spacing w:line="240" w:lineRule="auto"/>
        <w:rPr>
          <w:rFonts w:cs="Times New Roman"/>
          <w:szCs w:val="24"/>
        </w:rPr>
      </w:pPr>
      <w:r w:rsidRPr="00897682">
        <w:rPr>
          <w:rFonts w:cs="Times New Roman"/>
          <w:szCs w:val="24"/>
        </w:rPr>
        <w:t>V § 65 jsou upraveny podmínky pro nahlížení do spisů, včetně zákazu zpřístupňovat údaje uváděné v § 55 odst. 1 písm. c), s nimiž se mohou seznamovat jen orgány činné v trestním řízení a úředníci Probační a mediační služby činní v dané trestní věci. Vedle toho je třeba přihlížet k omezené možnosti seznamovat se s obsahem dalších písemností, byť to vyplývá z jiných ustanovení trestního řádu – z § 58 odst. 4 tr. ř., kde jsou upraveny podmínky, za nichž lze otevřít obálku s protokolem o hlasování, a z § 55 odst. 2 tr. ř. o podmínkách ochrany tzv. utajeného svědka a způsobu vedení jeho skutečných osobních údajů.  Ochranu uvedených údajů je samozřejmě třeba zajistit i při nahlížení do spisu ze strany osob uvedených v § 65 odst. 1 tr.</w:t>
      </w:r>
      <w:r w:rsidR="006106BC" w:rsidRPr="00897682">
        <w:rPr>
          <w:rFonts w:cs="Times New Roman"/>
          <w:szCs w:val="24"/>
        </w:rPr>
        <w:t> </w:t>
      </w:r>
      <w:r w:rsidRPr="00897682">
        <w:rPr>
          <w:rFonts w:cs="Times New Roman"/>
          <w:szCs w:val="24"/>
        </w:rPr>
        <w:t>ř. Proto se ustanovení o povinnosti toho, kdo některé z těchto osob umožní nahlédnutí do spisu, doplňuje tak, že mezi opatření, která je třeba v této souvislosti učinit, patří i</w:t>
      </w:r>
      <w:r w:rsidR="00B522FB" w:rsidRPr="00897682">
        <w:rPr>
          <w:rFonts w:cs="Times New Roman"/>
          <w:szCs w:val="24"/>
        </w:rPr>
        <w:t> </w:t>
      </w:r>
      <w:r w:rsidRPr="00897682">
        <w:rPr>
          <w:rFonts w:cs="Times New Roman"/>
          <w:szCs w:val="24"/>
        </w:rPr>
        <w:t xml:space="preserve">znepřístupnění protokolu o hlasování a údajů o skutečné osobní identitě utajeného svědka. </w:t>
      </w:r>
    </w:p>
    <w:p w14:paraId="21C0DA73" w14:textId="77777777" w:rsidR="009109B2" w:rsidRDefault="009109B2" w:rsidP="008B5143">
      <w:pPr>
        <w:spacing w:line="240" w:lineRule="auto"/>
        <w:rPr>
          <w:rFonts w:eastAsia="Calibri"/>
          <w:b/>
          <w:bCs w:val="0"/>
        </w:rPr>
      </w:pPr>
    </w:p>
    <w:p w14:paraId="6E868E5C" w14:textId="5B45D9C9" w:rsidR="008B5143" w:rsidRPr="00897682" w:rsidRDefault="00D81482" w:rsidP="008B5143">
      <w:pPr>
        <w:spacing w:line="240" w:lineRule="auto"/>
        <w:rPr>
          <w:rFonts w:eastAsia="Calibri"/>
        </w:rPr>
      </w:pPr>
      <w:r w:rsidRPr="00897682">
        <w:rPr>
          <w:rFonts w:eastAsia="Calibri"/>
          <w:b/>
          <w:bCs w:val="0"/>
        </w:rPr>
        <w:lastRenderedPageBreak/>
        <w:t>K bodu 2</w:t>
      </w:r>
      <w:r w:rsidR="00FB462D" w:rsidRPr="00897682">
        <w:rPr>
          <w:rFonts w:eastAsia="Calibri"/>
          <w:b/>
          <w:bCs w:val="0"/>
        </w:rPr>
        <w:t>4</w:t>
      </w:r>
      <w:r w:rsidRPr="00897682">
        <w:rPr>
          <w:rFonts w:eastAsia="Calibri"/>
        </w:rPr>
        <w:t xml:space="preserve"> (§ 79f odst. 3)</w:t>
      </w:r>
    </w:p>
    <w:p w14:paraId="36D2B0AB" w14:textId="77777777" w:rsidR="00D81482" w:rsidRPr="00897682" w:rsidRDefault="00D81482" w:rsidP="00D81482">
      <w:pPr>
        <w:spacing w:line="240" w:lineRule="auto"/>
        <w:rPr>
          <w:rFonts w:eastAsia="Calibri"/>
        </w:rPr>
      </w:pPr>
      <w:r w:rsidRPr="00897682">
        <w:rPr>
          <w:rFonts w:eastAsia="Calibri"/>
        </w:rPr>
        <w:t>V rámci aplikační praxe přináší slovní spojení „o zrušení nebo omezení zajištění“ obsažené ve stávajícím znění tohoto ustanovení určité výkladové a aplikační problémy, neboť je některými orgány činnými v trestním řízení ustanovení nesprávně vykládáno tak, že řeší pouze situaci, kdy se zajištění věci ruší nebo omezuje, přestože správně má být aplikováno i na situace, kdy se žádost o zrušení nebo omezení zajištění zamítá. I v těchto případech totiž příslušný orgán rozhoduje o zrušení nebo omezení zajištění, protože se zabývá otázkou, zda zajištění zrušit či nikoliv. Navrhuje se proto dikci ustanovení zpřesnit tak, aby byl jeho výklad jednoznačný.</w:t>
      </w:r>
    </w:p>
    <w:p w14:paraId="4BD05CB3" w14:textId="4ECE86B6" w:rsidR="00D81482" w:rsidRPr="00897682" w:rsidRDefault="00133094" w:rsidP="00D81482">
      <w:pPr>
        <w:spacing w:line="240" w:lineRule="auto"/>
        <w:rPr>
          <w:rFonts w:eastAsia="Calibri"/>
        </w:rPr>
      </w:pPr>
      <w:r w:rsidRPr="00897682">
        <w:rPr>
          <w:rFonts w:eastAsia="Calibri"/>
          <w:b/>
          <w:bCs w:val="0"/>
        </w:rPr>
        <w:t>K bodu 2</w:t>
      </w:r>
      <w:r w:rsidR="00FB462D" w:rsidRPr="00897682">
        <w:rPr>
          <w:rFonts w:eastAsia="Calibri"/>
          <w:b/>
          <w:bCs w:val="0"/>
        </w:rPr>
        <w:t>5</w:t>
      </w:r>
      <w:r w:rsidRPr="00897682">
        <w:rPr>
          <w:rFonts w:eastAsia="Calibri"/>
        </w:rPr>
        <w:t xml:space="preserve"> (§ 81a)</w:t>
      </w:r>
    </w:p>
    <w:p w14:paraId="50CEE955" w14:textId="77777777" w:rsidR="00133094" w:rsidRPr="00897682" w:rsidRDefault="00133094" w:rsidP="00133094">
      <w:pPr>
        <w:suppressAutoHyphens/>
        <w:autoSpaceDN w:val="0"/>
        <w:spacing w:line="240" w:lineRule="auto"/>
        <w:textAlignment w:val="baseline"/>
        <w:rPr>
          <w:rFonts w:eastAsia="Times New Roman"/>
        </w:rPr>
      </w:pPr>
      <w:r w:rsidRPr="00897682">
        <w:rPr>
          <w:rFonts w:eastAsia="Times New Roman"/>
        </w:rPr>
        <w:t>Současné znění § 81a je v praxi někdy interpretováno tak, že při jím vyžadovaném přiměřeném užití § 80 tr. ř. mají být ukládány do soudní úschovy také zajištěné nemovité věci. Takový postup však prakticky proveditelný není, proto se tato varianta výslovně vylučuje.</w:t>
      </w:r>
    </w:p>
    <w:p w14:paraId="3A2BBB9C" w14:textId="423A2D3E" w:rsidR="00133094" w:rsidRPr="00897682" w:rsidRDefault="00E65F8F" w:rsidP="00D81482">
      <w:pPr>
        <w:spacing w:line="240" w:lineRule="auto"/>
        <w:rPr>
          <w:rFonts w:eastAsia="Calibri"/>
        </w:rPr>
      </w:pPr>
      <w:r w:rsidRPr="00897682">
        <w:rPr>
          <w:rFonts w:eastAsia="Calibri"/>
          <w:b/>
          <w:bCs w:val="0"/>
        </w:rPr>
        <w:t>K bodu 2</w:t>
      </w:r>
      <w:r w:rsidR="00FB462D" w:rsidRPr="00897682">
        <w:rPr>
          <w:rFonts w:eastAsia="Calibri"/>
          <w:b/>
          <w:bCs w:val="0"/>
        </w:rPr>
        <w:t>6</w:t>
      </w:r>
      <w:r w:rsidRPr="00897682">
        <w:rPr>
          <w:rFonts w:eastAsia="Calibri"/>
        </w:rPr>
        <w:t xml:space="preserve"> (§ 81a odst. 2 až 4)</w:t>
      </w:r>
    </w:p>
    <w:p w14:paraId="6F5B8158" w14:textId="77777777" w:rsidR="00E65F8F" w:rsidRPr="00897682" w:rsidRDefault="00E65F8F" w:rsidP="00E65F8F">
      <w:pPr>
        <w:suppressAutoHyphens/>
        <w:autoSpaceDN w:val="0"/>
        <w:spacing w:line="240" w:lineRule="auto"/>
        <w:textAlignment w:val="baseline"/>
        <w:rPr>
          <w:rFonts w:eastAsia="Times New Roman" w:cs="Times New Roman"/>
          <w:bCs w:val="0"/>
          <w:szCs w:val="24"/>
        </w:rPr>
      </w:pPr>
      <w:r w:rsidRPr="00897682">
        <w:rPr>
          <w:rFonts w:eastAsia="Times New Roman" w:cs="Times New Roman"/>
          <w:bCs w:val="0"/>
          <w:szCs w:val="24"/>
        </w:rPr>
        <w:t xml:space="preserve">V praxi nejsou efektivně řešitelné situace, a to zejména v přeshraničních případech, kdy jsou zajištěny peněžní prostředky a je zřejmé, že patří poškozeným (např. je prokázáno, že od nich byly podvodně vylákány nebo ukradeny, ale není možné zjistit osobu pachatele), ovšem jejich výše není taková, aby odpovídala jednotlivým nárokům poškozených na jejich vydání. V současné době je jediná cesta složení těchto peněžních prostředků do civilní soudní úschovy a odkázání poškozených na civilní řízení, což je zejména pro poškozené v zahraničí složitý a obtížný postup. S ohledem na rozvoj trestné činnosti páchané prostřednictvím počítačových systémů přitom výrazně přibývá případů s přeshraničním rozměrem, pro které není tato úprava odpovídající. Navrhuje se proto tento problém řešit tak, že bude umožněno poměrně rozdělit poškozeným peněžní prostředky, které </w:t>
      </w:r>
      <w:r w:rsidRPr="00897682">
        <w:rPr>
          <w:rFonts w:eastAsia="Times New Roman" w:cs="Times New Roman"/>
          <w:szCs w:val="24"/>
        </w:rPr>
        <w:t>byly zajištěny j</w:t>
      </w:r>
      <w:r w:rsidRPr="00897682">
        <w:rPr>
          <w:rFonts w:eastAsia="Aptos" w:cs="Times New Roman"/>
          <w:szCs w:val="24"/>
        </w:rPr>
        <w:t>ako výnos z trestné činnosti na účtu, na který byly zaslány poškozenými nebo na který byly zaslány z jejich účtu</w:t>
      </w:r>
      <w:r w:rsidRPr="00897682">
        <w:rPr>
          <w:rFonts w:eastAsia="Times New Roman" w:cs="Times New Roman"/>
          <w:bCs w:val="0"/>
          <w:szCs w:val="24"/>
        </w:rPr>
        <w:t>.</w:t>
      </w:r>
    </w:p>
    <w:p w14:paraId="247E0442" w14:textId="77777777" w:rsidR="00E65F8F" w:rsidRPr="00897682" w:rsidRDefault="00E65F8F" w:rsidP="00E65F8F">
      <w:pPr>
        <w:suppressAutoHyphens/>
        <w:autoSpaceDN w:val="0"/>
        <w:spacing w:line="240" w:lineRule="auto"/>
        <w:textAlignment w:val="baseline"/>
        <w:rPr>
          <w:rFonts w:eastAsia="Times New Roman" w:cs="Times New Roman"/>
          <w:bCs w:val="0"/>
          <w:szCs w:val="24"/>
        </w:rPr>
      </w:pPr>
      <w:r w:rsidRPr="00897682">
        <w:rPr>
          <w:rFonts w:eastAsia="Times New Roman" w:cs="Times New Roman"/>
          <w:bCs w:val="0"/>
          <w:szCs w:val="24"/>
        </w:rPr>
        <w:t xml:space="preserve">Pokud jsou zajištěny takové peněžní prostředky a je zřejmé, že patří poškozeným (např. je prokázáno, že od nich byly podvodně vylákány), ovšem jejich výše není taková, aby odpovídala jednotlivým nárokům poškozených na jejich vydání, orgán činný v trestním řízení tyto peněžní prostředky rozdělí mezi poškozené poměrně podle výše jejich nároků na jejich vrácení, pokud poškození, kteří nárok na jejich vydání v trestním řízení uplatnili, s takovým postupem souhlasí. Poškození mohou proti takovému rozhodnutí podat stížnost, o které rozhoduje i v přípravném řízení soudce (viz doplnění § 146a tr. ř.), čímž je zaručen soudní přezkum. Tímto způsobem tak dojde v těchto případech </w:t>
      </w:r>
      <w:r w:rsidRPr="00897682" w:rsidDel="00852CAC">
        <w:rPr>
          <w:rFonts w:eastAsia="Times New Roman" w:cs="Times New Roman"/>
          <w:bCs w:val="0"/>
          <w:szCs w:val="24"/>
        </w:rPr>
        <w:t>nejrychlejší a nejefektivnější</w:t>
      </w:r>
      <w:r w:rsidRPr="00897682">
        <w:rPr>
          <w:rFonts w:eastAsia="Times New Roman" w:cs="Times New Roman"/>
          <w:bCs w:val="0"/>
          <w:szCs w:val="24"/>
        </w:rPr>
        <w:t xml:space="preserve"> cestou alespoň k částečnému uspokojení nároků poškozených</w:t>
      </w:r>
      <w:r w:rsidRPr="00897682" w:rsidDel="00852CAC">
        <w:rPr>
          <w:rFonts w:eastAsia="Times New Roman" w:cs="Times New Roman"/>
          <w:bCs w:val="0"/>
          <w:szCs w:val="24"/>
        </w:rPr>
        <w:t>.</w:t>
      </w:r>
    </w:p>
    <w:p w14:paraId="1176120D" w14:textId="77777777" w:rsidR="00E65F8F" w:rsidRPr="00897682" w:rsidRDefault="00E65F8F" w:rsidP="00E65F8F">
      <w:pPr>
        <w:suppressAutoHyphens/>
        <w:autoSpaceDN w:val="0"/>
        <w:spacing w:line="240" w:lineRule="auto"/>
        <w:textAlignment w:val="baseline"/>
        <w:rPr>
          <w:rFonts w:eastAsia="Times New Roman" w:cs="Times New Roman"/>
          <w:bCs w:val="0"/>
          <w:szCs w:val="24"/>
        </w:rPr>
      </w:pPr>
      <w:r w:rsidRPr="00897682">
        <w:rPr>
          <w:rFonts w:eastAsia="Times New Roman" w:cs="Times New Roman"/>
          <w:bCs w:val="0"/>
          <w:szCs w:val="24"/>
        </w:rPr>
        <w:t>S ohledem na administrativní náklady spojené s vydáním a doručováním rozhodnutí více poškozeným se stanoví nejnižší částka, pod kterou se k rozdělení peněžních prostředků nepřistoupí, protože by nebylo účelné. Zejména v rozsáhlých trestních věcech bývá obvyklý vysoký počet poškozených v řádu stovek. Rozdělení zajištěných finančních prostředků mezi takové množství poškozených je administrativně náročné, drahé a neefektivní, proto je třeba vyloučit tento postup pro případy, kdy by výsledné rozdělené částky mezi poškozené byly zanedbatelné.</w:t>
      </w:r>
    </w:p>
    <w:p w14:paraId="42EE4750" w14:textId="417B296C" w:rsidR="00DA1CF2" w:rsidRPr="00897682" w:rsidRDefault="00DA1CF2" w:rsidP="00DA1CF2">
      <w:pPr>
        <w:keepNext/>
        <w:spacing w:line="240" w:lineRule="auto"/>
        <w:outlineLvl w:val="2"/>
        <w:rPr>
          <w:rFonts w:eastAsia="Calibri"/>
        </w:rPr>
      </w:pPr>
      <w:r w:rsidRPr="00897682">
        <w:rPr>
          <w:rFonts w:eastAsia="Calibri"/>
          <w:b/>
          <w:bCs w:val="0"/>
        </w:rPr>
        <w:t>K bodu 2</w:t>
      </w:r>
      <w:r w:rsidR="00FB462D" w:rsidRPr="00897682">
        <w:rPr>
          <w:rFonts w:eastAsia="Calibri"/>
          <w:b/>
          <w:bCs w:val="0"/>
        </w:rPr>
        <w:t>7</w:t>
      </w:r>
      <w:r w:rsidRPr="00897682">
        <w:rPr>
          <w:rFonts w:eastAsia="Calibri"/>
        </w:rPr>
        <w:t xml:space="preserve"> (§ 81b odst. 1)</w:t>
      </w:r>
    </w:p>
    <w:p w14:paraId="4A3294CA" w14:textId="48D769AF" w:rsidR="00DA1CF2" w:rsidRPr="00897682" w:rsidRDefault="00DA1CF2" w:rsidP="00DA1CF2">
      <w:pPr>
        <w:spacing w:line="240" w:lineRule="auto"/>
        <w:rPr>
          <w:rFonts w:eastAsia="Times New Roman"/>
          <w:bCs w:val="0"/>
        </w:rPr>
      </w:pPr>
      <w:r w:rsidRPr="00897682">
        <w:rPr>
          <w:rFonts w:eastAsia="Times New Roman"/>
        </w:rPr>
        <w:t>Výčet nebezpečných věcí, které lze zničit již v průběhu trestního řízení, se navrhuje doplnit i o předměty, které typicky slouží k nedovolené výrobě omamných a psychotropních látek, přípravků je obsahujících nebo jedů</w:t>
      </w:r>
      <w:r w:rsidR="000433EC" w:rsidRPr="00897682">
        <w:rPr>
          <w:rFonts w:eastAsia="Times New Roman"/>
        </w:rPr>
        <w:t xml:space="preserve">, </w:t>
      </w:r>
      <w:r w:rsidR="000433EC" w:rsidRPr="00897682">
        <w:t>rtuti, jejích sloučenin a směsí</w:t>
      </w:r>
      <w:r w:rsidRPr="00897682">
        <w:rPr>
          <w:rFonts w:eastAsia="Times New Roman"/>
        </w:rPr>
        <w:t xml:space="preserve">. </w:t>
      </w:r>
    </w:p>
    <w:p w14:paraId="1182E33A" w14:textId="77777777" w:rsidR="00DA1CF2" w:rsidRPr="00897682" w:rsidRDefault="00DA1CF2" w:rsidP="00DA1CF2">
      <w:pPr>
        <w:spacing w:line="240" w:lineRule="auto"/>
        <w:rPr>
          <w:rFonts w:eastAsia="Times New Roman"/>
          <w:bCs w:val="0"/>
        </w:rPr>
      </w:pPr>
      <w:r w:rsidRPr="00897682">
        <w:rPr>
          <w:rFonts w:eastAsia="Times New Roman"/>
        </w:rPr>
        <w:t xml:space="preserve">Dále se na základě praktických zkušeností navrhuje umožnit zničení věci již v průběhu trestního řízení také u další kategorie věcí, které sice ze své povahy neohrožují přímo bezpečnost lidí </w:t>
      </w:r>
      <w:r w:rsidRPr="00897682">
        <w:rPr>
          <w:rFonts w:eastAsia="Times New Roman"/>
        </w:rPr>
        <w:lastRenderedPageBreak/>
        <w:t>nebo majetku, jako věci v novelizovaném ustanovení dosud příkladmo vyjmenované, ale které jsou věcmi, jejichž držení je v rozporu s právními předpisy České republiky, takže stejně nemohou být vráceny tomu, komu byly zajištěny (tomu, kým byly vydány nebo komu byly odňaty), a jejichž úschova je přitom obtížná nebo nepřiměřeně nákladná. V praxi se jedná např. o skladování velkého množství (mnohdy kumulativně o několik desítek až stovek tun) neoprávněně nezdaněných tabákových výrobků, které jsou zajišťovány pověřeným celním orgánem během trestního řízení. Vzhledem k tomu, že trestní řízení o hospodářských trestných činech, v nichž k zajištění dochází, trvají zpravidla delší dobu, jeví se skladování nelegálních tabákových výrobků v celém jejich objemu po celou dobu trvání trestního řízení neefektivní a finančně nákladné, navíc spojené s řadou požadavků na řádné zabezpečení takových věcí zejména z hlediska hygienického, resp. na splnění podmínek k uchovávání těchto věcí tak, aby mohla být dlouhodobě zachována jejich původní kvalita. Při uchování tabákových výrobků se k udržení jejich původní kvality doporučuje je alespoň krátkodobě zmrazit při teplotě –16 °C nebo nižší. V tabáku a tabákových výrobcích se totiž mohou vyskytovat larvy červotoče tabákového (</w:t>
      </w:r>
      <w:r w:rsidRPr="00897682">
        <w:rPr>
          <w:rFonts w:eastAsia="Times New Roman"/>
          <w:i/>
          <w:iCs/>
        </w:rPr>
        <w:t>Lasioderma serricorne</w:t>
      </w:r>
      <w:r w:rsidRPr="00897682">
        <w:rPr>
          <w:rFonts w:eastAsia="Times New Roman"/>
        </w:rPr>
        <w:t xml:space="preserve">), které tabák znehodnocují a jsou citlivé na nízké teploty. Rovněž tak může dojít k zplesnivění tabákových výrobků při jejich skladování ve standardních podmínkách. Z důvodů ekonomických, ale i kapacitních, jsou požadavky na zmrazování tabáku, případně na specifická opatření proti zplesnivění tabáku realistické jen ve vztahu k odebraným vzorkům, ale není možné je splnit u celého objemu zajišťovaných tabákových výrobků. </w:t>
      </w:r>
    </w:p>
    <w:p w14:paraId="6553D360" w14:textId="77777777" w:rsidR="00DA1CF2" w:rsidRPr="00897682" w:rsidRDefault="00DA1CF2" w:rsidP="00DA1CF2">
      <w:pPr>
        <w:spacing w:line="240" w:lineRule="auto"/>
        <w:rPr>
          <w:rFonts w:eastAsia="Times New Roman"/>
          <w:bCs w:val="0"/>
        </w:rPr>
      </w:pPr>
      <w:r w:rsidRPr="00897682">
        <w:rPr>
          <w:rFonts w:eastAsia="Times New Roman"/>
        </w:rPr>
        <w:t>Vzhledem k tomu, že tabák je biologickým materiálem, který rychle mění svoji kvalitu a časem i konzistenci, čímž se svou povahou přibližuje k rychle zkazitelnému zboží, tak i jeho důkazní hodnota v čase rychle klesá. Znalecký posudek či odborné vyjádření provedené po uplynutí delší doby, zejména znalecký posudek revizní prováděný zpravidla s výraznějším časovým odstupem od zajištění věci, již nemůže hodnověrně stanovit, jaká byla kvalita a obecně totožnost takové věci v okamžiku jejího zajištění. Proto lze dokazování v průběhu celého zpravidla několik let trvajícího trestního řízení provádět smysluplně jen na příslušných vzorcích tabákových výrobků, které lze uchovávat ve specifických podmínkách. Na postup, kdy jsou neoprávněně nezdaněné tabákové výrobky uchovávány až do pravomocného skončení trestní věci, byť k důkazním účelům není zapotřebí uchovávat celý objem těchto zajištěných věcí (resp. tyto věci v celém svém objemu již ani reálně k důkazním účelům sloužit nemohou, neboť rychle podléhají zkáze), je proto třeba hledět jako na neefektivní a jdoucí proti zásadě procesní ekonomie trestního řízení.</w:t>
      </w:r>
    </w:p>
    <w:p w14:paraId="5BE109A0" w14:textId="77777777" w:rsidR="00DA1CF2" w:rsidRPr="00897682" w:rsidRDefault="00DA1CF2" w:rsidP="00DA1CF2">
      <w:pPr>
        <w:spacing w:line="240" w:lineRule="auto"/>
        <w:rPr>
          <w:rFonts w:eastAsia="Times New Roman"/>
          <w:bCs w:val="0"/>
        </w:rPr>
      </w:pPr>
      <w:r w:rsidRPr="00897682">
        <w:rPr>
          <w:rFonts w:eastAsia="Times New Roman"/>
        </w:rPr>
        <w:t xml:space="preserve">V případě tabákových výrobků se ve volném daňovém oběhu smějí v zásadě vyskytovat pouze značené tabákové výrobky ve spotřebitelských baleních, jejichž značení může probíhat pouze v povoleném daňovém skladu nebo mimo daňové území </w:t>
      </w:r>
      <w:r w:rsidRPr="00897682">
        <w:rPr>
          <w:rFonts w:eastAsia="Calibri"/>
        </w:rPr>
        <w:t>České republiky</w:t>
      </w:r>
      <w:r w:rsidRPr="00897682">
        <w:rPr>
          <w:rFonts w:eastAsia="Times New Roman"/>
        </w:rPr>
        <w:t xml:space="preserve"> a porušení tohoto zákonného režimu automaticky znamená daňový únik (s dílčími výjimkami), kdy tento nelegální stav již nelze nikdy zcela napravit a zajištěné neoprávněně nezdaněné tabákové výrobky tedy z těchto důvodů nelze nikdy vrátit a dokonce ani stát takové tabákové výrobky nemůže pro své potřeby zlegalizovat (již nikdy je nelze dodatečně označit tabákovými nálepkami a stát ani nemůže ručit za nezávadnost těchto tabákových produktů často neznámého původu). Vzhledem k uvedenému je tak jediný možný způsob konečného naložení s nelegálními (nezdaněnými a neznačenými) tabákovými výrobky jejich zničení. I pokud neoprávněně nezdaněné tabákové výrobky po jejich zajištění skladuje stát prostřednictvím příslušného policejního orgánu, je tím škodlivý následek (zdravotní a zejména pak i fiskální) eliminován jen dočasně a dlouhodobé skladování takových věcí zároveň vytváří buď nemalá fiskální rizika pro stát, nebo zvýšené náklady na ostrahu takových skladovaných hodnot. </w:t>
      </w:r>
    </w:p>
    <w:p w14:paraId="633B33B6" w14:textId="77777777" w:rsidR="00DA1CF2" w:rsidRPr="00897682" w:rsidRDefault="00DA1CF2" w:rsidP="00DA1CF2">
      <w:pPr>
        <w:spacing w:line="240" w:lineRule="auto"/>
        <w:rPr>
          <w:rFonts w:eastAsia="Times New Roman"/>
          <w:bCs w:val="0"/>
        </w:rPr>
      </w:pPr>
      <w:r w:rsidRPr="00897682">
        <w:rPr>
          <w:rFonts w:eastAsia="Times New Roman"/>
        </w:rPr>
        <w:t xml:space="preserve">Tento princip přiměřeně platí i pro další kategorie vysoce zdanitelného zboží (tzv. vybrané výrobky podle zákona o spotřebních daních č. 353/2003 Sb.), a dále v uvedeném kontextu </w:t>
      </w:r>
      <w:r w:rsidRPr="00897682">
        <w:rPr>
          <w:rFonts w:eastAsia="Times New Roman"/>
        </w:rPr>
        <w:lastRenderedPageBreak/>
        <w:t xml:space="preserve">i pro komponenty zajištěné v souvislosti s nelegální výrobou cigaret, které mohou být opět legálně a zároveň smysluplně používány ke svému účelu jen v daňovém skladu. </w:t>
      </w:r>
    </w:p>
    <w:p w14:paraId="713BBF3B" w14:textId="77777777" w:rsidR="00DA1CF2" w:rsidRPr="00897682" w:rsidRDefault="00DA1CF2" w:rsidP="00DA1CF2">
      <w:pPr>
        <w:spacing w:line="240" w:lineRule="auto"/>
        <w:rPr>
          <w:rFonts w:eastAsia="Times New Roman"/>
          <w:bCs w:val="0"/>
        </w:rPr>
      </w:pPr>
      <w:r w:rsidRPr="00897682">
        <w:rPr>
          <w:rFonts w:eastAsia="Times New Roman"/>
        </w:rPr>
        <w:t>Právní úprava přitom skýtá řadu záruk, aby zásah do práv osoby, které byly takové věci zajištěny, byl odůvodněný a přiměřený. V prvé řadě musí být splněna podmínka, že jde o věc, kterou nelze vrátit tomu, komu byla zajištěna, protože její držení by bylo v rozporu s právními předpisy České republiky. Zároveň musí být splněna podmínka, že úschova (skladování) takové věci je pro stát vzhledem k její povaze nebo objemu nákladná nebo spojená s obtížemi při zajištění požadovaných skladovacích podmínek, resp. její úschova je spojena s nepřiměřenými náklady s ohledem na účel jejího uchování (jedná se o obdobné důvody, pro které lze bez souhlasu toho, komu byla věc zajištěna, věc zajištěnou v trestním řízení pro jiné než důkazní účely prodat podle zákona č. 279/2003 Sb.). Dále zničením věci nesmí být ohroženo dokazování.</w:t>
      </w:r>
    </w:p>
    <w:p w14:paraId="1C242CC7" w14:textId="77777777" w:rsidR="00DA1CF2" w:rsidRPr="00897682" w:rsidRDefault="00DA1CF2" w:rsidP="00DA1CF2">
      <w:pPr>
        <w:spacing w:line="240" w:lineRule="auto"/>
        <w:rPr>
          <w:rFonts w:eastAsia="Times New Roman"/>
          <w:bCs w:val="0"/>
        </w:rPr>
      </w:pPr>
      <w:r w:rsidRPr="00897682">
        <w:rPr>
          <w:rFonts w:eastAsia="Times New Roman"/>
        </w:rPr>
        <w:t>O zničení věci pak rozhoduje v přípravném řízení státní zástupce a v řízení před soudem předseda senátu, přičemž proti jejich rozhodnutí je přípustná stížnost, o které rozhoduje soud (v přípravném řízení podle § 146a tr. ř.) a která má odkladný účinek.</w:t>
      </w:r>
    </w:p>
    <w:p w14:paraId="32D688F7" w14:textId="77777777" w:rsidR="00DA1CF2" w:rsidRPr="00897682" w:rsidRDefault="00DA1CF2" w:rsidP="00DA1CF2">
      <w:pPr>
        <w:spacing w:line="240" w:lineRule="auto"/>
        <w:rPr>
          <w:rFonts w:eastAsia="Times New Roman"/>
          <w:bCs w:val="0"/>
        </w:rPr>
      </w:pPr>
      <w:r w:rsidRPr="00897682">
        <w:rPr>
          <w:rFonts w:eastAsia="Times New Roman"/>
        </w:rPr>
        <w:t>V neposlední řadě se navrhuje výslovně doplnit orgán příslušný k realizaci zničení nebezpečné věci. Zničení věci zajistí orgán činný v trestním řízení, který má věc v úschově, nebo na pokyn orgánu činného v trestním řízení, který je příslušný ke správě podle zákona č. 279/2003 Sb., ten, kdo k věci vykonává správu, typicky zvláštní správce (např. ve vztahu k radioaktivním odpadům a zdrojům ionizujícího záření Správa úložišť radioaktivních odpadů).</w:t>
      </w:r>
    </w:p>
    <w:p w14:paraId="4F7E11B7" w14:textId="32A7D80A" w:rsidR="003C5DCD" w:rsidRPr="00897682" w:rsidRDefault="003C5DCD" w:rsidP="00DA1CF2">
      <w:pPr>
        <w:spacing w:line="240" w:lineRule="auto"/>
        <w:rPr>
          <w:rFonts w:eastAsia="Calibri"/>
        </w:rPr>
      </w:pPr>
      <w:r w:rsidRPr="00897682">
        <w:rPr>
          <w:rFonts w:eastAsia="Calibri"/>
          <w:b/>
          <w:bCs w:val="0"/>
        </w:rPr>
        <w:t>K bodu 2</w:t>
      </w:r>
      <w:r w:rsidR="00FB462D" w:rsidRPr="00897682">
        <w:rPr>
          <w:rFonts w:eastAsia="Calibri"/>
          <w:b/>
          <w:bCs w:val="0"/>
        </w:rPr>
        <w:t>8</w:t>
      </w:r>
      <w:r w:rsidRPr="00897682">
        <w:rPr>
          <w:rFonts w:eastAsia="Calibri"/>
        </w:rPr>
        <w:t xml:space="preserve"> (§ 102 odst. 2 věta druhá)</w:t>
      </w:r>
    </w:p>
    <w:p w14:paraId="788E084B" w14:textId="56440203" w:rsidR="003C5DCD" w:rsidRPr="00897682" w:rsidRDefault="003C5DCD" w:rsidP="00DA1CF2">
      <w:pPr>
        <w:spacing w:line="240" w:lineRule="auto"/>
        <w:rPr>
          <w:rFonts w:eastAsia="Calibri"/>
        </w:rPr>
      </w:pPr>
      <w:r w:rsidRPr="00897682">
        <w:rPr>
          <w:rFonts w:eastAsia="Calibri"/>
        </w:rPr>
        <w:t>Navržená změna reaguje na skutečnost, že s rozvojem moderní technicky jsou výslechy stále častěji nahrávány</w:t>
      </w:r>
      <w:r w:rsidR="00453FA8" w:rsidRPr="00897682">
        <w:rPr>
          <w:rFonts w:eastAsia="Calibri"/>
        </w:rPr>
        <w:t>,</w:t>
      </w:r>
      <w:r w:rsidRPr="00897682">
        <w:rPr>
          <w:rFonts w:eastAsia="Calibri"/>
        </w:rPr>
        <w:t xml:space="preserve"> a kromě čtení protokolů o výslechu lze důkaz provádět i přehráním záznamu. </w:t>
      </w:r>
    </w:p>
    <w:p w14:paraId="766F8715" w14:textId="132F468E" w:rsidR="009948AD" w:rsidRPr="00897682" w:rsidRDefault="009948AD" w:rsidP="00DA1CF2">
      <w:pPr>
        <w:spacing w:line="240" w:lineRule="auto"/>
        <w:rPr>
          <w:rFonts w:eastAsia="Calibri"/>
        </w:rPr>
      </w:pPr>
      <w:r w:rsidRPr="00897682">
        <w:rPr>
          <w:rFonts w:eastAsia="Calibri"/>
          <w:b/>
          <w:bCs w:val="0"/>
        </w:rPr>
        <w:t>K bodu 3</w:t>
      </w:r>
      <w:r w:rsidR="00FB462D" w:rsidRPr="00897682">
        <w:rPr>
          <w:rFonts w:eastAsia="Calibri"/>
          <w:b/>
          <w:bCs w:val="0"/>
        </w:rPr>
        <w:t>0</w:t>
      </w:r>
      <w:r w:rsidRPr="00897682">
        <w:rPr>
          <w:rFonts w:eastAsia="Calibri"/>
          <w:b/>
          <w:bCs w:val="0"/>
        </w:rPr>
        <w:t xml:space="preserve"> </w:t>
      </w:r>
      <w:r w:rsidRPr="00897682">
        <w:rPr>
          <w:rFonts w:eastAsia="Calibri"/>
        </w:rPr>
        <w:t>(§ 108 odst. 1)</w:t>
      </w:r>
    </w:p>
    <w:p w14:paraId="7D2E2CB8" w14:textId="30CDE2F4" w:rsidR="009948AD" w:rsidRPr="00897682" w:rsidRDefault="009948AD" w:rsidP="00DA1CF2">
      <w:pPr>
        <w:spacing w:line="240" w:lineRule="auto"/>
        <w:rPr>
          <w:rFonts w:eastAsia="Calibri"/>
        </w:rPr>
      </w:pPr>
      <w:r w:rsidRPr="00897682">
        <w:rPr>
          <w:rFonts w:eastAsia="Calibri"/>
        </w:rPr>
        <w:t xml:space="preserve">Navržená změna reaguje na předpokládané změny protokolace veřejných soudních jednání, kdy se většinově již nebude diktovat protokol (srov. navržený § 55b tr. ř.). </w:t>
      </w:r>
    </w:p>
    <w:p w14:paraId="6B5127D2" w14:textId="358B5029" w:rsidR="00DA1CF2" w:rsidRPr="00897682" w:rsidRDefault="00B316BF" w:rsidP="00DA1CF2">
      <w:pPr>
        <w:spacing w:line="240" w:lineRule="auto"/>
        <w:rPr>
          <w:rFonts w:eastAsia="Calibri"/>
        </w:rPr>
      </w:pPr>
      <w:r w:rsidRPr="00897682">
        <w:rPr>
          <w:rFonts w:eastAsia="Calibri"/>
          <w:b/>
          <w:bCs w:val="0"/>
        </w:rPr>
        <w:t xml:space="preserve">K bodu </w:t>
      </w:r>
      <w:r w:rsidR="00882965" w:rsidRPr="00897682">
        <w:rPr>
          <w:rFonts w:eastAsia="Calibri"/>
          <w:b/>
          <w:bCs w:val="0"/>
        </w:rPr>
        <w:t>3</w:t>
      </w:r>
      <w:r w:rsidR="00FB462D" w:rsidRPr="00897682">
        <w:rPr>
          <w:rFonts w:eastAsia="Calibri"/>
          <w:b/>
          <w:bCs w:val="0"/>
        </w:rPr>
        <w:t>1</w:t>
      </w:r>
      <w:r w:rsidRPr="00897682">
        <w:rPr>
          <w:rFonts w:eastAsia="Calibri"/>
        </w:rPr>
        <w:t xml:space="preserve"> (§ 111a odst. 2)</w:t>
      </w:r>
    </w:p>
    <w:p w14:paraId="32A1A0A2" w14:textId="77777777" w:rsidR="00B316BF" w:rsidRPr="00897682" w:rsidRDefault="00B316BF" w:rsidP="00B316BF">
      <w:pPr>
        <w:spacing w:line="240" w:lineRule="auto"/>
        <w:rPr>
          <w:rFonts w:eastAsia="Times New Roman"/>
          <w:bCs w:val="0"/>
          <w:lang w:eastAsia="x-none"/>
        </w:rPr>
      </w:pPr>
      <w:bookmarkStart w:id="7" w:name="_Hlk148877190"/>
      <w:r w:rsidRPr="00897682">
        <w:rPr>
          <w:rFonts w:eastAsia="Times New Roman"/>
          <w:lang w:eastAsia="x-none"/>
        </w:rPr>
        <w:t>Jak bylo uvedeno v obecné části důvodové zprávy, vázat možnost provedení výslechu prostřednictvím videokonferenčního zařízení na to, že v místě, kde se vyslýchaná osoba nachází, je přítomen zaměstnanec soudu nebo jiná v zákoně uvedená osoba, se ukazuje jako poměrně omezující a bránící dalšímu využití těchto technologií.</w:t>
      </w:r>
    </w:p>
    <w:p w14:paraId="7D9C3B4B" w14:textId="0F16840B" w:rsidR="00B316BF" w:rsidRPr="00897682" w:rsidRDefault="00B316BF" w:rsidP="00B316BF">
      <w:pPr>
        <w:spacing w:line="240" w:lineRule="auto"/>
        <w:rPr>
          <w:rFonts w:eastAsia="Times New Roman"/>
          <w:bCs w:val="0"/>
          <w:lang w:eastAsia="x-none"/>
        </w:rPr>
      </w:pPr>
      <w:r w:rsidRPr="00897682">
        <w:rPr>
          <w:rFonts w:eastAsia="Times New Roman"/>
          <w:lang w:eastAsia="x-none"/>
        </w:rPr>
        <w:t xml:space="preserve">Tato osoba má za úkol ověřovat totožnost vyslýchané osoby, popř. může dosvědčit průběh úkonu. Ověřit totožnost však lze i distančně, např. předložením (ukázáním na kameru) občanského průkazu, který bude možné za využití nového programového vybavení i naskenovat, uchovat v rámci záznamu o úkonu a zároveň zkontrolovat proti Centrální evidenci obyvatel, osoba provádějící úkon zároveň provede vizuální kontrolu průkazu a porovnání vzhledu vyslýchané osoby s fotkou v průkazu (tento postup lze předpokládat vzhledem k rozvoji moderních technologií a dnes již v zásadě jednotnému technickému vybavení soudů). V případě pochybností lze dosáhnout ověření i jinak, např. pokládáním náhodných osobních otázek, na které zná odpověď pouze osoba, která má být vyslýchána; v budoucnu bude ověření totožnosti realizováno s využitím např. přihlášení přes Identitu občana, což se jeví jako zvláště vhodné v případech již v obecné části uváděných tzv. POL POINT apod. Ostatně takové elektronické ověření je třeba upřednostnit všude tam, kde je to vhodné. Pokud totožnost nelze ověřit za pomoci elektronických nástrojů (NIA aj.), je třeba dbát zvýšené ostražitosti. Způsob prokázání totožnosti vyslýchané osoby bude na osobě provádějící výslech. Rizika předložení falešného průkazu nebo předložení pravého průkazu jinou osobou není ani při osobním, ani při </w:t>
      </w:r>
      <w:r w:rsidRPr="00897682">
        <w:rPr>
          <w:rFonts w:eastAsia="Times New Roman"/>
          <w:lang w:eastAsia="x-none"/>
        </w:rPr>
        <w:lastRenderedPageBreak/>
        <w:t>vzdáleném ověření totožnosti možné zcela eliminovat, zde popsané nástroje však umožní jejich efektivní minimalizaci.</w:t>
      </w:r>
    </w:p>
    <w:p w14:paraId="6D9BA148" w14:textId="12DA8F29" w:rsidR="00B316BF" w:rsidRPr="00897682" w:rsidRDefault="00B316BF" w:rsidP="00B316BF">
      <w:pPr>
        <w:spacing w:line="240" w:lineRule="auto"/>
        <w:rPr>
          <w:rFonts w:eastAsia="Calibri"/>
        </w:rPr>
      </w:pPr>
      <w:r w:rsidRPr="00897682">
        <w:rPr>
          <w:rFonts w:eastAsia="Calibri"/>
        </w:rPr>
        <w:t>Nadto nebude vyloučen ani postup, že si osoba provádějící výslech přítomnost ověřující osoby, v místě, ve kterém se nachází vyslýchaná osoba, i za účinnosti nové právní úpravy vyžádá, pokud to z jakéhokoli důvodu považuje za žádoucí.</w:t>
      </w:r>
    </w:p>
    <w:p w14:paraId="06873CDF" w14:textId="7421A996" w:rsidR="00B316BF" w:rsidRPr="00897682" w:rsidRDefault="00B316BF" w:rsidP="00B316BF">
      <w:pPr>
        <w:spacing w:line="240" w:lineRule="auto"/>
        <w:rPr>
          <w:rFonts w:eastAsia="Times New Roman"/>
          <w:bCs w:val="0"/>
          <w:lang w:eastAsia="x-none"/>
        </w:rPr>
      </w:pPr>
      <w:r w:rsidRPr="00897682">
        <w:rPr>
          <w:rFonts w:eastAsia="Times New Roman"/>
          <w:lang w:eastAsia="x-none"/>
        </w:rPr>
        <w:t>Je obecnou zásadou, že je třeba dbát na to, aby vyslýchaná osoba nebyla vystavena nepřístupnému ovlivňování. Ve vztahu k výslechu prováděnému prostřednictvím videokonferenčního zařízení se toto zvlášť zdůrazňuje – k zajištění toho je např. zapotřebí umožnit snímání celé místnosti, aby bylo zřejmé, že se v místnosti nenachází žádná další osoba, jejíž přítomnost není přípustná, vyslýchaná osoba nemá připravené psané poznámky, po dobu celého úkonu se v záběru nachází jediné dveře v místnosti tak, aby bylo možné kontinuálně kontrolovat, že do místnosti nevešel nikdo další apod. Uvedeným nejsou dotčena práva vyslýchaných osob</w:t>
      </w:r>
      <w:r w:rsidR="007250BC" w:rsidRPr="00897682">
        <w:rPr>
          <w:rFonts w:eastAsia="Times New Roman"/>
          <w:lang w:eastAsia="x-none"/>
        </w:rPr>
        <w:t>,</w:t>
      </w:r>
      <w:r w:rsidRPr="00897682">
        <w:rPr>
          <w:rFonts w:eastAsia="Times New Roman"/>
          <w:lang w:eastAsia="x-none"/>
        </w:rPr>
        <w:t xml:space="preserve"> včetně jejich práva na právní pomoc, přítomnost obhájce v případě výslechu obviněného a přítomnost zmocněnce nebo důvěrníka v případě výslechu poškozeného.</w:t>
      </w:r>
    </w:p>
    <w:p w14:paraId="0D36F847" w14:textId="68E6535F" w:rsidR="00B316BF" w:rsidRPr="00897682" w:rsidRDefault="00B316BF" w:rsidP="00B316BF">
      <w:pPr>
        <w:spacing w:line="240" w:lineRule="auto"/>
        <w:rPr>
          <w:rFonts w:eastAsia="Times New Roman"/>
          <w:bCs w:val="0"/>
          <w:lang w:eastAsia="x-none"/>
        </w:rPr>
      </w:pPr>
      <w:r w:rsidRPr="00897682">
        <w:rPr>
          <w:rFonts w:eastAsia="Times New Roman"/>
          <w:lang w:eastAsia="x-none"/>
        </w:rPr>
        <w:t>Pokud má osoba provádějící úkon pochybnosti o totožnosti vyslýchaného a neexistenci nepřípustných vlivů, je povinna takové pochybnosti odstranit a nebude-li to možné, bude nutné provádění úkonu přerušit a provést ho bez použití videokonferenčního spojení. Aby bylo výše uvedené požadavky možné dodržet, bude nutné, aby byla zajištěna dostatečná kvalita obrazu (zejména jeho rozlišení). Role osoby provádějící úkon je proto zásadní, a to jak před úkonem, při provádění úkonu, tak i po něm, neboť zaručuje splnění zákonných podmínek provádění videokonference, kdy by měla zajistit, že je totožnost vyslýchané osoby řádně ověřena, vyslýchaná osoba není ovlivňována apod. Stejnou důležitost má i průběžné a následné hodnocení výslechu s ohledem na jeho kvalitu a vliv technických omezení zásady bezprostřednosti na vnímání projevu vyslýchané osoby</w:t>
      </w:r>
      <w:r w:rsidR="007250BC" w:rsidRPr="00897682">
        <w:rPr>
          <w:rFonts w:eastAsia="Times New Roman"/>
          <w:lang w:eastAsia="x-none"/>
        </w:rPr>
        <w:t>,</w:t>
      </w:r>
      <w:r w:rsidRPr="00897682">
        <w:rPr>
          <w:rFonts w:eastAsia="Times New Roman"/>
          <w:lang w:eastAsia="x-none"/>
        </w:rPr>
        <w:t xml:space="preserve"> a z toho plynoucí</w:t>
      </w:r>
      <w:r w:rsidR="007250BC" w:rsidRPr="00897682">
        <w:rPr>
          <w:rFonts w:eastAsia="Times New Roman"/>
          <w:lang w:eastAsia="x-none"/>
        </w:rPr>
        <w:t>ch</w:t>
      </w:r>
      <w:r w:rsidRPr="00897682">
        <w:rPr>
          <w:rFonts w:eastAsia="Times New Roman"/>
          <w:lang w:eastAsia="x-none"/>
        </w:rPr>
        <w:t xml:space="preserve"> případných ovlivnění vypovídací hodnoty</w:t>
      </w:r>
      <w:r w:rsidR="00D978A1" w:rsidRPr="00897682">
        <w:rPr>
          <w:rFonts w:eastAsia="Times New Roman"/>
          <w:lang w:eastAsia="x-none"/>
        </w:rPr>
        <w:t xml:space="preserve"> </w:t>
      </w:r>
      <w:r w:rsidR="00165229" w:rsidRPr="00897682">
        <w:rPr>
          <w:rFonts w:eastAsia="Times New Roman"/>
          <w:lang w:eastAsia="x-none"/>
        </w:rPr>
        <w:t xml:space="preserve">takto </w:t>
      </w:r>
      <w:r w:rsidR="003B2871" w:rsidRPr="00897682">
        <w:rPr>
          <w:rFonts w:eastAsia="Times New Roman"/>
          <w:lang w:eastAsia="x-none"/>
        </w:rPr>
        <w:t xml:space="preserve">získaných </w:t>
      </w:r>
      <w:r w:rsidR="00D978A1" w:rsidRPr="00897682">
        <w:rPr>
          <w:rFonts w:eastAsia="Times New Roman"/>
          <w:lang w:eastAsia="x-none"/>
        </w:rPr>
        <w:t>informací</w:t>
      </w:r>
      <w:r w:rsidRPr="00897682">
        <w:rPr>
          <w:rFonts w:eastAsia="Times New Roman"/>
          <w:lang w:eastAsia="x-none"/>
        </w:rPr>
        <w:t>.</w:t>
      </w:r>
    </w:p>
    <w:p w14:paraId="10DF774A" w14:textId="77777777" w:rsidR="00B316BF" w:rsidRPr="00897682" w:rsidRDefault="00B316BF" w:rsidP="00B316BF">
      <w:pPr>
        <w:spacing w:line="240" w:lineRule="auto"/>
        <w:rPr>
          <w:rFonts w:eastAsia="Times New Roman"/>
          <w:bCs w:val="0"/>
          <w:lang w:eastAsia="x-none"/>
        </w:rPr>
      </w:pPr>
      <w:r w:rsidRPr="00897682">
        <w:rPr>
          <w:rFonts w:eastAsia="Times New Roman"/>
          <w:lang w:eastAsia="x-none"/>
        </w:rPr>
        <w:t xml:space="preserve">Je vhodné uvést, že nyní zaváděná pravidla již byla v praxi v době epidemie Covid-19 užita a takový postup byl ze strany vyšších soudů vzhledem k tehdejší situaci aprobován, byť za nestandardních podmínek (srov. např. usnesení Vrchního soudu v Praze ze dne 10. listopadu 2021 sp. zn. 5 To 47/2017). </w:t>
      </w:r>
    </w:p>
    <w:bookmarkEnd w:id="7"/>
    <w:p w14:paraId="67F00DE6" w14:textId="77777777" w:rsidR="00B316BF" w:rsidRPr="00897682" w:rsidRDefault="00B316BF" w:rsidP="00B316BF">
      <w:pPr>
        <w:spacing w:line="240" w:lineRule="auto"/>
        <w:rPr>
          <w:rFonts w:eastAsia="Calibri"/>
        </w:rPr>
      </w:pPr>
      <w:r w:rsidRPr="00897682">
        <w:rPr>
          <w:rFonts w:eastAsia="Calibri"/>
        </w:rPr>
        <w:t>Způsob ověřování totožnosti utajených svědků zůstává nezměněn (totožnost ověří v řízení před soudem předseda senátu nebo zaměstnanec soudu pověřený zabezpečováním ochrany utajovaných informací určený k této činnosti předsedou soudu a v přípravném řízení zaměstnanec státního zastupitelství nebo policejního orgánu pověřený ochranou utajovaných informací určený k této činnosti vedoucím státním zástupcem nebo vedoucím příslušníkem policejního orgánu).</w:t>
      </w:r>
    </w:p>
    <w:p w14:paraId="0A2765F9" w14:textId="584EC74B" w:rsidR="00DE62E1" w:rsidRPr="00897682" w:rsidRDefault="00DE62E1" w:rsidP="00B316BF">
      <w:pPr>
        <w:spacing w:after="160" w:line="259" w:lineRule="auto"/>
      </w:pPr>
      <w:r w:rsidRPr="00897682">
        <w:rPr>
          <w:rFonts w:eastAsia="Calibri"/>
          <w:b/>
          <w:bCs w:val="0"/>
        </w:rPr>
        <w:t xml:space="preserve">K bodu </w:t>
      </w:r>
      <w:r w:rsidR="00586217" w:rsidRPr="00897682">
        <w:rPr>
          <w:rFonts w:eastAsia="Calibri"/>
          <w:b/>
          <w:bCs w:val="0"/>
        </w:rPr>
        <w:t>3</w:t>
      </w:r>
      <w:r w:rsidR="00FB462D" w:rsidRPr="00897682">
        <w:rPr>
          <w:rFonts w:eastAsia="Calibri"/>
          <w:b/>
          <w:bCs w:val="0"/>
        </w:rPr>
        <w:t>2</w:t>
      </w:r>
      <w:r w:rsidRPr="00897682">
        <w:rPr>
          <w:rFonts w:eastAsia="Calibri"/>
          <w:b/>
          <w:bCs w:val="0"/>
        </w:rPr>
        <w:t xml:space="preserve"> </w:t>
      </w:r>
      <w:r w:rsidRPr="00897682">
        <w:rPr>
          <w:rFonts w:eastAsia="Calibri"/>
        </w:rPr>
        <w:t xml:space="preserve">(§ 127 odst. 1 </w:t>
      </w:r>
      <w:r w:rsidRPr="00897682">
        <w:t>vět</w:t>
      </w:r>
      <w:r w:rsidR="004F2546" w:rsidRPr="00897682">
        <w:t>a</w:t>
      </w:r>
      <w:r w:rsidRPr="00897682">
        <w:t xml:space="preserve"> první a v § 202 odst. 1 vět</w:t>
      </w:r>
      <w:r w:rsidR="004F2546" w:rsidRPr="00897682">
        <w:t>a</w:t>
      </w:r>
      <w:r w:rsidRPr="00897682">
        <w:t xml:space="preserve"> první)</w:t>
      </w:r>
    </w:p>
    <w:p w14:paraId="7F521D59" w14:textId="71BF6BC2" w:rsidR="00B316BF" w:rsidRPr="00897682" w:rsidRDefault="00DE62E1" w:rsidP="002039B1">
      <w:pPr>
        <w:spacing w:line="240" w:lineRule="auto"/>
        <w:rPr>
          <w:rFonts w:eastAsia="Calibri"/>
        </w:rPr>
      </w:pPr>
      <w:r w:rsidRPr="00897682">
        <w:rPr>
          <w:rFonts w:cs="Times New Roman"/>
          <w:szCs w:val="24"/>
        </w:rPr>
        <w:t>Navržené změny reagují na skutečnost, že podle navržené úpravy již nebude v</w:t>
      </w:r>
      <w:r w:rsidR="0026074F" w:rsidRPr="00897682">
        <w:rPr>
          <w:rFonts w:cs="Times New Roman"/>
          <w:szCs w:val="24"/>
        </w:rPr>
        <w:t xml:space="preserve">ětšinou </w:t>
      </w:r>
      <w:r w:rsidRPr="00897682">
        <w:rPr>
          <w:rFonts w:cs="Times New Roman"/>
          <w:szCs w:val="24"/>
        </w:rPr>
        <w:t xml:space="preserve">pořizován protokol </w:t>
      </w:r>
      <w:r w:rsidR="0026074F" w:rsidRPr="00897682">
        <w:rPr>
          <w:rFonts w:cs="Times New Roman"/>
          <w:szCs w:val="24"/>
        </w:rPr>
        <w:t xml:space="preserve">z veřejných soudních jednání </w:t>
      </w:r>
      <w:r w:rsidRPr="00897682">
        <w:rPr>
          <w:rFonts w:cs="Times New Roman"/>
          <w:szCs w:val="24"/>
        </w:rPr>
        <w:t xml:space="preserve">a </w:t>
      </w:r>
      <w:r w:rsidR="0026074F" w:rsidRPr="00897682">
        <w:rPr>
          <w:rFonts w:cs="Times New Roman"/>
          <w:szCs w:val="24"/>
        </w:rPr>
        <w:t xml:space="preserve">takovým </w:t>
      </w:r>
      <w:r w:rsidRPr="00897682">
        <w:rPr>
          <w:rFonts w:cs="Times New Roman"/>
          <w:szCs w:val="24"/>
        </w:rPr>
        <w:t>jednání</w:t>
      </w:r>
      <w:r w:rsidR="0026074F" w:rsidRPr="00897682">
        <w:rPr>
          <w:rFonts w:cs="Times New Roman"/>
          <w:szCs w:val="24"/>
        </w:rPr>
        <w:t>m tedy</w:t>
      </w:r>
      <w:r w:rsidRPr="00897682">
        <w:rPr>
          <w:rFonts w:cs="Times New Roman"/>
          <w:szCs w:val="24"/>
        </w:rPr>
        <w:t xml:space="preserve"> nebude přítomen zapisovatel. </w:t>
      </w:r>
    </w:p>
    <w:p w14:paraId="69C50A1A" w14:textId="00A61926" w:rsidR="00B316BF" w:rsidRPr="00897682" w:rsidRDefault="006F5B05" w:rsidP="00DA1CF2">
      <w:pPr>
        <w:spacing w:line="240" w:lineRule="auto"/>
        <w:rPr>
          <w:rFonts w:eastAsia="Calibri"/>
        </w:rPr>
      </w:pPr>
      <w:r w:rsidRPr="00897682">
        <w:rPr>
          <w:rFonts w:eastAsia="Calibri"/>
          <w:b/>
          <w:bCs w:val="0"/>
        </w:rPr>
        <w:t>K bodu 3</w:t>
      </w:r>
      <w:r w:rsidR="00FB462D" w:rsidRPr="00897682">
        <w:rPr>
          <w:rFonts w:eastAsia="Calibri"/>
          <w:b/>
          <w:bCs w:val="0"/>
        </w:rPr>
        <w:t>3</w:t>
      </w:r>
      <w:r w:rsidRPr="00897682">
        <w:rPr>
          <w:rFonts w:eastAsia="Calibri"/>
          <w:b/>
          <w:bCs w:val="0"/>
        </w:rPr>
        <w:t xml:space="preserve"> </w:t>
      </w:r>
      <w:r w:rsidRPr="00897682">
        <w:rPr>
          <w:rFonts w:eastAsia="Calibri"/>
        </w:rPr>
        <w:t>(§ 143 odst. 1)</w:t>
      </w:r>
    </w:p>
    <w:p w14:paraId="756E9205" w14:textId="659AA405" w:rsidR="00F833F6" w:rsidRPr="00897682" w:rsidRDefault="00F833F6" w:rsidP="006F5B05">
      <w:pPr>
        <w:spacing w:line="240" w:lineRule="auto"/>
        <w:rPr>
          <w:rFonts w:cs="Times New Roman"/>
          <w:szCs w:val="24"/>
        </w:rPr>
      </w:pPr>
      <w:r w:rsidRPr="00897682">
        <w:rPr>
          <w:rFonts w:cs="Times New Roman"/>
          <w:szCs w:val="24"/>
        </w:rPr>
        <w:t xml:space="preserve">Podle § 143 odst. 1 tr. ř. se stížnost proti usnesení podává ve lhůtě tří dnů od jeho oznámení, které se provádí podle § 137 odst. 1 tr. ř. buď vyhlášením v přítomnosti oprávněné osoby, nebo doručením opisu usnesení. Bez ohledu na to Ústavní soud s odůvodněním, že je třeba, aby se osoby oprávněné podat stížnost podrobně seznámily s důvody, pro které bylo usnesením rozhodnuto, posunul počátek běhu lhůty k podání stížnosti až na doručení opisu usnesení; skutečnost, zda osoba oprávněná podat stížnost byla vyhlášení takového usnesení přítomna, </w:t>
      </w:r>
      <w:r w:rsidRPr="00897682">
        <w:rPr>
          <w:rFonts w:cs="Times New Roman"/>
          <w:szCs w:val="24"/>
        </w:rPr>
        <w:lastRenderedPageBreak/>
        <w:t xml:space="preserve">nepovažoval za významnou. Nejprve tak učinil ve vztahu k usnesením týkajícím se návrhů </w:t>
      </w:r>
      <w:r w:rsidRPr="00897682">
        <w:rPr>
          <w:rFonts w:cs="Times New Roman"/>
          <w:szCs w:val="24"/>
        </w:rPr>
        <w:br/>
        <w:t xml:space="preserve">na obnovu řízení, později i ohledně usnesení, jimiž se rozhoduje o vazbě. Výsledkem je, že řada soudů počítá lhůtu k podání stížnosti ve všech případech až od doručení opisu unesení </w:t>
      </w:r>
      <w:r w:rsidRPr="00897682">
        <w:rPr>
          <w:rFonts w:cs="Times New Roman"/>
          <w:szCs w:val="24"/>
        </w:rPr>
        <w:br/>
        <w:t xml:space="preserve">a k okamžiku jejich vyhlášení nepřihlíží, což fakticky odporuje znění zákona. </w:t>
      </w:r>
    </w:p>
    <w:p w14:paraId="7E09728D" w14:textId="037AE5AB" w:rsidR="006F5B05" w:rsidRPr="00897682" w:rsidRDefault="006F5B05" w:rsidP="006F5B05">
      <w:pPr>
        <w:spacing w:line="240" w:lineRule="auto"/>
        <w:rPr>
          <w:rFonts w:eastAsia="Calibri"/>
          <w:bCs w:val="0"/>
        </w:rPr>
      </w:pPr>
      <w:r w:rsidRPr="00897682">
        <w:rPr>
          <w:rFonts w:eastAsia="Calibri"/>
        </w:rPr>
        <w:t xml:space="preserve">S ohledem na </w:t>
      </w:r>
      <w:r w:rsidR="00F833F6" w:rsidRPr="00897682">
        <w:rPr>
          <w:rFonts w:eastAsia="Calibri"/>
        </w:rPr>
        <w:t xml:space="preserve">uvedenou </w:t>
      </w:r>
      <w:r w:rsidRPr="00897682">
        <w:rPr>
          <w:rFonts w:eastAsia="Calibri"/>
        </w:rPr>
        <w:t xml:space="preserve">judikaturu Ústavního soudu </w:t>
      </w:r>
      <w:r w:rsidR="00F833F6" w:rsidRPr="00897682">
        <w:rPr>
          <w:rFonts w:eastAsia="Calibri"/>
        </w:rPr>
        <w:t xml:space="preserve">se navrhuje </w:t>
      </w:r>
      <w:r w:rsidRPr="00897682">
        <w:rPr>
          <w:rFonts w:eastAsia="Calibri"/>
        </w:rPr>
        <w:t>jednoznačn</w:t>
      </w:r>
      <w:r w:rsidR="00F833F6" w:rsidRPr="00897682">
        <w:rPr>
          <w:rFonts w:eastAsia="Calibri"/>
        </w:rPr>
        <w:t>ě tuto otázku upravit přímo v zákoně a uvést tak právní stav do souladu s praxí</w:t>
      </w:r>
      <w:r w:rsidRPr="00897682">
        <w:rPr>
          <w:rFonts w:eastAsia="Calibri"/>
        </w:rPr>
        <w:t>. Vzhledem k dosavadní judikatuře Ústavního soudu založené na možnosti kvalifikovaného podání stížnosti až po obeznámení se s písemným odůvodněním usnesení se navrhuje stanovit počátek běhu lhůty pro podání stížnosti až od doručení písemného vyhotovení usnesení, byť předtím byla oprávněná osoba seznámena s obsahem usnesení při jeho ústním vyhlášení, u všech usnesení, která se doručují. Základním argumentem, který Ústavní soud ve svých rozhodnutích uvádí, je, že lhůta pro podání stížnosti má běžet od vyhlášení usnesení jen v těch případech, kdy se usnesení nedoručuje. Pokud se usnesení doručuje, má lhůta běžet od doručení. Důvodem je, že tím je zaručeno, že stěžovatel má možnost se plně seznámit s důvody usnesení, v klidu si vše rozmyslet atd., jinak by požadavek na doručení usnesení v písemné formě s odůvodněním neměl smysl a měl by čistě informativní význam. Byť tedy Ústavní soud ve své dosavadní judikatuře tento požadavek vztahuje pouze k</w:t>
      </w:r>
      <w:r w:rsidR="00E34334" w:rsidRPr="00897682">
        <w:rPr>
          <w:rFonts w:eastAsia="Calibri"/>
        </w:rPr>
        <w:t xml:space="preserve"> vybraným </w:t>
      </w:r>
      <w:r w:rsidRPr="00897682">
        <w:rPr>
          <w:rFonts w:eastAsia="Calibri"/>
        </w:rPr>
        <w:t>rozhodnutím, která se svou závažností blíží rozsudku anebo jsou spojená s omezením osobní svobody, protože jen u těchto rozhodnutí je dán ústavněprávní rozměr, argumenty uváděné Ústavním soudem platí pro všechna rozhodnutí, která se doručují</w:t>
      </w:r>
      <w:r w:rsidR="006E0B3E" w:rsidRPr="00897682">
        <w:rPr>
          <w:rFonts w:eastAsia="Calibri"/>
        </w:rPr>
        <w:t>, a proto se tato otázka upravuje jednotně</w:t>
      </w:r>
      <w:r w:rsidR="004B6DCA" w:rsidRPr="00897682">
        <w:rPr>
          <w:rFonts w:eastAsia="Calibri"/>
        </w:rPr>
        <w:t>.</w:t>
      </w:r>
    </w:p>
    <w:p w14:paraId="1613804A" w14:textId="2EF34574" w:rsidR="003A11C2" w:rsidRPr="00897682" w:rsidRDefault="003A11C2" w:rsidP="003A11C2">
      <w:pPr>
        <w:keepNext/>
        <w:spacing w:line="240" w:lineRule="auto"/>
        <w:outlineLvl w:val="2"/>
        <w:rPr>
          <w:rFonts w:eastAsia="Calibri"/>
        </w:rPr>
      </w:pPr>
      <w:r w:rsidRPr="00897682">
        <w:rPr>
          <w:rFonts w:eastAsia="Calibri"/>
          <w:b/>
          <w:bCs w:val="0"/>
        </w:rPr>
        <w:t xml:space="preserve">K bodům </w:t>
      </w:r>
      <w:r w:rsidR="00C145C2" w:rsidRPr="00897682">
        <w:rPr>
          <w:rFonts w:eastAsia="Calibri"/>
          <w:b/>
          <w:bCs w:val="0"/>
        </w:rPr>
        <w:t>3</w:t>
      </w:r>
      <w:r w:rsidR="00FB462D" w:rsidRPr="00897682">
        <w:rPr>
          <w:rFonts w:eastAsia="Calibri"/>
          <w:b/>
          <w:bCs w:val="0"/>
        </w:rPr>
        <w:t>4</w:t>
      </w:r>
      <w:r w:rsidRPr="00897682">
        <w:rPr>
          <w:rFonts w:eastAsia="Calibri"/>
          <w:b/>
          <w:bCs w:val="0"/>
        </w:rPr>
        <w:t xml:space="preserve"> a 3</w:t>
      </w:r>
      <w:r w:rsidR="00FB462D" w:rsidRPr="00897682">
        <w:rPr>
          <w:rFonts w:eastAsia="Calibri"/>
          <w:b/>
          <w:bCs w:val="0"/>
        </w:rPr>
        <w:t>5</w:t>
      </w:r>
      <w:r w:rsidRPr="00897682">
        <w:rPr>
          <w:rFonts w:eastAsia="Calibri"/>
        </w:rPr>
        <w:t xml:space="preserve"> [§ 146a odst. 1 písm. j) a § 146a odst. 2)]</w:t>
      </w:r>
    </w:p>
    <w:p w14:paraId="052D6590" w14:textId="5D8E10AC" w:rsidR="003A11C2" w:rsidRPr="00897682" w:rsidRDefault="003A11C2" w:rsidP="003A11C2">
      <w:pPr>
        <w:spacing w:line="240" w:lineRule="auto"/>
        <w:rPr>
          <w:rFonts w:eastAsia="Calibri"/>
        </w:rPr>
      </w:pPr>
      <w:r w:rsidRPr="00897682">
        <w:rPr>
          <w:rFonts w:eastAsia="Calibri"/>
        </w:rPr>
        <w:t>Rozhodnutí o poměrném rozdělení peněžních prostředků podle § 81a odst. 2 tr. ř. je rozhodnutím, kterým</w:t>
      </w:r>
      <w:r w:rsidR="00B61337" w:rsidRPr="00897682">
        <w:rPr>
          <w:rFonts w:eastAsia="Calibri"/>
        </w:rPr>
        <w:t>, byť se jím nerozhoduje přímo o vlastnickém právu,</w:t>
      </w:r>
      <w:r w:rsidRPr="00897682">
        <w:rPr>
          <w:rFonts w:eastAsia="Calibri"/>
        </w:rPr>
        <w:t xml:space="preserve"> dochází k zásahu do základních lidských práv a svobod, </w:t>
      </w:r>
      <w:r w:rsidR="00B61337" w:rsidRPr="00897682">
        <w:rPr>
          <w:rFonts w:eastAsia="Calibri"/>
        </w:rPr>
        <w:t xml:space="preserve">a </w:t>
      </w:r>
      <w:r w:rsidRPr="00897682">
        <w:rPr>
          <w:rFonts w:eastAsia="Calibri"/>
        </w:rPr>
        <w:t xml:space="preserve">je proto zapotřebí umožnit jeho soudní přezkum. </w:t>
      </w:r>
    </w:p>
    <w:p w14:paraId="13FB9D6A" w14:textId="7E9B57E3" w:rsidR="00D81482" w:rsidRPr="00897682" w:rsidRDefault="00EB4061" w:rsidP="008B5143">
      <w:pPr>
        <w:spacing w:line="240" w:lineRule="auto"/>
      </w:pPr>
      <w:r w:rsidRPr="00897682">
        <w:rPr>
          <w:rFonts w:eastAsia="Calibri"/>
        </w:rPr>
        <w:t xml:space="preserve">Stejně tak v případě, že orgán činný v trestním řízení nevyhoví </w:t>
      </w:r>
      <w:r w:rsidRPr="00897682">
        <w:t xml:space="preserve">návrhu na vynětí listin nebo jiných záznamů zachycujících důvěrnou komunikaci chráněnou podle § 35a tr. ř. ze spisu, je třeba umožnit soudní přezkum takového rozhodnutí, neboť </w:t>
      </w:r>
      <w:r w:rsidR="005E7ECF" w:rsidRPr="00897682">
        <w:t xml:space="preserve">právo na důvěrnost </w:t>
      </w:r>
      <w:r w:rsidRPr="00897682">
        <w:t>komunikace ve smyslu § 35a tr. ř. vyplývá z článku 6 Úmluvy o ochraně lidských práv a svobod.</w:t>
      </w:r>
    </w:p>
    <w:p w14:paraId="2310DC83" w14:textId="601F162E" w:rsidR="00D32299" w:rsidRPr="00897682" w:rsidRDefault="00D32299" w:rsidP="007716C9">
      <w:pPr>
        <w:spacing w:line="240" w:lineRule="auto"/>
        <w:rPr>
          <w:rFonts w:eastAsia="Calibri"/>
        </w:rPr>
      </w:pPr>
      <w:r w:rsidRPr="00897682">
        <w:rPr>
          <w:rFonts w:eastAsia="Calibri"/>
          <w:b/>
          <w:bCs w:val="0"/>
        </w:rPr>
        <w:t>K bodu 3</w:t>
      </w:r>
      <w:r w:rsidR="00FB462D" w:rsidRPr="00897682">
        <w:rPr>
          <w:rFonts w:eastAsia="Calibri"/>
          <w:b/>
          <w:bCs w:val="0"/>
        </w:rPr>
        <w:t>6</w:t>
      </w:r>
      <w:r w:rsidRPr="00897682">
        <w:rPr>
          <w:rFonts w:eastAsia="Calibri"/>
          <w:b/>
          <w:bCs w:val="0"/>
        </w:rPr>
        <w:t xml:space="preserve"> </w:t>
      </w:r>
      <w:r w:rsidRPr="00897682">
        <w:rPr>
          <w:rFonts w:eastAsia="Calibri"/>
        </w:rPr>
        <w:t>(§ 159 odst. 7 věta poslední</w:t>
      </w:r>
      <w:r w:rsidR="0018432E" w:rsidRPr="00897682">
        <w:rPr>
          <w:rFonts w:eastAsia="Calibri"/>
        </w:rPr>
        <w:t>, § 202 odst. 3</w:t>
      </w:r>
      <w:r w:rsidRPr="00897682">
        <w:rPr>
          <w:rFonts w:eastAsia="Calibri"/>
        </w:rPr>
        <w:t>)</w:t>
      </w:r>
    </w:p>
    <w:p w14:paraId="389BABFC" w14:textId="24F1066A" w:rsidR="00D32299" w:rsidRPr="00897682" w:rsidRDefault="00D32299" w:rsidP="007716C9">
      <w:pPr>
        <w:spacing w:line="240" w:lineRule="auto"/>
        <w:rPr>
          <w:rFonts w:eastAsia="Calibri"/>
        </w:rPr>
      </w:pPr>
      <w:r w:rsidRPr="00897682">
        <w:rPr>
          <w:rFonts w:eastAsia="Calibri"/>
        </w:rPr>
        <w:t>Navržen</w:t>
      </w:r>
      <w:r w:rsidR="0018432E" w:rsidRPr="00897682">
        <w:rPr>
          <w:rFonts w:eastAsia="Calibri"/>
        </w:rPr>
        <w:t>é</w:t>
      </w:r>
      <w:r w:rsidRPr="00897682">
        <w:rPr>
          <w:rFonts w:eastAsia="Calibri"/>
        </w:rPr>
        <w:t xml:space="preserve"> změn</w:t>
      </w:r>
      <w:r w:rsidR="0018432E" w:rsidRPr="00897682">
        <w:rPr>
          <w:rFonts w:eastAsia="Calibri"/>
        </w:rPr>
        <w:t>y</w:t>
      </w:r>
      <w:r w:rsidRPr="00897682">
        <w:rPr>
          <w:rFonts w:eastAsia="Calibri"/>
        </w:rPr>
        <w:t xml:space="preserve"> reaguj</w:t>
      </w:r>
      <w:r w:rsidR="0018432E" w:rsidRPr="00897682">
        <w:rPr>
          <w:rFonts w:eastAsia="Calibri"/>
        </w:rPr>
        <w:t>í</w:t>
      </w:r>
      <w:r w:rsidRPr="00897682">
        <w:rPr>
          <w:rFonts w:eastAsia="Calibri"/>
        </w:rPr>
        <w:t xml:space="preserve"> na skutečnost, že s rozvojem moderní technicky jsou výslechy stále častěji nahrávány, a kromě čtení protokolů o výslechu lze důkaz provádět i přehráním záznamu. </w:t>
      </w:r>
    </w:p>
    <w:p w14:paraId="6AF66E80" w14:textId="0C6F01DE" w:rsidR="007716C9" w:rsidRPr="00897682" w:rsidRDefault="007716C9" w:rsidP="007716C9">
      <w:pPr>
        <w:spacing w:line="240" w:lineRule="auto"/>
        <w:rPr>
          <w:rFonts w:eastAsia="Calibri"/>
        </w:rPr>
      </w:pPr>
      <w:r w:rsidRPr="00897682">
        <w:rPr>
          <w:rFonts w:eastAsia="Calibri"/>
          <w:b/>
          <w:bCs w:val="0"/>
        </w:rPr>
        <w:t>K bodu 3</w:t>
      </w:r>
      <w:r w:rsidR="00FB462D" w:rsidRPr="00897682">
        <w:rPr>
          <w:rFonts w:eastAsia="Calibri"/>
          <w:b/>
          <w:bCs w:val="0"/>
        </w:rPr>
        <w:t>7</w:t>
      </w:r>
      <w:r w:rsidRPr="00897682">
        <w:rPr>
          <w:rFonts w:eastAsia="Calibri"/>
          <w:b/>
          <w:bCs w:val="0"/>
        </w:rPr>
        <w:t xml:space="preserve"> </w:t>
      </w:r>
      <w:r w:rsidRPr="00897682">
        <w:rPr>
          <w:rFonts w:eastAsia="Calibri"/>
        </w:rPr>
        <w:t>(§ 159e)</w:t>
      </w:r>
    </w:p>
    <w:p w14:paraId="05443B2C" w14:textId="329D1629" w:rsidR="007716C9" w:rsidRPr="00897682" w:rsidRDefault="007716C9" w:rsidP="007716C9">
      <w:pPr>
        <w:spacing w:line="240" w:lineRule="auto"/>
        <w:rPr>
          <w:rFonts w:eastAsia="Calibri"/>
        </w:rPr>
      </w:pPr>
      <w:r w:rsidRPr="00897682">
        <w:t xml:space="preserve">Nově se navrhuje, aby osoba, vůči níž byl v prověřování proveden úkon, přičemž byla buď přímo poučena, že je podezřelá ze spáchání trestného činu, nebo vůči ní orgány určitý úkon provedly z důvodu takového podezření a tato osoba o tom sice nevěděla, ale následně byla informována o tom, že proti ní byl určitý úkon proveden (např. odposlech nebo sledování osob a věcí, kde je samostatná informační povinnost pro orgány činné v trestním řízení), byla vyrozuměna i o tom, že již bylo prověřování vůči ní </w:t>
      </w:r>
      <w:r w:rsidR="00AB1E87" w:rsidRPr="00897682">
        <w:t xml:space="preserve">ukončeno </w:t>
      </w:r>
      <w:r w:rsidRPr="00897682">
        <w:t>(byť nejde o překážku věci pravomocně rozhodnuté)</w:t>
      </w:r>
      <w:r w:rsidR="00AB1E87" w:rsidRPr="00897682">
        <w:t>,</w:t>
      </w:r>
      <w:r w:rsidRPr="00897682">
        <w:t xml:space="preserve"> a nežila v nejistotě, zda ještě nějaké prověřování probíhá či nikoli. </w:t>
      </w:r>
    </w:p>
    <w:p w14:paraId="725D6DA5" w14:textId="04FFFFB9" w:rsidR="007716C9" w:rsidRPr="00897682" w:rsidRDefault="0065081A" w:rsidP="008B5143">
      <w:pPr>
        <w:spacing w:line="240" w:lineRule="auto"/>
        <w:rPr>
          <w:rFonts w:eastAsia="Calibri"/>
        </w:rPr>
      </w:pPr>
      <w:r w:rsidRPr="00897682">
        <w:rPr>
          <w:rFonts w:eastAsia="Calibri"/>
          <w:b/>
          <w:bCs w:val="0"/>
        </w:rPr>
        <w:t>K bodu 3</w:t>
      </w:r>
      <w:r w:rsidR="00FB462D" w:rsidRPr="00897682">
        <w:rPr>
          <w:rFonts w:eastAsia="Calibri"/>
          <w:b/>
          <w:bCs w:val="0"/>
        </w:rPr>
        <w:t>8</w:t>
      </w:r>
      <w:r w:rsidRPr="00897682">
        <w:rPr>
          <w:rFonts w:eastAsia="Calibri"/>
          <w:b/>
          <w:bCs w:val="0"/>
        </w:rPr>
        <w:t xml:space="preserve"> </w:t>
      </w:r>
      <w:r w:rsidRPr="00897682">
        <w:rPr>
          <w:rFonts w:eastAsia="Calibri"/>
        </w:rPr>
        <w:t xml:space="preserve">(§ 161 odst. 7) </w:t>
      </w:r>
    </w:p>
    <w:p w14:paraId="37CFCE14" w14:textId="17F96554" w:rsidR="0014646B" w:rsidRPr="00897682" w:rsidRDefault="00C66839" w:rsidP="00C66839">
      <w:pPr>
        <w:spacing w:line="240" w:lineRule="auto"/>
        <w:rPr>
          <w:rFonts w:eastAsia="Times New Roman" w:cs="Times New Roman"/>
          <w:color w:val="000000" w:themeColor="text1"/>
          <w:szCs w:val="24"/>
        </w:rPr>
      </w:pPr>
      <w:r w:rsidRPr="00897682">
        <w:rPr>
          <w:rFonts w:eastAsia="Times New Roman" w:cs="Times New Roman"/>
          <w:color w:val="000000" w:themeColor="text1"/>
          <w:szCs w:val="24"/>
        </w:rPr>
        <w:t>Přestože je příslušníkům Vojenské policie vlastní znalost vojenského prostředí, zvyklostí, struktury a vnitřních předpisů, poznatky z aplikační praxe ukazují, že v určitých případech je nutno upřednostnit znalosti a specializaci útvarů Policie České republiky. Zakotvení p</w:t>
      </w:r>
      <w:r w:rsidR="00BD7F5F" w:rsidRPr="00897682">
        <w:rPr>
          <w:rFonts w:eastAsia="Times New Roman" w:cs="Times New Roman"/>
          <w:color w:val="000000" w:themeColor="text1"/>
          <w:szCs w:val="24"/>
        </w:rPr>
        <w:t>říslušnosti</w:t>
      </w:r>
      <w:r w:rsidRPr="00897682">
        <w:rPr>
          <w:rFonts w:eastAsia="Times New Roman" w:cs="Times New Roman"/>
          <w:color w:val="000000" w:themeColor="text1"/>
          <w:szCs w:val="24"/>
        </w:rPr>
        <w:t xml:space="preserve"> </w:t>
      </w:r>
      <w:r w:rsidR="00BD7F5F" w:rsidRPr="00897682">
        <w:rPr>
          <w:rFonts w:eastAsia="Times New Roman" w:cs="Times New Roman"/>
          <w:color w:val="000000" w:themeColor="text1"/>
          <w:szCs w:val="24"/>
        </w:rPr>
        <w:t xml:space="preserve">pověřeného orgánu Vojenské policie </w:t>
      </w:r>
      <w:r w:rsidRPr="00897682">
        <w:rPr>
          <w:rFonts w:eastAsia="Times New Roman" w:cs="Times New Roman"/>
          <w:color w:val="000000" w:themeColor="text1"/>
          <w:szCs w:val="24"/>
        </w:rPr>
        <w:t xml:space="preserve">k vyšetřování trestné činnosti příslušníků ozbrojených sil se nejeví jako odpovídající </w:t>
      </w:r>
      <w:r w:rsidR="00A17E3F" w:rsidRPr="00897682">
        <w:rPr>
          <w:rFonts w:eastAsia="Times New Roman" w:cs="Times New Roman"/>
          <w:color w:val="000000" w:themeColor="text1"/>
          <w:szCs w:val="24"/>
        </w:rPr>
        <w:t xml:space="preserve">zejména </w:t>
      </w:r>
      <w:r w:rsidRPr="00897682">
        <w:rPr>
          <w:rFonts w:eastAsia="Times New Roman" w:cs="Times New Roman"/>
          <w:color w:val="000000" w:themeColor="text1"/>
          <w:szCs w:val="24"/>
        </w:rPr>
        <w:t xml:space="preserve">v případě </w:t>
      </w:r>
      <w:r w:rsidR="00692915" w:rsidRPr="00897682">
        <w:rPr>
          <w:rFonts w:eastAsia="Times New Roman" w:cs="Times New Roman"/>
          <w:color w:val="000000" w:themeColor="text1"/>
          <w:szCs w:val="24"/>
        </w:rPr>
        <w:t xml:space="preserve">vyšetřování </w:t>
      </w:r>
      <w:r w:rsidRPr="00897682">
        <w:rPr>
          <w:rFonts w:eastAsia="Times New Roman" w:cs="Times New Roman"/>
          <w:color w:val="000000" w:themeColor="text1"/>
          <w:szCs w:val="24"/>
        </w:rPr>
        <w:t xml:space="preserve">závažných trestných činů hospodářského charakteru. </w:t>
      </w:r>
      <w:r w:rsidR="00852AAC" w:rsidRPr="00897682">
        <w:rPr>
          <w:rFonts w:eastAsia="Times New Roman" w:cs="Times New Roman"/>
          <w:color w:val="000000" w:themeColor="text1"/>
          <w:szCs w:val="24"/>
        </w:rPr>
        <w:t>Proto se n</w:t>
      </w:r>
      <w:r w:rsidRPr="00897682">
        <w:rPr>
          <w:rFonts w:eastAsia="Times New Roman" w:cs="Times New Roman"/>
          <w:color w:val="000000" w:themeColor="text1"/>
          <w:szCs w:val="24"/>
        </w:rPr>
        <w:t xml:space="preserve">avrhuje, aby pro vyšetřování vybraných korupčních, </w:t>
      </w:r>
      <w:r w:rsidRPr="00897682">
        <w:rPr>
          <w:rFonts w:eastAsia="Times New Roman" w:cs="Times New Roman"/>
          <w:color w:val="000000" w:themeColor="text1"/>
          <w:szCs w:val="24"/>
        </w:rPr>
        <w:lastRenderedPageBreak/>
        <w:t xml:space="preserve">majetkových a hospodářských trestných činů spojených se zadáváním veřejných zakázek </w:t>
      </w:r>
      <w:r w:rsidR="00852AAC" w:rsidRPr="00897682">
        <w:rPr>
          <w:rFonts w:eastAsia="Times New Roman" w:cs="Times New Roman"/>
          <w:color w:val="000000" w:themeColor="text1"/>
          <w:szCs w:val="24"/>
        </w:rPr>
        <w:br/>
      </w:r>
      <w:r w:rsidRPr="00897682">
        <w:rPr>
          <w:rFonts w:eastAsia="Times New Roman" w:cs="Times New Roman"/>
          <w:color w:val="000000" w:themeColor="text1"/>
          <w:szCs w:val="24"/>
        </w:rPr>
        <w:t xml:space="preserve">a hospodařením se státním majetkem v resortu obrany byla výlučně příslušná Policie České republiky. Vyšetřování této specifické trestné činnosti, zpravidla organizovaného charakteru, </w:t>
      </w:r>
      <w:r w:rsidR="00364ADF" w:rsidRPr="00897682">
        <w:rPr>
          <w:rFonts w:eastAsia="Times New Roman" w:cs="Times New Roman"/>
          <w:color w:val="000000" w:themeColor="text1"/>
          <w:szCs w:val="24"/>
        </w:rPr>
        <w:t xml:space="preserve">mnohdy </w:t>
      </w:r>
      <w:r w:rsidR="00245F3D" w:rsidRPr="00897682">
        <w:rPr>
          <w:rFonts w:eastAsia="Times New Roman" w:cs="Times New Roman"/>
          <w:color w:val="000000" w:themeColor="text1"/>
          <w:szCs w:val="24"/>
        </w:rPr>
        <w:t xml:space="preserve">i </w:t>
      </w:r>
      <w:r w:rsidRPr="00897682">
        <w:rPr>
          <w:rFonts w:eastAsia="Times New Roman" w:cs="Times New Roman"/>
          <w:color w:val="000000" w:themeColor="text1"/>
          <w:szCs w:val="24"/>
        </w:rPr>
        <w:t xml:space="preserve">mimořádně složitých hospodářských kauz, </w:t>
      </w:r>
      <w:r w:rsidR="00364ADF" w:rsidRPr="00897682">
        <w:rPr>
          <w:rFonts w:eastAsia="Times New Roman" w:cs="Times New Roman"/>
          <w:color w:val="000000" w:themeColor="text1"/>
          <w:szCs w:val="24"/>
        </w:rPr>
        <w:t xml:space="preserve">předpokládá </w:t>
      </w:r>
      <w:r w:rsidRPr="00897682">
        <w:rPr>
          <w:rFonts w:eastAsia="Times New Roman" w:cs="Times New Roman"/>
          <w:color w:val="000000" w:themeColor="text1"/>
          <w:szCs w:val="24"/>
        </w:rPr>
        <w:t xml:space="preserve">nezbytné odborné znalosti </w:t>
      </w:r>
      <w:r w:rsidR="00364ADF" w:rsidRPr="00897682">
        <w:rPr>
          <w:rFonts w:eastAsia="Times New Roman" w:cs="Times New Roman"/>
          <w:color w:val="000000" w:themeColor="text1"/>
          <w:szCs w:val="24"/>
        </w:rPr>
        <w:br/>
      </w:r>
      <w:r w:rsidRPr="00897682">
        <w:rPr>
          <w:rFonts w:eastAsia="Times New Roman" w:cs="Times New Roman"/>
          <w:color w:val="000000" w:themeColor="text1"/>
          <w:szCs w:val="24"/>
        </w:rPr>
        <w:t>a zkušenosti</w:t>
      </w:r>
      <w:r w:rsidR="006C2A7B" w:rsidRPr="00897682">
        <w:rPr>
          <w:rFonts w:eastAsia="Times New Roman" w:cs="Times New Roman"/>
          <w:color w:val="000000" w:themeColor="text1"/>
          <w:szCs w:val="24"/>
        </w:rPr>
        <w:t>, přičemž tyto kauzy jsou mnohdy rozkrývány postupně počínaje méně závažn</w:t>
      </w:r>
      <w:r w:rsidR="00156A84" w:rsidRPr="00897682">
        <w:rPr>
          <w:rFonts w:eastAsia="Times New Roman" w:cs="Times New Roman"/>
          <w:color w:val="000000" w:themeColor="text1"/>
          <w:szCs w:val="24"/>
        </w:rPr>
        <w:t>ou</w:t>
      </w:r>
      <w:r w:rsidR="006C2A7B" w:rsidRPr="00897682">
        <w:rPr>
          <w:rFonts w:eastAsia="Times New Roman" w:cs="Times New Roman"/>
          <w:color w:val="000000" w:themeColor="text1"/>
          <w:szCs w:val="24"/>
        </w:rPr>
        <w:t xml:space="preserve"> trestn</w:t>
      </w:r>
      <w:r w:rsidR="00156A84" w:rsidRPr="00897682">
        <w:rPr>
          <w:rFonts w:eastAsia="Times New Roman" w:cs="Times New Roman"/>
          <w:color w:val="000000" w:themeColor="text1"/>
          <w:szCs w:val="24"/>
        </w:rPr>
        <w:t>ou</w:t>
      </w:r>
      <w:r w:rsidR="006C2A7B" w:rsidRPr="00897682">
        <w:rPr>
          <w:rFonts w:eastAsia="Times New Roman" w:cs="Times New Roman"/>
          <w:color w:val="000000" w:themeColor="text1"/>
          <w:szCs w:val="24"/>
        </w:rPr>
        <w:t xml:space="preserve"> činnost</w:t>
      </w:r>
      <w:r w:rsidR="00156A84" w:rsidRPr="00897682">
        <w:rPr>
          <w:rFonts w:eastAsia="Times New Roman" w:cs="Times New Roman"/>
          <w:color w:val="000000" w:themeColor="text1"/>
          <w:szCs w:val="24"/>
        </w:rPr>
        <w:t>í</w:t>
      </w:r>
      <w:r w:rsidRPr="00897682">
        <w:rPr>
          <w:rFonts w:eastAsia="Times New Roman" w:cs="Times New Roman"/>
          <w:color w:val="000000" w:themeColor="text1"/>
          <w:szCs w:val="24"/>
        </w:rPr>
        <w:t xml:space="preserve">. </w:t>
      </w:r>
    </w:p>
    <w:p w14:paraId="6F050C69" w14:textId="4FF101A4" w:rsidR="0065081A" w:rsidRPr="00897682" w:rsidRDefault="00C66839" w:rsidP="00C66839">
      <w:pPr>
        <w:spacing w:line="240" w:lineRule="auto"/>
        <w:rPr>
          <w:rFonts w:eastAsia="Times New Roman" w:cs="Times New Roman"/>
          <w:color w:val="000000" w:themeColor="text1"/>
          <w:szCs w:val="24"/>
        </w:rPr>
      </w:pPr>
      <w:r w:rsidRPr="00897682">
        <w:rPr>
          <w:rFonts w:eastAsia="Times New Roman" w:cs="Times New Roman"/>
          <w:color w:val="000000" w:themeColor="text1"/>
          <w:szCs w:val="24"/>
        </w:rPr>
        <w:t xml:space="preserve">Tato vysoce závažná trestná činnost je zpravidla spojena s vyšší škodou, </w:t>
      </w:r>
      <w:r w:rsidR="00E840F1" w:rsidRPr="00897682">
        <w:rPr>
          <w:rFonts w:eastAsia="Times New Roman" w:cs="Times New Roman"/>
          <w:color w:val="000000" w:themeColor="text1"/>
          <w:szCs w:val="24"/>
        </w:rPr>
        <w:t xml:space="preserve">neboť jde typicky </w:t>
      </w:r>
      <w:r w:rsidR="0014646B" w:rsidRPr="00897682">
        <w:rPr>
          <w:rFonts w:eastAsia="Times New Roman" w:cs="Times New Roman"/>
          <w:color w:val="000000" w:themeColor="text1"/>
          <w:szCs w:val="24"/>
        </w:rPr>
        <w:br/>
      </w:r>
      <w:r w:rsidR="00E840F1" w:rsidRPr="00897682">
        <w:rPr>
          <w:rFonts w:eastAsia="Times New Roman" w:cs="Times New Roman"/>
          <w:color w:val="000000" w:themeColor="text1"/>
          <w:szCs w:val="24"/>
        </w:rPr>
        <w:t xml:space="preserve">o nakládání s </w:t>
      </w:r>
      <w:r w:rsidRPr="00897682">
        <w:rPr>
          <w:rFonts w:eastAsia="Times New Roman" w:cs="Times New Roman"/>
          <w:color w:val="000000" w:themeColor="text1"/>
          <w:szCs w:val="24"/>
        </w:rPr>
        <w:t xml:space="preserve">vojenským materiálem či </w:t>
      </w:r>
      <w:r w:rsidR="00E840F1" w:rsidRPr="00897682">
        <w:rPr>
          <w:rFonts w:eastAsia="Times New Roman" w:cs="Times New Roman"/>
          <w:color w:val="000000" w:themeColor="text1"/>
          <w:szCs w:val="24"/>
        </w:rPr>
        <w:t xml:space="preserve">vojenskou </w:t>
      </w:r>
      <w:r w:rsidRPr="00897682">
        <w:rPr>
          <w:rFonts w:eastAsia="Times New Roman" w:cs="Times New Roman"/>
          <w:color w:val="000000" w:themeColor="text1"/>
          <w:szCs w:val="24"/>
        </w:rPr>
        <w:t xml:space="preserve">technikou. V těchto případech je žádoucí, </w:t>
      </w:r>
      <w:r w:rsidR="0014646B" w:rsidRPr="00897682">
        <w:rPr>
          <w:rFonts w:eastAsia="Times New Roman" w:cs="Times New Roman"/>
          <w:color w:val="000000" w:themeColor="text1"/>
          <w:szCs w:val="24"/>
        </w:rPr>
        <w:br/>
      </w:r>
      <w:r w:rsidRPr="00897682">
        <w:rPr>
          <w:rFonts w:eastAsia="Times New Roman" w:cs="Times New Roman"/>
          <w:color w:val="000000" w:themeColor="text1"/>
          <w:szCs w:val="24"/>
        </w:rPr>
        <w:t>a to zejména s ohledem na finanční dopady</w:t>
      </w:r>
      <w:r w:rsidR="00E840F1" w:rsidRPr="00897682">
        <w:rPr>
          <w:rFonts w:eastAsia="Times New Roman" w:cs="Times New Roman"/>
          <w:color w:val="000000" w:themeColor="text1"/>
          <w:szCs w:val="24"/>
        </w:rPr>
        <w:t xml:space="preserve"> spojené s tímto typem trestné činnosti</w:t>
      </w:r>
      <w:r w:rsidRPr="00897682">
        <w:rPr>
          <w:rFonts w:eastAsia="Times New Roman" w:cs="Times New Roman"/>
          <w:color w:val="000000" w:themeColor="text1"/>
          <w:szCs w:val="24"/>
        </w:rPr>
        <w:t xml:space="preserve">, aby </w:t>
      </w:r>
      <w:r w:rsidR="00E840F1" w:rsidRPr="00897682">
        <w:rPr>
          <w:rFonts w:eastAsia="Times New Roman" w:cs="Times New Roman"/>
          <w:color w:val="000000" w:themeColor="text1"/>
          <w:szCs w:val="24"/>
        </w:rPr>
        <w:t xml:space="preserve">vyšetřování </w:t>
      </w:r>
      <w:r w:rsidRPr="00897682">
        <w:rPr>
          <w:rFonts w:eastAsia="Times New Roman" w:cs="Times New Roman"/>
          <w:color w:val="000000" w:themeColor="text1"/>
          <w:szCs w:val="24"/>
        </w:rPr>
        <w:t xml:space="preserve">této trestné činnosti náleželo </w:t>
      </w:r>
      <w:r w:rsidR="00E71787" w:rsidRPr="00897682">
        <w:rPr>
          <w:rFonts w:eastAsia="Times New Roman" w:cs="Times New Roman"/>
          <w:color w:val="000000" w:themeColor="text1"/>
          <w:szCs w:val="24"/>
        </w:rPr>
        <w:t xml:space="preserve">výlučně </w:t>
      </w:r>
      <w:r w:rsidRPr="00897682">
        <w:rPr>
          <w:rFonts w:eastAsia="Times New Roman" w:cs="Times New Roman"/>
          <w:color w:val="000000" w:themeColor="text1"/>
          <w:szCs w:val="24"/>
        </w:rPr>
        <w:t xml:space="preserve">příslušným útvarům Policie České republiky. Kromě toho tyto případy obvykle vyžadují využívání zvláštních vyšetřovacích metod a stabilní analytické zázemí, k čemuž jsou nejvhodněji vybaveny právě útvary Policie České republiky, jež mají s vyšetřováním tohoto druhu trestné činnosti největší zkušenosti. Při </w:t>
      </w:r>
      <w:r w:rsidR="00830A88" w:rsidRPr="00897682">
        <w:rPr>
          <w:rFonts w:eastAsia="Times New Roman" w:cs="Times New Roman"/>
          <w:color w:val="000000" w:themeColor="text1"/>
          <w:szCs w:val="24"/>
        </w:rPr>
        <w:t xml:space="preserve">vyšetřování </w:t>
      </w:r>
      <w:r w:rsidRPr="00897682">
        <w:rPr>
          <w:rFonts w:eastAsia="Times New Roman" w:cs="Times New Roman"/>
          <w:color w:val="000000" w:themeColor="text1"/>
          <w:szCs w:val="24"/>
        </w:rPr>
        <w:t xml:space="preserve">této trestné činnosti je nutno upřednostnit znalosti a specializaci útvarů Policie České republiky. Navržená změna </w:t>
      </w:r>
      <w:r w:rsidR="00976899" w:rsidRPr="00897682">
        <w:rPr>
          <w:rFonts w:eastAsia="Times New Roman" w:cs="Times New Roman"/>
          <w:color w:val="000000" w:themeColor="text1"/>
          <w:szCs w:val="24"/>
        </w:rPr>
        <w:t xml:space="preserve">navíc </w:t>
      </w:r>
      <w:r w:rsidRPr="00897682">
        <w:rPr>
          <w:rFonts w:eastAsia="Times New Roman" w:cs="Times New Roman"/>
          <w:color w:val="000000" w:themeColor="text1"/>
          <w:szCs w:val="24"/>
        </w:rPr>
        <w:t xml:space="preserve">přispěje k nezávislejšímu vyšetřování trestných činů, jež jsou typicky spojeny se zadáváním veřejných zakázek v oblasti obrany a s hospodařením s majetkem státu v resortu obrany. </w:t>
      </w:r>
    </w:p>
    <w:p w14:paraId="07E0C534" w14:textId="4D3D0661" w:rsidR="005D3B02" w:rsidRPr="00897682" w:rsidRDefault="00084D11" w:rsidP="00C66839">
      <w:pPr>
        <w:spacing w:line="240" w:lineRule="auto"/>
        <w:rPr>
          <w:rFonts w:eastAsia="Times New Roman" w:cs="Times New Roman"/>
          <w:color w:val="000000" w:themeColor="text1"/>
          <w:szCs w:val="24"/>
        </w:rPr>
      </w:pPr>
      <w:r w:rsidRPr="00897682">
        <w:rPr>
          <w:rFonts w:eastAsia="Times New Roman" w:cs="Times New Roman"/>
          <w:color w:val="000000" w:themeColor="text1"/>
          <w:szCs w:val="24"/>
        </w:rPr>
        <w:t xml:space="preserve">Pokud jde o prověřování této trestné činnosti, jako nejvhodnější se </w:t>
      </w:r>
      <w:r w:rsidR="00300F1E" w:rsidRPr="00897682">
        <w:rPr>
          <w:rFonts w:eastAsia="Times New Roman" w:cs="Times New Roman"/>
          <w:color w:val="000000" w:themeColor="text1"/>
          <w:szCs w:val="24"/>
        </w:rPr>
        <w:t xml:space="preserve">naopak </w:t>
      </w:r>
      <w:r w:rsidRPr="00897682">
        <w:rPr>
          <w:rFonts w:eastAsia="Times New Roman" w:cs="Times New Roman"/>
          <w:color w:val="000000" w:themeColor="text1"/>
          <w:szCs w:val="24"/>
        </w:rPr>
        <w:t>jeví být ponechání sdílené pravomoci Policie České republiky a Vojenské policie, neboť Vojenská policie má v některých případech lepší možnost proniknout do zájmového prostředí</w:t>
      </w:r>
      <w:r w:rsidR="00DD3874" w:rsidRPr="00897682">
        <w:rPr>
          <w:rFonts w:eastAsia="Times New Roman" w:cs="Times New Roman"/>
          <w:color w:val="000000" w:themeColor="text1"/>
          <w:szCs w:val="24"/>
        </w:rPr>
        <w:t xml:space="preserve"> a má lepší znalost vojenského prostředí</w:t>
      </w:r>
      <w:r w:rsidRPr="00897682">
        <w:rPr>
          <w:rFonts w:eastAsia="Times New Roman" w:cs="Times New Roman"/>
          <w:color w:val="000000" w:themeColor="text1"/>
          <w:szCs w:val="24"/>
        </w:rPr>
        <w:t>, kromě toho se na základě praktických zkušeností (např. v oblasti daňové kriminality) jeví jako velmi efektivní umožnit vytvoření společného týmu složeného z příslušníků Policie České republiky a</w:t>
      </w:r>
      <w:r w:rsidR="00300F1E" w:rsidRPr="00897682">
        <w:rPr>
          <w:rFonts w:eastAsia="Times New Roman" w:cs="Times New Roman"/>
          <w:color w:val="000000" w:themeColor="text1"/>
          <w:szCs w:val="24"/>
        </w:rPr>
        <w:t> </w:t>
      </w:r>
      <w:r w:rsidRPr="00897682">
        <w:rPr>
          <w:rFonts w:eastAsia="Times New Roman" w:cs="Times New Roman"/>
          <w:color w:val="000000" w:themeColor="text1"/>
          <w:szCs w:val="24"/>
        </w:rPr>
        <w:t>Vojenské policie, kteří budou moci při prověřování trestné činnosti úzce spolupracovat a</w:t>
      </w:r>
      <w:r w:rsidR="00300F1E" w:rsidRPr="00897682">
        <w:rPr>
          <w:rFonts w:eastAsia="Times New Roman" w:cs="Times New Roman"/>
          <w:color w:val="000000" w:themeColor="text1"/>
          <w:szCs w:val="24"/>
        </w:rPr>
        <w:t xml:space="preserve"> </w:t>
      </w:r>
      <w:r w:rsidRPr="00897682">
        <w:rPr>
          <w:rFonts w:eastAsia="Times New Roman" w:cs="Times New Roman"/>
          <w:color w:val="000000" w:themeColor="text1"/>
          <w:szCs w:val="24"/>
        </w:rPr>
        <w:t>využívat tak plně kvality</w:t>
      </w:r>
      <w:r w:rsidR="00DD3874" w:rsidRPr="00897682">
        <w:rPr>
          <w:rFonts w:eastAsia="Times New Roman" w:cs="Times New Roman"/>
          <w:color w:val="000000" w:themeColor="text1"/>
          <w:szCs w:val="24"/>
        </w:rPr>
        <w:t xml:space="preserve"> </w:t>
      </w:r>
      <w:r w:rsidRPr="00897682">
        <w:rPr>
          <w:rFonts w:eastAsia="Times New Roman" w:cs="Times New Roman"/>
          <w:color w:val="000000" w:themeColor="text1"/>
          <w:szCs w:val="24"/>
        </w:rPr>
        <w:t xml:space="preserve">a možnosti obou útvarů. </w:t>
      </w:r>
      <w:r w:rsidR="00542945" w:rsidRPr="00897682">
        <w:rPr>
          <w:rFonts w:eastAsia="Times New Roman" w:cs="Times New Roman"/>
          <w:color w:val="000000" w:themeColor="text1"/>
          <w:szCs w:val="24"/>
        </w:rPr>
        <w:t xml:space="preserve">Policie České republiky pak může </w:t>
      </w:r>
      <w:r w:rsidR="005D3B02" w:rsidRPr="00897682">
        <w:rPr>
          <w:rFonts w:eastAsia="Times New Roman" w:cs="Times New Roman"/>
          <w:color w:val="000000" w:themeColor="text1"/>
          <w:szCs w:val="24"/>
        </w:rPr>
        <w:t xml:space="preserve">na rozdíl od Policie České republiky využívat </w:t>
      </w:r>
      <w:r w:rsidR="00542945" w:rsidRPr="00897682">
        <w:rPr>
          <w:rFonts w:eastAsia="Times New Roman" w:cs="Times New Roman"/>
          <w:color w:val="000000" w:themeColor="text1"/>
          <w:szCs w:val="24"/>
        </w:rPr>
        <w:t xml:space="preserve">např. </w:t>
      </w:r>
      <w:r w:rsidR="005D3B02" w:rsidRPr="00897682">
        <w:rPr>
          <w:rFonts w:eastAsia="Times New Roman" w:cs="Times New Roman"/>
          <w:color w:val="000000" w:themeColor="text1"/>
          <w:szCs w:val="24"/>
        </w:rPr>
        <w:t xml:space="preserve">informátory </w:t>
      </w:r>
      <w:r w:rsidR="00542945" w:rsidRPr="00897682">
        <w:rPr>
          <w:rFonts w:eastAsia="Times New Roman" w:cs="Times New Roman"/>
          <w:color w:val="000000" w:themeColor="text1"/>
          <w:szCs w:val="24"/>
        </w:rPr>
        <w:br/>
      </w:r>
      <w:r w:rsidR="005D3B02" w:rsidRPr="00897682">
        <w:rPr>
          <w:rFonts w:eastAsia="Times New Roman" w:cs="Times New Roman"/>
          <w:color w:val="000000" w:themeColor="text1"/>
          <w:szCs w:val="24"/>
        </w:rPr>
        <w:t xml:space="preserve">a krycí prostředky, jež jsou při odhalování sofistikovanějších trestných činů potřebné. </w:t>
      </w:r>
    </w:p>
    <w:p w14:paraId="1AF5C1EE" w14:textId="3E41C916" w:rsidR="00084D11" w:rsidRPr="00897682" w:rsidRDefault="00084D11" w:rsidP="00C66839">
      <w:pPr>
        <w:spacing w:line="240" w:lineRule="auto"/>
        <w:rPr>
          <w:rFonts w:eastAsia="Times New Roman" w:cs="Times New Roman"/>
          <w:color w:val="000000" w:themeColor="text1"/>
          <w:szCs w:val="24"/>
        </w:rPr>
      </w:pPr>
      <w:r w:rsidRPr="00897682">
        <w:rPr>
          <w:rFonts w:eastAsia="Times New Roman" w:cs="Times New Roman"/>
          <w:color w:val="000000" w:themeColor="text1"/>
          <w:szCs w:val="24"/>
        </w:rPr>
        <w:t>Po</w:t>
      </w:r>
      <w:r w:rsidR="002151AF" w:rsidRPr="00897682">
        <w:rPr>
          <w:rFonts w:eastAsia="Times New Roman" w:cs="Times New Roman"/>
          <w:color w:val="000000" w:themeColor="text1"/>
          <w:szCs w:val="24"/>
        </w:rPr>
        <w:t xml:space="preserve">kud prověřování zahájí </w:t>
      </w:r>
      <w:r w:rsidRPr="00897682">
        <w:rPr>
          <w:rFonts w:eastAsia="Times New Roman" w:cs="Times New Roman"/>
          <w:color w:val="000000" w:themeColor="text1"/>
          <w:szCs w:val="24"/>
        </w:rPr>
        <w:t>pověřený orgán Vojenské policie</w:t>
      </w:r>
      <w:r w:rsidR="002151AF" w:rsidRPr="00897682">
        <w:rPr>
          <w:rFonts w:eastAsia="Times New Roman" w:cs="Times New Roman"/>
          <w:color w:val="000000" w:themeColor="text1"/>
          <w:szCs w:val="24"/>
        </w:rPr>
        <w:t xml:space="preserve"> a státní zástupce mu věc neodejme a nepřidělí útvaru Policie České republiky, je po jeho skončení</w:t>
      </w:r>
      <w:r w:rsidRPr="00897682">
        <w:rPr>
          <w:rFonts w:eastAsia="Times New Roman" w:cs="Times New Roman"/>
          <w:color w:val="000000" w:themeColor="text1"/>
          <w:szCs w:val="24"/>
        </w:rPr>
        <w:t xml:space="preserve"> povinen postoupit věc s veškerými zjištěnými poznatky k provedení vyšetřování útvaru Policie České republiky </w:t>
      </w:r>
      <w:r w:rsidR="002151AF" w:rsidRPr="00897682">
        <w:rPr>
          <w:rFonts w:eastAsia="Times New Roman" w:cs="Times New Roman"/>
          <w:color w:val="000000" w:themeColor="text1"/>
          <w:szCs w:val="24"/>
        </w:rPr>
        <w:br/>
      </w:r>
      <w:r w:rsidRPr="00897682">
        <w:rPr>
          <w:rFonts w:eastAsia="Times New Roman" w:cs="Times New Roman"/>
          <w:color w:val="000000" w:themeColor="text1"/>
          <w:szCs w:val="24"/>
        </w:rPr>
        <w:t>(§ 161 odst. 2 tr</w:t>
      </w:r>
      <w:r w:rsidR="002151AF" w:rsidRPr="00897682">
        <w:rPr>
          <w:rFonts w:eastAsia="Times New Roman" w:cs="Times New Roman"/>
          <w:color w:val="000000" w:themeColor="text1"/>
          <w:szCs w:val="24"/>
        </w:rPr>
        <w:t>. ř</w:t>
      </w:r>
      <w:r w:rsidRPr="00897682">
        <w:rPr>
          <w:rFonts w:eastAsia="Times New Roman" w:cs="Times New Roman"/>
          <w:color w:val="000000" w:themeColor="text1"/>
          <w:szCs w:val="24"/>
        </w:rPr>
        <w:t>).</w:t>
      </w:r>
    </w:p>
    <w:p w14:paraId="25DB07EA" w14:textId="77A5E260" w:rsidR="00C75805" w:rsidRPr="00897682" w:rsidRDefault="003C1F37" w:rsidP="001E1E81">
      <w:pPr>
        <w:spacing w:line="240" w:lineRule="auto"/>
        <w:rPr>
          <w:rFonts w:eastAsia="Times New Roman" w:cs="Times New Roman"/>
          <w:color w:val="000000" w:themeColor="text1"/>
          <w:szCs w:val="24"/>
        </w:rPr>
      </w:pPr>
      <w:r w:rsidRPr="00897682">
        <w:rPr>
          <w:rFonts w:eastAsia="Times New Roman" w:cs="Times New Roman"/>
          <w:color w:val="000000" w:themeColor="text1"/>
          <w:szCs w:val="24"/>
        </w:rPr>
        <w:t>Předpokládá se, že v rámci Policie České republiky b</w:t>
      </w:r>
      <w:r w:rsidR="005C071B" w:rsidRPr="00897682">
        <w:rPr>
          <w:rFonts w:eastAsia="Times New Roman" w:cs="Times New Roman"/>
          <w:color w:val="000000" w:themeColor="text1"/>
          <w:szCs w:val="24"/>
        </w:rPr>
        <w:t>ude</w:t>
      </w:r>
      <w:r w:rsidRPr="00897682">
        <w:rPr>
          <w:rFonts w:eastAsia="Times New Roman" w:cs="Times New Roman"/>
          <w:color w:val="000000" w:themeColor="text1"/>
          <w:szCs w:val="24"/>
        </w:rPr>
        <w:t xml:space="preserve"> zachována standardní příslušnost policejních útvarů v souladu s pokynem policejního prezident</w:t>
      </w:r>
      <w:r w:rsidR="00787D11" w:rsidRPr="00897682">
        <w:rPr>
          <w:rFonts w:eastAsia="Times New Roman" w:cs="Times New Roman"/>
          <w:color w:val="000000" w:themeColor="text1"/>
          <w:szCs w:val="24"/>
        </w:rPr>
        <w:t xml:space="preserve">a </w:t>
      </w:r>
      <w:r w:rsidR="00787D11" w:rsidRPr="00897682">
        <w:t xml:space="preserve">č. 103/2013, o plnění některých úkolů policejních orgánů Policie České republiky v trestním řízení. </w:t>
      </w:r>
      <w:r w:rsidRPr="00897682">
        <w:rPr>
          <w:rFonts w:eastAsia="Times New Roman" w:cs="Times New Roman"/>
          <w:color w:val="000000" w:themeColor="text1"/>
          <w:szCs w:val="24"/>
        </w:rPr>
        <w:t xml:space="preserve">Národní centrála proti organizovanému zločinu SKPV by byla příslušná jen v těch nejzávažnějších případech, kdy, zjednodušeně řečeno, způsobená škoda nebo získaný prospěch dosáhly nebo měly dosáhnout nejméně částky 150 mil. Kč. Krajská příslušnost by byla dána v případě, že způsobená škoda nebo získaný prospěch činily </w:t>
      </w:r>
      <w:r w:rsidR="009109B2">
        <w:rPr>
          <w:rFonts w:eastAsia="Times New Roman" w:cs="Times New Roman"/>
          <w:color w:val="000000" w:themeColor="text1"/>
          <w:szCs w:val="24"/>
        </w:rPr>
        <w:t xml:space="preserve">nebo měly činit </w:t>
      </w:r>
      <w:r w:rsidRPr="00897682">
        <w:rPr>
          <w:rFonts w:eastAsia="Times New Roman" w:cs="Times New Roman"/>
          <w:color w:val="000000" w:themeColor="text1"/>
          <w:szCs w:val="24"/>
        </w:rPr>
        <w:t xml:space="preserve">nejméně 10 mil. Kč, a ve zbytku by byla dána okresní příslušnost. </w:t>
      </w:r>
      <w:r w:rsidR="00AF5B90" w:rsidRPr="00897682">
        <w:rPr>
          <w:rFonts w:eastAsia="Times New Roman" w:cs="Times New Roman"/>
          <w:color w:val="000000" w:themeColor="text1"/>
          <w:szCs w:val="24"/>
        </w:rPr>
        <w:t>Ve specifických případech, kdy je dána její působnost, by pak byla příslušná Národní centrála proti terorismu, extremismu a kybernetické kriminalitě.</w:t>
      </w:r>
    </w:p>
    <w:p w14:paraId="11138259" w14:textId="7A7963BF" w:rsidR="001E1E81" w:rsidRPr="00897682" w:rsidRDefault="00D32299" w:rsidP="001E1E81">
      <w:pPr>
        <w:spacing w:line="240" w:lineRule="auto"/>
        <w:rPr>
          <w:rFonts w:eastAsia="Calibri"/>
        </w:rPr>
      </w:pPr>
      <w:r w:rsidRPr="00897682">
        <w:rPr>
          <w:rFonts w:eastAsia="Calibri"/>
          <w:b/>
          <w:bCs w:val="0"/>
        </w:rPr>
        <w:t>K</w:t>
      </w:r>
      <w:r w:rsidR="00395C94" w:rsidRPr="00897682">
        <w:rPr>
          <w:rFonts w:eastAsia="Calibri"/>
          <w:b/>
          <w:bCs w:val="0"/>
        </w:rPr>
        <w:t> </w:t>
      </w:r>
      <w:r w:rsidRPr="00897682">
        <w:rPr>
          <w:rFonts w:eastAsia="Calibri"/>
          <w:b/>
          <w:bCs w:val="0"/>
        </w:rPr>
        <w:t>bod</w:t>
      </w:r>
      <w:r w:rsidR="00395C94" w:rsidRPr="00897682">
        <w:rPr>
          <w:rFonts w:eastAsia="Calibri"/>
          <w:b/>
          <w:bCs w:val="0"/>
        </w:rPr>
        <w:t xml:space="preserve">ům </w:t>
      </w:r>
      <w:r w:rsidR="00100BF3" w:rsidRPr="00897682">
        <w:rPr>
          <w:rFonts w:eastAsia="Calibri"/>
          <w:b/>
          <w:bCs w:val="0"/>
        </w:rPr>
        <w:t>40</w:t>
      </w:r>
      <w:r w:rsidR="00395C94" w:rsidRPr="00897682">
        <w:rPr>
          <w:rFonts w:eastAsia="Calibri"/>
          <w:b/>
          <w:bCs w:val="0"/>
        </w:rPr>
        <w:t>, 4</w:t>
      </w:r>
      <w:r w:rsidR="00100BF3" w:rsidRPr="00897682">
        <w:rPr>
          <w:rFonts w:eastAsia="Calibri"/>
          <w:b/>
          <w:bCs w:val="0"/>
        </w:rPr>
        <w:t>2</w:t>
      </w:r>
      <w:r w:rsidR="00F35DAF" w:rsidRPr="00897682">
        <w:rPr>
          <w:rFonts w:eastAsia="Calibri"/>
          <w:b/>
          <w:bCs w:val="0"/>
        </w:rPr>
        <w:t xml:space="preserve"> a</w:t>
      </w:r>
      <w:r w:rsidR="00B408E5" w:rsidRPr="00897682">
        <w:rPr>
          <w:rFonts w:eastAsia="Calibri"/>
          <w:b/>
          <w:bCs w:val="0"/>
        </w:rPr>
        <w:t xml:space="preserve"> 4</w:t>
      </w:r>
      <w:r w:rsidR="00100BF3" w:rsidRPr="00897682">
        <w:rPr>
          <w:rFonts w:eastAsia="Calibri"/>
          <w:b/>
          <w:bCs w:val="0"/>
        </w:rPr>
        <w:t>4</w:t>
      </w:r>
      <w:r w:rsidRPr="00897682">
        <w:rPr>
          <w:rFonts w:eastAsia="Calibri"/>
          <w:b/>
          <w:bCs w:val="0"/>
        </w:rPr>
        <w:t xml:space="preserve"> </w:t>
      </w:r>
      <w:r w:rsidR="001E1E81" w:rsidRPr="00897682">
        <w:rPr>
          <w:rFonts w:eastAsia="Calibri"/>
        </w:rPr>
        <w:t>(</w:t>
      </w:r>
      <w:r w:rsidR="001E1E81" w:rsidRPr="00897682">
        <w:rPr>
          <w:rFonts w:cs="Times New Roman"/>
          <w:szCs w:val="24"/>
        </w:rPr>
        <w:t>§ 183a odst. 3 věta druhá, § 211 odst. 7 a § 235 odst. 2 věta druhá)</w:t>
      </w:r>
    </w:p>
    <w:p w14:paraId="7E7530E7" w14:textId="3C52CE1B" w:rsidR="001E1E81" w:rsidRPr="00897682" w:rsidRDefault="001E1E81" w:rsidP="001E1E81">
      <w:pPr>
        <w:spacing w:line="240" w:lineRule="auto"/>
        <w:rPr>
          <w:rFonts w:eastAsia="Calibri"/>
        </w:rPr>
      </w:pPr>
      <w:r w:rsidRPr="00897682">
        <w:rPr>
          <w:rFonts w:eastAsia="Calibri"/>
        </w:rPr>
        <w:t>Navržen</w:t>
      </w:r>
      <w:r w:rsidR="00A41FE2" w:rsidRPr="00897682">
        <w:rPr>
          <w:rFonts w:eastAsia="Calibri"/>
        </w:rPr>
        <w:t>é</w:t>
      </w:r>
      <w:r w:rsidRPr="00897682">
        <w:rPr>
          <w:rFonts w:eastAsia="Calibri"/>
        </w:rPr>
        <w:t xml:space="preserve"> změn</w:t>
      </w:r>
      <w:r w:rsidR="00A41FE2" w:rsidRPr="00897682">
        <w:rPr>
          <w:rFonts w:eastAsia="Calibri"/>
        </w:rPr>
        <w:t>y</w:t>
      </w:r>
      <w:r w:rsidRPr="00897682">
        <w:rPr>
          <w:rFonts w:eastAsia="Calibri"/>
        </w:rPr>
        <w:t xml:space="preserve"> reaguj</w:t>
      </w:r>
      <w:r w:rsidR="00A41FE2" w:rsidRPr="00897682">
        <w:rPr>
          <w:rFonts w:eastAsia="Calibri"/>
        </w:rPr>
        <w:t>í</w:t>
      </w:r>
      <w:r w:rsidRPr="00897682">
        <w:rPr>
          <w:rFonts w:eastAsia="Calibri"/>
        </w:rPr>
        <w:t xml:space="preserve"> na skutečnost, že s rozvojem moderní technicky jsou výslechy stále častěji nahrávány, a kromě čtení protokolů o výslechu lze důkaz provádět i přehráním záznamu. </w:t>
      </w:r>
    </w:p>
    <w:p w14:paraId="0C39E70C" w14:textId="49EEBFDD" w:rsidR="0065081A" w:rsidRPr="00897682" w:rsidRDefault="00476664" w:rsidP="008B5143">
      <w:pPr>
        <w:spacing w:line="240" w:lineRule="auto"/>
        <w:rPr>
          <w:rFonts w:eastAsia="Calibri"/>
        </w:rPr>
      </w:pPr>
      <w:r w:rsidRPr="00897682">
        <w:rPr>
          <w:rFonts w:eastAsia="Calibri"/>
          <w:b/>
          <w:bCs w:val="0"/>
        </w:rPr>
        <w:t xml:space="preserve">K bodu </w:t>
      </w:r>
      <w:r w:rsidR="00CC37C3" w:rsidRPr="00897682">
        <w:rPr>
          <w:rFonts w:eastAsia="Calibri"/>
          <w:b/>
          <w:bCs w:val="0"/>
        </w:rPr>
        <w:t>4</w:t>
      </w:r>
      <w:r w:rsidR="00100BF3" w:rsidRPr="00897682">
        <w:rPr>
          <w:rFonts w:eastAsia="Calibri"/>
          <w:b/>
          <w:bCs w:val="0"/>
        </w:rPr>
        <w:t>1</w:t>
      </w:r>
      <w:r w:rsidRPr="00897682">
        <w:rPr>
          <w:rFonts w:eastAsia="Calibri"/>
          <w:b/>
          <w:bCs w:val="0"/>
        </w:rPr>
        <w:t xml:space="preserve"> </w:t>
      </w:r>
      <w:r w:rsidRPr="00897682">
        <w:rPr>
          <w:rFonts w:eastAsia="Calibri"/>
        </w:rPr>
        <w:t>(§ 210)</w:t>
      </w:r>
    </w:p>
    <w:p w14:paraId="563FC91D" w14:textId="007E8E10" w:rsidR="00476664" w:rsidRPr="00897682" w:rsidRDefault="00476664" w:rsidP="008B5143">
      <w:pPr>
        <w:spacing w:line="240" w:lineRule="auto"/>
        <w:rPr>
          <w:rFonts w:eastAsia="Calibri"/>
        </w:rPr>
      </w:pPr>
      <w:r w:rsidRPr="00897682">
        <w:rPr>
          <w:rFonts w:eastAsia="Calibri"/>
        </w:rPr>
        <w:t xml:space="preserve">Navržená změna reaguje na předpokládané změny protokolace veřejných soudních jednání, kdy se většinově již nebude diktovat protokol (srov. navržený § 55b tr. ř.). </w:t>
      </w:r>
    </w:p>
    <w:p w14:paraId="2AB941CE" w14:textId="77777777" w:rsidR="003E2774" w:rsidRDefault="003E2774" w:rsidP="008B5143">
      <w:pPr>
        <w:spacing w:line="240" w:lineRule="auto"/>
        <w:rPr>
          <w:rFonts w:eastAsia="Calibri"/>
          <w:b/>
          <w:bCs w:val="0"/>
        </w:rPr>
      </w:pPr>
    </w:p>
    <w:p w14:paraId="0BFD6903" w14:textId="46C5BB8F" w:rsidR="0026074F" w:rsidRPr="00897682" w:rsidRDefault="0026074F" w:rsidP="008B5143">
      <w:pPr>
        <w:spacing w:line="240" w:lineRule="auto"/>
        <w:rPr>
          <w:rFonts w:eastAsia="Calibri"/>
        </w:rPr>
      </w:pPr>
      <w:r w:rsidRPr="00897682">
        <w:rPr>
          <w:rFonts w:eastAsia="Calibri"/>
          <w:b/>
          <w:bCs w:val="0"/>
        </w:rPr>
        <w:lastRenderedPageBreak/>
        <w:t xml:space="preserve">K bodu </w:t>
      </w:r>
      <w:r w:rsidR="004C4017" w:rsidRPr="00897682">
        <w:rPr>
          <w:rFonts w:eastAsia="Calibri"/>
          <w:b/>
          <w:bCs w:val="0"/>
        </w:rPr>
        <w:t>4</w:t>
      </w:r>
      <w:r w:rsidR="00100BF3" w:rsidRPr="00897682">
        <w:rPr>
          <w:rFonts w:eastAsia="Calibri"/>
          <w:b/>
          <w:bCs w:val="0"/>
        </w:rPr>
        <w:t>3</w:t>
      </w:r>
      <w:r w:rsidRPr="00897682">
        <w:rPr>
          <w:rFonts w:eastAsia="Calibri"/>
          <w:b/>
          <w:bCs w:val="0"/>
        </w:rPr>
        <w:t xml:space="preserve"> </w:t>
      </w:r>
      <w:r w:rsidRPr="00897682">
        <w:rPr>
          <w:rFonts w:eastAsia="Calibri"/>
        </w:rPr>
        <w:t>(§ 234 odst. 1)</w:t>
      </w:r>
    </w:p>
    <w:p w14:paraId="0CE9EBAF" w14:textId="6B2EE81C" w:rsidR="002039B1" w:rsidRPr="00897682" w:rsidRDefault="002039B1" w:rsidP="002039B1">
      <w:pPr>
        <w:spacing w:line="240" w:lineRule="auto"/>
        <w:rPr>
          <w:rFonts w:eastAsia="Calibri"/>
        </w:rPr>
      </w:pPr>
      <w:r w:rsidRPr="00897682">
        <w:rPr>
          <w:rFonts w:cs="Times New Roman"/>
          <w:szCs w:val="24"/>
        </w:rPr>
        <w:t xml:space="preserve">Navržená změna reaguje na skutečnost, že podle navržené úpravy již nebude většinou z veřejného zasedání pořizován protokol a nebude při něm tedy přítomen zapisovatel. </w:t>
      </w:r>
    </w:p>
    <w:p w14:paraId="59E779A5" w14:textId="10824336" w:rsidR="00C10158" w:rsidRPr="00897682" w:rsidRDefault="00C10158" w:rsidP="00564BC2">
      <w:pPr>
        <w:spacing w:line="240" w:lineRule="auto"/>
        <w:rPr>
          <w:rFonts w:eastAsia="Calibri"/>
        </w:rPr>
      </w:pPr>
      <w:r w:rsidRPr="00897682">
        <w:rPr>
          <w:rFonts w:eastAsia="Calibri"/>
          <w:b/>
          <w:bCs w:val="0"/>
        </w:rPr>
        <w:t xml:space="preserve">K bodu </w:t>
      </w:r>
      <w:r w:rsidR="004A4329" w:rsidRPr="00897682">
        <w:rPr>
          <w:rFonts w:eastAsia="Calibri"/>
          <w:b/>
          <w:bCs w:val="0"/>
        </w:rPr>
        <w:t>4</w:t>
      </w:r>
      <w:r w:rsidR="00100BF3" w:rsidRPr="00897682">
        <w:rPr>
          <w:rFonts w:eastAsia="Calibri"/>
          <w:b/>
          <w:bCs w:val="0"/>
        </w:rPr>
        <w:t>5</w:t>
      </w:r>
      <w:r w:rsidRPr="00897682">
        <w:rPr>
          <w:rFonts w:eastAsia="Calibri"/>
          <w:b/>
          <w:bCs w:val="0"/>
        </w:rPr>
        <w:t xml:space="preserve"> </w:t>
      </w:r>
      <w:r w:rsidRPr="00897682">
        <w:rPr>
          <w:rFonts w:eastAsia="Calibri"/>
        </w:rPr>
        <w:t>(§ 252)</w:t>
      </w:r>
    </w:p>
    <w:p w14:paraId="316EB050" w14:textId="58DE8799" w:rsidR="00C10158" w:rsidRPr="00897682" w:rsidRDefault="00C10158" w:rsidP="00564BC2">
      <w:pPr>
        <w:spacing w:line="240" w:lineRule="auto"/>
        <w:rPr>
          <w:rFonts w:eastAsia="Calibri"/>
        </w:rPr>
      </w:pPr>
      <w:r w:rsidRPr="00897682">
        <w:rPr>
          <w:rFonts w:eastAsia="Calibri"/>
        </w:rPr>
        <w:t xml:space="preserve">Ruší se obsoletní odkaz na vojenské soudy. </w:t>
      </w:r>
    </w:p>
    <w:p w14:paraId="6BC60420" w14:textId="25D42C06" w:rsidR="00564BC2" w:rsidRDefault="00CC2AA3" w:rsidP="00564BC2">
      <w:pPr>
        <w:spacing w:line="240" w:lineRule="auto"/>
        <w:rPr>
          <w:rFonts w:eastAsia="Calibri"/>
        </w:rPr>
      </w:pPr>
      <w:r w:rsidRPr="00897682">
        <w:rPr>
          <w:rFonts w:eastAsia="Calibri"/>
          <w:b/>
          <w:bCs w:val="0"/>
        </w:rPr>
        <w:t xml:space="preserve">K bodu </w:t>
      </w:r>
      <w:r w:rsidR="00561950" w:rsidRPr="00897682">
        <w:rPr>
          <w:rFonts w:eastAsia="Calibri"/>
          <w:b/>
          <w:bCs w:val="0"/>
        </w:rPr>
        <w:t>4</w:t>
      </w:r>
      <w:r w:rsidR="00100BF3" w:rsidRPr="00897682">
        <w:rPr>
          <w:rFonts w:eastAsia="Calibri"/>
          <w:b/>
          <w:bCs w:val="0"/>
        </w:rPr>
        <w:t>6</w:t>
      </w:r>
      <w:r w:rsidRPr="00897682">
        <w:rPr>
          <w:rFonts w:eastAsia="Calibri"/>
          <w:b/>
          <w:bCs w:val="0"/>
        </w:rPr>
        <w:t xml:space="preserve"> </w:t>
      </w:r>
      <w:r w:rsidRPr="00897682">
        <w:rPr>
          <w:rFonts w:eastAsia="Calibri"/>
        </w:rPr>
        <w:t>(§ 259 odst. 6)</w:t>
      </w:r>
    </w:p>
    <w:p w14:paraId="481E3A7B" w14:textId="77777777" w:rsidR="000A27A5" w:rsidRDefault="000A27A5" w:rsidP="000A27A5">
      <w:pPr>
        <w:spacing w:line="240" w:lineRule="auto"/>
        <w:rPr>
          <w:rFonts w:cs="Times New Roman"/>
          <w:szCs w:val="24"/>
        </w:rPr>
      </w:pPr>
      <w:r w:rsidRPr="00193BD9">
        <w:rPr>
          <w:rFonts w:cs="Times New Roman"/>
          <w:szCs w:val="24"/>
        </w:rPr>
        <w:t>V trestním řízení platí, že soud důkazy, které jsou nutné pro posouzení skutečností významných pro jeho rozhodnutí, provádí sám a sám je také hodnotí, jak jednotlivě, tak ve svém souhrnu. Pokud je proti jeho rozsudku jako soudu prvního stupně podáno odvolání, odvolací soud je podle § 263 odst. 7</w:t>
      </w:r>
      <w:r>
        <w:rPr>
          <w:rFonts w:cs="Times New Roman"/>
          <w:szCs w:val="24"/>
        </w:rPr>
        <w:t xml:space="preserve"> tr. ř.</w:t>
      </w:r>
      <w:r w:rsidRPr="00193BD9">
        <w:rPr>
          <w:rFonts w:cs="Times New Roman"/>
          <w:szCs w:val="24"/>
        </w:rPr>
        <w:t xml:space="preserve"> vázán hodnocením těchto důkazů soudem prvního stupně</w:t>
      </w:r>
      <w:r>
        <w:rPr>
          <w:rFonts w:cs="Times New Roman"/>
          <w:szCs w:val="24"/>
        </w:rPr>
        <w:t>,</w:t>
      </w:r>
      <w:r w:rsidRPr="00193BD9">
        <w:rPr>
          <w:rFonts w:cs="Times New Roman"/>
          <w:szCs w:val="24"/>
        </w:rPr>
        <w:t xml:space="preserve"> s výjimkou těch důkazů, které odvolací soud sám ve veřejném zasedání znovu provedl</w:t>
      </w:r>
      <w:r>
        <w:rPr>
          <w:rFonts w:cs="Times New Roman"/>
          <w:szCs w:val="24"/>
        </w:rPr>
        <w:t xml:space="preserve"> pro účely svého rozhodnutí ve veřejném zasedání</w:t>
      </w:r>
      <w:r w:rsidRPr="00193BD9">
        <w:rPr>
          <w:rFonts w:cs="Times New Roman"/>
          <w:szCs w:val="24"/>
        </w:rPr>
        <w:t xml:space="preserve">. K takto nově provedeným důkazům může odvolací soud v návaznosti na důkazy provedené soudem prvního stupně v hlavním líčení přihlížet při úvahách o změně nebo doplnění skutkových zjištění. </w:t>
      </w:r>
    </w:p>
    <w:p w14:paraId="4AB65940" w14:textId="77777777" w:rsidR="000A27A5" w:rsidRPr="002000E4" w:rsidRDefault="000A27A5" w:rsidP="000A27A5">
      <w:pPr>
        <w:spacing w:line="240" w:lineRule="auto"/>
        <w:rPr>
          <w:rFonts w:cs="Times New Roman"/>
          <w:szCs w:val="24"/>
        </w:rPr>
      </w:pPr>
      <w:r w:rsidRPr="00193BD9">
        <w:rPr>
          <w:rFonts w:cs="Times New Roman"/>
          <w:szCs w:val="24"/>
        </w:rPr>
        <w:t>Z toho vyplývá, že odvolací soud při vázanosti skutkem, pro který je vedeno trestní stíhání, může dospět k modifikovaným nebo odlišným závěrům, než k jakým dospěl soud prvního stupně, pokud sám dokazování ve veřejném zasedání doplní. Meze, za nichž tak může sám učinit, jsou stanoveny v § 259 odst. 5</w:t>
      </w:r>
      <w:r>
        <w:rPr>
          <w:rFonts w:cs="Times New Roman"/>
          <w:szCs w:val="24"/>
        </w:rPr>
        <w:t xml:space="preserve"> tr. ř</w:t>
      </w:r>
      <w:r w:rsidRPr="00193BD9">
        <w:rPr>
          <w:rFonts w:cs="Times New Roman"/>
          <w:szCs w:val="24"/>
        </w:rPr>
        <w:t xml:space="preserve">. Je vyloučeno, aby sám uznal obžalovaného vinným skutkem, pro nějž byl napadeným rozsudkem zproštěn, nebo uznal obžalovaného vinným těžším trestným činem, než jakým ho mohl v napadeném rozsudku uznat vinným soud prvního stupně. </w:t>
      </w:r>
      <w:r>
        <w:rPr>
          <w:bCs w:val="0"/>
        </w:rPr>
        <w:t xml:space="preserve">Pokud jde o tyto případy, pak odvolací soud sám nemůže rozhodnout, ale může napadený rozsudek pouze zrušit a věc vrátit k novému rozhodnutí prvoinstančnímu soudu </w:t>
      </w:r>
      <w:r w:rsidRPr="00193BD9">
        <w:rPr>
          <w:rFonts w:cs="Times New Roman"/>
          <w:szCs w:val="24"/>
        </w:rPr>
        <w:t>s pokynem, v jakých směrech je třeba některé úkony doplnit nebo provést znovu a opětovně rozhodnout.</w:t>
      </w:r>
    </w:p>
    <w:p w14:paraId="508ABA8D" w14:textId="602464C0" w:rsidR="000A27A5" w:rsidRPr="00511E00" w:rsidRDefault="000A27A5" w:rsidP="000A27A5">
      <w:pPr>
        <w:spacing w:line="240" w:lineRule="auto"/>
        <w:rPr>
          <w:rFonts w:cs="Times New Roman"/>
          <w:szCs w:val="24"/>
        </w:rPr>
      </w:pPr>
      <w:r>
        <w:t xml:space="preserve">Odvolacímu soudu nelze zcela upřít možnost zpochybňovat skutková zjištění prvoinstančního soudu, neboť jinak by to mohlo vést k vydání nespravedlivého rozhodnutí, je však třeba důsledně dbát na to, aby odvolací soud splnil požadavek vyplývající ze zásady bezprostřednosti a volného hodnocení důkazů. </w:t>
      </w:r>
      <w:r w:rsidRPr="00E21430">
        <w:rPr>
          <w:bCs w:val="0"/>
          <w:lang w:eastAsia="cs-CZ"/>
        </w:rPr>
        <w:t>Nemůže tak zavázat soud prvního stupně,</w:t>
      </w:r>
      <w:r>
        <w:rPr>
          <w:bCs w:val="0"/>
        </w:rPr>
        <w:t xml:space="preserve"> </w:t>
      </w:r>
      <w:r w:rsidRPr="00E21430">
        <w:rPr>
          <w:bCs w:val="0"/>
          <w:lang w:eastAsia="cs-CZ"/>
        </w:rPr>
        <w:t>aby dospěl k určitým skutkovým závěrům</w:t>
      </w:r>
      <w:r>
        <w:rPr>
          <w:bCs w:val="0"/>
          <w:lang w:eastAsia="cs-CZ"/>
        </w:rPr>
        <w:t xml:space="preserve"> (</w:t>
      </w:r>
      <w:r>
        <w:t>nemůže jej zavázat ke skutkovým zjištěním, ke kterým odvolací soud dospěl na základě jím provedených důkazů ve veřejném zasedání)</w:t>
      </w:r>
      <w:r>
        <w:rPr>
          <w:bCs w:val="0"/>
          <w:lang w:eastAsia="cs-CZ"/>
        </w:rPr>
        <w:t>,</w:t>
      </w:r>
      <w:r w:rsidRPr="00E21430">
        <w:rPr>
          <w:bCs w:val="0"/>
          <w:lang w:eastAsia="cs-CZ"/>
        </w:rPr>
        <w:t xml:space="preserve"> nebo aby určitým způsobem hodnotil důkazy. Pokud tedy odvolací soud nesouhlasí se skutkovými závěry soudu prvního stupně a s</w:t>
      </w:r>
      <w:r>
        <w:rPr>
          <w:bCs w:val="0"/>
        </w:rPr>
        <w:t> </w:t>
      </w:r>
      <w:r w:rsidRPr="00E21430">
        <w:rPr>
          <w:bCs w:val="0"/>
          <w:lang w:eastAsia="cs-CZ"/>
        </w:rPr>
        <w:t>jím</w:t>
      </w:r>
      <w:r>
        <w:rPr>
          <w:bCs w:val="0"/>
        </w:rPr>
        <w:t xml:space="preserve"> </w:t>
      </w:r>
      <w:r w:rsidRPr="00E21430">
        <w:rPr>
          <w:bCs w:val="0"/>
          <w:lang w:eastAsia="cs-CZ"/>
        </w:rPr>
        <w:t>provedeným hodnocením důkazů (které si po jejich provedení vyhodnotil odlišně), může sice</w:t>
      </w:r>
      <w:r>
        <w:rPr>
          <w:bCs w:val="0"/>
        </w:rPr>
        <w:t xml:space="preserve"> </w:t>
      </w:r>
      <w:r w:rsidRPr="00E21430">
        <w:rPr>
          <w:bCs w:val="0"/>
          <w:lang w:eastAsia="cs-CZ"/>
        </w:rPr>
        <w:t xml:space="preserve">zrušit jeho rozsudek a vrátit mu věc k novému projednání </w:t>
      </w:r>
      <w:r>
        <w:rPr>
          <w:bCs w:val="0"/>
          <w:lang w:eastAsia="cs-CZ"/>
        </w:rPr>
        <w:br/>
        <w:t>a</w:t>
      </w:r>
      <w:r w:rsidRPr="00E21430">
        <w:rPr>
          <w:bCs w:val="0"/>
          <w:lang w:eastAsia="cs-CZ"/>
        </w:rPr>
        <w:t xml:space="preserve"> rozhodnutí, nicméně</w:t>
      </w:r>
      <w:r>
        <w:rPr>
          <w:bCs w:val="0"/>
        </w:rPr>
        <w:t xml:space="preserve"> </w:t>
      </w:r>
      <w:r w:rsidRPr="00E21430">
        <w:rPr>
          <w:bCs w:val="0"/>
          <w:lang w:eastAsia="cs-CZ"/>
        </w:rPr>
        <w:t>nemůže jej zavázat, k</w:t>
      </w:r>
      <w:r>
        <w:rPr>
          <w:bCs w:val="0"/>
          <w:lang w:eastAsia="cs-CZ"/>
        </w:rPr>
        <w:t> </w:t>
      </w:r>
      <w:r w:rsidRPr="00E21430">
        <w:rPr>
          <w:bCs w:val="0"/>
          <w:lang w:eastAsia="cs-CZ"/>
        </w:rPr>
        <w:t xml:space="preserve">jakým skutkovým závěrům má dojít a jak </w:t>
      </w:r>
      <w:r>
        <w:rPr>
          <w:bCs w:val="0"/>
        </w:rPr>
        <w:t>má hodnotit důkazy</w:t>
      </w:r>
      <w:r w:rsidRPr="00E21430">
        <w:rPr>
          <w:bCs w:val="0"/>
          <w:lang w:eastAsia="cs-CZ"/>
        </w:rPr>
        <w:t>.</w:t>
      </w:r>
      <w:r>
        <w:rPr>
          <w:bCs w:val="0"/>
          <w:lang w:eastAsia="cs-CZ"/>
        </w:rPr>
        <w:t xml:space="preserve"> Může mu pouze vytknout </w:t>
      </w:r>
      <w:r>
        <w:t xml:space="preserve">vady ve skutkových zjištěních (např. poukázat na rozpory ve svědeckých výpovědích), kterých se podle jeho názoru prvoinstanční soud dopustil, a uložit mu, </w:t>
      </w:r>
      <w:r w:rsidRPr="00193BD9">
        <w:rPr>
          <w:rFonts w:cs="Times New Roman"/>
          <w:szCs w:val="24"/>
        </w:rPr>
        <w:t>jaké úkony je třeba k jejich odstranění provést</w:t>
      </w:r>
      <w:r>
        <w:t xml:space="preserve">. Prvoinstanční soud musí vytýkané vady odstranit a nařízené úkony a doplnění provést.  </w:t>
      </w:r>
    </w:p>
    <w:p w14:paraId="6145A6D6" w14:textId="1B7948C9" w:rsidR="000A27A5" w:rsidRPr="000A27A5" w:rsidRDefault="000A27A5" w:rsidP="00564BC2">
      <w:pPr>
        <w:spacing w:line="240" w:lineRule="auto"/>
        <w:rPr>
          <w:rFonts w:cs="Times New Roman"/>
          <w:szCs w:val="24"/>
        </w:rPr>
      </w:pPr>
      <w:r w:rsidRPr="00193BD9">
        <w:rPr>
          <w:rFonts w:cs="Times New Roman"/>
          <w:szCs w:val="24"/>
        </w:rPr>
        <w:t xml:space="preserve">O vině obžalovaného pak může </w:t>
      </w:r>
      <w:r>
        <w:rPr>
          <w:rFonts w:cs="Times New Roman"/>
          <w:szCs w:val="24"/>
        </w:rPr>
        <w:t xml:space="preserve">rozhodnout jen </w:t>
      </w:r>
      <w:r w:rsidRPr="00193BD9">
        <w:rPr>
          <w:rFonts w:cs="Times New Roman"/>
          <w:szCs w:val="24"/>
        </w:rPr>
        <w:t xml:space="preserve">soud prvního stupně na podkladě důkazů před ním provedených a po jejich pečlivém vyhodnocení. Nelze ale připustit, aby mu odvolací soud předem přikázal, jak má </w:t>
      </w:r>
      <w:r>
        <w:rPr>
          <w:rFonts w:cs="Times New Roman"/>
          <w:szCs w:val="24"/>
        </w:rPr>
        <w:t xml:space="preserve">důkazy </w:t>
      </w:r>
      <w:r w:rsidRPr="00193BD9">
        <w:rPr>
          <w:rFonts w:cs="Times New Roman"/>
          <w:szCs w:val="24"/>
        </w:rPr>
        <w:t>posuzovat. K vyloučení takových případů se navrhuje v tomto směru § 256 doplnit o nový odstavec 6</w:t>
      </w:r>
      <w:r>
        <w:rPr>
          <w:rFonts w:cs="Times New Roman"/>
          <w:szCs w:val="24"/>
        </w:rPr>
        <w:t xml:space="preserve"> tr. ř</w:t>
      </w:r>
      <w:r w:rsidRPr="00193BD9">
        <w:rPr>
          <w:rFonts w:cs="Times New Roman"/>
          <w:szCs w:val="24"/>
        </w:rPr>
        <w:t xml:space="preserve">.  </w:t>
      </w:r>
    </w:p>
    <w:p w14:paraId="69B6E6BB" w14:textId="21C209FA" w:rsidR="00CC2AA3" w:rsidRPr="00897682" w:rsidRDefault="00AF1932" w:rsidP="002F518E">
      <w:pPr>
        <w:rPr>
          <w:rFonts w:cs="Times New Roman"/>
          <w:szCs w:val="24"/>
        </w:rPr>
      </w:pPr>
      <w:r w:rsidRPr="00897682">
        <w:rPr>
          <w:rFonts w:eastAsia="Calibri"/>
          <w:b/>
          <w:bCs w:val="0"/>
        </w:rPr>
        <w:t xml:space="preserve">K bodu </w:t>
      </w:r>
      <w:r w:rsidR="00571D56" w:rsidRPr="00897682">
        <w:rPr>
          <w:rFonts w:eastAsia="Calibri"/>
          <w:b/>
          <w:bCs w:val="0"/>
        </w:rPr>
        <w:t>4</w:t>
      </w:r>
      <w:r w:rsidR="00100BF3" w:rsidRPr="00897682">
        <w:rPr>
          <w:rFonts w:eastAsia="Calibri"/>
          <w:b/>
          <w:bCs w:val="0"/>
        </w:rPr>
        <w:t>7</w:t>
      </w:r>
      <w:r w:rsidRPr="00897682">
        <w:rPr>
          <w:rFonts w:eastAsia="Calibri"/>
          <w:b/>
          <w:bCs w:val="0"/>
        </w:rPr>
        <w:t xml:space="preserve"> </w:t>
      </w:r>
      <w:r w:rsidRPr="00897682">
        <w:rPr>
          <w:rFonts w:eastAsia="Calibri"/>
        </w:rPr>
        <w:t>(§ 262)</w:t>
      </w:r>
    </w:p>
    <w:p w14:paraId="69D1401B" w14:textId="77777777" w:rsidR="00147898" w:rsidRPr="00897682" w:rsidRDefault="00AF1932" w:rsidP="00AF1932">
      <w:pPr>
        <w:spacing w:line="240" w:lineRule="auto"/>
        <w:rPr>
          <w:rFonts w:cs="Times New Roman"/>
          <w:szCs w:val="24"/>
        </w:rPr>
      </w:pPr>
      <w:r w:rsidRPr="00897682">
        <w:rPr>
          <w:rFonts w:cs="Times New Roman"/>
          <w:szCs w:val="24"/>
        </w:rPr>
        <w:t xml:space="preserve">Pokud odvolací soud napadený rozsudek zruší a věc vrátí k novému projednání a rozhodnutí, může podle stávajícího znění § 262 odst. 1 tr. ř. z blíže neuvedených důvodů zároveň nařídit, aby taková věc byla projednána a rozhodnuta v jiném složení senátu nebo jiným samosoudcem. </w:t>
      </w:r>
      <w:r w:rsidRPr="00897682">
        <w:rPr>
          <w:rFonts w:cs="Times New Roman"/>
          <w:szCs w:val="24"/>
        </w:rPr>
        <w:lastRenderedPageBreak/>
        <w:t xml:space="preserve">Z důležitého, rovněž v zákoně nezpřesněného důvodu, může také nařídit, aby ji projednal </w:t>
      </w:r>
      <w:r w:rsidRPr="00897682">
        <w:rPr>
          <w:rFonts w:cs="Times New Roman"/>
          <w:szCs w:val="24"/>
        </w:rPr>
        <w:br/>
        <w:t xml:space="preserve">a rozhodl jiný soud téhož druhu a téhož stupně v jeho obvodu. Zmíněné </w:t>
      </w:r>
      <w:r w:rsidR="0017257C" w:rsidRPr="00897682">
        <w:rPr>
          <w:rFonts w:cs="Times New Roman"/>
          <w:szCs w:val="24"/>
        </w:rPr>
        <w:t xml:space="preserve">poměrně </w:t>
      </w:r>
      <w:r w:rsidRPr="00897682">
        <w:rPr>
          <w:rFonts w:cs="Times New Roman"/>
          <w:szCs w:val="24"/>
        </w:rPr>
        <w:t>vágní ustanovení</w:t>
      </w:r>
      <w:r w:rsidR="009671D4" w:rsidRPr="00897682">
        <w:rPr>
          <w:rFonts w:cs="Times New Roman"/>
          <w:szCs w:val="24"/>
        </w:rPr>
        <w:t>, jež musí být dotvářeno soudním výkladem,</w:t>
      </w:r>
      <w:r w:rsidRPr="00897682">
        <w:rPr>
          <w:rFonts w:cs="Times New Roman"/>
          <w:szCs w:val="24"/>
        </w:rPr>
        <w:t xml:space="preserve"> </w:t>
      </w:r>
      <w:r w:rsidR="0017257C" w:rsidRPr="00897682">
        <w:rPr>
          <w:rFonts w:cs="Times New Roman"/>
          <w:szCs w:val="24"/>
        </w:rPr>
        <w:t xml:space="preserve">plně </w:t>
      </w:r>
      <w:r w:rsidRPr="00897682">
        <w:rPr>
          <w:rFonts w:cs="Times New Roman"/>
          <w:szCs w:val="24"/>
        </w:rPr>
        <w:t xml:space="preserve">nekoresponduje s principem zákonného soudce, jak je vymezen především v čl. 38 odst. 1 Listiny základních práv a svobod </w:t>
      </w:r>
      <w:r w:rsidR="008D3DAE" w:rsidRPr="00897682">
        <w:rPr>
          <w:rFonts w:cs="Times New Roman"/>
          <w:szCs w:val="24"/>
        </w:rPr>
        <w:t xml:space="preserve">a </w:t>
      </w:r>
      <w:r w:rsidRPr="00897682">
        <w:rPr>
          <w:rFonts w:cs="Times New Roman"/>
          <w:szCs w:val="24"/>
        </w:rPr>
        <w:t>konkretizov</w:t>
      </w:r>
      <w:r w:rsidR="008D3DAE" w:rsidRPr="00897682">
        <w:rPr>
          <w:rFonts w:cs="Times New Roman"/>
          <w:szCs w:val="24"/>
        </w:rPr>
        <w:t>án</w:t>
      </w:r>
      <w:r w:rsidRPr="00897682">
        <w:rPr>
          <w:rFonts w:cs="Times New Roman"/>
          <w:szCs w:val="24"/>
        </w:rPr>
        <w:t xml:space="preserve"> v zákoně o soudcích a soudech a</w:t>
      </w:r>
      <w:r w:rsidR="00C66839" w:rsidRPr="00897682">
        <w:rPr>
          <w:rFonts w:cs="Times New Roman"/>
          <w:szCs w:val="24"/>
        </w:rPr>
        <w:t> </w:t>
      </w:r>
      <w:r w:rsidRPr="00897682">
        <w:rPr>
          <w:rFonts w:cs="Times New Roman"/>
          <w:szCs w:val="24"/>
        </w:rPr>
        <w:t xml:space="preserve">v neposlední řadě i </w:t>
      </w:r>
      <w:r w:rsidR="00C66839" w:rsidRPr="00897682">
        <w:rPr>
          <w:rFonts w:cs="Times New Roman"/>
          <w:szCs w:val="24"/>
        </w:rPr>
        <w:t xml:space="preserve">v </w:t>
      </w:r>
      <w:r w:rsidRPr="00897682">
        <w:rPr>
          <w:rFonts w:cs="Times New Roman"/>
          <w:szCs w:val="24"/>
        </w:rPr>
        <w:t>ustanovení trestního řádu o věcné a místní příslušnosti soudů a soudců. V judikatuře zejména Ústavního soudu se navíc opakovaně zmiňuje nepřípustnost libovolného vybírání soudců „ad hoc“. Z těchto důvodů se navrhuje přesně</w:t>
      </w:r>
      <w:r w:rsidR="0078371F" w:rsidRPr="00897682">
        <w:rPr>
          <w:rFonts w:cs="Times New Roman"/>
          <w:szCs w:val="24"/>
        </w:rPr>
        <w:t>ji</w:t>
      </w:r>
      <w:r w:rsidRPr="00897682">
        <w:rPr>
          <w:rFonts w:cs="Times New Roman"/>
          <w:szCs w:val="24"/>
        </w:rPr>
        <w:t xml:space="preserve"> vymezit důvody, pro které odvolací soud může přikázat, aby věc byla projednána a rozhodnut jiným samosoudce</w:t>
      </w:r>
      <w:r w:rsidR="00080D8F" w:rsidRPr="00897682">
        <w:rPr>
          <w:rFonts w:cs="Times New Roman"/>
          <w:szCs w:val="24"/>
        </w:rPr>
        <w:t>m</w:t>
      </w:r>
      <w:r w:rsidRPr="00897682">
        <w:rPr>
          <w:rFonts w:cs="Times New Roman"/>
          <w:szCs w:val="24"/>
        </w:rPr>
        <w:t xml:space="preserve"> nebo v jiném složení senátu. </w:t>
      </w:r>
    </w:p>
    <w:p w14:paraId="0E6E910D" w14:textId="1969D8EF" w:rsidR="00052063" w:rsidRPr="00897682" w:rsidRDefault="00052063" w:rsidP="00052063">
      <w:pPr>
        <w:spacing w:line="240" w:lineRule="auto"/>
        <w:rPr>
          <w:rFonts w:cs="Times New Roman"/>
          <w:szCs w:val="24"/>
        </w:rPr>
      </w:pPr>
      <w:r w:rsidRPr="00897682">
        <w:rPr>
          <w:rFonts w:cs="Times New Roman"/>
          <w:szCs w:val="24"/>
        </w:rPr>
        <w:t xml:space="preserve">Důvody, pro které tak může odvolací soud rozhodnout, se navrhuje omezit na případy vyloučení samosoudce nebo člena senátu, a dále případy, kdy samosoudce nebo senát opakovaně </w:t>
      </w:r>
      <w:r w:rsidR="001F41EE">
        <w:rPr>
          <w:rFonts w:cs="Times New Roman"/>
          <w:szCs w:val="24"/>
        </w:rPr>
        <w:t xml:space="preserve">nerespektoval závazný právní názor odvolacího soudu, </w:t>
      </w:r>
      <w:r w:rsidRPr="00897682">
        <w:rPr>
          <w:rFonts w:cs="Times New Roman"/>
          <w:szCs w:val="24"/>
        </w:rPr>
        <w:t xml:space="preserve">neprovedl úkony a doplnění, jejichž provedení mu odvolací soud nařídil, nebo se nevypořádal s pochybnostmi odvolacího soudu o správnosti skutkových zjištění. Z těchto důvodů může také nařídit, aby věc projednal </w:t>
      </w:r>
      <w:r w:rsidR="001F41EE">
        <w:rPr>
          <w:rFonts w:cs="Times New Roman"/>
          <w:szCs w:val="24"/>
        </w:rPr>
        <w:br/>
      </w:r>
      <w:r w:rsidRPr="00897682">
        <w:rPr>
          <w:rFonts w:cs="Times New Roman"/>
          <w:szCs w:val="24"/>
        </w:rPr>
        <w:t>a rozhodl jiný soud téhož druhu a téhož stupně v jeho obvodu. Při respektování principu, že skutková zjištění činí soud na základě před ním provedených důkazů, se závěr odvolacího soudu o tom, že soud prvního stupně se nevypořádal s pochybnostmi o</w:t>
      </w:r>
      <w:r w:rsidR="00BC1B67">
        <w:rPr>
          <w:rFonts w:cs="Times New Roman"/>
          <w:szCs w:val="24"/>
        </w:rPr>
        <w:t> </w:t>
      </w:r>
      <w:r w:rsidRPr="00897682">
        <w:rPr>
          <w:rFonts w:cs="Times New Roman"/>
          <w:szCs w:val="24"/>
        </w:rPr>
        <w:t>správnosti skutkových zjištění, podmiňuje tím, že důkazy, u</w:t>
      </w:r>
      <w:r w:rsidR="00BD7A1C" w:rsidRPr="00897682">
        <w:rPr>
          <w:rFonts w:cs="Times New Roman"/>
          <w:szCs w:val="24"/>
        </w:rPr>
        <w:t> </w:t>
      </w:r>
      <w:r w:rsidRPr="00897682">
        <w:rPr>
          <w:rFonts w:cs="Times New Roman"/>
          <w:szCs w:val="24"/>
        </w:rPr>
        <w:t xml:space="preserve">nichž má pochybnosti o jejich hodnocení, sám ve veřejném zasedání provedl.  </w:t>
      </w:r>
      <w:r w:rsidR="00706EA5">
        <w:t>Zákaz uvedený v § 259 odst. 6 tr. ř. se uplatní i v tomto případě.</w:t>
      </w:r>
    </w:p>
    <w:p w14:paraId="6C1B1E0E" w14:textId="165D4BD3" w:rsidR="00616A39" w:rsidRPr="00897682" w:rsidRDefault="00616A39" w:rsidP="00AF1932">
      <w:pPr>
        <w:spacing w:line="240" w:lineRule="auto"/>
      </w:pPr>
      <w:r w:rsidRPr="00897682">
        <w:t xml:space="preserve">Pokud prvoinstanční soud vyhoví výhradám odvolacího soudu, pak odvolací soud nemůže podle § 262 tr. ř. postupovat a je povinen v tomto směru respektovat odlišný názor prvoinstančního soudu. </w:t>
      </w:r>
      <w:r w:rsidR="003A6635" w:rsidRPr="00897682">
        <w:t>T</w:t>
      </w:r>
      <w:r w:rsidRPr="00897682">
        <w:t xml:space="preserve">ato úprava by měla přispět ke správné aplikaci § 262 tr. ř. a zamezit případným excesům. </w:t>
      </w:r>
    </w:p>
    <w:p w14:paraId="4EA50196" w14:textId="6CF509F2" w:rsidR="00263898" w:rsidRPr="00897682" w:rsidRDefault="00777CDD" w:rsidP="00CC2AA3">
      <w:pPr>
        <w:spacing w:line="240" w:lineRule="auto"/>
        <w:rPr>
          <w:rFonts w:eastAsia="Calibri"/>
        </w:rPr>
      </w:pPr>
      <w:r w:rsidRPr="00897682">
        <w:rPr>
          <w:rFonts w:eastAsia="Calibri"/>
          <w:b/>
          <w:bCs w:val="0"/>
        </w:rPr>
        <w:t xml:space="preserve">K bodu </w:t>
      </w:r>
      <w:r w:rsidR="00381C97" w:rsidRPr="00897682">
        <w:rPr>
          <w:rFonts w:eastAsia="Calibri"/>
          <w:b/>
          <w:bCs w:val="0"/>
        </w:rPr>
        <w:t>4</w:t>
      </w:r>
      <w:r w:rsidR="00100BF3" w:rsidRPr="00897682">
        <w:rPr>
          <w:rFonts w:eastAsia="Calibri"/>
          <w:b/>
          <w:bCs w:val="0"/>
        </w:rPr>
        <w:t>8</w:t>
      </w:r>
      <w:r w:rsidRPr="00897682">
        <w:rPr>
          <w:rFonts w:eastAsia="Calibri"/>
        </w:rPr>
        <w:t xml:space="preserve"> </w:t>
      </w:r>
      <w:r w:rsidR="00263898" w:rsidRPr="00897682">
        <w:rPr>
          <w:rFonts w:eastAsia="Calibri" w:cs="Times New Roman"/>
        </w:rPr>
        <w:t>[§ 263 odst. 1 písm. b)]</w:t>
      </w:r>
    </w:p>
    <w:p w14:paraId="03BAD230" w14:textId="59F7B779" w:rsidR="00263898" w:rsidRPr="00897682" w:rsidRDefault="00263898" w:rsidP="00CC2AA3">
      <w:pPr>
        <w:spacing w:line="240" w:lineRule="auto"/>
      </w:pPr>
      <w:r w:rsidRPr="00897682">
        <w:t xml:space="preserve">Úprava vymezující případy, kdy odvolací soud může rozhodnout v neveřejném zasedání, </w:t>
      </w:r>
      <w:r w:rsidRPr="00897682">
        <w:br/>
        <w:t>se v</w:t>
      </w:r>
      <w:r w:rsidR="00E74C57" w:rsidRPr="00897682">
        <w:t> návaznosti na rozsudek ESLP proti České republice</w:t>
      </w:r>
      <w:r w:rsidRPr="00897682">
        <w:t xml:space="preserve"> omezuje tak, že tak nemůže učinit, pokud chce zrušit rozsudek prvoinstančního soudu a vrátit mu věc k novému rozhodnutí (protože nemůže rozhodnout ve věci sám) a chce se vymezovat vůči hodnocení důkazů provedeným prvoinstančním soudem. V takovém případě si důkazy, o které jde, musí </w:t>
      </w:r>
      <w:r w:rsidR="00DE58DE" w:rsidRPr="00897682">
        <w:t xml:space="preserve">nejprve </w:t>
      </w:r>
      <w:r w:rsidRPr="00897682">
        <w:t xml:space="preserve">provést </w:t>
      </w:r>
      <w:r w:rsidR="00DE58DE" w:rsidRPr="00897682">
        <w:t xml:space="preserve">sám </w:t>
      </w:r>
      <w:r w:rsidRPr="00897682">
        <w:t xml:space="preserve">ve veřejném zasedání. </w:t>
      </w:r>
    </w:p>
    <w:p w14:paraId="34AA907B" w14:textId="70AA5CBD" w:rsidR="00177950" w:rsidRPr="00897682" w:rsidRDefault="00263898" w:rsidP="00CC2AA3">
      <w:pPr>
        <w:spacing w:line="240" w:lineRule="auto"/>
        <w:rPr>
          <w:rFonts w:eastAsia="Calibri"/>
        </w:rPr>
      </w:pPr>
      <w:r w:rsidRPr="00897682">
        <w:rPr>
          <w:rFonts w:eastAsia="Calibri"/>
          <w:b/>
          <w:bCs w:val="0"/>
        </w:rPr>
        <w:t>K bodu 4</w:t>
      </w:r>
      <w:r w:rsidR="00F72398" w:rsidRPr="00897682">
        <w:rPr>
          <w:rFonts w:eastAsia="Calibri"/>
          <w:b/>
          <w:bCs w:val="0"/>
        </w:rPr>
        <w:t>9</w:t>
      </w:r>
      <w:r w:rsidRPr="00897682">
        <w:rPr>
          <w:rFonts w:eastAsia="Calibri"/>
          <w:b/>
          <w:bCs w:val="0"/>
        </w:rPr>
        <w:t xml:space="preserve"> </w:t>
      </w:r>
      <w:r w:rsidR="00777CDD" w:rsidRPr="00897682">
        <w:rPr>
          <w:rFonts w:eastAsia="Calibri"/>
        </w:rPr>
        <w:t>(§ 263 odst. 6)</w:t>
      </w:r>
    </w:p>
    <w:p w14:paraId="0A7AC78F" w14:textId="727B6106" w:rsidR="00777CDD" w:rsidRPr="00897682" w:rsidRDefault="00777CDD" w:rsidP="00777CDD">
      <w:pPr>
        <w:spacing w:line="240" w:lineRule="auto"/>
        <w:rPr>
          <w:rFonts w:cs="Times New Roman"/>
          <w:szCs w:val="24"/>
        </w:rPr>
      </w:pPr>
      <w:r w:rsidRPr="00897682">
        <w:rPr>
          <w:rFonts w:cs="Times New Roman"/>
          <w:szCs w:val="24"/>
        </w:rPr>
        <w:t>Ve zmíněném ustanovení se uvádí, že obviněný musí být k veřejnému zasedání řádně předvolán</w:t>
      </w:r>
      <w:r w:rsidR="0004677B" w:rsidRPr="00897682">
        <w:rPr>
          <w:rFonts w:cs="Times New Roman"/>
          <w:szCs w:val="24"/>
        </w:rPr>
        <w:t>,</w:t>
      </w:r>
      <w:r w:rsidRPr="00897682">
        <w:rPr>
          <w:rFonts w:cs="Times New Roman"/>
          <w:szCs w:val="24"/>
        </w:rPr>
        <w:t xml:space="preserve"> a pomíjí </w:t>
      </w:r>
      <w:r w:rsidR="005D4196" w:rsidRPr="00897682">
        <w:rPr>
          <w:rFonts w:cs="Times New Roman"/>
          <w:szCs w:val="24"/>
        </w:rPr>
        <w:t xml:space="preserve">se </w:t>
      </w:r>
      <w:r w:rsidRPr="00897682">
        <w:rPr>
          <w:rFonts w:cs="Times New Roman"/>
          <w:szCs w:val="24"/>
        </w:rPr>
        <w:t xml:space="preserve">skutečnost, že v některých případech se obviněný k veřejnému zasedání </w:t>
      </w:r>
      <w:r w:rsidR="0004677B" w:rsidRPr="00897682">
        <w:rPr>
          <w:rFonts w:cs="Times New Roman"/>
          <w:szCs w:val="24"/>
        </w:rPr>
        <w:br/>
      </w:r>
      <w:r w:rsidRPr="00897682">
        <w:rPr>
          <w:rFonts w:cs="Times New Roman"/>
          <w:szCs w:val="24"/>
        </w:rPr>
        <w:t>o odvolání nepředvolává, ale pokud jeho přítomnost není nutná, pouze se o něm vyrozumívá (srov. § 233 odst. 1</w:t>
      </w:r>
      <w:r w:rsidR="0004677B" w:rsidRPr="00897682">
        <w:rPr>
          <w:rFonts w:cs="Times New Roman"/>
          <w:szCs w:val="24"/>
        </w:rPr>
        <w:t xml:space="preserve"> tr. ř.</w:t>
      </w:r>
      <w:r w:rsidRPr="00897682">
        <w:rPr>
          <w:rFonts w:cs="Times New Roman"/>
          <w:szCs w:val="24"/>
        </w:rPr>
        <w:t xml:space="preserve">). </w:t>
      </w:r>
      <w:r w:rsidR="0004677B" w:rsidRPr="00897682">
        <w:rPr>
          <w:rFonts w:cs="Times New Roman"/>
          <w:szCs w:val="24"/>
        </w:rPr>
        <w:t xml:space="preserve">Ustanovení </w:t>
      </w:r>
      <w:r w:rsidRPr="00897682">
        <w:rPr>
          <w:rFonts w:cs="Times New Roman"/>
          <w:szCs w:val="24"/>
        </w:rPr>
        <w:t xml:space="preserve">§ 263 odst. 6 </w:t>
      </w:r>
      <w:r w:rsidR="0004677B" w:rsidRPr="00897682">
        <w:rPr>
          <w:rFonts w:cs="Times New Roman"/>
          <w:szCs w:val="24"/>
        </w:rPr>
        <w:t xml:space="preserve">tr. ř. </w:t>
      </w:r>
      <w:r w:rsidRPr="00897682">
        <w:rPr>
          <w:rFonts w:cs="Times New Roman"/>
          <w:szCs w:val="24"/>
        </w:rPr>
        <w:t>se proto doplňuje tak, aby postihoval</w:t>
      </w:r>
      <w:r w:rsidR="0004677B" w:rsidRPr="00897682">
        <w:rPr>
          <w:rFonts w:cs="Times New Roman"/>
          <w:szCs w:val="24"/>
        </w:rPr>
        <w:t>o</w:t>
      </w:r>
      <w:r w:rsidRPr="00897682">
        <w:rPr>
          <w:rFonts w:cs="Times New Roman"/>
          <w:szCs w:val="24"/>
        </w:rPr>
        <w:t xml:space="preserve"> oba zmíněné případy</w:t>
      </w:r>
      <w:r w:rsidR="00DE60B9" w:rsidRPr="00897682">
        <w:rPr>
          <w:rFonts w:cs="Times New Roman"/>
          <w:szCs w:val="24"/>
        </w:rPr>
        <w:t>.</w:t>
      </w:r>
    </w:p>
    <w:p w14:paraId="4C6E1C32" w14:textId="7B91E7E0" w:rsidR="00177950" w:rsidRPr="00897682" w:rsidRDefault="00F236C0" w:rsidP="00CC2AA3">
      <w:pPr>
        <w:spacing w:line="240" w:lineRule="auto"/>
        <w:rPr>
          <w:rFonts w:eastAsia="Calibri"/>
        </w:rPr>
      </w:pPr>
      <w:r w:rsidRPr="00897682">
        <w:rPr>
          <w:rFonts w:eastAsia="Calibri"/>
          <w:b/>
          <w:bCs w:val="0"/>
        </w:rPr>
        <w:t xml:space="preserve">K bodu </w:t>
      </w:r>
      <w:r w:rsidR="00F72398" w:rsidRPr="00897682">
        <w:rPr>
          <w:rFonts w:eastAsia="Calibri"/>
          <w:b/>
          <w:bCs w:val="0"/>
        </w:rPr>
        <w:t>50</w:t>
      </w:r>
      <w:r w:rsidRPr="00897682">
        <w:rPr>
          <w:rFonts w:eastAsia="Calibri"/>
        </w:rPr>
        <w:t xml:space="preserve"> (§ 264 odst. 1)</w:t>
      </w:r>
    </w:p>
    <w:p w14:paraId="34CA359D" w14:textId="77777777" w:rsidR="00566132" w:rsidRDefault="00476B14" w:rsidP="00476B14">
      <w:pPr>
        <w:spacing w:line="240" w:lineRule="auto"/>
        <w:rPr>
          <w:rFonts w:cs="Times New Roman"/>
          <w:szCs w:val="24"/>
        </w:rPr>
      </w:pPr>
      <w:r w:rsidRPr="00193BD9">
        <w:rPr>
          <w:rFonts w:cs="Times New Roman"/>
          <w:szCs w:val="24"/>
        </w:rPr>
        <w:t xml:space="preserve">Podle stávajícího § 264 odst. 1 </w:t>
      </w:r>
      <w:r>
        <w:rPr>
          <w:rFonts w:cs="Times New Roman"/>
          <w:szCs w:val="24"/>
        </w:rPr>
        <w:t xml:space="preserve">tr. ř. </w:t>
      </w:r>
      <w:r w:rsidRPr="00193BD9">
        <w:rPr>
          <w:rFonts w:cs="Times New Roman"/>
          <w:szCs w:val="24"/>
        </w:rPr>
        <w:t xml:space="preserve">je soud, jemuž věc byla v řízení o odvolání přikázána </w:t>
      </w:r>
      <w:r>
        <w:rPr>
          <w:rFonts w:cs="Times New Roman"/>
          <w:szCs w:val="24"/>
        </w:rPr>
        <w:br/>
      </w:r>
      <w:r w:rsidRPr="00193BD9">
        <w:rPr>
          <w:rFonts w:cs="Times New Roman"/>
          <w:szCs w:val="24"/>
        </w:rPr>
        <w:t xml:space="preserve">k novému projednání a rozhodnutí, vázán právním názorem, který vyslovil ve svém rozhodnutí odvolací soud, a je povinen provést úkony a doplnění, jejichž provedení odvolací soud nařídil. Přitom odvolací soud je vázán hodnocením důkazů, jak je provedl soud prvního stupně, s výjimkou důkazů, které sám v rámci odvolacího řízení provedl. Pokud dospěje k závěru, že rozsudek soudu prvního stupně trpí takovými vadami, pro které je třeba jej zrušit a věc vrátit soudu prvního stupně, </w:t>
      </w:r>
      <w:r>
        <w:rPr>
          <w:rFonts w:cs="Times New Roman"/>
          <w:szCs w:val="24"/>
        </w:rPr>
        <w:t xml:space="preserve">nemůže </w:t>
      </w:r>
      <w:r w:rsidRPr="00193BD9">
        <w:rPr>
          <w:rFonts w:cs="Times New Roman"/>
          <w:szCs w:val="24"/>
        </w:rPr>
        <w:t xml:space="preserve">jej předem zavazovat k tomu, jak má hodnotit důkazy a k jakým skutkovým zjištěním má dospět. Může poukázat na pochybnosti o správnosti a úplnosti dokazování a v tomto směru soud prvního stupně zavázat k doplnění nebo opakování dokazování a upozornit na pochybnosti, které dosud soudem prvního stupně zjištěný skutkový </w:t>
      </w:r>
      <w:r w:rsidRPr="00193BD9">
        <w:rPr>
          <w:rFonts w:cs="Times New Roman"/>
          <w:szCs w:val="24"/>
        </w:rPr>
        <w:lastRenderedPageBreak/>
        <w:t>stav vyvolává. Musí ale respektovat zásadu, že otázk</w:t>
      </w:r>
      <w:r>
        <w:rPr>
          <w:rFonts w:cs="Times New Roman"/>
          <w:szCs w:val="24"/>
        </w:rPr>
        <w:t>u</w:t>
      </w:r>
      <w:r w:rsidRPr="00193BD9">
        <w:rPr>
          <w:rFonts w:cs="Times New Roman"/>
          <w:szCs w:val="24"/>
        </w:rPr>
        <w:t xml:space="preserve"> viny a trestu posuzuje soud na základě důkazů, které provedl a sám vyhodnotil podle svého vnitřního přesvědčení v souladu s § 2 odst. 5 a 6 </w:t>
      </w:r>
      <w:r>
        <w:rPr>
          <w:rFonts w:cs="Times New Roman"/>
          <w:szCs w:val="24"/>
        </w:rPr>
        <w:t xml:space="preserve">tr. ř. </w:t>
      </w:r>
      <w:r w:rsidRPr="00193BD9">
        <w:rPr>
          <w:rFonts w:cs="Times New Roman"/>
          <w:szCs w:val="24"/>
        </w:rPr>
        <w:t xml:space="preserve">a při respektování </w:t>
      </w:r>
      <w:r>
        <w:rPr>
          <w:rFonts w:cs="Times New Roman"/>
          <w:szCs w:val="24"/>
        </w:rPr>
        <w:t xml:space="preserve">soudní </w:t>
      </w:r>
      <w:r w:rsidRPr="00193BD9">
        <w:rPr>
          <w:rFonts w:cs="Times New Roman"/>
          <w:szCs w:val="24"/>
        </w:rPr>
        <w:t xml:space="preserve">nezávislosti mu nemůže imputovat závěr, </w:t>
      </w:r>
      <w:r w:rsidR="00566132">
        <w:rPr>
          <w:rFonts w:cs="Times New Roman"/>
          <w:szCs w:val="24"/>
        </w:rPr>
        <w:t>jak má důkazy zhodnotit a k jakým skutkovým závěrům má dospět</w:t>
      </w:r>
      <w:r w:rsidRPr="00193BD9">
        <w:rPr>
          <w:rFonts w:cs="Times New Roman"/>
          <w:szCs w:val="24"/>
        </w:rPr>
        <w:t xml:space="preserve">. </w:t>
      </w:r>
    </w:p>
    <w:p w14:paraId="5F6F55AA" w14:textId="4DEFD926" w:rsidR="00476B14" w:rsidRPr="00193BD9" w:rsidRDefault="00476B14" w:rsidP="00476B14">
      <w:pPr>
        <w:spacing w:line="240" w:lineRule="auto"/>
        <w:rPr>
          <w:rFonts w:cs="Times New Roman"/>
          <w:szCs w:val="24"/>
        </w:rPr>
      </w:pPr>
      <w:r w:rsidRPr="00193BD9">
        <w:rPr>
          <w:rFonts w:cs="Times New Roman"/>
          <w:szCs w:val="24"/>
        </w:rPr>
        <w:t xml:space="preserve">Z těchto důvodů se rozsah a obsah závazných pokynů, kterými může odvolací soud zavázat soud prvního stupně navrhuje vymezit tak, že </w:t>
      </w:r>
      <w:r>
        <w:rPr>
          <w:rFonts w:cs="Times New Roman"/>
          <w:szCs w:val="24"/>
        </w:rPr>
        <w:t xml:space="preserve">kromě pokynů týkajících se právních otázek </w:t>
      </w:r>
      <w:r w:rsidRPr="00193BD9">
        <w:rPr>
          <w:rFonts w:cs="Times New Roman"/>
          <w:szCs w:val="24"/>
        </w:rPr>
        <w:t>se jedná o úkony a doplnění, které odvolací soud pro zákonné rozhodnutí považuje za potřebné provést</w:t>
      </w:r>
      <w:r>
        <w:rPr>
          <w:rFonts w:cs="Times New Roman"/>
          <w:szCs w:val="24"/>
        </w:rPr>
        <w:t>,</w:t>
      </w:r>
      <w:r w:rsidRPr="00193BD9">
        <w:rPr>
          <w:rFonts w:cs="Times New Roman"/>
          <w:szCs w:val="24"/>
        </w:rPr>
        <w:t xml:space="preserve"> a o povinnost vypořádat se s pochybnostmi odvolacího soudu ohledně správnosti skutkových zjištění. Zmíněné úkony a doplnění se mohou vztahovat jak k rozsahu a obsahu dokazování, tak i k respektování procesních předpisů. Nelze ale připustit, aby odvolací soud, byť po doplnění dokazování, které sám provedl, napadený rozsudek zrušil a vrátil věc soudu prvního stupně se závazným pokynem, pre</w:t>
      </w:r>
      <w:r>
        <w:rPr>
          <w:rFonts w:cs="Times New Roman"/>
          <w:szCs w:val="24"/>
        </w:rPr>
        <w:t>z</w:t>
      </w:r>
      <w:r w:rsidRPr="00193BD9">
        <w:rPr>
          <w:rFonts w:cs="Times New Roman"/>
          <w:szCs w:val="24"/>
        </w:rPr>
        <w:t>entovaným jako právní názor, jak má otázku viny soud prvního stupně rozhodnout</w:t>
      </w:r>
      <w:r w:rsidR="004815D6">
        <w:rPr>
          <w:rFonts w:cs="Times New Roman"/>
          <w:szCs w:val="24"/>
        </w:rPr>
        <w:t xml:space="preserve"> (tj. že má obviněného uznat vinným)</w:t>
      </w:r>
      <w:r w:rsidRPr="00193BD9">
        <w:rPr>
          <w:rFonts w:cs="Times New Roman"/>
          <w:szCs w:val="24"/>
        </w:rPr>
        <w:t xml:space="preserve">, ačkoli ten předtím ve stejném složení senátu dospěl k odlišnému závěru.  </w:t>
      </w:r>
    </w:p>
    <w:p w14:paraId="46781ADE" w14:textId="077FB103" w:rsidR="00BB19AA" w:rsidRPr="00897682" w:rsidRDefault="00BB19AA" w:rsidP="00BB19AA">
      <w:pPr>
        <w:spacing w:line="240" w:lineRule="auto"/>
        <w:rPr>
          <w:rFonts w:cs="Times New Roman"/>
          <w:szCs w:val="24"/>
        </w:rPr>
      </w:pPr>
      <w:r w:rsidRPr="00897682">
        <w:rPr>
          <w:rFonts w:cs="Times New Roman"/>
          <w:szCs w:val="24"/>
        </w:rPr>
        <w:t xml:space="preserve">Ze stejných důvodů se změny navrhované v § 264 odst. 1 </w:t>
      </w:r>
      <w:r w:rsidR="00514878" w:rsidRPr="00897682">
        <w:rPr>
          <w:rFonts w:cs="Times New Roman"/>
          <w:szCs w:val="24"/>
        </w:rPr>
        <w:t xml:space="preserve">tr. ř. </w:t>
      </w:r>
      <w:r w:rsidRPr="00897682">
        <w:rPr>
          <w:rFonts w:cs="Times New Roman"/>
          <w:szCs w:val="24"/>
        </w:rPr>
        <w:t xml:space="preserve">obdobně promítají i do § 265s odst. 1 </w:t>
      </w:r>
      <w:r w:rsidR="00514878" w:rsidRPr="00897682">
        <w:rPr>
          <w:rFonts w:cs="Times New Roman"/>
          <w:szCs w:val="24"/>
        </w:rPr>
        <w:t xml:space="preserve">tr. ř., </w:t>
      </w:r>
      <w:r w:rsidRPr="00897682">
        <w:rPr>
          <w:rFonts w:cs="Times New Roman"/>
          <w:szCs w:val="24"/>
        </w:rPr>
        <w:t>pokud jde o řízení o dovolání</w:t>
      </w:r>
      <w:r w:rsidR="00514878" w:rsidRPr="00897682">
        <w:rPr>
          <w:rFonts w:cs="Times New Roman"/>
          <w:szCs w:val="24"/>
        </w:rPr>
        <w:t>,</w:t>
      </w:r>
      <w:r w:rsidRPr="00897682">
        <w:rPr>
          <w:rFonts w:cs="Times New Roman"/>
          <w:szCs w:val="24"/>
        </w:rPr>
        <w:t xml:space="preserve"> a do § 270 odst. 3 </w:t>
      </w:r>
      <w:r w:rsidR="00514878" w:rsidRPr="00897682">
        <w:rPr>
          <w:rFonts w:cs="Times New Roman"/>
          <w:szCs w:val="24"/>
        </w:rPr>
        <w:t xml:space="preserve">tr. ř., pokud jde </w:t>
      </w:r>
      <w:r w:rsidRPr="00897682">
        <w:rPr>
          <w:rFonts w:cs="Times New Roman"/>
          <w:szCs w:val="24"/>
        </w:rPr>
        <w:t xml:space="preserve">o řízení po zrušení napadeného rozhodnutí cestou stížnosti pro porušení zákona. </w:t>
      </w:r>
    </w:p>
    <w:p w14:paraId="6205A39C" w14:textId="2D52F069" w:rsidR="00F236C0" w:rsidRPr="00897682" w:rsidRDefault="00FB6780" w:rsidP="00CC2AA3">
      <w:pPr>
        <w:spacing w:line="240" w:lineRule="auto"/>
      </w:pPr>
      <w:r w:rsidRPr="00897682">
        <w:rPr>
          <w:rFonts w:eastAsia="Calibri"/>
          <w:b/>
          <w:bCs w:val="0"/>
        </w:rPr>
        <w:t>K bod</w:t>
      </w:r>
      <w:r w:rsidR="00A50DE0">
        <w:rPr>
          <w:rFonts w:eastAsia="Calibri"/>
          <w:b/>
          <w:bCs w:val="0"/>
        </w:rPr>
        <w:t>ům</w:t>
      </w:r>
      <w:r w:rsidRPr="00897682">
        <w:rPr>
          <w:rFonts w:eastAsia="Calibri"/>
          <w:b/>
          <w:bCs w:val="0"/>
        </w:rPr>
        <w:t xml:space="preserve"> </w:t>
      </w:r>
      <w:r w:rsidR="0091323E" w:rsidRPr="00897682">
        <w:rPr>
          <w:rFonts w:eastAsia="Calibri"/>
          <w:b/>
          <w:bCs w:val="0"/>
        </w:rPr>
        <w:t>5</w:t>
      </w:r>
      <w:r w:rsidR="00F72398" w:rsidRPr="00897682">
        <w:rPr>
          <w:rFonts w:eastAsia="Calibri"/>
          <w:b/>
          <w:bCs w:val="0"/>
        </w:rPr>
        <w:t>1</w:t>
      </w:r>
      <w:r w:rsidR="008933E7" w:rsidRPr="00897682">
        <w:rPr>
          <w:rFonts w:eastAsia="Calibri"/>
        </w:rPr>
        <w:t xml:space="preserve"> </w:t>
      </w:r>
      <w:r w:rsidR="00A50DE0" w:rsidRPr="00AD46DD">
        <w:rPr>
          <w:rFonts w:eastAsia="Calibri"/>
          <w:b/>
          <w:bCs w:val="0"/>
        </w:rPr>
        <w:t>a 53</w:t>
      </w:r>
      <w:r w:rsidR="00A50DE0">
        <w:rPr>
          <w:rFonts w:eastAsia="Calibri"/>
        </w:rPr>
        <w:t xml:space="preserve"> </w:t>
      </w:r>
      <w:r w:rsidRPr="00897682">
        <w:rPr>
          <w:rFonts w:eastAsia="Calibri"/>
        </w:rPr>
        <w:t>(</w:t>
      </w:r>
      <w:r w:rsidRPr="00897682">
        <w:t>§ 265l odst. 3</w:t>
      </w:r>
      <w:r w:rsidR="00A50DE0">
        <w:t>, § 270 odst. 3</w:t>
      </w:r>
      <w:r w:rsidRPr="00897682">
        <w:t>)</w:t>
      </w:r>
    </w:p>
    <w:p w14:paraId="39F20A14" w14:textId="25E2E471" w:rsidR="0030581B" w:rsidRPr="00897682" w:rsidRDefault="0030581B" w:rsidP="0030581B">
      <w:pPr>
        <w:spacing w:line="240" w:lineRule="auto"/>
      </w:pPr>
      <w:r w:rsidRPr="00897682">
        <w:rPr>
          <w:rFonts w:cs="Times New Roman"/>
          <w:szCs w:val="24"/>
        </w:rPr>
        <w:t xml:space="preserve">Pokud Nejvyšší soud v řízení o dovolání </w:t>
      </w:r>
      <w:r w:rsidR="00A50DE0">
        <w:rPr>
          <w:rFonts w:cs="Times New Roman"/>
          <w:szCs w:val="24"/>
        </w:rPr>
        <w:t xml:space="preserve">nebo o stížnosti pro porušení zákona </w:t>
      </w:r>
      <w:r w:rsidRPr="00897682">
        <w:rPr>
          <w:rFonts w:cs="Times New Roman"/>
          <w:szCs w:val="24"/>
        </w:rPr>
        <w:t>napadené rozhodnutí zruší a rozhodne, že se věc vrací k novému projednání a rozhodnutí, je třeba v dalším řízení respektovat principy zakotvené v § 259 odst. 6 a § 262 tr. ř., jinak se vztahující k odvolacímu řízení</w:t>
      </w:r>
      <w:r w:rsidR="009242F4" w:rsidRPr="00897682">
        <w:rPr>
          <w:rFonts w:cs="Times New Roman"/>
          <w:szCs w:val="24"/>
        </w:rPr>
        <w:t xml:space="preserve"> (</w:t>
      </w:r>
      <w:r w:rsidR="009242F4" w:rsidRPr="00897682">
        <w:t>byť v řízení před dovolacím soudem lze § 262 tr. ř. aplikovat jen omezeně s ohledem na jiné vymezení dovolacích důvodů a uplatnění kasačního principu</w:t>
      </w:r>
      <w:r w:rsidR="009E43CB">
        <w:t>)</w:t>
      </w:r>
      <w:r w:rsidR="009242F4" w:rsidRPr="00897682">
        <w:t xml:space="preserve">. </w:t>
      </w:r>
      <w:r w:rsidRPr="00897682">
        <w:rPr>
          <w:rFonts w:cs="Times New Roman"/>
          <w:szCs w:val="24"/>
        </w:rPr>
        <w:t>Není důvod k odlišnému vymezení oprávnění dovolacího soudu od oprávnění odvolacího soudu, pokud zruší napadené rozhodnutí a věc vrátí k novému projednání a rozhodnutí.</w:t>
      </w:r>
    </w:p>
    <w:p w14:paraId="08FEF0DE" w14:textId="0A7EB4FD" w:rsidR="00FB6780" w:rsidRPr="00897682" w:rsidRDefault="008933E7" w:rsidP="0030581B">
      <w:pPr>
        <w:spacing w:line="240" w:lineRule="auto"/>
        <w:rPr>
          <w:rFonts w:cs="Times New Roman"/>
          <w:szCs w:val="24"/>
        </w:rPr>
      </w:pPr>
      <w:r w:rsidRPr="00897682">
        <w:t xml:space="preserve">Dále se nově s ohledem na praktické zkušenosti výslovně upravuje, že pokud Nejvyšší soud shledá důvody pro přikázání věci jinému samosoudci nebo senátu anebo dokonce jinému soudu nejen u prvoinstančního soudu, ale i u soudu druhoinstančního, může tento postup využít vůči oběma těmto soudům. </w:t>
      </w:r>
      <w:r w:rsidR="00FB6780" w:rsidRPr="00897682">
        <w:rPr>
          <w:rFonts w:cs="Times New Roman"/>
          <w:szCs w:val="24"/>
        </w:rPr>
        <w:t xml:space="preserve">To platí samozřejmě </w:t>
      </w:r>
      <w:r w:rsidR="00B5116D" w:rsidRPr="00897682">
        <w:rPr>
          <w:rFonts w:cs="Times New Roman"/>
          <w:szCs w:val="24"/>
        </w:rPr>
        <w:t xml:space="preserve">pouze </w:t>
      </w:r>
      <w:r w:rsidR="00FB6780" w:rsidRPr="00897682">
        <w:rPr>
          <w:rFonts w:cs="Times New Roman"/>
          <w:szCs w:val="24"/>
        </w:rPr>
        <w:t xml:space="preserve">v případech, kdy Nejvyšší soud zjistí, že důvody uvedené v § 262 odst. 1 </w:t>
      </w:r>
      <w:r w:rsidR="00B5116D" w:rsidRPr="00897682">
        <w:rPr>
          <w:rFonts w:cs="Times New Roman"/>
          <w:szCs w:val="24"/>
        </w:rPr>
        <w:t xml:space="preserve">tr. ř. </w:t>
      </w:r>
      <w:r w:rsidR="00FB6780" w:rsidRPr="00897682">
        <w:rPr>
          <w:rFonts w:cs="Times New Roman"/>
          <w:szCs w:val="24"/>
        </w:rPr>
        <w:t xml:space="preserve">pro přikázání jinému senátu nebo soudu jsou splněny </w:t>
      </w:r>
      <w:r w:rsidR="00B5116D" w:rsidRPr="00897682">
        <w:rPr>
          <w:rFonts w:cs="Times New Roman"/>
          <w:szCs w:val="24"/>
        </w:rPr>
        <w:br/>
      </w:r>
      <w:r w:rsidR="00FB6780" w:rsidRPr="00897682">
        <w:rPr>
          <w:rFonts w:cs="Times New Roman"/>
          <w:szCs w:val="24"/>
        </w:rPr>
        <w:t xml:space="preserve">i u odvolacího soudu.  </w:t>
      </w:r>
    </w:p>
    <w:p w14:paraId="3096170C" w14:textId="229C7BE6" w:rsidR="00FB6780" w:rsidRPr="00897682" w:rsidRDefault="00A66872" w:rsidP="00FB6780">
      <w:pPr>
        <w:spacing w:line="240" w:lineRule="auto"/>
        <w:rPr>
          <w:rFonts w:eastAsia="Calibri"/>
        </w:rPr>
      </w:pPr>
      <w:r w:rsidRPr="00897682">
        <w:rPr>
          <w:rFonts w:eastAsia="Calibri"/>
          <w:b/>
          <w:bCs w:val="0"/>
        </w:rPr>
        <w:t xml:space="preserve">K bodu </w:t>
      </w:r>
      <w:r w:rsidR="00073A43" w:rsidRPr="00897682">
        <w:rPr>
          <w:rFonts w:eastAsia="Calibri"/>
          <w:b/>
          <w:bCs w:val="0"/>
        </w:rPr>
        <w:t>5</w:t>
      </w:r>
      <w:r w:rsidR="00F72398" w:rsidRPr="00897682">
        <w:rPr>
          <w:rFonts w:eastAsia="Calibri"/>
          <w:b/>
          <w:bCs w:val="0"/>
        </w:rPr>
        <w:t>2</w:t>
      </w:r>
      <w:r w:rsidRPr="00897682">
        <w:rPr>
          <w:rFonts w:eastAsia="Calibri"/>
          <w:b/>
          <w:bCs w:val="0"/>
        </w:rPr>
        <w:t xml:space="preserve"> </w:t>
      </w:r>
      <w:r w:rsidRPr="00897682">
        <w:rPr>
          <w:rFonts w:eastAsia="Calibri"/>
        </w:rPr>
        <w:t>(</w:t>
      </w:r>
      <w:r w:rsidRPr="00897682">
        <w:t>§ 265s odst. 1)</w:t>
      </w:r>
    </w:p>
    <w:p w14:paraId="6ECE394F" w14:textId="210AEAA6" w:rsidR="00A66872" w:rsidRPr="00897682" w:rsidRDefault="00A66872" w:rsidP="00A66872">
      <w:pPr>
        <w:spacing w:line="240" w:lineRule="auto"/>
        <w:rPr>
          <w:rFonts w:cs="Times New Roman"/>
          <w:szCs w:val="24"/>
        </w:rPr>
      </w:pPr>
      <w:r w:rsidRPr="00897682">
        <w:t xml:space="preserve">Vzhledem k tomu, že není vyloučeno, že dovolací soud bude považovat za potřebné se vyjádřit ke skutkovým zjištěním, upravuje se povinnost soudu, jemuž byla věc přikázána, vypořádat se s výhradami dovolacího soudu, byť nemají povahu závazného pokynu. </w:t>
      </w:r>
      <w:r w:rsidRPr="00897682">
        <w:rPr>
          <w:rFonts w:cs="Times New Roman"/>
          <w:szCs w:val="24"/>
        </w:rPr>
        <w:t xml:space="preserve">Důvody, pro které se tato změna navrhuje, jsou obdobné, jako je tomu u návrhu změn </w:t>
      </w:r>
      <w:r w:rsidR="002A464D">
        <w:rPr>
          <w:rFonts w:cs="Times New Roman"/>
          <w:szCs w:val="24"/>
        </w:rPr>
        <w:t xml:space="preserve">v </w:t>
      </w:r>
      <w:r w:rsidRPr="00897682">
        <w:rPr>
          <w:rFonts w:cs="Times New Roman"/>
          <w:szCs w:val="24"/>
        </w:rPr>
        <w:t xml:space="preserve">§ 264 odst. 1.  </w:t>
      </w:r>
    </w:p>
    <w:p w14:paraId="7EA3CDEB" w14:textId="5C60978F" w:rsidR="00F66FE5" w:rsidRPr="00897682" w:rsidRDefault="00F66FE5" w:rsidP="00177950">
      <w:pPr>
        <w:rPr>
          <w:rFonts w:cs="Times New Roman"/>
          <w:szCs w:val="24"/>
        </w:rPr>
      </w:pPr>
      <w:r w:rsidRPr="00897682">
        <w:rPr>
          <w:b/>
        </w:rPr>
        <w:t>K bodu 5</w:t>
      </w:r>
      <w:r w:rsidR="00AD46DD">
        <w:rPr>
          <w:b/>
        </w:rPr>
        <w:t>4</w:t>
      </w:r>
      <w:r w:rsidRPr="00897682">
        <w:rPr>
          <w:b/>
        </w:rPr>
        <w:t xml:space="preserve"> </w:t>
      </w:r>
      <w:r w:rsidRPr="00897682">
        <w:rPr>
          <w:bCs w:val="0"/>
        </w:rPr>
        <w:t>(</w:t>
      </w:r>
      <w:r w:rsidRPr="00897682">
        <w:rPr>
          <w:rFonts w:cs="Times New Roman"/>
          <w:szCs w:val="24"/>
        </w:rPr>
        <w:t>§ 306a odst. 1 věta druhá)</w:t>
      </w:r>
    </w:p>
    <w:p w14:paraId="301ABBD0" w14:textId="201E420C" w:rsidR="00AF2B77" w:rsidRPr="00897682" w:rsidRDefault="00F66FE5" w:rsidP="00F72398">
      <w:pPr>
        <w:spacing w:line="240" w:lineRule="auto"/>
        <w:rPr>
          <w:rFonts w:eastAsia="Calibri"/>
        </w:rPr>
      </w:pPr>
      <w:r w:rsidRPr="00897682">
        <w:rPr>
          <w:rFonts w:eastAsia="Calibri"/>
        </w:rPr>
        <w:t xml:space="preserve">Navržená změna reaguje na skutečnost, že s rozvojem moderní techniky jsou úkony stále častěji nahrávány, a kromě čtení protokolů o výslechu lze důkaz provádět i přehráním záznamu. </w:t>
      </w:r>
    </w:p>
    <w:p w14:paraId="7843DED3" w14:textId="0140946C" w:rsidR="00177950" w:rsidRPr="00897682" w:rsidRDefault="009D4DA2" w:rsidP="00177950">
      <w:pPr>
        <w:rPr>
          <w:b/>
        </w:rPr>
      </w:pPr>
      <w:r w:rsidRPr="00897682">
        <w:rPr>
          <w:b/>
        </w:rPr>
        <w:t xml:space="preserve">K bodu </w:t>
      </w:r>
      <w:r w:rsidR="00F66FE5" w:rsidRPr="00897682">
        <w:rPr>
          <w:b/>
        </w:rPr>
        <w:t>5</w:t>
      </w:r>
      <w:r w:rsidR="00753DAF">
        <w:rPr>
          <w:b/>
        </w:rPr>
        <w:t>5</w:t>
      </w:r>
      <w:r w:rsidR="00BB6B38" w:rsidRPr="00897682">
        <w:rPr>
          <w:b/>
        </w:rPr>
        <w:t xml:space="preserve"> </w:t>
      </w:r>
      <w:r w:rsidRPr="00897682">
        <w:rPr>
          <w:bCs w:val="0"/>
        </w:rPr>
        <w:t>(</w:t>
      </w:r>
      <w:r w:rsidRPr="00897682">
        <w:t>§ 314q odst. 1</w:t>
      </w:r>
      <w:r w:rsidR="008E0C06" w:rsidRPr="00897682">
        <w:t>)</w:t>
      </w:r>
    </w:p>
    <w:p w14:paraId="2AE6D660" w14:textId="4D552C47" w:rsidR="00177950" w:rsidRPr="00897682" w:rsidRDefault="000E6252" w:rsidP="00CC2AA3">
      <w:pPr>
        <w:spacing w:line="240" w:lineRule="auto"/>
        <w:rPr>
          <w:rFonts w:eastAsia="Calibri"/>
        </w:rPr>
      </w:pPr>
      <w:r w:rsidRPr="00897682">
        <w:rPr>
          <w:rFonts w:eastAsia="Calibri"/>
        </w:rPr>
        <w:t xml:space="preserve">Jedná se o opravu písařské chyby, k níž došlo v souvislosti s přijetím novely trestních předpisů vyhlášené pod č. 270/2025 Sb. (ve znění účinném k 1. 1. 2027). </w:t>
      </w:r>
    </w:p>
    <w:p w14:paraId="53E9DEC5" w14:textId="51DFD4A9" w:rsidR="00EF157E" w:rsidRPr="00897682" w:rsidRDefault="00EF157E" w:rsidP="00CC2AA3">
      <w:pPr>
        <w:spacing w:line="240" w:lineRule="auto"/>
        <w:rPr>
          <w:rFonts w:eastAsia="Calibri"/>
        </w:rPr>
      </w:pPr>
      <w:r w:rsidRPr="00897682">
        <w:rPr>
          <w:rFonts w:eastAsia="Calibri"/>
          <w:b/>
          <w:bCs w:val="0"/>
        </w:rPr>
        <w:t xml:space="preserve">K bodu </w:t>
      </w:r>
      <w:r w:rsidR="00F66FE5" w:rsidRPr="00897682">
        <w:rPr>
          <w:rFonts w:eastAsia="Calibri"/>
          <w:b/>
          <w:bCs w:val="0"/>
        </w:rPr>
        <w:t>5</w:t>
      </w:r>
      <w:r w:rsidR="00753DAF">
        <w:rPr>
          <w:rFonts w:eastAsia="Calibri"/>
          <w:b/>
          <w:bCs w:val="0"/>
        </w:rPr>
        <w:t>6</w:t>
      </w:r>
      <w:r w:rsidRPr="00897682">
        <w:rPr>
          <w:rFonts w:eastAsia="Calibri"/>
          <w:b/>
          <w:bCs w:val="0"/>
        </w:rPr>
        <w:t xml:space="preserve"> </w:t>
      </w:r>
      <w:r w:rsidR="00846696" w:rsidRPr="00897682">
        <w:rPr>
          <w:rFonts w:eastAsia="Calibri"/>
        </w:rPr>
        <w:t>(§ 463 odst. 2)</w:t>
      </w:r>
    </w:p>
    <w:p w14:paraId="561C2219" w14:textId="71A6796F" w:rsidR="00846696" w:rsidRPr="00897682" w:rsidRDefault="00846696" w:rsidP="00CC2AA3">
      <w:pPr>
        <w:spacing w:line="240" w:lineRule="auto"/>
        <w:rPr>
          <w:rFonts w:eastAsia="Calibri"/>
        </w:rPr>
      </w:pPr>
      <w:r w:rsidRPr="00897682">
        <w:rPr>
          <w:rFonts w:eastAsia="Calibri"/>
        </w:rPr>
        <w:t>Ruší se obsoletní odkaz na vyšší vojenský soud.</w:t>
      </w:r>
    </w:p>
    <w:p w14:paraId="74F9E3AE" w14:textId="5A93E1F2" w:rsidR="00D620CF" w:rsidRPr="00897682" w:rsidRDefault="006E2C4C" w:rsidP="00CC2AA3">
      <w:pPr>
        <w:spacing w:line="240" w:lineRule="auto"/>
      </w:pPr>
      <w:r w:rsidRPr="00897682">
        <w:rPr>
          <w:rFonts w:eastAsia="Calibri"/>
          <w:b/>
          <w:bCs w:val="0"/>
        </w:rPr>
        <w:lastRenderedPageBreak/>
        <w:t xml:space="preserve">K bodu </w:t>
      </w:r>
      <w:r w:rsidR="0031679D" w:rsidRPr="00897682">
        <w:rPr>
          <w:rFonts w:eastAsia="Calibri"/>
          <w:b/>
          <w:bCs w:val="0"/>
        </w:rPr>
        <w:t>5</w:t>
      </w:r>
      <w:r w:rsidR="00753DAF">
        <w:rPr>
          <w:rFonts w:eastAsia="Calibri"/>
          <w:b/>
          <w:bCs w:val="0"/>
        </w:rPr>
        <w:t>7</w:t>
      </w:r>
      <w:r w:rsidRPr="00897682">
        <w:rPr>
          <w:rFonts w:eastAsia="Calibri"/>
          <w:b/>
          <w:bCs w:val="0"/>
        </w:rPr>
        <w:t xml:space="preserve"> </w:t>
      </w:r>
      <w:r w:rsidRPr="00897682">
        <w:rPr>
          <w:rFonts w:eastAsia="Calibri"/>
        </w:rPr>
        <w:t>(</w:t>
      </w:r>
      <w:r w:rsidRPr="00897682">
        <w:t>§ 464 odst. 2)</w:t>
      </w:r>
    </w:p>
    <w:p w14:paraId="4DB89866" w14:textId="0330FADC" w:rsidR="00DA5865" w:rsidRPr="00897682" w:rsidRDefault="00DA5865" w:rsidP="00DA5865">
      <w:pPr>
        <w:spacing w:line="240" w:lineRule="auto"/>
        <w:rPr>
          <w:rFonts w:cs="Times New Roman"/>
          <w:szCs w:val="24"/>
        </w:rPr>
      </w:pPr>
      <w:r w:rsidRPr="00897682">
        <w:rPr>
          <w:rFonts w:cs="Times New Roman"/>
          <w:szCs w:val="24"/>
        </w:rPr>
        <w:t>Odkaz na vyšší vojenský soud v § 464 odst. 2 tr. ř. za situace, kdy vojenské soudy nejsou součástí soustavy soudů, postrádá odůvodnění. Ministr nemá z čeho vybírat příslušný vojenský soud.</w:t>
      </w:r>
      <w:r w:rsidR="003E2774">
        <w:rPr>
          <w:rFonts w:cs="Times New Roman"/>
          <w:szCs w:val="24"/>
        </w:rPr>
        <w:t xml:space="preserve"> </w:t>
      </w:r>
      <w:r w:rsidRPr="00897682">
        <w:rPr>
          <w:rFonts w:cs="Times New Roman"/>
          <w:szCs w:val="24"/>
        </w:rPr>
        <w:t>Proto se navrhuje tento odkaz pro zrušit</w:t>
      </w:r>
      <w:r w:rsidR="00C1001A" w:rsidRPr="00897682">
        <w:rPr>
          <w:rFonts w:cs="Times New Roman"/>
          <w:szCs w:val="24"/>
        </w:rPr>
        <w:t>, neboť je obsoletní</w:t>
      </w:r>
      <w:r w:rsidRPr="00897682">
        <w:rPr>
          <w:rFonts w:cs="Times New Roman"/>
          <w:szCs w:val="24"/>
        </w:rPr>
        <w:t xml:space="preserve">. </w:t>
      </w:r>
    </w:p>
    <w:p w14:paraId="652168A6" w14:textId="7408C76F" w:rsidR="00DA5865" w:rsidRPr="00897682" w:rsidRDefault="0057413A" w:rsidP="00CC2AA3">
      <w:pPr>
        <w:spacing w:line="240" w:lineRule="auto"/>
        <w:rPr>
          <w:rFonts w:eastAsia="Calibri"/>
        </w:rPr>
      </w:pPr>
      <w:r w:rsidRPr="00897682">
        <w:rPr>
          <w:rFonts w:eastAsia="Calibri"/>
          <w:b/>
          <w:bCs w:val="0"/>
        </w:rPr>
        <w:t xml:space="preserve">K bodu </w:t>
      </w:r>
      <w:r w:rsidR="0031679D" w:rsidRPr="00897682">
        <w:rPr>
          <w:rFonts w:eastAsia="Calibri"/>
          <w:b/>
          <w:bCs w:val="0"/>
        </w:rPr>
        <w:t>5</w:t>
      </w:r>
      <w:r w:rsidR="00753DAF">
        <w:rPr>
          <w:rFonts w:eastAsia="Calibri"/>
          <w:b/>
          <w:bCs w:val="0"/>
        </w:rPr>
        <w:t>8</w:t>
      </w:r>
      <w:r w:rsidRPr="00897682">
        <w:rPr>
          <w:rFonts w:eastAsia="Calibri"/>
        </w:rPr>
        <w:t xml:space="preserve"> (§ 468)</w:t>
      </w:r>
    </w:p>
    <w:p w14:paraId="08E0761E" w14:textId="7942162D" w:rsidR="00FE79BA" w:rsidRDefault="0057413A" w:rsidP="00ED0AB7">
      <w:pPr>
        <w:spacing w:line="240" w:lineRule="auto"/>
        <w:rPr>
          <w:rFonts w:cs="Times New Roman"/>
          <w:szCs w:val="24"/>
        </w:rPr>
      </w:pPr>
      <w:r w:rsidRPr="00897682">
        <w:rPr>
          <w:rFonts w:cs="Times New Roman"/>
          <w:szCs w:val="24"/>
        </w:rPr>
        <w:t>Zmocnění pro ministra spravedlnosti v § 468 tr. ř. odporuje ústavnímu vymezení subjektů, které mohou vydávat prováděcí předpisy</w:t>
      </w:r>
      <w:r w:rsidR="00070742" w:rsidRPr="00897682">
        <w:rPr>
          <w:rFonts w:cs="Times New Roman"/>
          <w:szCs w:val="24"/>
        </w:rPr>
        <w:t>, navrhuje se proto uvést zmocňovací ustanovení do souladu s tímto vymezením. Předmětné zmocňovací ustanovení je i nadále potřebné pro účely vymezení rozsahu úkonů</w:t>
      </w:r>
      <w:r w:rsidR="00BF3951" w:rsidRPr="00897682">
        <w:rPr>
          <w:rFonts w:cs="Times New Roman"/>
          <w:szCs w:val="24"/>
        </w:rPr>
        <w:t xml:space="preserve">, které může vykonávat </w:t>
      </w:r>
      <w:r w:rsidR="00070742" w:rsidRPr="00897682">
        <w:rPr>
          <w:rFonts w:cs="Times New Roman"/>
          <w:szCs w:val="24"/>
        </w:rPr>
        <w:t xml:space="preserve">soudní tajemník. </w:t>
      </w:r>
    </w:p>
    <w:p w14:paraId="75C45A7C" w14:textId="1967553F" w:rsidR="00EB4332" w:rsidRPr="00897682" w:rsidRDefault="00EB4332" w:rsidP="00ED0AB7">
      <w:pPr>
        <w:spacing w:line="240" w:lineRule="auto"/>
        <w:rPr>
          <w:rFonts w:cs="Times New Roman"/>
          <w:szCs w:val="24"/>
        </w:rPr>
      </w:pPr>
      <w:r>
        <w:rPr>
          <w:rFonts w:cs="Times New Roman"/>
          <w:szCs w:val="24"/>
        </w:rPr>
        <w:t xml:space="preserve">Zastaralý pojem „pracovník“ se nahrazuje pojmem „zaměstnanec“. </w:t>
      </w:r>
    </w:p>
    <w:p w14:paraId="66BDC872" w14:textId="77777777" w:rsidR="00753DAF" w:rsidRDefault="00753DAF" w:rsidP="00ED0AB7">
      <w:pPr>
        <w:spacing w:line="240" w:lineRule="auto"/>
        <w:rPr>
          <w:rFonts w:cs="Times New Roman"/>
          <w:b/>
          <w:bCs w:val="0"/>
          <w:szCs w:val="24"/>
        </w:rPr>
      </w:pPr>
    </w:p>
    <w:p w14:paraId="5F9249EA" w14:textId="0FD7D973" w:rsidR="00ED0AB7" w:rsidRPr="00897682" w:rsidRDefault="00ED0AB7" w:rsidP="00ED0AB7">
      <w:pPr>
        <w:spacing w:line="240" w:lineRule="auto"/>
        <w:rPr>
          <w:rFonts w:cs="Times New Roman"/>
          <w:b/>
          <w:bCs w:val="0"/>
          <w:szCs w:val="24"/>
          <w:u w:val="single"/>
        </w:rPr>
      </w:pPr>
      <w:r w:rsidRPr="00897682">
        <w:rPr>
          <w:rFonts w:cs="Times New Roman"/>
          <w:b/>
          <w:bCs w:val="0"/>
          <w:szCs w:val="24"/>
        </w:rPr>
        <w:t>K čl. II – přechodné ustanovení</w:t>
      </w:r>
    </w:p>
    <w:p w14:paraId="0A2A7578" w14:textId="69DF3A56" w:rsidR="00ED0AB7" w:rsidRPr="00897682" w:rsidRDefault="00ED0AB7" w:rsidP="00ED0AB7">
      <w:pPr>
        <w:spacing w:line="240" w:lineRule="auto"/>
        <w:rPr>
          <w:rFonts w:cs="Times New Roman"/>
          <w:szCs w:val="24"/>
        </w:rPr>
      </w:pPr>
      <w:r w:rsidRPr="00897682">
        <w:rPr>
          <w:rFonts w:cs="Times New Roman"/>
          <w:szCs w:val="24"/>
        </w:rPr>
        <w:t xml:space="preserve">Přechod na nový způsob zachycení průběhu hlavního líčení, veřejného zasedání a vazebního zasedání předpokládá, že soudy budou vybaveny technickým zařízením umožňujícím automatický přepis zvukového záznamu pořízeného při takových úkonech do </w:t>
      </w:r>
      <w:r w:rsidR="001B7F30" w:rsidRPr="00897682">
        <w:rPr>
          <w:rFonts w:cs="Times New Roman"/>
          <w:szCs w:val="24"/>
        </w:rPr>
        <w:t>písemné</w:t>
      </w:r>
      <w:r w:rsidRPr="00897682">
        <w:rPr>
          <w:rFonts w:cs="Times New Roman"/>
          <w:szCs w:val="24"/>
        </w:rPr>
        <w:t xml:space="preserve"> podoby. V současné době takovým technickým zařízením nejsou vybaveny všechny soudy, a proto se k zajištění plynulého přechodu na nový způsob přepisu záznamů o zmíněných úkonech navrhuje, aby po dobu nejvýše jednoho roku od účinnosti této novely mohly soudy při protokolaci postupovat podle dosavadní právní úpravy obsažené v § 55b trestního řádu.  </w:t>
      </w:r>
    </w:p>
    <w:p w14:paraId="3E39D144" w14:textId="77777777" w:rsidR="001C2798" w:rsidRDefault="001C2798" w:rsidP="00ED0AB7">
      <w:pPr>
        <w:spacing w:line="240" w:lineRule="auto"/>
        <w:rPr>
          <w:rFonts w:cs="Times New Roman"/>
          <w:b/>
          <w:bCs w:val="0"/>
          <w:szCs w:val="24"/>
        </w:rPr>
      </w:pPr>
    </w:p>
    <w:p w14:paraId="19E93FCF" w14:textId="79293DEE" w:rsidR="00ED0AB7" w:rsidRPr="00897682" w:rsidRDefault="0097392F" w:rsidP="00ED0AB7">
      <w:pPr>
        <w:spacing w:line="240" w:lineRule="auto"/>
        <w:rPr>
          <w:rFonts w:cs="Times New Roman"/>
          <w:b/>
          <w:bCs w:val="0"/>
          <w:szCs w:val="24"/>
        </w:rPr>
      </w:pPr>
      <w:r w:rsidRPr="00897682">
        <w:rPr>
          <w:rFonts w:cs="Times New Roman"/>
          <w:b/>
          <w:bCs w:val="0"/>
          <w:szCs w:val="24"/>
        </w:rPr>
        <w:t>K čl. III – účinnost</w:t>
      </w:r>
    </w:p>
    <w:p w14:paraId="5848C4F7" w14:textId="7709E0C7" w:rsidR="00087699" w:rsidRPr="00087699" w:rsidRDefault="00087699" w:rsidP="008B5ECD">
      <w:pPr>
        <w:spacing w:line="240" w:lineRule="auto"/>
        <w:rPr>
          <w:rFonts w:cs="Times New Roman"/>
          <w:bCs w:val="0"/>
          <w:szCs w:val="24"/>
        </w:rPr>
      </w:pPr>
      <w:r w:rsidRPr="00897682">
        <w:rPr>
          <w:rFonts w:cs="Times New Roman"/>
          <w:bCs w:val="0"/>
          <w:szCs w:val="24"/>
        </w:rPr>
        <w:t xml:space="preserve">Datum nabytí účinnosti je stanoveno </w:t>
      </w:r>
      <w:r w:rsidR="00E235F8" w:rsidRPr="00897682">
        <w:rPr>
          <w:color w:val="212121"/>
          <w:shd w:val="clear" w:color="auto" w:fill="FFFFFF"/>
        </w:rPr>
        <w:t>s</w:t>
      </w:r>
      <w:r w:rsidRPr="00897682">
        <w:rPr>
          <w:color w:val="212121"/>
          <w:shd w:val="clear" w:color="auto" w:fill="FFFFFF"/>
        </w:rPr>
        <w:t xml:space="preserve"> ohledem na § </w:t>
      </w:r>
      <w:r w:rsidR="00A858A9" w:rsidRPr="00897682">
        <w:rPr>
          <w:color w:val="212121"/>
          <w:shd w:val="clear" w:color="auto" w:fill="FFFFFF"/>
        </w:rPr>
        <w:t xml:space="preserve">9 </w:t>
      </w:r>
      <w:r w:rsidRPr="00897682">
        <w:rPr>
          <w:color w:val="212121"/>
          <w:shd w:val="clear" w:color="auto" w:fill="FFFFFF"/>
        </w:rPr>
        <w:t xml:space="preserve">odst. </w:t>
      </w:r>
      <w:r w:rsidR="00A858A9" w:rsidRPr="00897682">
        <w:rPr>
          <w:color w:val="212121"/>
          <w:shd w:val="clear" w:color="auto" w:fill="FFFFFF"/>
        </w:rPr>
        <w:t>2</w:t>
      </w:r>
      <w:r w:rsidRPr="00897682">
        <w:rPr>
          <w:color w:val="212121"/>
          <w:shd w:val="clear" w:color="auto" w:fill="FFFFFF"/>
        </w:rPr>
        <w:t xml:space="preserve"> zákona č. </w:t>
      </w:r>
      <w:r w:rsidR="00A858A9" w:rsidRPr="00897682">
        <w:rPr>
          <w:color w:val="212121"/>
          <w:shd w:val="clear" w:color="auto" w:fill="FFFFFF"/>
        </w:rPr>
        <w:t xml:space="preserve">222/2016 </w:t>
      </w:r>
      <w:r w:rsidRPr="00897682">
        <w:rPr>
          <w:color w:val="212121"/>
          <w:shd w:val="clear" w:color="auto" w:fill="FFFFFF"/>
        </w:rPr>
        <w:t>Sb., o Sbírce zákonů a mezinárodních smluv, ve znění pozdějších předpisů, a na předpokládanou délku legislativního proces</w:t>
      </w:r>
      <w:r w:rsidR="00BF0320" w:rsidRPr="00897682">
        <w:rPr>
          <w:color w:val="212121"/>
          <w:shd w:val="clear" w:color="auto" w:fill="FFFFFF"/>
        </w:rPr>
        <w:t>u, jakož i s ohledem na potřebu zajištění technické vybavenosti soudů</w:t>
      </w:r>
      <w:r w:rsidR="002F049E" w:rsidRPr="00897682">
        <w:rPr>
          <w:color w:val="212121"/>
          <w:shd w:val="clear" w:color="auto" w:fill="FFFFFF"/>
        </w:rPr>
        <w:t xml:space="preserve"> </w:t>
      </w:r>
      <w:r w:rsidR="002F049E" w:rsidRPr="00897682">
        <w:rPr>
          <w:color w:val="212121"/>
          <w:shd w:val="clear" w:color="auto" w:fill="FFFFFF"/>
        </w:rPr>
        <w:br/>
        <w:t>a připravenosti útvarů Policie České republiky na novou agendu</w:t>
      </w:r>
      <w:r w:rsidRPr="00897682">
        <w:rPr>
          <w:color w:val="212121"/>
          <w:shd w:val="clear" w:color="auto" w:fill="FFFFFF"/>
        </w:rPr>
        <w:t>.</w:t>
      </w:r>
    </w:p>
    <w:sectPr w:rsidR="00087699" w:rsidRPr="0008769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D187" w14:textId="77777777" w:rsidR="000149B9" w:rsidRDefault="000149B9" w:rsidP="00C216E4">
      <w:pPr>
        <w:spacing w:before="0" w:line="240" w:lineRule="auto"/>
      </w:pPr>
      <w:r>
        <w:separator/>
      </w:r>
    </w:p>
  </w:endnote>
  <w:endnote w:type="continuationSeparator" w:id="0">
    <w:p w14:paraId="5B64B19D" w14:textId="77777777" w:rsidR="000149B9" w:rsidRDefault="000149B9" w:rsidP="00C216E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762249"/>
      <w:docPartObj>
        <w:docPartGallery w:val="Page Numbers (Bottom of Page)"/>
        <w:docPartUnique/>
      </w:docPartObj>
    </w:sdtPr>
    <w:sdtEndPr/>
    <w:sdtContent>
      <w:p w14:paraId="3E0DCEAA" w14:textId="64E4F64B" w:rsidR="00730C8E" w:rsidRDefault="00730C8E">
        <w:pPr>
          <w:pStyle w:val="Zpat"/>
          <w:jc w:val="center"/>
        </w:pPr>
        <w:r>
          <w:fldChar w:fldCharType="begin"/>
        </w:r>
        <w:r>
          <w:instrText>PAGE   \* MERGEFORMAT</w:instrText>
        </w:r>
        <w:r>
          <w:fldChar w:fldCharType="separate"/>
        </w:r>
        <w:r>
          <w:t>2</w:t>
        </w:r>
        <w:r>
          <w:fldChar w:fldCharType="end"/>
        </w:r>
      </w:p>
    </w:sdtContent>
  </w:sdt>
  <w:p w14:paraId="0B71B330" w14:textId="77777777" w:rsidR="00730C8E" w:rsidRDefault="00730C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5AF51" w14:textId="77777777" w:rsidR="000149B9" w:rsidRDefault="000149B9" w:rsidP="00C216E4">
      <w:pPr>
        <w:spacing w:before="0" w:line="240" w:lineRule="auto"/>
      </w:pPr>
      <w:r>
        <w:separator/>
      </w:r>
    </w:p>
  </w:footnote>
  <w:footnote w:type="continuationSeparator" w:id="0">
    <w:p w14:paraId="377A1883" w14:textId="77777777" w:rsidR="000149B9" w:rsidRDefault="000149B9" w:rsidP="00C216E4">
      <w:pPr>
        <w:spacing w:before="0" w:line="240" w:lineRule="auto"/>
      </w:pPr>
      <w:r>
        <w:continuationSeparator/>
      </w:r>
    </w:p>
  </w:footnote>
  <w:footnote w:id="1">
    <w:p w14:paraId="698E4488" w14:textId="77777777" w:rsidR="00CF04F9" w:rsidRPr="00CD3920" w:rsidRDefault="00CF04F9" w:rsidP="00CF04F9">
      <w:pPr>
        <w:pStyle w:val="Textpoznpodarou"/>
        <w:spacing w:after="80"/>
        <w:jc w:val="both"/>
      </w:pPr>
      <w:r w:rsidRPr="00B756F8">
        <w:rPr>
          <w:rStyle w:val="Znakapoznpodarou"/>
          <w:rFonts w:ascii="Calibri" w:hAnsi="Calibri" w:cs="Calibri"/>
        </w:rPr>
        <w:footnoteRef/>
      </w:r>
      <w:r w:rsidRPr="00B756F8">
        <w:rPr>
          <w:rFonts w:ascii="Calibri" w:hAnsi="Calibri" w:cs="Calibri"/>
        </w:rPr>
        <w:t xml:space="preserve"> </w:t>
      </w:r>
      <w:r w:rsidRPr="00CD3920">
        <w:t>Podle § 35a odst. 1 orgány činné v trestním řízení jsou povinny zachovávat důvěrnost informací sdělovaných mezi obviněným a obhájcem jakýmkoli způsobem, zejména ústně, elektronicky nebo v listinné podobě, ať již přenášených nebo uchovávaných v soukromí. Ochrana důvěrnosti komunikace se ve stejném rozsahu vztahuje také na komunikaci mezi podezřelým a jeho advokátem v trestní věci. Podle odstavce 2 se ochrana důvěrnosti komunikace podle odstavce 1 nevztahuje na případy, kdy obsahem komunikace není poskytování právních služeb.</w:t>
      </w:r>
    </w:p>
  </w:footnote>
  <w:footnote w:id="2">
    <w:p w14:paraId="11E7FAB7" w14:textId="77777777" w:rsidR="00CF04F9" w:rsidRPr="00CD3920" w:rsidRDefault="00CF04F9" w:rsidP="00CF04F9">
      <w:pPr>
        <w:pStyle w:val="Textpoznpodarou"/>
        <w:jc w:val="both"/>
      </w:pPr>
      <w:r w:rsidRPr="00CD3920">
        <w:rPr>
          <w:rStyle w:val="Znakapoznpodarou"/>
        </w:rPr>
        <w:footnoteRef/>
      </w:r>
      <w:r w:rsidRPr="00CD3920">
        <w:t xml:space="preserve"> Informace tvořící obsah komunikace advokáta, advokátního koncipienta a dalších osob uvedených v § 21 odst. 9 písm. a) s klientem při výkonu advokacie jsou důvěrné, je-li tato důvěrnost v zájmu klienta. Stejně tak jsou důvěrné informace získané nebo vytvářené při výkonu advokacie nebo v bezprostřední souvislosti s ním, pokud z nich lze zjistit informace o obsahu komunikace uvedené ve větě první nebo o poskytovaných právních službách, je-li tato důvěrnost v zájmu klienta.</w:t>
      </w:r>
    </w:p>
  </w:footnote>
  <w:footnote w:id="3">
    <w:p w14:paraId="58D8820B" w14:textId="77777777" w:rsidR="003458D6" w:rsidRDefault="003458D6" w:rsidP="003458D6">
      <w:pPr>
        <w:pStyle w:val="Default"/>
        <w:jc w:val="both"/>
        <w:rPr>
          <w:sz w:val="23"/>
          <w:szCs w:val="23"/>
        </w:rPr>
      </w:pPr>
      <w:r>
        <w:rPr>
          <w:rStyle w:val="Znakapoznpodarou"/>
        </w:rPr>
        <w:footnoteRef/>
      </w:r>
      <w:r>
        <w:t xml:space="preserve"> Srov. </w:t>
      </w:r>
      <w:r>
        <w:rPr>
          <w:sz w:val="23"/>
          <w:szCs w:val="23"/>
        </w:rPr>
        <w:t>nález sp. zn. III. ÚS 90/95 ze dne 7. 12. 1995, nález sp. zn. I. ÚS 49/06 ze dne 20. 5. 2008, nález sp. zn. I. ÚS 1922/09 ze dne 7. 9. 2009, nález sp. zn. I. ÚS 109/11 ze dne 14. 4. 2011, nález sp. zn. II. ÚS 2317/11 ze dne 24. 1. 2012, nález sp. zn. II. ÚS 3564/12 ze dne 5. 3. 2013, nález sp. zn. I. ÚS 794/16 ze dne 21. 6. 2016, nález sp. zn. II. ÚS 1837/16 ze dne 13. 12. 2016, nález sp. zn. I. ÚS 564/17 ze dne 13. 4. 2017, nález sp. zn. IV. ÚS 4091/18 ze dne 5. 2. 2019, usnesení sp. zn. IV. ÚS 1222/20 ze dne 30. 6. 2020 a další.</w:t>
      </w:r>
    </w:p>
    <w:p w14:paraId="0501D1D1" w14:textId="77777777" w:rsidR="003458D6" w:rsidRDefault="003458D6" w:rsidP="003458D6">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4CE2"/>
    <w:multiLevelType w:val="hybridMultilevel"/>
    <w:tmpl w:val="9856905C"/>
    <w:lvl w:ilvl="0" w:tplc="A418B5D6">
      <w:start w:val="1"/>
      <w:numFmt w:val="decimal"/>
      <w:lvlText w:val="%1."/>
      <w:lvlJc w:val="left"/>
      <w:pPr>
        <w:ind w:left="720"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226193"/>
    <w:multiLevelType w:val="hybridMultilevel"/>
    <w:tmpl w:val="35EAD308"/>
    <w:lvl w:ilvl="0" w:tplc="52C0F7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5E5F1D"/>
    <w:multiLevelType w:val="hybridMultilevel"/>
    <w:tmpl w:val="A0B4A7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9A44D1E"/>
    <w:multiLevelType w:val="hybridMultilevel"/>
    <w:tmpl w:val="DE4A5DB0"/>
    <w:lvl w:ilvl="0" w:tplc="D236FED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DA7DF0"/>
    <w:multiLevelType w:val="hybridMultilevel"/>
    <w:tmpl w:val="D6483A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0A054D"/>
    <w:multiLevelType w:val="multilevel"/>
    <w:tmpl w:val="F9FAB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E0525"/>
    <w:multiLevelType w:val="hybridMultilevel"/>
    <w:tmpl w:val="FAF8AF64"/>
    <w:lvl w:ilvl="0" w:tplc="6A1A09CA">
      <w:start w:val="1"/>
      <w:numFmt w:val="bullet"/>
      <w:lvlText w:val="-"/>
      <w:lvlJc w:val="left"/>
      <w:pPr>
        <w:ind w:left="405" w:hanging="360"/>
      </w:pPr>
      <w:rPr>
        <w:rFonts w:ascii="Aptos" w:eastAsia="Aptos" w:hAnsi="Aptos" w:cs="Times New Roman" w:hint="default"/>
      </w:rPr>
    </w:lvl>
    <w:lvl w:ilvl="1" w:tplc="04050003">
      <w:start w:val="1"/>
      <w:numFmt w:val="bullet"/>
      <w:lvlText w:val="o"/>
      <w:lvlJc w:val="left"/>
      <w:pPr>
        <w:ind w:left="1125" w:hanging="360"/>
      </w:pPr>
      <w:rPr>
        <w:rFonts w:ascii="Courier New" w:hAnsi="Courier New" w:cs="Courier New" w:hint="default"/>
      </w:rPr>
    </w:lvl>
    <w:lvl w:ilvl="2" w:tplc="04050005">
      <w:start w:val="1"/>
      <w:numFmt w:val="bullet"/>
      <w:lvlText w:val=""/>
      <w:lvlJc w:val="left"/>
      <w:pPr>
        <w:ind w:left="1845" w:hanging="360"/>
      </w:pPr>
      <w:rPr>
        <w:rFonts w:ascii="Wingdings" w:hAnsi="Wingdings" w:hint="default"/>
      </w:rPr>
    </w:lvl>
    <w:lvl w:ilvl="3" w:tplc="04050001">
      <w:start w:val="1"/>
      <w:numFmt w:val="bullet"/>
      <w:lvlText w:val=""/>
      <w:lvlJc w:val="left"/>
      <w:pPr>
        <w:ind w:left="2565" w:hanging="360"/>
      </w:pPr>
      <w:rPr>
        <w:rFonts w:ascii="Symbol" w:hAnsi="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hint="default"/>
      </w:rPr>
    </w:lvl>
    <w:lvl w:ilvl="6" w:tplc="04050001">
      <w:start w:val="1"/>
      <w:numFmt w:val="bullet"/>
      <w:lvlText w:val=""/>
      <w:lvlJc w:val="left"/>
      <w:pPr>
        <w:ind w:left="4725" w:hanging="360"/>
      </w:pPr>
      <w:rPr>
        <w:rFonts w:ascii="Symbol" w:hAnsi="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hint="default"/>
      </w:rPr>
    </w:lvl>
  </w:abstractNum>
  <w:abstractNum w:abstractNumId="7" w15:restartNumberingAfterBreak="0">
    <w:nsid w:val="278C5FF4"/>
    <w:multiLevelType w:val="hybridMultilevel"/>
    <w:tmpl w:val="BA34F5F2"/>
    <w:lvl w:ilvl="0" w:tplc="52C0F7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673B44"/>
    <w:multiLevelType w:val="hybridMultilevel"/>
    <w:tmpl w:val="D56414F8"/>
    <w:lvl w:ilvl="0" w:tplc="50DEDB14">
      <w:numFmt w:val="bullet"/>
      <w:lvlText w:val="-"/>
      <w:lvlJc w:val="left"/>
      <w:pPr>
        <w:ind w:left="780" w:hanging="360"/>
      </w:pPr>
      <w:rPr>
        <w:rFonts w:ascii="Times New Roman" w:eastAsia="Calibri"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15:restartNumberingAfterBreak="0">
    <w:nsid w:val="338D5FCC"/>
    <w:multiLevelType w:val="hybridMultilevel"/>
    <w:tmpl w:val="0A80102A"/>
    <w:lvl w:ilvl="0" w:tplc="981E25D0">
      <w:start w:val="355"/>
      <w:numFmt w:val="bullet"/>
      <w:lvlText w:val="-"/>
      <w:lvlJc w:val="left"/>
      <w:pPr>
        <w:ind w:left="720" w:hanging="360"/>
      </w:pPr>
      <w:rPr>
        <w:rFonts w:ascii="Times New Roman" w:eastAsiaTheme="minorHAnsi"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90260D"/>
    <w:multiLevelType w:val="hybridMultilevel"/>
    <w:tmpl w:val="01FA0B68"/>
    <w:lvl w:ilvl="0" w:tplc="EEC228FC">
      <w:start w:val="3"/>
      <w:numFmt w:val="bullet"/>
      <w:lvlText w:val="-"/>
      <w:lvlJc w:val="left"/>
      <w:pPr>
        <w:ind w:left="1429" w:hanging="360"/>
      </w:pPr>
      <w:rPr>
        <w:rFonts w:ascii="Calibri" w:eastAsia="Times New Roman" w:hAnsi="Calibri" w:cs="Calibr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3B9C03B4"/>
    <w:multiLevelType w:val="hybridMultilevel"/>
    <w:tmpl w:val="CABAC83E"/>
    <w:lvl w:ilvl="0" w:tplc="D2022528">
      <w:start w:val="3"/>
      <w:numFmt w:val="bullet"/>
      <w:lvlText w:val=""/>
      <w:lvlJc w:val="left"/>
      <w:pPr>
        <w:ind w:left="502"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E673D69"/>
    <w:multiLevelType w:val="hybridMultilevel"/>
    <w:tmpl w:val="555AEA22"/>
    <w:lvl w:ilvl="0" w:tplc="52C0F7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47A2C9C"/>
    <w:multiLevelType w:val="multilevel"/>
    <w:tmpl w:val="414A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16096A"/>
    <w:multiLevelType w:val="hybridMultilevel"/>
    <w:tmpl w:val="D22EDFF4"/>
    <w:lvl w:ilvl="0" w:tplc="29A06722">
      <w:start w:val="1"/>
      <w:numFmt w:val="upperRoman"/>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68A159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7847B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2F0AA0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F6C3DB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7CCE5D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586BD1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052079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E01CF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A3B5E29"/>
    <w:multiLevelType w:val="hybridMultilevel"/>
    <w:tmpl w:val="16029D92"/>
    <w:lvl w:ilvl="0" w:tplc="5F548982">
      <w:start w:val="1"/>
      <w:numFmt w:val="bullet"/>
      <w:lvlText w:val=""/>
      <w:lvlJc w:val="left"/>
      <w:pPr>
        <w:ind w:left="720" w:hanging="360"/>
      </w:pPr>
      <w:rPr>
        <w:rFonts w:ascii="Symbol" w:hAnsi="Symbol" w:hint="default"/>
        <w:u w:val="none"/>
      </w:rPr>
    </w:lvl>
    <w:lvl w:ilvl="1" w:tplc="A33CC90C">
      <w:start w:val="1"/>
      <w:numFmt w:val="bullet"/>
      <w:lvlText w:val="-"/>
      <w:lvlJc w:val="left"/>
      <w:pPr>
        <w:ind w:left="1440" w:hanging="360"/>
      </w:pPr>
      <w:rPr>
        <w:u w:val="none"/>
      </w:rPr>
    </w:lvl>
    <w:lvl w:ilvl="2" w:tplc="6EEE3B7E">
      <w:start w:val="1"/>
      <w:numFmt w:val="bullet"/>
      <w:lvlText w:val="-"/>
      <w:lvlJc w:val="left"/>
      <w:pPr>
        <w:ind w:left="2160" w:hanging="360"/>
      </w:pPr>
      <w:rPr>
        <w:u w:val="none"/>
      </w:rPr>
    </w:lvl>
    <w:lvl w:ilvl="3" w:tplc="CACA6004">
      <w:start w:val="1"/>
      <w:numFmt w:val="bullet"/>
      <w:lvlText w:val="-"/>
      <w:lvlJc w:val="left"/>
      <w:pPr>
        <w:ind w:left="2880" w:hanging="360"/>
      </w:pPr>
      <w:rPr>
        <w:u w:val="none"/>
      </w:rPr>
    </w:lvl>
    <w:lvl w:ilvl="4" w:tplc="FA48457C">
      <w:start w:val="1"/>
      <w:numFmt w:val="bullet"/>
      <w:lvlText w:val="-"/>
      <w:lvlJc w:val="left"/>
      <w:pPr>
        <w:ind w:left="3600" w:hanging="360"/>
      </w:pPr>
      <w:rPr>
        <w:u w:val="none"/>
      </w:rPr>
    </w:lvl>
    <w:lvl w:ilvl="5" w:tplc="28E8A37C">
      <w:start w:val="1"/>
      <w:numFmt w:val="bullet"/>
      <w:lvlText w:val="-"/>
      <w:lvlJc w:val="left"/>
      <w:pPr>
        <w:ind w:left="4320" w:hanging="360"/>
      </w:pPr>
      <w:rPr>
        <w:u w:val="none"/>
      </w:rPr>
    </w:lvl>
    <w:lvl w:ilvl="6" w:tplc="38F0BBFE">
      <w:start w:val="1"/>
      <w:numFmt w:val="bullet"/>
      <w:lvlText w:val="-"/>
      <w:lvlJc w:val="left"/>
      <w:pPr>
        <w:ind w:left="5040" w:hanging="360"/>
      </w:pPr>
      <w:rPr>
        <w:u w:val="none"/>
      </w:rPr>
    </w:lvl>
    <w:lvl w:ilvl="7" w:tplc="A6B01F14">
      <w:start w:val="1"/>
      <w:numFmt w:val="bullet"/>
      <w:lvlText w:val="-"/>
      <w:lvlJc w:val="left"/>
      <w:pPr>
        <w:ind w:left="5760" w:hanging="360"/>
      </w:pPr>
      <w:rPr>
        <w:u w:val="none"/>
      </w:rPr>
    </w:lvl>
    <w:lvl w:ilvl="8" w:tplc="ADF6343E">
      <w:start w:val="1"/>
      <w:numFmt w:val="bullet"/>
      <w:lvlText w:val="-"/>
      <w:lvlJc w:val="left"/>
      <w:pPr>
        <w:ind w:left="6480" w:hanging="360"/>
      </w:pPr>
      <w:rPr>
        <w:u w:val="none"/>
      </w:rPr>
    </w:lvl>
  </w:abstractNum>
  <w:abstractNum w:abstractNumId="16" w15:restartNumberingAfterBreak="0">
    <w:nsid w:val="65175F79"/>
    <w:multiLevelType w:val="hybridMultilevel"/>
    <w:tmpl w:val="70525C4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32C3819"/>
    <w:multiLevelType w:val="hybridMultilevel"/>
    <w:tmpl w:val="7ADE254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C949C8"/>
    <w:multiLevelType w:val="hybridMultilevel"/>
    <w:tmpl w:val="17A6846E"/>
    <w:lvl w:ilvl="0" w:tplc="981E25D0">
      <w:start w:val="355"/>
      <w:numFmt w:val="bullet"/>
      <w:lvlText w:val="-"/>
      <w:lvlJc w:val="left"/>
      <w:pPr>
        <w:ind w:left="720" w:hanging="360"/>
      </w:pPr>
      <w:rPr>
        <w:rFonts w:ascii="Times New Roman" w:eastAsiaTheme="minorHAnsi"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CE4046E"/>
    <w:multiLevelType w:val="multilevel"/>
    <w:tmpl w:val="3DF0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348202">
    <w:abstractNumId w:val="17"/>
  </w:num>
  <w:num w:numId="2" w16cid:durableId="160045933">
    <w:abstractNumId w:val="15"/>
  </w:num>
  <w:num w:numId="3" w16cid:durableId="814103067">
    <w:abstractNumId w:val="11"/>
  </w:num>
  <w:num w:numId="4" w16cid:durableId="1831142778">
    <w:abstractNumId w:val="18"/>
  </w:num>
  <w:num w:numId="5" w16cid:durableId="1363819434">
    <w:abstractNumId w:val="7"/>
  </w:num>
  <w:num w:numId="6" w16cid:durableId="1772582731">
    <w:abstractNumId w:val="12"/>
  </w:num>
  <w:num w:numId="7" w16cid:durableId="954605329">
    <w:abstractNumId w:val="1"/>
  </w:num>
  <w:num w:numId="8" w16cid:durableId="1588415659">
    <w:abstractNumId w:val="9"/>
  </w:num>
  <w:num w:numId="9" w16cid:durableId="1801612326">
    <w:abstractNumId w:val="5"/>
  </w:num>
  <w:num w:numId="10" w16cid:durableId="747700857">
    <w:abstractNumId w:val="2"/>
  </w:num>
  <w:num w:numId="11" w16cid:durableId="6372129">
    <w:abstractNumId w:val="0"/>
  </w:num>
  <w:num w:numId="12" w16cid:durableId="2048682035">
    <w:abstractNumId w:val="8"/>
  </w:num>
  <w:num w:numId="13" w16cid:durableId="316881281">
    <w:abstractNumId w:val="14"/>
  </w:num>
  <w:num w:numId="14" w16cid:durableId="991133642">
    <w:abstractNumId w:val="10"/>
  </w:num>
  <w:num w:numId="15" w16cid:durableId="332337672">
    <w:abstractNumId w:val="3"/>
  </w:num>
  <w:num w:numId="16" w16cid:durableId="1745906688">
    <w:abstractNumId w:val="4"/>
  </w:num>
  <w:num w:numId="17" w16cid:durableId="953948552">
    <w:abstractNumId w:val="16"/>
  </w:num>
  <w:num w:numId="18" w16cid:durableId="229389215">
    <w:abstractNumId w:val="13"/>
  </w:num>
  <w:num w:numId="19" w16cid:durableId="1095128477">
    <w:abstractNumId w:val="19"/>
  </w:num>
  <w:num w:numId="20" w16cid:durableId="9135173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C3F"/>
    <w:rsid w:val="00000700"/>
    <w:rsid w:val="00001E4C"/>
    <w:rsid w:val="0000211B"/>
    <w:rsid w:val="00002A92"/>
    <w:rsid w:val="00007253"/>
    <w:rsid w:val="00013B96"/>
    <w:rsid w:val="000149B9"/>
    <w:rsid w:val="00016217"/>
    <w:rsid w:val="000201DC"/>
    <w:rsid w:val="00020639"/>
    <w:rsid w:val="00022296"/>
    <w:rsid w:val="000239AA"/>
    <w:rsid w:val="000256CB"/>
    <w:rsid w:val="0002592A"/>
    <w:rsid w:val="00025D7B"/>
    <w:rsid w:val="00027EB4"/>
    <w:rsid w:val="0003183D"/>
    <w:rsid w:val="00032CAD"/>
    <w:rsid w:val="00035579"/>
    <w:rsid w:val="00042ED6"/>
    <w:rsid w:val="000433EC"/>
    <w:rsid w:val="000439B1"/>
    <w:rsid w:val="000446A0"/>
    <w:rsid w:val="000451FA"/>
    <w:rsid w:val="0004677B"/>
    <w:rsid w:val="00046A91"/>
    <w:rsid w:val="000501AC"/>
    <w:rsid w:val="00052063"/>
    <w:rsid w:val="00055FFB"/>
    <w:rsid w:val="00060703"/>
    <w:rsid w:val="000640DF"/>
    <w:rsid w:val="00070742"/>
    <w:rsid w:val="00073A43"/>
    <w:rsid w:val="00074DB3"/>
    <w:rsid w:val="0007717E"/>
    <w:rsid w:val="0007772D"/>
    <w:rsid w:val="00080822"/>
    <w:rsid w:val="00080D6E"/>
    <w:rsid w:val="00080D8F"/>
    <w:rsid w:val="000845B8"/>
    <w:rsid w:val="00084D11"/>
    <w:rsid w:val="00087699"/>
    <w:rsid w:val="00090530"/>
    <w:rsid w:val="00092603"/>
    <w:rsid w:val="00095F7B"/>
    <w:rsid w:val="000A05DC"/>
    <w:rsid w:val="000A1089"/>
    <w:rsid w:val="000A27A5"/>
    <w:rsid w:val="000A30C4"/>
    <w:rsid w:val="000A531B"/>
    <w:rsid w:val="000A69F0"/>
    <w:rsid w:val="000B1420"/>
    <w:rsid w:val="000B250C"/>
    <w:rsid w:val="000B640F"/>
    <w:rsid w:val="000B7C4F"/>
    <w:rsid w:val="000C67CE"/>
    <w:rsid w:val="000D2FC7"/>
    <w:rsid w:val="000D3078"/>
    <w:rsid w:val="000D4067"/>
    <w:rsid w:val="000D628F"/>
    <w:rsid w:val="000E22ED"/>
    <w:rsid w:val="000E40C3"/>
    <w:rsid w:val="000E6252"/>
    <w:rsid w:val="000E6BD6"/>
    <w:rsid w:val="000F18AD"/>
    <w:rsid w:val="000F2F14"/>
    <w:rsid w:val="000F3040"/>
    <w:rsid w:val="000F3705"/>
    <w:rsid w:val="000F40C5"/>
    <w:rsid w:val="000F4211"/>
    <w:rsid w:val="000F59A4"/>
    <w:rsid w:val="000F76B6"/>
    <w:rsid w:val="000F76D5"/>
    <w:rsid w:val="00100BF3"/>
    <w:rsid w:val="0010183F"/>
    <w:rsid w:val="0010755B"/>
    <w:rsid w:val="00110645"/>
    <w:rsid w:val="001109D8"/>
    <w:rsid w:val="00112CFA"/>
    <w:rsid w:val="001135F8"/>
    <w:rsid w:val="00120E6D"/>
    <w:rsid w:val="00124A4F"/>
    <w:rsid w:val="00124EBE"/>
    <w:rsid w:val="0012693E"/>
    <w:rsid w:val="001269CD"/>
    <w:rsid w:val="00130CB1"/>
    <w:rsid w:val="00133094"/>
    <w:rsid w:val="00133EC5"/>
    <w:rsid w:val="001340B4"/>
    <w:rsid w:val="00142FE2"/>
    <w:rsid w:val="00145811"/>
    <w:rsid w:val="00145C3F"/>
    <w:rsid w:val="0014646B"/>
    <w:rsid w:val="00147898"/>
    <w:rsid w:val="00147E0A"/>
    <w:rsid w:val="00150091"/>
    <w:rsid w:val="00151E0C"/>
    <w:rsid w:val="00155D84"/>
    <w:rsid w:val="00156A84"/>
    <w:rsid w:val="00163060"/>
    <w:rsid w:val="001651CE"/>
    <w:rsid w:val="00165229"/>
    <w:rsid w:val="00167191"/>
    <w:rsid w:val="0017257C"/>
    <w:rsid w:val="00177026"/>
    <w:rsid w:val="00177950"/>
    <w:rsid w:val="0018432E"/>
    <w:rsid w:val="00185130"/>
    <w:rsid w:val="00185BB6"/>
    <w:rsid w:val="001871B4"/>
    <w:rsid w:val="00193E43"/>
    <w:rsid w:val="00196668"/>
    <w:rsid w:val="001A773B"/>
    <w:rsid w:val="001B4630"/>
    <w:rsid w:val="001B494D"/>
    <w:rsid w:val="001B575A"/>
    <w:rsid w:val="001B5D5D"/>
    <w:rsid w:val="001B7F30"/>
    <w:rsid w:val="001C1B16"/>
    <w:rsid w:val="001C1D06"/>
    <w:rsid w:val="001C2798"/>
    <w:rsid w:val="001C2E8D"/>
    <w:rsid w:val="001C3343"/>
    <w:rsid w:val="001C48F9"/>
    <w:rsid w:val="001C5334"/>
    <w:rsid w:val="001C5C95"/>
    <w:rsid w:val="001D0CB2"/>
    <w:rsid w:val="001D2256"/>
    <w:rsid w:val="001D55F2"/>
    <w:rsid w:val="001E1E81"/>
    <w:rsid w:val="001E675E"/>
    <w:rsid w:val="001E6C0A"/>
    <w:rsid w:val="001F3D2B"/>
    <w:rsid w:val="001F41EE"/>
    <w:rsid w:val="001F68ED"/>
    <w:rsid w:val="001F6E55"/>
    <w:rsid w:val="002000E4"/>
    <w:rsid w:val="00201EB0"/>
    <w:rsid w:val="0020300E"/>
    <w:rsid w:val="002039B1"/>
    <w:rsid w:val="002054D2"/>
    <w:rsid w:val="002116F6"/>
    <w:rsid w:val="002151AF"/>
    <w:rsid w:val="00216483"/>
    <w:rsid w:val="0022093C"/>
    <w:rsid w:val="00223684"/>
    <w:rsid w:val="00227672"/>
    <w:rsid w:val="00230591"/>
    <w:rsid w:val="00232DED"/>
    <w:rsid w:val="002337A8"/>
    <w:rsid w:val="002347F6"/>
    <w:rsid w:val="0024133A"/>
    <w:rsid w:val="00245EF1"/>
    <w:rsid w:val="00245F3D"/>
    <w:rsid w:val="00246435"/>
    <w:rsid w:val="002470F9"/>
    <w:rsid w:val="00251CFD"/>
    <w:rsid w:val="00253C4B"/>
    <w:rsid w:val="0025467D"/>
    <w:rsid w:val="0025667E"/>
    <w:rsid w:val="002570B6"/>
    <w:rsid w:val="0026074F"/>
    <w:rsid w:val="00261C33"/>
    <w:rsid w:val="00263898"/>
    <w:rsid w:val="00264078"/>
    <w:rsid w:val="00264752"/>
    <w:rsid w:val="00264ED7"/>
    <w:rsid w:val="00270823"/>
    <w:rsid w:val="002727C3"/>
    <w:rsid w:val="00277ADA"/>
    <w:rsid w:val="00286B13"/>
    <w:rsid w:val="002904AF"/>
    <w:rsid w:val="00291265"/>
    <w:rsid w:val="00291464"/>
    <w:rsid w:val="00293A9D"/>
    <w:rsid w:val="002941C1"/>
    <w:rsid w:val="00297545"/>
    <w:rsid w:val="00297E1A"/>
    <w:rsid w:val="002A1AC1"/>
    <w:rsid w:val="002A464D"/>
    <w:rsid w:val="002A5A67"/>
    <w:rsid w:val="002A7283"/>
    <w:rsid w:val="002A7EC2"/>
    <w:rsid w:val="002B0D98"/>
    <w:rsid w:val="002B1D5F"/>
    <w:rsid w:val="002B1EF6"/>
    <w:rsid w:val="002B4AC2"/>
    <w:rsid w:val="002B6271"/>
    <w:rsid w:val="002C21C8"/>
    <w:rsid w:val="002C45DF"/>
    <w:rsid w:val="002C45E8"/>
    <w:rsid w:val="002C5C88"/>
    <w:rsid w:val="002D15D7"/>
    <w:rsid w:val="002D26F8"/>
    <w:rsid w:val="002D3703"/>
    <w:rsid w:val="002D44CD"/>
    <w:rsid w:val="002E117D"/>
    <w:rsid w:val="002E3D8C"/>
    <w:rsid w:val="002E55AA"/>
    <w:rsid w:val="002E5A9F"/>
    <w:rsid w:val="002F049E"/>
    <w:rsid w:val="002F23A7"/>
    <w:rsid w:val="002F4BDA"/>
    <w:rsid w:val="002F518E"/>
    <w:rsid w:val="002F671E"/>
    <w:rsid w:val="002F714D"/>
    <w:rsid w:val="00300F1E"/>
    <w:rsid w:val="00302188"/>
    <w:rsid w:val="003029D1"/>
    <w:rsid w:val="00304EE1"/>
    <w:rsid w:val="0030554A"/>
    <w:rsid w:val="0030581B"/>
    <w:rsid w:val="00305BB8"/>
    <w:rsid w:val="003065F6"/>
    <w:rsid w:val="00307008"/>
    <w:rsid w:val="0031067D"/>
    <w:rsid w:val="00310B42"/>
    <w:rsid w:val="00310E8C"/>
    <w:rsid w:val="003111A5"/>
    <w:rsid w:val="00311E12"/>
    <w:rsid w:val="00312D3A"/>
    <w:rsid w:val="00315F40"/>
    <w:rsid w:val="0031679D"/>
    <w:rsid w:val="00320247"/>
    <w:rsid w:val="00321BDF"/>
    <w:rsid w:val="00321E01"/>
    <w:rsid w:val="0032464D"/>
    <w:rsid w:val="00324B98"/>
    <w:rsid w:val="0032633A"/>
    <w:rsid w:val="00327E89"/>
    <w:rsid w:val="00330565"/>
    <w:rsid w:val="003360ED"/>
    <w:rsid w:val="00337D93"/>
    <w:rsid w:val="00342775"/>
    <w:rsid w:val="00342C16"/>
    <w:rsid w:val="00344BC3"/>
    <w:rsid w:val="003458D6"/>
    <w:rsid w:val="00355DE9"/>
    <w:rsid w:val="00356D63"/>
    <w:rsid w:val="00357851"/>
    <w:rsid w:val="00364192"/>
    <w:rsid w:val="00364ADF"/>
    <w:rsid w:val="00372798"/>
    <w:rsid w:val="003730F0"/>
    <w:rsid w:val="00375582"/>
    <w:rsid w:val="00375821"/>
    <w:rsid w:val="003778D9"/>
    <w:rsid w:val="003814EC"/>
    <w:rsid w:val="00381C97"/>
    <w:rsid w:val="0038479C"/>
    <w:rsid w:val="003851C1"/>
    <w:rsid w:val="00386243"/>
    <w:rsid w:val="00391C1B"/>
    <w:rsid w:val="00395C94"/>
    <w:rsid w:val="00397006"/>
    <w:rsid w:val="003A11C2"/>
    <w:rsid w:val="003A2CAD"/>
    <w:rsid w:val="003A305D"/>
    <w:rsid w:val="003A6309"/>
    <w:rsid w:val="003A6635"/>
    <w:rsid w:val="003A7E9B"/>
    <w:rsid w:val="003B0DC9"/>
    <w:rsid w:val="003B1DAE"/>
    <w:rsid w:val="003B2871"/>
    <w:rsid w:val="003B561C"/>
    <w:rsid w:val="003B66CF"/>
    <w:rsid w:val="003B7048"/>
    <w:rsid w:val="003B7EFC"/>
    <w:rsid w:val="003C1F37"/>
    <w:rsid w:val="003C32FE"/>
    <w:rsid w:val="003C3368"/>
    <w:rsid w:val="003C5123"/>
    <w:rsid w:val="003C5DCD"/>
    <w:rsid w:val="003D1B81"/>
    <w:rsid w:val="003D31CE"/>
    <w:rsid w:val="003D40C2"/>
    <w:rsid w:val="003D7CD4"/>
    <w:rsid w:val="003D7DA7"/>
    <w:rsid w:val="003E077D"/>
    <w:rsid w:val="003E2774"/>
    <w:rsid w:val="003E2C11"/>
    <w:rsid w:val="003E624B"/>
    <w:rsid w:val="003F2784"/>
    <w:rsid w:val="003F2FA3"/>
    <w:rsid w:val="00400AAA"/>
    <w:rsid w:val="00403478"/>
    <w:rsid w:val="00407BB3"/>
    <w:rsid w:val="004102E8"/>
    <w:rsid w:val="0041045B"/>
    <w:rsid w:val="00414835"/>
    <w:rsid w:val="0041491A"/>
    <w:rsid w:val="00415A37"/>
    <w:rsid w:val="00417A31"/>
    <w:rsid w:val="004202DD"/>
    <w:rsid w:val="00420414"/>
    <w:rsid w:val="00422D27"/>
    <w:rsid w:val="0042305A"/>
    <w:rsid w:val="004242F7"/>
    <w:rsid w:val="00426290"/>
    <w:rsid w:val="00426943"/>
    <w:rsid w:val="00434145"/>
    <w:rsid w:val="00435AD8"/>
    <w:rsid w:val="004367C9"/>
    <w:rsid w:val="00445892"/>
    <w:rsid w:val="004459E5"/>
    <w:rsid w:val="00450A2C"/>
    <w:rsid w:val="00453789"/>
    <w:rsid w:val="00453FA8"/>
    <w:rsid w:val="00456422"/>
    <w:rsid w:val="00456A4D"/>
    <w:rsid w:val="004572A2"/>
    <w:rsid w:val="00461EC5"/>
    <w:rsid w:val="0046296E"/>
    <w:rsid w:val="00463625"/>
    <w:rsid w:val="00463C5C"/>
    <w:rsid w:val="00466AA8"/>
    <w:rsid w:val="004702EA"/>
    <w:rsid w:val="00473B1C"/>
    <w:rsid w:val="0047490A"/>
    <w:rsid w:val="00476664"/>
    <w:rsid w:val="00476B14"/>
    <w:rsid w:val="004815D6"/>
    <w:rsid w:val="004850D6"/>
    <w:rsid w:val="0048552D"/>
    <w:rsid w:val="0048562F"/>
    <w:rsid w:val="00487C0A"/>
    <w:rsid w:val="00491265"/>
    <w:rsid w:val="0049134C"/>
    <w:rsid w:val="004933C3"/>
    <w:rsid w:val="00494E1A"/>
    <w:rsid w:val="0049673D"/>
    <w:rsid w:val="004A1F46"/>
    <w:rsid w:val="004A4329"/>
    <w:rsid w:val="004B4AAE"/>
    <w:rsid w:val="004B6DCA"/>
    <w:rsid w:val="004C3514"/>
    <w:rsid w:val="004C39DB"/>
    <w:rsid w:val="004C4017"/>
    <w:rsid w:val="004C5039"/>
    <w:rsid w:val="004C69F1"/>
    <w:rsid w:val="004D1248"/>
    <w:rsid w:val="004D4FCF"/>
    <w:rsid w:val="004E0C67"/>
    <w:rsid w:val="004E2080"/>
    <w:rsid w:val="004E4E6C"/>
    <w:rsid w:val="004E65D2"/>
    <w:rsid w:val="004F0BFB"/>
    <w:rsid w:val="004F2546"/>
    <w:rsid w:val="004F2E5E"/>
    <w:rsid w:val="004F5266"/>
    <w:rsid w:val="004F5EB5"/>
    <w:rsid w:val="004F68A0"/>
    <w:rsid w:val="004F6F95"/>
    <w:rsid w:val="00506293"/>
    <w:rsid w:val="00511E00"/>
    <w:rsid w:val="00514878"/>
    <w:rsid w:val="00514D40"/>
    <w:rsid w:val="00514FEB"/>
    <w:rsid w:val="00521B0B"/>
    <w:rsid w:val="005235CA"/>
    <w:rsid w:val="00524836"/>
    <w:rsid w:val="00525AC6"/>
    <w:rsid w:val="00527373"/>
    <w:rsid w:val="005276A8"/>
    <w:rsid w:val="00527FBF"/>
    <w:rsid w:val="005323FC"/>
    <w:rsid w:val="005323FE"/>
    <w:rsid w:val="00542945"/>
    <w:rsid w:val="0054391E"/>
    <w:rsid w:val="00551632"/>
    <w:rsid w:val="00552C4F"/>
    <w:rsid w:val="005543A2"/>
    <w:rsid w:val="00554DC9"/>
    <w:rsid w:val="0055511B"/>
    <w:rsid w:val="00555D09"/>
    <w:rsid w:val="00556F10"/>
    <w:rsid w:val="005612C0"/>
    <w:rsid w:val="00561950"/>
    <w:rsid w:val="005640E3"/>
    <w:rsid w:val="005641E5"/>
    <w:rsid w:val="00564BC2"/>
    <w:rsid w:val="00566132"/>
    <w:rsid w:val="00571D56"/>
    <w:rsid w:val="00572394"/>
    <w:rsid w:val="005731B1"/>
    <w:rsid w:val="00573455"/>
    <w:rsid w:val="0057413A"/>
    <w:rsid w:val="00580020"/>
    <w:rsid w:val="00580F27"/>
    <w:rsid w:val="00581551"/>
    <w:rsid w:val="00583075"/>
    <w:rsid w:val="00586217"/>
    <w:rsid w:val="0058659E"/>
    <w:rsid w:val="0059276E"/>
    <w:rsid w:val="0059555C"/>
    <w:rsid w:val="00596CA8"/>
    <w:rsid w:val="005A196D"/>
    <w:rsid w:val="005A316E"/>
    <w:rsid w:val="005A48B2"/>
    <w:rsid w:val="005A62AB"/>
    <w:rsid w:val="005A6762"/>
    <w:rsid w:val="005A7F27"/>
    <w:rsid w:val="005B1589"/>
    <w:rsid w:val="005B2858"/>
    <w:rsid w:val="005B778D"/>
    <w:rsid w:val="005C071B"/>
    <w:rsid w:val="005C5B02"/>
    <w:rsid w:val="005D00A1"/>
    <w:rsid w:val="005D1128"/>
    <w:rsid w:val="005D34AA"/>
    <w:rsid w:val="005D3B02"/>
    <w:rsid w:val="005D4196"/>
    <w:rsid w:val="005D50DF"/>
    <w:rsid w:val="005D68D6"/>
    <w:rsid w:val="005E0784"/>
    <w:rsid w:val="005E30B5"/>
    <w:rsid w:val="005E5236"/>
    <w:rsid w:val="005E5A91"/>
    <w:rsid w:val="005E5B37"/>
    <w:rsid w:val="005E7ECF"/>
    <w:rsid w:val="005F006D"/>
    <w:rsid w:val="005F0DA9"/>
    <w:rsid w:val="005F6913"/>
    <w:rsid w:val="005F729C"/>
    <w:rsid w:val="005F7F1F"/>
    <w:rsid w:val="0060397E"/>
    <w:rsid w:val="00603EC4"/>
    <w:rsid w:val="006106BC"/>
    <w:rsid w:val="00610E53"/>
    <w:rsid w:val="006132AB"/>
    <w:rsid w:val="006145C8"/>
    <w:rsid w:val="00616A23"/>
    <w:rsid w:val="00616A39"/>
    <w:rsid w:val="00617393"/>
    <w:rsid w:val="0061783A"/>
    <w:rsid w:val="00623A02"/>
    <w:rsid w:val="0062743B"/>
    <w:rsid w:val="00630EEC"/>
    <w:rsid w:val="0063395A"/>
    <w:rsid w:val="0063673D"/>
    <w:rsid w:val="0064052A"/>
    <w:rsid w:val="00642923"/>
    <w:rsid w:val="00643CEA"/>
    <w:rsid w:val="00645FF7"/>
    <w:rsid w:val="0065081A"/>
    <w:rsid w:val="00651485"/>
    <w:rsid w:val="006516BC"/>
    <w:rsid w:val="00653973"/>
    <w:rsid w:val="00655028"/>
    <w:rsid w:val="006554C6"/>
    <w:rsid w:val="006602D8"/>
    <w:rsid w:val="00666E0E"/>
    <w:rsid w:val="006675E7"/>
    <w:rsid w:val="00667760"/>
    <w:rsid w:val="0067012A"/>
    <w:rsid w:val="00670C5B"/>
    <w:rsid w:val="00671130"/>
    <w:rsid w:val="00672B6F"/>
    <w:rsid w:val="00675FE2"/>
    <w:rsid w:val="00682B05"/>
    <w:rsid w:val="006847A0"/>
    <w:rsid w:val="006854F8"/>
    <w:rsid w:val="00685B33"/>
    <w:rsid w:val="0069018F"/>
    <w:rsid w:val="006915B3"/>
    <w:rsid w:val="00692915"/>
    <w:rsid w:val="006930BA"/>
    <w:rsid w:val="00693700"/>
    <w:rsid w:val="00694D78"/>
    <w:rsid w:val="006971DF"/>
    <w:rsid w:val="00697890"/>
    <w:rsid w:val="006A419D"/>
    <w:rsid w:val="006A68F7"/>
    <w:rsid w:val="006A710F"/>
    <w:rsid w:val="006C09B1"/>
    <w:rsid w:val="006C1C59"/>
    <w:rsid w:val="006C248E"/>
    <w:rsid w:val="006C2A7B"/>
    <w:rsid w:val="006C453F"/>
    <w:rsid w:val="006C592D"/>
    <w:rsid w:val="006C6358"/>
    <w:rsid w:val="006D13BB"/>
    <w:rsid w:val="006D1E75"/>
    <w:rsid w:val="006D580E"/>
    <w:rsid w:val="006D68DC"/>
    <w:rsid w:val="006D6975"/>
    <w:rsid w:val="006E04D0"/>
    <w:rsid w:val="006E0B3E"/>
    <w:rsid w:val="006E2C4C"/>
    <w:rsid w:val="006E359F"/>
    <w:rsid w:val="006E46D9"/>
    <w:rsid w:val="006F0CEB"/>
    <w:rsid w:val="006F1B3A"/>
    <w:rsid w:val="006F5B05"/>
    <w:rsid w:val="007001A7"/>
    <w:rsid w:val="00701938"/>
    <w:rsid w:val="00701F94"/>
    <w:rsid w:val="00702E7E"/>
    <w:rsid w:val="00703C49"/>
    <w:rsid w:val="00703F93"/>
    <w:rsid w:val="00705E7B"/>
    <w:rsid w:val="00706EA5"/>
    <w:rsid w:val="00712556"/>
    <w:rsid w:val="00712ED7"/>
    <w:rsid w:val="007158AD"/>
    <w:rsid w:val="00716174"/>
    <w:rsid w:val="007213E9"/>
    <w:rsid w:val="00721B4A"/>
    <w:rsid w:val="00724F1E"/>
    <w:rsid w:val="007250BC"/>
    <w:rsid w:val="00725501"/>
    <w:rsid w:val="00725821"/>
    <w:rsid w:val="00727B0A"/>
    <w:rsid w:val="00730C8E"/>
    <w:rsid w:val="0073250F"/>
    <w:rsid w:val="00733355"/>
    <w:rsid w:val="00742161"/>
    <w:rsid w:val="00743F00"/>
    <w:rsid w:val="00745707"/>
    <w:rsid w:val="0074704F"/>
    <w:rsid w:val="00750A56"/>
    <w:rsid w:val="0075103C"/>
    <w:rsid w:val="00751CE3"/>
    <w:rsid w:val="007533F5"/>
    <w:rsid w:val="00753DAF"/>
    <w:rsid w:val="00756ABC"/>
    <w:rsid w:val="00760215"/>
    <w:rsid w:val="007630CD"/>
    <w:rsid w:val="0076448E"/>
    <w:rsid w:val="00764E26"/>
    <w:rsid w:val="00771351"/>
    <w:rsid w:val="007716C9"/>
    <w:rsid w:val="00772723"/>
    <w:rsid w:val="00774221"/>
    <w:rsid w:val="00777CDD"/>
    <w:rsid w:val="00780548"/>
    <w:rsid w:val="00780CC9"/>
    <w:rsid w:val="0078371F"/>
    <w:rsid w:val="00784318"/>
    <w:rsid w:val="00784C35"/>
    <w:rsid w:val="00786C14"/>
    <w:rsid w:val="00787CFF"/>
    <w:rsid w:val="00787D11"/>
    <w:rsid w:val="00795602"/>
    <w:rsid w:val="00797484"/>
    <w:rsid w:val="007A036B"/>
    <w:rsid w:val="007A0424"/>
    <w:rsid w:val="007A1287"/>
    <w:rsid w:val="007A1856"/>
    <w:rsid w:val="007B6D33"/>
    <w:rsid w:val="007C154E"/>
    <w:rsid w:val="007C1CBC"/>
    <w:rsid w:val="007D3C96"/>
    <w:rsid w:val="007D6F09"/>
    <w:rsid w:val="007D7B2E"/>
    <w:rsid w:val="007D7C1F"/>
    <w:rsid w:val="007E1269"/>
    <w:rsid w:val="007E1414"/>
    <w:rsid w:val="007E2879"/>
    <w:rsid w:val="007E35E3"/>
    <w:rsid w:val="007E4C19"/>
    <w:rsid w:val="007E4F04"/>
    <w:rsid w:val="007E5E8F"/>
    <w:rsid w:val="007E64BE"/>
    <w:rsid w:val="007F47AE"/>
    <w:rsid w:val="007F6D62"/>
    <w:rsid w:val="0080019E"/>
    <w:rsid w:val="00801D4E"/>
    <w:rsid w:val="008022B2"/>
    <w:rsid w:val="00803A4B"/>
    <w:rsid w:val="00807493"/>
    <w:rsid w:val="0081093D"/>
    <w:rsid w:val="00810D50"/>
    <w:rsid w:val="00810E3F"/>
    <w:rsid w:val="0081757F"/>
    <w:rsid w:val="008214DC"/>
    <w:rsid w:val="0082793C"/>
    <w:rsid w:val="00830A23"/>
    <w:rsid w:val="00830A88"/>
    <w:rsid w:val="00834712"/>
    <w:rsid w:val="00835595"/>
    <w:rsid w:val="00840379"/>
    <w:rsid w:val="00841AD6"/>
    <w:rsid w:val="00845286"/>
    <w:rsid w:val="00846696"/>
    <w:rsid w:val="0084691A"/>
    <w:rsid w:val="008509F7"/>
    <w:rsid w:val="00852135"/>
    <w:rsid w:val="00852AAC"/>
    <w:rsid w:val="008536C3"/>
    <w:rsid w:val="00856B74"/>
    <w:rsid w:val="0086013E"/>
    <w:rsid w:val="00860668"/>
    <w:rsid w:val="00860CCE"/>
    <w:rsid w:val="008647BB"/>
    <w:rsid w:val="0086684B"/>
    <w:rsid w:val="00871B9A"/>
    <w:rsid w:val="00871BA1"/>
    <w:rsid w:val="00872279"/>
    <w:rsid w:val="00874DBE"/>
    <w:rsid w:val="00876072"/>
    <w:rsid w:val="00876E1B"/>
    <w:rsid w:val="0088187D"/>
    <w:rsid w:val="00882965"/>
    <w:rsid w:val="008869CE"/>
    <w:rsid w:val="00886AAE"/>
    <w:rsid w:val="0088719B"/>
    <w:rsid w:val="00887702"/>
    <w:rsid w:val="008933E7"/>
    <w:rsid w:val="00896AB0"/>
    <w:rsid w:val="008975E0"/>
    <w:rsid w:val="00897682"/>
    <w:rsid w:val="008A1B1C"/>
    <w:rsid w:val="008A26C8"/>
    <w:rsid w:val="008A2B4C"/>
    <w:rsid w:val="008A4936"/>
    <w:rsid w:val="008A565D"/>
    <w:rsid w:val="008A5C92"/>
    <w:rsid w:val="008B5143"/>
    <w:rsid w:val="008B5D51"/>
    <w:rsid w:val="008B5ECD"/>
    <w:rsid w:val="008C1B57"/>
    <w:rsid w:val="008C3A28"/>
    <w:rsid w:val="008C6815"/>
    <w:rsid w:val="008C7364"/>
    <w:rsid w:val="008C7604"/>
    <w:rsid w:val="008D352C"/>
    <w:rsid w:val="008D3DAE"/>
    <w:rsid w:val="008D5A81"/>
    <w:rsid w:val="008E0C06"/>
    <w:rsid w:val="008E16BD"/>
    <w:rsid w:val="008E1D8B"/>
    <w:rsid w:val="008E2019"/>
    <w:rsid w:val="008E3072"/>
    <w:rsid w:val="008E63F1"/>
    <w:rsid w:val="008F15D6"/>
    <w:rsid w:val="008F5F02"/>
    <w:rsid w:val="008F7922"/>
    <w:rsid w:val="00900798"/>
    <w:rsid w:val="009015C5"/>
    <w:rsid w:val="009050B0"/>
    <w:rsid w:val="00905CED"/>
    <w:rsid w:val="009109B2"/>
    <w:rsid w:val="0091185F"/>
    <w:rsid w:val="009130AB"/>
    <w:rsid w:val="0091323E"/>
    <w:rsid w:val="009170C4"/>
    <w:rsid w:val="0092033E"/>
    <w:rsid w:val="00921F99"/>
    <w:rsid w:val="009242F4"/>
    <w:rsid w:val="00925B56"/>
    <w:rsid w:val="00925BED"/>
    <w:rsid w:val="0092768E"/>
    <w:rsid w:val="00930B6E"/>
    <w:rsid w:val="009328D5"/>
    <w:rsid w:val="00933808"/>
    <w:rsid w:val="00944428"/>
    <w:rsid w:val="00945816"/>
    <w:rsid w:val="0094592C"/>
    <w:rsid w:val="00947613"/>
    <w:rsid w:val="00947DD4"/>
    <w:rsid w:val="00951DA3"/>
    <w:rsid w:val="00952071"/>
    <w:rsid w:val="009530FF"/>
    <w:rsid w:val="009601F8"/>
    <w:rsid w:val="009671D4"/>
    <w:rsid w:val="00967E9F"/>
    <w:rsid w:val="00971CDE"/>
    <w:rsid w:val="00972AE7"/>
    <w:rsid w:val="0097392F"/>
    <w:rsid w:val="00976372"/>
    <w:rsid w:val="00976899"/>
    <w:rsid w:val="00980E92"/>
    <w:rsid w:val="00984B9A"/>
    <w:rsid w:val="00992D03"/>
    <w:rsid w:val="009948AD"/>
    <w:rsid w:val="009A20D1"/>
    <w:rsid w:val="009A306E"/>
    <w:rsid w:val="009A4078"/>
    <w:rsid w:val="009A49D0"/>
    <w:rsid w:val="009B133F"/>
    <w:rsid w:val="009B4D34"/>
    <w:rsid w:val="009C0E7E"/>
    <w:rsid w:val="009C399F"/>
    <w:rsid w:val="009C40BA"/>
    <w:rsid w:val="009C5A53"/>
    <w:rsid w:val="009D454B"/>
    <w:rsid w:val="009D459A"/>
    <w:rsid w:val="009D4DA2"/>
    <w:rsid w:val="009E43CB"/>
    <w:rsid w:val="009E4F22"/>
    <w:rsid w:val="009E5CAF"/>
    <w:rsid w:val="009E69DC"/>
    <w:rsid w:val="009E6AD4"/>
    <w:rsid w:val="009E6FC9"/>
    <w:rsid w:val="009F0922"/>
    <w:rsid w:val="009F2425"/>
    <w:rsid w:val="00A02AB0"/>
    <w:rsid w:val="00A03CBF"/>
    <w:rsid w:val="00A06E6A"/>
    <w:rsid w:val="00A10A51"/>
    <w:rsid w:val="00A17E3F"/>
    <w:rsid w:val="00A23301"/>
    <w:rsid w:val="00A33E3A"/>
    <w:rsid w:val="00A37C09"/>
    <w:rsid w:val="00A40696"/>
    <w:rsid w:val="00A40792"/>
    <w:rsid w:val="00A40EFF"/>
    <w:rsid w:val="00A41FE2"/>
    <w:rsid w:val="00A4237E"/>
    <w:rsid w:val="00A42D95"/>
    <w:rsid w:val="00A43B91"/>
    <w:rsid w:val="00A46F4A"/>
    <w:rsid w:val="00A47561"/>
    <w:rsid w:val="00A479C1"/>
    <w:rsid w:val="00A50DE0"/>
    <w:rsid w:val="00A51E2F"/>
    <w:rsid w:val="00A63659"/>
    <w:rsid w:val="00A63E5E"/>
    <w:rsid w:val="00A651B7"/>
    <w:rsid w:val="00A6555C"/>
    <w:rsid w:val="00A66872"/>
    <w:rsid w:val="00A74220"/>
    <w:rsid w:val="00A7579B"/>
    <w:rsid w:val="00A76798"/>
    <w:rsid w:val="00A800C9"/>
    <w:rsid w:val="00A82410"/>
    <w:rsid w:val="00A82786"/>
    <w:rsid w:val="00A83F1A"/>
    <w:rsid w:val="00A8541B"/>
    <w:rsid w:val="00A858A9"/>
    <w:rsid w:val="00A92BA0"/>
    <w:rsid w:val="00A954D3"/>
    <w:rsid w:val="00AA46A1"/>
    <w:rsid w:val="00AB07A6"/>
    <w:rsid w:val="00AB1E87"/>
    <w:rsid w:val="00AB333A"/>
    <w:rsid w:val="00AB524B"/>
    <w:rsid w:val="00AB5302"/>
    <w:rsid w:val="00AC0D76"/>
    <w:rsid w:val="00AC503C"/>
    <w:rsid w:val="00AC7175"/>
    <w:rsid w:val="00AD0F64"/>
    <w:rsid w:val="00AD46DD"/>
    <w:rsid w:val="00AD5C66"/>
    <w:rsid w:val="00AD5D50"/>
    <w:rsid w:val="00AD71C0"/>
    <w:rsid w:val="00AE213C"/>
    <w:rsid w:val="00AF1932"/>
    <w:rsid w:val="00AF2831"/>
    <w:rsid w:val="00AF289C"/>
    <w:rsid w:val="00AF2B77"/>
    <w:rsid w:val="00AF305C"/>
    <w:rsid w:val="00AF354F"/>
    <w:rsid w:val="00AF3622"/>
    <w:rsid w:val="00AF4D58"/>
    <w:rsid w:val="00AF5B90"/>
    <w:rsid w:val="00B04668"/>
    <w:rsid w:val="00B143F6"/>
    <w:rsid w:val="00B1445E"/>
    <w:rsid w:val="00B144F6"/>
    <w:rsid w:val="00B200E1"/>
    <w:rsid w:val="00B212CB"/>
    <w:rsid w:val="00B27501"/>
    <w:rsid w:val="00B3025F"/>
    <w:rsid w:val="00B316BF"/>
    <w:rsid w:val="00B408E5"/>
    <w:rsid w:val="00B415E1"/>
    <w:rsid w:val="00B41BFA"/>
    <w:rsid w:val="00B43299"/>
    <w:rsid w:val="00B43E74"/>
    <w:rsid w:val="00B46875"/>
    <w:rsid w:val="00B5116D"/>
    <w:rsid w:val="00B522FB"/>
    <w:rsid w:val="00B5300E"/>
    <w:rsid w:val="00B535AE"/>
    <w:rsid w:val="00B541E1"/>
    <w:rsid w:val="00B5657F"/>
    <w:rsid w:val="00B5745E"/>
    <w:rsid w:val="00B61337"/>
    <w:rsid w:val="00B70CBA"/>
    <w:rsid w:val="00B71440"/>
    <w:rsid w:val="00B72F26"/>
    <w:rsid w:val="00B75E00"/>
    <w:rsid w:val="00B76417"/>
    <w:rsid w:val="00B85375"/>
    <w:rsid w:val="00B90DD0"/>
    <w:rsid w:val="00B921EB"/>
    <w:rsid w:val="00B96BB3"/>
    <w:rsid w:val="00BA1993"/>
    <w:rsid w:val="00BA4AA5"/>
    <w:rsid w:val="00BA4CC0"/>
    <w:rsid w:val="00BB0E1C"/>
    <w:rsid w:val="00BB1570"/>
    <w:rsid w:val="00BB19AA"/>
    <w:rsid w:val="00BB6B38"/>
    <w:rsid w:val="00BB6BC2"/>
    <w:rsid w:val="00BC1B67"/>
    <w:rsid w:val="00BC3220"/>
    <w:rsid w:val="00BC36A5"/>
    <w:rsid w:val="00BD144A"/>
    <w:rsid w:val="00BD1502"/>
    <w:rsid w:val="00BD398E"/>
    <w:rsid w:val="00BD52AF"/>
    <w:rsid w:val="00BD556A"/>
    <w:rsid w:val="00BD6F56"/>
    <w:rsid w:val="00BD7A1C"/>
    <w:rsid w:val="00BD7F5F"/>
    <w:rsid w:val="00BE5649"/>
    <w:rsid w:val="00BF0320"/>
    <w:rsid w:val="00BF31B5"/>
    <w:rsid w:val="00BF386E"/>
    <w:rsid w:val="00BF3951"/>
    <w:rsid w:val="00BF3DCD"/>
    <w:rsid w:val="00BF3EE9"/>
    <w:rsid w:val="00C03803"/>
    <w:rsid w:val="00C1001A"/>
    <w:rsid w:val="00C10158"/>
    <w:rsid w:val="00C109E1"/>
    <w:rsid w:val="00C13689"/>
    <w:rsid w:val="00C13882"/>
    <w:rsid w:val="00C13DB0"/>
    <w:rsid w:val="00C145C2"/>
    <w:rsid w:val="00C15F3C"/>
    <w:rsid w:val="00C2019E"/>
    <w:rsid w:val="00C216E4"/>
    <w:rsid w:val="00C229DD"/>
    <w:rsid w:val="00C23824"/>
    <w:rsid w:val="00C24EC2"/>
    <w:rsid w:val="00C27EFD"/>
    <w:rsid w:val="00C30393"/>
    <w:rsid w:val="00C3113F"/>
    <w:rsid w:val="00C31C4E"/>
    <w:rsid w:val="00C32C8D"/>
    <w:rsid w:val="00C33646"/>
    <w:rsid w:val="00C34C9B"/>
    <w:rsid w:val="00C36B11"/>
    <w:rsid w:val="00C37B01"/>
    <w:rsid w:val="00C37B6C"/>
    <w:rsid w:val="00C37CCF"/>
    <w:rsid w:val="00C439B0"/>
    <w:rsid w:val="00C45C68"/>
    <w:rsid w:val="00C47BC4"/>
    <w:rsid w:val="00C52AF7"/>
    <w:rsid w:val="00C54DE9"/>
    <w:rsid w:val="00C55A1B"/>
    <w:rsid w:val="00C60A77"/>
    <w:rsid w:val="00C62D86"/>
    <w:rsid w:val="00C66230"/>
    <w:rsid w:val="00C66839"/>
    <w:rsid w:val="00C7106B"/>
    <w:rsid w:val="00C7452F"/>
    <w:rsid w:val="00C75805"/>
    <w:rsid w:val="00C76DD9"/>
    <w:rsid w:val="00C819BB"/>
    <w:rsid w:val="00C839CB"/>
    <w:rsid w:val="00C85D7C"/>
    <w:rsid w:val="00C8611A"/>
    <w:rsid w:val="00C863C7"/>
    <w:rsid w:val="00C86F8B"/>
    <w:rsid w:val="00C935EC"/>
    <w:rsid w:val="00C96B6B"/>
    <w:rsid w:val="00C96DE5"/>
    <w:rsid w:val="00CA0D1C"/>
    <w:rsid w:val="00CA45F5"/>
    <w:rsid w:val="00CA56E0"/>
    <w:rsid w:val="00CB0056"/>
    <w:rsid w:val="00CB1301"/>
    <w:rsid w:val="00CB2C1C"/>
    <w:rsid w:val="00CB3D13"/>
    <w:rsid w:val="00CB61EB"/>
    <w:rsid w:val="00CB71BB"/>
    <w:rsid w:val="00CB7AA2"/>
    <w:rsid w:val="00CB7D3D"/>
    <w:rsid w:val="00CC2AA3"/>
    <w:rsid w:val="00CC37C3"/>
    <w:rsid w:val="00CC49A5"/>
    <w:rsid w:val="00CC4AC7"/>
    <w:rsid w:val="00CD19F4"/>
    <w:rsid w:val="00CD2DFF"/>
    <w:rsid w:val="00CD3920"/>
    <w:rsid w:val="00CD41BE"/>
    <w:rsid w:val="00CD65A2"/>
    <w:rsid w:val="00CD748C"/>
    <w:rsid w:val="00CE0788"/>
    <w:rsid w:val="00CE1932"/>
    <w:rsid w:val="00CE2124"/>
    <w:rsid w:val="00CE2531"/>
    <w:rsid w:val="00CF0335"/>
    <w:rsid w:val="00CF0465"/>
    <w:rsid w:val="00CF04F9"/>
    <w:rsid w:val="00D10B9B"/>
    <w:rsid w:val="00D239C2"/>
    <w:rsid w:val="00D2680D"/>
    <w:rsid w:val="00D276EC"/>
    <w:rsid w:val="00D306D5"/>
    <w:rsid w:val="00D31457"/>
    <w:rsid w:val="00D32299"/>
    <w:rsid w:val="00D33AEC"/>
    <w:rsid w:val="00D37B4C"/>
    <w:rsid w:val="00D37B91"/>
    <w:rsid w:val="00D418E6"/>
    <w:rsid w:val="00D51C21"/>
    <w:rsid w:val="00D5225E"/>
    <w:rsid w:val="00D56D28"/>
    <w:rsid w:val="00D57E28"/>
    <w:rsid w:val="00D620CF"/>
    <w:rsid w:val="00D66C68"/>
    <w:rsid w:val="00D677E1"/>
    <w:rsid w:val="00D708A3"/>
    <w:rsid w:val="00D71360"/>
    <w:rsid w:val="00D717BE"/>
    <w:rsid w:val="00D720CC"/>
    <w:rsid w:val="00D73F4E"/>
    <w:rsid w:val="00D77306"/>
    <w:rsid w:val="00D80BA6"/>
    <w:rsid w:val="00D8142F"/>
    <w:rsid w:val="00D81482"/>
    <w:rsid w:val="00D82184"/>
    <w:rsid w:val="00D851C8"/>
    <w:rsid w:val="00D87ED5"/>
    <w:rsid w:val="00D87F0B"/>
    <w:rsid w:val="00D91E86"/>
    <w:rsid w:val="00D92897"/>
    <w:rsid w:val="00D939CB"/>
    <w:rsid w:val="00D93FFB"/>
    <w:rsid w:val="00D946F5"/>
    <w:rsid w:val="00D94996"/>
    <w:rsid w:val="00D94EB7"/>
    <w:rsid w:val="00D96EC1"/>
    <w:rsid w:val="00D978A1"/>
    <w:rsid w:val="00DA1015"/>
    <w:rsid w:val="00DA1CF2"/>
    <w:rsid w:val="00DA5865"/>
    <w:rsid w:val="00DA5F0E"/>
    <w:rsid w:val="00DB3847"/>
    <w:rsid w:val="00DC1B74"/>
    <w:rsid w:val="00DC263D"/>
    <w:rsid w:val="00DC4930"/>
    <w:rsid w:val="00DC5EB6"/>
    <w:rsid w:val="00DD178E"/>
    <w:rsid w:val="00DD286F"/>
    <w:rsid w:val="00DD3874"/>
    <w:rsid w:val="00DE0B2D"/>
    <w:rsid w:val="00DE58DE"/>
    <w:rsid w:val="00DE60B9"/>
    <w:rsid w:val="00DE62E1"/>
    <w:rsid w:val="00DF4BE3"/>
    <w:rsid w:val="00DF5A9F"/>
    <w:rsid w:val="00DF7343"/>
    <w:rsid w:val="00E0074E"/>
    <w:rsid w:val="00E0405E"/>
    <w:rsid w:val="00E05192"/>
    <w:rsid w:val="00E05223"/>
    <w:rsid w:val="00E06A93"/>
    <w:rsid w:val="00E120FE"/>
    <w:rsid w:val="00E20DA5"/>
    <w:rsid w:val="00E216D5"/>
    <w:rsid w:val="00E235F8"/>
    <w:rsid w:val="00E23653"/>
    <w:rsid w:val="00E239E6"/>
    <w:rsid w:val="00E317DA"/>
    <w:rsid w:val="00E3236E"/>
    <w:rsid w:val="00E32BA7"/>
    <w:rsid w:val="00E33069"/>
    <w:rsid w:val="00E33268"/>
    <w:rsid w:val="00E33661"/>
    <w:rsid w:val="00E34334"/>
    <w:rsid w:val="00E346C4"/>
    <w:rsid w:val="00E35CC2"/>
    <w:rsid w:val="00E41D2F"/>
    <w:rsid w:val="00E46ECB"/>
    <w:rsid w:val="00E4762B"/>
    <w:rsid w:val="00E47B65"/>
    <w:rsid w:val="00E537E1"/>
    <w:rsid w:val="00E63610"/>
    <w:rsid w:val="00E6368F"/>
    <w:rsid w:val="00E65466"/>
    <w:rsid w:val="00E65F8F"/>
    <w:rsid w:val="00E71787"/>
    <w:rsid w:val="00E71914"/>
    <w:rsid w:val="00E71FDD"/>
    <w:rsid w:val="00E72472"/>
    <w:rsid w:val="00E727AA"/>
    <w:rsid w:val="00E74C57"/>
    <w:rsid w:val="00E74D7B"/>
    <w:rsid w:val="00E775C2"/>
    <w:rsid w:val="00E82274"/>
    <w:rsid w:val="00E83B4E"/>
    <w:rsid w:val="00E840F1"/>
    <w:rsid w:val="00E85985"/>
    <w:rsid w:val="00E87F13"/>
    <w:rsid w:val="00E93093"/>
    <w:rsid w:val="00E93096"/>
    <w:rsid w:val="00E94F10"/>
    <w:rsid w:val="00EA3260"/>
    <w:rsid w:val="00EA37A3"/>
    <w:rsid w:val="00EA3E63"/>
    <w:rsid w:val="00EA7857"/>
    <w:rsid w:val="00EB2421"/>
    <w:rsid w:val="00EB2B10"/>
    <w:rsid w:val="00EB4061"/>
    <w:rsid w:val="00EB4332"/>
    <w:rsid w:val="00EB7693"/>
    <w:rsid w:val="00EB78FE"/>
    <w:rsid w:val="00EC0A0C"/>
    <w:rsid w:val="00EC25AD"/>
    <w:rsid w:val="00EC6718"/>
    <w:rsid w:val="00EC76CB"/>
    <w:rsid w:val="00ED0AB7"/>
    <w:rsid w:val="00ED1E24"/>
    <w:rsid w:val="00ED7B2C"/>
    <w:rsid w:val="00EE2078"/>
    <w:rsid w:val="00EE229D"/>
    <w:rsid w:val="00EE5A53"/>
    <w:rsid w:val="00EE62A2"/>
    <w:rsid w:val="00EE7A55"/>
    <w:rsid w:val="00EF0521"/>
    <w:rsid w:val="00EF157E"/>
    <w:rsid w:val="00EF236F"/>
    <w:rsid w:val="00EF2A28"/>
    <w:rsid w:val="00F003F0"/>
    <w:rsid w:val="00F00BFB"/>
    <w:rsid w:val="00F015D4"/>
    <w:rsid w:val="00F0229C"/>
    <w:rsid w:val="00F03232"/>
    <w:rsid w:val="00F06BCE"/>
    <w:rsid w:val="00F071F2"/>
    <w:rsid w:val="00F078E9"/>
    <w:rsid w:val="00F10A2D"/>
    <w:rsid w:val="00F11B23"/>
    <w:rsid w:val="00F12758"/>
    <w:rsid w:val="00F12CFD"/>
    <w:rsid w:val="00F1733A"/>
    <w:rsid w:val="00F17BBF"/>
    <w:rsid w:val="00F21FBC"/>
    <w:rsid w:val="00F236C0"/>
    <w:rsid w:val="00F23917"/>
    <w:rsid w:val="00F2397E"/>
    <w:rsid w:val="00F2551F"/>
    <w:rsid w:val="00F257FA"/>
    <w:rsid w:val="00F31A32"/>
    <w:rsid w:val="00F32A34"/>
    <w:rsid w:val="00F349D3"/>
    <w:rsid w:val="00F34A20"/>
    <w:rsid w:val="00F3586F"/>
    <w:rsid w:val="00F35DAF"/>
    <w:rsid w:val="00F37ECA"/>
    <w:rsid w:val="00F41CD3"/>
    <w:rsid w:val="00F42BB0"/>
    <w:rsid w:val="00F436CC"/>
    <w:rsid w:val="00F438C5"/>
    <w:rsid w:val="00F448C5"/>
    <w:rsid w:val="00F47237"/>
    <w:rsid w:val="00F477EE"/>
    <w:rsid w:val="00F52C67"/>
    <w:rsid w:val="00F540C6"/>
    <w:rsid w:val="00F548BD"/>
    <w:rsid w:val="00F617BC"/>
    <w:rsid w:val="00F6192E"/>
    <w:rsid w:val="00F6498E"/>
    <w:rsid w:val="00F6627A"/>
    <w:rsid w:val="00F668FF"/>
    <w:rsid w:val="00F66FE5"/>
    <w:rsid w:val="00F67F09"/>
    <w:rsid w:val="00F7066F"/>
    <w:rsid w:val="00F72398"/>
    <w:rsid w:val="00F73317"/>
    <w:rsid w:val="00F7469C"/>
    <w:rsid w:val="00F74BDB"/>
    <w:rsid w:val="00F75174"/>
    <w:rsid w:val="00F757CD"/>
    <w:rsid w:val="00F80B98"/>
    <w:rsid w:val="00F80FDD"/>
    <w:rsid w:val="00F833F6"/>
    <w:rsid w:val="00F83712"/>
    <w:rsid w:val="00F84B87"/>
    <w:rsid w:val="00F9340F"/>
    <w:rsid w:val="00FA327C"/>
    <w:rsid w:val="00FB21DA"/>
    <w:rsid w:val="00FB462D"/>
    <w:rsid w:val="00FB5A82"/>
    <w:rsid w:val="00FB5B2E"/>
    <w:rsid w:val="00FB6780"/>
    <w:rsid w:val="00FB6F40"/>
    <w:rsid w:val="00FB74DF"/>
    <w:rsid w:val="00FB7EF0"/>
    <w:rsid w:val="00FC034B"/>
    <w:rsid w:val="00FC13BA"/>
    <w:rsid w:val="00FC509C"/>
    <w:rsid w:val="00FC53C1"/>
    <w:rsid w:val="00FC6690"/>
    <w:rsid w:val="00FC7AEC"/>
    <w:rsid w:val="00FD131E"/>
    <w:rsid w:val="00FE16E5"/>
    <w:rsid w:val="00FE54AA"/>
    <w:rsid w:val="00FE5526"/>
    <w:rsid w:val="00FE5933"/>
    <w:rsid w:val="00FE5D64"/>
    <w:rsid w:val="00FE6E4E"/>
    <w:rsid w:val="00FE79BA"/>
    <w:rsid w:val="00FF0470"/>
    <w:rsid w:val="00FF0FF5"/>
    <w:rsid w:val="00FF5883"/>
    <w:rsid w:val="00FF66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F727"/>
  <w15:chartTrackingRefBased/>
  <w15:docId w15:val="{6253FEE4-828E-4797-9681-8E25171AB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bCs/>
        <w:sz w:val="24"/>
        <w:szCs w:val="22"/>
        <w:lang w:val="cs-CZ"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45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45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45C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45C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145C3F"/>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145C3F"/>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145C3F"/>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145C3F"/>
    <w:pPr>
      <w:keepNext/>
      <w:keepLines/>
      <w:spacing w:before="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145C3F"/>
    <w:pPr>
      <w:keepNext/>
      <w:keepLines/>
      <w:spacing w:before="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45C3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45C3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45C3F"/>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45C3F"/>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145C3F"/>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145C3F"/>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145C3F"/>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145C3F"/>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145C3F"/>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145C3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45C3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45C3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45C3F"/>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145C3F"/>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145C3F"/>
    <w:rPr>
      <w:i/>
      <w:iCs/>
      <w:color w:val="404040" w:themeColor="text1" w:themeTint="BF"/>
    </w:rPr>
  </w:style>
  <w:style w:type="paragraph" w:styleId="Odstavecseseznamem">
    <w:name w:val="List Paragraph"/>
    <w:basedOn w:val="Normln"/>
    <w:uiPriority w:val="34"/>
    <w:qFormat/>
    <w:rsid w:val="00145C3F"/>
    <w:pPr>
      <w:ind w:left="720"/>
      <w:contextualSpacing/>
    </w:pPr>
  </w:style>
  <w:style w:type="character" w:styleId="Zdraznnintenzivn">
    <w:name w:val="Intense Emphasis"/>
    <w:basedOn w:val="Standardnpsmoodstavce"/>
    <w:uiPriority w:val="21"/>
    <w:qFormat/>
    <w:rsid w:val="00145C3F"/>
    <w:rPr>
      <w:i/>
      <w:iCs/>
      <w:color w:val="0F4761" w:themeColor="accent1" w:themeShade="BF"/>
    </w:rPr>
  </w:style>
  <w:style w:type="paragraph" w:styleId="Vrazncitt">
    <w:name w:val="Intense Quote"/>
    <w:basedOn w:val="Normln"/>
    <w:next w:val="Normln"/>
    <w:link w:val="VrazncittChar"/>
    <w:uiPriority w:val="30"/>
    <w:qFormat/>
    <w:rsid w:val="00145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45C3F"/>
    <w:rPr>
      <w:i/>
      <w:iCs/>
      <w:color w:val="0F4761" w:themeColor="accent1" w:themeShade="BF"/>
    </w:rPr>
  </w:style>
  <w:style w:type="character" w:styleId="Odkazintenzivn">
    <w:name w:val="Intense Reference"/>
    <w:basedOn w:val="Standardnpsmoodstavce"/>
    <w:uiPriority w:val="32"/>
    <w:qFormat/>
    <w:rsid w:val="00145C3F"/>
    <w:rPr>
      <w:b/>
      <w:bCs w:val="0"/>
      <w:smallCaps/>
      <w:color w:val="0F4761" w:themeColor="accent1" w:themeShade="BF"/>
      <w:spacing w:val="5"/>
    </w:rPr>
  </w:style>
  <w:style w:type="paragraph" w:styleId="Textpoznpodarou">
    <w:name w:val="footnote text"/>
    <w:aliases w:val="Schriftart: 9 pt,Schriftart: 10 pt,Schriftart: 8 pt,Char Char Char Char Char,Char Char Char Char,Char Char Char,Char3,Char,Podrozdział,Footnote,Podrozdzia3,-E Fuﬂnotentext,Fuﬂnotentext Ursprung,footnote text,Fußnotentext Ursprung,ft"/>
    <w:basedOn w:val="Normln"/>
    <w:link w:val="TextpoznpodarouChar"/>
    <w:unhideWhenUsed/>
    <w:qFormat/>
    <w:rsid w:val="00C216E4"/>
    <w:pPr>
      <w:spacing w:before="0" w:line="240" w:lineRule="auto"/>
      <w:jc w:val="left"/>
    </w:pPr>
    <w:rPr>
      <w:rFonts w:cs="Times New Roman"/>
      <w:bCs w:val="0"/>
      <w:sz w:val="20"/>
      <w:szCs w:val="20"/>
    </w:rPr>
  </w:style>
  <w:style w:type="character" w:customStyle="1" w:styleId="TextpoznpodarouChar">
    <w:name w:val="Text pozn. pod čarou Char"/>
    <w:aliases w:val="Schriftart: 9 pt Char,Schriftart: 10 pt Char,Schriftart: 8 pt Char,Char Char Char Char Char Char,Char Char Char Char Char1,Char Char Char Char1,Char3 Char,Char Char,Podrozdział Char,Footnote Char,Podrozdzia3 Char,ft Char"/>
    <w:basedOn w:val="Standardnpsmoodstavce"/>
    <w:link w:val="Textpoznpodarou"/>
    <w:qFormat/>
    <w:rsid w:val="00C216E4"/>
    <w:rPr>
      <w:rFonts w:cs="Times New Roman"/>
      <w:bCs w:val="0"/>
      <w:sz w:val="20"/>
      <w:szCs w:val="20"/>
    </w:rPr>
  </w:style>
  <w:style w:type="character" w:styleId="Znakapoznpodarou">
    <w:name w:val="footnote reference"/>
    <w:aliases w:val="fr,Značka pozn. pod čarou1,Footnote Reference Number,Odwołanie przypisu,FZ,(Voetnootmarkering),Znak,Znak Znak,Footnote Reference Superscript,FRef ISO"/>
    <w:basedOn w:val="Standardnpsmoodstavce"/>
    <w:unhideWhenUsed/>
    <w:qFormat/>
    <w:rsid w:val="00C216E4"/>
    <w:rPr>
      <w:vertAlign w:val="superscript"/>
    </w:rPr>
  </w:style>
  <w:style w:type="paragraph" w:styleId="Zhlav">
    <w:name w:val="header"/>
    <w:basedOn w:val="Normln"/>
    <w:link w:val="ZhlavChar"/>
    <w:uiPriority w:val="99"/>
    <w:unhideWhenUsed/>
    <w:rsid w:val="00730C8E"/>
    <w:pPr>
      <w:tabs>
        <w:tab w:val="center" w:pos="4536"/>
        <w:tab w:val="right" w:pos="9072"/>
      </w:tabs>
      <w:spacing w:before="0" w:line="240" w:lineRule="auto"/>
    </w:pPr>
  </w:style>
  <w:style w:type="character" w:customStyle="1" w:styleId="ZhlavChar">
    <w:name w:val="Záhlaví Char"/>
    <w:basedOn w:val="Standardnpsmoodstavce"/>
    <w:link w:val="Zhlav"/>
    <w:uiPriority w:val="99"/>
    <w:rsid w:val="00730C8E"/>
  </w:style>
  <w:style w:type="paragraph" w:styleId="Zpat">
    <w:name w:val="footer"/>
    <w:basedOn w:val="Normln"/>
    <w:link w:val="ZpatChar"/>
    <w:uiPriority w:val="99"/>
    <w:unhideWhenUsed/>
    <w:rsid w:val="00730C8E"/>
    <w:pPr>
      <w:tabs>
        <w:tab w:val="center" w:pos="4536"/>
        <w:tab w:val="right" w:pos="9072"/>
      </w:tabs>
      <w:spacing w:before="0" w:line="240" w:lineRule="auto"/>
    </w:pPr>
  </w:style>
  <w:style w:type="character" w:customStyle="1" w:styleId="ZpatChar">
    <w:name w:val="Zápatí Char"/>
    <w:basedOn w:val="Standardnpsmoodstavce"/>
    <w:link w:val="Zpat"/>
    <w:uiPriority w:val="99"/>
    <w:rsid w:val="00730C8E"/>
  </w:style>
  <w:style w:type="character" w:styleId="Hypertextovodkaz">
    <w:name w:val="Hyperlink"/>
    <w:basedOn w:val="Standardnpsmoodstavce"/>
    <w:uiPriority w:val="99"/>
    <w:unhideWhenUsed/>
    <w:rsid w:val="00BE5649"/>
    <w:rPr>
      <w:color w:val="467886" w:themeColor="hyperlink"/>
      <w:u w:val="single"/>
    </w:rPr>
  </w:style>
  <w:style w:type="paragraph" w:customStyle="1" w:styleId="oj-ti-art">
    <w:name w:val="oj-ti-art"/>
    <w:basedOn w:val="Normln"/>
    <w:rsid w:val="00BE5649"/>
    <w:pPr>
      <w:spacing w:before="100" w:beforeAutospacing="1" w:after="100" w:afterAutospacing="1" w:line="240" w:lineRule="auto"/>
      <w:jc w:val="left"/>
    </w:pPr>
    <w:rPr>
      <w:rFonts w:eastAsia="Times New Roman" w:cs="Times New Roman"/>
      <w:bCs w:val="0"/>
      <w:szCs w:val="24"/>
      <w:lang w:eastAsia="cs-CZ"/>
    </w:rPr>
  </w:style>
  <w:style w:type="paragraph" w:customStyle="1" w:styleId="oj-sti-art">
    <w:name w:val="oj-sti-art"/>
    <w:basedOn w:val="Normln"/>
    <w:rsid w:val="00BE5649"/>
    <w:pPr>
      <w:spacing w:before="100" w:beforeAutospacing="1" w:after="100" w:afterAutospacing="1" w:line="240" w:lineRule="auto"/>
      <w:jc w:val="left"/>
    </w:pPr>
    <w:rPr>
      <w:rFonts w:eastAsia="Times New Roman" w:cs="Times New Roman"/>
      <w:bCs w:val="0"/>
      <w:szCs w:val="24"/>
      <w:lang w:eastAsia="cs-CZ"/>
    </w:rPr>
  </w:style>
  <w:style w:type="paragraph" w:customStyle="1" w:styleId="oj-normal">
    <w:name w:val="oj-normal"/>
    <w:basedOn w:val="Normln"/>
    <w:rsid w:val="00BE5649"/>
    <w:pPr>
      <w:spacing w:before="100" w:beforeAutospacing="1" w:after="100" w:afterAutospacing="1" w:line="240" w:lineRule="auto"/>
      <w:jc w:val="left"/>
    </w:pPr>
    <w:rPr>
      <w:rFonts w:eastAsia="Times New Roman" w:cs="Times New Roman"/>
      <w:bCs w:val="0"/>
      <w:szCs w:val="24"/>
      <w:lang w:eastAsia="cs-CZ"/>
    </w:rPr>
  </w:style>
  <w:style w:type="character" w:styleId="Nevyeenzmnka">
    <w:name w:val="Unresolved Mention"/>
    <w:basedOn w:val="Standardnpsmoodstavce"/>
    <w:uiPriority w:val="99"/>
    <w:semiHidden/>
    <w:unhideWhenUsed/>
    <w:rsid w:val="00FB6F40"/>
    <w:rPr>
      <w:color w:val="605E5C"/>
      <w:shd w:val="clear" w:color="auto" w:fill="E1DFDD"/>
    </w:rPr>
  </w:style>
  <w:style w:type="paragraph" w:styleId="Normlnweb">
    <w:name w:val="Normal (Web)"/>
    <w:basedOn w:val="Normln"/>
    <w:uiPriority w:val="99"/>
    <w:semiHidden/>
    <w:unhideWhenUsed/>
    <w:rsid w:val="002054D2"/>
    <w:rPr>
      <w:rFonts w:cs="Times New Roman"/>
      <w:szCs w:val="24"/>
    </w:rPr>
  </w:style>
  <w:style w:type="paragraph" w:styleId="Revize">
    <w:name w:val="Revision"/>
    <w:hidden/>
    <w:uiPriority w:val="99"/>
    <w:semiHidden/>
    <w:rsid w:val="00C33646"/>
    <w:pPr>
      <w:spacing w:before="0" w:line="240" w:lineRule="auto"/>
      <w:jc w:val="left"/>
    </w:pPr>
  </w:style>
  <w:style w:type="character" w:styleId="Odkaznakoment">
    <w:name w:val="annotation reference"/>
    <w:basedOn w:val="Standardnpsmoodstavce"/>
    <w:uiPriority w:val="99"/>
    <w:semiHidden/>
    <w:unhideWhenUsed/>
    <w:rsid w:val="00702E7E"/>
    <w:rPr>
      <w:sz w:val="16"/>
      <w:szCs w:val="16"/>
    </w:rPr>
  </w:style>
  <w:style w:type="paragraph" w:styleId="Textkomente">
    <w:name w:val="annotation text"/>
    <w:basedOn w:val="Normln"/>
    <w:link w:val="TextkomenteChar"/>
    <w:uiPriority w:val="99"/>
    <w:unhideWhenUsed/>
    <w:rsid w:val="00702E7E"/>
    <w:pPr>
      <w:spacing w:line="240" w:lineRule="auto"/>
    </w:pPr>
    <w:rPr>
      <w:sz w:val="20"/>
      <w:szCs w:val="20"/>
    </w:rPr>
  </w:style>
  <w:style w:type="character" w:customStyle="1" w:styleId="TextkomenteChar">
    <w:name w:val="Text komentáře Char"/>
    <w:basedOn w:val="Standardnpsmoodstavce"/>
    <w:link w:val="Textkomente"/>
    <w:uiPriority w:val="99"/>
    <w:rsid w:val="00702E7E"/>
    <w:rPr>
      <w:sz w:val="20"/>
      <w:szCs w:val="20"/>
    </w:rPr>
  </w:style>
  <w:style w:type="paragraph" w:styleId="Pedmtkomente">
    <w:name w:val="annotation subject"/>
    <w:basedOn w:val="Textkomente"/>
    <w:next w:val="Textkomente"/>
    <w:link w:val="PedmtkomenteChar"/>
    <w:uiPriority w:val="99"/>
    <w:semiHidden/>
    <w:unhideWhenUsed/>
    <w:rsid w:val="00702E7E"/>
    <w:rPr>
      <w:b/>
    </w:rPr>
  </w:style>
  <w:style w:type="character" w:customStyle="1" w:styleId="PedmtkomenteChar">
    <w:name w:val="Předmět komentáře Char"/>
    <w:basedOn w:val="TextkomenteChar"/>
    <w:link w:val="Pedmtkomente"/>
    <w:uiPriority w:val="99"/>
    <w:semiHidden/>
    <w:rsid w:val="00702E7E"/>
    <w:rPr>
      <w:b/>
      <w:sz w:val="20"/>
      <w:szCs w:val="20"/>
    </w:rPr>
  </w:style>
  <w:style w:type="paragraph" w:customStyle="1" w:styleId="JP">
    <w:name w:val="JP"/>
    <w:basedOn w:val="Normln"/>
    <w:link w:val="JPChar"/>
    <w:qFormat/>
    <w:rsid w:val="007716C9"/>
    <w:pPr>
      <w:spacing w:before="0" w:line="240" w:lineRule="auto"/>
    </w:pPr>
    <w:rPr>
      <w:rFonts w:eastAsia="Calibri" w:cs="Times New Roman"/>
      <w:szCs w:val="24"/>
      <w:lang w:val="x-none" w:eastAsia="x-none"/>
    </w:rPr>
  </w:style>
  <w:style w:type="character" w:customStyle="1" w:styleId="JPChar">
    <w:name w:val="JP Char"/>
    <w:link w:val="JP"/>
    <w:rsid w:val="007716C9"/>
    <w:rPr>
      <w:rFonts w:eastAsia="Calibri" w:cs="Times New Roman"/>
      <w:szCs w:val="24"/>
      <w:lang w:val="x-none" w:eastAsia="x-none"/>
    </w:rPr>
  </w:style>
  <w:style w:type="paragraph" w:customStyle="1" w:styleId="Textodstavce">
    <w:name w:val="Text odstavce"/>
    <w:basedOn w:val="Normln"/>
    <w:rsid w:val="00CF04F9"/>
    <w:pPr>
      <w:spacing w:line="240" w:lineRule="auto"/>
      <w:ind w:firstLine="709"/>
    </w:pPr>
    <w:rPr>
      <w:rFonts w:ascii="Calibri" w:eastAsia="Times New Roman" w:hAnsi="Calibri" w:cs="Times New Roman"/>
      <w:bCs w:val="0"/>
      <w:sz w:val="22"/>
      <w:szCs w:val="20"/>
      <w:lang w:eastAsia="cs-CZ"/>
    </w:rPr>
  </w:style>
  <w:style w:type="paragraph" w:customStyle="1" w:styleId="Judikttext">
    <w:name w:val="Judikát_text"/>
    <w:basedOn w:val="Normln"/>
    <w:qFormat/>
    <w:rsid w:val="00CF04F9"/>
    <w:pPr>
      <w:spacing w:before="80" w:line="240" w:lineRule="auto"/>
    </w:pPr>
    <w:rPr>
      <w:rFonts w:ascii="Calibri" w:eastAsia="Times New Roman" w:hAnsi="Calibri" w:cs="Times New Roman"/>
      <w:bCs w:val="0"/>
      <w:sz w:val="22"/>
      <w:lang w:eastAsia="cs-CZ"/>
    </w:rPr>
  </w:style>
  <w:style w:type="paragraph" w:customStyle="1" w:styleId="Default">
    <w:name w:val="Default"/>
    <w:rsid w:val="003458D6"/>
    <w:pPr>
      <w:autoSpaceDE w:val="0"/>
      <w:autoSpaceDN w:val="0"/>
      <w:adjustRightInd w:val="0"/>
      <w:spacing w:before="0" w:line="240" w:lineRule="auto"/>
      <w:jc w:val="left"/>
    </w:pPr>
    <w:rPr>
      <w:rFonts w:eastAsia="Calibri" w:cs="Times New Roman"/>
      <w:bCs w:val="0"/>
      <w:color w:val="000000"/>
      <w:szCs w:val="24"/>
      <w:lang w:eastAsia="cs-CZ"/>
    </w:rPr>
  </w:style>
  <w:style w:type="paragraph" w:customStyle="1" w:styleId="Textcitace">
    <w:name w:val="Text citace"/>
    <w:basedOn w:val="Normln"/>
    <w:qFormat/>
    <w:rsid w:val="003458D6"/>
    <w:pPr>
      <w:spacing w:line="240" w:lineRule="auto"/>
      <w:ind w:left="709" w:right="708"/>
    </w:pPr>
    <w:rPr>
      <w:rFonts w:ascii="Calibri" w:eastAsia="Times New Roman" w:hAnsi="Calibri" w:cs="Times New Roman"/>
      <w:bCs w:val="0"/>
      <w:i/>
      <w:sz w:val="2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13340">
      <w:bodyDiv w:val="1"/>
      <w:marLeft w:val="0"/>
      <w:marRight w:val="0"/>
      <w:marTop w:val="0"/>
      <w:marBottom w:val="0"/>
      <w:divBdr>
        <w:top w:val="none" w:sz="0" w:space="0" w:color="auto"/>
        <w:left w:val="none" w:sz="0" w:space="0" w:color="auto"/>
        <w:bottom w:val="none" w:sz="0" w:space="0" w:color="auto"/>
        <w:right w:val="none" w:sz="0" w:space="0" w:color="auto"/>
      </w:divBdr>
      <w:divsChild>
        <w:div w:id="1543404319">
          <w:marLeft w:val="0"/>
          <w:marRight w:val="0"/>
          <w:marTop w:val="0"/>
          <w:marBottom w:val="0"/>
          <w:divBdr>
            <w:top w:val="none" w:sz="0" w:space="0" w:color="auto"/>
            <w:left w:val="none" w:sz="0" w:space="0" w:color="auto"/>
            <w:bottom w:val="none" w:sz="0" w:space="0" w:color="auto"/>
            <w:right w:val="none" w:sz="0" w:space="0" w:color="auto"/>
          </w:divBdr>
        </w:div>
      </w:divsChild>
    </w:div>
    <w:div w:id="310061339">
      <w:bodyDiv w:val="1"/>
      <w:marLeft w:val="0"/>
      <w:marRight w:val="0"/>
      <w:marTop w:val="0"/>
      <w:marBottom w:val="0"/>
      <w:divBdr>
        <w:top w:val="none" w:sz="0" w:space="0" w:color="auto"/>
        <w:left w:val="none" w:sz="0" w:space="0" w:color="auto"/>
        <w:bottom w:val="none" w:sz="0" w:space="0" w:color="auto"/>
        <w:right w:val="none" w:sz="0" w:space="0" w:color="auto"/>
      </w:divBdr>
    </w:div>
    <w:div w:id="316155753">
      <w:bodyDiv w:val="1"/>
      <w:marLeft w:val="0"/>
      <w:marRight w:val="0"/>
      <w:marTop w:val="0"/>
      <w:marBottom w:val="0"/>
      <w:divBdr>
        <w:top w:val="none" w:sz="0" w:space="0" w:color="auto"/>
        <w:left w:val="none" w:sz="0" w:space="0" w:color="auto"/>
        <w:bottom w:val="none" w:sz="0" w:space="0" w:color="auto"/>
        <w:right w:val="none" w:sz="0" w:space="0" w:color="auto"/>
      </w:divBdr>
    </w:div>
    <w:div w:id="316735679">
      <w:bodyDiv w:val="1"/>
      <w:marLeft w:val="0"/>
      <w:marRight w:val="0"/>
      <w:marTop w:val="0"/>
      <w:marBottom w:val="0"/>
      <w:divBdr>
        <w:top w:val="none" w:sz="0" w:space="0" w:color="auto"/>
        <w:left w:val="none" w:sz="0" w:space="0" w:color="auto"/>
        <w:bottom w:val="none" w:sz="0" w:space="0" w:color="auto"/>
        <w:right w:val="none" w:sz="0" w:space="0" w:color="auto"/>
      </w:divBdr>
      <w:divsChild>
        <w:div w:id="2114591033">
          <w:marLeft w:val="0"/>
          <w:marRight w:val="0"/>
          <w:marTop w:val="0"/>
          <w:marBottom w:val="192"/>
          <w:divBdr>
            <w:top w:val="none" w:sz="0" w:space="0" w:color="auto"/>
            <w:left w:val="none" w:sz="0" w:space="0" w:color="auto"/>
            <w:bottom w:val="none" w:sz="0" w:space="0" w:color="auto"/>
            <w:right w:val="none" w:sz="0" w:space="0" w:color="auto"/>
          </w:divBdr>
        </w:div>
        <w:div w:id="1249777963">
          <w:marLeft w:val="0"/>
          <w:marRight w:val="0"/>
          <w:marTop w:val="0"/>
          <w:marBottom w:val="96"/>
          <w:divBdr>
            <w:top w:val="none" w:sz="0" w:space="0" w:color="auto"/>
            <w:left w:val="none" w:sz="0" w:space="0" w:color="auto"/>
            <w:bottom w:val="none" w:sz="0" w:space="0" w:color="auto"/>
            <w:right w:val="none" w:sz="0" w:space="0" w:color="auto"/>
          </w:divBdr>
          <w:divsChild>
            <w:div w:id="450629044">
              <w:marLeft w:val="576"/>
              <w:marRight w:val="0"/>
              <w:marTop w:val="0"/>
              <w:marBottom w:val="0"/>
              <w:divBdr>
                <w:top w:val="none" w:sz="0" w:space="0" w:color="auto"/>
                <w:left w:val="none" w:sz="0" w:space="0" w:color="auto"/>
                <w:bottom w:val="none" w:sz="0" w:space="0" w:color="auto"/>
                <w:right w:val="none" w:sz="0" w:space="0" w:color="auto"/>
              </w:divBdr>
              <w:divsChild>
                <w:div w:id="727149065">
                  <w:marLeft w:val="312"/>
                  <w:marRight w:val="0"/>
                  <w:marTop w:val="0"/>
                  <w:marBottom w:val="0"/>
                  <w:divBdr>
                    <w:top w:val="none" w:sz="0" w:space="0" w:color="auto"/>
                    <w:left w:val="none" w:sz="0" w:space="0" w:color="auto"/>
                    <w:bottom w:val="none" w:sz="0" w:space="0" w:color="auto"/>
                    <w:right w:val="none" w:sz="0" w:space="0" w:color="auto"/>
                  </w:divBdr>
                </w:div>
                <w:div w:id="24923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24507">
      <w:bodyDiv w:val="1"/>
      <w:marLeft w:val="0"/>
      <w:marRight w:val="0"/>
      <w:marTop w:val="0"/>
      <w:marBottom w:val="0"/>
      <w:divBdr>
        <w:top w:val="none" w:sz="0" w:space="0" w:color="auto"/>
        <w:left w:val="none" w:sz="0" w:space="0" w:color="auto"/>
        <w:bottom w:val="none" w:sz="0" w:space="0" w:color="auto"/>
        <w:right w:val="none" w:sz="0" w:space="0" w:color="auto"/>
      </w:divBdr>
    </w:div>
    <w:div w:id="409474497">
      <w:bodyDiv w:val="1"/>
      <w:marLeft w:val="0"/>
      <w:marRight w:val="0"/>
      <w:marTop w:val="0"/>
      <w:marBottom w:val="0"/>
      <w:divBdr>
        <w:top w:val="none" w:sz="0" w:space="0" w:color="auto"/>
        <w:left w:val="none" w:sz="0" w:space="0" w:color="auto"/>
        <w:bottom w:val="none" w:sz="0" w:space="0" w:color="auto"/>
        <w:right w:val="none" w:sz="0" w:space="0" w:color="auto"/>
      </w:divBdr>
      <w:divsChild>
        <w:div w:id="934902405">
          <w:marLeft w:val="0"/>
          <w:marRight w:val="0"/>
          <w:marTop w:val="0"/>
          <w:marBottom w:val="192"/>
          <w:divBdr>
            <w:top w:val="none" w:sz="0" w:space="0" w:color="auto"/>
            <w:left w:val="none" w:sz="0" w:space="0" w:color="auto"/>
            <w:bottom w:val="none" w:sz="0" w:space="0" w:color="auto"/>
            <w:right w:val="none" w:sz="0" w:space="0" w:color="auto"/>
          </w:divBdr>
        </w:div>
        <w:div w:id="359011383">
          <w:marLeft w:val="0"/>
          <w:marRight w:val="0"/>
          <w:marTop w:val="0"/>
          <w:marBottom w:val="96"/>
          <w:divBdr>
            <w:top w:val="none" w:sz="0" w:space="0" w:color="auto"/>
            <w:left w:val="none" w:sz="0" w:space="0" w:color="auto"/>
            <w:bottom w:val="none" w:sz="0" w:space="0" w:color="auto"/>
            <w:right w:val="none" w:sz="0" w:space="0" w:color="auto"/>
          </w:divBdr>
          <w:divsChild>
            <w:div w:id="1649091133">
              <w:marLeft w:val="576"/>
              <w:marRight w:val="0"/>
              <w:marTop w:val="0"/>
              <w:marBottom w:val="0"/>
              <w:divBdr>
                <w:top w:val="none" w:sz="0" w:space="0" w:color="auto"/>
                <w:left w:val="none" w:sz="0" w:space="0" w:color="auto"/>
                <w:bottom w:val="none" w:sz="0" w:space="0" w:color="auto"/>
                <w:right w:val="none" w:sz="0" w:space="0" w:color="auto"/>
              </w:divBdr>
              <w:divsChild>
                <w:div w:id="1693457483">
                  <w:marLeft w:val="312"/>
                  <w:marRight w:val="0"/>
                  <w:marTop w:val="0"/>
                  <w:marBottom w:val="0"/>
                  <w:divBdr>
                    <w:top w:val="none" w:sz="0" w:space="0" w:color="auto"/>
                    <w:left w:val="none" w:sz="0" w:space="0" w:color="auto"/>
                    <w:bottom w:val="none" w:sz="0" w:space="0" w:color="auto"/>
                    <w:right w:val="none" w:sz="0" w:space="0" w:color="auto"/>
                  </w:divBdr>
                </w:div>
                <w:div w:id="1732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20272">
      <w:bodyDiv w:val="1"/>
      <w:marLeft w:val="0"/>
      <w:marRight w:val="0"/>
      <w:marTop w:val="0"/>
      <w:marBottom w:val="0"/>
      <w:divBdr>
        <w:top w:val="none" w:sz="0" w:space="0" w:color="auto"/>
        <w:left w:val="none" w:sz="0" w:space="0" w:color="auto"/>
        <w:bottom w:val="none" w:sz="0" w:space="0" w:color="auto"/>
        <w:right w:val="none" w:sz="0" w:space="0" w:color="auto"/>
      </w:divBdr>
      <w:divsChild>
        <w:div w:id="1508521665">
          <w:marLeft w:val="0"/>
          <w:marRight w:val="0"/>
          <w:marTop w:val="0"/>
          <w:marBottom w:val="0"/>
          <w:divBdr>
            <w:top w:val="none" w:sz="0" w:space="0" w:color="auto"/>
            <w:left w:val="none" w:sz="0" w:space="0" w:color="auto"/>
            <w:bottom w:val="none" w:sz="0" w:space="0" w:color="auto"/>
            <w:right w:val="none" w:sz="0" w:space="0" w:color="auto"/>
          </w:divBdr>
        </w:div>
      </w:divsChild>
    </w:div>
    <w:div w:id="519130507">
      <w:bodyDiv w:val="1"/>
      <w:marLeft w:val="0"/>
      <w:marRight w:val="0"/>
      <w:marTop w:val="0"/>
      <w:marBottom w:val="0"/>
      <w:divBdr>
        <w:top w:val="none" w:sz="0" w:space="0" w:color="auto"/>
        <w:left w:val="none" w:sz="0" w:space="0" w:color="auto"/>
        <w:bottom w:val="none" w:sz="0" w:space="0" w:color="auto"/>
        <w:right w:val="none" w:sz="0" w:space="0" w:color="auto"/>
      </w:divBdr>
    </w:div>
    <w:div w:id="540165568">
      <w:bodyDiv w:val="1"/>
      <w:marLeft w:val="0"/>
      <w:marRight w:val="0"/>
      <w:marTop w:val="0"/>
      <w:marBottom w:val="0"/>
      <w:divBdr>
        <w:top w:val="none" w:sz="0" w:space="0" w:color="auto"/>
        <w:left w:val="none" w:sz="0" w:space="0" w:color="auto"/>
        <w:bottom w:val="none" w:sz="0" w:space="0" w:color="auto"/>
        <w:right w:val="none" w:sz="0" w:space="0" w:color="auto"/>
      </w:divBdr>
    </w:div>
    <w:div w:id="560944886">
      <w:bodyDiv w:val="1"/>
      <w:marLeft w:val="0"/>
      <w:marRight w:val="0"/>
      <w:marTop w:val="0"/>
      <w:marBottom w:val="0"/>
      <w:divBdr>
        <w:top w:val="none" w:sz="0" w:space="0" w:color="auto"/>
        <w:left w:val="none" w:sz="0" w:space="0" w:color="auto"/>
        <w:bottom w:val="none" w:sz="0" w:space="0" w:color="auto"/>
        <w:right w:val="none" w:sz="0" w:space="0" w:color="auto"/>
      </w:divBdr>
      <w:divsChild>
        <w:div w:id="1819570288">
          <w:marLeft w:val="0"/>
          <w:marRight w:val="0"/>
          <w:marTop w:val="0"/>
          <w:marBottom w:val="0"/>
          <w:divBdr>
            <w:top w:val="none" w:sz="0" w:space="0" w:color="auto"/>
            <w:left w:val="none" w:sz="0" w:space="0" w:color="auto"/>
            <w:bottom w:val="none" w:sz="0" w:space="0" w:color="auto"/>
            <w:right w:val="none" w:sz="0" w:space="0" w:color="auto"/>
          </w:divBdr>
        </w:div>
      </w:divsChild>
    </w:div>
    <w:div w:id="587160437">
      <w:bodyDiv w:val="1"/>
      <w:marLeft w:val="0"/>
      <w:marRight w:val="0"/>
      <w:marTop w:val="0"/>
      <w:marBottom w:val="0"/>
      <w:divBdr>
        <w:top w:val="none" w:sz="0" w:space="0" w:color="auto"/>
        <w:left w:val="none" w:sz="0" w:space="0" w:color="auto"/>
        <w:bottom w:val="none" w:sz="0" w:space="0" w:color="auto"/>
        <w:right w:val="none" w:sz="0" w:space="0" w:color="auto"/>
      </w:divBdr>
      <w:divsChild>
        <w:div w:id="971251878">
          <w:marLeft w:val="0"/>
          <w:marRight w:val="0"/>
          <w:marTop w:val="0"/>
          <w:marBottom w:val="0"/>
          <w:divBdr>
            <w:top w:val="none" w:sz="0" w:space="0" w:color="auto"/>
            <w:left w:val="none" w:sz="0" w:space="0" w:color="auto"/>
            <w:bottom w:val="none" w:sz="0" w:space="0" w:color="auto"/>
            <w:right w:val="none" w:sz="0" w:space="0" w:color="auto"/>
          </w:divBdr>
        </w:div>
      </w:divsChild>
    </w:div>
    <w:div w:id="596863931">
      <w:bodyDiv w:val="1"/>
      <w:marLeft w:val="0"/>
      <w:marRight w:val="0"/>
      <w:marTop w:val="0"/>
      <w:marBottom w:val="0"/>
      <w:divBdr>
        <w:top w:val="none" w:sz="0" w:space="0" w:color="auto"/>
        <w:left w:val="none" w:sz="0" w:space="0" w:color="auto"/>
        <w:bottom w:val="none" w:sz="0" w:space="0" w:color="auto"/>
        <w:right w:val="none" w:sz="0" w:space="0" w:color="auto"/>
      </w:divBdr>
      <w:divsChild>
        <w:div w:id="136456156">
          <w:marLeft w:val="0"/>
          <w:marRight w:val="0"/>
          <w:marTop w:val="0"/>
          <w:marBottom w:val="0"/>
          <w:divBdr>
            <w:top w:val="none" w:sz="0" w:space="0" w:color="auto"/>
            <w:left w:val="none" w:sz="0" w:space="0" w:color="auto"/>
            <w:bottom w:val="none" w:sz="0" w:space="0" w:color="auto"/>
            <w:right w:val="none" w:sz="0" w:space="0" w:color="auto"/>
          </w:divBdr>
        </w:div>
      </w:divsChild>
    </w:div>
    <w:div w:id="623729045">
      <w:bodyDiv w:val="1"/>
      <w:marLeft w:val="0"/>
      <w:marRight w:val="0"/>
      <w:marTop w:val="0"/>
      <w:marBottom w:val="0"/>
      <w:divBdr>
        <w:top w:val="none" w:sz="0" w:space="0" w:color="auto"/>
        <w:left w:val="none" w:sz="0" w:space="0" w:color="auto"/>
        <w:bottom w:val="none" w:sz="0" w:space="0" w:color="auto"/>
        <w:right w:val="none" w:sz="0" w:space="0" w:color="auto"/>
      </w:divBdr>
      <w:divsChild>
        <w:div w:id="1884903438">
          <w:marLeft w:val="0"/>
          <w:marRight w:val="0"/>
          <w:marTop w:val="0"/>
          <w:marBottom w:val="0"/>
          <w:divBdr>
            <w:top w:val="none" w:sz="0" w:space="0" w:color="auto"/>
            <w:left w:val="none" w:sz="0" w:space="0" w:color="auto"/>
            <w:bottom w:val="none" w:sz="0" w:space="0" w:color="auto"/>
            <w:right w:val="none" w:sz="0" w:space="0" w:color="auto"/>
          </w:divBdr>
        </w:div>
      </w:divsChild>
    </w:div>
    <w:div w:id="635261155">
      <w:bodyDiv w:val="1"/>
      <w:marLeft w:val="0"/>
      <w:marRight w:val="0"/>
      <w:marTop w:val="0"/>
      <w:marBottom w:val="0"/>
      <w:divBdr>
        <w:top w:val="none" w:sz="0" w:space="0" w:color="auto"/>
        <w:left w:val="none" w:sz="0" w:space="0" w:color="auto"/>
        <w:bottom w:val="none" w:sz="0" w:space="0" w:color="auto"/>
        <w:right w:val="none" w:sz="0" w:space="0" w:color="auto"/>
      </w:divBdr>
    </w:div>
    <w:div w:id="745226779">
      <w:bodyDiv w:val="1"/>
      <w:marLeft w:val="0"/>
      <w:marRight w:val="0"/>
      <w:marTop w:val="0"/>
      <w:marBottom w:val="0"/>
      <w:divBdr>
        <w:top w:val="none" w:sz="0" w:space="0" w:color="auto"/>
        <w:left w:val="none" w:sz="0" w:space="0" w:color="auto"/>
        <w:bottom w:val="none" w:sz="0" w:space="0" w:color="auto"/>
        <w:right w:val="none" w:sz="0" w:space="0" w:color="auto"/>
      </w:divBdr>
      <w:divsChild>
        <w:div w:id="1110007329">
          <w:marLeft w:val="0"/>
          <w:marRight w:val="0"/>
          <w:marTop w:val="0"/>
          <w:marBottom w:val="0"/>
          <w:divBdr>
            <w:top w:val="none" w:sz="0" w:space="0" w:color="auto"/>
            <w:left w:val="none" w:sz="0" w:space="0" w:color="auto"/>
            <w:bottom w:val="none" w:sz="0" w:space="0" w:color="auto"/>
            <w:right w:val="none" w:sz="0" w:space="0" w:color="auto"/>
          </w:divBdr>
        </w:div>
      </w:divsChild>
    </w:div>
    <w:div w:id="745499915">
      <w:bodyDiv w:val="1"/>
      <w:marLeft w:val="0"/>
      <w:marRight w:val="0"/>
      <w:marTop w:val="0"/>
      <w:marBottom w:val="0"/>
      <w:divBdr>
        <w:top w:val="none" w:sz="0" w:space="0" w:color="auto"/>
        <w:left w:val="none" w:sz="0" w:space="0" w:color="auto"/>
        <w:bottom w:val="none" w:sz="0" w:space="0" w:color="auto"/>
        <w:right w:val="none" w:sz="0" w:space="0" w:color="auto"/>
      </w:divBdr>
      <w:divsChild>
        <w:div w:id="1575168744">
          <w:marLeft w:val="0"/>
          <w:marRight w:val="0"/>
          <w:marTop w:val="0"/>
          <w:marBottom w:val="0"/>
          <w:divBdr>
            <w:top w:val="none" w:sz="0" w:space="0" w:color="auto"/>
            <w:left w:val="none" w:sz="0" w:space="0" w:color="auto"/>
            <w:bottom w:val="none" w:sz="0" w:space="0" w:color="auto"/>
            <w:right w:val="none" w:sz="0" w:space="0" w:color="auto"/>
          </w:divBdr>
        </w:div>
      </w:divsChild>
    </w:div>
    <w:div w:id="748693333">
      <w:bodyDiv w:val="1"/>
      <w:marLeft w:val="0"/>
      <w:marRight w:val="0"/>
      <w:marTop w:val="0"/>
      <w:marBottom w:val="0"/>
      <w:divBdr>
        <w:top w:val="none" w:sz="0" w:space="0" w:color="auto"/>
        <w:left w:val="none" w:sz="0" w:space="0" w:color="auto"/>
        <w:bottom w:val="none" w:sz="0" w:space="0" w:color="auto"/>
        <w:right w:val="none" w:sz="0" w:space="0" w:color="auto"/>
      </w:divBdr>
    </w:div>
    <w:div w:id="756636206">
      <w:bodyDiv w:val="1"/>
      <w:marLeft w:val="0"/>
      <w:marRight w:val="0"/>
      <w:marTop w:val="0"/>
      <w:marBottom w:val="0"/>
      <w:divBdr>
        <w:top w:val="none" w:sz="0" w:space="0" w:color="auto"/>
        <w:left w:val="none" w:sz="0" w:space="0" w:color="auto"/>
        <w:bottom w:val="none" w:sz="0" w:space="0" w:color="auto"/>
        <w:right w:val="none" w:sz="0" w:space="0" w:color="auto"/>
      </w:divBdr>
    </w:div>
    <w:div w:id="778064472">
      <w:bodyDiv w:val="1"/>
      <w:marLeft w:val="0"/>
      <w:marRight w:val="0"/>
      <w:marTop w:val="0"/>
      <w:marBottom w:val="0"/>
      <w:divBdr>
        <w:top w:val="none" w:sz="0" w:space="0" w:color="auto"/>
        <w:left w:val="none" w:sz="0" w:space="0" w:color="auto"/>
        <w:bottom w:val="none" w:sz="0" w:space="0" w:color="auto"/>
        <w:right w:val="none" w:sz="0" w:space="0" w:color="auto"/>
      </w:divBdr>
      <w:divsChild>
        <w:div w:id="1504128925">
          <w:marLeft w:val="0"/>
          <w:marRight w:val="0"/>
          <w:marTop w:val="0"/>
          <w:marBottom w:val="0"/>
          <w:divBdr>
            <w:top w:val="none" w:sz="0" w:space="0" w:color="auto"/>
            <w:left w:val="none" w:sz="0" w:space="0" w:color="auto"/>
            <w:bottom w:val="none" w:sz="0" w:space="0" w:color="auto"/>
            <w:right w:val="none" w:sz="0" w:space="0" w:color="auto"/>
          </w:divBdr>
        </w:div>
      </w:divsChild>
    </w:div>
    <w:div w:id="885725939">
      <w:bodyDiv w:val="1"/>
      <w:marLeft w:val="0"/>
      <w:marRight w:val="0"/>
      <w:marTop w:val="0"/>
      <w:marBottom w:val="0"/>
      <w:divBdr>
        <w:top w:val="none" w:sz="0" w:space="0" w:color="auto"/>
        <w:left w:val="none" w:sz="0" w:space="0" w:color="auto"/>
        <w:bottom w:val="none" w:sz="0" w:space="0" w:color="auto"/>
        <w:right w:val="none" w:sz="0" w:space="0" w:color="auto"/>
      </w:divBdr>
      <w:divsChild>
        <w:div w:id="872377420">
          <w:marLeft w:val="0"/>
          <w:marRight w:val="0"/>
          <w:marTop w:val="0"/>
          <w:marBottom w:val="0"/>
          <w:divBdr>
            <w:top w:val="none" w:sz="0" w:space="0" w:color="auto"/>
            <w:left w:val="none" w:sz="0" w:space="0" w:color="auto"/>
            <w:bottom w:val="none" w:sz="0" w:space="0" w:color="auto"/>
            <w:right w:val="none" w:sz="0" w:space="0" w:color="auto"/>
          </w:divBdr>
        </w:div>
      </w:divsChild>
    </w:div>
    <w:div w:id="954286502">
      <w:bodyDiv w:val="1"/>
      <w:marLeft w:val="0"/>
      <w:marRight w:val="0"/>
      <w:marTop w:val="0"/>
      <w:marBottom w:val="0"/>
      <w:divBdr>
        <w:top w:val="none" w:sz="0" w:space="0" w:color="auto"/>
        <w:left w:val="none" w:sz="0" w:space="0" w:color="auto"/>
        <w:bottom w:val="none" w:sz="0" w:space="0" w:color="auto"/>
        <w:right w:val="none" w:sz="0" w:space="0" w:color="auto"/>
      </w:divBdr>
    </w:div>
    <w:div w:id="1063288659">
      <w:bodyDiv w:val="1"/>
      <w:marLeft w:val="0"/>
      <w:marRight w:val="0"/>
      <w:marTop w:val="0"/>
      <w:marBottom w:val="0"/>
      <w:divBdr>
        <w:top w:val="none" w:sz="0" w:space="0" w:color="auto"/>
        <w:left w:val="none" w:sz="0" w:space="0" w:color="auto"/>
        <w:bottom w:val="none" w:sz="0" w:space="0" w:color="auto"/>
        <w:right w:val="none" w:sz="0" w:space="0" w:color="auto"/>
      </w:divBdr>
    </w:div>
    <w:div w:id="1082918201">
      <w:bodyDiv w:val="1"/>
      <w:marLeft w:val="0"/>
      <w:marRight w:val="0"/>
      <w:marTop w:val="0"/>
      <w:marBottom w:val="0"/>
      <w:divBdr>
        <w:top w:val="none" w:sz="0" w:space="0" w:color="auto"/>
        <w:left w:val="none" w:sz="0" w:space="0" w:color="auto"/>
        <w:bottom w:val="none" w:sz="0" w:space="0" w:color="auto"/>
        <w:right w:val="none" w:sz="0" w:space="0" w:color="auto"/>
      </w:divBdr>
      <w:divsChild>
        <w:div w:id="1450706011">
          <w:marLeft w:val="0"/>
          <w:marRight w:val="0"/>
          <w:marTop w:val="0"/>
          <w:marBottom w:val="192"/>
          <w:divBdr>
            <w:top w:val="none" w:sz="0" w:space="0" w:color="auto"/>
            <w:left w:val="none" w:sz="0" w:space="0" w:color="auto"/>
            <w:bottom w:val="none" w:sz="0" w:space="0" w:color="auto"/>
            <w:right w:val="none" w:sz="0" w:space="0" w:color="auto"/>
          </w:divBdr>
        </w:div>
        <w:div w:id="360670346">
          <w:marLeft w:val="0"/>
          <w:marRight w:val="0"/>
          <w:marTop w:val="0"/>
          <w:marBottom w:val="192"/>
          <w:divBdr>
            <w:top w:val="none" w:sz="0" w:space="0" w:color="auto"/>
            <w:left w:val="none" w:sz="0" w:space="0" w:color="auto"/>
            <w:bottom w:val="none" w:sz="0" w:space="0" w:color="auto"/>
            <w:right w:val="none" w:sz="0" w:space="0" w:color="auto"/>
          </w:divBdr>
        </w:div>
        <w:div w:id="1825464201">
          <w:marLeft w:val="0"/>
          <w:marRight w:val="0"/>
          <w:marTop w:val="0"/>
          <w:marBottom w:val="192"/>
          <w:divBdr>
            <w:top w:val="none" w:sz="0" w:space="0" w:color="auto"/>
            <w:left w:val="none" w:sz="0" w:space="0" w:color="auto"/>
            <w:bottom w:val="none" w:sz="0" w:space="0" w:color="auto"/>
            <w:right w:val="none" w:sz="0" w:space="0" w:color="auto"/>
          </w:divBdr>
          <w:divsChild>
            <w:div w:id="414323134">
              <w:marLeft w:val="0"/>
              <w:marRight w:val="0"/>
              <w:marTop w:val="0"/>
              <w:marBottom w:val="0"/>
              <w:divBdr>
                <w:top w:val="none" w:sz="0" w:space="0" w:color="auto"/>
                <w:left w:val="none" w:sz="0" w:space="0" w:color="auto"/>
                <w:bottom w:val="none" w:sz="0" w:space="0" w:color="auto"/>
                <w:right w:val="none" w:sz="0" w:space="0" w:color="auto"/>
              </w:divBdr>
              <w:divsChild>
                <w:div w:id="456147509">
                  <w:marLeft w:val="0"/>
                  <w:marRight w:val="0"/>
                  <w:marTop w:val="0"/>
                  <w:marBottom w:val="0"/>
                  <w:divBdr>
                    <w:top w:val="none" w:sz="0" w:space="0" w:color="auto"/>
                    <w:left w:val="none" w:sz="0" w:space="0" w:color="auto"/>
                    <w:bottom w:val="none" w:sz="0" w:space="0" w:color="auto"/>
                    <w:right w:val="none" w:sz="0" w:space="0" w:color="auto"/>
                  </w:divBdr>
                </w:div>
              </w:divsChild>
            </w:div>
            <w:div w:id="80564569">
              <w:marLeft w:val="0"/>
              <w:marRight w:val="0"/>
              <w:marTop w:val="0"/>
              <w:marBottom w:val="0"/>
              <w:divBdr>
                <w:top w:val="none" w:sz="0" w:space="0" w:color="auto"/>
                <w:left w:val="none" w:sz="0" w:space="0" w:color="auto"/>
                <w:bottom w:val="none" w:sz="0" w:space="0" w:color="auto"/>
                <w:right w:val="none" w:sz="0" w:space="0" w:color="auto"/>
              </w:divBdr>
              <w:divsChild>
                <w:div w:id="57104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4801">
          <w:marLeft w:val="0"/>
          <w:marRight w:val="0"/>
          <w:marTop w:val="0"/>
          <w:marBottom w:val="192"/>
          <w:divBdr>
            <w:top w:val="none" w:sz="0" w:space="0" w:color="auto"/>
            <w:left w:val="none" w:sz="0" w:space="0" w:color="auto"/>
            <w:bottom w:val="none" w:sz="0" w:space="0" w:color="auto"/>
            <w:right w:val="none" w:sz="0" w:space="0" w:color="auto"/>
          </w:divBdr>
        </w:div>
      </w:divsChild>
    </w:div>
    <w:div w:id="1136146272">
      <w:bodyDiv w:val="1"/>
      <w:marLeft w:val="0"/>
      <w:marRight w:val="0"/>
      <w:marTop w:val="0"/>
      <w:marBottom w:val="0"/>
      <w:divBdr>
        <w:top w:val="none" w:sz="0" w:space="0" w:color="auto"/>
        <w:left w:val="none" w:sz="0" w:space="0" w:color="auto"/>
        <w:bottom w:val="none" w:sz="0" w:space="0" w:color="auto"/>
        <w:right w:val="none" w:sz="0" w:space="0" w:color="auto"/>
      </w:divBdr>
    </w:div>
    <w:div w:id="1151755105">
      <w:bodyDiv w:val="1"/>
      <w:marLeft w:val="0"/>
      <w:marRight w:val="0"/>
      <w:marTop w:val="0"/>
      <w:marBottom w:val="0"/>
      <w:divBdr>
        <w:top w:val="none" w:sz="0" w:space="0" w:color="auto"/>
        <w:left w:val="none" w:sz="0" w:space="0" w:color="auto"/>
        <w:bottom w:val="none" w:sz="0" w:space="0" w:color="auto"/>
        <w:right w:val="none" w:sz="0" w:space="0" w:color="auto"/>
      </w:divBdr>
      <w:divsChild>
        <w:div w:id="1875388647">
          <w:marLeft w:val="0"/>
          <w:marRight w:val="0"/>
          <w:marTop w:val="0"/>
          <w:marBottom w:val="0"/>
          <w:divBdr>
            <w:top w:val="none" w:sz="0" w:space="0" w:color="auto"/>
            <w:left w:val="none" w:sz="0" w:space="0" w:color="auto"/>
            <w:bottom w:val="none" w:sz="0" w:space="0" w:color="auto"/>
            <w:right w:val="none" w:sz="0" w:space="0" w:color="auto"/>
          </w:divBdr>
        </w:div>
      </w:divsChild>
    </w:div>
    <w:div w:id="1182164694">
      <w:bodyDiv w:val="1"/>
      <w:marLeft w:val="0"/>
      <w:marRight w:val="0"/>
      <w:marTop w:val="0"/>
      <w:marBottom w:val="0"/>
      <w:divBdr>
        <w:top w:val="none" w:sz="0" w:space="0" w:color="auto"/>
        <w:left w:val="none" w:sz="0" w:space="0" w:color="auto"/>
        <w:bottom w:val="none" w:sz="0" w:space="0" w:color="auto"/>
        <w:right w:val="none" w:sz="0" w:space="0" w:color="auto"/>
      </w:divBdr>
    </w:div>
    <w:div w:id="1343238904">
      <w:bodyDiv w:val="1"/>
      <w:marLeft w:val="0"/>
      <w:marRight w:val="0"/>
      <w:marTop w:val="0"/>
      <w:marBottom w:val="0"/>
      <w:divBdr>
        <w:top w:val="none" w:sz="0" w:space="0" w:color="auto"/>
        <w:left w:val="none" w:sz="0" w:space="0" w:color="auto"/>
        <w:bottom w:val="none" w:sz="0" w:space="0" w:color="auto"/>
        <w:right w:val="none" w:sz="0" w:space="0" w:color="auto"/>
      </w:divBdr>
    </w:div>
    <w:div w:id="1365979073">
      <w:bodyDiv w:val="1"/>
      <w:marLeft w:val="0"/>
      <w:marRight w:val="0"/>
      <w:marTop w:val="0"/>
      <w:marBottom w:val="0"/>
      <w:divBdr>
        <w:top w:val="none" w:sz="0" w:space="0" w:color="auto"/>
        <w:left w:val="none" w:sz="0" w:space="0" w:color="auto"/>
        <w:bottom w:val="none" w:sz="0" w:space="0" w:color="auto"/>
        <w:right w:val="none" w:sz="0" w:space="0" w:color="auto"/>
      </w:divBdr>
      <w:divsChild>
        <w:div w:id="1633553694">
          <w:marLeft w:val="0"/>
          <w:marRight w:val="0"/>
          <w:marTop w:val="0"/>
          <w:marBottom w:val="0"/>
          <w:divBdr>
            <w:top w:val="none" w:sz="0" w:space="0" w:color="auto"/>
            <w:left w:val="none" w:sz="0" w:space="0" w:color="auto"/>
            <w:bottom w:val="none" w:sz="0" w:space="0" w:color="auto"/>
            <w:right w:val="none" w:sz="0" w:space="0" w:color="auto"/>
          </w:divBdr>
        </w:div>
      </w:divsChild>
    </w:div>
    <w:div w:id="1415930334">
      <w:bodyDiv w:val="1"/>
      <w:marLeft w:val="0"/>
      <w:marRight w:val="0"/>
      <w:marTop w:val="0"/>
      <w:marBottom w:val="0"/>
      <w:divBdr>
        <w:top w:val="none" w:sz="0" w:space="0" w:color="auto"/>
        <w:left w:val="none" w:sz="0" w:space="0" w:color="auto"/>
        <w:bottom w:val="none" w:sz="0" w:space="0" w:color="auto"/>
        <w:right w:val="none" w:sz="0" w:space="0" w:color="auto"/>
      </w:divBdr>
      <w:divsChild>
        <w:div w:id="1045520676">
          <w:marLeft w:val="0"/>
          <w:marRight w:val="0"/>
          <w:marTop w:val="0"/>
          <w:marBottom w:val="0"/>
          <w:divBdr>
            <w:top w:val="none" w:sz="0" w:space="0" w:color="auto"/>
            <w:left w:val="none" w:sz="0" w:space="0" w:color="auto"/>
            <w:bottom w:val="none" w:sz="0" w:space="0" w:color="auto"/>
            <w:right w:val="none" w:sz="0" w:space="0" w:color="auto"/>
          </w:divBdr>
        </w:div>
      </w:divsChild>
    </w:div>
    <w:div w:id="1420366065">
      <w:bodyDiv w:val="1"/>
      <w:marLeft w:val="0"/>
      <w:marRight w:val="0"/>
      <w:marTop w:val="0"/>
      <w:marBottom w:val="0"/>
      <w:divBdr>
        <w:top w:val="none" w:sz="0" w:space="0" w:color="auto"/>
        <w:left w:val="none" w:sz="0" w:space="0" w:color="auto"/>
        <w:bottom w:val="none" w:sz="0" w:space="0" w:color="auto"/>
        <w:right w:val="none" w:sz="0" w:space="0" w:color="auto"/>
      </w:divBdr>
      <w:divsChild>
        <w:div w:id="699547325">
          <w:marLeft w:val="0"/>
          <w:marRight w:val="0"/>
          <w:marTop w:val="0"/>
          <w:marBottom w:val="192"/>
          <w:divBdr>
            <w:top w:val="none" w:sz="0" w:space="0" w:color="auto"/>
            <w:left w:val="none" w:sz="0" w:space="0" w:color="auto"/>
            <w:bottom w:val="none" w:sz="0" w:space="0" w:color="auto"/>
            <w:right w:val="none" w:sz="0" w:space="0" w:color="auto"/>
          </w:divBdr>
        </w:div>
        <w:div w:id="1850944484">
          <w:marLeft w:val="0"/>
          <w:marRight w:val="0"/>
          <w:marTop w:val="0"/>
          <w:marBottom w:val="192"/>
          <w:divBdr>
            <w:top w:val="none" w:sz="0" w:space="0" w:color="auto"/>
            <w:left w:val="none" w:sz="0" w:space="0" w:color="auto"/>
            <w:bottom w:val="none" w:sz="0" w:space="0" w:color="auto"/>
            <w:right w:val="none" w:sz="0" w:space="0" w:color="auto"/>
          </w:divBdr>
        </w:div>
        <w:div w:id="1583098119">
          <w:marLeft w:val="0"/>
          <w:marRight w:val="0"/>
          <w:marTop w:val="0"/>
          <w:marBottom w:val="192"/>
          <w:divBdr>
            <w:top w:val="none" w:sz="0" w:space="0" w:color="auto"/>
            <w:left w:val="none" w:sz="0" w:space="0" w:color="auto"/>
            <w:bottom w:val="none" w:sz="0" w:space="0" w:color="auto"/>
            <w:right w:val="none" w:sz="0" w:space="0" w:color="auto"/>
          </w:divBdr>
          <w:divsChild>
            <w:div w:id="1608779796">
              <w:marLeft w:val="0"/>
              <w:marRight w:val="0"/>
              <w:marTop w:val="0"/>
              <w:marBottom w:val="0"/>
              <w:divBdr>
                <w:top w:val="none" w:sz="0" w:space="0" w:color="auto"/>
                <w:left w:val="none" w:sz="0" w:space="0" w:color="auto"/>
                <w:bottom w:val="none" w:sz="0" w:space="0" w:color="auto"/>
                <w:right w:val="none" w:sz="0" w:space="0" w:color="auto"/>
              </w:divBdr>
              <w:divsChild>
                <w:div w:id="1348026148">
                  <w:marLeft w:val="0"/>
                  <w:marRight w:val="0"/>
                  <w:marTop w:val="0"/>
                  <w:marBottom w:val="0"/>
                  <w:divBdr>
                    <w:top w:val="none" w:sz="0" w:space="0" w:color="auto"/>
                    <w:left w:val="none" w:sz="0" w:space="0" w:color="auto"/>
                    <w:bottom w:val="none" w:sz="0" w:space="0" w:color="auto"/>
                    <w:right w:val="none" w:sz="0" w:space="0" w:color="auto"/>
                  </w:divBdr>
                </w:div>
              </w:divsChild>
            </w:div>
            <w:div w:id="913205998">
              <w:marLeft w:val="0"/>
              <w:marRight w:val="0"/>
              <w:marTop w:val="0"/>
              <w:marBottom w:val="0"/>
              <w:divBdr>
                <w:top w:val="none" w:sz="0" w:space="0" w:color="auto"/>
                <w:left w:val="none" w:sz="0" w:space="0" w:color="auto"/>
                <w:bottom w:val="none" w:sz="0" w:space="0" w:color="auto"/>
                <w:right w:val="none" w:sz="0" w:space="0" w:color="auto"/>
              </w:divBdr>
              <w:divsChild>
                <w:div w:id="194152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83040">
          <w:marLeft w:val="0"/>
          <w:marRight w:val="0"/>
          <w:marTop w:val="0"/>
          <w:marBottom w:val="192"/>
          <w:divBdr>
            <w:top w:val="none" w:sz="0" w:space="0" w:color="auto"/>
            <w:left w:val="none" w:sz="0" w:space="0" w:color="auto"/>
            <w:bottom w:val="none" w:sz="0" w:space="0" w:color="auto"/>
            <w:right w:val="none" w:sz="0" w:space="0" w:color="auto"/>
          </w:divBdr>
        </w:div>
      </w:divsChild>
    </w:div>
    <w:div w:id="1466655997">
      <w:bodyDiv w:val="1"/>
      <w:marLeft w:val="0"/>
      <w:marRight w:val="0"/>
      <w:marTop w:val="0"/>
      <w:marBottom w:val="0"/>
      <w:divBdr>
        <w:top w:val="none" w:sz="0" w:space="0" w:color="auto"/>
        <w:left w:val="none" w:sz="0" w:space="0" w:color="auto"/>
        <w:bottom w:val="none" w:sz="0" w:space="0" w:color="auto"/>
        <w:right w:val="none" w:sz="0" w:space="0" w:color="auto"/>
      </w:divBdr>
    </w:div>
    <w:div w:id="1478912034">
      <w:bodyDiv w:val="1"/>
      <w:marLeft w:val="0"/>
      <w:marRight w:val="0"/>
      <w:marTop w:val="0"/>
      <w:marBottom w:val="0"/>
      <w:divBdr>
        <w:top w:val="none" w:sz="0" w:space="0" w:color="auto"/>
        <w:left w:val="none" w:sz="0" w:space="0" w:color="auto"/>
        <w:bottom w:val="none" w:sz="0" w:space="0" w:color="auto"/>
        <w:right w:val="none" w:sz="0" w:space="0" w:color="auto"/>
      </w:divBdr>
      <w:divsChild>
        <w:div w:id="849490840">
          <w:marLeft w:val="0"/>
          <w:marRight w:val="0"/>
          <w:marTop w:val="0"/>
          <w:marBottom w:val="0"/>
          <w:divBdr>
            <w:top w:val="none" w:sz="0" w:space="0" w:color="auto"/>
            <w:left w:val="none" w:sz="0" w:space="0" w:color="auto"/>
            <w:bottom w:val="none" w:sz="0" w:space="0" w:color="auto"/>
            <w:right w:val="none" w:sz="0" w:space="0" w:color="auto"/>
          </w:divBdr>
        </w:div>
      </w:divsChild>
    </w:div>
    <w:div w:id="1523668831">
      <w:bodyDiv w:val="1"/>
      <w:marLeft w:val="0"/>
      <w:marRight w:val="0"/>
      <w:marTop w:val="0"/>
      <w:marBottom w:val="0"/>
      <w:divBdr>
        <w:top w:val="none" w:sz="0" w:space="0" w:color="auto"/>
        <w:left w:val="none" w:sz="0" w:space="0" w:color="auto"/>
        <w:bottom w:val="none" w:sz="0" w:space="0" w:color="auto"/>
        <w:right w:val="none" w:sz="0" w:space="0" w:color="auto"/>
      </w:divBdr>
      <w:divsChild>
        <w:div w:id="1473325085">
          <w:marLeft w:val="0"/>
          <w:marRight w:val="0"/>
          <w:marTop w:val="0"/>
          <w:marBottom w:val="192"/>
          <w:divBdr>
            <w:top w:val="none" w:sz="0" w:space="0" w:color="auto"/>
            <w:left w:val="none" w:sz="0" w:space="0" w:color="auto"/>
            <w:bottom w:val="none" w:sz="0" w:space="0" w:color="auto"/>
            <w:right w:val="none" w:sz="0" w:space="0" w:color="auto"/>
          </w:divBdr>
        </w:div>
        <w:div w:id="88814677">
          <w:marLeft w:val="0"/>
          <w:marRight w:val="0"/>
          <w:marTop w:val="0"/>
          <w:marBottom w:val="192"/>
          <w:divBdr>
            <w:top w:val="none" w:sz="0" w:space="0" w:color="auto"/>
            <w:left w:val="none" w:sz="0" w:space="0" w:color="auto"/>
            <w:bottom w:val="none" w:sz="0" w:space="0" w:color="auto"/>
            <w:right w:val="none" w:sz="0" w:space="0" w:color="auto"/>
          </w:divBdr>
        </w:div>
        <w:div w:id="1017005355">
          <w:marLeft w:val="0"/>
          <w:marRight w:val="0"/>
          <w:marTop w:val="0"/>
          <w:marBottom w:val="192"/>
          <w:divBdr>
            <w:top w:val="none" w:sz="0" w:space="0" w:color="auto"/>
            <w:left w:val="none" w:sz="0" w:space="0" w:color="auto"/>
            <w:bottom w:val="none" w:sz="0" w:space="0" w:color="auto"/>
            <w:right w:val="none" w:sz="0" w:space="0" w:color="auto"/>
          </w:divBdr>
        </w:div>
        <w:div w:id="752508099">
          <w:marLeft w:val="0"/>
          <w:marRight w:val="0"/>
          <w:marTop w:val="0"/>
          <w:marBottom w:val="192"/>
          <w:divBdr>
            <w:top w:val="none" w:sz="0" w:space="0" w:color="auto"/>
            <w:left w:val="none" w:sz="0" w:space="0" w:color="auto"/>
            <w:bottom w:val="none" w:sz="0" w:space="0" w:color="auto"/>
            <w:right w:val="none" w:sz="0" w:space="0" w:color="auto"/>
          </w:divBdr>
        </w:div>
      </w:divsChild>
    </w:div>
    <w:div w:id="1627278449">
      <w:bodyDiv w:val="1"/>
      <w:marLeft w:val="0"/>
      <w:marRight w:val="0"/>
      <w:marTop w:val="0"/>
      <w:marBottom w:val="0"/>
      <w:divBdr>
        <w:top w:val="none" w:sz="0" w:space="0" w:color="auto"/>
        <w:left w:val="none" w:sz="0" w:space="0" w:color="auto"/>
        <w:bottom w:val="none" w:sz="0" w:space="0" w:color="auto"/>
        <w:right w:val="none" w:sz="0" w:space="0" w:color="auto"/>
      </w:divBdr>
      <w:divsChild>
        <w:div w:id="255483009">
          <w:marLeft w:val="0"/>
          <w:marRight w:val="0"/>
          <w:marTop w:val="0"/>
          <w:marBottom w:val="0"/>
          <w:divBdr>
            <w:top w:val="none" w:sz="0" w:space="0" w:color="auto"/>
            <w:left w:val="none" w:sz="0" w:space="0" w:color="auto"/>
            <w:bottom w:val="none" w:sz="0" w:space="0" w:color="auto"/>
            <w:right w:val="none" w:sz="0" w:space="0" w:color="auto"/>
          </w:divBdr>
        </w:div>
      </w:divsChild>
    </w:div>
    <w:div w:id="1655717656">
      <w:bodyDiv w:val="1"/>
      <w:marLeft w:val="0"/>
      <w:marRight w:val="0"/>
      <w:marTop w:val="0"/>
      <w:marBottom w:val="0"/>
      <w:divBdr>
        <w:top w:val="none" w:sz="0" w:space="0" w:color="auto"/>
        <w:left w:val="none" w:sz="0" w:space="0" w:color="auto"/>
        <w:bottom w:val="none" w:sz="0" w:space="0" w:color="auto"/>
        <w:right w:val="none" w:sz="0" w:space="0" w:color="auto"/>
      </w:divBdr>
      <w:divsChild>
        <w:div w:id="1789469511">
          <w:marLeft w:val="0"/>
          <w:marRight w:val="0"/>
          <w:marTop w:val="0"/>
          <w:marBottom w:val="0"/>
          <w:divBdr>
            <w:top w:val="none" w:sz="0" w:space="0" w:color="auto"/>
            <w:left w:val="none" w:sz="0" w:space="0" w:color="auto"/>
            <w:bottom w:val="none" w:sz="0" w:space="0" w:color="auto"/>
            <w:right w:val="none" w:sz="0" w:space="0" w:color="auto"/>
          </w:divBdr>
        </w:div>
      </w:divsChild>
    </w:div>
    <w:div w:id="1657294848">
      <w:bodyDiv w:val="1"/>
      <w:marLeft w:val="0"/>
      <w:marRight w:val="0"/>
      <w:marTop w:val="0"/>
      <w:marBottom w:val="0"/>
      <w:divBdr>
        <w:top w:val="none" w:sz="0" w:space="0" w:color="auto"/>
        <w:left w:val="none" w:sz="0" w:space="0" w:color="auto"/>
        <w:bottom w:val="none" w:sz="0" w:space="0" w:color="auto"/>
        <w:right w:val="none" w:sz="0" w:space="0" w:color="auto"/>
      </w:divBdr>
    </w:div>
    <w:div w:id="1692297947">
      <w:bodyDiv w:val="1"/>
      <w:marLeft w:val="0"/>
      <w:marRight w:val="0"/>
      <w:marTop w:val="0"/>
      <w:marBottom w:val="0"/>
      <w:divBdr>
        <w:top w:val="none" w:sz="0" w:space="0" w:color="auto"/>
        <w:left w:val="none" w:sz="0" w:space="0" w:color="auto"/>
        <w:bottom w:val="none" w:sz="0" w:space="0" w:color="auto"/>
        <w:right w:val="none" w:sz="0" w:space="0" w:color="auto"/>
      </w:divBdr>
      <w:divsChild>
        <w:div w:id="40977766">
          <w:marLeft w:val="0"/>
          <w:marRight w:val="0"/>
          <w:marTop w:val="0"/>
          <w:marBottom w:val="0"/>
          <w:divBdr>
            <w:top w:val="none" w:sz="0" w:space="0" w:color="auto"/>
            <w:left w:val="none" w:sz="0" w:space="0" w:color="auto"/>
            <w:bottom w:val="none" w:sz="0" w:space="0" w:color="auto"/>
            <w:right w:val="none" w:sz="0" w:space="0" w:color="auto"/>
          </w:divBdr>
        </w:div>
      </w:divsChild>
    </w:div>
    <w:div w:id="1706564696">
      <w:bodyDiv w:val="1"/>
      <w:marLeft w:val="0"/>
      <w:marRight w:val="0"/>
      <w:marTop w:val="0"/>
      <w:marBottom w:val="0"/>
      <w:divBdr>
        <w:top w:val="none" w:sz="0" w:space="0" w:color="auto"/>
        <w:left w:val="none" w:sz="0" w:space="0" w:color="auto"/>
        <w:bottom w:val="none" w:sz="0" w:space="0" w:color="auto"/>
        <w:right w:val="none" w:sz="0" w:space="0" w:color="auto"/>
      </w:divBdr>
    </w:div>
    <w:div w:id="1706757316">
      <w:bodyDiv w:val="1"/>
      <w:marLeft w:val="0"/>
      <w:marRight w:val="0"/>
      <w:marTop w:val="0"/>
      <w:marBottom w:val="0"/>
      <w:divBdr>
        <w:top w:val="none" w:sz="0" w:space="0" w:color="auto"/>
        <w:left w:val="none" w:sz="0" w:space="0" w:color="auto"/>
        <w:bottom w:val="none" w:sz="0" w:space="0" w:color="auto"/>
        <w:right w:val="none" w:sz="0" w:space="0" w:color="auto"/>
      </w:divBdr>
      <w:divsChild>
        <w:div w:id="982078562">
          <w:marLeft w:val="0"/>
          <w:marRight w:val="0"/>
          <w:marTop w:val="0"/>
          <w:marBottom w:val="0"/>
          <w:divBdr>
            <w:top w:val="none" w:sz="0" w:space="0" w:color="auto"/>
            <w:left w:val="none" w:sz="0" w:space="0" w:color="auto"/>
            <w:bottom w:val="none" w:sz="0" w:space="0" w:color="auto"/>
            <w:right w:val="none" w:sz="0" w:space="0" w:color="auto"/>
          </w:divBdr>
        </w:div>
      </w:divsChild>
    </w:div>
    <w:div w:id="1730611196">
      <w:bodyDiv w:val="1"/>
      <w:marLeft w:val="0"/>
      <w:marRight w:val="0"/>
      <w:marTop w:val="0"/>
      <w:marBottom w:val="0"/>
      <w:divBdr>
        <w:top w:val="none" w:sz="0" w:space="0" w:color="auto"/>
        <w:left w:val="none" w:sz="0" w:space="0" w:color="auto"/>
        <w:bottom w:val="none" w:sz="0" w:space="0" w:color="auto"/>
        <w:right w:val="none" w:sz="0" w:space="0" w:color="auto"/>
      </w:divBdr>
      <w:divsChild>
        <w:div w:id="1201866078">
          <w:marLeft w:val="0"/>
          <w:marRight w:val="0"/>
          <w:marTop w:val="0"/>
          <w:marBottom w:val="0"/>
          <w:divBdr>
            <w:top w:val="none" w:sz="0" w:space="0" w:color="auto"/>
            <w:left w:val="none" w:sz="0" w:space="0" w:color="auto"/>
            <w:bottom w:val="none" w:sz="0" w:space="0" w:color="auto"/>
            <w:right w:val="none" w:sz="0" w:space="0" w:color="auto"/>
          </w:divBdr>
        </w:div>
      </w:divsChild>
    </w:div>
    <w:div w:id="1807894493">
      <w:bodyDiv w:val="1"/>
      <w:marLeft w:val="0"/>
      <w:marRight w:val="0"/>
      <w:marTop w:val="0"/>
      <w:marBottom w:val="0"/>
      <w:divBdr>
        <w:top w:val="none" w:sz="0" w:space="0" w:color="auto"/>
        <w:left w:val="none" w:sz="0" w:space="0" w:color="auto"/>
        <w:bottom w:val="none" w:sz="0" w:space="0" w:color="auto"/>
        <w:right w:val="none" w:sz="0" w:space="0" w:color="auto"/>
      </w:divBdr>
    </w:div>
    <w:div w:id="1812671937">
      <w:bodyDiv w:val="1"/>
      <w:marLeft w:val="0"/>
      <w:marRight w:val="0"/>
      <w:marTop w:val="0"/>
      <w:marBottom w:val="0"/>
      <w:divBdr>
        <w:top w:val="none" w:sz="0" w:space="0" w:color="auto"/>
        <w:left w:val="none" w:sz="0" w:space="0" w:color="auto"/>
        <w:bottom w:val="none" w:sz="0" w:space="0" w:color="auto"/>
        <w:right w:val="none" w:sz="0" w:space="0" w:color="auto"/>
      </w:divBdr>
      <w:divsChild>
        <w:div w:id="1017122596">
          <w:marLeft w:val="0"/>
          <w:marRight w:val="0"/>
          <w:marTop w:val="0"/>
          <w:marBottom w:val="0"/>
          <w:divBdr>
            <w:top w:val="none" w:sz="0" w:space="0" w:color="auto"/>
            <w:left w:val="none" w:sz="0" w:space="0" w:color="auto"/>
            <w:bottom w:val="none" w:sz="0" w:space="0" w:color="auto"/>
            <w:right w:val="none" w:sz="0" w:space="0" w:color="auto"/>
          </w:divBdr>
        </w:div>
      </w:divsChild>
    </w:div>
    <w:div w:id="1821775158">
      <w:bodyDiv w:val="1"/>
      <w:marLeft w:val="0"/>
      <w:marRight w:val="0"/>
      <w:marTop w:val="0"/>
      <w:marBottom w:val="0"/>
      <w:divBdr>
        <w:top w:val="none" w:sz="0" w:space="0" w:color="auto"/>
        <w:left w:val="none" w:sz="0" w:space="0" w:color="auto"/>
        <w:bottom w:val="none" w:sz="0" w:space="0" w:color="auto"/>
        <w:right w:val="none" w:sz="0" w:space="0" w:color="auto"/>
      </w:divBdr>
      <w:divsChild>
        <w:div w:id="1420565215">
          <w:marLeft w:val="0"/>
          <w:marRight w:val="0"/>
          <w:marTop w:val="0"/>
          <w:marBottom w:val="0"/>
          <w:divBdr>
            <w:top w:val="none" w:sz="0" w:space="0" w:color="auto"/>
            <w:left w:val="none" w:sz="0" w:space="0" w:color="auto"/>
            <w:bottom w:val="none" w:sz="0" w:space="0" w:color="auto"/>
            <w:right w:val="none" w:sz="0" w:space="0" w:color="auto"/>
          </w:divBdr>
        </w:div>
      </w:divsChild>
    </w:div>
    <w:div w:id="1918662131">
      <w:bodyDiv w:val="1"/>
      <w:marLeft w:val="0"/>
      <w:marRight w:val="0"/>
      <w:marTop w:val="0"/>
      <w:marBottom w:val="0"/>
      <w:divBdr>
        <w:top w:val="none" w:sz="0" w:space="0" w:color="auto"/>
        <w:left w:val="none" w:sz="0" w:space="0" w:color="auto"/>
        <w:bottom w:val="none" w:sz="0" w:space="0" w:color="auto"/>
        <w:right w:val="none" w:sz="0" w:space="0" w:color="auto"/>
      </w:divBdr>
      <w:divsChild>
        <w:div w:id="325090019">
          <w:marLeft w:val="0"/>
          <w:marRight w:val="0"/>
          <w:marTop w:val="0"/>
          <w:marBottom w:val="0"/>
          <w:divBdr>
            <w:top w:val="none" w:sz="0" w:space="0" w:color="auto"/>
            <w:left w:val="none" w:sz="0" w:space="0" w:color="auto"/>
            <w:bottom w:val="none" w:sz="0" w:space="0" w:color="auto"/>
            <w:right w:val="none" w:sz="0" w:space="0" w:color="auto"/>
          </w:divBdr>
        </w:div>
      </w:divsChild>
    </w:div>
    <w:div w:id="1971281691">
      <w:bodyDiv w:val="1"/>
      <w:marLeft w:val="0"/>
      <w:marRight w:val="0"/>
      <w:marTop w:val="0"/>
      <w:marBottom w:val="0"/>
      <w:divBdr>
        <w:top w:val="none" w:sz="0" w:space="0" w:color="auto"/>
        <w:left w:val="none" w:sz="0" w:space="0" w:color="auto"/>
        <w:bottom w:val="none" w:sz="0" w:space="0" w:color="auto"/>
        <w:right w:val="none" w:sz="0" w:space="0" w:color="auto"/>
      </w:divBdr>
    </w:div>
    <w:div w:id="1984002476">
      <w:bodyDiv w:val="1"/>
      <w:marLeft w:val="0"/>
      <w:marRight w:val="0"/>
      <w:marTop w:val="0"/>
      <w:marBottom w:val="0"/>
      <w:divBdr>
        <w:top w:val="none" w:sz="0" w:space="0" w:color="auto"/>
        <w:left w:val="none" w:sz="0" w:space="0" w:color="auto"/>
        <w:bottom w:val="none" w:sz="0" w:space="0" w:color="auto"/>
        <w:right w:val="none" w:sz="0" w:space="0" w:color="auto"/>
      </w:divBdr>
      <w:divsChild>
        <w:div w:id="466974498">
          <w:marLeft w:val="0"/>
          <w:marRight w:val="0"/>
          <w:marTop w:val="0"/>
          <w:marBottom w:val="0"/>
          <w:divBdr>
            <w:top w:val="none" w:sz="0" w:space="0" w:color="auto"/>
            <w:left w:val="none" w:sz="0" w:space="0" w:color="auto"/>
            <w:bottom w:val="none" w:sz="0" w:space="0" w:color="auto"/>
            <w:right w:val="none" w:sz="0" w:space="0" w:color="auto"/>
          </w:divBdr>
        </w:div>
      </w:divsChild>
    </w:div>
    <w:div w:id="1984501356">
      <w:bodyDiv w:val="1"/>
      <w:marLeft w:val="0"/>
      <w:marRight w:val="0"/>
      <w:marTop w:val="0"/>
      <w:marBottom w:val="0"/>
      <w:divBdr>
        <w:top w:val="none" w:sz="0" w:space="0" w:color="auto"/>
        <w:left w:val="none" w:sz="0" w:space="0" w:color="auto"/>
        <w:bottom w:val="none" w:sz="0" w:space="0" w:color="auto"/>
        <w:right w:val="none" w:sz="0" w:space="0" w:color="auto"/>
      </w:divBdr>
      <w:divsChild>
        <w:div w:id="1227299398">
          <w:marLeft w:val="0"/>
          <w:marRight w:val="0"/>
          <w:marTop w:val="0"/>
          <w:marBottom w:val="0"/>
          <w:divBdr>
            <w:top w:val="none" w:sz="0" w:space="0" w:color="auto"/>
            <w:left w:val="none" w:sz="0" w:space="0" w:color="auto"/>
            <w:bottom w:val="none" w:sz="0" w:space="0" w:color="auto"/>
            <w:right w:val="none" w:sz="0" w:space="0" w:color="auto"/>
          </w:divBdr>
        </w:div>
      </w:divsChild>
    </w:div>
    <w:div w:id="2035963517">
      <w:bodyDiv w:val="1"/>
      <w:marLeft w:val="0"/>
      <w:marRight w:val="0"/>
      <w:marTop w:val="0"/>
      <w:marBottom w:val="0"/>
      <w:divBdr>
        <w:top w:val="none" w:sz="0" w:space="0" w:color="auto"/>
        <w:left w:val="none" w:sz="0" w:space="0" w:color="auto"/>
        <w:bottom w:val="none" w:sz="0" w:space="0" w:color="auto"/>
        <w:right w:val="none" w:sz="0" w:space="0" w:color="auto"/>
      </w:divBdr>
      <w:divsChild>
        <w:div w:id="298270447">
          <w:marLeft w:val="0"/>
          <w:marRight w:val="0"/>
          <w:marTop w:val="0"/>
          <w:marBottom w:val="192"/>
          <w:divBdr>
            <w:top w:val="none" w:sz="0" w:space="0" w:color="auto"/>
            <w:left w:val="none" w:sz="0" w:space="0" w:color="auto"/>
            <w:bottom w:val="none" w:sz="0" w:space="0" w:color="auto"/>
            <w:right w:val="none" w:sz="0" w:space="0" w:color="auto"/>
          </w:divBdr>
        </w:div>
        <w:div w:id="2121993967">
          <w:marLeft w:val="0"/>
          <w:marRight w:val="0"/>
          <w:marTop w:val="0"/>
          <w:marBottom w:val="192"/>
          <w:divBdr>
            <w:top w:val="none" w:sz="0" w:space="0" w:color="auto"/>
            <w:left w:val="none" w:sz="0" w:space="0" w:color="auto"/>
            <w:bottom w:val="none" w:sz="0" w:space="0" w:color="auto"/>
            <w:right w:val="none" w:sz="0" w:space="0" w:color="auto"/>
          </w:divBdr>
        </w:div>
        <w:div w:id="1926375916">
          <w:marLeft w:val="0"/>
          <w:marRight w:val="0"/>
          <w:marTop w:val="0"/>
          <w:marBottom w:val="192"/>
          <w:divBdr>
            <w:top w:val="none" w:sz="0" w:space="0" w:color="auto"/>
            <w:left w:val="none" w:sz="0" w:space="0" w:color="auto"/>
            <w:bottom w:val="none" w:sz="0" w:space="0" w:color="auto"/>
            <w:right w:val="none" w:sz="0" w:space="0" w:color="auto"/>
          </w:divBdr>
        </w:div>
        <w:div w:id="1472402500">
          <w:marLeft w:val="0"/>
          <w:marRight w:val="0"/>
          <w:marTop w:val="0"/>
          <w:marBottom w:val="192"/>
          <w:divBdr>
            <w:top w:val="none" w:sz="0" w:space="0" w:color="auto"/>
            <w:left w:val="none" w:sz="0" w:space="0" w:color="auto"/>
            <w:bottom w:val="none" w:sz="0" w:space="0" w:color="auto"/>
            <w:right w:val="none" w:sz="0" w:space="0" w:color="auto"/>
          </w:divBdr>
        </w:div>
      </w:divsChild>
    </w:div>
    <w:div w:id="2089382811">
      <w:bodyDiv w:val="1"/>
      <w:marLeft w:val="0"/>
      <w:marRight w:val="0"/>
      <w:marTop w:val="0"/>
      <w:marBottom w:val="0"/>
      <w:divBdr>
        <w:top w:val="none" w:sz="0" w:space="0" w:color="auto"/>
        <w:left w:val="none" w:sz="0" w:space="0" w:color="auto"/>
        <w:bottom w:val="none" w:sz="0" w:space="0" w:color="auto"/>
        <w:right w:val="none" w:sz="0" w:space="0" w:color="auto"/>
      </w:divBdr>
      <w:divsChild>
        <w:div w:id="148404522">
          <w:marLeft w:val="0"/>
          <w:marRight w:val="0"/>
          <w:marTop w:val="0"/>
          <w:marBottom w:val="0"/>
          <w:divBdr>
            <w:top w:val="none" w:sz="0" w:space="0" w:color="auto"/>
            <w:left w:val="none" w:sz="0" w:space="0" w:color="auto"/>
            <w:bottom w:val="none" w:sz="0" w:space="0" w:color="auto"/>
            <w:right w:val="none" w:sz="0" w:space="0" w:color="auto"/>
          </w:divBdr>
        </w:div>
      </w:divsChild>
    </w:div>
    <w:div w:id="2129082316">
      <w:bodyDiv w:val="1"/>
      <w:marLeft w:val="0"/>
      <w:marRight w:val="0"/>
      <w:marTop w:val="0"/>
      <w:marBottom w:val="0"/>
      <w:divBdr>
        <w:top w:val="none" w:sz="0" w:space="0" w:color="auto"/>
        <w:left w:val="none" w:sz="0" w:space="0" w:color="auto"/>
        <w:bottom w:val="none" w:sz="0" w:space="0" w:color="auto"/>
        <w:right w:val="none" w:sz="0" w:space="0" w:color="auto"/>
      </w:divBdr>
      <w:divsChild>
        <w:div w:id="611791165">
          <w:marLeft w:val="0"/>
          <w:marRight w:val="0"/>
          <w:marTop w:val="0"/>
          <w:marBottom w:val="0"/>
          <w:divBdr>
            <w:top w:val="none" w:sz="0" w:space="0" w:color="auto"/>
            <w:left w:val="none" w:sz="0" w:space="0" w:color="auto"/>
            <w:bottom w:val="none" w:sz="0" w:space="0" w:color="auto"/>
            <w:right w:val="none" w:sz="0" w:space="0" w:color="auto"/>
          </w:divBdr>
        </w:div>
      </w:divsChild>
    </w:div>
    <w:div w:id="214731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zhodnuti.nsoud.cz/Judikatura/att.nsf/at/C412F89567391D35C1258C93001BAE51/$file/30%20Cdo%201849_2024.pdf?openEleme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zisoudy.cz/databaze-judikatury/vysledky?sit=decisions&amp;sdbi=1,2,3,4&amp;dqi=29226/03&amp;orderBy=date-desc" TargetMode="External"/><Relationship Id="rId4" Type="http://schemas.openxmlformats.org/officeDocument/2006/relationships/settings" Target="settings.xml"/><Relationship Id="rId9" Type="http://schemas.openxmlformats.org/officeDocument/2006/relationships/hyperlink" Target="https://mezisoudy.cz/databaze-judikatury/vysledky?sit=decisions&amp;sdbi=1,2,3,4&amp;dqi=28940/95&amp;orderBy=date-desc"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A88B2-1CFA-4CD7-929C-9688F0D45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42</Pages>
  <Words>21912</Words>
  <Characters>129285</Characters>
  <Application>Microsoft Office Word</Application>
  <DocSecurity>0</DocSecurity>
  <Lines>1077</Lines>
  <Paragraphs>301</Paragraphs>
  <ScaleCrop>false</ScaleCrop>
  <HeadingPairs>
    <vt:vector size="2" baseType="variant">
      <vt:variant>
        <vt:lpstr>Název</vt:lpstr>
      </vt:variant>
      <vt:variant>
        <vt:i4>1</vt:i4>
      </vt:variant>
    </vt:vector>
  </HeadingPairs>
  <TitlesOfParts>
    <vt:vector size="1" baseType="lpstr">
      <vt:lpstr/>
    </vt:vector>
  </TitlesOfParts>
  <Company>Ministerstvo spravedlnosti ČR</Company>
  <LinksUpToDate>false</LinksUpToDate>
  <CharactersWithSpaces>150896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Trešlová Lenka Mgr.</dc:creator>
  <cp:keywords/>
  <dc:description/>
  <cp:lastModifiedBy>Trešlová Lenka Mgr.</cp:lastModifiedBy>
  <cp:revision>96</cp:revision>
  <dcterms:created xsi:type="dcterms:W3CDTF">2026-04-22T10:33:00Z</dcterms:created>
  <dcterms:modified xsi:type="dcterms:W3CDTF">2026-04-27T16:09:00Z</dcterms:modified>
</cp:coreProperties>
</file>