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0E5D" w14:textId="629D8EA5" w:rsidR="00A77B3E" w:rsidRPr="00131B8C" w:rsidRDefault="00131B8C" w:rsidP="00131B8C">
      <w:pPr>
        <w:jc w:val="right"/>
        <w:rPr>
          <w:sz w:val="48"/>
          <w:szCs w:val="48"/>
        </w:rPr>
      </w:pPr>
      <w:r w:rsidRPr="00131B8C">
        <w:rPr>
          <w:sz w:val="48"/>
          <w:szCs w:val="48"/>
        </w:rPr>
        <w:t>III.</w:t>
      </w:r>
    </w:p>
    <w:p w14:paraId="2D22B750" w14:textId="77777777" w:rsidR="00A77B3E" w:rsidRDefault="00A77B3E">
      <w:pPr>
        <w:pStyle w:val="1"/>
      </w:pPr>
    </w:p>
    <w:p w14:paraId="27DF5460" w14:textId="77777777" w:rsidR="00A77B3E" w:rsidRDefault="00A77B3E">
      <w:pPr>
        <w:pStyle w:val="1"/>
      </w:pPr>
    </w:p>
    <w:p w14:paraId="3DB4B853" w14:textId="77777777" w:rsidR="00A77B3E" w:rsidRDefault="00D823D2">
      <w:pPr>
        <w:pStyle w:val="2"/>
      </w:pPr>
      <w:r>
        <w:t>…</w:t>
      </w:r>
    </w:p>
    <w:p w14:paraId="59100CA3" w14:textId="77777777" w:rsidR="00A77B3E" w:rsidRDefault="00D823D2">
      <w:pPr>
        <w:pStyle w:val="3"/>
      </w:pPr>
      <w:r>
        <w:t>NAŘÍZENÍ VLÁDY</w:t>
      </w:r>
    </w:p>
    <w:p w14:paraId="57C1A3CD" w14:textId="77777777" w:rsidR="00A77B3E" w:rsidRDefault="00D823D2">
      <w:pPr>
        <w:pStyle w:val="4"/>
      </w:pPr>
      <w:r>
        <w:t xml:space="preserve">ze dne …, </w:t>
      </w:r>
    </w:p>
    <w:p w14:paraId="3AB5E077" w14:textId="77777777" w:rsidR="00A77B3E" w:rsidRDefault="00D823D2">
      <w:pPr>
        <w:pStyle w:val="5"/>
      </w:pPr>
      <w:r>
        <w:t>kterým se mění nařízení vlády č. 467/2009 Sb., kterým se pro účely trestního zákoníku stanoví, co se považuje za jedy a jaké je množství větší než malé u omamných látek, psychotropních látek, přípravků je obsahujících a jedů, ve znění pozdějších předpisů</w:t>
      </w:r>
    </w:p>
    <w:p w14:paraId="6E710BC5" w14:textId="77777777" w:rsidR="00A77B3E" w:rsidRDefault="00D823D2">
      <w:pPr>
        <w:pStyle w:val="6"/>
      </w:pPr>
      <w:r>
        <w:t>Vláda nařizuje podle § 289 odst. 2 zákona č. 40/2009 Sb., trestní zákoník, ve znění nálezu Ústavního soudu, vyhlášeného pod č. 259/2013 Sb.:</w:t>
      </w:r>
    </w:p>
    <w:p w14:paraId="01DD7CE8" w14:textId="77777777" w:rsidR="00A77B3E" w:rsidRDefault="00A77B3E">
      <w:pPr>
        <w:pStyle w:val="1"/>
      </w:pPr>
    </w:p>
    <w:p w14:paraId="290D78F8" w14:textId="77777777" w:rsidR="00A77B3E" w:rsidRDefault="00D823D2">
      <w:pPr>
        <w:pStyle w:val="7"/>
      </w:pPr>
      <w:r>
        <w:t>Čl. I</w:t>
      </w:r>
    </w:p>
    <w:p w14:paraId="04E68DC7" w14:textId="77777777" w:rsidR="00A77B3E" w:rsidRDefault="00D823D2">
      <w:pPr>
        <w:pStyle w:val="8"/>
      </w:pPr>
      <w:r>
        <w:t>Nařízení vlády č. 467/2009 Sb., kterým se pro účely trestního zákoníku stanoví, co se považuje za jedy a jaké je množství větší než malé u omamných látek, psychotropních látek, přípravků je obsahujících a jedů, ve znění nařízení vlády č. 4/2012 Sb. a nálezu Ústavního soudu, vyhlášeného pod č. 259/2013 Sb., se mění takto:</w:t>
      </w:r>
    </w:p>
    <w:p w14:paraId="1BD9C0F2" w14:textId="77777777" w:rsidR="00A77B3E" w:rsidRDefault="00D823D2">
      <w:pPr>
        <w:pStyle w:val="9"/>
      </w:pPr>
      <w:r>
        <w:t>1.   V tabulce přílohy č. 1 se řádek, ve kterém jsou ve sloupci s názvem „Název vysoce toxické chemické látky“ uvedena slova „Chlorid rtuťnatý“, zrušuje.</w:t>
      </w:r>
    </w:p>
    <w:p w14:paraId="0BCBB97E" w14:textId="77777777" w:rsidR="00A77B3E" w:rsidRDefault="00D823D2">
      <w:pPr>
        <w:pStyle w:val="10"/>
      </w:pPr>
      <w:r>
        <w:t>2.   V tabulce přílohy č. 1 se řádek, ve kterém jsou ve sloupci s názvem „Název vysoce toxické chemické látky“ uvedena slova „Rtuť, anorganické sloučeniny (s výjimkou sirníku rtuťnatého)“, zrušuje.</w:t>
      </w:r>
    </w:p>
    <w:p w14:paraId="2197C562" w14:textId="77777777" w:rsidR="00A77B3E" w:rsidRDefault="00D823D2">
      <w:pPr>
        <w:pStyle w:val="10"/>
      </w:pPr>
      <w:r>
        <w:t>3.   V tabulce přílohy č. 1 se řádek, ve kterém je ve sloupci s názvem „Název vysoce toxické chemické látky“ uvedeno slovo „Rtuť“, zrušuje.</w:t>
      </w:r>
    </w:p>
    <w:p w14:paraId="567BF354" w14:textId="77777777" w:rsidR="00A77B3E" w:rsidRDefault="00D823D2">
      <w:pPr>
        <w:pStyle w:val="11"/>
      </w:pPr>
      <w:r>
        <w:t>4.   V tabulce přílohy č. 1 se řádek, ve kterém jsou ve sloupci s názvem „Název vysoce toxické chemické látky“ uvedena slova „Rtuť, organické sloučeniny“, zrušuje.</w:t>
      </w:r>
    </w:p>
    <w:p w14:paraId="6C32B63A" w14:textId="77777777" w:rsidR="00A77B3E" w:rsidRDefault="00D823D2">
      <w:pPr>
        <w:pStyle w:val="7"/>
      </w:pPr>
      <w:r>
        <w:t>Čl. II</w:t>
      </w:r>
    </w:p>
    <w:p w14:paraId="7085D1AB" w14:textId="77777777" w:rsidR="00A77B3E" w:rsidRDefault="00D823D2">
      <w:pPr>
        <w:pStyle w:val="12"/>
      </w:pPr>
      <w:r>
        <w:t>Účinnost</w:t>
      </w:r>
    </w:p>
    <w:p w14:paraId="58C97E09" w14:textId="77777777" w:rsidR="00A77B3E" w:rsidRDefault="00A77B3E">
      <w:pPr>
        <w:pStyle w:val="1"/>
      </w:pPr>
    </w:p>
    <w:p w14:paraId="44F51548" w14:textId="77777777" w:rsidR="00A77B3E" w:rsidRDefault="00D823D2">
      <w:pPr>
        <w:pStyle w:val="8"/>
      </w:pPr>
      <w:r>
        <w:t>Toto nařízení nabývá účinnosti prvním dnem kalendářního měsíce následujícího po dni jeho vyhlášení.</w:t>
      </w:r>
    </w:p>
    <w:p w14:paraId="093E4839" w14:textId="77777777" w:rsidR="00A77B3E" w:rsidRDefault="00A77B3E">
      <w:pPr>
        <w:pStyle w:val="1"/>
      </w:pPr>
    </w:p>
    <w:sectPr w:rsidR="00A77B3E">
      <w:headerReference w:type="even" r:id="rId6"/>
      <w:headerReference w:type="default" r:id="rId7"/>
      <w:headerReference w:type="first" r:id="rId8"/>
      <w:pgSz w:w="12240" w:h="15840"/>
      <w:pgMar w:top="1417" w:right="1417" w:bottom="1417" w:left="1417" w:header="40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D901" w14:textId="77777777" w:rsidR="00D823D2" w:rsidRDefault="00D823D2">
      <w:r>
        <w:separator/>
      </w:r>
    </w:p>
  </w:endnote>
  <w:endnote w:type="continuationSeparator" w:id="0">
    <w:p w14:paraId="067D74F6" w14:textId="77777777" w:rsidR="00D823D2" w:rsidRDefault="00D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7DE2" w14:textId="77777777" w:rsidR="00D823D2" w:rsidRDefault="00D823D2">
      <w:r>
        <w:separator/>
      </w:r>
    </w:p>
  </w:footnote>
  <w:footnote w:type="continuationSeparator" w:id="0">
    <w:p w14:paraId="0AFC9BC1" w14:textId="77777777" w:rsidR="00D823D2" w:rsidRDefault="00D8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1A7EE0" w14:paraId="3CCF31D9" w14:textId="77777777">
      <w:tc>
        <w:tcPr>
          <w:tcW w:w="0" w:type="auto"/>
          <w:gridSpan w:val="4"/>
        </w:tcPr>
        <w:p w14:paraId="18B397B1" w14:textId="77777777" w:rsidR="001A7EE0" w:rsidRDefault="001A7EE0">
          <w:pPr>
            <w:pStyle w:val="HlavickaZlutyText"/>
            <w:jc w:val="center"/>
          </w:pPr>
        </w:p>
      </w:tc>
    </w:tr>
    <w:tr w:rsidR="001A7EE0" w14:paraId="46E9A147" w14:textId="77777777">
      <w:tblPrEx>
        <w:tblBorders>
          <w:bottom w:val="single" w:sz="12" w:space="0" w:color="000000"/>
        </w:tblBorders>
      </w:tblPrEx>
      <w:tc>
        <w:tcPr>
          <w:tcW w:w="1000" w:type="pct"/>
        </w:tcPr>
        <w:p w14:paraId="73B835C9" w14:textId="77777777" w:rsidR="001A7EE0" w:rsidRDefault="00D823D2">
          <w:pPr>
            <w:pStyle w:val="Hlavicka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 w14:paraId="7CF445B2" w14:textId="77777777" w:rsidR="001A7EE0" w:rsidRDefault="00D823D2"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 w14:paraId="4222AA3C" w14:textId="77777777" w:rsidR="001A7EE0" w:rsidRDefault="001A7EE0">
          <w:pPr>
            <w:pStyle w:val="Hlavicka"/>
            <w:jc w:val="right"/>
          </w:pPr>
        </w:p>
      </w:tc>
    </w:tr>
    <w:tr w:rsidR="001A7EE0" w14:paraId="4E858877" w14:textId="77777777">
      <w:tc>
        <w:tcPr>
          <w:tcW w:w="2500" w:type="pct"/>
          <w:gridSpan w:val="2"/>
        </w:tcPr>
        <w:p w14:paraId="0BDD06B3" w14:textId="77777777" w:rsidR="001A7EE0" w:rsidRDefault="00D823D2">
          <w:pPr>
            <w:pStyle w:val="Hlavicka"/>
          </w:pPr>
          <w:r>
            <w:t>Uzavřená verze: 2026-0075-008-TVO</w:t>
          </w:r>
        </w:p>
      </w:tc>
      <w:tc>
        <w:tcPr>
          <w:tcW w:w="2500" w:type="pct"/>
          <w:gridSpan w:val="2"/>
        </w:tcPr>
        <w:p w14:paraId="3956B5B4" w14:textId="77777777" w:rsidR="001A7EE0" w:rsidRDefault="001A7EE0">
          <w:pPr>
            <w:pStyle w:val="Hlavicka"/>
            <w:jc w:val="right"/>
          </w:pPr>
        </w:p>
      </w:tc>
    </w:tr>
  </w:tbl>
  <w:p w14:paraId="73D12168" w14:textId="77777777" w:rsidR="001A7EE0" w:rsidRDefault="001A7EE0"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1A7EE0" w14:paraId="1641FAF0" w14:textId="77777777">
      <w:tc>
        <w:tcPr>
          <w:tcW w:w="2500" w:type="pct"/>
          <w:gridSpan w:val="4"/>
        </w:tcPr>
        <w:p w14:paraId="256B08EC" w14:textId="77777777" w:rsidR="001A7EE0" w:rsidRDefault="001A7EE0">
          <w:pPr>
            <w:pStyle w:val="HlavickaZlutyText"/>
            <w:jc w:val="center"/>
          </w:pPr>
        </w:p>
      </w:tc>
    </w:tr>
    <w:tr w:rsidR="001A7EE0" w14:paraId="41A8D745" w14:textId="77777777">
      <w:tblPrEx>
        <w:tblBorders>
          <w:bottom w:val="single" w:sz="12" w:space="0" w:color="000000"/>
        </w:tblBorders>
      </w:tblPrEx>
      <w:tc>
        <w:tcPr>
          <w:tcW w:w="1000" w:type="pct"/>
        </w:tcPr>
        <w:p w14:paraId="7C447B50" w14:textId="77777777" w:rsidR="001A7EE0" w:rsidRDefault="001A7EE0">
          <w:pPr>
            <w:pStyle w:val="Hlavicka"/>
          </w:pPr>
        </w:p>
      </w:tc>
      <w:tc>
        <w:tcPr>
          <w:tcW w:w="3000" w:type="pct"/>
          <w:gridSpan w:val="2"/>
        </w:tcPr>
        <w:p w14:paraId="6A3B99C1" w14:textId="77777777" w:rsidR="001A7EE0" w:rsidRDefault="00D823D2"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 w14:paraId="0B867E52" w14:textId="77777777" w:rsidR="001A7EE0" w:rsidRDefault="00D823D2"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31B8C">
            <w:rPr>
              <w:noProof/>
            </w:rPr>
            <w:t>1</w:t>
          </w:r>
          <w:r>
            <w:fldChar w:fldCharType="end"/>
          </w:r>
        </w:p>
      </w:tc>
    </w:tr>
    <w:tr w:rsidR="001A7EE0" w14:paraId="08A9D212" w14:textId="77777777">
      <w:tc>
        <w:tcPr>
          <w:tcW w:w="2500" w:type="pct"/>
          <w:gridSpan w:val="2"/>
        </w:tcPr>
        <w:p w14:paraId="055756D9" w14:textId="77777777" w:rsidR="001A7EE0" w:rsidRDefault="001A7EE0">
          <w:pPr>
            <w:pStyle w:val="Hlavicka"/>
          </w:pPr>
        </w:p>
      </w:tc>
      <w:tc>
        <w:tcPr>
          <w:tcW w:w="2500" w:type="pct"/>
          <w:gridSpan w:val="2"/>
        </w:tcPr>
        <w:p w14:paraId="02AB8213" w14:textId="77777777" w:rsidR="001A7EE0" w:rsidRDefault="00D823D2">
          <w:pPr>
            <w:pStyle w:val="Hlavicka"/>
            <w:jc w:val="right"/>
          </w:pPr>
          <w:r>
            <w:t>Uzavřená verze: 2026-0075-008-TVO</w:t>
          </w:r>
        </w:p>
      </w:tc>
    </w:tr>
  </w:tbl>
  <w:p w14:paraId="75ECB4BC" w14:textId="77777777" w:rsidR="001A7EE0" w:rsidRDefault="001A7EE0"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406"/>
    </w:tblGrid>
    <w:tr w:rsidR="001A7EE0" w14:paraId="51106370" w14:textId="77777777">
      <w:tc>
        <w:tcPr>
          <w:tcW w:w="0" w:type="auto"/>
        </w:tcPr>
        <w:p w14:paraId="385FDF90" w14:textId="77777777" w:rsidR="001A7EE0" w:rsidRDefault="001A7EE0">
          <w:pPr>
            <w:pStyle w:val="HlavickaZlutyText"/>
            <w:jc w:val="center"/>
          </w:pPr>
        </w:p>
      </w:tc>
    </w:tr>
    <w:tr w:rsidR="001A7EE0" w14:paraId="7A0A7D80" w14:textId="77777777">
      <w:tc>
        <w:tcPr>
          <w:tcW w:w="0" w:type="auto"/>
        </w:tcPr>
        <w:p w14:paraId="7CC3AE81" w14:textId="77777777" w:rsidR="001A7EE0" w:rsidRDefault="001A7EE0">
          <w:pPr>
            <w:pStyle w:val="Hlavicka"/>
            <w:jc w:val="right"/>
          </w:pPr>
        </w:p>
      </w:tc>
    </w:tr>
  </w:tbl>
  <w:p w14:paraId="7F7D9467" w14:textId="77777777" w:rsidR="001A7EE0" w:rsidRDefault="001A7EE0"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31B8C"/>
    <w:rsid w:val="001A71C9"/>
    <w:rsid w:val="001A7EE0"/>
    <w:rsid w:val="00A77B3E"/>
    <w:rsid w:val="00CA2A55"/>
    <w:rsid w:val="00D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44A82"/>
  <w15:docId w15:val="{61282038-0FB8-460A-A657-923A82C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rPr>
      <w:i/>
    </w:rPr>
  </w:style>
  <w:style w:type="paragraph" w:customStyle="1" w:styleId="HlavickaZlutyText">
    <w:name w:val="HlavickaZlutyText"/>
    <w:rPr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after="100"/>
    </w:pPr>
    <w:rPr>
      <w:b/>
      <w:i/>
      <w:color w:val="800080"/>
    </w:rPr>
  </w:style>
  <w:style w:type="paragraph" w:customStyle="1" w:styleId="Variantakonec">
    <w:name w:val="Varianta_konec"/>
    <w:pPr>
      <w:pBdr>
        <w:bottom w:val="single" w:sz="8" w:space="0" w:color="800080"/>
      </w:pBdr>
      <w:spacing w:after="100"/>
    </w:pPr>
    <w:rPr>
      <w:b/>
      <w:i/>
      <w:color w:val="800080"/>
    </w:rPr>
  </w:style>
  <w:style w:type="paragraph" w:customStyle="1" w:styleId="Ucinnoststart">
    <w:name w:val="Ucinnost_start"/>
    <w:pPr>
      <w:pBdr>
        <w:top w:val="single" w:sz="8" w:space="0" w:color="8B0000"/>
      </w:pBdr>
      <w:spacing w:after="100"/>
    </w:pPr>
    <w:rPr>
      <w:b/>
      <w:i/>
      <w:color w:val="8B0000"/>
    </w:rPr>
  </w:style>
  <w:style w:type="paragraph" w:customStyle="1" w:styleId="Ucinnostkonec">
    <w:name w:val="Ucinnost_konec"/>
    <w:pPr>
      <w:pBdr>
        <w:bottom w:val="single" w:sz="8" w:space="0" w:color="8B0000"/>
      </w:pBdr>
      <w:spacing w:after="100"/>
    </w:pPr>
    <w:rPr>
      <w:b/>
      <w:i/>
      <w:color w:val="8B0000"/>
    </w:rPr>
  </w:style>
  <w:style w:type="paragraph" w:customStyle="1" w:styleId="Celex">
    <w:name w:val="Celex"/>
    <w:pPr>
      <w:spacing w:before="120" w:after="120"/>
    </w:pPr>
    <w:rPr>
      <w:i/>
    </w:rPr>
  </w:style>
  <w:style w:type="paragraph" w:customStyle="1" w:styleId="Pripominkystart">
    <w:name w:val="Pripominky_start"/>
    <w:pPr>
      <w:pBdr>
        <w:top w:val="single" w:sz="8" w:space="0" w:color="87CEFA"/>
      </w:pBdr>
      <w:spacing w:after="100"/>
      <w:jc w:val="right"/>
    </w:pPr>
    <w:rPr>
      <w:b/>
      <w:i/>
      <w:color w:val="87CEFA"/>
    </w:rPr>
  </w:style>
  <w:style w:type="paragraph" w:customStyle="1" w:styleId="1">
    <w:name w:val="1"/>
    <w:pPr>
      <w:spacing w:before="11"/>
    </w:pPr>
    <w:rPr>
      <w:sz w:val="0"/>
    </w:rPr>
  </w:style>
  <w:style w:type="paragraph" w:customStyle="1" w:styleId="2">
    <w:name w:val="2"/>
    <w:pPr>
      <w:spacing w:before="57" w:after="227"/>
      <w:jc w:val="center"/>
    </w:pPr>
    <w:rPr>
      <w:b/>
      <w:sz w:val="32"/>
    </w:rPr>
  </w:style>
  <w:style w:type="paragraph" w:customStyle="1" w:styleId="3">
    <w:name w:val="3"/>
    <w:pPr>
      <w:ind w:left="680" w:right="680"/>
      <w:jc w:val="center"/>
    </w:pPr>
    <w:rPr>
      <w:b/>
      <w:caps/>
      <w:sz w:val="32"/>
    </w:rPr>
  </w:style>
  <w:style w:type="paragraph" w:customStyle="1" w:styleId="4">
    <w:name w:val="4"/>
    <w:pPr>
      <w:spacing w:after="170"/>
      <w:ind w:left="850" w:right="850"/>
      <w:jc w:val="center"/>
    </w:pPr>
    <w:rPr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b/>
      <w:sz w:val="34"/>
    </w:rPr>
  </w:style>
  <w:style w:type="paragraph" w:customStyle="1" w:styleId="6">
    <w:name w:val="6"/>
    <w:pPr>
      <w:spacing w:before="283" w:after="340"/>
    </w:pPr>
    <w:rPr>
      <w:sz w:val="30"/>
    </w:rPr>
  </w:style>
  <w:style w:type="paragraph" w:customStyle="1" w:styleId="7">
    <w:name w:val="7"/>
    <w:pPr>
      <w:spacing w:before="227" w:after="113"/>
      <w:jc w:val="center"/>
    </w:pPr>
    <w:rPr>
      <w:sz w:val="28"/>
    </w:rPr>
  </w:style>
  <w:style w:type="paragraph" w:customStyle="1" w:styleId="8">
    <w:name w:val="8"/>
    <w:pPr>
      <w:spacing w:after="57"/>
      <w:jc w:val="both"/>
    </w:pPr>
    <w:rPr>
      <w:sz w:val="24"/>
    </w:rPr>
  </w:style>
  <w:style w:type="paragraph" w:customStyle="1" w:styleId="9">
    <w:name w:val="9"/>
    <w:pPr>
      <w:spacing w:after="28"/>
      <w:ind w:left="340" w:hanging="340"/>
      <w:jc w:val="both"/>
    </w:pPr>
    <w:rPr>
      <w:sz w:val="24"/>
    </w:rPr>
  </w:style>
  <w:style w:type="paragraph" w:customStyle="1" w:styleId="Varianta9start">
    <w:name w:val="Varianta_9_start"/>
    <w:pPr>
      <w:pBdr>
        <w:top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Varianta9konec">
    <w:name w:val="Varianta_9_konec"/>
    <w:pPr>
      <w:pBdr>
        <w:bottom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Ucinnost9start">
    <w:name w:val="Ucinnost_9_start"/>
    <w:pPr>
      <w:pBdr>
        <w:top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Ucinnost9konec">
    <w:name w:val="Ucinnost_9_konec"/>
    <w:pPr>
      <w:pBdr>
        <w:bottom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Pripominky9start">
    <w:name w:val="Pripominky_9_start"/>
    <w:pPr>
      <w:pBdr>
        <w:top w:val="single" w:sz="8" w:space="0" w:color="87CEFA"/>
      </w:pBdr>
      <w:spacing w:after="100"/>
      <w:ind w:left="340"/>
      <w:jc w:val="right"/>
    </w:pPr>
    <w:rPr>
      <w:b/>
      <w:i/>
      <w:color w:val="87CEFA"/>
    </w:rPr>
  </w:style>
  <w:style w:type="paragraph" w:customStyle="1" w:styleId="10">
    <w:name w:val="10"/>
    <w:pPr>
      <w:spacing w:before="28" w:after="28"/>
      <w:ind w:left="340" w:hanging="340"/>
      <w:jc w:val="both"/>
    </w:pPr>
    <w:rPr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after="100"/>
      <w:ind w:left="340"/>
      <w:jc w:val="right"/>
    </w:pPr>
    <w:rPr>
      <w:b/>
      <w:i/>
      <w:color w:val="87CEFA"/>
    </w:rPr>
  </w:style>
  <w:style w:type="paragraph" w:customStyle="1" w:styleId="11">
    <w:name w:val="11"/>
    <w:pPr>
      <w:spacing w:before="28" w:after="113"/>
      <w:ind w:left="340" w:hanging="340"/>
      <w:jc w:val="both"/>
    </w:pPr>
    <w:rPr>
      <w:sz w:val="24"/>
    </w:rPr>
  </w:style>
  <w:style w:type="paragraph" w:customStyle="1" w:styleId="Varianta11start">
    <w:name w:val="Varianta_11_start"/>
    <w:pPr>
      <w:pBdr>
        <w:top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Varianta11konec">
    <w:name w:val="Varianta_11_konec"/>
    <w:pPr>
      <w:pBdr>
        <w:bottom w:val="single" w:sz="8" w:space="0" w:color="800080"/>
      </w:pBdr>
      <w:spacing w:after="100"/>
      <w:ind w:left="340"/>
    </w:pPr>
    <w:rPr>
      <w:b/>
      <w:i/>
      <w:color w:val="800080"/>
    </w:rPr>
  </w:style>
  <w:style w:type="paragraph" w:customStyle="1" w:styleId="Ucinnost11start">
    <w:name w:val="Ucinnost_11_start"/>
    <w:pPr>
      <w:pBdr>
        <w:top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Ucinnost11konec">
    <w:name w:val="Ucinnost_11_konec"/>
    <w:pPr>
      <w:pBdr>
        <w:bottom w:val="single" w:sz="8" w:space="0" w:color="8B0000"/>
      </w:pBdr>
      <w:spacing w:after="100"/>
      <w:ind w:left="340"/>
    </w:pPr>
    <w:rPr>
      <w:b/>
      <w:i/>
      <w:color w:val="8B0000"/>
    </w:rPr>
  </w:style>
  <w:style w:type="paragraph" w:customStyle="1" w:styleId="Pripominky11start">
    <w:name w:val="Pripominky_11_start"/>
    <w:pPr>
      <w:pBdr>
        <w:top w:val="single" w:sz="8" w:space="0" w:color="87CEFA"/>
      </w:pBdr>
      <w:spacing w:after="100"/>
      <w:ind w:left="340"/>
      <w:jc w:val="right"/>
    </w:pPr>
    <w:rPr>
      <w:b/>
      <w:i/>
      <w:color w:val="87CEFA"/>
    </w:rPr>
  </w:style>
  <w:style w:type="paragraph" w:customStyle="1" w:styleId="12">
    <w:name w:val="12"/>
    <w:pPr>
      <w:spacing w:after="57"/>
      <w:ind w:left="850" w:right="85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2026-0075-008-TVO-8</dc:title>
  <dc:creator>e-Legislativa</dc:creator>
  <cp:lastModifiedBy>Pepřík Šimon JUDr.</cp:lastModifiedBy>
  <cp:revision>2</cp:revision>
  <dcterms:created xsi:type="dcterms:W3CDTF">2026-06-24T09:28:00Z</dcterms:created>
  <dcterms:modified xsi:type="dcterms:W3CDTF">2026-06-24T09:28:00Z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lationId">
    <vt:lpwstr>35cbfd53-68ce-449e-81ef-538717a29c34:2152</vt:lpwstr>
  </property>
  <property fmtid="{D5CDD505-2E9C-101B-9397-08002B2CF9AE}" pid="3" name="IdPodprostoru">
    <vt:lpwstr>188862</vt:lpwstr>
  </property>
  <property fmtid="{D5CDD505-2E9C-101B-9397-08002B2CF9AE}" pid="4" name="JeUzavrena">
    <vt:lpwstr>True</vt:lpwstr>
  </property>
  <property fmtid="{D5CDD505-2E9C-101B-9397-08002B2CF9AE}" pid="5" name="PozadavekId">
    <vt:lpwstr>94548876-fd32-415a-a64a-674ff326d869</vt:lpwstr>
  </property>
  <property fmtid="{D5CDD505-2E9C-101B-9397-08002B2CF9AE}" pid="6" name="Verze aplikace">
    <vt:lpwstr>v1.0-07.30.HF5</vt:lpwstr>
  </property>
  <property fmtid="{D5CDD505-2E9C-101B-9397-08002B2CF9AE}" pid="7" name="VrstvaNavrhuId">
    <vt:lpwstr>188827</vt:lpwstr>
  </property>
  <property fmtid="{D5CDD505-2E9C-101B-9397-08002B2CF9AE}" pid="8" name="VrstvaObsahuId">
    <vt:lpwstr>84917</vt:lpwstr>
  </property>
</Properties>
</file>