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5D6C3" w14:textId="77777777" w:rsidR="00626D86" w:rsidRPr="009C76F5" w:rsidRDefault="00626D86" w:rsidP="003555B7">
      <w:pPr>
        <w:jc w:val="both"/>
        <w:rPr>
          <w:rFonts w:cs="Times New Roman"/>
        </w:rPr>
      </w:pPr>
    </w:p>
    <w:p w14:paraId="0B4CCD16" w14:textId="77777777" w:rsidR="00197DD7" w:rsidRPr="009C76F5" w:rsidRDefault="00197DD7" w:rsidP="003555B7">
      <w:pPr>
        <w:jc w:val="both"/>
        <w:rPr>
          <w:rFonts w:cs="Times New Roman"/>
        </w:rPr>
      </w:pPr>
    </w:p>
    <w:p w14:paraId="1C647B18" w14:textId="77777777" w:rsidR="00197DD7" w:rsidRPr="009C76F5" w:rsidRDefault="00197DD7" w:rsidP="003555B7">
      <w:pPr>
        <w:jc w:val="both"/>
        <w:rPr>
          <w:rFonts w:cs="Times New Roman"/>
        </w:rPr>
      </w:pPr>
    </w:p>
    <w:p w14:paraId="55D300BD" w14:textId="77777777" w:rsidR="00197DD7" w:rsidRPr="009C76F5" w:rsidRDefault="00197DD7" w:rsidP="003555B7">
      <w:pPr>
        <w:jc w:val="both"/>
        <w:rPr>
          <w:rFonts w:cs="Times New Roman"/>
        </w:rPr>
      </w:pPr>
    </w:p>
    <w:p w14:paraId="1AD03545" w14:textId="77777777" w:rsidR="00197DD7" w:rsidRPr="009C76F5" w:rsidRDefault="00197DD7" w:rsidP="003555B7">
      <w:pPr>
        <w:jc w:val="both"/>
        <w:rPr>
          <w:rFonts w:cs="Times New Roman"/>
        </w:rPr>
      </w:pPr>
    </w:p>
    <w:p w14:paraId="40984D0A" w14:textId="77777777" w:rsidR="00197DD7" w:rsidRPr="009C76F5" w:rsidRDefault="00197DD7" w:rsidP="003555B7">
      <w:pPr>
        <w:jc w:val="both"/>
        <w:rPr>
          <w:rFonts w:cs="Times New Roman"/>
        </w:rPr>
      </w:pPr>
    </w:p>
    <w:p w14:paraId="2DD06295" w14:textId="77777777" w:rsidR="00197DD7" w:rsidRPr="009C76F5" w:rsidRDefault="00197DD7" w:rsidP="003555B7">
      <w:pPr>
        <w:jc w:val="both"/>
        <w:rPr>
          <w:rFonts w:cs="Times New Roman"/>
        </w:rPr>
      </w:pPr>
    </w:p>
    <w:p w14:paraId="2E62C1D3" w14:textId="77777777" w:rsidR="006D7B45" w:rsidRPr="009C76F5" w:rsidRDefault="006D7B45" w:rsidP="003555B7">
      <w:pPr>
        <w:jc w:val="both"/>
        <w:rPr>
          <w:rFonts w:cs="Times New Roman"/>
        </w:rPr>
      </w:pPr>
    </w:p>
    <w:p w14:paraId="1DB2915F" w14:textId="77777777" w:rsidR="00197DD7" w:rsidRPr="009C76F5" w:rsidRDefault="00197DD7" w:rsidP="003555B7">
      <w:pPr>
        <w:jc w:val="both"/>
        <w:rPr>
          <w:rFonts w:cs="Times New Roman"/>
        </w:rPr>
      </w:pPr>
    </w:p>
    <w:p w14:paraId="667FBB8E" w14:textId="77777777" w:rsidR="00197DD7" w:rsidRPr="009C76F5" w:rsidRDefault="00197DD7" w:rsidP="003555B7">
      <w:pPr>
        <w:jc w:val="both"/>
        <w:rPr>
          <w:rFonts w:cs="Times New Roman"/>
        </w:rPr>
      </w:pPr>
    </w:p>
    <w:p w14:paraId="4D4B32D1" w14:textId="77777777" w:rsidR="00197DD7" w:rsidRPr="009C76F5" w:rsidRDefault="00197DD7" w:rsidP="003555B7">
      <w:pPr>
        <w:jc w:val="both"/>
        <w:rPr>
          <w:rFonts w:cs="Times New Roman"/>
        </w:rPr>
      </w:pPr>
    </w:p>
    <w:p w14:paraId="58E95BE8" w14:textId="4A06027A" w:rsidR="00197DD7" w:rsidRPr="009C76F5" w:rsidRDefault="00B9782A" w:rsidP="003555B7">
      <w:pPr>
        <w:pStyle w:val="MSpmodr"/>
        <w:jc w:val="both"/>
        <w:rPr>
          <w:rFonts w:cs="Times New Roman"/>
        </w:rPr>
      </w:pPr>
      <w:r>
        <w:rPr>
          <w:rFonts w:cs="Times New Roman"/>
          <w:bCs/>
        </w:rPr>
        <w:t>M</w:t>
      </w:r>
      <w:r w:rsidRPr="00B9782A">
        <w:rPr>
          <w:rFonts w:cs="Times New Roman"/>
          <w:bCs/>
        </w:rPr>
        <w:t>etodické stanovisko</w:t>
      </w:r>
      <w:r w:rsidR="000B065B">
        <w:rPr>
          <w:rFonts w:cs="Times New Roman"/>
          <w:bCs/>
        </w:rPr>
        <w:t xml:space="preserve"> Ministerstva spravedlnost</w:t>
      </w:r>
      <w:r w:rsidR="00AD663C">
        <w:rPr>
          <w:rFonts w:cs="Times New Roman"/>
          <w:bCs/>
        </w:rPr>
        <w:t>i</w:t>
      </w:r>
      <w:r w:rsidRPr="00B9782A">
        <w:rPr>
          <w:rFonts w:cs="Times New Roman"/>
          <w:bCs/>
        </w:rPr>
        <w:t xml:space="preserve"> k určení počtu uchazečů postupujících do ústní části výběrového </w:t>
      </w:r>
      <w:r w:rsidR="00FA19C3">
        <w:rPr>
          <w:rFonts w:cs="Times New Roman"/>
          <w:bCs/>
        </w:rPr>
        <w:t>ř</w:t>
      </w:r>
      <w:r w:rsidRPr="00B9782A">
        <w:rPr>
          <w:rFonts w:cs="Times New Roman"/>
          <w:bCs/>
        </w:rPr>
        <w:t>ízení na</w:t>
      </w:r>
      <w:r>
        <w:rPr>
          <w:rFonts w:cs="Times New Roman"/>
          <w:bCs/>
        </w:rPr>
        <w:t> </w:t>
      </w:r>
      <w:r w:rsidRPr="00B9782A">
        <w:rPr>
          <w:rFonts w:cs="Times New Roman"/>
          <w:bCs/>
        </w:rPr>
        <w:t>funkci</w:t>
      </w:r>
      <w:r>
        <w:rPr>
          <w:rFonts w:cs="Times New Roman"/>
          <w:bCs/>
        </w:rPr>
        <w:t> </w:t>
      </w:r>
      <w:r w:rsidRPr="00B9782A">
        <w:rPr>
          <w:rFonts w:cs="Times New Roman"/>
          <w:bCs/>
        </w:rPr>
        <w:t>soudce</w:t>
      </w:r>
    </w:p>
    <w:p w14:paraId="0B77C746" w14:textId="77777777" w:rsidR="00197DD7" w:rsidRPr="009C76F5" w:rsidRDefault="00197DD7" w:rsidP="003555B7">
      <w:pPr>
        <w:jc w:val="both"/>
        <w:rPr>
          <w:rFonts w:cs="Times New Roman"/>
        </w:rPr>
      </w:pPr>
    </w:p>
    <w:p w14:paraId="4B0CD590" w14:textId="46913905" w:rsidR="009C76F5" w:rsidRPr="000E7342" w:rsidRDefault="009C76F5" w:rsidP="003555B7">
      <w:pPr>
        <w:pStyle w:val="Nadpis7"/>
        <w:jc w:val="both"/>
        <w:rPr>
          <w:rFonts w:cs="Times New Roman"/>
        </w:rPr>
      </w:pPr>
      <w:r w:rsidRPr="000E7342">
        <w:rPr>
          <w:rFonts w:cs="Times New Roman"/>
        </w:rPr>
        <w:t xml:space="preserve">Odbor strategie a koncepce justice, </w:t>
      </w:r>
      <w:r w:rsidR="00B9782A">
        <w:rPr>
          <w:rFonts w:cs="Times New Roman"/>
        </w:rPr>
        <w:t>září 2026</w:t>
      </w:r>
    </w:p>
    <w:p w14:paraId="5BA1E4AD" w14:textId="36EC8563" w:rsidR="000B065B" w:rsidRPr="000B065B" w:rsidRDefault="005853B7" w:rsidP="003555B7">
      <w:pPr>
        <w:jc w:val="both"/>
        <w:rPr>
          <w:rFonts w:cs="Times New Roman"/>
        </w:rPr>
      </w:pPr>
      <w:r w:rsidRPr="009C76F5">
        <w:rPr>
          <w:rFonts w:cs="Times New Roman"/>
        </w:rPr>
        <w:br w:type="page"/>
      </w:r>
    </w:p>
    <w:p w14:paraId="0C103A44" w14:textId="44A45F9C" w:rsidR="00E54F3A" w:rsidRPr="00E54F3A" w:rsidRDefault="00E54F3A" w:rsidP="003555B7">
      <w:pPr>
        <w:jc w:val="both"/>
        <w:rPr>
          <w:rFonts w:cs="Times New Roman"/>
        </w:rPr>
      </w:pPr>
      <w:r w:rsidRPr="00E54F3A">
        <w:rPr>
          <w:rFonts w:cs="Times New Roman"/>
        </w:rPr>
        <w:lastRenderedPageBreak/>
        <w:t>Stanovisko se vydává za účelem metodického sjednocení výkladu § 29 odst. 3 vyhlášky č.</w:t>
      </w:r>
      <w:r w:rsidR="006C654F">
        <w:rPr>
          <w:rFonts w:cs="Times New Roman"/>
        </w:rPr>
        <w:t> </w:t>
      </w:r>
      <w:r w:rsidRPr="00E54F3A">
        <w:rPr>
          <w:rFonts w:cs="Times New Roman"/>
        </w:rPr>
        <w:t>516/2021 Sb., o odborné justiční zkoušce, výběru a odborné přípravě justičních kandidátů, výběru uchazečů na funkci soudce, výběru předsedů soudů a o změně vyhlášky č.</w:t>
      </w:r>
      <w:r>
        <w:rPr>
          <w:rFonts w:cs="Times New Roman"/>
        </w:rPr>
        <w:t> </w:t>
      </w:r>
      <w:r w:rsidRPr="00E54F3A">
        <w:rPr>
          <w:rFonts w:cs="Times New Roman"/>
        </w:rPr>
        <w:t>37/1992 Sb., o jednacím řádu pro okresní a krajské soudy, ve znění pozdějších předpisů</w:t>
      </w:r>
      <w:r w:rsidR="00D84354">
        <w:rPr>
          <w:rFonts w:cs="Times New Roman"/>
        </w:rPr>
        <w:t>,</w:t>
      </w:r>
      <w:r w:rsidRPr="00E54F3A">
        <w:rPr>
          <w:rFonts w:cs="Times New Roman"/>
        </w:rPr>
        <w:t xml:space="preserve"> kter</w:t>
      </w:r>
      <w:r w:rsidR="00585E2A">
        <w:rPr>
          <w:rFonts w:cs="Times New Roman"/>
        </w:rPr>
        <w:t>ý</w:t>
      </w:r>
      <w:r w:rsidRPr="00E54F3A">
        <w:rPr>
          <w:rFonts w:cs="Times New Roman"/>
        </w:rPr>
        <w:t xml:space="preserve"> stanoví:</w:t>
      </w:r>
    </w:p>
    <w:p w14:paraId="65980337" w14:textId="65E376AF" w:rsidR="00E54F3A" w:rsidRPr="00E54F3A" w:rsidRDefault="00E54F3A" w:rsidP="003555B7">
      <w:pPr>
        <w:jc w:val="both"/>
        <w:rPr>
          <w:rFonts w:cs="Times New Roman"/>
          <w:i/>
          <w:iCs/>
        </w:rPr>
      </w:pPr>
      <w:r w:rsidRPr="00E54F3A">
        <w:rPr>
          <w:rFonts w:cs="Times New Roman"/>
          <w:i/>
          <w:iCs/>
        </w:rPr>
        <w:t>„K ústní části výběrového řízení na funkci soudce postoupí počet nevyloučených uchazečů odpovídající dvojnásobku počtu míst soudců, pro něž bylo výběrové řízení vyhlášeno, a to jednak uchazeči, na které se vztahuje výjimka podle ustanovení § 28 odst. 3, a dále uchazeči v pořadí podle nejvyššího počtu dosažených bodů v písemné části výběrového řízení a všichni další uchazeči, kteří dosáhli stejného počtu bodů jako poslední uchazeč postupující podle počtu dosažených bodů v písemné části výběrového řízení. Pokud počet postupujících uchazečů, na které se vztahuje výjimka podle ustanovení § 28 odst. 3, překročí počet míst soudců, pro něž je výběrové řízení vyhlášeno, postupuje k ústní části výběrového řízení nejvýše stejný počet nevyloučených uchazečů, na které se výjimka podle ustanovení § 28 odst. 3 nevztahuje, jakož i</w:t>
      </w:r>
      <w:r>
        <w:rPr>
          <w:rFonts w:cs="Times New Roman"/>
          <w:i/>
          <w:iCs/>
        </w:rPr>
        <w:t> </w:t>
      </w:r>
      <w:r w:rsidRPr="00E54F3A">
        <w:rPr>
          <w:rFonts w:cs="Times New Roman"/>
          <w:i/>
          <w:iCs/>
        </w:rPr>
        <w:t>všichni další uchazeči, kteří dosáhli stejného počtu bodů jako poslední postupující uchazeč.“</w:t>
      </w:r>
    </w:p>
    <w:p w14:paraId="13C03DE2" w14:textId="258452D1" w:rsidR="00E54F3A" w:rsidRPr="00E54F3A" w:rsidRDefault="00E54F3A" w:rsidP="003555B7">
      <w:pPr>
        <w:jc w:val="both"/>
        <w:rPr>
          <w:rFonts w:cs="Times New Roman"/>
        </w:rPr>
      </w:pPr>
      <w:r w:rsidRPr="00E54F3A">
        <w:rPr>
          <w:rFonts w:cs="Times New Roman"/>
        </w:rPr>
        <w:t>Podle § 29 odst. 3 věty první citované vyhlášky postupuje k ústní části výběrového řízení počet nevyloučených uchazečů odpovídající dvojnásobku počtu míst soudců, pro něž bylo výběrové řízení vyhlášeno. Současně právní úprava předpokládá, že mezi postupujícími budou jak</w:t>
      </w:r>
      <w:r w:rsidR="00507C00">
        <w:rPr>
          <w:rFonts w:cs="Times New Roman"/>
        </w:rPr>
        <w:t> </w:t>
      </w:r>
      <w:r w:rsidRPr="00E54F3A">
        <w:rPr>
          <w:rFonts w:cs="Times New Roman"/>
        </w:rPr>
        <w:t>uchazeči, na které se vztahuje výjimka podle § 28 odst. 3 vyhlášky, tak uchazeči, kteří absolvovali písemnou část výběrového řízení.</w:t>
      </w:r>
    </w:p>
    <w:p w14:paraId="5112C5F7" w14:textId="4A89AC2A" w:rsidR="00E54F3A" w:rsidRPr="00E54F3A" w:rsidRDefault="00E54F3A" w:rsidP="003555B7">
      <w:pPr>
        <w:jc w:val="both"/>
        <w:rPr>
          <w:rFonts w:cs="Times New Roman"/>
        </w:rPr>
      </w:pPr>
      <w:r w:rsidRPr="00E54F3A">
        <w:rPr>
          <w:rFonts w:cs="Times New Roman"/>
        </w:rPr>
        <w:t>Pro případy, kdy počet postupujících uchazečů</w:t>
      </w:r>
      <w:r w:rsidR="00585E2A">
        <w:rPr>
          <w:rFonts w:cs="Times New Roman"/>
        </w:rPr>
        <w:t>, na které se vztahuje</w:t>
      </w:r>
      <w:r w:rsidRPr="00E54F3A">
        <w:rPr>
          <w:rFonts w:cs="Times New Roman"/>
        </w:rPr>
        <w:t xml:space="preserve"> výjimk</w:t>
      </w:r>
      <w:r w:rsidR="00585E2A">
        <w:rPr>
          <w:rFonts w:cs="Times New Roman"/>
        </w:rPr>
        <w:t>a</w:t>
      </w:r>
      <w:r w:rsidRPr="00E54F3A">
        <w:rPr>
          <w:rFonts w:cs="Times New Roman"/>
        </w:rPr>
        <w:t xml:space="preserve"> podle § 28 odst. 3</w:t>
      </w:r>
      <w:r w:rsidR="00585E2A">
        <w:rPr>
          <w:rFonts w:cs="Times New Roman"/>
        </w:rPr>
        <w:t xml:space="preserve"> vyhlášky,</w:t>
      </w:r>
      <w:r w:rsidRPr="00E54F3A">
        <w:rPr>
          <w:rFonts w:cs="Times New Roman"/>
        </w:rPr>
        <w:t xml:space="preserve"> převýší počet </w:t>
      </w:r>
      <w:r w:rsidR="00585E2A" w:rsidRPr="00585E2A">
        <w:rPr>
          <w:rFonts w:cs="Times New Roman"/>
        </w:rPr>
        <w:t>míst soudců, pro něž bylo výběrové řízení vyhlášeno</w:t>
      </w:r>
      <w:r w:rsidRPr="00E54F3A">
        <w:rPr>
          <w:rFonts w:cs="Times New Roman"/>
        </w:rPr>
        <w:t>, obsahuje §</w:t>
      </w:r>
      <w:r w:rsidR="00D84354">
        <w:rPr>
          <w:rFonts w:cs="Times New Roman"/>
        </w:rPr>
        <w:t> </w:t>
      </w:r>
      <w:r w:rsidRPr="00E54F3A">
        <w:rPr>
          <w:rFonts w:cs="Times New Roman"/>
        </w:rPr>
        <w:t>29</w:t>
      </w:r>
      <w:r w:rsidR="00D84354">
        <w:rPr>
          <w:rFonts w:cs="Times New Roman"/>
        </w:rPr>
        <w:t> </w:t>
      </w:r>
      <w:r w:rsidRPr="00E54F3A">
        <w:rPr>
          <w:rFonts w:cs="Times New Roman"/>
        </w:rPr>
        <w:t>odst. 3 věta druhá zvláštní pravidlo. Podle tohoto ustanovení postupuje k ústní části vedle uchazečů</w:t>
      </w:r>
      <w:r w:rsidR="00585E2A">
        <w:rPr>
          <w:rFonts w:cs="Times New Roman"/>
        </w:rPr>
        <w:t xml:space="preserve">, na které se vztahuje uvedená výjimka, </w:t>
      </w:r>
      <w:r w:rsidRPr="00E54F3A">
        <w:rPr>
          <w:rFonts w:cs="Times New Roman"/>
        </w:rPr>
        <w:t>také nejvýše stejný počet nevyloučených uchazečů, na které se výjimka nevztahuje, určený podle pořadí dosaženého v písemné části výběrového řízení. Toto omezení se neuplatní ve vztahu k</w:t>
      </w:r>
      <w:r>
        <w:rPr>
          <w:rFonts w:cs="Times New Roman"/>
        </w:rPr>
        <w:t> </w:t>
      </w:r>
      <w:r w:rsidRPr="00E54F3A">
        <w:rPr>
          <w:rFonts w:cs="Times New Roman"/>
        </w:rPr>
        <w:t>uchazečům, kteří dosáhli stejného počtu bodů jako poslední postupující uchazeč; ti postupují rovněž.</w:t>
      </w:r>
    </w:p>
    <w:p w14:paraId="12BEE578" w14:textId="76C63B2E" w:rsidR="00963DD1" w:rsidRDefault="00963DD1" w:rsidP="003555B7">
      <w:pPr>
        <w:spacing w:line="256" w:lineRule="auto"/>
        <w:jc w:val="both"/>
      </w:pPr>
      <w:r>
        <w:t>Smyslem této právní úpravy je zachování odpovídajícího zastoupení obou skupin uchazečů</w:t>
      </w:r>
      <w:r w:rsidR="00585E2A">
        <w:t xml:space="preserve">, tedy </w:t>
      </w:r>
      <w:r w:rsidR="00D84354">
        <w:t xml:space="preserve">jak </w:t>
      </w:r>
      <w:r w:rsidR="00585E2A">
        <w:t xml:space="preserve">uchazečů, na které se vztahuje výjimka </w:t>
      </w:r>
      <w:r w:rsidR="00585E2A" w:rsidRPr="00E54F3A">
        <w:rPr>
          <w:rFonts w:cs="Times New Roman"/>
        </w:rPr>
        <w:t>podle § 28 odst. 3</w:t>
      </w:r>
      <w:r w:rsidR="00585E2A">
        <w:rPr>
          <w:rFonts w:cs="Times New Roman"/>
        </w:rPr>
        <w:t xml:space="preserve"> vyhlášky, </w:t>
      </w:r>
      <w:r w:rsidR="00D84354">
        <w:rPr>
          <w:rFonts w:cs="Times New Roman"/>
        </w:rPr>
        <w:t xml:space="preserve">tak </w:t>
      </w:r>
      <w:r w:rsidR="00585E2A">
        <w:rPr>
          <w:rFonts w:cs="Times New Roman"/>
        </w:rPr>
        <w:t xml:space="preserve">i uchazečů, </w:t>
      </w:r>
      <w:r w:rsidR="00585E2A" w:rsidRPr="00E54F3A">
        <w:rPr>
          <w:rFonts w:cs="Times New Roman"/>
        </w:rPr>
        <w:t>kteří absolvovali písemnou část výběrového řízení</w:t>
      </w:r>
      <w:r w:rsidR="00585E2A">
        <w:rPr>
          <w:rFonts w:cs="Times New Roman"/>
        </w:rPr>
        <w:t>,</w:t>
      </w:r>
      <w:r w:rsidR="00585E2A">
        <w:t xml:space="preserve"> </w:t>
      </w:r>
      <w:r>
        <w:t>i v situaci, kdy počet uchazečů</w:t>
      </w:r>
      <w:r w:rsidR="00585E2A">
        <w:t>, na které se uvedená výjimka vztahuje,</w:t>
      </w:r>
      <w:r>
        <w:t xml:space="preserve"> překročí počet vyhlášených soudcovských míst. </w:t>
      </w:r>
      <w:r>
        <w:rPr>
          <w:b/>
          <w:bCs/>
        </w:rPr>
        <w:t>Dotčenou část ustanovení „nejvýše stejný počet nevyloučených uchazečů“ je proto třeba vztahovat k počtu postupujících uchazečů</w:t>
      </w:r>
      <w:r w:rsidR="00585E2A">
        <w:rPr>
          <w:b/>
          <w:bCs/>
        </w:rPr>
        <w:t>, na něž se vztahuje</w:t>
      </w:r>
      <w:r>
        <w:rPr>
          <w:b/>
          <w:bCs/>
        </w:rPr>
        <w:t xml:space="preserve"> výjimk</w:t>
      </w:r>
      <w:r w:rsidR="00585E2A">
        <w:rPr>
          <w:b/>
          <w:bCs/>
        </w:rPr>
        <w:t>a</w:t>
      </w:r>
      <w:r>
        <w:rPr>
          <w:b/>
          <w:bCs/>
        </w:rPr>
        <w:t xml:space="preserve"> podle § 28 odst. 3, nikoli k</w:t>
      </w:r>
      <w:r w:rsidR="00585E2A">
        <w:rPr>
          <w:b/>
          <w:bCs/>
        </w:rPr>
        <w:t xml:space="preserve"> celkovému </w:t>
      </w:r>
      <w:r>
        <w:rPr>
          <w:b/>
          <w:bCs/>
        </w:rPr>
        <w:t>počtu obsazovaných míst</w:t>
      </w:r>
      <w:r w:rsidR="00585E2A">
        <w:rPr>
          <w:b/>
          <w:bCs/>
        </w:rPr>
        <w:t xml:space="preserve"> soudců</w:t>
      </w:r>
      <w:r>
        <w:rPr>
          <w:b/>
          <w:bCs/>
        </w:rPr>
        <w:t>.</w:t>
      </w:r>
    </w:p>
    <w:p w14:paraId="61368728" w14:textId="028137C3" w:rsidR="00963DD1" w:rsidRDefault="00963DD1" w:rsidP="003555B7">
      <w:pPr>
        <w:spacing w:line="256" w:lineRule="auto"/>
        <w:jc w:val="both"/>
      </w:pPr>
      <w:r>
        <w:rPr>
          <w:b/>
          <w:bCs/>
        </w:rPr>
        <w:t>Modelový příklad:</w:t>
      </w:r>
      <w:r>
        <w:t xml:space="preserve"> jestliže bylo výběrové řízení vyhlášeno na obsazení </w:t>
      </w:r>
      <w:r w:rsidR="006534AC">
        <w:t>9</w:t>
      </w:r>
      <w:r>
        <w:t xml:space="preserve"> míst soudců a 10</w:t>
      </w:r>
      <w:r w:rsidR="00D84354">
        <w:t> </w:t>
      </w:r>
      <w:r>
        <w:t>nevyloučených uchazečů splnilo podmínku podle § 28 odst. 3 vyhlášky, k ústní části postoup</w:t>
      </w:r>
      <w:r w:rsidR="00585E2A">
        <w:t>í</w:t>
      </w:r>
      <w:r>
        <w:t xml:space="preserve"> všech těchto </w:t>
      </w:r>
      <w:r w:rsidR="006534AC">
        <w:t xml:space="preserve">10 </w:t>
      </w:r>
      <w:r>
        <w:t xml:space="preserve">uchazečů. Vedle nich dále </w:t>
      </w:r>
      <w:r w:rsidR="00585E2A">
        <w:t xml:space="preserve">postoupí </w:t>
      </w:r>
      <w:r>
        <w:t xml:space="preserve">nejvýše 10 nevyloučených uchazečů, na které se uvedená výjimka nevztahuje, a to podle pořadí dosaženého v písemné části výběrového řízení. Tento celkový počet 20 uchazečů se případně </w:t>
      </w:r>
      <w:r w:rsidR="00585E2A">
        <w:t xml:space="preserve">navýší </w:t>
      </w:r>
      <w:r>
        <w:t>o všechny další uchazeče, kteří dosáhli stejného počtu bodů jako poslední postupující uchazeč.</w:t>
      </w:r>
    </w:p>
    <w:p w14:paraId="50C58497" w14:textId="0748FFB0" w:rsidR="006D7B45" w:rsidRPr="00B9782A" w:rsidRDefault="006D7B45" w:rsidP="003555B7">
      <w:pPr>
        <w:jc w:val="both"/>
        <w:rPr>
          <w:rFonts w:cs="Times New Roman"/>
        </w:rPr>
      </w:pPr>
    </w:p>
    <w:sectPr w:rsidR="006D7B45" w:rsidRPr="00B9782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B7349" w14:textId="77777777" w:rsidR="00644877" w:rsidRDefault="00644877" w:rsidP="009655C5">
      <w:r>
        <w:separator/>
      </w:r>
    </w:p>
  </w:endnote>
  <w:endnote w:type="continuationSeparator" w:id="0">
    <w:p w14:paraId="22166C6C" w14:textId="77777777" w:rsidR="00644877" w:rsidRDefault="00644877" w:rsidP="00965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073320314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02B05EB4" w14:textId="77777777" w:rsidR="006822FF" w:rsidRDefault="006822F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2DC574" w14:textId="77777777" w:rsidR="006822FF" w:rsidRDefault="006822F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D8C7C" w14:textId="77777777" w:rsidR="00644877" w:rsidRDefault="00644877" w:rsidP="009655C5">
      <w:r>
        <w:separator/>
      </w:r>
    </w:p>
  </w:footnote>
  <w:footnote w:type="continuationSeparator" w:id="0">
    <w:p w14:paraId="3B949B0E" w14:textId="77777777" w:rsidR="00644877" w:rsidRDefault="00644877" w:rsidP="00965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D6DA5" w14:textId="77777777" w:rsidR="00B43B15" w:rsidRDefault="00B43B15" w:rsidP="009655C5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CE02DF0" wp14:editId="1F4F2D53">
          <wp:simplePos x="0" y="0"/>
          <wp:positionH relativeFrom="column">
            <wp:posOffset>-608330</wp:posOffset>
          </wp:positionH>
          <wp:positionV relativeFrom="paragraph">
            <wp:posOffset>-180340</wp:posOffset>
          </wp:positionV>
          <wp:extent cx="2790000" cy="532800"/>
          <wp:effectExtent l="0" t="0" r="0" b="63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00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2717"/>
    <w:multiLevelType w:val="multilevel"/>
    <w:tmpl w:val="9542A9F0"/>
    <w:lvl w:ilvl="0"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1AD6876"/>
    <w:multiLevelType w:val="hybridMultilevel"/>
    <w:tmpl w:val="6D6099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2D6ECC"/>
    <w:multiLevelType w:val="hybridMultilevel"/>
    <w:tmpl w:val="8A0A04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41023"/>
    <w:multiLevelType w:val="hybridMultilevel"/>
    <w:tmpl w:val="9E1282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BB143A"/>
    <w:multiLevelType w:val="hybridMultilevel"/>
    <w:tmpl w:val="FC120A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9060EF"/>
    <w:multiLevelType w:val="hybridMultilevel"/>
    <w:tmpl w:val="40987BA2"/>
    <w:lvl w:ilvl="0" w:tplc="879A85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F509D2"/>
    <w:multiLevelType w:val="hybridMultilevel"/>
    <w:tmpl w:val="DF66DE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656980"/>
    <w:multiLevelType w:val="hybridMultilevel"/>
    <w:tmpl w:val="8D904C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87BA770C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680AEA"/>
    <w:multiLevelType w:val="hybridMultilevel"/>
    <w:tmpl w:val="C32634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B430B5"/>
    <w:multiLevelType w:val="hybridMultilevel"/>
    <w:tmpl w:val="ABC8B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9F61D1"/>
    <w:multiLevelType w:val="hybridMultilevel"/>
    <w:tmpl w:val="C946FA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04917"/>
    <w:multiLevelType w:val="hybridMultilevel"/>
    <w:tmpl w:val="9006B5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E27AF"/>
    <w:multiLevelType w:val="hybridMultilevel"/>
    <w:tmpl w:val="C9403648"/>
    <w:lvl w:ilvl="0" w:tplc="B550541C"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241038B6"/>
    <w:multiLevelType w:val="hybridMultilevel"/>
    <w:tmpl w:val="36F49E6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4453C"/>
    <w:multiLevelType w:val="hybridMultilevel"/>
    <w:tmpl w:val="8D36F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D254A5"/>
    <w:multiLevelType w:val="hybridMultilevel"/>
    <w:tmpl w:val="192061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BE247A"/>
    <w:multiLevelType w:val="hybridMultilevel"/>
    <w:tmpl w:val="3678ED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C71AF"/>
    <w:multiLevelType w:val="hybridMultilevel"/>
    <w:tmpl w:val="455E86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210E10"/>
    <w:multiLevelType w:val="hybridMultilevel"/>
    <w:tmpl w:val="3C82A6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B8210C"/>
    <w:multiLevelType w:val="hybridMultilevel"/>
    <w:tmpl w:val="92AAF9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E8415D"/>
    <w:multiLevelType w:val="hybridMultilevel"/>
    <w:tmpl w:val="C6CC3DF4"/>
    <w:lvl w:ilvl="0" w:tplc="8572EAA2"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475693"/>
    <w:multiLevelType w:val="hybridMultilevel"/>
    <w:tmpl w:val="889AF446"/>
    <w:lvl w:ilvl="0" w:tplc="687A8D0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04874"/>
    <w:multiLevelType w:val="hybridMultilevel"/>
    <w:tmpl w:val="91668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21B85"/>
    <w:multiLevelType w:val="hybridMultilevel"/>
    <w:tmpl w:val="CB8AE5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93D7F"/>
    <w:multiLevelType w:val="hybridMultilevel"/>
    <w:tmpl w:val="C33C49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B209A"/>
    <w:multiLevelType w:val="hybridMultilevel"/>
    <w:tmpl w:val="F3BAC4E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DF0CA6"/>
    <w:multiLevelType w:val="hybridMultilevel"/>
    <w:tmpl w:val="D408E0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1C4367"/>
    <w:multiLevelType w:val="hybridMultilevel"/>
    <w:tmpl w:val="2E189D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A40E14"/>
    <w:multiLevelType w:val="hybridMultilevel"/>
    <w:tmpl w:val="96803298"/>
    <w:lvl w:ilvl="0" w:tplc="80CEC5BC">
      <w:start w:val="1"/>
      <w:numFmt w:val="bullet"/>
      <w:lvlText w:val="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9" w15:restartNumberingAfterBreak="0">
    <w:nsid w:val="54191CDD"/>
    <w:multiLevelType w:val="hybridMultilevel"/>
    <w:tmpl w:val="1336537C"/>
    <w:lvl w:ilvl="0" w:tplc="09D20D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C06589"/>
    <w:multiLevelType w:val="hybridMultilevel"/>
    <w:tmpl w:val="0C7432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DE6A97"/>
    <w:multiLevelType w:val="hybridMultilevel"/>
    <w:tmpl w:val="081EDF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976DEF"/>
    <w:multiLevelType w:val="hybridMultilevel"/>
    <w:tmpl w:val="A87ABA9E"/>
    <w:lvl w:ilvl="0" w:tplc="687A8D0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A67F61"/>
    <w:multiLevelType w:val="hybridMultilevel"/>
    <w:tmpl w:val="E4A630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D6773"/>
    <w:multiLevelType w:val="hybridMultilevel"/>
    <w:tmpl w:val="2EA86F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E3D5B"/>
    <w:multiLevelType w:val="multilevel"/>
    <w:tmpl w:val="E3642A26"/>
    <w:lvl w:ilvl="0">
      <w:start w:val="1"/>
      <w:numFmt w:val="decimal"/>
      <w:pStyle w:val="Nadpis1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43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5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22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9083749"/>
    <w:multiLevelType w:val="hybridMultilevel"/>
    <w:tmpl w:val="CB2C0566"/>
    <w:lvl w:ilvl="0" w:tplc="0AC6C09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DE7569"/>
    <w:multiLevelType w:val="hybridMultilevel"/>
    <w:tmpl w:val="FAB8F336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E852647"/>
    <w:multiLevelType w:val="hybridMultilevel"/>
    <w:tmpl w:val="550078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A14D94"/>
    <w:multiLevelType w:val="hybridMultilevel"/>
    <w:tmpl w:val="953236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6B1FEC"/>
    <w:multiLevelType w:val="hybridMultilevel"/>
    <w:tmpl w:val="F3BAC4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B8186D"/>
    <w:multiLevelType w:val="hybridMultilevel"/>
    <w:tmpl w:val="97FAED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242F6E"/>
    <w:multiLevelType w:val="hybridMultilevel"/>
    <w:tmpl w:val="8C9838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A06109"/>
    <w:multiLevelType w:val="hybridMultilevel"/>
    <w:tmpl w:val="AB4C031E"/>
    <w:lvl w:ilvl="0" w:tplc="687A8D0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3410AE"/>
    <w:multiLevelType w:val="hybridMultilevel"/>
    <w:tmpl w:val="309A13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69719D"/>
    <w:multiLevelType w:val="hybridMultilevel"/>
    <w:tmpl w:val="B6241E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384430">
    <w:abstractNumId w:val="35"/>
  </w:num>
  <w:num w:numId="2" w16cid:durableId="1043871914">
    <w:abstractNumId w:val="12"/>
  </w:num>
  <w:num w:numId="3" w16cid:durableId="1819497869">
    <w:abstractNumId w:val="12"/>
  </w:num>
  <w:num w:numId="4" w16cid:durableId="1810784551">
    <w:abstractNumId w:val="5"/>
  </w:num>
  <w:num w:numId="5" w16cid:durableId="1399860814">
    <w:abstractNumId w:val="36"/>
  </w:num>
  <w:num w:numId="6" w16cid:durableId="788354990">
    <w:abstractNumId w:val="29"/>
  </w:num>
  <w:num w:numId="7" w16cid:durableId="80030065">
    <w:abstractNumId w:val="37"/>
  </w:num>
  <w:num w:numId="8" w16cid:durableId="432937431">
    <w:abstractNumId w:val="17"/>
  </w:num>
  <w:num w:numId="9" w16cid:durableId="191643305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9855002">
    <w:abstractNumId w:val="24"/>
  </w:num>
  <w:num w:numId="11" w16cid:durableId="508643837">
    <w:abstractNumId w:val="28"/>
  </w:num>
  <w:num w:numId="12" w16cid:durableId="964583791">
    <w:abstractNumId w:val="4"/>
  </w:num>
  <w:num w:numId="13" w16cid:durableId="989863466">
    <w:abstractNumId w:val="14"/>
  </w:num>
  <w:num w:numId="14" w16cid:durableId="1741247519">
    <w:abstractNumId w:val="10"/>
  </w:num>
  <w:num w:numId="15" w16cid:durableId="2091998173">
    <w:abstractNumId w:val="44"/>
  </w:num>
  <w:num w:numId="16" w16cid:durableId="98843154">
    <w:abstractNumId w:val="6"/>
  </w:num>
  <w:num w:numId="17" w16cid:durableId="2115513973">
    <w:abstractNumId w:val="41"/>
  </w:num>
  <w:num w:numId="18" w16cid:durableId="1949658186">
    <w:abstractNumId w:val="3"/>
  </w:num>
  <w:num w:numId="19" w16cid:durableId="306979894">
    <w:abstractNumId w:val="11"/>
  </w:num>
  <w:num w:numId="20" w16cid:durableId="1882597290">
    <w:abstractNumId w:val="31"/>
  </w:num>
  <w:num w:numId="21" w16cid:durableId="1503859897">
    <w:abstractNumId w:val="2"/>
  </w:num>
  <w:num w:numId="22" w16cid:durableId="784544002">
    <w:abstractNumId w:val="8"/>
  </w:num>
  <w:num w:numId="23" w16cid:durableId="1460684088">
    <w:abstractNumId w:val="27"/>
  </w:num>
  <w:num w:numId="24" w16cid:durableId="880822875">
    <w:abstractNumId w:val="22"/>
  </w:num>
  <w:num w:numId="25" w16cid:durableId="1145006846">
    <w:abstractNumId w:val="23"/>
  </w:num>
  <w:num w:numId="26" w16cid:durableId="1560358346">
    <w:abstractNumId w:val="26"/>
  </w:num>
  <w:num w:numId="27" w16cid:durableId="1621720522">
    <w:abstractNumId w:val="30"/>
  </w:num>
  <w:num w:numId="28" w16cid:durableId="154611334">
    <w:abstractNumId w:val="16"/>
  </w:num>
  <w:num w:numId="29" w16cid:durableId="327832240">
    <w:abstractNumId w:val="1"/>
  </w:num>
  <w:num w:numId="30" w16cid:durableId="2083022185">
    <w:abstractNumId w:val="18"/>
  </w:num>
  <w:num w:numId="31" w16cid:durableId="1028264696">
    <w:abstractNumId w:val="9"/>
  </w:num>
  <w:num w:numId="32" w16cid:durableId="1883403725">
    <w:abstractNumId w:val="39"/>
  </w:num>
  <w:num w:numId="33" w16cid:durableId="18318279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49639933">
    <w:abstractNumId w:val="19"/>
  </w:num>
  <w:num w:numId="35" w16cid:durableId="369503024">
    <w:abstractNumId w:val="34"/>
  </w:num>
  <w:num w:numId="36" w16cid:durableId="261302325">
    <w:abstractNumId w:val="38"/>
  </w:num>
  <w:num w:numId="37" w16cid:durableId="1160729918">
    <w:abstractNumId w:val="40"/>
  </w:num>
  <w:num w:numId="38" w16cid:durableId="1749304715">
    <w:abstractNumId w:val="15"/>
  </w:num>
  <w:num w:numId="39" w16cid:durableId="918562215">
    <w:abstractNumId w:val="42"/>
  </w:num>
  <w:num w:numId="40" w16cid:durableId="606087400">
    <w:abstractNumId w:val="33"/>
  </w:num>
  <w:num w:numId="41" w16cid:durableId="67381797">
    <w:abstractNumId w:val="25"/>
  </w:num>
  <w:num w:numId="42" w16cid:durableId="2110465028">
    <w:abstractNumId w:val="7"/>
  </w:num>
  <w:num w:numId="43" w16cid:durableId="1963464457">
    <w:abstractNumId w:val="13"/>
  </w:num>
  <w:num w:numId="44" w16cid:durableId="1491214544">
    <w:abstractNumId w:val="20"/>
  </w:num>
  <w:num w:numId="45" w16cid:durableId="366948448">
    <w:abstractNumId w:val="0"/>
  </w:num>
  <w:num w:numId="46" w16cid:durableId="164754205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433525992">
    <w:abstractNumId w:val="32"/>
  </w:num>
  <w:num w:numId="48" w16cid:durableId="734014016">
    <w:abstractNumId w:val="43"/>
  </w:num>
  <w:num w:numId="49" w16cid:durableId="565070372">
    <w:abstractNumId w:val="2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linkStyl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FE"/>
    <w:rsid w:val="00045F40"/>
    <w:rsid w:val="00066A7D"/>
    <w:rsid w:val="0007723D"/>
    <w:rsid w:val="000926E6"/>
    <w:rsid w:val="00097AA8"/>
    <w:rsid w:val="000B065B"/>
    <w:rsid w:val="000D7106"/>
    <w:rsid w:val="000D7C66"/>
    <w:rsid w:val="0011348F"/>
    <w:rsid w:val="00115189"/>
    <w:rsid w:val="00191ABC"/>
    <w:rsid w:val="00197DD7"/>
    <w:rsid w:val="00263A66"/>
    <w:rsid w:val="002C0B43"/>
    <w:rsid w:val="002C634D"/>
    <w:rsid w:val="00317284"/>
    <w:rsid w:val="00323688"/>
    <w:rsid w:val="003555B7"/>
    <w:rsid w:val="003B76EF"/>
    <w:rsid w:val="004160F9"/>
    <w:rsid w:val="004A3E7E"/>
    <w:rsid w:val="00507C00"/>
    <w:rsid w:val="005113DE"/>
    <w:rsid w:val="0053016C"/>
    <w:rsid w:val="00577FFC"/>
    <w:rsid w:val="005853B7"/>
    <w:rsid w:val="00585E2A"/>
    <w:rsid w:val="0058622F"/>
    <w:rsid w:val="005A6180"/>
    <w:rsid w:val="005A6768"/>
    <w:rsid w:val="0061628D"/>
    <w:rsid w:val="00626D86"/>
    <w:rsid w:val="00644877"/>
    <w:rsid w:val="006534AC"/>
    <w:rsid w:val="00653E7F"/>
    <w:rsid w:val="00670106"/>
    <w:rsid w:val="006822FF"/>
    <w:rsid w:val="006A5E3F"/>
    <w:rsid w:val="006C654F"/>
    <w:rsid w:val="006D7B45"/>
    <w:rsid w:val="006F3688"/>
    <w:rsid w:val="00721C11"/>
    <w:rsid w:val="00740B18"/>
    <w:rsid w:val="00770BB7"/>
    <w:rsid w:val="00771C14"/>
    <w:rsid w:val="007A4320"/>
    <w:rsid w:val="007E2673"/>
    <w:rsid w:val="008627D9"/>
    <w:rsid w:val="0087180E"/>
    <w:rsid w:val="008834AD"/>
    <w:rsid w:val="008A17FF"/>
    <w:rsid w:val="008A7145"/>
    <w:rsid w:val="008E16BD"/>
    <w:rsid w:val="00963DD1"/>
    <w:rsid w:val="009655C5"/>
    <w:rsid w:val="009A754E"/>
    <w:rsid w:val="009B55F8"/>
    <w:rsid w:val="009C76F5"/>
    <w:rsid w:val="00A26B2B"/>
    <w:rsid w:val="00A4231D"/>
    <w:rsid w:val="00A62B25"/>
    <w:rsid w:val="00A650B9"/>
    <w:rsid w:val="00AA7646"/>
    <w:rsid w:val="00AD663C"/>
    <w:rsid w:val="00B43B15"/>
    <w:rsid w:val="00B57ADA"/>
    <w:rsid w:val="00B8285A"/>
    <w:rsid w:val="00B9782A"/>
    <w:rsid w:val="00BA1EEE"/>
    <w:rsid w:val="00C10661"/>
    <w:rsid w:val="00C41E64"/>
    <w:rsid w:val="00C932E2"/>
    <w:rsid w:val="00D3293C"/>
    <w:rsid w:val="00D65656"/>
    <w:rsid w:val="00D8265A"/>
    <w:rsid w:val="00D84354"/>
    <w:rsid w:val="00DA4F9D"/>
    <w:rsid w:val="00DA6FC9"/>
    <w:rsid w:val="00DB51C0"/>
    <w:rsid w:val="00DC0810"/>
    <w:rsid w:val="00DD0D6E"/>
    <w:rsid w:val="00E038F3"/>
    <w:rsid w:val="00E270EC"/>
    <w:rsid w:val="00E54F3A"/>
    <w:rsid w:val="00E81DDC"/>
    <w:rsid w:val="00EB301F"/>
    <w:rsid w:val="00EB7446"/>
    <w:rsid w:val="00ED5FBC"/>
    <w:rsid w:val="00EE6B89"/>
    <w:rsid w:val="00EF1B0A"/>
    <w:rsid w:val="00EF2EF8"/>
    <w:rsid w:val="00EF7ACB"/>
    <w:rsid w:val="00F002C2"/>
    <w:rsid w:val="00F23547"/>
    <w:rsid w:val="00F55379"/>
    <w:rsid w:val="00F95B4C"/>
    <w:rsid w:val="00FA19C3"/>
    <w:rsid w:val="00FA763C"/>
    <w:rsid w:val="00FC2CFE"/>
    <w:rsid w:val="00FE1DBC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6EA8F"/>
  <w15:chartTrackingRefBased/>
  <w15:docId w15:val="{1D3A0962-C898-4A8F-B4AF-1FD70CD81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55B7"/>
    <w:rPr>
      <w:kern w:val="2"/>
      <w14:ligatures w14:val="standardContextual"/>
    </w:rPr>
  </w:style>
  <w:style w:type="paragraph" w:styleId="Nadpis1">
    <w:name w:val="heading 1"/>
    <w:basedOn w:val="Styl1"/>
    <w:next w:val="Normln"/>
    <w:link w:val="Nadpis1Char"/>
    <w:uiPriority w:val="9"/>
    <w:qFormat/>
    <w:rsid w:val="00D84354"/>
    <w:pPr>
      <w:numPr>
        <w:numId w:val="1"/>
      </w:numPr>
      <w:outlineLvl w:val="0"/>
    </w:pPr>
  </w:style>
  <w:style w:type="paragraph" w:styleId="Nadpis2">
    <w:name w:val="heading 2"/>
    <w:basedOn w:val="Normln"/>
    <w:next w:val="Normln"/>
    <w:link w:val="Nadpis2Char"/>
    <w:uiPriority w:val="9"/>
    <w:qFormat/>
    <w:rsid w:val="00D84354"/>
    <w:pPr>
      <w:keepNext/>
      <w:keepLines/>
      <w:numPr>
        <w:ilvl w:val="1"/>
        <w:numId w:val="1"/>
      </w:numPr>
      <w:spacing w:before="360" w:after="80"/>
      <w:outlineLvl w:val="1"/>
    </w:pPr>
    <w:rPr>
      <w:b/>
      <w:iCs/>
      <w:color w:val="4D7295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D84354"/>
    <w:pPr>
      <w:keepNext/>
      <w:keepLines/>
      <w:spacing w:before="280" w:after="80"/>
      <w:outlineLvl w:val="2"/>
    </w:pPr>
    <w:rPr>
      <w:rFonts w:cs="Calibri"/>
      <w:b/>
      <w:sz w:val="26"/>
      <w:szCs w:val="28"/>
    </w:rPr>
  </w:style>
  <w:style w:type="paragraph" w:styleId="Nadpis4">
    <w:name w:val="heading 4"/>
    <w:basedOn w:val="Normln"/>
    <w:next w:val="Normln"/>
    <w:link w:val="Nadpis4Char"/>
    <w:uiPriority w:val="9"/>
    <w:qFormat/>
    <w:rsid w:val="00D84354"/>
    <w:pPr>
      <w:keepNext/>
      <w:keepLines/>
      <w:spacing w:before="240" w:after="40"/>
      <w:outlineLvl w:val="3"/>
    </w:pPr>
    <w:rPr>
      <w:rFonts w:cs="Calibri"/>
      <w:b/>
      <w:sz w:val="26"/>
    </w:rPr>
  </w:style>
  <w:style w:type="paragraph" w:styleId="Nadpis5">
    <w:name w:val="heading 5"/>
    <w:basedOn w:val="Normln"/>
    <w:next w:val="Normln"/>
    <w:link w:val="Nadpis5Char"/>
    <w:uiPriority w:val="9"/>
    <w:qFormat/>
    <w:rsid w:val="00D84354"/>
    <w:pPr>
      <w:keepNext/>
      <w:keepLines/>
      <w:spacing w:before="220" w:after="40"/>
      <w:outlineLvl w:val="4"/>
    </w:pPr>
    <w:rPr>
      <w:rFonts w:cs="Calibri"/>
      <w:b/>
    </w:rPr>
  </w:style>
  <w:style w:type="paragraph" w:styleId="Nadpis6">
    <w:name w:val="heading 6"/>
    <w:basedOn w:val="Normln"/>
    <w:next w:val="Normln"/>
    <w:link w:val="Nadpis6Char"/>
    <w:rsid w:val="00D84354"/>
    <w:pPr>
      <w:keepNext/>
      <w:keepLines/>
      <w:spacing w:before="200" w:after="40"/>
      <w:outlineLvl w:val="5"/>
    </w:pPr>
    <w:rPr>
      <w:rFonts w:ascii="Calibri" w:hAnsi="Calibri" w:cs="Calibri"/>
      <w:b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9C76F5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  <w:rsid w:val="003555B7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3555B7"/>
  </w:style>
  <w:style w:type="paragraph" w:styleId="Odstavecseseznamem">
    <w:name w:val="List Paragraph"/>
    <w:basedOn w:val="Normln"/>
    <w:link w:val="OdstavecseseznamemChar"/>
    <w:uiPriority w:val="34"/>
    <w:qFormat/>
    <w:rsid w:val="00D84354"/>
    <w:pPr>
      <w:ind w:left="720"/>
      <w:contextualSpacing/>
    </w:pPr>
    <w:rPr>
      <w:rFonts w:cs="Calibri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D84354"/>
    <w:rPr>
      <w:rFonts w:ascii="Calibri" w:hAnsi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D84354"/>
    <w:rPr>
      <w:rFonts w:ascii="Calibri" w:eastAsia="Calibri" w:hAnsi="Calibri" w:cs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84354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D84354"/>
    <w:rPr>
      <w:rFonts w:ascii="Times New Roman" w:eastAsia="Calibri" w:hAnsi="Times New Roman" w:cs="Arial"/>
      <w:b/>
      <w:color w:val="FFFFFF" w:themeColor="background1"/>
      <w:sz w:val="32"/>
      <w:szCs w:val="24"/>
      <w:shd w:val="clear" w:color="auto" w:fill="4D7295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D84354"/>
    <w:rPr>
      <w:rFonts w:ascii="Times New Roman" w:eastAsia="Calibri" w:hAnsi="Times New Roman" w:cs="Arial"/>
      <w:b/>
      <w:iCs/>
      <w:color w:val="4D7295"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D84354"/>
    <w:rPr>
      <w:rFonts w:ascii="Times New Roman" w:eastAsia="Calibri" w:hAnsi="Times New Roman" w:cs="Calibri"/>
      <w:b/>
      <w:sz w:val="26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D84354"/>
    <w:rPr>
      <w:rFonts w:ascii="Times New Roman" w:eastAsia="Calibri" w:hAnsi="Times New Roman" w:cs="Calibri"/>
      <w:b/>
      <w:sz w:val="26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rsid w:val="00D84354"/>
    <w:rPr>
      <w:rFonts w:ascii="Times New Roman" w:eastAsia="Calibri" w:hAnsi="Times New Roman" w:cs="Calibri"/>
      <w:b/>
      <w:sz w:val="24"/>
      <w:lang w:eastAsia="cs-CZ"/>
    </w:rPr>
  </w:style>
  <w:style w:type="character" w:customStyle="1" w:styleId="Nadpis6Char">
    <w:name w:val="Nadpis 6 Char"/>
    <w:basedOn w:val="Standardnpsmoodstavce"/>
    <w:link w:val="Nadpis6"/>
    <w:rsid w:val="00D84354"/>
    <w:rPr>
      <w:rFonts w:ascii="Calibri" w:eastAsia="Calibri" w:hAnsi="Calibri" w:cs="Calibri"/>
      <w:b/>
      <w:sz w:val="20"/>
      <w:szCs w:val="20"/>
      <w:lang w:eastAsia="cs-CZ"/>
    </w:rPr>
  </w:style>
  <w:style w:type="table" w:customStyle="1" w:styleId="TableNormal">
    <w:name w:val="Table Normal"/>
    <w:rsid w:val="00D84354"/>
    <w:pPr>
      <w:spacing w:after="0" w:line="240" w:lineRule="auto"/>
    </w:pPr>
    <w:rPr>
      <w:rFonts w:ascii="Calibri" w:eastAsia="Calibri" w:hAnsi="Calibri" w:cs="Calibri"/>
      <w:sz w:val="20"/>
      <w:szCs w:val="20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rsid w:val="00D84354"/>
    <w:pPr>
      <w:keepNext/>
      <w:keepLines/>
      <w:spacing w:before="480" w:after="120"/>
    </w:pPr>
    <w:rPr>
      <w:rFonts w:ascii="Calibri" w:hAnsi="Calibri" w:cs="Calibri"/>
      <w:b/>
      <w:sz w:val="72"/>
      <w:szCs w:val="72"/>
    </w:rPr>
  </w:style>
  <w:style w:type="character" w:customStyle="1" w:styleId="NzevChar">
    <w:name w:val="Název Char"/>
    <w:basedOn w:val="Standardnpsmoodstavce"/>
    <w:link w:val="Nzev"/>
    <w:rsid w:val="00D84354"/>
    <w:rPr>
      <w:rFonts w:ascii="Calibri" w:eastAsia="Calibri" w:hAnsi="Calibri" w:cs="Calibri"/>
      <w:b/>
      <w:sz w:val="72"/>
      <w:szCs w:val="72"/>
      <w:lang w:eastAsia="cs-CZ"/>
    </w:rPr>
  </w:style>
  <w:style w:type="paragraph" w:styleId="Podnadpis">
    <w:name w:val="Subtitle"/>
    <w:aliases w:val="Grafy a tabulky"/>
    <w:basedOn w:val="Normln"/>
    <w:next w:val="Normln"/>
    <w:link w:val="PodnadpisChar"/>
    <w:uiPriority w:val="11"/>
    <w:qFormat/>
    <w:rsid w:val="00D8435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nadpisChar">
    <w:name w:val="Podnadpis Char"/>
    <w:aliases w:val="Grafy a tabulky Char"/>
    <w:basedOn w:val="Standardnpsmoodstavce"/>
    <w:link w:val="Podnadpis"/>
    <w:uiPriority w:val="11"/>
    <w:rsid w:val="00D84354"/>
    <w:rPr>
      <w:rFonts w:ascii="Georgia" w:eastAsia="Georgia" w:hAnsi="Georgia" w:cs="Georgia"/>
      <w:i/>
      <w:color w:val="666666"/>
      <w:sz w:val="48"/>
      <w:szCs w:val="48"/>
      <w:lang w:eastAsia="cs-CZ"/>
    </w:rPr>
  </w:style>
  <w:style w:type="paragraph" w:styleId="Zhlav">
    <w:name w:val="header"/>
    <w:basedOn w:val="Normln"/>
    <w:link w:val="ZhlavChar"/>
    <w:unhideWhenUsed/>
    <w:rsid w:val="00D84354"/>
    <w:pPr>
      <w:tabs>
        <w:tab w:val="center" w:pos="4536"/>
        <w:tab w:val="right" w:pos="9072"/>
      </w:tabs>
    </w:pPr>
    <w:rPr>
      <w:rFonts w:ascii="Calibri" w:hAnsi="Calibri" w:cs="Calibri"/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D84354"/>
    <w:rPr>
      <w:rFonts w:ascii="Calibri" w:eastAsia="Calibri" w:hAnsi="Calibri" w:cs="Calibri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D84354"/>
    <w:pPr>
      <w:tabs>
        <w:tab w:val="center" w:pos="4536"/>
        <w:tab w:val="right" w:pos="9072"/>
      </w:tabs>
    </w:pPr>
    <w:rPr>
      <w:rFonts w:ascii="Calibri" w:hAnsi="Calibri" w:cs="Calibri"/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D84354"/>
    <w:rPr>
      <w:rFonts w:ascii="Calibri" w:eastAsia="Calibri" w:hAnsi="Calibri" w:cs="Calibri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D84354"/>
    <w:pPr>
      <w:spacing w:before="100" w:beforeAutospacing="1" w:after="100" w:afterAutospacing="1"/>
    </w:pPr>
  </w:style>
  <w:style w:type="character" w:customStyle="1" w:styleId="apple-tab-span">
    <w:name w:val="apple-tab-span"/>
    <w:basedOn w:val="Standardnpsmoodstavce"/>
    <w:rsid w:val="00D84354"/>
  </w:style>
  <w:style w:type="paragraph" w:styleId="Textbubliny">
    <w:name w:val="Balloon Text"/>
    <w:basedOn w:val="Normln"/>
    <w:link w:val="TextbublinyChar"/>
    <w:uiPriority w:val="99"/>
    <w:semiHidden/>
    <w:unhideWhenUsed/>
    <w:rsid w:val="00D8435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4354"/>
    <w:rPr>
      <w:rFonts w:ascii="Tahoma" w:eastAsia="Calibri" w:hAnsi="Tahoma" w:cs="Tahoma"/>
      <w:sz w:val="16"/>
      <w:szCs w:val="16"/>
      <w:lang w:eastAsia="cs-CZ"/>
    </w:rPr>
  </w:style>
  <w:style w:type="character" w:customStyle="1" w:styleId="NadpisMSPChar">
    <w:name w:val="Nadpis MSP Char"/>
    <w:link w:val="NadpisMSP"/>
    <w:locked/>
    <w:rsid w:val="00D84354"/>
    <w:rPr>
      <w:rFonts w:ascii="Arial" w:hAnsi="Arial" w:cs="Arial"/>
      <w:b/>
      <w:bCs/>
      <w:color w:val="FFFFFF"/>
      <w:shd w:val="clear" w:color="auto" w:fill="507393"/>
    </w:rPr>
  </w:style>
  <w:style w:type="paragraph" w:customStyle="1" w:styleId="NadpisMSP">
    <w:name w:val="Nadpis MSP"/>
    <w:basedOn w:val="Normln"/>
    <w:link w:val="NadpisMSPChar"/>
    <w:rsid w:val="00D84354"/>
    <w:pPr>
      <w:shd w:val="clear" w:color="auto" w:fill="507393"/>
      <w:autoSpaceDE w:val="0"/>
      <w:autoSpaceDN w:val="0"/>
    </w:pPr>
    <w:rPr>
      <w:rFonts w:ascii="Arial" w:hAnsi="Arial"/>
      <w:b/>
      <w:bCs/>
      <w:color w:val="FFFFFF"/>
    </w:rPr>
  </w:style>
  <w:style w:type="character" w:styleId="Hypertextovodkaz">
    <w:name w:val="Hyperlink"/>
    <w:basedOn w:val="Standardnpsmoodstavce"/>
    <w:uiPriority w:val="99"/>
    <w:unhideWhenUsed/>
    <w:rsid w:val="00D84354"/>
    <w:rPr>
      <w:color w:val="0563C1" w:themeColor="hyperlink"/>
      <w:u w:val="single"/>
    </w:rPr>
  </w:style>
  <w:style w:type="character" w:styleId="Siln">
    <w:name w:val="Strong"/>
    <w:uiPriority w:val="22"/>
    <w:qFormat/>
    <w:rsid w:val="00D84354"/>
    <w:rPr>
      <w:b/>
      <w:bCs/>
    </w:rPr>
  </w:style>
  <w:style w:type="character" w:customStyle="1" w:styleId="titulped">
    <w:name w:val="titul_před"/>
    <w:basedOn w:val="Standardnpsmoodstavce"/>
    <w:rsid w:val="00D84354"/>
  </w:style>
  <w:style w:type="character" w:customStyle="1" w:styleId="flagicon">
    <w:name w:val="flagicon"/>
    <w:basedOn w:val="Standardnpsmoodstavce"/>
    <w:rsid w:val="00D84354"/>
  </w:style>
  <w:style w:type="paragraph" w:styleId="Prosttext">
    <w:name w:val="Plain Text"/>
    <w:basedOn w:val="Normln"/>
    <w:link w:val="ProsttextChar"/>
    <w:uiPriority w:val="99"/>
    <w:semiHidden/>
    <w:unhideWhenUsed/>
    <w:rsid w:val="00D84354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D84354"/>
    <w:rPr>
      <w:rFonts w:ascii="Consolas" w:eastAsia="Calibri" w:hAnsi="Consolas" w:cs="Consolas"/>
      <w:sz w:val="21"/>
      <w:szCs w:val="21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D84354"/>
    <w:rPr>
      <w:color w:val="954F72" w:themeColor="followedHyperlink"/>
      <w:u w:val="single"/>
    </w:rPr>
  </w:style>
  <w:style w:type="character" w:customStyle="1" w:styleId="OdstavecseseznamemChar">
    <w:name w:val="Odstavec se seznamem Char"/>
    <w:link w:val="Odstavecseseznamem"/>
    <w:uiPriority w:val="34"/>
    <w:locked/>
    <w:rsid w:val="00D84354"/>
    <w:rPr>
      <w:rFonts w:ascii="Times New Roman" w:eastAsia="Calibri" w:hAnsi="Times New Roman" w:cs="Calibri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84354"/>
    <w:rPr>
      <w:color w:val="605E5C"/>
      <w:shd w:val="clear" w:color="auto" w:fill="E1DFDD"/>
    </w:rPr>
  </w:style>
  <w:style w:type="paragraph" w:customStyle="1" w:styleId="docdata">
    <w:name w:val="docdata"/>
    <w:aliases w:val="docy,v5,77850,baiaagaaboqcaaadv+qaaavvlaeaaaaaaaaaaaaaaaaaaaaaaaaaaaaaaaaaaaaaaaaaaaaaaaaaaaaaaaaaaaaaaaaaaaaaaaaaaaaaaaaaaaaaaaaaaaaaaaaaaaaaaaaaaaaaaaaaaaaaaaaaaaaaaaaaaaaaaaaaaaaaaaaaaaaaaaaaaaaaaaaaaaaaaaaaaaaaaaaaaaaaaaaaaaaaaaaaaaaaaaaaaaa"/>
    <w:basedOn w:val="Normln"/>
    <w:rsid w:val="00D84354"/>
    <w:pPr>
      <w:spacing w:before="100" w:beforeAutospacing="1" w:after="100" w:afterAutospacing="1"/>
    </w:pPr>
    <w:rPr>
      <w:rFonts w:eastAsia="Times New Roman"/>
    </w:rPr>
  </w:style>
  <w:style w:type="paragraph" w:customStyle="1" w:styleId="Styl1">
    <w:name w:val="Styl1"/>
    <w:basedOn w:val="Normln"/>
    <w:rsid w:val="00D84354"/>
    <w:pPr>
      <w:shd w:val="clear" w:color="auto" w:fill="4D7295"/>
    </w:pPr>
    <w:rPr>
      <w:b/>
      <w:color w:val="FFFFFF" w:themeColor="background1"/>
      <w:sz w:val="32"/>
    </w:rPr>
  </w:style>
  <w:style w:type="paragraph" w:customStyle="1" w:styleId="MSpmodr">
    <w:name w:val="MSp modrá"/>
    <w:basedOn w:val="Normln"/>
    <w:link w:val="MSpmodrChar"/>
    <w:qFormat/>
    <w:rsid w:val="00D84354"/>
    <w:pPr>
      <w:pBdr>
        <w:top w:val="single" w:sz="4" w:space="10" w:color="ADCCEA" w:themeColor="accent1" w:themeTint="7F"/>
        <w:bottom w:val="single" w:sz="4" w:space="10" w:color="ADCCEA" w:themeColor="accent1" w:themeTint="7F"/>
      </w:pBdr>
      <w:jc w:val="center"/>
    </w:pPr>
    <w:rPr>
      <w:b/>
      <w:iCs/>
      <w:color w:val="4D7295"/>
      <w:sz w:val="36"/>
      <w:szCs w:val="28"/>
    </w:rPr>
  </w:style>
  <w:style w:type="character" w:customStyle="1" w:styleId="MSpmodrChar">
    <w:name w:val="MSp modrá Char"/>
    <w:basedOn w:val="Standardnpsmoodstavce"/>
    <w:link w:val="MSpmodr"/>
    <w:rsid w:val="00D84354"/>
    <w:rPr>
      <w:rFonts w:ascii="Times New Roman" w:eastAsia="Calibri" w:hAnsi="Times New Roman" w:cs="Arial"/>
      <w:b/>
      <w:iCs/>
      <w:color w:val="4D7295"/>
      <w:sz w:val="36"/>
      <w:szCs w:val="28"/>
      <w:lang w:eastAsia="cs-CZ"/>
    </w:rPr>
  </w:style>
  <w:style w:type="paragraph" w:customStyle="1" w:styleId="msonormal0">
    <w:name w:val="msonormal"/>
    <w:basedOn w:val="Normln"/>
    <w:rsid w:val="00D84354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D84354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D84354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D84354"/>
    <w:pPr>
      <w:spacing w:after="100"/>
      <w:ind w:left="480"/>
    </w:pPr>
  </w:style>
  <w:style w:type="paragraph" w:styleId="Textkomente">
    <w:name w:val="annotation text"/>
    <w:basedOn w:val="Normln"/>
    <w:link w:val="TextkomenteChar"/>
    <w:uiPriority w:val="99"/>
    <w:semiHidden/>
    <w:unhideWhenUsed/>
    <w:rsid w:val="00D8435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84354"/>
    <w:rPr>
      <w:rFonts w:ascii="Times New Roman" w:eastAsia="Calibri" w:hAnsi="Times New Roman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435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4354"/>
    <w:rPr>
      <w:rFonts w:ascii="Times New Roman" w:eastAsia="Calibri" w:hAnsi="Times New Roman" w:cs="Arial"/>
      <w:b/>
      <w:bCs/>
      <w:sz w:val="20"/>
      <w:szCs w:val="2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84354"/>
    <w:pPr>
      <w:spacing w:before="240" w:after="0" w:line="256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character" w:styleId="Odkaznakoment">
    <w:name w:val="annotation reference"/>
    <w:uiPriority w:val="99"/>
    <w:semiHidden/>
    <w:unhideWhenUsed/>
    <w:rsid w:val="00D84354"/>
    <w:rPr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D84354"/>
    <w:rPr>
      <w:color w:val="808080"/>
    </w:rPr>
  </w:style>
  <w:style w:type="table" w:styleId="Mkatabulky">
    <w:name w:val="Table Grid"/>
    <w:basedOn w:val="Normlntabulka"/>
    <w:uiPriority w:val="59"/>
    <w:rsid w:val="00D843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84354"/>
    <w:pPr>
      <w:spacing w:after="0" w:line="240" w:lineRule="auto"/>
      <w:jc w:val="both"/>
    </w:pPr>
    <w:rPr>
      <w:rFonts w:ascii="Arial" w:eastAsia="Calibri" w:hAnsi="Arial" w:cs="Arial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rsid w:val="009C76F5"/>
    <w:rPr>
      <w:rFonts w:ascii="Times New Roman" w:eastAsiaTheme="majorEastAsia" w:hAnsi="Times New Roman" w:cstheme="majorBidi"/>
      <w:i/>
      <w:iCs/>
      <w:color w:val="1F4D78" w:themeColor="accent1" w:themeShade="7F"/>
      <w:sz w:val="24"/>
    </w:rPr>
  </w:style>
  <w:style w:type="paragraph" w:styleId="Revize">
    <w:name w:val="Revision"/>
    <w:hidden/>
    <w:uiPriority w:val="99"/>
    <w:semiHidden/>
    <w:rsid w:val="009C76F5"/>
    <w:pPr>
      <w:spacing w:after="0" w:line="240" w:lineRule="auto"/>
    </w:pPr>
    <w:rPr>
      <w:rFonts w:ascii="Arial" w:eastAsia="Calibri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BF3190-69BE-490C-BF1B-F2465457D8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56BB63-BD93-4ED3-BA03-FCD5D584F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0B25335-A0E2-4AC4-9603-7759A7E650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2BC964-E451-41CC-B2D9-0042637EE3F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3046</Characters>
  <Application>Microsoft Office Word</Application>
  <DocSecurity>4</DocSecurity>
  <Lines>55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Miškovičová Petra</dc:creator>
  <cp:keywords/>
  <dc:description/>
  <cp:lastModifiedBy>Převrátil Jan, Mgr.</cp:lastModifiedBy>
  <cp:revision>2</cp:revision>
  <dcterms:created xsi:type="dcterms:W3CDTF">2026-09-29T12:33:00Z</dcterms:created>
  <dcterms:modified xsi:type="dcterms:W3CDTF">2026-09-29T12:33:00Z</dcterms:modified>
</cp:coreProperties>
</file>