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C5F0" w14:textId="40935ECE" w:rsidR="00267592" w:rsidRPr="00267592" w:rsidRDefault="006C07E8" w:rsidP="00267592">
      <w:pPr>
        <w:pStyle w:val="Nvrh"/>
        <w:spacing w:before="120" w:after="0"/>
        <w:jc w:val="right"/>
        <w:rPr>
          <w:color w:val="000000"/>
          <w:spacing w:val="0"/>
          <w:szCs w:val="24"/>
        </w:rPr>
      </w:pPr>
      <w:bookmarkStart w:id="0" w:name="_Hlk203912420"/>
      <w:r w:rsidRPr="009233A8">
        <w:rPr>
          <w:color w:val="000000"/>
          <w:spacing w:val="0"/>
          <w:szCs w:val="24"/>
        </w:rPr>
        <w:t>III.</w:t>
      </w:r>
    </w:p>
    <w:bookmarkEnd w:id="0"/>
    <w:p w14:paraId="0D584124" w14:textId="05AFF87E" w:rsidR="00D844EA" w:rsidRDefault="003049B2" w:rsidP="00D844EA">
      <w:pPr>
        <w:pStyle w:val="Nvrh"/>
        <w:rPr>
          <w:color w:val="000000"/>
          <w:szCs w:val="24"/>
        </w:rPr>
      </w:pPr>
      <w:r>
        <w:rPr>
          <w:color w:val="000000"/>
          <w:szCs w:val="24"/>
        </w:rPr>
        <w:t>N</w:t>
      </w:r>
      <w:r w:rsidR="00D844EA">
        <w:rPr>
          <w:color w:val="000000"/>
          <w:szCs w:val="24"/>
        </w:rPr>
        <w:t>ávrh</w:t>
      </w:r>
    </w:p>
    <w:p w14:paraId="213C6247" w14:textId="77777777" w:rsidR="00D844EA" w:rsidRPr="00D844EA" w:rsidRDefault="00D844EA" w:rsidP="00D844EA">
      <w:pPr>
        <w:suppressAutoHyphens/>
        <w:spacing w:after="0"/>
        <w:jc w:val="center"/>
        <w:outlineLvl w:val="0"/>
        <w:rPr>
          <w:rFonts w:eastAsia="Times New Roman"/>
          <w:b/>
          <w:caps/>
          <w:szCs w:val="24"/>
          <w:lang w:eastAsia="cs-CZ"/>
        </w:rPr>
      </w:pPr>
      <w:r w:rsidRPr="00D844EA">
        <w:rPr>
          <w:rFonts w:eastAsia="Times New Roman"/>
          <w:b/>
          <w:caps/>
          <w:szCs w:val="24"/>
          <w:lang w:eastAsia="cs-CZ"/>
        </w:rPr>
        <w:t>ZÁKON</w:t>
      </w:r>
    </w:p>
    <w:p w14:paraId="7080F635" w14:textId="4ADC9ABE" w:rsidR="00D844EA" w:rsidRPr="00D844EA" w:rsidRDefault="00D844EA" w:rsidP="00D844EA">
      <w:pPr>
        <w:suppressAutoHyphens/>
        <w:spacing w:before="120" w:after="0"/>
        <w:jc w:val="center"/>
        <w:outlineLvl w:val="0"/>
        <w:rPr>
          <w:rFonts w:eastAsia="Times New Roman"/>
          <w:szCs w:val="24"/>
          <w:lang w:eastAsia="cs-CZ"/>
        </w:rPr>
      </w:pPr>
      <w:r w:rsidRPr="00605597">
        <w:rPr>
          <w:rFonts w:eastAsia="Times New Roman"/>
          <w:szCs w:val="24"/>
          <w:lang w:eastAsia="cs-CZ"/>
        </w:rPr>
        <w:t>ze dne     202</w:t>
      </w:r>
      <w:r w:rsidR="003049B2" w:rsidRPr="00605597">
        <w:rPr>
          <w:rFonts w:eastAsia="Times New Roman"/>
          <w:szCs w:val="24"/>
          <w:lang w:eastAsia="cs-CZ"/>
        </w:rPr>
        <w:t>6</w:t>
      </w:r>
      <w:r w:rsidRPr="00D844EA">
        <w:rPr>
          <w:rFonts w:eastAsia="Times New Roman"/>
          <w:szCs w:val="24"/>
          <w:lang w:eastAsia="cs-CZ"/>
        </w:rPr>
        <w:t>,</w:t>
      </w:r>
    </w:p>
    <w:p w14:paraId="20471417" w14:textId="1521CCAB" w:rsidR="00D844EA" w:rsidRPr="00D844EA" w:rsidRDefault="00D844EA" w:rsidP="00D844EA">
      <w:pPr>
        <w:suppressAutoHyphens/>
        <w:spacing w:before="120" w:after="0"/>
        <w:jc w:val="center"/>
        <w:outlineLvl w:val="0"/>
        <w:rPr>
          <w:rFonts w:eastAsia="Times New Roman"/>
          <w:b/>
          <w:szCs w:val="24"/>
          <w:lang w:eastAsia="cs-CZ"/>
        </w:rPr>
      </w:pPr>
      <w:r w:rsidRPr="00D844EA">
        <w:rPr>
          <w:rFonts w:eastAsia="Times New Roman"/>
          <w:b/>
          <w:szCs w:val="24"/>
          <w:lang w:eastAsia="cs-CZ"/>
        </w:rPr>
        <w:t xml:space="preserve">kterým se mění zákon č. </w:t>
      </w:r>
      <w:bookmarkStart w:id="1" w:name="_Hlk140582174"/>
      <w:r>
        <w:rPr>
          <w:rFonts w:eastAsia="Times New Roman"/>
          <w:b/>
          <w:szCs w:val="24"/>
          <w:lang w:eastAsia="cs-CZ"/>
        </w:rPr>
        <w:t xml:space="preserve">218/2003 Sb., </w:t>
      </w:r>
      <w:r w:rsidR="00834F46" w:rsidRPr="00834F46">
        <w:rPr>
          <w:rFonts w:eastAsia="Times New Roman"/>
          <w:b/>
          <w:szCs w:val="24"/>
          <w:lang w:eastAsia="cs-CZ"/>
        </w:rPr>
        <w:t>o odpovědnosti mládeže za protiprávní činy a</w:t>
      </w:r>
      <w:r w:rsidR="003049B2">
        <w:rPr>
          <w:rFonts w:eastAsia="Times New Roman"/>
          <w:b/>
          <w:szCs w:val="24"/>
          <w:lang w:eastAsia="cs-CZ"/>
        </w:rPr>
        <w:t> </w:t>
      </w:r>
      <w:r w:rsidR="00834F46" w:rsidRPr="00834F46">
        <w:rPr>
          <w:rFonts w:eastAsia="Times New Roman"/>
          <w:b/>
          <w:szCs w:val="24"/>
          <w:lang w:eastAsia="cs-CZ"/>
        </w:rPr>
        <w:t>o</w:t>
      </w:r>
      <w:r w:rsidR="003049B2">
        <w:rPr>
          <w:rFonts w:eastAsia="Times New Roman"/>
          <w:b/>
          <w:szCs w:val="24"/>
          <w:lang w:eastAsia="cs-CZ"/>
        </w:rPr>
        <w:t> </w:t>
      </w:r>
      <w:r w:rsidR="00834F46" w:rsidRPr="00834F46">
        <w:rPr>
          <w:rFonts w:eastAsia="Times New Roman"/>
          <w:b/>
          <w:szCs w:val="24"/>
          <w:lang w:eastAsia="cs-CZ"/>
        </w:rPr>
        <w:t>soudnictví ve věcech mládeže a o změně některých zákonů (zákon o soudnictví ve</w:t>
      </w:r>
      <w:r w:rsidR="003049B2">
        <w:rPr>
          <w:rFonts w:eastAsia="Times New Roman"/>
          <w:b/>
          <w:szCs w:val="24"/>
          <w:lang w:eastAsia="cs-CZ"/>
        </w:rPr>
        <w:t> </w:t>
      </w:r>
      <w:r w:rsidR="00834F46" w:rsidRPr="00834F46">
        <w:rPr>
          <w:rFonts w:eastAsia="Times New Roman"/>
          <w:b/>
          <w:szCs w:val="24"/>
          <w:lang w:eastAsia="cs-CZ"/>
        </w:rPr>
        <w:t>věcech mládeže)</w:t>
      </w:r>
      <w:r w:rsidRPr="00D844EA">
        <w:rPr>
          <w:rFonts w:eastAsia="Times New Roman"/>
          <w:b/>
          <w:szCs w:val="24"/>
          <w:lang w:eastAsia="cs-CZ"/>
        </w:rPr>
        <w:t>, ve znění pozdějších předpisů</w:t>
      </w:r>
      <w:bookmarkEnd w:id="1"/>
    </w:p>
    <w:p w14:paraId="0AFF75B6" w14:textId="77777777" w:rsidR="00982CE1" w:rsidRDefault="00982CE1"/>
    <w:p w14:paraId="341072B3" w14:textId="77777777" w:rsidR="00453870" w:rsidRPr="00453870" w:rsidRDefault="00453870" w:rsidP="00453870">
      <w:pPr>
        <w:suppressAutoHyphens/>
        <w:spacing w:before="360" w:after="240"/>
        <w:jc w:val="both"/>
        <w:rPr>
          <w:rFonts w:eastAsia="Times New Roman"/>
          <w:szCs w:val="24"/>
          <w:lang w:eastAsia="cs-CZ"/>
        </w:rPr>
      </w:pPr>
      <w:r w:rsidRPr="00453870">
        <w:rPr>
          <w:rFonts w:eastAsia="Times New Roman"/>
          <w:szCs w:val="24"/>
          <w:lang w:eastAsia="cs-CZ"/>
        </w:rPr>
        <w:t>Parlament se usnesl na tomto zákoně České republiky:</w:t>
      </w:r>
    </w:p>
    <w:p w14:paraId="2E1ADD18" w14:textId="77777777" w:rsidR="007C3834" w:rsidRDefault="007C3834"/>
    <w:p w14:paraId="703AC8A0" w14:textId="77777777" w:rsidR="007C3834" w:rsidRPr="007C3834" w:rsidRDefault="007C3834" w:rsidP="00C736A8">
      <w:pPr>
        <w:tabs>
          <w:tab w:val="left" w:pos="284"/>
        </w:tabs>
        <w:suppressAutoHyphens/>
        <w:spacing w:before="120" w:after="0"/>
        <w:jc w:val="center"/>
        <w:outlineLvl w:val="5"/>
        <w:rPr>
          <w:rFonts w:eastAsia="Times New Roman"/>
          <w:szCs w:val="24"/>
          <w:lang w:val="x-none" w:eastAsia="x-none"/>
        </w:rPr>
      </w:pPr>
      <w:r w:rsidRPr="007C3834">
        <w:rPr>
          <w:rFonts w:eastAsia="Times New Roman"/>
          <w:szCs w:val="24"/>
          <w:lang w:val="x-none" w:eastAsia="x-none"/>
        </w:rPr>
        <w:t>Čl. I</w:t>
      </w:r>
    </w:p>
    <w:p w14:paraId="0AE502C3" w14:textId="0B7E4573" w:rsidR="006B63AD" w:rsidRDefault="007C3834" w:rsidP="00605597">
      <w:pPr>
        <w:spacing w:before="120" w:after="0"/>
        <w:ind w:firstLine="426"/>
        <w:jc w:val="both"/>
        <w:rPr>
          <w:szCs w:val="24"/>
        </w:rPr>
      </w:pPr>
      <w:r w:rsidRPr="007C3834">
        <w:rPr>
          <w:szCs w:val="24"/>
        </w:rPr>
        <w:t>Zákon č.</w:t>
      </w:r>
      <w:r>
        <w:rPr>
          <w:szCs w:val="24"/>
        </w:rPr>
        <w:t xml:space="preserve"> 218/2003 Sb., </w:t>
      </w:r>
      <w:r w:rsidRPr="007C3834">
        <w:rPr>
          <w:szCs w:val="24"/>
        </w:rPr>
        <w:t>o odpovědnosti mládeže za protiprávní činy a o soudnictví ve</w:t>
      </w:r>
      <w:r w:rsidR="003049B2">
        <w:rPr>
          <w:szCs w:val="24"/>
        </w:rPr>
        <w:t> </w:t>
      </w:r>
      <w:r w:rsidRPr="007C3834">
        <w:rPr>
          <w:szCs w:val="24"/>
        </w:rPr>
        <w:t xml:space="preserve">věcech mládeže a o změně některých zákonů (zákon o soudnictví ve věcech mládeže), </w:t>
      </w:r>
      <w:bookmarkStart w:id="2" w:name="_Hlk203912732"/>
      <w:r w:rsidRPr="007C3834">
        <w:rPr>
          <w:szCs w:val="24"/>
        </w:rPr>
        <w:t>ve</w:t>
      </w:r>
      <w:r w:rsidR="003049B2">
        <w:rPr>
          <w:szCs w:val="24"/>
        </w:rPr>
        <w:t> </w:t>
      </w:r>
      <w:r w:rsidRPr="007C3834">
        <w:rPr>
          <w:szCs w:val="24"/>
        </w:rPr>
        <w:t>znění</w:t>
      </w:r>
      <w:r>
        <w:rPr>
          <w:szCs w:val="24"/>
        </w:rPr>
        <w:t xml:space="preserve"> </w:t>
      </w:r>
      <w:r w:rsidR="002F7E93" w:rsidRPr="001828FC">
        <w:t>zákona č. 383/2005 Sb., zákona č. 253/2006 Sb., zákona č. 345/2007 Sb., zákona č. 129/2008 Sb., zákona č. 41/2009 Sb., zákona č. 181/2011 Sb., zákona č. 301/2011 Sb., zákona č. 357/2011 Sb., zákona č. 375/2011 Sb., zákona č. 459/2011 Sb., zákona č. 193/2012 Sb., zákona č. 390/2012 Sb., zákona č. 45/2013 Sb., zákona č. 77/2015 Sb., zákona č. 86/2015 Sb., zákona č. 150/2016 Sb., zákona č. 250/2016 Sb., zákona č. 55/2017 Sb., zákona č. 57/2017 Sb., zákona č. 203/2019 Sb., zákona č. 333/2020 Sb., zákona č. 220/2021 Sb., zákona č. 422/2022 Sb., zákona č. 165/2024 Sb.</w:t>
      </w:r>
      <w:r w:rsidR="002F7E93">
        <w:t>, zákona</w:t>
      </w:r>
      <w:r w:rsidR="002F7E93" w:rsidRPr="001828FC">
        <w:t xml:space="preserve"> </w:t>
      </w:r>
      <w:r w:rsidR="00A82EDE" w:rsidRPr="00A82EDE">
        <w:rPr>
          <w:szCs w:val="24"/>
        </w:rPr>
        <w:t>č. 319/2024 Sb.</w:t>
      </w:r>
      <w:r w:rsidR="00DB3A1B">
        <w:rPr>
          <w:szCs w:val="24"/>
        </w:rPr>
        <w:t xml:space="preserve"> </w:t>
      </w:r>
      <w:bookmarkEnd w:id="2"/>
      <w:r w:rsidR="00DB3A1B">
        <w:rPr>
          <w:szCs w:val="24"/>
        </w:rPr>
        <w:t>a</w:t>
      </w:r>
      <w:r w:rsidR="003049B2">
        <w:rPr>
          <w:szCs w:val="24"/>
        </w:rPr>
        <w:t> </w:t>
      </w:r>
      <w:r w:rsidR="002F7E93" w:rsidRPr="00605597">
        <w:t xml:space="preserve">zákona č. </w:t>
      </w:r>
      <w:r w:rsidR="008B040E">
        <w:t>270/2025 Sb.</w:t>
      </w:r>
      <w:r w:rsidR="008B040E" w:rsidRPr="000C2065">
        <w:t xml:space="preserve">, </w:t>
      </w:r>
      <w:r w:rsidRPr="000C2065">
        <w:t>se</w:t>
      </w:r>
      <w:r>
        <w:rPr>
          <w:szCs w:val="24"/>
        </w:rPr>
        <w:t xml:space="preserve"> mění takto:</w:t>
      </w:r>
    </w:p>
    <w:p w14:paraId="1F101067" w14:textId="46521164" w:rsidR="00181217" w:rsidRDefault="00181217" w:rsidP="009E394F">
      <w:pPr>
        <w:pStyle w:val="Nadpis3"/>
      </w:pPr>
      <w:r w:rsidRPr="00F706F4">
        <w:t>V § 3 odst. 4 se za větu první vkládá věta „Zejména je třeba zvážit, zda věc nelze vyřídit jiným způsobem než postavením takové osoby před soud pro mládež.“.</w:t>
      </w:r>
    </w:p>
    <w:p w14:paraId="736B7B0A" w14:textId="4E654B8C" w:rsidR="006B63AD" w:rsidRPr="006B63AD" w:rsidRDefault="006B63AD" w:rsidP="009E394F">
      <w:pPr>
        <w:pStyle w:val="Nadpis3"/>
      </w:pPr>
      <w:r w:rsidRPr="006B63AD">
        <w:t xml:space="preserve">Nadpis § </w:t>
      </w:r>
      <w:r>
        <w:t>47</w:t>
      </w:r>
      <w:r w:rsidRPr="006B63AD">
        <w:t xml:space="preserve"> zní: </w:t>
      </w:r>
    </w:p>
    <w:p w14:paraId="4D296176" w14:textId="5843662A" w:rsidR="00067BD1" w:rsidRDefault="00067BD1" w:rsidP="00067BD1">
      <w:pPr>
        <w:spacing w:before="120" w:after="0"/>
        <w:jc w:val="center"/>
        <w:rPr>
          <w:szCs w:val="24"/>
        </w:rPr>
      </w:pPr>
      <w:r w:rsidRPr="00067BD1">
        <w:rPr>
          <w:szCs w:val="24"/>
        </w:rPr>
        <w:t>„</w:t>
      </w:r>
      <w:r>
        <w:rPr>
          <w:b/>
          <w:bCs/>
          <w:szCs w:val="24"/>
        </w:rPr>
        <w:t>Nejvyšší přípustná doba trvání vazby</w:t>
      </w:r>
      <w:r w:rsidRPr="00067BD1">
        <w:rPr>
          <w:szCs w:val="24"/>
        </w:rPr>
        <w:t>“</w:t>
      </w:r>
      <w:r>
        <w:rPr>
          <w:szCs w:val="24"/>
        </w:rPr>
        <w:t>.</w:t>
      </w:r>
    </w:p>
    <w:p w14:paraId="73CA2016" w14:textId="637E6D57" w:rsidR="00067BD1" w:rsidRDefault="00067BD1" w:rsidP="00067BD1">
      <w:pPr>
        <w:pStyle w:val="Nadpis3"/>
      </w:pPr>
      <w:r w:rsidRPr="00E3197B">
        <w:t>V § 47 odst. 1</w:t>
      </w:r>
      <w:r w:rsidR="004879AF" w:rsidRPr="00E3197B">
        <w:t xml:space="preserve"> se </w:t>
      </w:r>
      <w:r w:rsidR="007F2832" w:rsidRPr="00E3197B">
        <w:t>slova „,</w:t>
      </w:r>
      <w:bookmarkStart w:id="3" w:name="_Hlk203469914"/>
      <w:r w:rsidR="007F2832" w:rsidRPr="00E3197B">
        <w:t xml:space="preserve"> a jde-li o zvlášť závažné provinění</w:t>
      </w:r>
      <w:r w:rsidR="007F2832" w:rsidRPr="00E3197B">
        <w:rPr>
          <w:vertAlign w:val="superscript"/>
        </w:rPr>
        <w:t>23)</w:t>
      </w:r>
      <w:bookmarkEnd w:id="3"/>
      <w:r w:rsidR="007F2832" w:rsidRPr="009E394F">
        <w:t>“</w:t>
      </w:r>
      <w:r w:rsidR="007F2832" w:rsidRPr="00E3197B">
        <w:rPr>
          <w:vertAlign w:val="superscript"/>
        </w:rPr>
        <w:t xml:space="preserve"> </w:t>
      </w:r>
      <w:r w:rsidR="004879AF" w:rsidRPr="00E3197B">
        <w:t>nahrazují slovy „</w:t>
      </w:r>
      <w:r w:rsidR="00F57074" w:rsidRPr="00E3197B">
        <w:t xml:space="preserve">; </w:t>
      </w:r>
      <w:r w:rsidR="004879AF" w:rsidRPr="00E3197B">
        <w:t>je-li řízení vedeno o provinění, které trestní zákoník označuje za zvlášť závažný zločin (dále jen „zvlášť závažné provinění“),“</w:t>
      </w:r>
      <w:r w:rsidR="005615EF">
        <w:t xml:space="preserve"> a na konci odstavce se doplňuje věta „</w:t>
      </w:r>
      <w:r w:rsidR="005615EF" w:rsidRPr="005615EF">
        <w:t>Ustanovení § 72a odst. 3 trestního řádu tím není dotčeno.</w:t>
      </w:r>
      <w:r w:rsidR="005615EF">
        <w:t>“.</w:t>
      </w:r>
    </w:p>
    <w:p w14:paraId="60C6DA2D" w14:textId="77777777" w:rsidR="00D36F60" w:rsidRPr="004879AF" w:rsidRDefault="00D36F60" w:rsidP="00711724">
      <w:pPr>
        <w:spacing w:before="120" w:after="0"/>
      </w:pPr>
      <w:r>
        <w:t>Poznámka pod čarou č. 23 se zrušuje.</w:t>
      </w:r>
    </w:p>
    <w:p w14:paraId="6F6B4422" w14:textId="1F5A4FA5" w:rsidR="00AC02A7" w:rsidRDefault="00AC02A7" w:rsidP="00AC02A7">
      <w:pPr>
        <w:pStyle w:val="Nadpis3"/>
      </w:pPr>
      <w:r>
        <w:t>V § 47 se za odstavec 3 vkládají</w:t>
      </w:r>
      <w:r w:rsidR="00056B0F">
        <w:t xml:space="preserve"> nové odstavce 4 a 5, které znějí:</w:t>
      </w:r>
    </w:p>
    <w:p w14:paraId="5DC2F44D" w14:textId="03779324" w:rsidR="00056B0F" w:rsidRPr="00056B0F" w:rsidRDefault="00056B0F" w:rsidP="00056B0F">
      <w:pPr>
        <w:tabs>
          <w:tab w:val="left" w:pos="426"/>
        </w:tabs>
        <w:spacing w:before="120" w:after="0"/>
        <w:ind w:left="60" w:firstLine="366"/>
        <w:jc w:val="both"/>
        <w:rPr>
          <w:szCs w:val="24"/>
        </w:rPr>
      </w:pPr>
      <w:bookmarkStart w:id="4" w:name="_Hlk203913811"/>
      <w:r>
        <w:rPr>
          <w:szCs w:val="24"/>
        </w:rPr>
        <w:t>„</w:t>
      </w:r>
      <w:r w:rsidRPr="00056B0F">
        <w:rPr>
          <w:szCs w:val="24"/>
        </w:rPr>
        <w:t>(4) Pokud nebylo v době podání návrhu na prodloužení vazby dosud rozhodnuto o</w:t>
      </w:r>
      <w:r w:rsidR="00711724">
        <w:rPr>
          <w:szCs w:val="24"/>
        </w:rPr>
        <w:t> </w:t>
      </w:r>
      <w:r w:rsidRPr="00056B0F">
        <w:rPr>
          <w:szCs w:val="24"/>
        </w:rPr>
        <w:t>stížnosti proti rozhodnutí o vazbě, rozhodne o prodloužení vazby soud pro mládež příslušný k projednání stížnosti současně s rozhodnutím o stížnosti.</w:t>
      </w:r>
    </w:p>
    <w:p w14:paraId="37693A8F" w14:textId="07DB46AC" w:rsidR="00C850C1" w:rsidRDefault="00056B0F" w:rsidP="00C850C1">
      <w:pPr>
        <w:tabs>
          <w:tab w:val="left" w:pos="426"/>
        </w:tabs>
        <w:spacing w:before="120" w:after="0"/>
        <w:ind w:left="60" w:firstLine="366"/>
        <w:jc w:val="both"/>
        <w:rPr>
          <w:szCs w:val="24"/>
        </w:rPr>
      </w:pPr>
      <w:r w:rsidRPr="00056B0F">
        <w:rPr>
          <w:szCs w:val="24"/>
        </w:rPr>
        <w:t>(5) Pokud nebylo v době podání návrhu na prodloužení vazby dosud rozhodnuto o žádosti o propuštění z vazby, rozhodne o žádosti soudce soudu pro mládež příslušného k rozhodnutí o</w:t>
      </w:r>
      <w:r w:rsidR="00711724">
        <w:rPr>
          <w:szCs w:val="24"/>
        </w:rPr>
        <w:t> </w:t>
      </w:r>
      <w:r w:rsidRPr="00056B0F">
        <w:rPr>
          <w:szCs w:val="24"/>
        </w:rPr>
        <w:t>prodloužení vazby současně s rozhodnutím o prodloužení vazby.</w:t>
      </w:r>
      <w:r>
        <w:rPr>
          <w:szCs w:val="24"/>
        </w:rPr>
        <w:t>“</w:t>
      </w:r>
      <w:r w:rsidR="007815B9">
        <w:rPr>
          <w:szCs w:val="24"/>
        </w:rPr>
        <w:t>.</w:t>
      </w:r>
    </w:p>
    <w:bookmarkEnd w:id="4"/>
    <w:p w14:paraId="25A3EBEE" w14:textId="37BF0D2D" w:rsidR="00FA1849" w:rsidRPr="00056B0F" w:rsidRDefault="00FA1849" w:rsidP="00C850C1">
      <w:pPr>
        <w:tabs>
          <w:tab w:val="left" w:pos="426"/>
        </w:tabs>
        <w:spacing w:before="120" w:after="0"/>
        <w:jc w:val="both"/>
        <w:rPr>
          <w:szCs w:val="24"/>
        </w:rPr>
      </w:pPr>
      <w:r>
        <w:rPr>
          <w:szCs w:val="24"/>
        </w:rPr>
        <w:t>Dosavadní odstavce 4 až 7 se označují jako odstavce 6 až 9.</w:t>
      </w:r>
    </w:p>
    <w:p w14:paraId="41E7B17E" w14:textId="55753065" w:rsidR="00056B0F" w:rsidRPr="00D36F60" w:rsidRDefault="0032447F" w:rsidP="0032447F">
      <w:pPr>
        <w:pStyle w:val="Nadpis3"/>
      </w:pPr>
      <w:r w:rsidRPr="00D36F60">
        <w:lastRenderedPageBreak/>
        <w:t xml:space="preserve">V § 47 odst. 6 se </w:t>
      </w:r>
      <w:r w:rsidR="00885AB0" w:rsidRPr="00D36F60">
        <w:t>slova „nejpozději den</w:t>
      </w:r>
      <w:r w:rsidR="004879AF" w:rsidRPr="00D36F60">
        <w:t>“</w:t>
      </w:r>
      <w:r w:rsidR="00885AB0" w:rsidRPr="00D36F60">
        <w:t xml:space="preserve"> </w:t>
      </w:r>
      <w:r w:rsidR="004879AF" w:rsidRPr="00D36F60">
        <w:t>nahrazují slovem „neprodleně“</w:t>
      </w:r>
      <w:r w:rsidR="00885AB0" w:rsidRPr="00D36F60">
        <w:t>.</w:t>
      </w:r>
    </w:p>
    <w:p w14:paraId="182F6C36" w14:textId="3AFA3908" w:rsidR="00885AB0" w:rsidRDefault="00DF0E90" w:rsidP="00885AB0">
      <w:pPr>
        <w:pStyle w:val="Nadpis3"/>
      </w:pPr>
      <w:r>
        <w:t>V § 47 odst. 7 se věta první zrušuje.</w:t>
      </w:r>
    </w:p>
    <w:p w14:paraId="17274798" w14:textId="323696E3" w:rsidR="00DF0E90" w:rsidRDefault="00DF0E90" w:rsidP="00DF0E90">
      <w:pPr>
        <w:pStyle w:val="Nadpis3"/>
      </w:pPr>
      <w:r>
        <w:t>V § 47 odst</w:t>
      </w:r>
      <w:r w:rsidR="004F38AA">
        <w:t xml:space="preserve">avec 8 zní: </w:t>
      </w:r>
    </w:p>
    <w:p w14:paraId="50C821BA" w14:textId="7B6B8A42" w:rsidR="004F38AA" w:rsidRDefault="004F38AA" w:rsidP="004F38AA">
      <w:pPr>
        <w:tabs>
          <w:tab w:val="left" w:pos="426"/>
        </w:tabs>
        <w:spacing w:before="120" w:after="0"/>
        <w:ind w:firstLine="426"/>
        <w:jc w:val="both"/>
        <w:rPr>
          <w:szCs w:val="24"/>
        </w:rPr>
      </w:pPr>
      <w:bookmarkStart w:id="5" w:name="_Hlk203914144"/>
      <w:r>
        <w:rPr>
          <w:szCs w:val="24"/>
        </w:rPr>
        <w:t>„</w:t>
      </w:r>
      <w:r w:rsidRPr="004F38AA">
        <w:rPr>
          <w:szCs w:val="24"/>
        </w:rPr>
        <w:t>(8) Byl-li soudem pro mládež vyhlášen rozsudek, kterým byl mladistvý odsouzen pro zvlášť závažné provinění k nepodmíněnému trestnímu opatření odnětí svobody, nezapočítává se doba vazby od vyhlášení takového rozsudku do nařízení výkonu uloženého trestního opatření odnětí svobody nebo do zrušení takového rozsudku do nejvyšší přípustné doby trvání vazby podle odstavce 1.</w:t>
      </w:r>
      <w:r>
        <w:rPr>
          <w:szCs w:val="24"/>
        </w:rPr>
        <w:t>“.</w:t>
      </w:r>
    </w:p>
    <w:bookmarkEnd w:id="5"/>
    <w:p w14:paraId="07A6A720" w14:textId="36EB4A5D" w:rsidR="0038482C" w:rsidRDefault="0038482C" w:rsidP="00C850C1">
      <w:pPr>
        <w:tabs>
          <w:tab w:val="left" w:pos="426"/>
        </w:tabs>
        <w:spacing w:before="120" w:after="0"/>
        <w:jc w:val="both"/>
        <w:rPr>
          <w:szCs w:val="24"/>
        </w:rPr>
      </w:pPr>
      <w:r>
        <w:rPr>
          <w:szCs w:val="24"/>
        </w:rPr>
        <w:t>Poznámka pod čarou č. 24 se zrušuje.</w:t>
      </w:r>
    </w:p>
    <w:p w14:paraId="7C8C35D4" w14:textId="0993E332" w:rsidR="004F6397" w:rsidRPr="004F6397" w:rsidRDefault="00054370" w:rsidP="004F6397">
      <w:pPr>
        <w:pStyle w:val="Nadpis3"/>
      </w:pPr>
      <w:r>
        <w:t>V § 47 se odstavec 9 zrušuje.</w:t>
      </w:r>
    </w:p>
    <w:p w14:paraId="6363E26D" w14:textId="14B50A90" w:rsidR="003C27D2" w:rsidRDefault="003C27D2" w:rsidP="003C27D2">
      <w:pPr>
        <w:pStyle w:val="Nadpis3"/>
      </w:pPr>
      <w:r>
        <w:t xml:space="preserve">V § 48 </w:t>
      </w:r>
      <w:r w:rsidR="00361B38">
        <w:t xml:space="preserve">se dosavadní text označuje jako odstavec 1 a </w:t>
      </w:r>
      <w:r>
        <w:t xml:space="preserve">doplňuje </w:t>
      </w:r>
      <w:r w:rsidR="00361B38">
        <w:t xml:space="preserve">se </w:t>
      </w:r>
      <w:r>
        <w:t>odstavec 2, který zní:</w:t>
      </w:r>
    </w:p>
    <w:p w14:paraId="6911467E" w14:textId="10431495" w:rsidR="003C27D2" w:rsidRDefault="003C27D2" w:rsidP="003C27D2">
      <w:pPr>
        <w:spacing w:before="120" w:after="0"/>
        <w:ind w:firstLine="425"/>
        <w:jc w:val="both"/>
        <w:rPr>
          <w:szCs w:val="24"/>
          <w:lang w:eastAsia="cs-CZ"/>
        </w:rPr>
      </w:pPr>
      <w:r>
        <w:rPr>
          <w:szCs w:val="24"/>
          <w:lang w:eastAsia="cs-CZ"/>
        </w:rPr>
        <w:t>„</w:t>
      </w:r>
      <w:r w:rsidRPr="003C27D2">
        <w:rPr>
          <w:szCs w:val="24"/>
          <w:lang w:eastAsia="cs-CZ"/>
        </w:rPr>
        <w:t xml:space="preserve">(2) </w:t>
      </w:r>
      <w:r w:rsidR="00B01FFD">
        <w:rPr>
          <w:szCs w:val="24"/>
          <w:lang w:eastAsia="cs-CZ"/>
        </w:rPr>
        <w:t xml:space="preserve">Na rozhodování o dalším trvání vazby </w:t>
      </w:r>
      <w:r w:rsidR="009C39DA" w:rsidRPr="009C39DA">
        <w:rPr>
          <w:szCs w:val="24"/>
          <w:lang w:eastAsia="cs-CZ"/>
        </w:rPr>
        <w:t xml:space="preserve">v řízení o zvlášť závažném provinění </w:t>
      </w:r>
      <w:r w:rsidR="00B01FFD">
        <w:rPr>
          <w:szCs w:val="24"/>
          <w:lang w:eastAsia="cs-CZ"/>
        </w:rPr>
        <w:t xml:space="preserve">se </w:t>
      </w:r>
      <w:r w:rsidRPr="003C27D2">
        <w:rPr>
          <w:szCs w:val="24"/>
          <w:lang w:eastAsia="cs-CZ"/>
        </w:rPr>
        <w:t>§ 72 trestního řádu použije obdobně.</w:t>
      </w:r>
      <w:r>
        <w:rPr>
          <w:szCs w:val="24"/>
          <w:lang w:eastAsia="cs-CZ"/>
        </w:rPr>
        <w:t>“.</w:t>
      </w:r>
    </w:p>
    <w:p w14:paraId="099A5006" w14:textId="6DD2A797" w:rsidR="00CE4CA0" w:rsidRDefault="00CE4CA0" w:rsidP="00CE4CA0">
      <w:pPr>
        <w:pStyle w:val="Nadpis3"/>
        <w:rPr>
          <w:lang w:eastAsia="cs-CZ"/>
        </w:rPr>
      </w:pPr>
      <w:r>
        <w:rPr>
          <w:lang w:eastAsia="cs-CZ"/>
        </w:rPr>
        <w:t>§ 49 včetně nadpisu zní:</w:t>
      </w:r>
    </w:p>
    <w:p w14:paraId="171DB8C8" w14:textId="285C0DF0" w:rsidR="00CE4CA0" w:rsidRPr="00CE4CA0" w:rsidRDefault="00CE4CA0" w:rsidP="00CE4CA0">
      <w:pPr>
        <w:spacing w:before="120" w:after="0"/>
        <w:ind w:firstLine="426"/>
        <w:jc w:val="center"/>
        <w:rPr>
          <w:szCs w:val="24"/>
          <w:lang w:eastAsia="cs-CZ"/>
        </w:rPr>
      </w:pPr>
      <w:r>
        <w:rPr>
          <w:szCs w:val="24"/>
          <w:lang w:eastAsia="cs-CZ"/>
        </w:rPr>
        <w:t>„</w:t>
      </w:r>
      <w:r w:rsidRPr="00CE4CA0">
        <w:rPr>
          <w:szCs w:val="24"/>
          <w:lang w:eastAsia="cs-CZ"/>
        </w:rPr>
        <w:t>§ 49</w:t>
      </w:r>
    </w:p>
    <w:p w14:paraId="6A468CD2" w14:textId="77777777" w:rsidR="00CE4CA0" w:rsidRPr="00CE4CA0" w:rsidRDefault="00CE4CA0" w:rsidP="00CE4CA0">
      <w:pPr>
        <w:spacing w:before="120" w:after="0"/>
        <w:ind w:firstLine="426"/>
        <w:jc w:val="center"/>
        <w:rPr>
          <w:b/>
          <w:bCs/>
          <w:szCs w:val="24"/>
          <w:lang w:eastAsia="cs-CZ"/>
        </w:rPr>
      </w:pPr>
      <w:r w:rsidRPr="00CE4CA0">
        <w:rPr>
          <w:b/>
          <w:bCs/>
          <w:szCs w:val="24"/>
          <w:lang w:eastAsia="cs-CZ"/>
        </w:rPr>
        <w:t>Opatření nahrazující vazbu</w:t>
      </w:r>
    </w:p>
    <w:p w14:paraId="2F954F06" w14:textId="77777777" w:rsidR="00CE4CA0" w:rsidRPr="00CE4CA0" w:rsidRDefault="00CE4CA0" w:rsidP="00CE4CA0">
      <w:pPr>
        <w:pStyle w:val="Odstavecseseznamem"/>
        <w:numPr>
          <w:ilvl w:val="0"/>
          <w:numId w:val="2"/>
        </w:numPr>
        <w:spacing w:before="120" w:after="0"/>
        <w:contextualSpacing w:val="0"/>
        <w:jc w:val="both"/>
        <w:rPr>
          <w:szCs w:val="24"/>
          <w:lang w:eastAsia="cs-CZ"/>
        </w:rPr>
      </w:pPr>
      <w:r w:rsidRPr="00CE4CA0">
        <w:rPr>
          <w:szCs w:val="24"/>
          <w:lang w:eastAsia="cs-CZ"/>
        </w:rPr>
        <w:t xml:space="preserve">Vazbu mladistvého lze nahradit také jeho umístěním v péči důvěryhodné osoby. </w:t>
      </w:r>
    </w:p>
    <w:p w14:paraId="6C3ACFCF" w14:textId="1A847AB3" w:rsidR="00C850C1" w:rsidRDefault="00CE4CA0" w:rsidP="00C571D7">
      <w:pPr>
        <w:spacing w:before="120" w:after="0"/>
        <w:ind w:left="426"/>
        <w:jc w:val="both"/>
        <w:rPr>
          <w:szCs w:val="24"/>
          <w:lang w:eastAsia="cs-CZ"/>
        </w:rPr>
      </w:pPr>
      <w:r w:rsidRPr="00CE4CA0">
        <w:rPr>
          <w:szCs w:val="24"/>
          <w:lang w:eastAsia="cs-CZ"/>
        </w:rPr>
        <w:t>(2) Při nahrazení vazby dohledem se § 16 použije obdobně.</w:t>
      </w:r>
      <w:r>
        <w:rPr>
          <w:szCs w:val="24"/>
          <w:lang w:eastAsia="cs-CZ"/>
        </w:rPr>
        <w:t>“.</w:t>
      </w:r>
    </w:p>
    <w:p w14:paraId="1054548D" w14:textId="0255A197" w:rsidR="004F38AA" w:rsidRPr="00DF70F7" w:rsidRDefault="004F6397" w:rsidP="00DF70F7">
      <w:pPr>
        <w:spacing w:before="120" w:after="0"/>
        <w:jc w:val="both"/>
        <w:rPr>
          <w:szCs w:val="24"/>
        </w:rPr>
      </w:pPr>
      <w:r>
        <w:rPr>
          <w:szCs w:val="24"/>
        </w:rPr>
        <w:t>Poznámky pod čarou č. 25 a 26 se zrušují.</w:t>
      </w:r>
    </w:p>
    <w:p w14:paraId="44AE8FDB" w14:textId="70030C84" w:rsidR="00DF70F7" w:rsidRDefault="00DF70F7" w:rsidP="00DF70F7">
      <w:pPr>
        <w:pStyle w:val="Nadpis3"/>
      </w:pPr>
      <w:r w:rsidRPr="00F706F4">
        <w:t>V § 89j odst. 1 úvodní části ustanovení se slova „nemusí podat</w:t>
      </w:r>
      <w:r w:rsidR="00904BF4">
        <w:t>, jestliže</w:t>
      </w:r>
      <w:r w:rsidRPr="00F706F4">
        <w:t xml:space="preserve">“ nahrazují </w:t>
      </w:r>
      <w:r w:rsidR="00904BF4" w:rsidRPr="00F706F4">
        <w:t>slov</w:t>
      </w:r>
      <w:r w:rsidR="00904BF4">
        <w:t>y</w:t>
      </w:r>
      <w:r w:rsidR="00904BF4" w:rsidRPr="00F706F4">
        <w:t xml:space="preserve"> </w:t>
      </w:r>
      <w:r w:rsidRPr="00F706F4">
        <w:t>„</w:t>
      </w:r>
      <w:bookmarkStart w:id="6" w:name="_Hlk208305481"/>
      <w:r w:rsidRPr="00F706F4">
        <w:t>nepodá</w:t>
      </w:r>
      <w:r w:rsidR="00904BF4" w:rsidRPr="00904BF4">
        <w:t>, pokud má za to, že je dán některý z následujících důvodů</w:t>
      </w:r>
      <w:r w:rsidR="00904BF4">
        <w:t>:</w:t>
      </w:r>
      <w:bookmarkEnd w:id="6"/>
      <w:r w:rsidRPr="00F706F4">
        <w:t>“.</w:t>
      </w:r>
    </w:p>
    <w:p w14:paraId="62F0C5F6" w14:textId="77777777" w:rsidR="004F6397" w:rsidRPr="004F38AA" w:rsidRDefault="004F6397" w:rsidP="004F38AA"/>
    <w:p w14:paraId="05A87C44" w14:textId="30B96D5F" w:rsidR="003212FB" w:rsidRPr="001828FC" w:rsidRDefault="003212FB" w:rsidP="003212FB">
      <w:pPr>
        <w:tabs>
          <w:tab w:val="left" w:pos="284"/>
        </w:tabs>
        <w:suppressAutoHyphens/>
        <w:spacing w:before="120" w:after="0"/>
        <w:jc w:val="center"/>
        <w:outlineLvl w:val="5"/>
        <w:rPr>
          <w:rFonts w:eastAsia="Times New Roman"/>
          <w:szCs w:val="24"/>
          <w:lang w:val="x-none" w:eastAsia="x-none"/>
        </w:rPr>
      </w:pPr>
      <w:r w:rsidRPr="001828FC">
        <w:rPr>
          <w:rFonts w:eastAsia="Times New Roman"/>
          <w:szCs w:val="24"/>
          <w:lang w:val="x-none" w:eastAsia="x-none"/>
        </w:rPr>
        <w:t>Čl. I</w:t>
      </w:r>
      <w:r>
        <w:rPr>
          <w:rFonts w:eastAsia="Times New Roman"/>
          <w:szCs w:val="24"/>
          <w:lang w:val="x-none" w:eastAsia="x-none"/>
        </w:rPr>
        <w:t>I</w:t>
      </w:r>
    </w:p>
    <w:p w14:paraId="79CA09CF" w14:textId="7C62CB86" w:rsidR="001B1DA3" w:rsidRPr="0084480D" w:rsidRDefault="001B1DA3" w:rsidP="0084480D">
      <w:pPr>
        <w:spacing w:before="120" w:after="0"/>
        <w:jc w:val="center"/>
        <w:rPr>
          <w:b/>
          <w:bCs/>
        </w:rPr>
      </w:pPr>
      <w:r w:rsidRPr="0084480D">
        <w:rPr>
          <w:b/>
          <w:bCs/>
        </w:rPr>
        <w:t>Účinnost</w:t>
      </w:r>
    </w:p>
    <w:p w14:paraId="26BE45C0" w14:textId="073B5F73" w:rsidR="00885AB0" w:rsidRPr="00885AB0" w:rsidRDefault="003212FB" w:rsidP="000069CA">
      <w:pPr>
        <w:spacing w:before="120" w:after="0"/>
        <w:ind w:firstLine="426"/>
      </w:pPr>
      <w:r>
        <w:t xml:space="preserve">Tento zákon nabývá účinnosti </w:t>
      </w:r>
      <w:r w:rsidR="003438B7">
        <w:t>dnem 1. ledna 2027.</w:t>
      </w:r>
    </w:p>
    <w:p w14:paraId="50D800C5" w14:textId="77777777" w:rsidR="006B63AD" w:rsidRDefault="006B63AD" w:rsidP="007C3834">
      <w:pPr>
        <w:jc w:val="both"/>
      </w:pPr>
    </w:p>
    <w:sectPr w:rsidR="006B6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F02"/>
    <w:multiLevelType w:val="hybridMultilevel"/>
    <w:tmpl w:val="28107964"/>
    <w:lvl w:ilvl="0" w:tplc="DE7CE79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 w15:restartNumberingAfterBreak="0">
    <w:nsid w:val="18A9346A"/>
    <w:multiLevelType w:val="hybridMultilevel"/>
    <w:tmpl w:val="EC900942"/>
    <w:lvl w:ilvl="0" w:tplc="8A86CFDA">
      <w:start w:val="1"/>
      <w:numFmt w:val="decimal"/>
      <w:pStyle w:val="Nadpis3"/>
      <w:lvlText w:val="%1."/>
      <w:lvlJc w:val="left"/>
      <w:pPr>
        <w:ind w:left="360" w:hanging="360"/>
      </w:pPr>
      <w:rPr>
        <w:b/>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259215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01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EA"/>
    <w:rsid w:val="000069CA"/>
    <w:rsid w:val="00054370"/>
    <w:rsid w:val="00056B0F"/>
    <w:rsid w:val="00060D33"/>
    <w:rsid w:val="000626C8"/>
    <w:rsid w:val="00067BD1"/>
    <w:rsid w:val="000C2065"/>
    <w:rsid w:val="000C2CF3"/>
    <w:rsid w:val="0015598B"/>
    <w:rsid w:val="00167E87"/>
    <w:rsid w:val="00181217"/>
    <w:rsid w:val="001B1DA3"/>
    <w:rsid w:val="001B5A96"/>
    <w:rsid w:val="001B6ACD"/>
    <w:rsid w:val="001E02E4"/>
    <w:rsid w:val="00267592"/>
    <w:rsid w:val="002F7E93"/>
    <w:rsid w:val="003049B2"/>
    <w:rsid w:val="00312CB6"/>
    <w:rsid w:val="003212FB"/>
    <w:rsid w:val="0032447F"/>
    <w:rsid w:val="003438B7"/>
    <w:rsid w:val="00346235"/>
    <w:rsid w:val="00361B38"/>
    <w:rsid w:val="0038482C"/>
    <w:rsid w:val="003C27D2"/>
    <w:rsid w:val="003C5140"/>
    <w:rsid w:val="00453870"/>
    <w:rsid w:val="00483CCF"/>
    <w:rsid w:val="004879AF"/>
    <w:rsid w:val="004C0EE1"/>
    <w:rsid w:val="004F38AA"/>
    <w:rsid w:val="004F6397"/>
    <w:rsid w:val="00503792"/>
    <w:rsid w:val="00513F5B"/>
    <w:rsid w:val="00517C05"/>
    <w:rsid w:val="005310C4"/>
    <w:rsid w:val="005615EF"/>
    <w:rsid w:val="00563D99"/>
    <w:rsid w:val="005B5CE0"/>
    <w:rsid w:val="005C60C4"/>
    <w:rsid w:val="00605597"/>
    <w:rsid w:val="00684685"/>
    <w:rsid w:val="006B63AD"/>
    <w:rsid w:val="006C07E8"/>
    <w:rsid w:val="006E0699"/>
    <w:rsid w:val="00711724"/>
    <w:rsid w:val="007815B9"/>
    <w:rsid w:val="007A734C"/>
    <w:rsid w:val="007C3834"/>
    <w:rsid w:val="007D0FD8"/>
    <w:rsid w:val="007E7445"/>
    <w:rsid w:val="007F2832"/>
    <w:rsid w:val="0080521B"/>
    <w:rsid w:val="008142EE"/>
    <w:rsid w:val="00834F46"/>
    <w:rsid w:val="0084480D"/>
    <w:rsid w:val="008632C4"/>
    <w:rsid w:val="00885AB0"/>
    <w:rsid w:val="008B040E"/>
    <w:rsid w:val="00904BF4"/>
    <w:rsid w:val="009233A8"/>
    <w:rsid w:val="009651E1"/>
    <w:rsid w:val="00971D18"/>
    <w:rsid w:val="00982CE1"/>
    <w:rsid w:val="009B29C3"/>
    <w:rsid w:val="009C39DA"/>
    <w:rsid w:val="009E394F"/>
    <w:rsid w:val="00A521FE"/>
    <w:rsid w:val="00A528C0"/>
    <w:rsid w:val="00A760A6"/>
    <w:rsid w:val="00A82EDE"/>
    <w:rsid w:val="00AC02A7"/>
    <w:rsid w:val="00B01FFD"/>
    <w:rsid w:val="00B41AAE"/>
    <w:rsid w:val="00B541C6"/>
    <w:rsid w:val="00B67C5C"/>
    <w:rsid w:val="00B92D6B"/>
    <w:rsid w:val="00BD6D89"/>
    <w:rsid w:val="00C16907"/>
    <w:rsid w:val="00C571D7"/>
    <w:rsid w:val="00C736A8"/>
    <w:rsid w:val="00C850C1"/>
    <w:rsid w:val="00CC0744"/>
    <w:rsid w:val="00CE4CA0"/>
    <w:rsid w:val="00D36F60"/>
    <w:rsid w:val="00D45D4A"/>
    <w:rsid w:val="00D844EA"/>
    <w:rsid w:val="00DB3A1B"/>
    <w:rsid w:val="00DE393D"/>
    <w:rsid w:val="00DF0E90"/>
    <w:rsid w:val="00DF70F7"/>
    <w:rsid w:val="00E3197B"/>
    <w:rsid w:val="00F046FE"/>
    <w:rsid w:val="00F57074"/>
    <w:rsid w:val="00F7500E"/>
    <w:rsid w:val="00FA1849"/>
    <w:rsid w:val="00FF0A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4766"/>
  <w15:chartTrackingRefBased/>
  <w15:docId w15:val="{1EDBB40D-0993-46C1-8D5C-B56BC041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2CF3"/>
    <w:pPr>
      <w:spacing w:after="120" w:line="240" w:lineRule="auto"/>
    </w:pPr>
    <w:rPr>
      <w:rFonts w:ascii="Times New Roman" w:hAnsi="Times New Roman" w:cs="Times New Roman"/>
      <w:kern w:val="0"/>
      <w:szCs w:val="22"/>
      <w14:ligatures w14:val="none"/>
    </w:rPr>
  </w:style>
  <w:style w:type="paragraph" w:styleId="Nadpis1">
    <w:name w:val="heading 1"/>
    <w:basedOn w:val="Normln"/>
    <w:next w:val="Normln"/>
    <w:link w:val="Nadpis1Char"/>
    <w:uiPriority w:val="9"/>
    <w:qFormat/>
    <w:rsid w:val="00A521FE"/>
    <w:pPr>
      <w:outlineLvl w:val="0"/>
    </w:pPr>
    <w:rPr>
      <w:b/>
      <w:bCs/>
      <w:sz w:val="32"/>
      <w:szCs w:val="32"/>
      <w:u w:val="single"/>
    </w:rPr>
  </w:style>
  <w:style w:type="paragraph" w:styleId="Nadpis2">
    <w:name w:val="heading 2"/>
    <w:basedOn w:val="Nadpis1"/>
    <w:next w:val="Normln"/>
    <w:link w:val="Nadpis2Char"/>
    <w:uiPriority w:val="9"/>
    <w:unhideWhenUsed/>
    <w:qFormat/>
    <w:rsid w:val="000C2CF3"/>
    <w:pPr>
      <w:spacing w:after="160"/>
      <w:outlineLvl w:val="1"/>
    </w:pPr>
    <w:rPr>
      <w:bCs w:val="0"/>
      <w:sz w:val="24"/>
      <w:szCs w:val="24"/>
    </w:rPr>
  </w:style>
  <w:style w:type="paragraph" w:styleId="Nadpis3">
    <w:name w:val="heading 3"/>
    <w:aliases w:val="Novelizační bod"/>
    <w:basedOn w:val="Normln"/>
    <w:next w:val="Normln"/>
    <w:link w:val="Nadpis3Char"/>
    <w:uiPriority w:val="9"/>
    <w:unhideWhenUsed/>
    <w:qFormat/>
    <w:rsid w:val="006B63AD"/>
    <w:pPr>
      <w:numPr>
        <w:numId w:val="1"/>
      </w:numPr>
      <w:suppressAutoHyphens/>
      <w:spacing w:before="360"/>
      <w:ind w:left="567" w:hanging="567"/>
      <w:jc w:val="both"/>
      <w:outlineLvl w:val="2"/>
    </w:pPr>
    <w:rPr>
      <w:szCs w:val="24"/>
    </w:rPr>
  </w:style>
  <w:style w:type="paragraph" w:styleId="Nadpis4">
    <w:name w:val="heading 4"/>
    <w:basedOn w:val="Normln"/>
    <w:next w:val="Normln"/>
    <w:link w:val="Nadpis4Char"/>
    <w:uiPriority w:val="9"/>
    <w:semiHidden/>
    <w:unhideWhenUsed/>
    <w:qFormat/>
    <w:rsid w:val="00D844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D844EA"/>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D844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D844EA"/>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D844EA"/>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D844EA"/>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ovelizační bod Char"/>
    <w:basedOn w:val="Standardnpsmoodstavce"/>
    <w:link w:val="Nadpis3"/>
    <w:uiPriority w:val="9"/>
    <w:rsid w:val="006B63AD"/>
    <w:rPr>
      <w:rFonts w:ascii="Times New Roman" w:hAnsi="Times New Roman" w:cs="Times New Roman"/>
      <w:kern w:val="0"/>
      <w14:ligatures w14:val="none"/>
    </w:rPr>
  </w:style>
  <w:style w:type="character" w:customStyle="1" w:styleId="Nadpis2Char">
    <w:name w:val="Nadpis 2 Char"/>
    <w:basedOn w:val="Standardnpsmoodstavce"/>
    <w:link w:val="Nadpis2"/>
    <w:uiPriority w:val="9"/>
    <w:rsid w:val="000C2CF3"/>
    <w:rPr>
      <w:rFonts w:ascii="Times New Roman" w:eastAsia="Calibri" w:hAnsi="Times New Roman" w:cs="Times New Roman"/>
      <w:b/>
      <w:kern w:val="0"/>
      <w:u w:val="single"/>
      <w14:ligatures w14:val="none"/>
    </w:rPr>
  </w:style>
  <w:style w:type="character" w:customStyle="1" w:styleId="Nadpis1Char">
    <w:name w:val="Nadpis 1 Char"/>
    <w:basedOn w:val="Standardnpsmoodstavce"/>
    <w:link w:val="Nadpis1"/>
    <w:uiPriority w:val="9"/>
    <w:rsid w:val="00A521FE"/>
    <w:rPr>
      <w:rFonts w:ascii="Times New Roman" w:hAnsi="Times New Roman" w:cs="Times New Roman"/>
      <w:b/>
      <w:bCs/>
      <w:sz w:val="32"/>
      <w:szCs w:val="32"/>
      <w:u w:val="single"/>
    </w:rPr>
  </w:style>
  <w:style w:type="character" w:customStyle="1" w:styleId="Nadpis4Char">
    <w:name w:val="Nadpis 4 Char"/>
    <w:basedOn w:val="Standardnpsmoodstavce"/>
    <w:link w:val="Nadpis4"/>
    <w:uiPriority w:val="9"/>
    <w:semiHidden/>
    <w:rsid w:val="00D844EA"/>
    <w:rPr>
      <w:rFonts w:eastAsiaTheme="majorEastAsia" w:cstheme="majorBidi"/>
      <w:i/>
      <w:iCs/>
      <w:color w:val="0F4761" w:themeColor="accent1" w:themeShade="BF"/>
      <w:kern w:val="0"/>
      <w:szCs w:val="22"/>
      <w14:ligatures w14:val="none"/>
    </w:rPr>
  </w:style>
  <w:style w:type="character" w:customStyle="1" w:styleId="Nadpis5Char">
    <w:name w:val="Nadpis 5 Char"/>
    <w:basedOn w:val="Standardnpsmoodstavce"/>
    <w:link w:val="Nadpis5"/>
    <w:uiPriority w:val="9"/>
    <w:semiHidden/>
    <w:rsid w:val="00D844EA"/>
    <w:rPr>
      <w:rFonts w:eastAsiaTheme="majorEastAsia" w:cstheme="majorBidi"/>
      <w:color w:val="0F4761" w:themeColor="accent1" w:themeShade="BF"/>
      <w:kern w:val="0"/>
      <w:szCs w:val="22"/>
      <w14:ligatures w14:val="none"/>
    </w:rPr>
  </w:style>
  <w:style w:type="character" w:customStyle="1" w:styleId="Nadpis6Char">
    <w:name w:val="Nadpis 6 Char"/>
    <w:basedOn w:val="Standardnpsmoodstavce"/>
    <w:link w:val="Nadpis6"/>
    <w:uiPriority w:val="9"/>
    <w:semiHidden/>
    <w:rsid w:val="00D844EA"/>
    <w:rPr>
      <w:rFonts w:eastAsiaTheme="majorEastAsia" w:cstheme="majorBidi"/>
      <w:i/>
      <w:iCs/>
      <w:color w:val="595959" w:themeColor="text1" w:themeTint="A6"/>
      <w:kern w:val="0"/>
      <w:szCs w:val="22"/>
      <w14:ligatures w14:val="none"/>
    </w:rPr>
  </w:style>
  <w:style w:type="character" w:customStyle="1" w:styleId="Nadpis7Char">
    <w:name w:val="Nadpis 7 Char"/>
    <w:basedOn w:val="Standardnpsmoodstavce"/>
    <w:link w:val="Nadpis7"/>
    <w:uiPriority w:val="9"/>
    <w:semiHidden/>
    <w:rsid w:val="00D844EA"/>
    <w:rPr>
      <w:rFonts w:eastAsiaTheme="majorEastAsia" w:cstheme="majorBidi"/>
      <w:color w:val="595959" w:themeColor="text1" w:themeTint="A6"/>
      <w:kern w:val="0"/>
      <w:szCs w:val="22"/>
      <w14:ligatures w14:val="none"/>
    </w:rPr>
  </w:style>
  <w:style w:type="character" w:customStyle="1" w:styleId="Nadpis8Char">
    <w:name w:val="Nadpis 8 Char"/>
    <w:basedOn w:val="Standardnpsmoodstavce"/>
    <w:link w:val="Nadpis8"/>
    <w:uiPriority w:val="9"/>
    <w:semiHidden/>
    <w:rsid w:val="00D844EA"/>
    <w:rPr>
      <w:rFonts w:eastAsiaTheme="majorEastAsia" w:cstheme="majorBidi"/>
      <w:i/>
      <w:iCs/>
      <w:color w:val="272727" w:themeColor="text1" w:themeTint="D8"/>
      <w:kern w:val="0"/>
      <w:szCs w:val="22"/>
      <w14:ligatures w14:val="none"/>
    </w:rPr>
  </w:style>
  <w:style w:type="character" w:customStyle="1" w:styleId="Nadpis9Char">
    <w:name w:val="Nadpis 9 Char"/>
    <w:basedOn w:val="Standardnpsmoodstavce"/>
    <w:link w:val="Nadpis9"/>
    <w:uiPriority w:val="9"/>
    <w:semiHidden/>
    <w:rsid w:val="00D844EA"/>
    <w:rPr>
      <w:rFonts w:eastAsiaTheme="majorEastAsia" w:cstheme="majorBidi"/>
      <w:color w:val="272727" w:themeColor="text1" w:themeTint="D8"/>
      <w:kern w:val="0"/>
      <w:szCs w:val="22"/>
      <w14:ligatures w14:val="none"/>
    </w:rPr>
  </w:style>
  <w:style w:type="paragraph" w:styleId="Nzev">
    <w:name w:val="Title"/>
    <w:basedOn w:val="Normln"/>
    <w:next w:val="Normln"/>
    <w:link w:val="NzevChar"/>
    <w:uiPriority w:val="10"/>
    <w:qFormat/>
    <w:rsid w:val="00D844E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44EA"/>
    <w:rPr>
      <w:rFonts w:asciiTheme="majorHAnsi" w:eastAsiaTheme="majorEastAsia" w:hAnsiTheme="majorHAnsi" w:cstheme="majorBidi"/>
      <w:spacing w:val="-10"/>
      <w:kern w:val="28"/>
      <w:sz w:val="56"/>
      <w:szCs w:val="56"/>
      <w14:ligatures w14:val="none"/>
    </w:rPr>
  </w:style>
  <w:style w:type="paragraph" w:styleId="Podnadpis">
    <w:name w:val="Subtitle"/>
    <w:basedOn w:val="Normln"/>
    <w:next w:val="Normln"/>
    <w:link w:val="PodnadpisChar"/>
    <w:uiPriority w:val="11"/>
    <w:qFormat/>
    <w:rsid w:val="00D844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44EA"/>
    <w:rPr>
      <w:rFonts w:eastAsiaTheme="majorEastAsia" w:cstheme="majorBidi"/>
      <w:color w:val="595959" w:themeColor="text1" w:themeTint="A6"/>
      <w:spacing w:val="15"/>
      <w:kern w:val="0"/>
      <w:sz w:val="28"/>
      <w:szCs w:val="28"/>
      <w14:ligatures w14:val="none"/>
    </w:rPr>
  </w:style>
  <w:style w:type="paragraph" w:styleId="Citt">
    <w:name w:val="Quote"/>
    <w:basedOn w:val="Normln"/>
    <w:next w:val="Normln"/>
    <w:link w:val="CittChar"/>
    <w:uiPriority w:val="29"/>
    <w:qFormat/>
    <w:rsid w:val="00D844E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844EA"/>
    <w:rPr>
      <w:rFonts w:ascii="Times New Roman" w:hAnsi="Times New Roman" w:cs="Times New Roman"/>
      <w:i/>
      <w:iCs/>
      <w:color w:val="404040" w:themeColor="text1" w:themeTint="BF"/>
      <w:kern w:val="0"/>
      <w:szCs w:val="22"/>
      <w14:ligatures w14:val="none"/>
    </w:rPr>
  </w:style>
  <w:style w:type="paragraph" w:styleId="Odstavecseseznamem">
    <w:name w:val="List Paragraph"/>
    <w:basedOn w:val="Normln"/>
    <w:uiPriority w:val="34"/>
    <w:qFormat/>
    <w:rsid w:val="00D844EA"/>
    <w:pPr>
      <w:ind w:left="720"/>
      <w:contextualSpacing/>
    </w:pPr>
  </w:style>
  <w:style w:type="character" w:styleId="Zdraznnintenzivn">
    <w:name w:val="Intense Emphasis"/>
    <w:basedOn w:val="Standardnpsmoodstavce"/>
    <w:uiPriority w:val="21"/>
    <w:qFormat/>
    <w:rsid w:val="00D844EA"/>
    <w:rPr>
      <w:i/>
      <w:iCs/>
      <w:color w:val="0F4761" w:themeColor="accent1" w:themeShade="BF"/>
    </w:rPr>
  </w:style>
  <w:style w:type="paragraph" w:styleId="Vrazncitt">
    <w:name w:val="Intense Quote"/>
    <w:basedOn w:val="Normln"/>
    <w:next w:val="Normln"/>
    <w:link w:val="VrazncittChar"/>
    <w:uiPriority w:val="30"/>
    <w:qFormat/>
    <w:rsid w:val="00D84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44EA"/>
    <w:rPr>
      <w:rFonts w:ascii="Times New Roman" w:hAnsi="Times New Roman" w:cs="Times New Roman"/>
      <w:i/>
      <w:iCs/>
      <w:color w:val="0F4761" w:themeColor="accent1" w:themeShade="BF"/>
      <w:kern w:val="0"/>
      <w:szCs w:val="22"/>
      <w14:ligatures w14:val="none"/>
    </w:rPr>
  </w:style>
  <w:style w:type="character" w:styleId="Odkazintenzivn">
    <w:name w:val="Intense Reference"/>
    <w:basedOn w:val="Standardnpsmoodstavce"/>
    <w:uiPriority w:val="32"/>
    <w:qFormat/>
    <w:rsid w:val="00D844EA"/>
    <w:rPr>
      <w:b/>
      <w:bCs/>
      <w:smallCaps/>
      <w:color w:val="0F4761" w:themeColor="accent1" w:themeShade="BF"/>
      <w:spacing w:val="5"/>
    </w:rPr>
  </w:style>
  <w:style w:type="paragraph" w:customStyle="1" w:styleId="Nvrh">
    <w:name w:val="Návrh"/>
    <w:basedOn w:val="Normln"/>
    <w:next w:val="Normln"/>
    <w:rsid w:val="00D844EA"/>
    <w:pPr>
      <w:keepNext/>
      <w:keepLines/>
      <w:spacing w:after="240"/>
      <w:jc w:val="center"/>
      <w:outlineLvl w:val="0"/>
    </w:pPr>
    <w:rPr>
      <w:rFonts w:eastAsia="Times New Roman"/>
      <w:spacing w:val="40"/>
      <w:szCs w:val="20"/>
      <w:lang w:eastAsia="cs-CZ"/>
    </w:rPr>
  </w:style>
  <w:style w:type="character" w:styleId="Odkaznakoment">
    <w:name w:val="annotation reference"/>
    <w:basedOn w:val="Standardnpsmoodstavce"/>
    <w:uiPriority w:val="99"/>
    <w:semiHidden/>
    <w:unhideWhenUsed/>
    <w:rsid w:val="00483CCF"/>
    <w:rPr>
      <w:sz w:val="16"/>
      <w:szCs w:val="16"/>
    </w:rPr>
  </w:style>
  <w:style w:type="paragraph" w:styleId="Textkomente">
    <w:name w:val="annotation text"/>
    <w:basedOn w:val="Normln"/>
    <w:link w:val="TextkomenteChar"/>
    <w:uiPriority w:val="99"/>
    <w:unhideWhenUsed/>
    <w:rsid w:val="00483CCF"/>
    <w:rPr>
      <w:sz w:val="20"/>
      <w:szCs w:val="20"/>
    </w:rPr>
  </w:style>
  <w:style w:type="character" w:customStyle="1" w:styleId="TextkomenteChar">
    <w:name w:val="Text komentáře Char"/>
    <w:basedOn w:val="Standardnpsmoodstavce"/>
    <w:link w:val="Textkomente"/>
    <w:uiPriority w:val="99"/>
    <w:rsid w:val="00483CCF"/>
    <w:rPr>
      <w:rFonts w:ascii="Times New Roman" w:hAnsi="Times New Roman"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483CCF"/>
    <w:rPr>
      <w:b/>
      <w:bCs/>
    </w:rPr>
  </w:style>
  <w:style w:type="character" w:customStyle="1" w:styleId="PedmtkomenteChar">
    <w:name w:val="Předmět komentáře Char"/>
    <w:basedOn w:val="TextkomenteChar"/>
    <w:link w:val="Pedmtkomente"/>
    <w:uiPriority w:val="99"/>
    <w:semiHidden/>
    <w:rsid w:val="00483CCF"/>
    <w:rPr>
      <w:rFonts w:ascii="Times New Roman" w:hAnsi="Times New Roman" w:cs="Times New Roman"/>
      <w:b/>
      <w:bCs/>
      <w:kern w:val="0"/>
      <w:sz w:val="20"/>
      <w:szCs w:val="20"/>
      <w14:ligatures w14:val="none"/>
    </w:rPr>
  </w:style>
  <w:style w:type="character" w:styleId="Hypertextovodkaz">
    <w:name w:val="Hyperlink"/>
    <w:basedOn w:val="Standardnpsmoodstavce"/>
    <w:uiPriority w:val="99"/>
    <w:unhideWhenUsed/>
    <w:rsid w:val="00346235"/>
    <w:rPr>
      <w:color w:val="467886" w:themeColor="hyperlink"/>
      <w:u w:val="single"/>
    </w:rPr>
  </w:style>
  <w:style w:type="character" w:styleId="Nevyeenzmnka">
    <w:name w:val="Unresolved Mention"/>
    <w:basedOn w:val="Standardnpsmoodstavce"/>
    <w:uiPriority w:val="99"/>
    <w:semiHidden/>
    <w:unhideWhenUsed/>
    <w:rsid w:val="00346235"/>
    <w:rPr>
      <w:color w:val="605E5C"/>
      <w:shd w:val="clear" w:color="auto" w:fill="E1DFDD"/>
    </w:rPr>
  </w:style>
  <w:style w:type="paragraph" w:styleId="Revize">
    <w:name w:val="Revision"/>
    <w:hidden/>
    <w:uiPriority w:val="99"/>
    <w:semiHidden/>
    <w:rsid w:val="003049B2"/>
    <w:pPr>
      <w:spacing w:after="0" w:line="240" w:lineRule="auto"/>
    </w:pPr>
    <w:rPr>
      <w:rFonts w:ascii="Times New Roman"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622">
      <w:bodyDiv w:val="1"/>
      <w:marLeft w:val="0"/>
      <w:marRight w:val="0"/>
      <w:marTop w:val="0"/>
      <w:marBottom w:val="0"/>
      <w:divBdr>
        <w:top w:val="none" w:sz="0" w:space="0" w:color="auto"/>
        <w:left w:val="none" w:sz="0" w:space="0" w:color="auto"/>
        <w:bottom w:val="none" w:sz="0" w:space="0" w:color="auto"/>
        <w:right w:val="none" w:sz="0" w:space="0" w:color="auto"/>
      </w:divBdr>
    </w:div>
    <w:div w:id="48841190">
      <w:bodyDiv w:val="1"/>
      <w:marLeft w:val="0"/>
      <w:marRight w:val="0"/>
      <w:marTop w:val="0"/>
      <w:marBottom w:val="0"/>
      <w:divBdr>
        <w:top w:val="none" w:sz="0" w:space="0" w:color="auto"/>
        <w:left w:val="none" w:sz="0" w:space="0" w:color="auto"/>
        <w:bottom w:val="none" w:sz="0" w:space="0" w:color="auto"/>
        <w:right w:val="none" w:sz="0" w:space="0" w:color="auto"/>
      </w:divBdr>
    </w:div>
    <w:div w:id="76752654">
      <w:bodyDiv w:val="1"/>
      <w:marLeft w:val="0"/>
      <w:marRight w:val="0"/>
      <w:marTop w:val="0"/>
      <w:marBottom w:val="0"/>
      <w:divBdr>
        <w:top w:val="none" w:sz="0" w:space="0" w:color="auto"/>
        <w:left w:val="none" w:sz="0" w:space="0" w:color="auto"/>
        <w:bottom w:val="none" w:sz="0" w:space="0" w:color="auto"/>
        <w:right w:val="none" w:sz="0" w:space="0" w:color="auto"/>
      </w:divBdr>
    </w:div>
    <w:div w:id="133063636">
      <w:bodyDiv w:val="1"/>
      <w:marLeft w:val="0"/>
      <w:marRight w:val="0"/>
      <w:marTop w:val="0"/>
      <w:marBottom w:val="0"/>
      <w:divBdr>
        <w:top w:val="none" w:sz="0" w:space="0" w:color="auto"/>
        <w:left w:val="none" w:sz="0" w:space="0" w:color="auto"/>
        <w:bottom w:val="none" w:sz="0" w:space="0" w:color="auto"/>
        <w:right w:val="none" w:sz="0" w:space="0" w:color="auto"/>
      </w:divBdr>
    </w:div>
    <w:div w:id="318190461">
      <w:bodyDiv w:val="1"/>
      <w:marLeft w:val="0"/>
      <w:marRight w:val="0"/>
      <w:marTop w:val="0"/>
      <w:marBottom w:val="0"/>
      <w:divBdr>
        <w:top w:val="none" w:sz="0" w:space="0" w:color="auto"/>
        <w:left w:val="none" w:sz="0" w:space="0" w:color="auto"/>
        <w:bottom w:val="none" w:sz="0" w:space="0" w:color="auto"/>
        <w:right w:val="none" w:sz="0" w:space="0" w:color="auto"/>
      </w:divBdr>
    </w:div>
    <w:div w:id="370804670">
      <w:bodyDiv w:val="1"/>
      <w:marLeft w:val="0"/>
      <w:marRight w:val="0"/>
      <w:marTop w:val="0"/>
      <w:marBottom w:val="0"/>
      <w:divBdr>
        <w:top w:val="none" w:sz="0" w:space="0" w:color="auto"/>
        <w:left w:val="none" w:sz="0" w:space="0" w:color="auto"/>
        <w:bottom w:val="none" w:sz="0" w:space="0" w:color="auto"/>
        <w:right w:val="none" w:sz="0" w:space="0" w:color="auto"/>
      </w:divBdr>
    </w:div>
    <w:div w:id="404693145">
      <w:bodyDiv w:val="1"/>
      <w:marLeft w:val="0"/>
      <w:marRight w:val="0"/>
      <w:marTop w:val="0"/>
      <w:marBottom w:val="0"/>
      <w:divBdr>
        <w:top w:val="none" w:sz="0" w:space="0" w:color="auto"/>
        <w:left w:val="none" w:sz="0" w:space="0" w:color="auto"/>
        <w:bottom w:val="none" w:sz="0" w:space="0" w:color="auto"/>
        <w:right w:val="none" w:sz="0" w:space="0" w:color="auto"/>
      </w:divBdr>
    </w:div>
    <w:div w:id="478809202">
      <w:bodyDiv w:val="1"/>
      <w:marLeft w:val="0"/>
      <w:marRight w:val="0"/>
      <w:marTop w:val="0"/>
      <w:marBottom w:val="0"/>
      <w:divBdr>
        <w:top w:val="none" w:sz="0" w:space="0" w:color="auto"/>
        <w:left w:val="none" w:sz="0" w:space="0" w:color="auto"/>
        <w:bottom w:val="none" w:sz="0" w:space="0" w:color="auto"/>
        <w:right w:val="none" w:sz="0" w:space="0" w:color="auto"/>
      </w:divBdr>
    </w:div>
    <w:div w:id="509758484">
      <w:bodyDiv w:val="1"/>
      <w:marLeft w:val="0"/>
      <w:marRight w:val="0"/>
      <w:marTop w:val="0"/>
      <w:marBottom w:val="0"/>
      <w:divBdr>
        <w:top w:val="none" w:sz="0" w:space="0" w:color="auto"/>
        <w:left w:val="none" w:sz="0" w:space="0" w:color="auto"/>
        <w:bottom w:val="none" w:sz="0" w:space="0" w:color="auto"/>
        <w:right w:val="none" w:sz="0" w:space="0" w:color="auto"/>
      </w:divBdr>
    </w:div>
    <w:div w:id="633753741">
      <w:bodyDiv w:val="1"/>
      <w:marLeft w:val="0"/>
      <w:marRight w:val="0"/>
      <w:marTop w:val="0"/>
      <w:marBottom w:val="0"/>
      <w:divBdr>
        <w:top w:val="none" w:sz="0" w:space="0" w:color="auto"/>
        <w:left w:val="none" w:sz="0" w:space="0" w:color="auto"/>
        <w:bottom w:val="none" w:sz="0" w:space="0" w:color="auto"/>
        <w:right w:val="none" w:sz="0" w:space="0" w:color="auto"/>
      </w:divBdr>
    </w:div>
    <w:div w:id="637106736">
      <w:bodyDiv w:val="1"/>
      <w:marLeft w:val="0"/>
      <w:marRight w:val="0"/>
      <w:marTop w:val="0"/>
      <w:marBottom w:val="0"/>
      <w:divBdr>
        <w:top w:val="none" w:sz="0" w:space="0" w:color="auto"/>
        <w:left w:val="none" w:sz="0" w:space="0" w:color="auto"/>
        <w:bottom w:val="none" w:sz="0" w:space="0" w:color="auto"/>
        <w:right w:val="none" w:sz="0" w:space="0" w:color="auto"/>
      </w:divBdr>
    </w:div>
    <w:div w:id="770322103">
      <w:bodyDiv w:val="1"/>
      <w:marLeft w:val="0"/>
      <w:marRight w:val="0"/>
      <w:marTop w:val="0"/>
      <w:marBottom w:val="0"/>
      <w:divBdr>
        <w:top w:val="none" w:sz="0" w:space="0" w:color="auto"/>
        <w:left w:val="none" w:sz="0" w:space="0" w:color="auto"/>
        <w:bottom w:val="none" w:sz="0" w:space="0" w:color="auto"/>
        <w:right w:val="none" w:sz="0" w:space="0" w:color="auto"/>
      </w:divBdr>
    </w:div>
    <w:div w:id="1023478621">
      <w:bodyDiv w:val="1"/>
      <w:marLeft w:val="0"/>
      <w:marRight w:val="0"/>
      <w:marTop w:val="0"/>
      <w:marBottom w:val="0"/>
      <w:divBdr>
        <w:top w:val="none" w:sz="0" w:space="0" w:color="auto"/>
        <w:left w:val="none" w:sz="0" w:space="0" w:color="auto"/>
        <w:bottom w:val="none" w:sz="0" w:space="0" w:color="auto"/>
        <w:right w:val="none" w:sz="0" w:space="0" w:color="auto"/>
      </w:divBdr>
    </w:div>
    <w:div w:id="1027490352">
      <w:bodyDiv w:val="1"/>
      <w:marLeft w:val="0"/>
      <w:marRight w:val="0"/>
      <w:marTop w:val="0"/>
      <w:marBottom w:val="0"/>
      <w:divBdr>
        <w:top w:val="none" w:sz="0" w:space="0" w:color="auto"/>
        <w:left w:val="none" w:sz="0" w:space="0" w:color="auto"/>
        <w:bottom w:val="none" w:sz="0" w:space="0" w:color="auto"/>
        <w:right w:val="none" w:sz="0" w:space="0" w:color="auto"/>
      </w:divBdr>
    </w:div>
    <w:div w:id="1043554060">
      <w:bodyDiv w:val="1"/>
      <w:marLeft w:val="0"/>
      <w:marRight w:val="0"/>
      <w:marTop w:val="0"/>
      <w:marBottom w:val="0"/>
      <w:divBdr>
        <w:top w:val="none" w:sz="0" w:space="0" w:color="auto"/>
        <w:left w:val="none" w:sz="0" w:space="0" w:color="auto"/>
        <w:bottom w:val="none" w:sz="0" w:space="0" w:color="auto"/>
        <w:right w:val="none" w:sz="0" w:space="0" w:color="auto"/>
      </w:divBdr>
    </w:div>
    <w:div w:id="1110783140">
      <w:bodyDiv w:val="1"/>
      <w:marLeft w:val="0"/>
      <w:marRight w:val="0"/>
      <w:marTop w:val="0"/>
      <w:marBottom w:val="0"/>
      <w:divBdr>
        <w:top w:val="none" w:sz="0" w:space="0" w:color="auto"/>
        <w:left w:val="none" w:sz="0" w:space="0" w:color="auto"/>
        <w:bottom w:val="none" w:sz="0" w:space="0" w:color="auto"/>
        <w:right w:val="none" w:sz="0" w:space="0" w:color="auto"/>
      </w:divBdr>
    </w:div>
    <w:div w:id="1148087226">
      <w:bodyDiv w:val="1"/>
      <w:marLeft w:val="0"/>
      <w:marRight w:val="0"/>
      <w:marTop w:val="0"/>
      <w:marBottom w:val="0"/>
      <w:divBdr>
        <w:top w:val="none" w:sz="0" w:space="0" w:color="auto"/>
        <w:left w:val="none" w:sz="0" w:space="0" w:color="auto"/>
        <w:bottom w:val="none" w:sz="0" w:space="0" w:color="auto"/>
        <w:right w:val="none" w:sz="0" w:space="0" w:color="auto"/>
      </w:divBdr>
    </w:div>
    <w:div w:id="1194879517">
      <w:bodyDiv w:val="1"/>
      <w:marLeft w:val="0"/>
      <w:marRight w:val="0"/>
      <w:marTop w:val="0"/>
      <w:marBottom w:val="0"/>
      <w:divBdr>
        <w:top w:val="none" w:sz="0" w:space="0" w:color="auto"/>
        <w:left w:val="none" w:sz="0" w:space="0" w:color="auto"/>
        <w:bottom w:val="none" w:sz="0" w:space="0" w:color="auto"/>
        <w:right w:val="none" w:sz="0" w:space="0" w:color="auto"/>
      </w:divBdr>
    </w:div>
    <w:div w:id="1194998176">
      <w:bodyDiv w:val="1"/>
      <w:marLeft w:val="0"/>
      <w:marRight w:val="0"/>
      <w:marTop w:val="0"/>
      <w:marBottom w:val="0"/>
      <w:divBdr>
        <w:top w:val="none" w:sz="0" w:space="0" w:color="auto"/>
        <w:left w:val="none" w:sz="0" w:space="0" w:color="auto"/>
        <w:bottom w:val="none" w:sz="0" w:space="0" w:color="auto"/>
        <w:right w:val="none" w:sz="0" w:space="0" w:color="auto"/>
      </w:divBdr>
    </w:div>
    <w:div w:id="1215309130">
      <w:bodyDiv w:val="1"/>
      <w:marLeft w:val="0"/>
      <w:marRight w:val="0"/>
      <w:marTop w:val="0"/>
      <w:marBottom w:val="0"/>
      <w:divBdr>
        <w:top w:val="none" w:sz="0" w:space="0" w:color="auto"/>
        <w:left w:val="none" w:sz="0" w:space="0" w:color="auto"/>
        <w:bottom w:val="none" w:sz="0" w:space="0" w:color="auto"/>
        <w:right w:val="none" w:sz="0" w:space="0" w:color="auto"/>
      </w:divBdr>
    </w:div>
    <w:div w:id="1355688875">
      <w:bodyDiv w:val="1"/>
      <w:marLeft w:val="0"/>
      <w:marRight w:val="0"/>
      <w:marTop w:val="0"/>
      <w:marBottom w:val="0"/>
      <w:divBdr>
        <w:top w:val="none" w:sz="0" w:space="0" w:color="auto"/>
        <w:left w:val="none" w:sz="0" w:space="0" w:color="auto"/>
        <w:bottom w:val="none" w:sz="0" w:space="0" w:color="auto"/>
        <w:right w:val="none" w:sz="0" w:space="0" w:color="auto"/>
      </w:divBdr>
    </w:div>
    <w:div w:id="1357927390">
      <w:bodyDiv w:val="1"/>
      <w:marLeft w:val="0"/>
      <w:marRight w:val="0"/>
      <w:marTop w:val="0"/>
      <w:marBottom w:val="0"/>
      <w:divBdr>
        <w:top w:val="none" w:sz="0" w:space="0" w:color="auto"/>
        <w:left w:val="none" w:sz="0" w:space="0" w:color="auto"/>
        <w:bottom w:val="none" w:sz="0" w:space="0" w:color="auto"/>
        <w:right w:val="none" w:sz="0" w:space="0" w:color="auto"/>
      </w:divBdr>
    </w:div>
    <w:div w:id="1446535176">
      <w:bodyDiv w:val="1"/>
      <w:marLeft w:val="0"/>
      <w:marRight w:val="0"/>
      <w:marTop w:val="0"/>
      <w:marBottom w:val="0"/>
      <w:divBdr>
        <w:top w:val="none" w:sz="0" w:space="0" w:color="auto"/>
        <w:left w:val="none" w:sz="0" w:space="0" w:color="auto"/>
        <w:bottom w:val="none" w:sz="0" w:space="0" w:color="auto"/>
        <w:right w:val="none" w:sz="0" w:space="0" w:color="auto"/>
      </w:divBdr>
    </w:div>
    <w:div w:id="1698313590">
      <w:bodyDiv w:val="1"/>
      <w:marLeft w:val="0"/>
      <w:marRight w:val="0"/>
      <w:marTop w:val="0"/>
      <w:marBottom w:val="0"/>
      <w:divBdr>
        <w:top w:val="none" w:sz="0" w:space="0" w:color="auto"/>
        <w:left w:val="none" w:sz="0" w:space="0" w:color="auto"/>
        <w:bottom w:val="none" w:sz="0" w:space="0" w:color="auto"/>
        <w:right w:val="none" w:sz="0" w:space="0" w:color="auto"/>
      </w:divBdr>
    </w:div>
    <w:div w:id="1730958389">
      <w:bodyDiv w:val="1"/>
      <w:marLeft w:val="0"/>
      <w:marRight w:val="0"/>
      <w:marTop w:val="0"/>
      <w:marBottom w:val="0"/>
      <w:divBdr>
        <w:top w:val="none" w:sz="0" w:space="0" w:color="auto"/>
        <w:left w:val="none" w:sz="0" w:space="0" w:color="auto"/>
        <w:bottom w:val="none" w:sz="0" w:space="0" w:color="auto"/>
        <w:right w:val="none" w:sz="0" w:space="0" w:color="auto"/>
      </w:divBdr>
    </w:div>
    <w:div w:id="1940328488">
      <w:bodyDiv w:val="1"/>
      <w:marLeft w:val="0"/>
      <w:marRight w:val="0"/>
      <w:marTop w:val="0"/>
      <w:marBottom w:val="0"/>
      <w:divBdr>
        <w:top w:val="none" w:sz="0" w:space="0" w:color="auto"/>
        <w:left w:val="none" w:sz="0" w:space="0" w:color="auto"/>
        <w:bottom w:val="none" w:sz="0" w:space="0" w:color="auto"/>
        <w:right w:val="none" w:sz="0" w:space="0" w:color="auto"/>
      </w:divBdr>
    </w:div>
    <w:div w:id="1962031454">
      <w:bodyDiv w:val="1"/>
      <w:marLeft w:val="0"/>
      <w:marRight w:val="0"/>
      <w:marTop w:val="0"/>
      <w:marBottom w:val="0"/>
      <w:divBdr>
        <w:top w:val="none" w:sz="0" w:space="0" w:color="auto"/>
        <w:left w:val="none" w:sz="0" w:space="0" w:color="auto"/>
        <w:bottom w:val="none" w:sz="0" w:space="0" w:color="auto"/>
        <w:right w:val="none" w:sz="0" w:space="0" w:color="auto"/>
      </w:divBdr>
    </w:div>
    <w:div w:id="1985549174">
      <w:bodyDiv w:val="1"/>
      <w:marLeft w:val="0"/>
      <w:marRight w:val="0"/>
      <w:marTop w:val="0"/>
      <w:marBottom w:val="0"/>
      <w:divBdr>
        <w:top w:val="none" w:sz="0" w:space="0" w:color="auto"/>
        <w:left w:val="none" w:sz="0" w:space="0" w:color="auto"/>
        <w:bottom w:val="none" w:sz="0" w:space="0" w:color="auto"/>
        <w:right w:val="none" w:sz="0" w:space="0" w:color="auto"/>
      </w:divBdr>
    </w:div>
    <w:div w:id="20807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111F-6405-4488-8FA7-690977B7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3015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Hálová Kateřina</dc:creator>
  <cp:keywords/>
  <dc:description/>
  <cp:lastModifiedBy>Hálová Kateřina</cp:lastModifiedBy>
  <cp:revision>2</cp:revision>
  <cp:lastPrinted>2025-07-17T13:26:00Z</cp:lastPrinted>
  <dcterms:created xsi:type="dcterms:W3CDTF">2025-10-23T07:33:00Z</dcterms:created>
  <dcterms:modified xsi:type="dcterms:W3CDTF">2025-10-23T07:33:00Z</dcterms:modified>
</cp:coreProperties>
</file>