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3456" w14:textId="47D6CF47" w:rsidR="00B500F8" w:rsidRDefault="00B500F8" w:rsidP="00B500F8">
      <w:pPr>
        <w:widowControl w:val="0"/>
        <w:jc w:val="right"/>
        <w:rPr>
          <w:rFonts w:eastAsiaTheme="minorHAnsi"/>
          <w:bCs/>
          <w:szCs w:val="24"/>
        </w:rPr>
      </w:pPr>
      <w:r w:rsidRPr="00B500F8">
        <w:rPr>
          <w:rFonts w:eastAsiaTheme="minorHAnsi"/>
          <w:bCs/>
          <w:szCs w:val="24"/>
        </w:rPr>
        <w:t>IV.</w:t>
      </w:r>
    </w:p>
    <w:p w14:paraId="5B3B59C1" w14:textId="77777777" w:rsidR="00B500F8" w:rsidRPr="00B500F8" w:rsidRDefault="00B500F8" w:rsidP="00B500F8">
      <w:pPr>
        <w:widowControl w:val="0"/>
        <w:jc w:val="right"/>
        <w:rPr>
          <w:rFonts w:eastAsiaTheme="minorHAnsi"/>
          <w:bCs/>
          <w:szCs w:val="24"/>
        </w:rPr>
      </w:pPr>
    </w:p>
    <w:p w14:paraId="5D7B46A5" w14:textId="4E5D72DC" w:rsidR="00795776" w:rsidRPr="00510381" w:rsidRDefault="00795776" w:rsidP="00795776">
      <w:pPr>
        <w:widowControl w:val="0"/>
        <w:jc w:val="center"/>
        <w:rPr>
          <w:rFonts w:eastAsiaTheme="minorHAnsi"/>
          <w:b/>
          <w:szCs w:val="24"/>
        </w:rPr>
      </w:pPr>
      <w:r w:rsidRPr="00510381">
        <w:rPr>
          <w:rFonts w:eastAsiaTheme="minorHAnsi"/>
          <w:b/>
          <w:szCs w:val="24"/>
        </w:rPr>
        <w:t>DŮVODOVÁ ZPRÁVA</w:t>
      </w:r>
    </w:p>
    <w:p w14:paraId="5D521137" w14:textId="77777777" w:rsidR="00795776" w:rsidRPr="00510381" w:rsidRDefault="00795776" w:rsidP="00795776">
      <w:pPr>
        <w:widowControl w:val="0"/>
        <w:jc w:val="center"/>
        <w:rPr>
          <w:rFonts w:eastAsiaTheme="minorHAnsi"/>
          <w:b/>
          <w:szCs w:val="24"/>
        </w:rPr>
      </w:pPr>
    </w:p>
    <w:p w14:paraId="306B4CB0" w14:textId="77777777" w:rsidR="00795776" w:rsidRPr="00F4416E" w:rsidRDefault="00795776" w:rsidP="00006E7A">
      <w:pPr>
        <w:pStyle w:val="Nadpis1"/>
      </w:pPr>
      <w:r w:rsidRPr="00F4416E">
        <w:t>Obecná část</w:t>
      </w:r>
    </w:p>
    <w:p w14:paraId="4F271B34" w14:textId="77777777" w:rsidR="00795776" w:rsidRPr="00DA5ECC" w:rsidRDefault="00795776" w:rsidP="00795776"/>
    <w:p w14:paraId="2AFA524E" w14:textId="77777777" w:rsidR="00795776" w:rsidRPr="00DA5ECC" w:rsidRDefault="00795776" w:rsidP="00EA7258">
      <w:pPr>
        <w:pStyle w:val="Nadpis2"/>
      </w:pPr>
      <w:r w:rsidRPr="00DA5ECC">
        <w:t>Hodnocení dopadů regulace (RIA)</w:t>
      </w:r>
    </w:p>
    <w:p w14:paraId="41D47540" w14:textId="2A06760A" w:rsidR="00795776" w:rsidRPr="00DA5ECC" w:rsidRDefault="00795776" w:rsidP="00EA7258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  <w:bookmarkStart w:id="0" w:name="_Hlk150605526"/>
      <w:r w:rsidRPr="00DA5ECC">
        <w:rPr>
          <w:rFonts w:eastAsiaTheme="minorHAnsi"/>
          <w:color w:val="000000"/>
          <w:szCs w:val="24"/>
        </w:rPr>
        <w:t>Na základě výjimky udělené v souladu s čl. 76 odst. 2 Legislativních pravidel vlády a bodem 5.</w:t>
      </w:r>
      <w:r w:rsidR="00D53FEA" w:rsidRPr="00DA5ECC">
        <w:rPr>
          <w:rFonts w:eastAsiaTheme="minorHAnsi"/>
          <w:color w:val="000000"/>
          <w:szCs w:val="24"/>
        </w:rPr>
        <w:t>5</w:t>
      </w:r>
      <w:r w:rsidRPr="00DA5ECC">
        <w:rPr>
          <w:rFonts w:eastAsiaTheme="minorHAnsi"/>
          <w:color w:val="000000"/>
          <w:szCs w:val="24"/>
        </w:rPr>
        <w:t xml:space="preserve">. Obecných zásad pro hodnocení dopadů regulace (RIA) předsedou Legislativní rady vlády dne </w:t>
      </w:r>
      <w:r w:rsidR="001B65BA" w:rsidRPr="00DA5ECC">
        <w:rPr>
          <w:rFonts w:eastAsiaTheme="minorHAnsi"/>
          <w:color w:val="000000"/>
          <w:szCs w:val="24"/>
        </w:rPr>
        <w:t>12</w:t>
      </w:r>
      <w:r w:rsidRPr="00DA5ECC">
        <w:rPr>
          <w:rFonts w:eastAsiaTheme="minorHAnsi"/>
          <w:color w:val="000000"/>
          <w:szCs w:val="24"/>
        </w:rPr>
        <w:t xml:space="preserve">. </w:t>
      </w:r>
      <w:r w:rsidR="001B65BA" w:rsidRPr="00DA5ECC">
        <w:rPr>
          <w:rFonts w:eastAsiaTheme="minorHAnsi"/>
          <w:color w:val="000000"/>
          <w:szCs w:val="24"/>
        </w:rPr>
        <w:t>května 2025</w:t>
      </w:r>
      <w:r w:rsidRPr="00DA5ECC">
        <w:rPr>
          <w:rFonts w:eastAsiaTheme="minorHAnsi"/>
          <w:color w:val="000000"/>
          <w:szCs w:val="24"/>
        </w:rPr>
        <w:t xml:space="preserve"> (dopis č. j. </w:t>
      </w:r>
      <w:r w:rsidR="001B65BA" w:rsidRPr="00DA5ECC">
        <w:rPr>
          <w:rFonts w:eastAsiaTheme="minorHAnsi"/>
          <w:color w:val="000000"/>
          <w:szCs w:val="24"/>
        </w:rPr>
        <w:t>18727-2025-UVCR</w:t>
      </w:r>
      <w:r w:rsidRPr="00DA5ECC">
        <w:rPr>
          <w:rFonts w:eastAsiaTheme="minorHAnsi"/>
          <w:color w:val="000000"/>
          <w:szCs w:val="24"/>
        </w:rPr>
        <w:t>) nebylo hodnocení dopadů regulace zpracováno.</w:t>
      </w:r>
      <w:bookmarkEnd w:id="0"/>
    </w:p>
    <w:p w14:paraId="62349C7E" w14:textId="77777777" w:rsidR="00982CE1" w:rsidRPr="00DA5ECC" w:rsidRDefault="00982CE1" w:rsidP="00EA7258"/>
    <w:p w14:paraId="63BDFDDF" w14:textId="77777777" w:rsidR="00FE67B4" w:rsidRPr="00DA5ECC" w:rsidRDefault="00FE67B4" w:rsidP="00EA7258">
      <w:pPr>
        <w:pStyle w:val="Nadpis2"/>
      </w:pPr>
      <w:r w:rsidRPr="00DA5ECC">
        <w:t>Zhodnocení platného právního stavu, odůvodnění hlavních principů navrhované právní úpravy a vysvětlení nezbytnosti navrhované právní úpravy v jejím celku</w:t>
      </w:r>
    </w:p>
    <w:p w14:paraId="58748F9B" w14:textId="6DD3F99B" w:rsidR="00BD1A2E" w:rsidRPr="00DA5ECC" w:rsidRDefault="00BD1A2E" w:rsidP="00EA7258">
      <w:pPr>
        <w:rPr>
          <w:szCs w:val="24"/>
        </w:rPr>
      </w:pPr>
      <w:r w:rsidRPr="00DA5ECC">
        <w:rPr>
          <w:szCs w:val="24"/>
        </w:rPr>
        <w:t xml:space="preserve">Cílem návrhu je odstranit nerovné zacházení s </w:t>
      </w:r>
      <w:r w:rsidR="008F2140" w:rsidRPr="00DA5ECC">
        <w:rPr>
          <w:szCs w:val="24"/>
        </w:rPr>
        <w:t xml:space="preserve">vazebně stíhanými </w:t>
      </w:r>
      <w:r w:rsidRPr="00DA5ECC">
        <w:rPr>
          <w:szCs w:val="24"/>
        </w:rPr>
        <w:t xml:space="preserve">mladistvými </w:t>
      </w:r>
      <w:r w:rsidR="008F2140" w:rsidRPr="00DA5ECC">
        <w:rPr>
          <w:szCs w:val="24"/>
        </w:rPr>
        <w:t xml:space="preserve">oproti vazebně stíhaným dospělým obviněným </w:t>
      </w:r>
      <w:r w:rsidRPr="00DA5ECC">
        <w:rPr>
          <w:szCs w:val="24"/>
        </w:rPr>
        <w:t xml:space="preserve">a uvést právní úpravu do souladu s rozsudkem </w:t>
      </w:r>
      <w:r w:rsidR="008F2140" w:rsidRPr="00DA5ECC">
        <w:rPr>
          <w:szCs w:val="24"/>
        </w:rPr>
        <w:t xml:space="preserve">Evropského soudu pro lidská práva (dále také jen „ESLP“) </w:t>
      </w:r>
      <w:r w:rsidRPr="00DA5ECC">
        <w:rPr>
          <w:szCs w:val="24"/>
        </w:rPr>
        <w:t xml:space="preserve">ve věci </w:t>
      </w:r>
      <w:proofErr w:type="spellStart"/>
      <w:r w:rsidRPr="00DA5ECC">
        <w:rPr>
          <w:i/>
          <w:iCs/>
          <w:szCs w:val="24"/>
        </w:rPr>
        <w:t>Spišák</w:t>
      </w:r>
      <w:proofErr w:type="spellEnd"/>
      <w:r w:rsidRPr="00DA5ECC">
        <w:rPr>
          <w:i/>
          <w:iCs/>
          <w:szCs w:val="24"/>
        </w:rPr>
        <w:t xml:space="preserve"> proti České republice</w:t>
      </w:r>
      <w:r w:rsidRPr="00DA5ECC">
        <w:rPr>
          <w:szCs w:val="24"/>
        </w:rPr>
        <w:t>.</w:t>
      </w:r>
    </w:p>
    <w:p w14:paraId="5E1F8D76" w14:textId="378EE33F" w:rsidR="00FE67B4" w:rsidRPr="00DA5ECC" w:rsidRDefault="00446B9D" w:rsidP="00EA7258">
      <w:pPr>
        <w:rPr>
          <w:szCs w:val="24"/>
        </w:rPr>
      </w:pPr>
      <w:r w:rsidRPr="00DA5ECC">
        <w:rPr>
          <w:szCs w:val="24"/>
        </w:rPr>
        <w:t xml:space="preserve">Evropský soud pro lidská práva </w:t>
      </w:r>
      <w:r w:rsidR="00E14280" w:rsidRPr="00DA5ECC">
        <w:rPr>
          <w:szCs w:val="24"/>
        </w:rPr>
        <w:t xml:space="preserve">dne 20. června 2024 ve věci </w:t>
      </w:r>
      <w:proofErr w:type="spellStart"/>
      <w:r w:rsidR="00E14280" w:rsidRPr="00DA5ECC">
        <w:rPr>
          <w:i/>
          <w:iCs/>
          <w:szCs w:val="24"/>
        </w:rPr>
        <w:t>Spišák</w:t>
      </w:r>
      <w:proofErr w:type="spellEnd"/>
      <w:r w:rsidR="00E14280" w:rsidRPr="00DA5ECC">
        <w:rPr>
          <w:i/>
          <w:iCs/>
          <w:szCs w:val="24"/>
        </w:rPr>
        <w:t xml:space="preserve"> proti České republice</w:t>
      </w:r>
      <w:r w:rsidR="00E14280" w:rsidRPr="00DA5ECC">
        <w:rPr>
          <w:szCs w:val="24"/>
        </w:rPr>
        <w:t xml:space="preserve"> (č.</w:t>
      </w:r>
      <w:r w:rsidR="00EA7258" w:rsidRPr="00DA5ECC">
        <w:rPr>
          <w:szCs w:val="24"/>
        </w:rPr>
        <w:t> </w:t>
      </w:r>
      <w:r w:rsidR="00E14280" w:rsidRPr="00DA5ECC">
        <w:rPr>
          <w:szCs w:val="24"/>
        </w:rPr>
        <w:t>13968/22)</w:t>
      </w:r>
      <w:r w:rsidR="00017FEF">
        <w:rPr>
          <w:rStyle w:val="Znakapoznpodarou"/>
          <w:szCs w:val="24"/>
        </w:rPr>
        <w:footnoteReference w:id="1"/>
      </w:r>
      <w:r w:rsidR="00E14280" w:rsidRPr="00DA5ECC">
        <w:rPr>
          <w:szCs w:val="24"/>
        </w:rPr>
        <w:t xml:space="preserve"> rozhodl, že česká právní úprava v oblasti vazby</w:t>
      </w:r>
      <w:r w:rsidR="00915F24" w:rsidRPr="00DA5ECC">
        <w:rPr>
          <w:szCs w:val="24"/>
        </w:rPr>
        <w:t xml:space="preserve"> </w:t>
      </w:r>
      <w:r w:rsidR="00E14280" w:rsidRPr="00DA5ECC">
        <w:rPr>
          <w:szCs w:val="24"/>
        </w:rPr>
        <w:t>mladistvých je v rozporu s</w:t>
      </w:r>
      <w:r w:rsidR="008F2140" w:rsidRPr="00DA5ECC">
        <w:rPr>
          <w:szCs w:val="24"/>
        </w:rPr>
        <w:t> </w:t>
      </w:r>
      <w:r w:rsidR="00E14280" w:rsidRPr="00DA5ECC">
        <w:rPr>
          <w:szCs w:val="24"/>
        </w:rPr>
        <w:t>článkem 14 ve spojení s článkem 5 Úmluvy o ochraně lidských práv a základních svobod</w:t>
      </w:r>
      <w:r w:rsidR="00B679ED" w:rsidRPr="00DA5ECC">
        <w:rPr>
          <w:szCs w:val="24"/>
        </w:rPr>
        <w:t xml:space="preserve"> (dále též jen „Úmluva“)</w:t>
      </w:r>
      <w:r w:rsidR="00067E3E" w:rsidRPr="00DA5ECC">
        <w:rPr>
          <w:szCs w:val="24"/>
        </w:rPr>
        <w:t xml:space="preserve">. Podle těchto ustanovení musí být užívání práva </w:t>
      </w:r>
      <w:r w:rsidR="007F10A9" w:rsidRPr="00DA5ECC">
        <w:rPr>
          <w:szCs w:val="24"/>
        </w:rPr>
        <w:t>na svobodu a osobní bezpečnost</w:t>
      </w:r>
      <w:r w:rsidR="00067E3E" w:rsidRPr="00DA5ECC">
        <w:rPr>
          <w:szCs w:val="24"/>
        </w:rPr>
        <w:t xml:space="preserve"> zajištěno bez diskriminace založené na jakémkoli důvodu, jako je pohlaví, rasa, barva pleti, jazyk, náboženství, politické nebo jiné smýšlení, národnostní nebo sociální původ, příslušnost k národnostní menšině, majetek, rod nebo jiné postavení. </w:t>
      </w:r>
    </w:p>
    <w:p w14:paraId="3C0398B5" w14:textId="14C534E3" w:rsidR="00BA4C9B" w:rsidRPr="00DA5ECC" w:rsidRDefault="00BA4C9B" w:rsidP="00EA7258">
      <w:r w:rsidRPr="00DA5ECC">
        <w:rPr>
          <w:szCs w:val="24"/>
        </w:rPr>
        <w:t>České republice je ze strany Evropského soudu pro lidská práva vytýkán</w:t>
      </w:r>
      <w:r w:rsidR="009F66D8" w:rsidRPr="00DA5ECC">
        <w:rPr>
          <w:szCs w:val="24"/>
        </w:rPr>
        <w:t xml:space="preserve"> </w:t>
      </w:r>
      <w:r w:rsidR="009F66D8" w:rsidRPr="00DA5ECC">
        <w:rPr>
          <w:b/>
          <w:bCs/>
          <w:szCs w:val="24"/>
        </w:rPr>
        <w:t>rozdílný přístup k</w:t>
      </w:r>
      <w:r w:rsidR="00896DE0" w:rsidRPr="00DA5ECC">
        <w:rPr>
          <w:b/>
          <w:bCs/>
          <w:szCs w:val="24"/>
        </w:rPr>
        <w:t> </w:t>
      </w:r>
      <w:r w:rsidR="009F66D8" w:rsidRPr="00DA5ECC">
        <w:rPr>
          <w:b/>
          <w:bCs/>
          <w:szCs w:val="24"/>
        </w:rPr>
        <w:t>otázce přezkumu trvání vazby u mladistvých obviněných oproti dospělým obviněným</w:t>
      </w:r>
      <w:r w:rsidRPr="00DA5ECC">
        <w:rPr>
          <w:szCs w:val="24"/>
        </w:rPr>
        <w:t xml:space="preserve">, </w:t>
      </w:r>
      <w:r w:rsidR="00EC595E" w:rsidRPr="00DA5ECC">
        <w:rPr>
          <w:szCs w:val="24"/>
        </w:rPr>
        <w:t xml:space="preserve">jelikož </w:t>
      </w:r>
      <w:r w:rsidR="0052419D" w:rsidRPr="00DA5ECC">
        <w:rPr>
          <w:szCs w:val="24"/>
        </w:rPr>
        <w:t>v případě mladistvých obviněných</w:t>
      </w:r>
      <w:r w:rsidR="00DA5ECC" w:rsidRPr="00DA5ECC">
        <w:rPr>
          <w:szCs w:val="24"/>
        </w:rPr>
        <w:t>, kteří jsou</w:t>
      </w:r>
      <w:r w:rsidR="0052419D" w:rsidRPr="00DA5ECC">
        <w:rPr>
          <w:szCs w:val="24"/>
        </w:rPr>
        <w:t xml:space="preserve"> vazebně stíh</w:t>
      </w:r>
      <w:r w:rsidR="00DA5ECC" w:rsidRPr="00DA5ECC">
        <w:rPr>
          <w:szCs w:val="24"/>
        </w:rPr>
        <w:t>áni</w:t>
      </w:r>
      <w:r w:rsidR="0052419D" w:rsidRPr="00DA5ECC">
        <w:rPr>
          <w:szCs w:val="24"/>
        </w:rPr>
        <w:t xml:space="preserve"> pro zvlášť závažné provinění</w:t>
      </w:r>
      <w:r w:rsidR="00DA5ECC" w:rsidRPr="00DA5ECC">
        <w:rPr>
          <w:szCs w:val="24"/>
        </w:rPr>
        <w:t>,</w:t>
      </w:r>
      <w:r w:rsidR="0052419D" w:rsidRPr="00DA5ECC">
        <w:rPr>
          <w:szCs w:val="24"/>
        </w:rPr>
        <w:t xml:space="preserve"> se na rozdíl od vazebně stíhaných dospělých obviněných neuplatní </w:t>
      </w:r>
      <w:r w:rsidR="0052419D" w:rsidRPr="00DA5ECC">
        <w:t>periodický přezkum trvání vazby každé tři měsíce</w:t>
      </w:r>
      <w:r w:rsidR="00E15FE2" w:rsidRPr="00DA5ECC">
        <w:t xml:space="preserve">. </w:t>
      </w:r>
      <w:r w:rsidR="00972AEE" w:rsidRPr="00DA5ECC">
        <w:t>O dalším trvání vazby mladistvého</w:t>
      </w:r>
      <w:r w:rsidR="00515F45" w:rsidRPr="00DA5ECC">
        <w:t xml:space="preserve"> je </w:t>
      </w:r>
      <w:r w:rsidR="00972AEE" w:rsidRPr="00DA5ECC">
        <w:t>rozhodováno až po uplynutí maximální doby trvání vazby v rámci rozhodování o prodloužení vazby</w:t>
      </w:r>
      <w:r w:rsidR="00515F45" w:rsidRPr="00DA5ECC">
        <w:t>.</w:t>
      </w:r>
      <w:r w:rsidR="00972AEE" w:rsidRPr="00DA5ECC">
        <w:t xml:space="preserve"> </w:t>
      </w:r>
      <w:r w:rsidR="00E15FE2" w:rsidRPr="00DA5ECC">
        <w:t xml:space="preserve">Je-li </w:t>
      </w:r>
      <w:r w:rsidR="00972AEE" w:rsidRPr="00DA5ECC">
        <w:t xml:space="preserve">tedy </w:t>
      </w:r>
      <w:r w:rsidR="00E15FE2" w:rsidRPr="00DA5ECC">
        <w:t>řízení proti mladistvému vedeno pro zvlášť závažné provinění</w:t>
      </w:r>
      <w:r w:rsidR="009B3A25" w:rsidRPr="00DA5ECC">
        <w:t xml:space="preserve">, kdy nejvyšší přípustná doba trvání vazby činí </w:t>
      </w:r>
      <w:r w:rsidR="00896DE0" w:rsidRPr="00DA5ECC">
        <w:t>šest</w:t>
      </w:r>
      <w:r w:rsidR="009B3A25" w:rsidRPr="00DA5ECC">
        <w:t xml:space="preserve"> měsíců</w:t>
      </w:r>
      <w:r w:rsidR="00E15FE2" w:rsidRPr="00DA5ECC">
        <w:t>, je interval přezkumu trvání vazby z úřední povinnosti až dvojnásobný oproti úpravě vazby dospělých. Podle Evropského soudu pro lidská práva je takové vyloučení mladistvých z periodického přezkumu trvání vazby z úřední povinnosti diskriminačním zacházením na základě věku.</w:t>
      </w:r>
    </w:p>
    <w:p w14:paraId="20BF3B17" w14:textId="44F5E289" w:rsidR="00446B9D" w:rsidRPr="00DA5ECC" w:rsidRDefault="008C2798" w:rsidP="00EA7258">
      <w:r w:rsidRPr="00DA5ECC">
        <w:t>Problematika vazby mladistvých je v rámci právního řádu České republiky upravena v</w:t>
      </w:r>
      <w:r w:rsidR="00932224" w:rsidRPr="00DA5ECC">
        <w:t> ustanoveních §</w:t>
      </w:r>
      <w:r w:rsidR="008C5D5B" w:rsidRPr="00DA5ECC">
        <w:t xml:space="preserve"> 46 až </w:t>
      </w:r>
      <w:r w:rsidR="00904B90" w:rsidRPr="00DA5ECC">
        <w:t xml:space="preserve">50 </w:t>
      </w:r>
      <w:r w:rsidR="008C5D5B" w:rsidRPr="00DA5ECC">
        <w:t>zákona č. 218/2003 Sb., o odpovědnosti mládeže za protiprávní činy a o soudnictví ve věcech mládeže a o změně některých zákonů (zákon o soudnictví ve věcech mládeže), ve znění pozdějších předpisů (dále také jen „ZSVM</w:t>
      </w:r>
      <w:r w:rsidR="00813D7B" w:rsidRPr="00DA5ECC">
        <w:t>“</w:t>
      </w:r>
      <w:r w:rsidR="008C5D5B" w:rsidRPr="00DA5ECC">
        <w:t>)</w:t>
      </w:r>
      <w:r w:rsidR="007C65C3" w:rsidRPr="00DA5ECC">
        <w:t>, přičemž pokud zákon o</w:t>
      </w:r>
      <w:r w:rsidR="00E507A4" w:rsidRPr="00DA5ECC">
        <w:t> </w:t>
      </w:r>
      <w:r w:rsidR="007C65C3" w:rsidRPr="00DA5ECC">
        <w:t>soudnictví ve vě</w:t>
      </w:r>
      <w:r w:rsidR="00CA5D05" w:rsidRPr="00DA5ECC">
        <w:t>ce</w:t>
      </w:r>
      <w:r w:rsidR="007C65C3" w:rsidRPr="00DA5ECC">
        <w:t xml:space="preserve">ch mládeže nestanoví jinak, použije se v </w:t>
      </w:r>
      <w:r w:rsidR="000473E5" w:rsidRPr="00DA5ECC">
        <w:t xml:space="preserve">souladu s § 1 odst. 3 ZSVM </w:t>
      </w:r>
      <w:r w:rsidR="007C65C3" w:rsidRPr="00DA5ECC">
        <w:t>subsidiárně trestní řád.</w:t>
      </w:r>
      <w:r w:rsidR="00BC1AEC" w:rsidRPr="00DA5ECC">
        <w:t xml:space="preserve"> </w:t>
      </w:r>
      <w:r w:rsidR="00494BB4" w:rsidRPr="00DA5ECC">
        <w:t>Trestní řád</w:t>
      </w:r>
      <w:r w:rsidR="00576FBF" w:rsidRPr="00DA5ECC">
        <w:t xml:space="preserve"> (dále také jen „</w:t>
      </w:r>
      <w:proofErr w:type="spellStart"/>
      <w:r w:rsidR="00576FBF" w:rsidRPr="00DA5ECC">
        <w:t>tr</w:t>
      </w:r>
      <w:proofErr w:type="spellEnd"/>
      <w:r w:rsidR="00576FBF" w:rsidRPr="00DA5ECC">
        <w:t>. ř.“)</w:t>
      </w:r>
      <w:r w:rsidR="00494BB4" w:rsidRPr="00DA5ECC">
        <w:t xml:space="preserve"> v § 72 odst. 1 upravuje tzv. periodický </w:t>
      </w:r>
      <w:r w:rsidR="00494BB4" w:rsidRPr="00DA5ECC">
        <w:lastRenderedPageBreak/>
        <w:t>přezkum vazby</w:t>
      </w:r>
      <w:r w:rsidR="006F77C8" w:rsidRPr="00DA5ECC">
        <w:t xml:space="preserve"> z úřední povinnosti</w:t>
      </w:r>
      <w:r w:rsidR="00494BB4" w:rsidRPr="00DA5ECC">
        <w:t>, k</w:t>
      </w:r>
      <w:r w:rsidR="002B21ED" w:rsidRPr="00DA5ECC">
        <w:t>dy soud, resp. v přípravném řízení soudce, je povinen nejpozději každé 3 měsíce od právní moci rozhodnutí o</w:t>
      </w:r>
      <w:r w:rsidR="00E24B86" w:rsidRPr="00DA5ECC">
        <w:t> </w:t>
      </w:r>
      <w:r w:rsidR="002B21ED" w:rsidRPr="00DA5ECC">
        <w:t xml:space="preserve">vazbě rozhodnout, </w:t>
      </w:r>
      <w:r w:rsidR="00E64C68" w:rsidRPr="00DA5ECC">
        <w:t>zda se obviněný i</w:t>
      </w:r>
      <w:r w:rsidR="00E507A4" w:rsidRPr="00DA5ECC">
        <w:t> </w:t>
      </w:r>
      <w:r w:rsidR="00E64C68" w:rsidRPr="00DA5ECC">
        <w:t xml:space="preserve">nadále ponechává ve vazbě, nebo zda se z vazby propouští. Judikatura však </w:t>
      </w:r>
      <w:r w:rsidR="00315DC7" w:rsidRPr="00DA5ECC">
        <w:t xml:space="preserve">opakovaně </w:t>
      </w:r>
      <w:r w:rsidR="00E64C68" w:rsidRPr="00DA5ECC">
        <w:t>dospěla k závěru, ž</w:t>
      </w:r>
      <w:r w:rsidR="00BD1A2E" w:rsidRPr="00DA5ECC">
        <w:t>e</w:t>
      </w:r>
      <w:r w:rsidR="00E64C68" w:rsidRPr="00DA5ECC">
        <w:t xml:space="preserve"> u mladistvých se §</w:t>
      </w:r>
      <w:r w:rsidR="00E24B86" w:rsidRPr="00DA5ECC">
        <w:t> </w:t>
      </w:r>
      <w:r w:rsidR="00E64C68" w:rsidRPr="00DA5ECC">
        <w:t>72</w:t>
      </w:r>
      <w:r w:rsidR="00E24B86" w:rsidRPr="00DA5ECC">
        <w:t> </w:t>
      </w:r>
      <w:r w:rsidR="00E64C68" w:rsidRPr="00DA5ECC">
        <w:t>odst.</w:t>
      </w:r>
      <w:r w:rsidR="00E24B86" w:rsidRPr="00DA5ECC">
        <w:t> </w:t>
      </w:r>
      <w:r w:rsidR="00E64C68" w:rsidRPr="00DA5ECC">
        <w:t xml:space="preserve">1 </w:t>
      </w:r>
      <w:proofErr w:type="spellStart"/>
      <w:r w:rsidR="00E64C68" w:rsidRPr="00DA5ECC">
        <w:t>tr</w:t>
      </w:r>
      <w:proofErr w:type="spellEnd"/>
      <w:r w:rsidR="00576FBF" w:rsidRPr="00DA5ECC">
        <w:t xml:space="preserve">. ř. </w:t>
      </w:r>
      <w:r w:rsidR="00E64C68" w:rsidRPr="00DA5ECC">
        <w:t xml:space="preserve">nepoužije, </w:t>
      </w:r>
      <w:r w:rsidR="001C1F63" w:rsidRPr="00DA5ECC">
        <w:t xml:space="preserve">když podle ní je </w:t>
      </w:r>
      <w:r w:rsidR="00E64C68" w:rsidRPr="00DA5ECC">
        <w:t>§</w:t>
      </w:r>
      <w:r w:rsidR="00562984" w:rsidRPr="00DA5ECC">
        <w:t> </w:t>
      </w:r>
      <w:r w:rsidR="00E64C68" w:rsidRPr="00DA5ECC">
        <w:t xml:space="preserve">47 odst. 1 ZSVM </w:t>
      </w:r>
      <w:r w:rsidR="00C041E7" w:rsidRPr="00DA5ECC">
        <w:t xml:space="preserve">upravující maximální přípustnou délku vazby mladistvého a možnost jejího prodloužení </w:t>
      </w:r>
      <w:r w:rsidR="00E64C68" w:rsidRPr="00DA5ECC">
        <w:t>vůči tomuto ustanovení trestního řádu speciální</w:t>
      </w:r>
      <w:r w:rsidR="00C041E7" w:rsidRPr="00DA5ECC">
        <w:t xml:space="preserve"> (srov. </w:t>
      </w:r>
      <w:r w:rsidR="004475F2" w:rsidRPr="00DA5ECC">
        <w:t xml:space="preserve">např. </w:t>
      </w:r>
      <w:r w:rsidR="00A27370" w:rsidRPr="00DA5ECC">
        <w:t>usnesení Nejvyššího soudu ze dne 13.</w:t>
      </w:r>
      <w:r w:rsidR="00E507A4" w:rsidRPr="00DA5ECC">
        <w:t> </w:t>
      </w:r>
      <w:r w:rsidR="00A27370" w:rsidRPr="00DA5ECC">
        <w:t xml:space="preserve">10. 2004, </w:t>
      </w:r>
      <w:proofErr w:type="spellStart"/>
      <w:r w:rsidR="00A27370" w:rsidRPr="00DA5ECC">
        <w:t>sp</w:t>
      </w:r>
      <w:proofErr w:type="spellEnd"/>
      <w:r w:rsidR="00A27370" w:rsidRPr="00DA5ECC">
        <w:t>. zn. 8</w:t>
      </w:r>
      <w:r w:rsidR="00E24B86" w:rsidRPr="00DA5ECC">
        <w:t> </w:t>
      </w:r>
      <w:proofErr w:type="spellStart"/>
      <w:r w:rsidR="00A27370" w:rsidRPr="00DA5ECC">
        <w:t>Tvo</w:t>
      </w:r>
      <w:proofErr w:type="spellEnd"/>
      <w:r w:rsidR="00A27370" w:rsidRPr="00DA5ECC">
        <w:t xml:space="preserve"> 45/2004, </w:t>
      </w:r>
      <w:r w:rsidR="002D6DA8" w:rsidRPr="00DA5ECC">
        <w:t xml:space="preserve">nález Ústavního soudu ze dne 16. 3. 2006, </w:t>
      </w:r>
      <w:proofErr w:type="spellStart"/>
      <w:r w:rsidR="002D6DA8" w:rsidRPr="00DA5ECC">
        <w:t>sp</w:t>
      </w:r>
      <w:proofErr w:type="spellEnd"/>
      <w:r w:rsidR="002D6DA8" w:rsidRPr="00DA5ECC">
        <w:t xml:space="preserve">. zn. II. ÚS 663/05, </w:t>
      </w:r>
      <w:r w:rsidR="00C7137D" w:rsidRPr="00DA5ECC">
        <w:t xml:space="preserve">usnesení Nejvyššího soudu ze dne 6. 11. 2013, </w:t>
      </w:r>
      <w:proofErr w:type="spellStart"/>
      <w:r w:rsidR="00C7137D" w:rsidRPr="00DA5ECC">
        <w:t>sp</w:t>
      </w:r>
      <w:proofErr w:type="spellEnd"/>
      <w:r w:rsidR="00C7137D" w:rsidRPr="00DA5ECC">
        <w:t xml:space="preserve">. zn. 8 </w:t>
      </w:r>
      <w:proofErr w:type="spellStart"/>
      <w:r w:rsidR="00C7137D" w:rsidRPr="00DA5ECC">
        <w:t>Tvo</w:t>
      </w:r>
      <w:proofErr w:type="spellEnd"/>
      <w:r w:rsidR="00C7137D" w:rsidRPr="00DA5ECC">
        <w:t xml:space="preserve"> 35/2013 či</w:t>
      </w:r>
      <w:r w:rsidR="00EF089B" w:rsidRPr="00DA5ECC">
        <w:t xml:space="preserve"> usnesení Vrchního soudu v Praze ze dne 16. 4. 2024, </w:t>
      </w:r>
      <w:proofErr w:type="spellStart"/>
      <w:r w:rsidR="00EF089B" w:rsidRPr="00DA5ECC">
        <w:t>sp</w:t>
      </w:r>
      <w:proofErr w:type="spellEnd"/>
      <w:r w:rsidR="00EF089B" w:rsidRPr="00DA5ECC">
        <w:t xml:space="preserve">. zn. 1 </w:t>
      </w:r>
      <w:proofErr w:type="spellStart"/>
      <w:r w:rsidR="00EF089B" w:rsidRPr="00DA5ECC">
        <w:t>Ntm</w:t>
      </w:r>
      <w:proofErr w:type="spellEnd"/>
      <w:r w:rsidR="00EF089B" w:rsidRPr="00DA5ECC">
        <w:t xml:space="preserve"> 7/2024)</w:t>
      </w:r>
      <w:r w:rsidR="00315DC7" w:rsidRPr="00DA5ECC">
        <w:t>.</w:t>
      </w:r>
      <w:r w:rsidR="0046733D">
        <w:rPr>
          <w:rStyle w:val="Znakapoznpodarou"/>
        </w:rPr>
        <w:footnoteReference w:id="2"/>
      </w:r>
      <w:r w:rsidR="00315DC7" w:rsidRPr="00DA5ECC">
        <w:t xml:space="preserve"> </w:t>
      </w:r>
      <w:r w:rsidR="0094690E" w:rsidRPr="00DA5ECC">
        <w:t>P</w:t>
      </w:r>
      <w:r w:rsidR="006F77C8" w:rsidRPr="00DA5ECC">
        <w:t xml:space="preserve">řezkum </w:t>
      </w:r>
      <w:r w:rsidR="007177A9" w:rsidRPr="00DA5ECC">
        <w:t xml:space="preserve">trvání vazby </w:t>
      </w:r>
      <w:r w:rsidR="00DB71B5" w:rsidRPr="00DA5ECC">
        <w:t>tak u</w:t>
      </w:r>
      <w:r w:rsidR="00E507A4" w:rsidRPr="00DA5ECC">
        <w:t> </w:t>
      </w:r>
      <w:r w:rsidR="00DB71B5" w:rsidRPr="00DA5ECC">
        <w:t xml:space="preserve">mladistvých </w:t>
      </w:r>
      <w:r w:rsidR="001F32DA" w:rsidRPr="00DA5ECC">
        <w:t xml:space="preserve">probíhá buď na základě podání žádosti o propuštění mladistvým, nebo na základě § 48 ZSVM, podle kterého mají orgány činné v trestním řízení v každém období </w:t>
      </w:r>
      <w:r w:rsidR="00FE7FE6" w:rsidRPr="00DA5ECC">
        <w:t>trestního stíhání</w:t>
      </w:r>
      <w:r w:rsidR="001F32DA" w:rsidRPr="00DA5ECC">
        <w:t xml:space="preserve"> povinnost zkoumat, zda </w:t>
      </w:r>
      <w:r w:rsidR="00290CE9" w:rsidRPr="00DA5ECC">
        <w:t xml:space="preserve">důvody vazby trvají nebo zda se nezměnily. Toto ustanovení však nestanovuje žádné lhůty, </w:t>
      </w:r>
      <w:r w:rsidR="007B4851" w:rsidRPr="00DA5ECC">
        <w:t>ve kterých</w:t>
      </w:r>
      <w:r w:rsidR="00AB438E" w:rsidRPr="00DA5ECC">
        <w:t xml:space="preserve"> </w:t>
      </w:r>
      <w:r w:rsidR="006D03FD" w:rsidRPr="00DA5ECC">
        <w:t>mají</w:t>
      </w:r>
      <w:r w:rsidR="00AB438E" w:rsidRPr="00DA5ECC">
        <w:t xml:space="preserve"> orgány činné v trestním řízení </w:t>
      </w:r>
      <w:r w:rsidR="006D03FD" w:rsidRPr="00DA5ECC">
        <w:t>povinnost</w:t>
      </w:r>
      <w:r w:rsidR="00AB438E" w:rsidRPr="00DA5ECC">
        <w:t xml:space="preserve"> rozhodnout</w:t>
      </w:r>
      <w:r w:rsidR="00D2171D" w:rsidRPr="00DA5ECC">
        <w:t>.</w:t>
      </w:r>
    </w:p>
    <w:p w14:paraId="6B8BB560" w14:textId="7DADE94D" w:rsidR="00803F8A" w:rsidRDefault="002F48E6" w:rsidP="00EA7258">
      <w:r>
        <w:t xml:space="preserve">Podle stávající právní úpravy tak k přezkumu dalšího trvání vazby mladistvých </w:t>
      </w:r>
      <w:r w:rsidR="00FC7C36">
        <w:t>dochází až při rozhodování o případném prodloužení vazby</w:t>
      </w:r>
      <w:r w:rsidR="00160C1C">
        <w:t xml:space="preserve">. </w:t>
      </w:r>
      <w:r w:rsidR="00460FC8">
        <w:t>D</w:t>
      </w:r>
      <w:r w:rsidR="00160C1C">
        <w:t>alší trvání vazby</w:t>
      </w:r>
      <w:r w:rsidR="00460FC8">
        <w:t xml:space="preserve"> mladistvých je tak</w:t>
      </w:r>
      <w:r w:rsidR="00160C1C">
        <w:t xml:space="preserve"> přezkoumáváno nejpozději po </w:t>
      </w:r>
      <w:r w:rsidR="00527AEF">
        <w:t>dvou</w:t>
      </w:r>
      <w:r w:rsidR="00160C1C">
        <w:t xml:space="preserve"> měsících, avšak</w:t>
      </w:r>
      <w:r w:rsidR="00EA7258">
        <w:t xml:space="preserve"> </w:t>
      </w:r>
      <w:r w:rsidR="00160C1C">
        <w:t xml:space="preserve">v případě mladistvých stíhaných pro zvlášť závažné provinění </w:t>
      </w:r>
      <w:r w:rsidR="0021517F">
        <w:t>může být</w:t>
      </w:r>
      <w:r w:rsidR="00160C1C">
        <w:t xml:space="preserve"> takový přezkum z úřední povinnosti </w:t>
      </w:r>
      <w:r w:rsidR="00A1477A">
        <w:t xml:space="preserve">poprvé povinně </w:t>
      </w:r>
      <w:r w:rsidR="00160C1C">
        <w:t>prováděn</w:t>
      </w:r>
      <w:r w:rsidR="00A42553">
        <w:t xml:space="preserve"> až po</w:t>
      </w:r>
      <w:r w:rsidR="0021517F">
        <w:t xml:space="preserve"> </w:t>
      </w:r>
      <w:r w:rsidR="00527AEF">
        <w:t>šesti</w:t>
      </w:r>
      <w:r w:rsidR="0021517F">
        <w:t xml:space="preserve"> měsících. </w:t>
      </w:r>
      <w:r w:rsidR="00A1477A">
        <w:t xml:space="preserve">Podle </w:t>
      </w:r>
      <w:r w:rsidR="00D83AA7">
        <w:t>ESLP</w:t>
      </w:r>
      <w:r w:rsidR="00A1477A">
        <w:t xml:space="preserve"> taková právní úprava poskytuje mladistvým méně příznivé zacházení než dospělým</w:t>
      </w:r>
      <w:r w:rsidR="00527AEF">
        <w:t xml:space="preserve"> stíhaným pro zvlášť závažný zločin, neboť vazba dospělého obviněného by byla povinně přezkoumávána již po</w:t>
      </w:r>
      <w:r w:rsidR="00EA7258">
        <w:t> </w:t>
      </w:r>
      <w:r w:rsidR="00AE4C14">
        <w:t xml:space="preserve">třech měsících. </w:t>
      </w:r>
      <w:r w:rsidR="00B3699F">
        <w:t>E</w:t>
      </w:r>
      <w:r w:rsidR="00D83AA7">
        <w:t xml:space="preserve">vropský soud pro lidská práva </w:t>
      </w:r>
      <w:r w:rsidR="00B3699F">
        <w:t>v tomto ohledu konstatoval, že takto rozdílné zacházení s mladistvými a dospělými obviněnými jde</w:t>
      </w:r>
      <w:r w:rsidR="00210381">
        <w:t xml:space="preserve"> jak</w:t>
      </w:r>
      <w:r w:rsidR="00B3699F">
        <w:t xml:space="preserve"> proti cíli sledovanému</w:t>
      </w:r>
      <w:r w:rsidR="001F50AC">
        <w:t xml:space="preserve"> úpravou vazby mladistvých, tak </w:t>
      </w:r>
      <w:r w:rsidR="00210381">
        <w:t>proti smyslu</w:t>
      </w:r>
      <w:r w:rsidR="00C95C13">
        <w:t xml:space="preserve"> samotného</w:t>
      </w:r>
      <w:r w:rsidR="00210381">
        <w:t xml:space="preserve"> zákona o soudnictví ve věcech mládeže.</w:t>
      </w:r>
      <w:r w:rsidR="002E6024">
        <w:t xml:space="preserve"> </w:t>
      </w:r>
    </w:p>
    <w:p w14:paraId="0A1CDBD5" w14:textId="4D88DB43" w:rsidR="0023633D" w:rsidRDefault="00E51CF6" w:rsidP="00EA7258">
      <w:r>
        <w:t>K naplnění požadavků Evropského soudu pro lidská práva se proto navrhuje výslovné zakotvení periodického přezkumu vazby i v zákoně o soudnictví ve věcech mládeže</w:t>
      </w:r>
      <w:r w:rsidR="0074306E">
        <w:t>.</w:t>
      </w:r>
      <w:r w:rsidR="00634EBC">
        <w:t xml:space="preserve"> Současně se navrhuje změna dalších ustanovení o vazbě mladistvých s ohledem na vztah zákona o</w:t>
      </w:r>
      <w:r w:rsidR="00984541">
        <w:t> </w:t>
      </w:r>
      <w:r w:rsidR="00634EBC">
        <w:t>soudnictví ve věcech mládeže a trestního řádu a</w:t>
      </w:r>
      <w:r w:rsidR="00FD5563">
        <w:t xml:space="preserve"> závěry ESLP </w:t>
      </w:r>
      <w:r w:rsidR="00984541">
        <w:t xml:space="preserve">vyslovené v předmětném rozsudku </w:t>
      </w:r>
      <w:r w:rsidR="00FD5563">
        <w:t xml:space="preserve">ohledně </w:t>
      </w:r>
      <w:r w:rsidR="00984541">
        <w:t xml:space="preserve">nepřípustnosti </w:t>
      </w:r>
      <w:r w:rsidR="00460FC8">
        <w:t xml:space="preserve">stavu, aby </w:t>
      </w:r>
      <w:r w:rsidR="00FD5563">
        <w:t>právní úprav</w:t>
      </w:r>
      <w:r w:rsidR="00460FC8">
        <w:t>a</w:t>
      </w:r>
      <w:r w:rsidR="00FD5563">
        <w:t xml:space="preserve"> vazby mladistvých </w:t>
      </w:r>
      <w:r w:rsidR="00460FC8">
        <w:t xml:space="preserve">byla přísnější </w:t>
      </w:r>
      <w:r w:rsidR="00FD5563">
        <w:t xml:space="preserve">oproti úpravě </w:t>
      </w:r>
      <w:r w:rsidR="00460FC8">
        <w:t xml:space="preserve">vazby obsažené v </w:t>
      </w:r>
      <w:r w:rsidR="00FD5563">
        <w:t>trestní</w:t>
      </w:r>
      <w:r w:rsidR="00460FC8">
        <w:t>m</w:t>
      </w:r>
      <w:r w:rsidR="00FD5563">
        <w:t xml:space="preserve"> řádu</w:t>
      </w:r>
      <w:bookmarkStart w:id="1" w:name="_Hlk203978033"/>
      <w:r w:rsidR="00FD5563">
        <w:t xml:space="preserve"> </w:t>
      </w:r>
      <w:r w:rsidR="00460FC8">
        <w:t>a aplikovatelné na dospělé obviněné</w:t>
      </w:r>
      <w:r w:rsidR="00FD5563">
        <w:t>.</w:t>
      </w:r>
      <w:bookmarkEnd w:id="1"/>
    </w:p>
    <w:p w14:paraId="1A65289B" w14:textId="77777777" w:rsidR="001B7BCB" w:rsidRDefault="001B7BCB" w:rsidP="001B7BCB">
      <w:pPr>
        <w:rPr>
          <w:rFonts w:eastAsia="Times New Roman"/>
          <w:bCs/>
          <w:szCs w:val="24"/>
          <w:lang w:eastAsia="cs-CZ"/>
        </w:rPr>
      </w:pPr>
      <w:r w:rsidRPr="00867538">
        <w:rPr>
          <w:rFonts w:eastAsia="Times New Roman"/>
          <w:szCs w:val="24"/>
          <w:lang w:eastAsia="cs-CZ"/>
        </w:rPr>
        <w:t xml:space="preserve">Navržená úprava </w:t>
      </w:r>
      <w:r>
        <w:rPr>
          <w:rFonts w:eastAsia="Times New Roman"/>
          <w:szCs w:val="24"/>
          <w:lang w:eastAsia="cs-CZ"/>
        </w:rPr>
        <w:t>dále zdůrazňuje potřebu zvláštního zacházení s mladistvými a zejména s </w:t>
      </w:r>
      <w:r w:rsidRPr="0089482B">
        <w:rPr>
          <w:rFonts w:eastAsia="Times New Roman"/>
          <w:szCs w:val="24"/>
          <w:lang w:eastAsia="cs-CZ"/>
        </w:rPr>
        <w:t>dětmi, které se dopustily činu jinak trestného</w:t>
      </w:r>
      <w:r>
        <w:rPr>
          <w:rFonts w:eastAsia="Times New Roman"/>
          <w:szCs w:val="24"/>
          <w:lang w:eastAsia="cs-CZ"/>
        </w:rPr>
        <w:t>, konkrétně výslovně zdůrazňuje, že u dětí mladších patnácti let a mladistvých by přednostně mělo být zvažováno, zda nelze nalézt řešení, které by nebylo spojeno s tím, že budou postaveni před soud a budou muset projít formálním soudním řízením. Preference odklonů a jiných způsobů vyřízení věci před formálním řízením před soudem je vyjádřena v celé řadě mezinárodních dokumentů.</w:t>
      </w:r>
    </w:p>
    <w:p w14:paraId="070077CA" w14:textId="77777777" w:rsidR="00DA6FCF" w:rsidRDefault="00DA6FCF" w:rsidP="00EA7258"/>
    <w:p w14:paraId="2DFBED3C" w14:textId="77777777" w:rsidR="00FE67B4" w:rsidRPr="00510381" w:rsidRDefault="00FE67B4" w:rsidP="00EA7258">
      <w:pPr>
        <w:widowControl w:val="0"/>
        <w:outlineLvl w:val="1"/>
        <w:rPr>
          <w:rFonts w:eastAsiaTheme="majorEastAsia"/>
          <w:b/>
          <w:bCs/>
          <w:szCs w:val="24"/>
        </w:rPr>
      </w:pPr>
      <w:r w:rsidRPr="00510381">
        <w:rPr>
          <w:rFonts w:eastAsiaTheme="majorEastAsia"/>
          <w:b/>
          <w:bCs/>
          <w:szCs w:val="24"/>
        </w:rPr>
        <w:t>Zhodnocení souladu navrhované právní úpravy s ústavním pořádkem České republiky, mezinárodními smlouvami, jimiž je Česká republika vázána, a s předpisy Evropské unie, judikaturou soudních orgánů Evropské unie nebo obecnými právními zásadami práva Evropské unie a judikaturou ESLP</w:t>
      </w:r>
    </w:p>
    <w:p w14:paraId="68A5AECC" w14:textId="38EC5AC8" w:rsidR="00431553" w:rsidRPr="00510381" w:rsidRDefault="00431553" w:rsidP="00EA7258">
      <w:pPr>
        <w:widowControl w:val="0"/>
        <w:rPr>
          <w:bCs/>
          <w:szCs w:val="24"/>
        </w:rPr>
      </w:pPr>
      <w:r w:rsidRPr="00510381">
        <w:rPr>
          <w:bCs/>
          <w:szCs w:val="24"/>
        </w:rPr>
        <w:t xml:space="preserve">Navrhované řešení je v souladu s předpisy tvořícími ústavní pořádek. Návrh </w:t>
      </w:r>
      <w:r>
        <w:rPr>
          <w:bCs/>
          <w:szCs w:val="24"/>
        </w:rPr>
        <w:t xml:space="preserve">zákona </w:t>
      </w:r>
      <w:r w:rsidRPr="00510381">
        <w:rPr>
          <w:bCs/>
          <w:szCs w:val="24"/>
        </w:rPr>
        <w:t>respektuje zásadu, podle níž lze státní moc uskutečňovat pouze na podkladě zákona a v jeho mezích.</w:t>
      </w:r>
    </w:p>
    <w:p w14:paraId="02D8F95A" w14:textId="1BF39305" w:rsidR="00FE67B4" w:rsidRDefault="00431553" w:rsidP="00EA7258">
      <w:r w:rsidRPr="00510381">
        <w:rPr>
          <w:bCs/>
          <w:szCs w:val="24"/>
        </w:rPr>
        <w:lastRenderedPageBreak/>
        <w:t xml:space="preserve">Návrh zákona plně respektuje právo na </w:t>
      </w:r>
      <w:r w:rsidR="00A1014C">
        <w:rPr>
          <w:bCs/>
          <w:szCs w:val="24"/>
        </w:rPr>
        <w:t>osobní svobodu</w:t>
      </w:r>
      <w:r w:rsidR="00C41D27">
        <w:rPr>
          <w:bCs/>
          <w:szCs w:val="24"/>
        </w:rPr>
        <w:t xml:space="preserve">, a tím, že </w:t>
      </w:r>
      <w:r w:rsidR="00B31D83">
        <w:rPr>
          <w:bCs/>
          <w:szCs w:val="24"/>
        </w:rPr>
        <w:t>zavádí periodický přezkum trvání vazby i u mladistvých obviněných</w:t>
      </w:r>
      <w:r w:rsidR="00352A1C">
        <w:rPr>
          <w:bCs/>
          <w:szCs w:val="24"/>
        </w:rPr>
        <w:t>,</w:t>
      </w:r>
      <w:r w:rsidR="00C41D27">
        <w:rPr>
          <w:bCs/>
          <w:szCs w:val="24"/>
        </w:rPr>
        <w:t xml:space="preserve"> plně zajišťuje </w:t>
      </w:r>
      <w:r w:rsidR="00A1014C">
        <w:rPr>
          <w:bCs/>
          <w:szCs w:val="24"/>
        </w:rPr>
        <w:t>nediskriminační přístup k </w:t>
      </w:r>
      <w:r w:rsidR="00C41D27">
        <w:rPr>
          <w:bCs/>
          <w:szCs w:val="24"/>
        </w:rPr>
        <w:t>práv</w:t>
      </w:r>
      <w:r w:rsidR="00A1014C">
        <w:rPr>
          <w:bCs/>
          <w:szCs w:val="24"/>
        </w:rPr>
        <w:t>u na</w:t>
      </w:r>
      <w:r w:rsidR="00E720C9">
        <w:rPr>
          <w:bCs/>
          <w:szCs w:val="24"/>
        </w:rPr>
        <w:t> </w:t>
      </w:r>
      <w:r w:rsidR="00A1014C">
        <w:rPr>
          <w:bCs/>
          <w:szCs w:val="24"/>
        </w:rPr>
        <w:t>osobní svobodu</w:t>
      </w:r>
      <w:r w:rsidR="00C41D27">
        <w:rPr>
          <w:bCs/>
          <w:szCs w:val="24"/>
        </w:rPr>
        <w:t xml:space="preserve"> ve smyslu čl. </w:t>
      </w:r>
      <w:r w:rsidR="00A1014C">
        <w:rPr>
          <w:bCs/>
          <w:szCs w:val="24"/>
        </w:rPr>
        <w:t>8</w:t>
      </w:r>
      <w:r w:rsidR="00C41D27">
        <w:rPr>
          <w:bCs/>
          <w:szCs w:val="24"/>
        </w:rPr>
        <w:t xml:space="preserve"> ve spojení s čl. 3 odst. 1 Listiny</w:t>
      </w:r>
      <w:r w:rsidR="00B679ED" w:rsidRPr="00B679ED">
        <w:rPr>
          <w:bCs/>
          <w:szCs w:val="24"/>
        </w:rPr>
        <w:t xml:space="preserve"> </w:t>
      </w:r>
      <w:r w:rsidR="00B679ED">
        <w:rPr>
          <w:bCs/>
          <w:szCs w:val="24"/>
        </w:rPr>
        <w:t>základních práv a</w:t>
      </w:r>
      <w:r w:rsidR="00860FA8">
        <w:rPr>
          <w:bCs/>
          <w:szCs w:val="24"/>
        </w:rPr>
        <w:t> </w:t>
      </w:r>
      <w:r w:rsidR="00B679ED">
        <w:rPr>
          <w:bCs/>
          <w:szCs w:val="24"/>
        </w:rPr>
        <w:t>svobod</w:t>
      </w:r>
      <w:r w:rsidR="00B31D83">
        <w:rPr>
          <w:bCs/>
          <w:szCs w:val="24"/>
        </w:rPr>
        <w:t>.</w:t>
      </w:r>
    </w:p>
    <w:p w14:paraId="5397B5ED" w14:textId="158F1030" w:rsidR="00BC31AD" w:rsidRDefault="0032479A" w:rsidP="00EA7258">
      <w:r>
        <w:t>Zajištěním souladu novelizovaného zákona s</w:t>
      </w:r>
      <w:r w:rsidR="00380829">
        <w:t> </w:t>
      </w:r>
      <w:r>
        <w:t>Úmluvou</w:t>
      </w:r>
      <w:r w:rsidR="00380829">
        <w:t xml:space="preserve"> </w:t>
      </w:r>
      <w:r w:rsidR="00380829" w:rsidRPr="000D58BD">
        <w:rPr>
          <w:szCs w:val="24"/>
        </w:rPr>
        <w:t>o ochraně lidských práv a základních svobod</w:t>
      </w:r>
      <w:r w:rsidR="00FF37A2">
        <w:rPr>
          <w:szCs w:val="24"/>
        </w:rPr>
        <w:t xml:space="preserve"> </w:t>
      </w:r>
      <w:r w:rsidR="00380829">
        <w:t>n</w:t>
      </w:r>
      <w:r w:rsidRPr="0032479A">
        <w:rPr>
          <w:rFonts w:hint="eastAsia"/>
        </w:rPr>
        <w:t>á</w:t>
      </w:r>
      <w:r w:rsidRPr="0032479A">
        <w:t>vrh uv</w:t>
      </w:r>
      <w:r w:rsidRPr="0032479A">
        <w:rPr>
          <w:rFonts w:hint="eastAsia"/>
        </w:rPr>
        <w:t>á</w:t>
      </w:r>
      <w:r w:rsidRPr="0032479A">
        <w:t>d</w:t>
      </w:r>
      <w:r w:rsidRPr="0032479A">
        <w:rPr>
          <w:rFonts w:hint="eastAsia"/>
        </w:rPr>
        <w:t>í</w:t>
      </w:r>
      <w:r w:rsidRPr="0032479A">
        <w:t xml:space="preserve"> </w:t>
      </w:r>
      <w:r w:rsidRPr="0032479A">
        <w:rPr>
          <w:rFonts w:hint="eastAsia"/>
        </w:rPr>
        <w:t>č</w:t>
      </w:r>
      <w:r w:rsidRPr="0032479A">
        <w:t>eskou pr</w:t>
      </w:r>
      <w:r w:rsidRPr="0032479A">
        <w:rPr>
          <w:rFonts w:hint="eastAsia"/>
        </w:rPr>
        <w:t>á</w:t>
      </w:r>
      <w:r w:rsidRPr="0032479A">
        <w:t>vn</w:t>
      </w:r>
      <w:r w:rsidRPr="0032479A">
        <w:rPr>
          <w:rFonts w:hint="eastAsia"/>
        </w:rPr>
        <w:t>í</w:t>
      </w:r>
      <w:r w:rsidRPr="0032479A">
        <w:t xml:space="preserve"> </w:t>
      </w:r>
      <w:r w:rsidRPr="0032479A">
        <w:rPr>
          <w:rFonts w:hint="eastAsia"/>
        </w:rPr>
        <w:t>ú</w:t>
      </w:r>
      <w:r w:rsidRPr="0032479A">
        <w:t>pravu pln</w:t>
      </w:r>
      <w:r w:rsidRPr="0032479A">
        <w:rPr>
          <w:rFonts w:hint="eastAsia"/>
        </w:rPr>
        <w:t>ě</w:t>
      </w:r>
      <w:r w:rsidRPr="0032479A">
        <w:t xml:space="preserve"> do souladu s</w:t>
      </w:r>
      <w:r w:rsidR="00FF37A2">
        <w:t> </w:t>
      </w:r>
      <w:r w:rsidRPr="0032479A">
        <w:rPr>
          <w:rFonts w:hint="eastAsia"/>
        </w:rPr>
        <w:t>č</w:t>
      </w:r>
      <w:r w:rsidRPr="0032479A">
        <w:t>l.</w:t>
      </w:r>
      <w:r w:rsidR="00FF37A2">
        <w:t> </w:t>
      </w:r>
      <w:r w:rsidRPr="0032479A">
        <w:t>1</w:t>
      </w:r>
      <w:r w:rsidR="00FF37A2">
        <w:t> </w:t>
      </w:r>
      <w:r w:rsidRPr="0032479A">
        <w:t>odst.</w:t>
      </w:r>
      <w:r w:rsidR="00FF37A2">
        <w:t> </w:t>
      </w:r>
      <w:r w:rsidRPr="0032479A">
        <w:t xml:space="preserve">2 </w:t>
      </w:r>
      <w:r w:rsidRPr="0032479A">
        <w:rPr>
          <w:rFonts w:hint="eastAsia"/>
        </w:rPr>
        <w:t>Ú</w:t>
      </w:r>
      <w:r w:rsidRPr="0032479A">
        <w:t>stavy, podle n</w:t>
      </w:r>
      <w:r w:rsidRPr="0032479A">
        <w:rPr>
          <w:rFonts w:hint="eastAsia"/>
        </w:rPr>
        <w:t>ě</w:t>
      </w:r>
      <w:r w:rsidRPr="0032479A">
        <w:t>ho</w:t>
      </w:r>
      <w:r w:rsidRPr="0032479A">
        <w:rPr>
          <w:rFonts w:hint="eastAsia"/>
        </w:rPr>
        <w:t>ž</w:t>
      </w:r>
      <w:r w:rsidRPr="0032479A">
        <w:t xml:space="preserve"> </w:t>
      </w:r>
      <w:r w:rsidRPr="0032479A">
        <w:rPr>
          <w:rFonts w:hint="eastAsia"/>
        </w:rPr>
        <w:t>Č</w:t>
      </w:r>
      <w:r w:rsidRPr="0032479A">
        <w:t>esk</w:t>
      </w:r>
      <w:r w:rsidRPr="0032479A">
        <w:rPr>
          <w:rFonts w:hint="eastAsia"/>
        </w:rPr>
        <w:t>á</w:t>
      </w:r>
      <w:r w:rsidRPr="0032479A">
        <w:t xml:space="preserve"> republika</w:t>
      </w:r>
      <w:r>
        <w:t xml:space="preserve"> </w:t>
      </w:r>
      <w:r w:rsidRPr="0032479A">
        <w:t>dodr</w:t>
      </w:r>
      <w:r w:rsidRPr="0032479A">
        <w:rPr>
          <w:rFonts w:hint="eastAsia"/>
        </w:rPr>
        <w:t>ž</w:t>
      </w:r>
      <w:r w:rsidRPr="0032479A">
        <w:t>uje</w:t>
      </w:r>
      <w:r>
        <w:t xml:space="preserve"> </w:t>
      </w:r>
      <w:r w:rsidRPr="0032479A">
        <w:t>z</w:t>
      </w:r>
      <w:r w:rsidRPr="0032479A">
        <w:rPr>
          <w:rFonts w:hint="eastAsia"/>
        </w:rPr>
        <w:t>á</w:t>
      </w:r>
      <w:r w:rsidRPr="0032479A">
        <w:t>vazky, kter</w:t>
      </w:r>
      <w:r w:rsidRPr="0032479A">
        <w:rPr>
          <w:rFonts w:hint="eastAsia"/>
        </w:rPr>
        <w:t>é</w:t>
      </w:r>
      <w:r w:rsidRPr="0032479A">
        <w:t xml:space="preserve"> pro ni vypl</w:t>
      </w:r>
      <w:r w:rsidRPr="0032479A">
        <w:rPr>
          <w:rFonts w:hint="eastAsia"/>
        </w:rPr>
        <w:t>ý</w:t>
      </w:r>
      <w:r w:rsidRPr="0032479A">
        <w:t>vaj</w:t>
      </w:r>
      <w:r w:rsidRPr="0032479A">
        <w:rPr>
          <w:rFonts w:hint="eastAsia"/>
        </w:rPr>
        <w:t>í</w:t>
      </w:r>
      <w:r w:rsidRPr="0032479A">
        <w:t xml:space="preserve"> z</w:t>
      </w:r>
      <w:r w:rsidR="00FF37A2">
        <w:t> </w:t>
      </w:r>
      <w:r w:rsidRPr="0032479A">
        <w:t>mezin</w:t>
      </w:r>
      <w:r w:rsidRPr="0032479A">
        <w:rPr>
          <w:rFonts w:hint="eastAsia"/>
        </w:rPr>
        <w:t>á</w:t>
      </w:r>
      <w:r w:rsidRPr="0032479A">
        <w:t>rodn</w:t>
      </w:r>
      <w:r w:rsidRPr="0032479A">
        <w:rPr>
          <w:rFonts w:hint="eastAsia"/>
        </w:rPr>
        <w:t>í</w:t>
      </w:r>
      <w:r w:rsidRPr="0032479A">
        <w:t>ho pr</w:t>
      </w:r>
      <w:r w:rsidRPr="0032479A">
        <w:rPr>
          <w:rFonts w:hint="eastAsia"/>
        </w:rPr>
        <w:t>á</w:t>
      </w:r>
      <w:r w:rsidRPr="0032479A">
        <w:t>va</w:t>
      </w:r>
      <w:r w:rsidR="00380829">
        <w:t>.</w:t>
      </w:r>
    </w:p>
    <w:p w14:paraId="63036EC5" w14:textId="03132704" w:rsidR="00380829" w:rsidRDefault="00E866AC" w:rsidP="00EA7258">
      <w:pPr>
        <w:rPr>
          <w:szCs w:val="24"/>
        </w:rPr>
      </w:pPr>
      <w:r w:rsidRPr="00E866AC">
        <w:rPr>
          <w:rFonts w:hint="eastAsia"/>
        </w:rPr>
        <w:t>Č</w:t>
      </w:r>
      <w:r w:rsidRPr="00E866AC">
        <w:t>esk</w:t>
      </w:r>
      <w:r w:rsidRPr="00E866AC">
        <w:rPr>
          <w:rFonts w:hint="eastAsia"/>
        </w:rPr>
        <w:t>á</w:t>
      </w:r>
      <w:r w:rsidRPr="00E866AC">
        <w:t xml:space="preserve"> republika</w:t>
      </w:r>
      <w:r>
        <w:t xml:space="preserve"> Úmluvu </w:t>
      </w:r>
      <w:r w:rsidRPr="00E866AC">
        <w:t>ratifikovala, a tud</w:t>
      </w:r>
      <w:r w:rsidRPr="00E866AC">
        <w:rPr>
          <w:rFonts w:hint="eastAsia"/>
        </w:rPr>
        <w:t>íž</w:t>
      </w:r>
      <w:r w:rsidRPr="00E866AC">
        <w:t xml:space="preserve"> je ve smyslu </w:t>
      </w:r>
      <w:r w:rsidRPr="00E866AC">
        <w:rPr>
          <w:rFonts w:hint="eastAsia"/>
        </w:rPr>
        <w:t>č</w:t>
      </w:r>
      <w:r w:rsidRPr="00E866AC">
        <w:t xml:space="preserve">l. 1 odst. 2 </w:t>
      </w:r>
      <w:r w:rsidRPr="00E866AC">
        <w:rPr>
          <w:rFonts w:hint="eastAsia"/>
        </w:rPr>
        <w:t>Ú</w:t>
      </w:r>
      <w:r w:rsidRPr="00E866AC">
        <w:t>stavy jej</w:t>
      </w:r>
      <w:r w:rsidRPr="00E866AC">
        <w:rPr>
          <w:rFonts w:hint="eastAsia"/>
        </w:rPr>
        <w:t>í</w:t>
      </w:r>
      <w:r w:rsidRPr="00E866AC">
        <w:t>m obsahem</w:t>
      </w:r>
      <w:r>
        <w:t xml:space="preserve"> </w:t>
      </w:r>
      <w:r w:rsidRPr="00E866AC">
        <w:t>v</w:t>
      </w:r>
      <w:r w:rsidRPr="00E866AC">
        <w:rPr>
          <w:rFonts w:hint="eastAsia"/>
        </w:rPr>
        <w:t>á</w:t>
      </w:r>
      <w:r w:rsidRPr="00E866AC">
        <w:t>z</w:t>
      </w:r>
      <w:r w:rsidRPr="00E866AC">
        <w:rPr>
          <w:rFonts w:hint="eastAsia"/>
        </w:rPr>
        <w:t>á</w:t>
      </w:r>
      <w:r w:rsidRPr="00E866AC">
        <w:t>na.</w:t>
      </w:r>
      <w:r>
        <w:t xml:space="preserve"> </w:t>
      </w:r>
      <w:r w:rsidR="00B679ED">
        <w:t xml:space="preserve">Podle čl. 46 odst. 1 Úmluvy se </w:t>
      </w:r>
      <w:r w:rsidR="002417C8">
        <w:t xml:space="preserve">Česká republika zavázala řídit se konečnými rozsudky ESLP ve všech případech, </w:t>
      </w:r>
      <w:r w:rsidR="00B07FA4">
        <w:t xml:space="preserve">jichž je stranou. </w:t>
      </w:r>
      <w:r>
        <w:t xml:space="preserve">Jelikož bylo </w:t>
      </w:r>
      <w:r w:rsidR="00312050">
        <w:t>roz</w:t>
      </w:r>
      <w:r w:rsidR="00B07FA4">
        <w:t xml:space="preserve">sudkem Evropského soudu pro lidská práva </w:t>
      </w:r>
      <w:r w:rsidR="009758C5">
        <w:t xml:space="preserve">ve věci </w:t>
      </w:r>
      <w:proofErr w:type="spellStart"/>
      <w:r w:rsidR="009758C5" w:rsidRPr="009758C5">
        <w:rPr>
          <w:i/>
          <w:iCs/>
        </w:rPr>
        <w:t>Spišák</w:t>
      </w:r>
      <w:proofErr w:type="spellEnd"/>
      <w:r w:rsidR="009758C5" w:rsidRPr="009758C5">
        <w:rPr>
          <w:i/>
          <w:iCs/>
        </w:rPr>
        <w:t xml:space="preserve"> proti České republice</w:t>
      </w:r>
      <w:r w:rsidR="009758C5">
        <w:rPr>
          <w:i/>
          <w:iCs/>
        </w:rPr>
        <w:t xml:space="preserve"> </w:t>
      </w:r>
      <w:r w:rsidR="009758C5" w:rsidRPr="000D58BD">
        <w:rPr>
          <w:szCs w:val="24"/>
        </w:rPr>
        <w:t>(č. 13968/22)</w:t>
      </w:r>
      <w:r w:rsidR="009758C5">
        <w:rPr>
          <w:szCs w:val="24"/>
        </w:rPr>
        <w:t xml:space="preserve"> shledáno porušení čl</w:t>
      </w:r>
      <w:r w:rsidR="002B741C">
        <w:rPr>
          <w:szCs w:val="24"/>
        </w:rPr>
        <w:t>ánk</w:t>
      </w:r>
      <w:r w:rsidR="00E1372D">
        <w:rPr>
          <w:szCs w:val="24"/>
        </w:rPr>
        <w:t>u</w:t>
      </w:r>
      <w:r w:rsidR="002B741C">
        <w:rPr>
          <w:szCs w:val="24"/>
        </w:rPr>
        <w:t xml:space="preserve"> </w:t>
      </w:r>
      <w:r w:rsidR="009758C5" w:rsidRPr="000D58BD">
        <w:rPr>
          <w:szCs w:val="24"/>
        </w:rPr>
        <w:t>14 ve</w:t>
      </w:r>
      <w:r w:rsidR="00E1372D">
        <w:rPr>
          <w:szCs w:val="24"/>
        </w:rPr>
        <w:t> </w:t>
      </w:r>
      <w:r w:rsidR="009758C5" w:rsidRPr="000D58BD">
        <w:rPr>
          <w:szCs w:val="24"/>
        </w:rPr>
        <w:t>spojení s</w:t>
      </w:r>
      <w:r w:rsidR="002B741C">
        <w:rPr>
          <w:szCs w:val="24"/>
        </w:rPr>
        <w:t> </w:t>
      </w:r>
      <w:r w:rsidR="009758C5" w:rsidRPr="000D58BD">
        <w:rPr>
          <w:szCs w:val="24"/>
        </w:rPr>
        <w:t>čl</w:t>
      </w:r>
      <w:r w:rsidR="002B741C">
        <w:rPr>
          <w:szCs w:val="24"/>
        </w:rPr>
        <w:t xml:space="preserve">ánkem </w:t>
      </w:r>
      <w:r w:rsidR="009758C5" w:rsidRPr="000D58BD">
        <w:rPr>
          <w:szCs w:val="24"/>
        </w:rPr>
        <w:t>5 Úmluvy</w:t>
      </w:r>
      <w:r w:rsidR="00815F6F">
        <w:rPr>
          <w:szCs w:val="24"/>
        </w:rPr>
        <w:t>, je Česká republika povinna odstranit zjištěné nedostatky a</w:t>
      </w:r>
      <w:r w:rsidR="00E1372D">
        <w:rPr>
          <w:szCs w:val="24"/>
        </w:rPr>
        <w:t> </w:t>
      </w:r>
      <w:r w:rsidR="00815F6F">
        <w:rPr>
          <w:szCs w:val="24"/>
        </w:rPr>
        <w:t>uvést svůj právní řád do souladu s předmětným rozsudkem</w:t>
      </w:r>
      <w:r w:rsidR="00B54391">
        <w:rPr>
          <w:szCs w:val="24"/>
        </w:rPr>
        <w:t xml:space="preserve">, což se předloženým návrhem činí.  </w:t>
      </w:r>
    </w:p>
    <w:p w14:paraId="12833D54" w14:textId="5FCF6734" w:rsidR="00252AD9" w:rsidRDefault="00252AD9" w:rsidP="00EA7258">
      <w:pPr>
        <w:rPr>
          <w:szCs w:val="24"/>
        </w:rPr>
      </w:pPr>
      <w:r>
        <w:rPr>
          <w:szCs w:val="24"/>
        </w:rPr>
        <w:t>Při tvorbě návrhu byly zohledněny i následující doporučení mezinárodních organizací a</w:t>
      </w:r>
      <w:r w:rsidR="00860FA8">
        <w:rPr>
          <w:szCs w:val="24"/>
        </w:rPr>
        <w:t> </w:t>
      </w:r>
      <w:r>
        <w:rPr>
          <w:szCs w:val="24"/>
        </w:rPr>
        <w:t>institucí</w:t>
      </w:r>
      <w:r w:rsidR="00E85D75">
        <w:rPr>
          <w:szCs w:val="24"/>
        </w:rPr>
        <w:t>.</w:t>
      </w:r>
      <w:r w:rsidR="00280F9D">
        <w:rPr>
          <w:szCs w:val="24"/>
        </w:rPr>
        <w:t xml:space="preserve"> </w:t>
      </w:r>
      <w:r w:rsidR="00E85D75">
        <w:rPr>
          <w:szCs w:val="24"/>
        </w:rPr>
        <w:t xml:space="preserve">Pro část návrhu týkající se </w:t>
      </w:r>
      <w:r>
        <w:rPr>
          <w:szCs w:val="24"/>
        </w:rPr>
        <w:t>oblasti vazby mladistvých</w:t>
      </w:r>
      <w:r w:rsidR="00E85D75">
        <w:rPr>
          <w:szCs w:val="24"/>
        </w:rPr>
        <w:t xml:space="preserve"> byly </w:t>
      </w:r>
      <w:r w:rsidR="00BB779F">
        <w:rPr>
          <w:szCs w:val="24"/>
        </w:rPr>
        <w:t>brány v potaz</w:t>
      </w:r>
      <w:r w:rsidR="00E85D75">
        <w:rPr>
          <w:szCs w:val="24"/>
        </w:rPr>
        <w:t xml:space="preserve"> </w:t>
      </w:r>
      <w:r>
        <w:rPr>
          <w:szCs w:val="24"/>
        </w:rPr>
        <w:t>zejména</w:t>
      </w:r>
      <w:r w:rsidR="00056DAC">
        <w:rPr>
          <w:szCs w:val="24"/>
        </w:rPr>
        <w:t xml:space="preserve"> následující dokumenty</w:t>
      </w:r>
      <w:r>
        <w:rPr>
          <w:szCs w:val="24"/>
        </w:rPr>
        <w:t>:</w:t>
      </w:r>
    </w:p>
    <w:p w14:paraId="4EDE662A" w14:textId="2027A047" w:rsidR="00E91FDE" w:rsidRPr="006F5162" w:rsidRDefault="00E91FDE" w:rsidP="00EA7258">
      <w:pPr>
        <w:pStyle w:val="Odstavecseseznamem"/>
        <w:numPr>
          <w:ilvl w:val="0"/>
          <w:numId w:val="1"/>
        </w:numPr>
        <w:ind w:left="426" w:hanging="426"/>
        <w:contextualSpacing w:val="0"/>
        <w:rPr>
          <w:i/>
          <w:iCs/>
        </w:rPr>
      </w:pPr>
      <w:r w:rsidRPr="006F5162">
        <w:rPr>
          <w:i/>
          <w:iCs/>
        </w:rPr>
        <w:t>Pravidla OSN k ochraně mladistvých zbavených osobní svobody (</w:t>
      </w:r>
      <w:r w:rsidR="006F5162" w:rsidRPr="006F5162">
        <w:rPr>
          <w:i/>
          <w:iCs/>
        </w:rPr>
        <w:t>rezoluce OSN č.</w:t>
      </w:r>
      <w:r w:rsidR="006F5162">
        <w:rPr>
          <w:i/>
          <w:iCs/>
        </w:rPr>
        <w:t> </w:t>
      </w:r>
      <w:r w:rsidR="006F5162" w:rsidRPr="006F5162">
        <w:rPr>
          <w:i/>
          <w:iCs/>
        </w:rPr>
        <w:t xml:space="preserve">45/113 ze dne 14. prosince 1990, </w:t>
      </w:r>
      <w:r w:rsidRPr="006F5162">
        <w:rPr>
          <w:i/>
          <w:iCs/>
        </w:rPr>
        <w:t>tzv. „Havanská</w:t>
      </w:r>
      <w:r w:rsidR="006F5162" w:rsidRPr="006F5162">
        <w:rPr>
          <w:i/>
          <w:iCs/>
        </w:rPr>
        <w:t xml:space="preserve"> </w:t>
      </w:r>
      <w:r w:rsidRPr="006F5162">
        <w:rPr>
          <w:i/>
          <w:iCs/>
        </w:rPr>
        <w:t>pravidla“)</w:t>
      </w:r>
      <w:r w:rsidR="005B1F7D">
        <w:rPr>
          <w:i/>
          <w:iCs/>
        </w:rPr>
        <w:t xml:space="preserve">, </w:t>
      </w:r>
      <w:r w:rsidR="005B1F7D">
        <w:t>která uvádějí, že</w:t>
      </w:r>
      <w:r w:rsidR="00A543C2">
        <w:t> </w:t>
      </w:r>
      <w:r w:rsidR="005B1F7D">
        <w:t>mladistvého lze do</w:t>
      </w:r>
      <w:r w:rsidR="00EA7258">
        <w:t> </w:t>
      </w:r>
      <w:r w:rsidR="005B1F7D">
        <w:t>vyšetřovací vazby vzít jen ve výjimečných případech, přičemž vyšetřovací vazb</w:t>
      </w:r>
      <w:r w:rsidR="00A63FA9">
        <w:t>a</w:t>
      </w:r>
      <w:r w:rsidR="005B1F7D">
        <w:t xml:space="preserve"> mladistvého by měla </w:t>
      </w:r>
      <w:r w:rsidR="00A63FA9">
        <w:t>trvat</w:t>
      </w:r>
      <w:r w:rsidR="005B1F7D">
        <w:t xml:space="preserve"> co nejkratší </w:t>
      </w:r>
      <w:r w:rsidR="00A63FA9">
        <w:t>dobu,</w:t>
      </w:r>
    </w:p>
    <w:p w14:paraId="7DC57E3C" w14:textId="70970C0E" w:rsidR="00252AD9" w:rsidRDefault="00056DAC" w:rsidP="00EA7258">
      <w:pPr>
        <w:pStyle w:val="Odstavecseseznamem"/>
        <w:numPr>
          <w:ilvl w:val="0"/>
          <w:numId w:val="1"/>
        </w:numPr>
        <w:ind w:left="426" w:hanging="426"/>
        <w:contextualSpacing w:val="0"/>
      </w:pPr>
      <w:r>
        <w:rPr>
          <w:i/>
          <w:iCs/>
        </w:rPr>
        <w:t>D</w:t>
      </w:r>
      <w:r w:rsidR="006C7A1A" w:rsidRPr="008616C1">
        <w:rPr>
          <w:i/>
          <w:iCs/>
        </w:rPr>
        <w:t xml:space="preserve">oporučení </w:t>
      </w:r>
      <w:r w:rsidR="00DE44D4" w:rsidRPr="008616C1">
        <w:rPr>
          <w:i/>
          <w:iCs/>
        </w:rPr>
        <w:t>CM/</w:t>
      </w:r>
      <w:proofErr w:type="spellStart"/>
      <w:r w:rsidR="00DE44D4" w:rsidRPr="008616C1">
        <w:rPr>
          <w:i/>
          <w:iCs/>
        </w:rPr>
        <w:t>Rec</w:t>
      </w:r>
      <w:proofErr w:type="spellEnd"/>
      <w:r w:rsidR="00DE44D4" w:rsidRPr="008616C1">
        <w:rPr>
          <w:i/>
          <w:iCs/>
        </w:rPr>
        <w:t xml:space="preserve"> (2008)11 </w:t>
      </w:r>
      <w:r w:rsidR="006C7A1A" w:rsidRPr="008616C1">
        <w:rPr>
          <w:i/>
          <w:iCs/>
        </w:rPr>
        <w:t>o evropských pravidlech pro mladistvé pachatele podrobené sankcím a opatřením</w:t>
      </w:r>
      <w:r w:rsidR="008616C1" w:rsidRPr="008616C1">
        <w:rPr>
          <w:i/>
          <w:iCs/>
        </w:rPr>
        <w:t xml:space="preserve"> ze dne 5. listopadu 2008</w:t>
      </w:r>
      <w:r w:rsidR="003D6B99">
        <w:rPr>
          <w:i/>
          <w:iCs/>
        </w:rPr>
        <w:t xml:space="preserve">, </w:t>
      </w:r>
      <w:r w:rsidR="00702654">
        <w:rPr>
          <w:i/>
          <w:iCs/>
        </w:rPr>
        <w:t xml:space="preserve">část I </w:t>
      </w:r>
      <w:r w:rsidR="003D6B99">
        <w:rPr>
          <w:i/>
          <w:iCs/>
        </w:rPr>
        <w:t>(</w:t>
      </w:r>
      <w:r w:rsidR="00702654">
        <w:rPr>
          <w:i/>
          <w:iCs/>
        </w:rPr>
        <w:t>bod 13)</w:t>
      </w:r>
      <w:r w:rsidR="00535A49">
        <w:t>,</w:t>
      </w:r>
      <w:r w:rsidR="008616C1">
        <w:t xml:space="preserve"> </w:t>
      </w:r>
      <w:r w:rsidR="00702654">
        <w:t>kde je uvedeno, že mladistvý by neměl mít méně práv a záruk, než má dospělý v klasickém trestním řízení,</w:t>
      </w:r>
    </w:p>
    <w:p w14:paraId="24B779DE" w14:textId="08E72A6D" w:rsidR="008616C1" w:rsidRDefault="00056DAC" w:rsidP="00EA7258">
      <w:pPr>
        <w:pStyle w:val="Odstavecseseznamem"/>
        <w:numPr>
          <w:ilvl w:val="0"/>
          <w:numId w:val="1"/>
        </w:numPr>
        <w:ind w:left="426" w:hanging="426"/>
        <w:contextualSpacing w:val="0"/>
      </w:pPr>
      <w:r>
        <w:rPr>
          <w:i/>
          <w:iCs/>
        </w:rPr>
        <w:t>P</w:t>
      </w:r>
      <w:r w:rsidR="008616C1" w:rsidRPr="00ED6236">
        <w:rPr>
          <w:i/>
          <w:iCs/>
        </w:rPr>
        <w:t xml:space="preserve">okyny Výboru ministrů Rady Evropy o justici vstřícné k dětem </w:t>
      </w:r>
      <w:r w:rsidR="00ED6236" w:rsidRPr="00ED6236">
        <w:rPr>
          <w:i/>
          <w:iCs/>
        </w:rPr>
        <w:t>ze dne 17. listopadu 2010</w:t>
      </w:r>
      <w:r w:rsidR="00ED6236">
        <w:t xml:space="preserve">, </w:t>
      </w:r>
      <w:r w:rsidR="00906FD1">
        <w:t xml:space="preserve">které uvádí, že práva dětí musí být zajištěna </w:t>
      </w:r>
      <w:r w:rsidR="008F6DE1">
        <w:t>mj. bez diskriminace na základě věku.</w:t>
      </w:r>
    </w:p>
    <w:p w14:paraId="6943C0D4" w14:textId="77777777" w:rsidR="00E85D75" w:rsidRPr="00A8431C" w:rsidRDefault="00E85D75" w:rsidP="00E85D75">
      <w:pPr>
        <w:rPr>
          <w:rFonts w:eastAsia="Times New Roman"/>
          <w:bCs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Podporu upřednostnění alternativního způsobu vyřízení věci před formálním řízením před soudem pak obsahuje celá řada právně nezávazných mezinárodních dokumentů, zejména:</w:t>
      </w:r>
    </w:p>
    <w:p w14:paraId="67496812" w14:textId="77777777" w:rsidR="00E85D75" w:rsidRDefault="00E85D75" w:rsidP="00E85D75">
      <w:pPr>
        <w:pStyle w:val="Odstavecseseznamem"/>
        <w:numPr>
          <w:ilvl w:val="0"/>
          <w:numId w:val="2"/>
        </w:numPr>
        <w:ind w:left="284" w:hanging="284"/>
        <w:contextualSpacing w:val="0"/>
        <w:rPr>
          <w:iCs/>
          <w:szCs w:val="24"/>
        </w:rPr>
      </w:pPr>
      <w:r w:rsidRPr="000C1B33">
        <w:rPr>
          <w:i/>
          <w:iCs/>
          <w:szCs w:val="24"/>
        </w:rPr>
        <w:t>Závěrečná doporučení Výboru OSN pro lidská práva ke třetí pravidelné zprávě České republiky z</w:t>
      </w:r>
      <w:r>
        <w:rPr>
          <w:i/>
          <w:iCs/>
          <w:szCs w:val="24"/>
        </w:rPr>
        <w:t> </w:t>
      </w:r>
      <w:r w:rsidRPr="000C1B33">
        <w:rPr>
          <w:i/>
          <w:iCs/>
          <w:szCs w:val="24"/>
        </w:rPr>
        <w:t>22. srpna 2013 (bod 20)</w:t>
      </w:r>
      <w:r>
        <w:rPr>
          <w:iCs/>
          <w:szCs w:val="24"/>
        </w:rPr>
        <w:t>,</w:t>
      </w:r>
    </w:p>
    <w:p w14:paraId="062A5954" w14:textId="77777777" w:rsidR="00E85D75" w:rsidRDefault="00E85D75" w:rsidP="00E85D75">
      <w:pPr>
        <w:pStyle w:val="Odstavecseseznamem"/>
        <w:numPr>
          <w:ilvl w:val="0"/>
          <w:numId w:val="2"/>
        </w:numPr>
        <w:ind w:left="284" w:hanging="284"/>
        <w:contextualSpacing w:val="0"/>
        <w:rPr>
          <w:iCs/>
          <w:szCs w:val="24"/>
        </w:rPr>
      </w:pPr>
      <w:r>
        <w:rPr>
          <w:i/>
          <w:iCs/>
          <w:szCs w:val="24"/>
        </w:rPr>
        <w:t>Obecný komentář OSN k Úmluvě o právech dítěte č. 24 (2019)</w:t>
      </w:r>
      <w:r>
        <w:rPr>
          <w:iCs/>
          <w:szCs w:val="24"/>
        </w:rPr>
        <w:t>,</w:t>
      </w:r>
    </w:p>
    <w:p w14:paraId="21B19660" w14:textId="77777777" w:rsidR="00E85D75" w:rsidRDefault="00E85D75" w:rsidP="00E85D75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eastAsia="Times New Roman"/>
          <w:szCs w:val="24"/>
          <w:lang w:eastAsia="cs-CZ"/>
        </w:rPr>
      </w:pPr>
      <w:r w:rsidRPr="00D96C81">
        <w:rPr>
          <w:rFonts w:eastAsia="Times New Roman"/>
          <w:szCs w:val="24"/>
          <w:lang w:eastAsia="cs-CZ"/>
        </w:rPr>
        <w:t xml:space="preserve">tzv. </w:t>
      </w:r>
      <w:r w:rsidRPr="00A8431C">
        <w:rPr>
          <w:rFonts w:eastAsia="Times New Roman"/>
          <w:i/>
          <w:iCs/>
          <w:szCs w:val="24"/>
          <w:lang w:eastAsia="cs-CZ"/>
        </w:rPr>
        <w:t>Pekingská pravidla</w:t>
      </w:r>
      <w:r>
        <w:rPr>
          <w:rFonts w:eastAsia="Times New Roman"/>
          <w:szCs w:val="24"/>
          <w:lang w:eastAsia="cs-CZ"/>
        </w:rPr>
        <w:t xml:space="preserve"> přijatá dne</w:t>
      </w:r>
      <w:r w:rsidRPr="00D96C81">
        <w:rPr>
          <w:rFonts w:eastAsia="Times New Roman"/>
          <w:szCs w:val="24"/>
          <w:lang w:eastAsia="cs-CZ"/>
        </w:rPr>
        <w:t xml:space="preserve"> 29. </w:t>
      </w:r>
      <w:r>
        <w:rPr>
          <w:rFonts w:eastAsia="Times New Roman"/>
          <w:szCs w:val="24"/>
          <w:lang w:eastAsia="cs-CZ"/>
        </w:rPr>
        <w:t xml:space="preserve">listopadu </w:t>
      </w:r>
      <w:r w:rsidRPr="00D96C81">
        <w:rPr>
          <w:rFonts w:eastAsia="Times New Roman"/>
          <w:szCs w:val="24"/>
          <w:lang w:eastAsia="cs-CZ"/>
        </w:rPr>
        <w:t>1985 Valným shromážděním OSN</w:t>
      </w:r>
      <w:r>
        <w:rPr>
          <w:rFonts w:eastAsia="Times New Roman"/>
          <w:szCs w:val="24"/>
          <w:lang w:eastAsia="cs-CZ"/>
        </w:rPr>
        <w:t>,</w:t>
      </w:r>
    </w:p>
    <w:p w14:paraId="34E2B6D2" w14:textId="77777777" w:rsidR="00E85D75" w:rsidRDefault="00E85D75" w:rsidP="00E85D75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eastAsia="Times New Roman"/>
          <w:szCs w:val="24"/>
          <w:lang w:eastAsia="cs-CZ"/>
        </w:rPr>
      </w:pPr>
      <w:r w:rsidRPr="00A8431C">
        <w:rPr>
          <w:rFonts w:eastAsia="Times New Roman"/>
          <w:i/>
          <w:iCs/>
          <w:szCs w:val="24"/>
          <w:lang w:eastAsia="cs-CZ"/>
        </w:rPr>
        <w:t>Pravidla pro jednání s dětmi v systému soudnictví mládeže</w:t>
      </w:r>
      <w:r w:rsidRPr="00D96C81">
        <w:rPr>
          <w:rFonts w:eastAsia="Times New Roman"/>
          <w:szCs w:val="24"/>
          <w:lang w:eastAsia="cs-CZ"/>
        </w:rPr>
        <w:t xml:space="preserve"> (rezoluce Hospodářské </w:t>
      </w:r>
      <w:r>
        <w:rPr>
          <w:rFonts w:eastAsia="Times New Roman"/>
          <w:szCs w:val="24"/>
          <w:lang w:eastAsia="cs-CZ"/>
        </w:rPr>
        <w:br/>
      </w:r>
      <w:r w:rsidRPr="00D96C81">
        <w:rPr>
          <w:rFonts w:eastAsia="Times New Roman"/>
          <w:szCs w:val="24"/>
          <w:lang w:eastAsia="cs-CZ"/>
        </w:rPr>
        <w:t xml:space="preserve">a sociální rady OSN 1997/30 ze dne 31. </w:t>
      </w:r>
      <w:r>
        <w:rPr>
          <w:rFonts w:eastAsia="Times New Roman"/>
          <w:szCs w:val="24"/>
          <w:lang w:eastAsia="cs-CZ"/>
        </w:rPr>
        <w:t xml:space="preserve">července </w:t>
      </w:r>
      <w:r w:rsidRPr="00D96C81">
        <w:rPr>
          <w:rFonts w:eastAsia="Times New Roman"/>
          <w:szCs w:val="24"/>
          <w:lang w:eastAsia="cs-CZ"/>
        </w:rPr>
        <w:t>1997)</w:t>
      </w:r>
      <w:r>
        <w:rPr>
          <w:rFonts w:eastAsia="Times New Roman"/>
          <w:szCs w:val="24"/>
          <w:lang w:eastAsia="cs-CZ"/>
        </w:rPr>
        <w:t>,</w:t>
      </w:r>
    </w:p>
    <w:p w14:paraId="788C56E0" w14:textId="77777777" w:rsidR="00E85D75" w:rsidRDefault="00E85D75" w:rsidP="00E85D75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eastAsia="Times New Roman"/>
          <w:szCs w:val="24"/>
          <w:lang w:eastAsia="cs-CZ"/>
        </w:rPr>
      </w:pPr>
      <w:r w:rsidRPr="00A8431C">
        <w:rPr>
          <w:rFonts w:eastAsia="Times New Roman"/>
          <w:i/>
          <w:iCs/>
          <w:szCs w:val="24"/>
          <w:lang w:eastAsia="cs-CZ"/>
        </w:rPr>
        <w:t>Pokyny Výboru ministrů Rady Evropy o justici vstřícné k dětem</w:t>
      </w:r>
      <w:r w:rsidRPr="00D96C81">
        <w:rPr>
          <w:rFonts w:eastAsia="Times New Roman"/>
          <w:szCs w:val="24"/>
          <w:lang w:eastAsia="cs-CZ"/>
        </w:rPr>
        <w:t xml:space="preserve"> přijaté Radou Evropy dne 17. </w:t>
      </w:r>
      <w:r>
        <w:rPr>
          <w:rFonts w:eastAsia="Times New Roman"/>
          <w:szCs w:val="24"/>
          <w:lang w:eastAsia="cs-CZ"/>
        </w:rPr>
        <w:t xml:space="preserve">listopadu </w:t>
      </w:r>
      <w:r w:rsidRPr="00D96C81">
        <w:rPr>
          <w:rFonts w:eastAsia="Times New Roman"/>
          <w:szCs w:val="24"/>
          <w:lang w:eastAsia="cs-CZ"/>
        </w:rPr>
        <w:t>20</w:t>
      </w:r>
      <w:r>
        <w:rPr>
          <w:rFonts w:eastAsia="Times New Roman"/>
          <w:szCs w:val="24"/>
          <w:lang w:eastAsia="cs-CZ"/>
        </w:rPr>
        <w:t>10.</w:t>
      </w:r>
    </w:p>
    <w:p w14:paraId="16B9A5BE" w14:textId="712BF22C" w:rsidR="00C51BEC" w:rsidRDefault="00C51BEC" w:rsidP="00EA7258">
      <w:r>
        <w:t>Lze konstatovat, že předložený návrh je v souladu i s těmito mezinárodními dokumenty.</w:t>
      </w:r>
    </w:p>
    <w:p w14:paraId="0CC1CB61" w14:textId="2739E188" w:rsidR="00C51BEC" w:rsidRPr="00D20FCE" w:rsidRDefault="00CC1916" w:rsidP="00EA7258">
      <w:r>
        <w:t>Právo na nediskriminační přístup z důvodu věku k právu na svobodu a osobní bezpečnost garant</w:t>
      </w:r>
      <w:r w:rsidR="00B945D9">
        <w:t>ované</w:t>
      </w:r>
      <w:r>
        <w:t xml:space="preserve"> </w:t>
      </w:r>
      <w:r w:rsidR="00BA11A9">
        <w:t>čl. 5 ve spojení s čl. 14 Úmluvy o ochraně lidských práv</w:t>
      </w:r>
      <w:r w:rsidR="003B6342">
        <w:t xml:space="preserve"> a základních svobod</w:t>
      </w:r>
      <w:r w:rsidR="00B945D9">
        <w:t xml:space="preserve"> bylo </w:t>
      </w:r>
      <w:r w:rsidR="00EE6066">
        <w:t xml:space="preserve">vyloženo Evropským soudem pro lidská práva ve věci </w:t>
      </w:r>
      <w:proofErr w:type="spellStart"/>
      <w:r w:rsidR="00EE6066" w:rsidRPr="009758C5">
        <w:rPr>
          <w:i/>
          <w:iCs/>
        </w:rPr>
        <w:t>Spišák</w:t>
      </w:r>
      <w:proofErr w:type="spellEnd"/>
      <w:r w:rsidR="00EE6066" w:rsidRPr="009758C5">
        <w:rPr>
          <w:i/>
          <w:iCs/>
        </w:rPr>
        <w:t xml:space="preserve"> proti České republice</w:t>
      </w:r>
      <w:r w:rsidR="00EE6066">
        <w:rPr>
          <w:i/>
          <w:iCs/>
        </w:rPr>
        <w:t xml:space="preserve"> </w:t>
      </w:r>
      <w:r w:rsidR="00EE6066" w:rsidRPr="000D58BD">
        <w:rPr>
          <w:szCs w:val="24"/>
        </w:rPr>
        <w:t>(č.</w:t>
      </w:r>
      <w:r w:rsidR="00EE6066">
        <w:rPr>
          <w:szCs w:val="24"/>
        </w:rPr>
        <w:t> </w:t>
      </w:r>
      <w:r w:rsidR="00EE6066" w:rsidRPr="000D58BD">
        <w:rPr>
          <w:szCs w:val="24"/>
        </w:rPr>
        <w:t>13968/22)</w:t>
      </w:r>
      <w:r w:rsidR="00EE6066">
        <w:rPr>
          <w:szCs w:val="24"/>
        </w:rPr>
        <w:t xml:space="preserve">. </w:t>
      </w:r>
      <w:r w:rsidR="00ED4850">
        <w:t xml:space="preserve">V této souvislosti lze poukázat i na </w:t>
      </w:r>
      <w:r w:rsidR="00671880">
        <w:t xml:space="preserve">rozsudek ve věci </w:t>
      </w:r>
      <w:proofErr w:type="spellStart"/>
      <w:r w:rsidR="00671880" w:rsidRPr="001B2564">
        <w:rPr>
          <w:i/>
          <w:iCs/>
        </w:rPr>
        <w:t>Assenov</w:t>
      </w:r>
      <w:proofErr w:type="spellEnd"/>
      <w:r w:rsidR="00671880" w:rsidRPr="001B2564">
        <w:rPr>
          <w:i/>
          <w:iCs/>
        </w:rPr>
        <w:t xml:space="preserve"> a ostatní proti Bulharsku</w:t>
      </w:r>
      <w:r w:rsidR="00671880">
        <w:t xml:space="preserve"> (č. 24760,</w:t>
      </w:r>
      <w:r w:rsidR="001B2564">
        <w:t xml:space="preserve"> rozsudek ze dne 28. října 1998, § 162), kdy </w:t>
      </w:r>
      <w:r w:rsidR="00E507A4">
        <w:t>ESLP</w:t>
      </w:r>
      <w:r w:rsidR="001B2564">
        <w:t xml:space="preserve"> konstatoval, že</w:t>
      </w:r>
      <w:r w:rsidR="00A543C2">
        <w:t> </w:t>
      </w:r>
      <w:r w:rsidR="00E83158">
        <w:t xml:space="preserve">zákonnost vazby musí být pravidelně přezkoumávána. Pokud je zaveden </w:t>
      </w:r>
      <w:r w:rsidR="00AB4559">
        <w:t>automatický</w:t>
      </w:r>
      <w:r w:rsidR="00E83158">
        <w:t xml:space="preserve"> mechanismus </w:t>
      </w:r>
      <w:r w:rsidR="00AB4559">
        <w:t>přezkumu vazby, musí jednotlivá rozhodnutí následovat v</w:t>
      </w:r>
      <w:r w:rsidR="000F72A1">
        <w:t> </w:t>
      </w:r>
      <w:r w:rsidR="00AB4559">
        <w:t>„přiměřených“ intervalech (</w:t>
      </w:r>
      <w:r w:rsidR="001C44A3">
        <w:t xml:space="preserve">viz např. </w:t>
      </w:r>
      <w:proofErr w:type="spellStart"/>
      <w:r w:rsidR="001C44A3" w:rsidRPr="002F57F6">
        <w:rPr>
          <w:i/>
          <w:iCs/>
        </w:rPr>
        <w:t>Herczegfalvy</w:t>
      </w:r>
      <w:proofErr w:type="spellEnd"/>
      <w:r w:rsidR="001C44A3" w:rsidRPr="002F57F6">
        <w:rPr>
          <w:i/>
          <w:iCs/>
        </w:rPr>
        <w:t xml:space="preserve"> proti Rakousku</w:t>
      </w:r>
      <w:r w:rsidR="001C44A3">
        <w:t>, č</w:t>
      </w:r>
      <w:r w:rsidR="007A7109">
        <w:t>.</w:t>
      </w:r>
      <w:r w:rsidR="001C44A3">
        <w:t xml:space="preserve"> 10533/83, rozsudek ze</w:t>
      </w:r>
      <w:r w:rsidR="000F72A1">
        <w:t> </w:t>
      </w:r>
      <w:r w:rsidR="001C44A3">
        <w:t xml:space="preserve">dne 24. září 1994, § 75 a 77). </w:t>
      </w:r>
      <w:r w:rsidR="002F57F6" w:rsidRPr="002F57F6">
        <w:t xml:space="preserve">Zda tyto intervaly jsou či nejsou „přiměřené“, by mělo být posuzováno podle </w:t>
      </w:r>
      <w:r w:rsidR="002F57F6" w:rsidRPr="002F57F6">
        <w:lastRenderedPageBreak/>
        <w:t>konkrétních okolností každé věci (viz</w:t>
      </w:r>
      <w:r w:rsidR="00887489">
        <w:t xml:space="preserve"> např.</w:t>
      </w:r>
      <w:r w:rsidR="002F57F6" w:rsidRPr="002F57F6">
        <w:t xml:space="preserve"> </w:t>
      </w:r>
      <w:proofErr w:type="spellStart"/>
      <w:r w:rsidR="002F57F6" w:rsidRPr="002F57F6">
        <w:rPr>
          <w:i/>
          <w:iCs/>
        </w:rPr>
        <w:t>Lebedev</w:t>
      </w:r>
      <w:proofErr w:type="spellEnd"/>
      <w:r w:rsidR="002F57F6" w:rsidRPr="002F57F6">
        <w:rPr>
          <w:i/>
          <w:iCs/>
        </w:rPr>
        <w:t xml:space="preserve"> proti Rusku</w:t>
      </w:r>
      <w:r w:rsidR="002F57F6" w:rsidRPr="002F57F6">
        <w:t xml:space="preserve">, č. 4493/04, rozsudek ze dne 25. října 2007, § 79). </w:t>
      </w:r>
      <w:r w:rsidR="00887489">
        <w:t xml:space="preserve">Vyšetřovací vazba </w:t>
      </w:r>
      <w:r w:rsidR="005F6DB7">
        <w:t>však podle ESLP</w:t>
      </w:r>
      <w:r w:rsidR="002F57F6" w:rsidRPr="002F57F6">
        <w:t xml:space="preserve"> vyžaduje krátké intervaly přezkumu, neboť Úmluva předpokládá, že taková vazba bude mít přísně omezené trvání (viz </w:t>
      </w:r>
      <w:proofErr w:type="spellStart"/>
      <w:r w:rsidR="002F57F6" w:rsidRPr="005F6DB7">
        <w:rPr>
          <w:i/>
          <w:iCs/>
        </w:rPr>
        <w:t>Assenov</w:t>
      </w:r>
      <w:proofErr w:type="spellEnd"/>
      <w:r w:rsidR="002F57F6" w:rsidRPr="005F6DB7">
        <w:rPr>
          <w:i/>
          <w:iCs/>
        </w:rPr>
        <w:t xml:space="preserve"> a</w:t>
      </w:r>
      <w:r w:rsidR="00A543C2">
        <w:rPr>
          <w:i/>
          <w:iCs/>
        </w:rPr>
        <w:t> </w:t>
      </w:r>
      <w:r w:rsidR="002F57F6" w:rsidRPr="005F6DB7">
        <w:rPr>
          <w:i/>
          <w:iCs/>
        </w:rPr>
        <w:t>ostatní</w:t>
      </w:r>
      <w:r w:rsidR="002F57F6" w:rsidRPr="002F57F6">
        <w:t>, cit. výše, § 162).</w:t>
      </w:r>
      <w:r w:rsidR="005F6DB7">
        <w:t xml:space="preserve"> </w:t>
      </w:r>
      <w:r w:rsidR="009E5127">
        <w:t xml:space="preserve">Podle judikatury ESLP přitom </w:t>
      </w:r>
      <w:r w:rsidR="00BB5D1A">
        <w:t xml:space="preserve">může být </w:t>
      </w:r>
      <w:r w:rsidR="0078114F">
        <w:t xml:space="preserve">pod pojem „jiné postavení“ ve smyslu článku 14 Úmluvy </w:t>
      </w:r>
      <w:r w:rsidR="0022003A">
        <w:t>zahrnut</w:t>
      </w:r>
      <w:r w:rsidR="0078114F">
        <w:t xml:space="preserve"> i „věk“ </w:t>
      </w:r>
      <w:r w:rsidR="0022003A">
        <w:t>(srov.</w:t>
      </w:r>
      <w:r w:rsidR="0078114F">
        <w:t xml:space="preserve"> např.</w:t>
      </w:r>
      <w:r w:rsidR="0022003A">
        <w:t xml:space="preserve"> </w:t>
      </w:r>
      <w:proofErr w:type="spellStart"/>
      <w:r w:rsidR="00F42399" w:rsidRPr="0078114F">
        <w:rPr>
          <w:i/>
          <w:iCs/>
        </w:rPr>
        <w:t>Schwizgebel</w:t>
      </w:r>
      <w:proofErr w:type="spellEnd"/>
      <w:r w:rsidR="00F42399" w:rsidRPr="0078114F">
        <w:rPr>
          <w:i/>
          <w:iCs/>
        </w:rPr>
        <w:t xml:space="preserve"> proti Švýcarsku</w:t>
      </w:r>
      <w:r w:rsidR="00F42399">
        <w:t xml:space="preserve">, </w:t>
      </w:r>
      <w:r w:rsidR="00D55453">
        <w:t xml:space="preserve">č. 25762/07, </w:t>
      </w:r>
      <w:r w:rsidR="00F42399">
        <w:t xml:space="preserve">rozsudek ze dne 10. června 2010, § </w:t>
      </w:r>
      <w:r w:rsidR="0078114F">
        <w:t xml:space="preserve">85). </w:t>
      </w:r>
      <w:r w:rsidR="00474D18">
        <w:t>Navržená právní úprava</w:t>
      </w:r>
      <w:r w:rsidR="000F72A1">
        <w:t xml:space="preserve"> </w:t>
      </w:r>
      <w:r w:rsidR="00474D18">
        <w:t>výše zmíněnou judikaturu ESLP plně reflektuje.</w:t>
      </w:r>
    </w:p>
    <w:p w14:paraId="0BA325A8" w14:textId="61C0BF11" w:rsidR="00C51BEC" w:rsidRDefault="009A745D" w:rsidP="00EA7258">
      <w:r>
        <w:t xml:space="preserve">Z předpisů Evropské unie </w:t>
      </w:r>
      <w:r w:rsidR="00A63E0D">
        <w:t>se</w:t>
      </w:r>
      <w:r>
        <w:t xml:space="preserve"> vazby mladistvých</w:t>
      </w:r>
      <w:r w:rsidR="00761513">
        <w:t xml:space="preserve"> a jejího přezkumu</w:t>
      </w:r>
      <w:r>
        <w:t xml:space="preserve"> </w:t>
      </w:r>
      <w:r w:rsidR="00A63E0D">
        <w:t xml:space="preserve">týká </w:t>
      </w:r>
      <w:r>
        <w:t xml:space="preserve">směrnice </w:t>
      </w:r>
      <w:r w:rsidRPr="009A745D">
        <w:t>Evropského parlamentu a Rady (EU) 2016/800 ze dne 11. května 2016 o procesních zárukách pro děti, které jsou podezřelými nebo obviněnými osobami v trestním řízení</w:t>
      </w:r>
      <w:r w:rsidR="00761513">
        <w:t>. Podle čl. 10 odst.</w:t>
      </w:r>
      <w:r w:rsidR="00C639CB">
        <w:t> </w:t>
      </w:r>
      <w:r w:rsidR="00761513">
        <w:t xml:space="preserve">1 </w:t>
      </w:r>
      <w:r w:rsidR="00C639CB">
        <w:t xml:space="preserve">této </w:t>
      </w:r>
      <w:r w:rsidR="00761513">
        <w:t>směrnice č</w:t>
      </w:r>
      <w:r w:rsidR="00761513" w:rsidRPr="00761513">
        <w:t>lenské státy zajistí, aby zbaven</w:t>
      </w:r>
      <w:r w:rsidR="00A63E0D">
        <w:t>í</w:t>
      </w:r>
      <w:r w:rsidR="00761513" w:rsidRPr="00761513">
        <w:t xml:space="preserve"> osobní svobody </w:t>
      </w:r>
      <w:r w:rsidR="00A63E0D">
        <w:t xml:space="preserve">dítěte </w:t>
      </w:r>
      <w:r w:rsidR="00761513" w:rsidRPr="00761513">
        <w:t xml:space="preserve">v kterémkoli stadiu řízení </w:t>
      </w:r>
      <w:r w:rsidR="00A63E0D">
        <w:t xml:space="preserve">trvalo </w:t>
      </w:r>
      <w:r w:rsidR="00761513" w:rsidRPr="00761513">
        <w:t>co nejkratší možnou dobu</w:t>
      </w:r>
      <w:r w:rsidR="00761513">
        <w:t xml:space="preserve">. </w:t>
      </w:r>
      <w:r w:rsidR="00860FA8">
        <w:t>Odstavec 2 téhož článku uvádí, že rozhodnutí o vzetí do</w:t>
      </w:r>
      <w:r w:rsidR="00260DE7">
        <w:t> </w:t>
      </w:r>
      <w:r w:rsidR="00860FA8">
        <w:t xml:space="preserve">vazby musí být </w:t>
      </w:r>
      <w:r w:rsidR="00860FA8" w:rsidRPr="00860FA8">
        <w:t>podr</w:t>
      </w:r>
      <w:r w:rsidR="00860FA8">
        <w:t>obováno</w:t>
      </w:r>
      <w:r w:rsidR="00860FA8" w:rsidRPr="00860FA8">
        <w:t xml:space="preserve"> pravidelnému soudnímu přezkumu v přiměřených časových intervalech, který provádí soud buď z moci úřední, nebo na žádost dítěte nebo jeho obhájce nebo jiného justičního orgánu než soudu</w:t>
      </w:r>
      <w:r w:rsidR="00860FA8">
        <w:t xml:space="preserve">. </w:t>
      </w:r>
      <w:r w:rsidR="00920033">
        <w:t xml:space="preserve">Navržená právní úprava </w:t>
      </w:r>
      <w:r w:rsidR="00C23E5E">
        <w:t xml:space="preserve">přitom </w:t>
      </w:r>
      <w:r w:rsidR="00920033">
        <w:t>požadavky článku 10 směrnice plně respektuje.</w:t>
      </w:r>
      <w:r w:rsidR="009D7422">
        <w:t xml:space="preserve"> Listina základních práv Evropské unie upravuje </w:t>
      </w:r>
      <w:r w:rsidR="00772851">
        <w:t>nediskriminační přístup k</w:t>
      </w:r>
      <w:r w:rsidR="0013069B">
        <w:t> právu na</w:t>
      </w:r>
      <w:r w:rsidR="00A63E0D">
        <w:t> </w:t>
      </w:r>
      <w:r w:rsidR="0013069B">
        <w:t>svobodu a</w:t>
      </w:r>
      <w:r w:rsidR="00C23E5E">
        <w:t> </w:t>
      </w:r>
      <w:r w:rsidR="0013069B">
        <w:t xml:space="preserve">bezpečnost </w:t>
      </w:r>
      <w:r w:rsidR="00772851">
        <w:t xml:space="preserve">v článku </w:t>
      </w:r>
      <w:r w:rsidR="0013069B">
        <w:t>6</w:t>
      </w:r>
      <w:r w:rsidR="00772851">
        <w:t xml:space="preserve"> ve spojení</w:t>
      </w:r>
      <w:r w:rsidR="00561B1C">
        <w:t xml:space="preserve"> s článkem 21, přičemž i tyto články</w:t>
      </w:r>
      <w:r w:rsidR="00A543C2">
        <w:t xml:space="preserve"> jsou</w:t>
      </w:r>
      <w:r w:rsidR="00561B1C">
        <w:t xml:space="preserve"> navrhovan</w:t>
      </w:r>
      <w:r w:rsidR="00A543C2">
        <w:t>ou</w:t>
      </w:r>
      <w:r w:rsidR="00561B1C">
        <w:t xml:space="preserve"> právní úprav</w:t>
      </w:r>
      <w:r w:rsidR="00A543C2">
        <w:t>ou</w:t>
      </w:r>
      <w:r w:rsidR="00561B1C">
        <w:t xml:space="preserve"> respekt</w:t>
      </w:r>
      <w:r w:rsidR="00A543C2">
        <w:t>ovány</w:t>
      </w:r>
      <w:r w:rsidR="00561B1C">
        <w:t>.</w:t>
      </w:r>
    </w:p>
    <w:p w14:paraId="107999C1" w14:textId="4C6F7A3B" w:rsidR="00920033" w:rsidRDefault="00023AA5" w:rsidP="00EA7258">
      <w:pPr>
        <w:rPr>
          <w:szCs w:val="24"/>
        </w:rPr>
      </w:pPr>
      <w:r>
        <w:t xml:space="preserve">Problematiku alternativních způsobů </w:t>
      </w:r>
      <w:r w:rsidRPr="002D1371">
        <w:rPr>
          <w:szCs w:val="24"/>
        </w:rPr>
        <w:t>vyřízení věcí dětí mladších patnáct let a mladistvých</w:t>
      </w:r>
      <w:r>
        <w:rPr>
          <w:szCs w:val="24"/>
        </w:rPr>
        <w:t xml:space="preserve"> předpisy Evropské unie výslovně neupravují, tudíž se k ní nevztahuje ani judikatura soudních orgánů Evropské </w:t>
      </w:r>
      <w:r w:rsidR="00DD0C7B">
        <w:rPr>
          <w:szCs w:val="24"/>
        </w:rPr>
        <w:t>u</w:t>
      </w:r>
      <w:r>
        <w:rPr>
          <w:szCs w:val="24"/>
        </w:rPr>
        <w:t>nie.</w:t>
      </w:r>
    </w:p>
    <w:p w14:paraId="3E68B6BA" w14:textId="77777777" w:rsidR="00023AA5" w:rsidRDefault="00023AA5" w:rsidP="00EA7258"/>
    <w:p w14:paraId="5010CF5E" w14:textId="77777777" w:rsidR="00FE67B4" w:rsidRPr="00510381" w:rsidRDefault="00FE67B4" w:rsidP="00EA7258">
      <w:pPr>
        <w:widowControl w:val="0"/>
        <w:outlineLvl w:val="1"/>
        <w:rPr>
          <w:rFonts w:eastAsiaTheme="majorEastAsia"/>
          <w:b/>
          <w:bCs/>
          <w:szCs w:val="24"/>
        </w:rPr>
      </w:pPr>
      <w:r w:rsidRPr="00510381">
        <w:rPr>
          <w:rFonts w:eastAsiaTheme="majorEastAsia"/>
          <w:b/>
          <w:bCs/>
          <w:szCs w:val="24"/>
        </w:rPr>
        <w:t>Předpokládaný hospodářský a finanční dopad navrhované právní úpravy na státní rozpočet a ostatní veřejné rozpočty a na podnikatelské prostředí České republiky</w:t>
      </w:r>
    </w:p>
    <w:p w14:paraId="171AF2CC" w14:textId="12518FA5" w:rsidR="00F5214A" w:rsidRDefault="007551AC" w:rsidP="00EA7258">
      <w:r>
        <w:t>Navrhovaná právní úprava není spojena s</w:t>
      </w:r>
      <w:r w:rsidR="00E075C0">
        <w:t> výraznými dopady na státní rozpočet</w:t>
      </w:r>
      <w:r w:rsidR="004851C8">
        <w:t xml:space="preserve"> a ostatní veřejné rozpočty. </w:t>
      </w:r>
      <w:r w:rsidR="00A63FA9">
        <w:t xml:space="preserve">Periodický přezkum trvání vazby z úřední povinnosti je </w:t>
      </w:r>
      <w:r w:rsidR="00DC387D">
        <w:t xml:space="preserve">již dlouhodobě zaveden pro dospělé obviněné, přičemž se navrhuje, aby </w:t>
      </w:r>
      <w:r w:rsidR="00DF3F6C">
        <w:t xml:space="preserve">se okruh obviněných, u nichž se periodický přezkum uplatní, rozšířil o mladistvé stíhané pro zvlášť </w:t>
      </w:r>
      <w:r w:rsidR="00370B4C">
        <w:t>závažné</w:t>
      </w:r>
      <w:r w:rsidR="00DF3F6C">
        <w:t xml:space="preserve"> provinění. </w:t>
      </w:r>
      <w:r w:rsidR="00C02F21">
        <w:t>Počet mladistvých</w:t>
      </w:r>
      <w:r w:rsidR="00966842">
        <w:t xml:space="preserve"> vzatých do vazby v řízení o zvlášť závažném provinění </w:t>
      </w:r>
      <w:r w:rsidR="00C02F21">
        <w:t>přitom není vysoký</w:t>
      </w:r>
      <w:r w:rsidR="00902A89">
        <w:t xml:space="preserve">. </w:t>
      </w:r>
      <w:r w:rsidR="00902A89" w:rsidRPr="00900432">
        <w:t xml:space="preserve">Dle údajů Vězeňské služby České republiky </w:t>
      </w:r>
      <w:r w:rsidR="00311178" w:rsidRPr="00900432">
        <w:t xml:space="preserve">za rok 2024 činil </w:t>
      </w:r>
      <w:r w:rsidR="00902A89" w:rsidRPr="00900432">
        <w:t>počet mladistvých o</w:t>
      </w:r>
      <w:r w:rsidR="00385691" w:rsidRPr="00900432">
        <w:t xml:space="preserve">bviněných ve výkonu vazby </w:t>
      </w:r>
      <w:r w:rsidR="001C5854" w:rsidRPr="00900432">
        <w:t xml:space="preserve">průměrně </w:t>
      </w:r>
      <w:r w:rsidR="00311178" w:rsidRPr="00900432">
        <w:t xml:space="preserve">cca </w:t>
      </w:r>
      <w:r w:rsidR="001C5854" w:rsidRPr="00900432">
        <w:t>3</w:t>
      </w:r>
      <w:r w:rsidR="00915529" w:rsidRPr="00900432">
        <w:t>1</w:t>
      </w:r>
      <w:r w:rsidR="001C5854" w:rsidRPr="00900432">
        <w:t xml:space="preserve"> osob měsíčně</w:t>
      </w:r>
      <w:r w:rsidR="00311178" w:rsidRPr="00900432">
        <w:t xml:space="preserve">. </w:t>
      </w:r>
      <w:r w:rsidR="00E2130F" w:rsidRPr="00900432">
        <w:t xml:space="preserve">Lze </w:t>
      </w:r>
      <w:r w:rsidR="00900432">
        <w:t>předpoklád</w:t>
      </w:r>
      <w:r w:rsidR="00C87EB6">
        <w:t>at</w:t>
      </w:r>
      <w:r w:rsidR="00E2130F" w:rsidRPr="00900432">
        <w:t xml:space="preserve">, že </w:t>
      </w:r>
      <w:r w:rsidR="00DB68F5" w:rsidRPr="00900432">
        <w:t xml:space="preserve">vzhledem k </w:t>
      </w:r>
      <w:r w:rsidR="00E2130F" w:rsidRPr="00900432">
        <w:t>závažnosti zásahu</w:t>
      </w:r>
      <w:r w:rsidR="006B76F8" w:rsidRPr="00900432">
        <w:t>, který vazba ve vztahu k osobní svobodě představuje, a smyslu a účelu zákona o soudnictví ve</w:t>
      </w:r>
      <w:r w:rsidR="00EA7258">
        <w:t> </w:t>
      </w:r>
      <w:r w:rsidR="006B76F8" w:rsidRPr="00900432">
        <w:t>věcech mládeže</w:t>
      </w:r>
      <w:r w:rsidR="00DB68F5" w:rsidRPr="00900432">
        <w:t xml:space="preserve"> bude většina z vazebně stíhaných mladistvých stíhána pro zvlášť závažné provinění. </w:t>
      </w:r>
      <w:r w:rsidR="00900432">
        <w:t>Okruh obviněných, u nichž se uplatní periodický přezkum vazby, se tedy rozšíří maximálně o nižší desítky osob.</w:t>
      </w:r>
      <w:r w:rsidR="00DB68F5">
        <w:t xml:space="preserve"> </w:t>
      </w:r>
    </w:p>
    <w:p w14:paraId="6542325D" w14:textId="2D5C6D8B" w:rsidR="002E6EBC" w:rsidRDefault="00B52C23" w:rsidP="00EA7258">
      <w:r w:rsidRPr="00B52C23">
        <w:t>Periodický přezkum z úřední povinnosti má</w:t>
      </w:r>
      <w:r w:rsidR="00A367C2">
        <w:t xml:space="preserve"> přitom</w:t>
      </w:r>
      <w:r w:rsidRPr="00B52C23">
        <w:t xml:space="preserve"> subsidiární charakter a uplatní se pouze tehdy, pokud v posledních třech měsících nebylo o vazbě rozhodnuto jiným způsobem (např.</w:t>
      </w:r>
      <w:r w:rsidR="00EA7258">
        <w:t> </w:t>
      </w:r>
      <w:r w:rsidRPr="00B52C23">
        <w:t>rozhodnutím o prodloužení vazby).</w:t>
      </w:r>
      <w:r w:rsidR="002E6EBC">
        <w:t xml:space="preserve"> </w:t>
      </w:r>
      <w:r w:rsidR="00AC4070">
        <w:t>Pokud tedy budou orgány činné v trestním řízení včas rozhodovat o prodloužení vazby,</w:t>
      </w:r>
      <w:r w:rsidR="005E6BB3">
        <w:t xml:space="preserve"> </w:t>
      </w:r>
      <w:r w:rsidR="00980761">
        <w:t xml:space="preserve">lze v praxi očekávat, že </w:t>
      </w:r>
      <w:r w:rsidR="005E6BB3">
        <w:t>při využití maximální možné doby trvání vazby (tj. 18 měsíců) se</w:t>
      </w:r>
      <w:r w:rsidR="00AC4070">
        <w:t xml:space="preserve"> periodický přezkum </w:t>
      </w:r>
      <w:r w:rsidR="00A367C2">
        <w:t xml:space="preserve">provede </w:t>
      </w:r>
      <w:r w:rsidR="00CF77DE">
        <w:t>maximálně 3krát až 4krát</w:t>
      </w:r>
      <w:r w:rsidR="00980761">
        <w:t>, a</w:t>
      </w:r>
      <w:r w:rsidR="00A367C2">
        <w:t> </w:t>
      </w:r>
      <w:r w:rsidR="00980761">
        <w:t xml:space="preserve">to </w:t>
      </w:r>
      <w:r w:rsidR="00A26034">
        <w:t>v</w:t>
      </w:r>
      <w:r w:rsidR="004F3FE1">
        <w:t> </w:t>
      </w:r>
      <w:r w:rsidR="00A26034">
        <w:t xml:space="preserve">závislosti </w:t>
      </w:r>
      <w:r w:rsidR="00980761">
        <w:t>na okamžiku podání obžaloby</w:t>
      </w:r>
      <w:r w:rsidR="00A26034">
        <w:t xml:space="preserve">. </w:t>
      </w:r>
      <w:r w:rsidR="00A463C4">
        <w:t xml:space="preserve">Rozhodování o periodickém přezkumu trvání vazby bude přitom rozloženo mezi </w:t>
      </w:r>
      <w:r w:rsidR="004A66BA">
        <w:t xml:space="preserve">všechny soudy, neboť o periodickém přezkumu rozhoduje vždy soud příslušný dle okolností konkrétního případu a </w:t>
      </w:r>
      <w:r w:rsidR="00B70D36">
        <w:t xml:space="preserve">dle konkrétní </w:t>
      </w:r>
      <w:r w:rsidR="004A66BA">
        <w:t xml:space="preserve">fáze řízení. </w:t>
      </w:r>
      <w:r w:rsidR="00384998">
        <w:t xml:space="preserve">V souvislosti s přijetím navrhované úpravy tedy nelze předpokládat </w:t>
      </w:r>
      <w:r>
        <w:t>nepřiměřené zatížení</w:t>
      </w:r>
      <w:r w:rsidR="00384998">
        <w:t xml:space="preserve"> soudní soustavy</w:t>
      </w:r>
      <w:r w:rsidR="00362928">
        <w:t xml:space="preserve"> či</w:t>
      </w:r>
      <w:r w:rsidR="004F3FE1">
        <w:t> </w:t>
      </w:r>
      <w:r w:rsidR="00362928">
        <w:t>některých jejích článků</w:t>
      </w:r>
      <w:r w:rsidR="00384998">
        <w:t>.</w:t>
      </w:r>
      <w:r w:rsidR="00F53127">
        <w:t xml:space="preserve"> </w:t>
      </w:r>
      <w:r w:rsidR="00B70D36">
        <w:t>Zároveň by orgány činné v trestním řízení měly již v</w:t>
      </w:r>
      <w:r w:rsidR="0074648D">
        <w:t> </w:t>
      </w:r>
      <w:r w:rsidR="00B70D36">
        <w:t>současnosti</w:t>
      </w:r>
      <w:r w:rsidR="0074648D">
        <w:t xml:space="preserve"> v každé fázi trestního stíhání posuzovat, zda důvody vazby</w:t>
      </w:r>
      <w:r w:rsidR="00362928">
        <w:t xml:space="preserve"> mladistvého stíhaného pro zvlášť závažn</w:t>
      </w:r>
      <w:r w:rsidR="00A75C19">
        <w:t>é provinění</w:t>
      </w:r>
      <w:r w:rsidR="0074648D">
        <w:t xml:space="preserve"> trvají nebo zda se nezměnily; </w:t>
      </w:r>
      <w:r w:rsidR="00A75C19">
        <w:t>výslovným zakotvením periodického přezkumu tak pouze dojde k formalizování tohoto po</w:t>
      </w:r>
      <w:r w:rsidR="008B66F6">
        <w:t xml:space="preserve">suzování pro určité </w:t>
      </w:r>
      <w:r w:rsidR="007B7F38">
        <w:t xml:space="preserve">okamžiky v průběhu </w:t>
      </w:r>
      <w:r w:rsidR="007B7F38">
        <w:lastRenderedPageBreak/>
        <w:t>trestního řízení.</w:t>
      </w:r>
      <w:r w:rsidR="00B70D36">
        <w:t xml:space="preserve"> </w:t>
      </w:r>
      <w:r w:rsidR="00D07193">
        <w:t xml:space="preserve">Nelze proto předpokládat, že </w:t>
      </w:r>
      <w:r w:rsidR="00A20ED9">
        <w:t>si</w:t>
      </w:r>
      <w:r w:rsidR="00D07193">
        <w:t xml:space="preserve"> přijetí této úpravy </w:t>
      </w:r>
      <w:r w:rsidR="00A20ED9">
        <w:t xml:space="preserve">vyžádá </w:t>
      </w:r>
      <w:r w:rsidR="00D83B58" w:rsidRPr="00510381">
        <w:rPr>
          <w:szCs w:val="24"/>
        </w:rPr>
        <w:t>zvýš</w:t>
      </w:r>
      <w:r w:rsidR="00A20ED9">
        <w:rPr>
          <w:szCs w:val="24"/>
        </w:rPr>
        <w:t>ení</w:t>
      </w:r>
      <w:r w:rsidR="00D83B58" w:rsidRPr="00510381">
        <w:rPr>
          <w:szCs w:val="24"/>
        </w:rPr>
        <w:t xml:space="preserve"> finanční</w:t>
      </w:r>
      <w:r w:rsidR="00A20ED9">
        <w:rPr>
          <w:szCs w:val="24"/>
        </w:rPr>
        <w:t>ch, příp. i personálních,</w:t>
      </w:r>
      <w:r w:rsidR="00D83B58" w:rsidRPr="00510381">
        <w:rPr>
          <w:szCs w:val="24"/>
        </w:rPr>
        <w:t xml:space="preserve"> náklad</w:t>
      </w:r>
      <w:r w:rsidR="00A20ED9">
        <w:rPr>
          <w:szCs w:val="24"/>
        </w:rPr>
        <w:t>ů</w:t>
      </w:r>
      <w:r w:rsidR="00D83B58" w:rsidRPr="00510381">
        <w:rPr>
          <w:szCs w:val="24"/>
        </w:rPr>
        <w:t xml:space="preserve"> orgánů činných v trestním řízení</w:t>
      </w:r>
      <w:r w:rsidR="007B7F38">
        <w:rPr>
          <w:szCs w:val="24"/>
        </w:rPr>
        <w:t>.</w:t>
      </w:r>
    </w:p>
    <w:p w14:paraId="3D2631C8" w14:textId="7D5092C1" w:rsidR="00F5214A" w:rsidRDefault="00F5214A" w:rsidP="00EA7258">
      <w:r>
        <w:t>Navrhovaná právní úprava není spojena s dopady na podnikatelské prostředí.</w:t>
      </w:r>
    </w:p>
    <w:p w14:paraId="075A7CFC" w14:textId="77777777" w:rsidR="00DD0601" w:rsidRDefault="00DD0601" w:rsidP="00EA7258"/>
    <w:p w14:paraId="728423EE" w14:textId="74B578C4" w:rsidR="009F105B" w:rsidRDefault="009F105B" w:rsidP="009F105B">
      <w:pPr>
        <w:pStyle w:val="Nadpis2"/>
      </w:pPr>
      <w:r>
        <w:t>Z</w:t>
      </w:r>
      <w:r w:rsidRPr="00821309">
        <w:t xml:space="preserve">hodnocení, zda návrhem zákona není zakládána </w:t>
      </w:r>
      <w:r w:rsidRPr="009224FE">
        <w:t>veřejná podpora</w:t>
      </w:r>
    </w:p>
    <w:p w14:paraId="0D7B9015" w14:textId="28638771" w:rsidR="009F105B" w:rsidRDefault="002E6DFC" w:rsidP="009F105B">
      <w:r>
        <w:t>N</w:t>
      </w:r>
      <w:r w:rsidR="00E608CA">
        <w:t>avrhovaná právní úprava nezakládá veřejnou podporu.</w:t>
      </w:r>
    </w:p>
    <w:p w14:paraId="3E53E7B6" w14:textId="77777777" w:rsidR="00E608CA" w:rsidRPr="009F105B" w:rsidRDefault="00E608CA" w:rsidP="009F105B"/>
    <w:p w14:paraId="113B09C6" w14:textId="41B7A5FD" w:rsidR="009F105B" w:rsidRPr="009F105B" w:rsidRDefault="009F105B" w:rsidP="00EA7258">
      <w:pPr>
        <w:keepNext/>
        <w:keepLines/>
        <w:outlineLvl w:val="1"/>
        <w:rPr>
          <w:b/>
          <w:bCs/>
        </w:rPr>
      </w:pPr>
      <w:r w:rsidRPr="009F105B">
        <w:rPr>
          <w:b/>
          <w:bCs/>
        </w:rPr>
        <w:t>Zhodnocení dopadů na práva a povinnosti fyzických a právnických osob</w:t>
      </w:r>
    </w:p>
    <w:p w14:paraId="2137B7A8" w14:textId="124EF5DD" w:rsidR="00687C3C" w:rsidRDefault="00C605A3" w:rsidP="00CF7510">
      <w:pPr>
        <w:pStyle w:val="Bezmezer"/>
        <w:spacing w:before="120"/>
      </w:pPr>
      <w:r>
        <w:t xml:space="preserve">Navrhovaná právní úprava </w:t>
      </w:r>
      <w:r w:rsidR="00F70667">
        <w:t>přiznává</w:t>
      </w:r>
      <w:r>
        <w:t xml:space="preserve"> mladistv</w:t>
      </w:r>
      <w:r w:rsidR="00A277CD">
        <w:t>ý</w:t>
      </w:r>
      <w:r w:rsidR="00F70667">
        <w:t>m</w:t>
      </w:r>
      <w:r>
        <w:t xml:space="preserve"> obviněn</w:t>
      </w:r>
      <w:r w:rsidR="00A277CD">
        <w:t>ý</w:t>
      </w:r>
      <w:r w:rsidR="00F70667">
        <w:t>m</w:t>
      </w:r>
      <w:r>
        <w:t>, kteří jsou stíháni pro zvlášť závažné proviněn</w:t>
      </w:r>
      <w:r w:rsidR="00A277CD">
        <w:t>í</w:t>
      </w:r>
      <w:r w:rsidR="00F70667">
        <w:t xml:space="preserve">, právo </w:t>
      </w:r>
      <w:r w:rsidR="00737105">
        <w:t>na pravidelné přezkoumání dalšího trvání vazby z úřední povinnosti</w:t>
      </w:r>
      <w:r w:rsidR="00A277CD">
        <w:t xml:space="preserve">. Zavedením periodického přezkumu vazby </w:t>
      </w:r>
      <w:r w:rsidR="00862366">
        <w:t xml:space="preserve">tak </w:t>
      </w:r>
      <w:r w:rsidR="00C9204C" w:rsidRPr="00C9204C">
        <w:t xml:space="preserve">dochází k </w:t>
      </w:r>
      <w:r w:rsidR="009D358D">
        <w:t>rozšíření</w:t>
      </w:r>
      <w:r w:rsidR="00C9204C" w:rsidRPr="00C9204C">
        <w:t xml:space="preserve"> </w:t>
      </w:r>
      <w:r w:rsidR="004F38E7">
        <w:t>procesních</w:t>
      </w:r>
      <w:r w:rsidR="00C9204C" w:rsidRPr="00C9204C">
        <w:t xml:space="preserve"> práv mladistvých</w:t>
      </w:r>
      <w:r w:rsidR="00C35C02">
        <w:t xml:space="preserve"> obviněných</w:t>
      </w:r>
      <w:r w:rsidR="00862366">
        <w:t xml:space="preserve"> a</w:t>
      </w:r>
      <w:r w:rsidR="00C35C02">
        <w:t> </w:t>
      </w:r>
      <w:r w:rsidR="00862366">
        <w:t>k</w:t>
      </w:r>
      <w:r w:rsidR="00C35C02">
        <w:t> </w:t>
      </w:r>
      <w:r w:rsidR="00862366">
        <w:t>posílení ochrany jejich základních práv,</w:t>
      </w:r>
      <w:r w:rsidR="00C9204C" w:rsidRPr="00C9204C">
        <w:t xml:space="preserve"> zejména práva na osobní svobodu.</w:t>
      </w:r>
    </w:p>
    <w:p w14:paraId="6DE8EEE8" w14:textId="29AC32AD" w:rsidR="009F105B" w:rsidRDefault="00062174" w:rsidP="00CF7510">
      <w:pPr>
        <w:pStyle w:val="Bezmezer"/>
        <w:spacing w:before="120"/>
      </w:pPr>
      <w:r>
        <w:t>Do</w:t>
      </w:r>
      <w:r w:rsidR="00A278BB">
        <w:t xml:space="preserve"> práv a povinnost</w:t>
      </w:r>
      <w:r>
        <w:t xml:space="preserve">í </w:t>
      </w:r>
      <w:r w:rsidR="00687C3C">
        <w:t>právnický</w:t>
      </w:r>
      <w:r w:rsidR="00A278BB">
        <w:t>ch</w:t>
      </w:r>
      <w:r w:rsidR="00687C3C">
        <w:t xml:space="preserve"> osob a jiný</w:t>
      </w:r>
      <w:r w:rsidR="00A278BB">
        <w:t>ch</w:t>
      </w:r>
      <w:r w:rsidR="00687C3C">
        <w:t xml:space="preserve"> fyzický</w:t>
      </w:r>
      <w:r w:rsidR="00A278BB">
        <w:t>ch</w:t>
      </w:r>
      <w:r w:rsidR="00687C3C">
        <w:t xml:space="preserve"> osob</w:t>
      </w:r>
      <w:r w:rsidR="0006511C">
        <w:t>, než jsou mladiství obvinění, n</w:t>
      </w:r>
      <w:r w:rsidR="00687C3C" w:rsidRPr="00687C3C">
        <w:t xml:space="preserve">avrhovaná </w:t>
      </w:r>
      <w:r w:rsidR="0006511C">
        <w:t xml:space="preserve">právní </w:t>
      </w:r>
      <w:r w:rsidR="00687C3C" w:rsidRPr="00687C3C">
        <w:t xml:space="preserve">úprava </w:t>
      </w:r>
      <w:r>
        <w:t>nezasahuje</w:t>
      </w:r>
      <w:r w:rsidR="0006511C">
        <w:t>.</w:t>
      </w:r>
    </w:p>
    <w:p w14:paraId="0D9107A4" w14:textId="77777777" w:rsidR="00CF00BA" w:rsidRDefault="00CF00BA" w:rsidP="00CF7510">
      <w:pPr>
        <w:pStyle w:val="Bezmezer"/>
        <w:spacing w:before="120"/>
      </w:pPr>
    </w:p>
    <w:p w14:paraId="317EE86E" w14:textId="0E3E9085" w:rsidR="00FE67B4" w:rsidRPr="00510381" w:rsidRDefault="00FE67B4" w:rsidP="00EA7258">
      <w:pPr>
        <w:keepNext/>
        <w:keepLines/>
        <w:outlineLvl w:val="1"/>
        <w:rPr>
          <w:rFonts w:eastAsiaTheme="majorEastAsia"/>
          <w:b/>
          <w:bCs/>
          <w:szCs w:val="24"/>
        </w:rPr>
      </w:pPr>
      <w:r w:rsidRPr="00510381">
        <w:rPr>
          <w:rFonts w:eastAsiaTheme="majorEastAsia"/>
          <w:b/>
          <w:bCs/>
          <w:szCs w:val="24"/>
        </w:rPr>
        <w:t>Zhodnocení sociálních dopadů, včetně dopadů na specifické skupiny obyvatel, zejména osoby sociálně slabé, osoby se zdravotním postižením a národnostní menšiny, dopadů na ochranu práv dětí a dopadů na rodiny, zejména s ohledem na plnění funkcí rodiny, s ohledem na počet vyživovaných členů, na případnou přítomnost hendikepovaných členů a rodiny samoživitelů, rodiny se třemi a více dětmi a další specifické životní situace, dále s ohledem na posílení integrity a stability rodiny a posílení rodinné harmonie, lepší rovnováhy mezi prací a rodinou a na posílení mezigeneračních a širších příbuzenských vztahů</w:t>
      </w:r>
    </w:p>
    <w:p w14:paraId="52DB2A53" w14:textId="1BC6EB68" w:rsidR="00FE67B4" w:rsidRDefault="008F1C0C" w:rsidP="00EA7258">
      <w:r>
        <w:t xml:space="preserve">Navrhovaná právní úprava není spojena s negativními sociálními dopady, dopady na specifické skupiny obyvatel, děti a na rodiny. </w:t>
      </w:r>
      <w:r w:rsidR="00C24C9F">
        <w:t>Navrhovaná ú</w:t>
      </w:r>
      <w:r>
        <w:t xml:space="preserve">prava naopak posiluje </w:t>
      </w:r>
      <w:r w:rsidR="00E93154">
        <w:t>ochranu práv</w:t>
      </w:r>
      <w:r>
        <w:t xml:space="preserve"> dětí, resp.</w:t>
      </w:r>
      <w:r w:rsidR="00EA7258">
        <w:t> </w:t>
      </w:r>
      <w:r>
        <w:t>mladistvých,</w:t>
      </w:r>
      <w:r w:rsidR="005F3345">
        <w:t xml:space="preserve"> v</w:t>
      </w:r>
      <w:r w:rsidR="00C24C9F">
        <w:t xml:space="preserve"> řízení o vazbě, neboť mladistvému zaručuje, že trvání </w:t>
      </w:r>
      <w:r w:rsidR="005C2E9F">
        <w:t xml:space="preserve">důvodů </w:t>
      </w:r>
      <w:r w:rsidR="005B0A71">
        <w:t xml:space="preserve">vazby </w:t>
      </w:r>
      <w:r w:rsidR="00AF7EAC">
        <w:t xml:space="preserve">bude vždy </w:t>
      </w:r>
      <w:r w:rsidR="00FA5C36">
        <w:t>nejpozději</w:t>
      </w:r>
      <w:r w:rsidR="00AF7EAC">
        <w:t xml:space="preserve"> každé tři měsíce přezkoumáno. Tento přezkum je přitom iniciován z úřední povinnosti, </w:t>
      </w:r>
      <w:r w:rsidR="005C2E9F">
        <w:t xml:space="preserve">další </w:t>
      </w:r>
      <w:r w:rsidR="00780046">
        <w:t>trvání vazby tak bude přezkoumáno</w:t>
      </w:r>
      <w:r w:rsidR="00FA5C36">
        <w:t xml:space="preserve"> i v případě procesní neaktivity mladistvého</w:t>
      </w:r>
      <w:r w:rsidR="00780046">
        <w:t>, resp. jeho obhájce.</w:t>
      </w:r>
      <w:r w:rsidR="00FA5C36">
        <w:t xml:space="preserve"> </w:t>
      </w:r>
      <w:r w:rsidR="00A4737C">
        <w:t xml:space="preserve"> </w:t>
      </w:r>
    </w:p>
    <w:p w14:paraId="690321C7" w14:textId="77777777" w:rsidR="00FE67B4" w:rsidRDefault="00FE67B4" w:rsidP="00EA7258"/>
    <w:p w14:paraId="4DF34240" w14:textId="77777777" w:rsidR="00FE67B4" w:rsidRPr="00510381" w:rsidRDefault="00FE67B4" w:rsidP="00EA7258">
      <w:pPr>
        <w:keepNext/>
        <w:keepLines/>
        <w:outlineLvl w:val="1"/>
        <w:rPr>
          <w:rFonts w:eastAsiaTheme="majorEastAsia"/>
          <w:b/>
          <w:bCs/>
          <w:szCs w:val="24"/>
        </w:rPr>
      </w:pPr>
      <w:r w:rsidRPr="00510381">
        <w:rPr>
          <w:rFonts w:eastAsiaTheme="majorEastAsia"/>
          <w:b/>
          <w:bCs/>
          <w:szCs w:val="24"/>
        </w:rPr>
        <w:t>Zhodnocení dopadů stávající úpravy a navrhovaného řešení ve vztahu k zákazu diskriminace a ve vztahu k rovnosti mužů a žen</w:t>
      </w:r>
    </w:p>
    <w:p w14:paraId="2313E98B" w14:textId="31E11AC4" w:rsidR="00FE67B4" w:rsidRDefault="00277AA7" w:rsidP="00EA7258">
      <w:pPr>
        <w:rPr>
          <w:szCs w:val="24"/>
        </w:rPr>
      </w:pPr>
      <w:r w:rsidRPr="00510381">
        <w:rPr>
          <w:szCs w:val="24"/>
        </w:rPr>
        <w:t>Stávající ani navrhovaná právní úprava nemá bezprostřední dopady na rovnost mužů a žen a nevede k diskriminaci jednoho z pohlaví, neboť nijak nerozlišuje, ani nezvýhodňuje jedno z pohlaví a nestanoví pro ně odlišné podmínky –</w:t>
      </w:r>
      <w:r>
        <w:rPr>
          <w:szCs w:val="24"/>
        </w:rPr>
        <w:t xml:space="preserve"> do vazby lze za splnění </w:t>
      </w:r>
      <w:r w:rsidR="002E2431">
        <w:rPr>
          <w:szCs w:val="24"/>
        </w:rPr>
        <w:t xml:space="preserve">zákonných </w:t>
      </w:r>
      <w:r>
        <w:rPr>
          <w:szCs w:val="24"/>
        </w:rPr>
        <w:t>podmínek vzít každého bez ohledu na jeho pohlaví.</w:t>
      </w:r>
    </w:p>
    <w:p w14:paraId="370FFA5C" w14:textId="67DA3E5B" w:rsidR="00277AA7" w:rsidRDefault="00C82505" w:rsidP="00EA7258">
      <w:pPr>
        <w:rPr>
          <w:szCs w:val="24"/>
        </w:rPr>
      </w:pPr>
      <w:r>
        <w:rPr>
          <w:szCs w:val="24"/>
        </w:rPr>
        <w:t>N</w:t>
      </w:r>
      <w:r w:rsidR="001D173E">
        <w:rPr>
          <w:szCs w:val="24"/>
        </w:rPr>
        <w:t xml:space="preserve">avrhovaná právní úprava </w:t>
      </w:r>
      <w:r w:rsidR="00716B5E">
        <w:rPr>
          <w:szCs w:val="24"/>
        </w:rPr>
        <w:t xml:space="preserve">odstraňuje </w:t>
      </w:r>
      <w:r w:rsidR="00E01F84">
        <w:rPr>
          <w:szCs w:val="24"/>
        </w:rPr>
        <w:t xml:space="preserve">Evropským soudem pro lidská práva vytýkané </w:t>
      </w:r>
      <w:r w:rsidR="00561CF6">
        <w:rPr>
          <w:szCs w:val="24"/>
        </w:rPr>
        <w:t xml:space="preserve">diskriminační zacházení s vazebně stíhanými </w:t>
      </w:r>
      <w:r w:rsidR="00E01F84">
        <w:rPr>
          <w:szCs w:val="24"/>
        </w:rPr>
        <w:t xml:space="preserve">mladistvými. </w:t>
      </w:r>
      <w:r>
        <w:rPr>
          <w:szCs w:val="24"/>
        </w:rPr>
        <w:t xml:space="preserve"> </w:t>
      </w:r>
    </w:p>
    <w:p w14:paraId="766B4FF9" w14:textId="77777777" w:rsidR="007E6CEC" w:rsidRDefault="007E6CEC" w:rsidP="00EA7258"/>
    <w:p w14:paraId="5BD4F9A7" w14:textId="291CB25E" w:rsidR="00FE67B4" w:rsidRPr="005B4C54" w:rsidRDefault="00FE67B4" w:rsidP="005B4C54">
      <w:pPr>
        <w:keepNext/>
        <w:keepLines/>
        <w:outlineLvl w:val="1"/>
        <w:rPr>
          <w:rFonts w:eastAsiaTheme="majorEastAsia"/>
          <w:b/>
          <w:bCs/>
          <w:szCs w:val="24"/>
        </w:rPr>
      </w:pPr>
      <w:r w:rsidRPr="00510381">
        <w:rPr>
          <w:rFonts w:eastAsiaTheme="majorEastAsia"/>
          <w:b/>
          <w:bCs/>
          <w:szCs w:val="24"/>
        </w:rPr>
        <w:lastRenderedPageBreak/>
        <w:t>Zhodnocení dopadů navrhovaného řešení ve vztahu k ochraně soukromí a osobních údajů</w:t>
      </w:r>
    </w:p>
    <w:p w14:paraId="38599DEB" w14:textId="28F3F07F" w:rsidR="00FE67B4" w:rsidRDefault="00B248DB" w:rsidP="00EA7258">
      <w:r>
        <w:t>Navržená úprava není spojena s rozšířením okruhu zpracovávaných dat orgány činnými v</w:t>
      </w:r>
      <w:r w:rsidR="00270A58">
        <w:t> </w:t>
      </w:r>
      <w:r>
        <w:t xml:space="preserve">trestním řízení, nepřináší žádný nový druh zpracování osobních údajů a ani nerozšiřuje okruh zpracovávaných údajů. </w:t>
      </w:r>
    </w:p>
    <w:p w14:paraId="3C1D6BC1" w14:textId="2F29D6D4" w:rsidR="00B13318" w:rsidRDefault="00B13318" w:rsidP="00EA7258">
      <w:pPr>
        <w:rPr>
          <w:rFonts w:eastAsiaTheme="minorHAnsi"/>
          <w:szCs w:val="24"/>
        </w:rPr>
      </w:pPr>
      <w:r>
        <w:t xml:space="preserve">Předložený návrh v této oblasti stávající úpravu nijak nemění, dopady na problematiku ochrany soukromí a osobních údajů se nepředpokládají. Orgány činné v trestním řízení budou </w:t>
      </w:r>
      <w:r w:rsidR="002E2431">
        <w:t xml:space="preserve">i nadále </w:t>
      </w:r>
      <w:r>
        <w:t xml:space="preserve">postupovat podle dosavadních procesních pravidel, </w:t>
      </w:r>
      <w:r w:rsidR="008A28BB">
        <w:t>přičemž tato procesní pravidla</w:t>
      </w:r>
      <w:r>
        <w:t xml:space="preserve"> již nyní umožňují v zákonem stanovených případech zasahovat do soukromí osob a pro potřeby </w:t>
      </w:r>
      <w:r w:rsidR="006D58A2">
        <w:t>příslušného</w:t>
      </w:r>
      <w:r>
        <w:t xml:space="preserve"> řízení nakládat s jejich osobními údaji.</w:t>
      </w:r>
      <w:r w:rsidR="006D58A2">
        <w:t xml:space="preserve"> </w:t>
      </w:r>
      <w:r w:rsidR="006D58A2" w:rsidRPr="00510381">
        <w:rPr>
          <w:rFonts w:eastAsiaTheme="minorHAnsi"/>
          <w:bCs/>
          <w:szCs w:val="24"/>
        </w:rPr>
        <w:t>Ve vztahu k mladistvým je p</w:t>
      </w:r>
      <w:r w:rsidR="00A91CDD">
        <w:rPr>
          <w:rFonts w:eastAsiaTheme="minorHAnsi"/>
          <w:bCs/>
          <w:szCs w:val="24"/>
        </w:rPr>
        <w:t>řitom</w:t>
      </w:r>
      <w:r w:rsidR="006D58A2" w:rsidRPr="00510381">
        <w:rPr>
          <w:rFonts w:eastAsiaTheme="minorHAnsi"/>
          <w:bCs/>
          <w:szCs w:val="24"/>
        </w:rPr>
        <w:t xml:space="preserve"> povinnost chránit jejich osobní údaje ještě zdůrazněna v základní zásadě uvedené v § 3 odst. 5 </w:t>
      </w:r>
      <w:r w:rsidR="005B4C54">
        <w:rPr>
          <w:rFonts w:eastAsiaTheme="minorHAnsi"/>
          <w:bCs/>
          <w:szCs w:val="24"/>
        </w:rPr>
        <w:t>ZSVM</w:t>
      </w:r>
      <w:r w:rsidR="006D58A2" w:rsidRPr="00510381">
        <w:rPr>
          <w:rFonts w:eastAsiaTheme="minorHAnsi"/>
          <w:bCs/>
          <w:szCs w:val="24"/>
        </w:rPr>
        <w:t>, podle níž je třeba v řízení podle tohoto zákona chránit osobní údaje osoby, proti níž se řízení vede, a její soukromí, aby každá taková osoba byla chráněna před škodlivými vlivy, a</w:t>
      </w:r>
      <w:r w:rsidR="00C35C02">
        <w:rPr>
          <w:rFonts w:eastAsiaTheme="minorHAnsi"/>
          <w:bCs/>
          <w:szCs w:val="24"/>
        </w:rPr>
        <w:t> </w:t>
      </w:r>
      <w:r w:rsidR="006D58A2" w:rsidRPr="00510381">
        <w:rPr>
          <w:rFonts w:eastAsiaTheme="minorHAnsi"/>
          <w:bCs/>
          <w:szCs w:val="24"/>
        </w:rPr>
        <w:t>při</w:t>
      </w:r>
      <w:r w:rsidR="00C35C02">
        <w:rPr>
          <w:rFonts w:eastAsiaTheme="minorHAnsi"/>
          <w:bCs/>
          <w:szCs w:val="24"/>
        </w:rPr>
        <w:t> </w:t>
      </w:r>
      <w:r w:rsidR="006D58A2" w:rsidRPr="00510381">
        <w:rPr>
          <w:rFonts w:eastAsiaTheme="minorHAnsi"/>
          <w:bCs/>
          <w:szCs w:val="24"/>
        </w:rPr>
        <w:t>dodržení zásady, že je považována za nevinnou, dokud její vina nebyla prokázána zákonným způsobem</w:t>
      </w:r>
      <w:r w:rsidR="006D58A2" w:rsidRPr="00510381">
        <w:rPr>
          <w:rFonts w:eastAsiaTheme="minorHAnsi"/>
          <w:szCs w:val="24"/>
        </w:rPr>
        <w:t>.</w:t>
      </w:r>
    </w:p>
    <w:p w14:paraId="37A8DCC0" w14:textId="77777777" w:rsidR="00270A58" w:rsidRDefault="00270A58" w:rsidP="00EA7258"/>
    <w:p w14:paraId="35AD86DF" w14:textId="77777777" w:rsidR="00FE67B4" w:rsidRPr="00510381" w:rsidRDefault="00FE67B4" w:rsidP="00EA7258">
      <w:pPr>
        <w:keepNext/>
        <w:keepLines/>
        <w:outlineLvl w:val="1"/>
        <w:rPr>
          <w:rFonts w:eastAsiaTheme="majorEastAsia"/>
          <w:b/>
          <w:bCs/>
          <w:szCs w:val="24"/>
        </w:rPr>
      </w:pPr>
      <w:r w:rsidRPr="00510381">
        <w:rPr>
          <w:rFonts w:eastAsiaTheme="majorEastAsia"/>
          <w:b/>
          <w:bCs/>
          <w:szCs w:val="24"/>
        </w:rPr>
        <w:t>Zhodnocení korupčních rizik</w:t>
      </w:r>
    </w:p>
    <w:p w14:paraId="3B095354" w14:textId="57266FBB" w:rsidR="00D321DC" w:rsidRPr="00510381" w:rsidRDefault="00D321DC" w:rsidP="00EA7258">
      <w:pPr>
        <w:rPr>
          <w:bCs/>
          <w:szCs w:val="24"/>
        </w:rPr>
      </w:pPr>
      <w:r w:rsidRPr="00510381">
        <w:rPr>
          <w:bCs/>
          <w:szCs w:val="24"/>
        </w:rPr>
        <w:t>Navrhovaná právní úprava není spojena s vyššími korupčními riziky, než kterým čelí státní orgány obecně již dnes. Korupční riziko pro ně t</w:t>
      </w:r>
      <w:r w:rsidR="00F67DCC">
        <w:rPr>
          <w:bCs/>
          <w:szCs w:val="24"/>
        </w:rPr>
        <w:t>edy</w:t>
      </w:r>
      <w:r w:rsidRPr="00510381">
        <w:rPr>
          <w:bCs/>
          <w:szCs w:val="24"/>
        </w:rPr>
        <w:t xml:space="preserve"> není nové, je přítomno i při aplikaci stávající účinné právní úpravy. Prostředky ochrany proti tomuto riziku jsou tudíž obsaženy již ve stávající právní úpravě. Předně jsou to zákonné požadavky a postupy při výběru osoby státního zástupce a soudce, u nichž jsou kladeny zvýšené nároky na jejich morální integritu a osobnostní záruky. Dále jsou to pak určité mechanismy kontroly, jež v přípravném řízení spočívají zejména ve výkonu dozoru státního zástupce nad zákonností postupu policejního orgánu a ve výkonu dohledu vyššího státního zastupitelství nad nižším státním zastupitelstvím (a případně dohledu nad dohledem) </w:t>
      </w:r>
      <w:r w:rsidRPr="00510381">
        <w:rPr>
          <w:bCs/>
          <w:szCs w:val="24"/>
          <w:lang w:eastAsia="cs-CZ"/>
        </w:rPr>
        <w:t xml:space="preserve">a v soudní fázi řízení </w:t>
      </w:r>
      <w:r w:rsidRPr="00510381">
        <w:rPr>
          <w:bCs/>
          <w:szCs w:val="24"/>
        </w:rPr>
        <w:t>pak v systému řádných a mimořádných opravných prostředků.</w:t>
      </w:r>
    </w:p>
    <w:p w14:paraId="6FCE9734" w14:textId="499A16D0" w:rsidR="00D321DC" w:rsidRPr="00510381" w:rsidRDefault="00D321DC" w:rsidP="00EA7258">
      <w:pPr>
        <w:rPr>
          <w:bCs/>
          <w:szCs w:val="24"/>
        </w:rPr>
      </w:pPr>
      <w:r w:rsidRPr="00510381">
        <w:rPr>
          <w:bCs/>
          <w:szCs w:val="24"/>
        </w:rPr>
        <w:t>Kromě těchto procesních pojistek se čelí tomuto riziku i hrozbou trestního stíhání toho, kdo</w:t>
      </w:r>
      <w:r w:rsidR="00EA7258">
        <w:rPr>
          <w:bCs/>
          <w:szCs w:val="24"/>
        </w:rPr>
        <w:t> </w:t>
      </w:r>
      <w:r w:rsidRPr="00510381">
        <w:rPr>
          <w:bCs/>
          <w:szCs w:val="24"/>
        </w:rPr>
        <w:t xml:space="preserve">úplatek nabídl, poskytl nebo slíbil, jakož i toho, kdo si dal úplatek slíbit nebo jej přijal. </w:t>
      </w:r>
      <w:r w:rsidR="00730FE7">
        <w:rPr>
          <w:bCs/>
          <w:szCs w:val="24"/>
        </w:rPr>
        <w:br/>
      </w:r>
      <w:r w:rsidRPr="00510381">
        <w:rPr>
          <w:bCs/>
          <w:szCs w:val="24"/>
        </w:rPr>
        <w:t xml:space="preserve">Je-li pachatelem trestného činu přijetí úplatku úřední osoba, jde o okolnost podmiňující použití vyšší trestní sazby, kde hrozí trest odnětí svobody ve výši tři léta až deset let (v případě, kdy byl tento trestný čin spáchán v úmyslu opatřit sobě nebo jinému značný prospěch, je dána trestní sazba pět až dvanáct let). V případě podplacení je rovněž skutečnost, že byl tento trestný čin spáchán vůči úřední osobě, okolností podmiňující použití vyšší trestní sazby (pachateli v tomto případě hrozí podle § 332 odst. 2 </w:t>
      </w:r>
      <w:proofErr w:type="spellStart"/>
      <w:r w:rsidRPr="00510381">
        <w:rPr>
          <w:bCs/>
          <w:szCs w:val="24"/>
        </w:rPr>
        <w:t>tr</w:t>
      </w:r>
      <w:proofErr w:type="spellEnd"/>
      <w:r w:rsidRPr="00510381">
        <w:rPr>
          <w:bCs/>
          <w:szCs w:val="24"/>
        </w:rPr>
        <w:t>. zák. trest odnětí svobody ve výši jeden rok až šest let).</w:t>
      </w:r>
    </w:p>
    <w:p w14:paraId="1CCE56A8" w14:textId="77777777" w:rsidR="00FE67B4" w:rsidRDefault="00FE67B4" w:rsidP="00EA7258"/>
    <w:p w14:paraId="515A65E7" w14:textId="77777777" w:rsidR="00FE67B4" w:rsidRPr="00510381" w:rsidRDefault="00FE67B4" w:rsidP="00EA7258">
      <w:pPr>
        <w:keepNext/>
        <w:keepLines/>
        <w:outlineLvl w:val="1"/>
        <w:rPr>
          <w:rFonts w:eastAsiaTheme="majorEastAsia"/>
          <w:b/>
          <w:bCs/>
          <w:szCs w:val="24"/>
        </w:rPr>
      </w:pPr>
      <w:r w:rsidRPr="00510381">
        <w:rPr>
          <w:rFonts w:eastAsiaTheme="majorEastAsia"/>
          <w:b/>
          <w:bCs/>
          <w:szCs w:val="24"/>
        </w:rPr>
        <w:t>Zhodnocení dopadů na bezpečnost nebo obranu státu</w:t>
      </w:r>
    </w:p>
    <w:p w14:paraId="2C2D6C09" w14:textId="31DB3087" w:rsidR="00E46D23" w:rsidRDefault="00B63820" w:rsidP="00EA7258">
      <w:r>
        <w:t>Navrhovaná právní úprava nemá dopady na bezpečnost České republiky a její obranu.</w:t>
      </w:r>
    </w:p>
    <w:p w14:paraId="620F9526" w14:textId="77777777" w:rsidR="006308DD" w:rsidRPr="00E46D23" w:rsidRDefault="006308DD" w:rsidP="00EA7258"/>
    <w:p w14:paraId="772194F0" w14:textId="225FDECC" w:rsidR="00FE67B4" w:rsidRPr="00F4416E" w:rsidRDefault="00FE67B4" w:rsidP="00EA7258">
      <w:pPr>
        <w:pStyle w:val="Nadpis2"/>
      </w:pPr>
      <w:r w:rsidRPr="00F4416E">
        <w:t xml:space="preserve">Zhodnocení dopadů na životní prostředí </w:t>
      </w:r>
    </w:p>
    <w:p w14:paraId="5E5BB53F" w14:textId="77777777" w:rsidR="00FE67B4" w:rsidRPr="00510381" w:rsidRDefault="00FE67B4" w:rsidP="00EA7258">
      <w:pPr>
        <w:rPr>
          <w:szCs w:val="24"/>
        </w:rPr>
      </w:pPr>
      <w:r w:rsidRPr="00510381">
        <w:rPr>
          <w:szCs w:val="24"/>
        </w:rPr>
        <w:t xml:space="preserve">Navrhovaná úprava není spojena s dopady na životní prostředí. </w:t>
      </w:r>
    </w:p>
    <w:p w14:paraId="7F4507AD" w14:textId="77777777" w:rsidR="00FE67B4" w:rsidRPr="00510381" w:rsidRDefault="00FE67B4" w:rsidP="00EA7258">
      <w:pPr>
        <w:rPr>
          <w:szCs w:val="24"/>
        </w:rPr>
      </w:pPr>
    </w:p>
    <w:p w14:paraId="1644773B" w14:textId="77777777" w:rsidR="00FE67B4" w:rsidRPr="00510381" w:rsidRDefault="00FE67B4" w:rsidP="00EA7258">
      <w:pPr>
        <w:pStyle w:val="Nadpis2"/>
        <w:jc w:val="both"/>
      </w:pPr>
      <w:r w:rsidRPr="00510381">
        <w:t>Zhodnocení územních dopadů, včetně dopadů na územní samosprávné celky</w:t>
      </w:r>
    </w:p>
    <w:p w14:paraId="5B9EBDD1" w14:textId="77777777" w:rsidR="00FE67B4" w:rsidRPr="00510381" w:rsidRDefault="00FE67B4" w:rsidP="00EA7258">
      <w:pPr>
        <w:rPr>
          <w:szCs w:val="24"/>
        </w:rPr>
      </w:pPr>
      <w:r w:rsidRPr="00510381">
        <w:rPr>
          <w:szCs w:val="24"/>
        </w:rPr>
        <w:t>Navrhovaná právní úprava se nedotýká postavení územních samosprávných celků a nepřináší územní dopady.</w:t>
      </w:r>
    </w:p>
    <w:p w14:paraId="73E4DB48" w14:textId="77777777" w:rsidR="00FE67B4" w:rsidRPr="00510381" w:rsidRDefault="00FE67B4" w:rsidP="00EA7258">
      <w:pPr>
        <w:rPr>
          <w:b/>
          <w:szCs w:val="24"/>
          <w:lang w:eastAsia="cs-CZ"/>
        </w:rPr>
      </w:pPr>
    </w:p>
    <w:p w14:paraId="2DBD49A0" w14:textId="77777777" w:rsidR="00FE67B4" w:rsidRPr="00510381" w:rsidRDefault="00FE67B4" w:rsidP="00EA7258">
      <w:pPr>
        <w:pStyle w:val="Nadpis2"/>
        <w:jc w:val="both"/>
      </w:pPr>
      <w:r w:rsidRPr="00510381">
        <w:t>Zhodnocení souladu navrhovaného řešení se zásadami tvorby digitálně přívětivé legislativy, včetně zhodnocení rizika vyloučení nebo omezení možnosti přístupu specifických skupin osob k některým službám v důsledku digitalizace jejich poskytování (digitální vyloučení)</w:t>
      </w:r>
    </w:p>
    <w:p w14:paraId="6D291EB4" w14:textId="28907A80" w:rsidR="00910F7D" w:rsidRDefault="00FE67B4" w:rsidP="00DD0601">
      <w:pPr>
        <w:rPr>
          <w:szCs w:val="24"/>
        </w:rPr>
      </w:pPr>
      <w:r w:rsidRPr="00510381">
        <w:rPr>
          <w:szCs w:val="24"/>
        </w:rPr>
        <w:t>Navrhovaná právní úprava neupravuje poskytování služeb, nesouvisí tedy přímo s digitalizací služeb a nemá negativní dopady na možnosti přístupu specifických skupin osob k nim.</w:t>
      </w:r>
    </w:p>
    <w:p w14:paraId="49B8511F" w14:textId="77777777" w:rsidR="00910F7D" w:rsidRDefault="00910F7D">
      <w:pPr>
        <w:spacing w:before="0" w:after="160" w:line="278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4044A9EE" w14:textId="5A2D9B1F" w:rsidR="00FE67B4" w:rsidRDefault="008D6364" w:rsidP="00EA7258">
      <w:pPr>
        <w:pStyle w:val="Nadpis1"/>
      </w:pPr>
      <w:r>
        <w:lastRenderedPageBreak/>
        <w:t>Zvláštní část</w:t>
      </w:r>
    </w:p>
    <w:p w14:paraId="5F1425DA" w14:textId="6F35C212" w:rsidR="00E16007" w:rsidRDefault="00E16007" w:rsidP="00E16007">
      <w:pPr>
        <w:pStyle w:val="Nadpis3"/>
      </w:pPr>
      <w:r w:rsidRPr="00006E7A">
        <w:t>K bod</w:t>
      </w:r>
      <w:r w:rsidR="00083CF9">
        <w:t>ům</w:t>
      </w:r>
      <w:r w:rsidRPr="00006E7A">
        <w:t xml:space="preserve"> 1 </w:t>
      </w:r>
      <w:r>
        <w:t>a 11 (§ 3 odst. 4 a § 89j odst. 1)</w:t>
      </w:r>
    </w:p>
    <w:p w14:paraId="22FD05B2" w14:textId="6BB0F615" w:rsidR="00E16007" w:rsidRDefault="00E16007" w:rsidP="00E16007">
      <w:pPr>
        <w:rPr>
          <w:rFonts w:eastAsia="Times New Roman"/>
          <w:szCs w:val="24"/>
          <w:lang w:eastAsia="cs-CZ"/>
        </w:rPr>
      </w:pPr>
      <w:r w:rsidRPr="00361E66">
        <w:rPr>
          <w:rFonts w:eastAsia="Times New Roman"/>
          <w:szCs w:val="24"/>
          <w:lang w:eastAsia="cs-CZ"/>
        </w:rPr>
        <w:t>Zásadu individualizace v přístupu k</w:t>
      </w:r>
      <w:r>
        <w:rPr>
          <w:rFonts w:eastAsia="Times New Roman"/>
          <w:szCs w:val="24"/>
          <w:lang w:eastAsia="cs-CZ"/>
        </w:rPr>
        <w:t> dětem mladším patnácti let a mladistvým v</w:t>
      </w:r>
      <w:r w:rsidRPr="00361E66">
        <w:rPr>
          <w:rFonts w:eastAsia="Times New Roman"/>
          <w:szCs w:val="24"/>
          <w:lang w:eastAsia="cs-CZ"/>
        </w:rPr>
        <w:t xml:space="preserve"> procesní </w:t>
      </w:r>
      <w:r>
        <w:rPr>
          <w:rFonts w:eastAsia="Times New Roman"/>
          <w:szCs w:val="24"/>
          <w:lang w:eastAsia="cs-CZ"/>
        </w:rPr>
        <w:t>oblasti se navrhuje doplnit o další aspekt, kterým je upřednostnění jiného způsobu vyřízení věci</w:t>
      </w:r>
      <w:r w:rsidR="00DD0C7B">
        <w:rPr>
          <w:rFonts w:eastAsia="Times New Roman"/>
          <w:szCs w:val="24"/>
          <w:lang w:eastAsia="cs-CZ"/>
        </w:rPr>
        <w:t>,</w:t>
      </w:r>
      <w:r>
        <w:rPr>
          <w:rFonts w:eastAsia="Times New Roman"/>
          <w:szCs w:val="24"/>
          <w:lang w:eastAsia="cs-CZ"/>
        </w:rPr>
        <w:t xml:space="preserve"> než je její formální projednání před soudem, pokud tím lze dosáhnout účelu řízení a zajistit dostatečné výchovné působení na dítě mladší patnácti let nebo mladistvého. Upřednostnění méně formálního způsobu vyřízení věci, pokud je možné tímto způsobem zajistit účel řízení, šetří osobnost dítěte a mladistvého, kteří tak nejsou vystaveni stigmatizaci spojené s formálním řízením. Neformální vyřízení věci je rovněž výhodné z hlediska úspory veřejných prostředků </w:t>
      </w:r>
      <w:r>
        <w:rPr>
          <w:rFonts w:eastAsia="Times New Roman"/>
          <w:szCs w:val="24"/>
          <w:lang w:eastAsia="cs-CZ"/>
        </w:rPr>
        <w:br/>
        <w:t xml:space="preserve">a odbřemenění soudů od agendy, kterou je možné řešit jinak. </w:t>
      </w:r>
    </w:p>
    <w:p w14:paraId="4017DD23" w14:textId="59990EA2" w:rsidR="00EA7258" w:rsidRPr="00E16007" w:rsidRDefault="00E16007" w:rsidP="00EA7258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Doplnění této zásady se pak v konkrétní rovině promítá do § 89j, kde se zdůrazňuje, že pokud jsou splněny podmínky pro nepodání návrhu na uložení opatření k soudu, pak tak státní zástupce má postupovat a nemá možnost úvahy. </w:t>
      </w:r>
    </w:p>
    <w:p w14:paraId="44220BAF" w14:textId="773D4522" w:rsidR="00006E7A" w:rsidRDefault="00CC721E" w:rsidP="00EA7258">
      <w:pPr>
        <w:pStyle w:val="Nadpis3"/>
      </w:pPr>
      <w:r>
        <w:t xml:space="preserve">K bodu 2 </w:t>
      </w:r>
      <w:r w:rsidR="00006E7A" w:rsidRPr="00006E7A">
        <w:t>(nadpis § 47)</w:t>
      </w:r>
    </w:p>
    <w:p w14:paraId="6208CA01" w14:textId="70B36181" w:rsidR="0084388A" w:rsidRPr="0084388A" w:rsidRDefault="00C34B38" w:rsidP="00EA7258">
      <w:pPr>
        <w:rPr>
          <w:lang w:eastAsia="cs-CZ"/>
        </w:rPr>
      </w:pPr>
      <w:r>
        <w:rPr>
          <w:lang w:eastAsia="cs-CZ"/>
        </w:rPr>
        <w:t>Nadpis reflektuje obsah</w:t>
      </w:r>
      <w:r w:rsidR="0087203A">
        <w:rPr>
          <w:lang w:eastAsia="cs-CZ"/>
        </w:rPr>
        <w:t xml:space="preserve"> ustanovení § 47</w:t>
      </w:r>
      <w:r>
        <w:rPr>
          <w:lang w:eastAsia="cs-CZ"/>
        </w:rPr>
        <w:t>, které</w:t>
      </w:r>
      <w:r w:rsidR="0087203A">
        <w:rPr>
          <w:lang w:eastAsia="cs-CZ"/>
        </w:rPr>
        <w:t xml:space="preserve"> upravuj</w:t>
      </w:r>
      <w:r w:rsidR="00F956E7">
        <w:rPr>
          <w:lang w:eastAsia="cs-CZ"/>
        </w:rPr>
        <w:t>e</w:t>
      </w:r>
      <w:r w:rsidR="0087203A">
        <w:rPr>
          <w:lang w:eastAsia="cs-CZ"/>
        </w:rPr>
        <w:t xml:space="preserve"> především nejvyšší přípustnou dobu trvání vazby a na toto navazující otázky</w:t>
      </w:r>
      <w:r>
        <w:rPr>
          <w:lang w:eastAsia="cs-CZ"/>
        </w:rPr>
        <w:t>.</w:t>
      </w:r>
    </w:p>
    <w:p w14:paraId="136A4A01" w14:textId="18E5CFFB" w:rsidR="00FE67B4" w:rsidRDefault="0084388A" w:rsidP="00EA7258">
      <w:pPr>
        <w:pStyle w:val="Nadpis3"/>
      </w:pPr>
      <w:r>
        <w:t xml:space="preserve">K bodu </w:t>
      </w:r>
      <w:r w:rsidR="00CC721E">
        <w:t>3</w:t>
      </w:r>
      <w:r>
        <w:t xml:space="preserve"> (§ 47 odst. 1)</w:t>
      </w:r>
    </w:p>
    <w:p w14:paraId="15A672EF" w14:textId="43AF2B68" w:rsidR="00C34B38" w:rsidRDefault="00005B48" w:rsidP="00EA7258">
      <w:pPr>
        <w:rPr>
          <w:lang w:eastAsia="cs-CZ"/>
        </w:rPr>
      </w:pPr>
      <w:r>
        <w:rPr>
          <w:lang w:eastAsia="cs-CZ"/>
        </w:rPr>
        <w:t>Vzhledem k</w:t>
      </w:r>
      <w:r w:rsidR="001A064F">
        <w:rPr>
          <w:lang w:eastAsia="cs-CZ"/>
        </w:rPr>
        <w:t xml:space="preserve"> dosavadnímu </w:t>
      </w:r>
      <w:r w:rsidR="001B1745">
        <w:rPr>
          <w:lang w:eastAsia="cs-CZ"/>
        </w:rPr>
        <w:t xml:space="preserve">nepříliš vhodnému způsobu </w:t>
      </w:r>
      <w:r w:rsidR="00A268FB">
        <w:rPr>
          <w:lang w:eastAsia="cs-CZ"/>
        </w:rPr>
        <w:t>vymezení pojmu „</w:t>
      </w:r>
      <w:r w:rsidR="001B1745">
        <w:rPr>
          <w:lang w:eastAsia="cs-CZ"/>
        </w:rPr>
        <w:t>zvlášť závažné provinění</w:t>
      </w:r>
      <w:r w:rsidR="00A268FB">
        <w:rPr>
          <w:lang w:eastAsia="cs-CZ"/>
        </w:rPr>
        <w:t>“</w:t>
      </w:r>
      <w:r w:rsidR="001B1745">
        <w:rPr>
          <w:lang w:eastAsia="cs-CZ"/>
        </w:rPr>
        <w:t xml:space="preserve"> pomocí poznámky pod čarou odkazující na příslušné ustanovení trestního zákoníku </w:t>
      </w:r>
      <w:r>
        <w:rPr>
          <w:lang w:eastAsia="cs-CZ"/>
        </w:rPr>
        <w:t xml:space="preserve">se </w:t>
      </w:r>
      <w:r w:rsidR="001B1745">
        <w:rPr>
          <w:lang w:eastAsia="cs-CZ"/>
        </w:rPr>
        <w:t xml:space="preserve">pro </w:t>
      </w:r>
      <w:r w:rsidR="00852C84" w:rsidRPr="00852C84">
        <w:rPr>
          <w:lang w:eastAsia="cs-CZ"/>
        </w:rPr>
        <w:t xml:space="preserve">provinění, které trestní zákoník označuje za zvlášť závažný zločin </w:t>
      </w:r>
      <w:r w:rsidR="00852C84">
        <w:rPr>
          <w:lang w:eastAsia="cs-CZ"/>
        </w:rPr>
        <w:t>ve smyslu § 14 odst.</w:t>
      </w:r>
      <w:r w:rsidR="00A268FB">
        <w:rPr>
          <w:lang w:eastAsia="cs-CZ"/>
        </w:rPr>
        <w:t> </w:t>
      </w:r>
      <w:r w:rsidR="00852C84">
        <w:rPr>
          <w:lang w:eastAsia="cs-CZ"/>
        </w:rPr>
        <w:t>3 vět</w:t>
      </w:r>
      <w:r w:rsidR="00DF1DDF">
        <w:rPr>
          <w:lang w:eastAsia="cs-CZ"/>
        </w:rPr>
        <w:t>y</w:t>
      </w:r>
      <w:r w:rsidR="00852C84">
        <w:rPr>
          <w:lang w:eastAsia="cs-CZ"/>
        </w:rPr>
        <w:t xml:space="preserve"> za středníkem </w:t>
      </w:r>
      <w:proofErr w:type="spellStart"/>
      <w:r w:rsidR="00852C84">
        <w:rPr>
          <w:lang w:eastAsia="cs-CZ"/>
        </w:rPr>
        <w:t>tr</w:t>
      </w:r>
      <w:proofErr w:type="spellEnd"/>
      <w:r w:rsidR="00852C84">
        <w:rPr>
          <w:lang w:eastAsia="cs-CZ"/>
        </w:rPr>
        <w:t>. zák.</w:t>
      </w:r>
      <w:r w:rsidR="00DF1DDF">
        <w:rPr>
          <w:lang w:eastAsia="cs-CZ"/>
        </w:rPr>
        <w:t>,</w:t>
      </w:r>
      <w:r w:rsidR="00852C84">
        <w:rPr>
          <w:lang w:eastAsia="cs-CZ"/>
        </w:rPr>
        <w:t xml:space="preserve"> </w:t>
      </w:r>
      <w:r>
        <w:rPr>
          <w:lang w:eastAsia="cs-CZ"/>
        </w:rPr>
        <w:t xml:space="preserve">zavádí legislativní zkratka </w:t>
      </w:r>
      <w:r w:rsidR="00DF1DDF">
        <w:rPr>
          <w:lang w:eastAsia="cs-CZ"/>
        </w:rPr>
        <w:t xml:space="preserve">zvlášť závažné provinění. </w:t>
      </w:r>
      <w:r w:rsidR="00FA6184">
        <w:rPr>
          <w:lang w:eastAsia="cs-CZ"/>
        </w:rPr>
        <w:t>Obsahově se právní úprava nemění.</w:t>
      </w:r>
    </w:p>
    <w:p w14:paraId="532140F2" w14:textId="5CD5B4C8" w:rsidR="00FA6184" w:rsidRPr="00C34B38" w:rsidRDefault="004E64A5" w:rsidP="00EA7258">
      <w:pPr>
        <w:rPr>
          <w:lang w:eastAsia="cs-CZ"/>
        </w:rPr>
      </w:pPr>
      <w:r>
        <w:rPr>
          <w:lang w:eastAsia="cs-CZ"/>
        </w:rPr>
        <w:t xml:space="preserve">Současně se výslovně doplňuje, že maximální doba trvání vazby mladistvého, jak je vymezena v tomto ustanovení, se nedotýká nejvyšší přípustné </w:t>
      </w:r>
      <w:r w:rsidR="0016667E">
        <w:rPr>
          <w:lang w:eastAsia="cs-CZ"/>
        </w:rPr>
        <w:t>doby</w:t>
      </w:r>
      <w:r>
        <w:rPr>
          <w:lang w:eastAsia="cs-CZ"/>
        </w:rPr>
        <w:t xml:space="preserve"> trvání tzv. koluzní vazby</w:t>
      </w:r>
      <w:r w:rsidR="0016667E">
        <w:rPr>
          <w:lang w:eastAsia="cs-CZ"/>
        </w:rPr>
        <w:t xml:space="preserve">, kterou upravuje </w:t>
      </w:r>
      <w:r>
        <w:rPr>
          <w:lang w:eastAsia="cs-CZ"/>
        </w:rPr>
        <w:t>§ 7</w:t>
      </w:r>
      <w:r w:rsidR="005C06A4">
        <w:rPr>
          <w:lang w:eastAsia="cs-CZ"/>
        </w:rPr>
        <w:t>2</w:t>
      </w:r>
      <w:r w:rsidR="0016667E">
        <w:rPr>
          <w:lang w:eastAsia="cs-CZ"/>
        </w:rPr>
        <w:t xml:space="preserve">a odst. 3 </w:t>
      </w:r>
      <w:proofErr w:type="spellStart"/>
      <w:r w:rsidR="0016667E">
        <w:rPr>
          <w:lang w:eastAsia="cs-CZ"/>
        </w:rPr>
        <w:t>tr</w:t>
      </w:r>
      <w:proofErr w:type="spellEnd"/>
      <w:r w:rsidR="0016667E">
        <w:rPr>
          <w:lang w:eastAsia="cs-CZ"/>
        </w:rPr>
        <w:t xml:space="preserve">. ř. I pro mladistvého proto platí, že z důvodu podle § 67 písm. </w:t>
      </w:r>
      <w:r w:rsidR="002167E6">
        <w:rPr>
          <w:lang w:eastAsia="cs-CZ"/>
        </w:rPr>
        <w:t xml:space="preserve">b) </w:t>
      </w:r>
      <w:proofErr w:type="spellStart"/>
      <w:r w:rsidR="002167E6">
        <w:rPr>
          <w:lang w:eastAsia="cs-CZ"/>
        </w:rPr>
        <w:t>tr</w:t>
      </w:r>
      <w:proofErr w:type="spellEnd"/>
      <w:r w:rsidR="002167E6">
        <w:rPr>
          <w:lang w:eastAsia="cs-CZ"/>
        </w:rPr>
        <w:t>. ř. může vazba trvat nejdéle tři měsíce</w:t>
      </w:r>
      <w:r w:rsidR="00A268FB">
        <w:rPr>
          <w:lang w:eastAsia="cs-CZ"/>
        </w:rPr>
        <w:t xml:space="preserve"> (nedošlo-li k ovlivňování svědků, působení na spoluobviněné nebo jinému maření objasňování skutečností důležitých pro trestní stíhání)</w:t>
      </w:r>
      <w:r w:rsidR="002167E6">
        <w:rPr>
          <w:lang w:eastAsia="cs-CZ"/>
        </w:rPr>
        <w:t xml:space="preserve">. </w:t>
      </w:r>
    </w:p>
    <w:p w14:paraId="0A8E02C7" w14:textId="1D786615" w:rsidR="0084388A" w:rsidRDefault="00873E5C" w:rsidP="00EA7258">
      <w:pPr>
        <w:pStyle w:val="Nadpis3"/>
      </w:pPr>
      <w:r>
        <w:t xml:space="preserve">K bodu </w:t>
      </w:r>
      <w:r w:rsidR="00CC721E">
        <w:t>4</w:t>
      </w:r>
      <w:r>
        <w:t xml:space="preserve"> (</w:t>
      </w:r>
      <w:r w:rsidR="009378C2">
        <w:t>§ 47 odst. 4 a 5)</w:t>
      </w:r>
    </w:p>
    <w:p w14:paraId="213D99B9" w14:textId="585FD204" w:rsidR="00C34B38" w:rsidRDefault="004D2535" w:rsidP="00EA7258">
      <w:pPr>
        <w:rPr>
          <w:lang w:eastAsia="cs-CZ"/>
        </w:rPr>
      </w:pPr>
      <w:r>
        <w:rPr>
          <w:lang w:eastAsia="cs-CZ"/>
        </w:rPr>
        <w:t>Úprava reaguje na skutečnost</w:t>
      </w:r>
      <w:r w:rsidR="007F6361">
        <w:rPr>
          <w:lang w:eastAsia="cs-CZ"/>
        </w:rPr>
        <w:t xml:space="preserve">, že v případě rozhodování o prodloužení vazby je nutno rozhodnout </w:t>
      </w:r>
      <w:r w:rsidR="00276520">
        <w:rPr>
          <w:lang w:eastAsia="cs-CZ"/>
        </w:rPr>
        <w:t>v pevně daných lhůtách (tj. před uplynutím doby vazby)</w:t>
      </w:r>
      <w:r w:rsidR="00210E43">
        <w:rPr>
          <w:lang w:eastAsia="cs-CZ"/>
        </w:rPr>
        <w:t>,</w:t>
      </w:r>
      <w:r w:rsidR="00210E43" w:rsidRPr="00210E43">
        <w:rPr>
          <w:lang w:eastAsia="cs-CZ"/>
        </w:rPr>
        <w:t xml:space="preserve"> a to i tehdy, pokud před tímto rozhodováním </w:t>
      </w:r>
      <w:r w:rsidR="004E1094" w:rsidRPr="00210E43">
        <w:rPr>
          <w:lang w:eastAsia="cs-CZ"/>
        </w:rPr>
        <w:t xml:space="preserve">bylo </w:t>
      </w:r>
      <w:r w:rsidR="00210E43" w:rsidRPr="00210E43">
        <w:rPr>
          <w:lang w:eastAsia="cs-CZ"/>
        </w:rPr>
        <w:t>vydáno jiné rozhodnutí o vazbě, které nabylo právní moci. </w:t>
      </w:r>
      <w:r>
        <w:rPr>
          <w:lang w:eastAsia="cs-CZ"/>
        </w:rPr>
        <w:t xml:space="preserve">Mohou tak nastat situace, kdy </w:t>
      </w:r>
      <w:r w:rsidR="004B285B">
        <w:rPr>
          <w:lang w:eastAsia="cs-CZ"/>
        </w:rPr>
        <w:t xml:space="preserve">vedle rozhodování o prodloužení vazby „souběžně“ probíhá rozhodování o jiném návrhu, </w:t>
      </w:r>
      <w:r w:rsidR="00555423">
        <w:rPr>
          <w:lang w:eastAsia="cs-CZ"/>
        </w:rPr>
        <w:t>zejména</w:t>
      </w:r>
      <w:r w:rsidR="00DD0831">
        <w:rPr>
          <w:lang w:eastAsia="cs-CZ"/>
        </w:rPr>
        <w:t xml:space="preserve"> o</w:t>
      </w:r>
      <w:r w:rsidR="00555423">
        <w:rPr>
          <w:lang w:eastAsia="cs-CZ"/>
        </w:rPr>
        <w:t xml:space="preserve"> </w:t>
      </w:r>
      <w:r w:rsidR="004B285B">
        <w:rPr>
          <w:lang w:eastAsia="cs-CZ"/>
        </w:rPr>
        <w:t xml:space="preserve">žádosti o propuštění z vazby či stížnosti proti některému </w:t>
      </w:r>
      <w:r w:rsidR="00B4651E">
        <w:rPr>
          <w:lang w:eastAsia="cs-CZ"/>
        </w:rPr>
        <w:t xml:space="preserve">z předchozích </w:t>
      </w:r>
      <w:r w:rsidR="004B285B">
        <w:rPr>
          <w:lang w:eastAsia="cs-CZ"/>
        </w:rPr>
        <w:t>rozhodnutí o vazbě</w:t>
      </w:r>
      <w:r w:rsidR="00555423">
        <w:rPr>
          <w:lang w:eastAsia="cs-CZ"/>
        </w:rPr>
        <w:t xml:space="preserve"> (rozhodnutí o žádosti, o dalším trvání vazby, o změně vazebních důvodů)</w:t>
      </w:r>
      <w:r w:rsidR="004B285B">
        <w:rPr>
          <w:lang w:eastAsia="cs-CZ"/>
        </w:rPr>
        <w:t>. Vzhledem k</w:t>
      </w:r>
      <w:r w:rsidR="00B4651E">
        <w:rPr>
          <w:lang w:eastAsia="cs-CZ"/>
        </w:rPr>
        <w:t xml:space="preserve"> rozdílné </w:t>
      </w:r>
      <w:r w:rsidR="009E46BD">
        <w:rPr>
          <w:lang w:eastAsia="cs-CZ"/>
        </w:rPr>
        <w:t xml:space="preserve">příslušnosti </w:t>
      </w:r>
      <w:r w:rsidR="00B4651E" w:rsidRPr="00B4651E">
        <w:rPr>
          <w:lang w:eastAsia="cs-CZ"/>
        </w:rPr>
        <w:t>soudů pro rozhodování o těchto návrzích </w:t>
      </w:r>
      <w:r w:rsidR="009E46BD">
        <w:rPr>
          <w:lang w:eastAsia="cs-CZ"/>
        </w:rPr>
        <w:t xml:space="preserve">může dojít k tomu, že tato souběžná řízení budou vedena u rozdílných soudů a v jejich rámci dojde k vydání </w:t>
      </w:r>
      <w:r w:rsidR="001979BD">
        <w:rPr>
          <w:lang w:eastAsia="cs-CZ"/>
        </w:rPr>
        <w:t>vzájemně rozporných</w:t>
      </w:r>
      <w:r w:rsidR="009E46BD">
        <w:rPr>
          <w:lang w:eastAsia="cs-CZ"/>
        </w:rPr>
        <w:t xml:space="preserve"> rozhodnutí. </w:t>
      </w:r>
      <w:r w:rsidR="00692F68">
        <w:rPr>
          <w:lang w:eastAsia="cs-CZ"/>
        </w:rPr>
        <w:t xml:space="preserve">Rozhodování u rozdílných soudů je </w:t>
      </w:r>
      <w:r w:rsidR="006750A9">
        <w:rPr>
          <w:lang w:eastAsia="cs-CZ"/>
        </w:rPr>
        <w:t xml:space="preserve">vzhledem k nepřekročitelným lhůtám pro rozhodnutí o prodloužení vazby </w:t>
      </w:r>
      <w:r w:rsidR="00692F68">
        <w:rPr>
          <w:lang w:eastAsia="cs-CZ"/>
        </w:rPr>
        <w:t xml:space="preserve">problematické též z pohledu pohybu soudního spisu. </w:t>
      </w:r>
      <w:r w:rsidR="007B420C">
        <w:rPr>
          <w:lang w:eastAsia="cs-CZ"/>
        </w:rPr>
        <w:t xml:space="preserve">Za účelem zefektivnění vazebního řízení se proto navrhuje tato souběžná </w:t>
      </w:r>
      <w:r w:rsidR="00672043">
        <w:rPr>
          <w:lang w:eastAsia="cs-CZ"/>
        </w:rPr>
        <w:t>rozhodování</w:t>
      </w:r>
      <w:r w:rsidR="007B420C">
        <w:rPr>
          <w:lang w:eastAsia="cs-CZ"/>
        </w:rPr>
        <w:t xml:space="preserve"> spojit</w:t>
      </w:r>
      <w:r w:rsidR="00C53C9C">
        <w:rPr>
          <w:lang w:eastAsia="cs-CZ"/>
        </w:rPr>
        <w:t xml:space="preserve"> tak, aby </w:t>
      </w:r>
      <w:r w:rsidR="00672043" w:rsidRPr="00672043">
        <w:rPr>
          <w:lang w:eastAsia="cs-CZ"/>
        </w:rPr>
        <w:t>probíhala u jednoho soudu, který vydá rozhodnutí o</w:t>
      </w:r>
      <w:r w:rsidR="00EC6883">
        <w:rPr>
          <w:lang w:eastAsia="cs-CZ"/>
        </w:rPr>
        <w:t> </w:t>
      </w:r>
      <w:r w:rsidR="00672043" w:rsidRPr="00672043">
        <w:rPr>
          <w:lang w:eastAsia="cs-CZ"/>
        </w:rPr>
        <w:t>všech návrzích současně.</w:t>
      </w:r>
    </w:p>
    <w:p w14:paraId="1AA8C233" w14:textId="244585C8" w:rsidR="00B70784" w:rsidRDefault="0092739A" w:rsidP="00EA7258">
      <w:pPr>
        <w:rPr>
          <w:u w:val="single"/>
          <w:lang w:eastAsia="cs-CZ"/>
        </w:rPr>
      </w:pPr>
      <w:r w:rsidRPr="0092739A">
        <w:rPr>
          <w:u w:val="single"/>
          <w:lang w:eastAsia="cs-CZ"/>
        </w:rPr>
        <w:t>K § 47 odst. 4</w:t>
      </w:r>
    </w:p>
    <w:p w14:paraId="5A8174C3" w14:textId="182F5778" w:rsidR="0092739A" w:rsidRDefault="00D333C3" w:rsidP="00EA7258">
      <w:pPr>
        <w:rPr>
          <w:lang w:eastAsia="cs-CZ"/>
        </w:rPr>
      </w:pPr>
      <w:r w:rsidRPr="00D333C3">
        <w:rPr>
          <w:lang w:eastAsia="cs-CZ"/>
        </w:rPr>
        <w:t xml:space="preserve">Pokud </w:t>
      </w:r>
      <w:r>
        <w:rPr>
          <w:lang w:eastAsia="cs-CZ"/>
        </w:rPr>
        <w:t xml:space="preserve">je podána stížnost proti rozhodnutí o vazbě a o této stížnosti není rozhodnuto ještě v době podání návrhu na prodloužení vazby, navrhuje se, aby o stížnosti i prodloužení rozhodl současně soud příslušný k projednání stížnosti. </w:t>
      </w:r>
      <w:r w:rsidR="000F721E">
        <w:rPr>
          <w:lang w:eastAsia="cs-CZ"/>
        </w:rPr>
        <w:t xml:space="preserve">Zvolená příslušnost soudu přitom vychází </w:t>
      </w:r>
      <w:r w:rsidR="000F721E">
        <w:rPr>
          <w:lang w:eastAsia="cs-CZ"/>
        </w:rPr>
        <w:lastRenderedPageBreak/>
        <w:t>z příslušnost</w:t>
      </w:r>
      <w:r w:rsidR="00665739">
        <w:rPr>
          <w:lang w:eastAsia="cs-CZ"/>
        </w:rPr>
        <w:t>i</w:t>
      </w:r>
      <w:r w:rsidR="000F721E">
        <w:rPr>
          <w:lang w:eastAsia="cs-CZ"/>
        </w:rPr>
        <w:t xml:space="preserve"> k</w:t>
      </w:r>
      <w:r w:rsidR="00665739">
        <w:rPr>
          <w:lang w:eastAsia="cs-CZ"/>
        </w:rPr>
        <w:t> </w:t>
      </w:r>
      <w:r w:rsidR="000F721E">
        <w:rPr>
          <w:lang w:eastAsia="cs-CZ"/>
        </w:rPr>
        <w:t>rozhodování</w:t>
      </w:r>
      <w:r w:rsidR="00665739">
        <w:rPr>
          <w:lang w:eastAsia="cs-CZ"/>
        </w:rPr>
        <w:t xml:space="preserve"> soudu</w:t>
      </w:r>
      <w:r w:rsidR="000F721E">
        <w:rPr>
          <w:lang w:eastAsia="cs-CZ"/>
        </w:rPr>
        <w:t xml:space="preserve"> v přípravném řízení, kdy o prodloužení vazby rozhoduje soudce </w:t>
      </w:r>
      <w:r w:rsidR="00C4207D">
        <w:rPr>
          <w:lang w:eastAsia="cs-CZ"/>
        </w:rPr>
        <w:t xml:space="preserve">okresního soudu pro mládež, zatímco o stížnosti proti rozhodnutí o vazbě </w:t>
      </w:r>
      <w:r w:rsidR="005F5980">
        <w:rPr>
          <w:lang w:eastAsia="cs-CZ"/>
        </w:rPr>
        <w:t xml:space="preserve">v relevantních případech </w:t>
      </w:r>
      <w:r w:rsidR="00C4207D">
        <w:rPr>
          <w:lang w:eastAsia="cs-CZ"/>
        </w:rPr>
        <w:t xml:space="preserve">rozhoduje nadřízený soud. </w:t>
      </w:r>
      <w:r w:rsidR="004B4857">
        <w:rPr>
          <w:lang w:eastAsia="cs-CZ"/>
        </w:rPr>
        <w:t>Za účelem</w:t>
      </w:r>
      <w:r w:rsidR="00E03364">
        <w:rPr>
          <w:lang w:eastAsia="cs-CZ"/>
        </w:rPr>
        <w:t xml:space="preserve"> </w:t>
      </w:r>
      <w:r w:rsidR="006750A9">
        <w:rPr>
          <w:lang w:eastAsia="cs-CZ"/>
        </w:rPr>
        <w:t xml:space="preserve">zrychlení a zefektivnění </w:t>
      </w:r>
      <w:r w:rsidR="00874F9D">
        <w:rPr>
          <w:lang w:eastAsia="cs-CZ"/>
        </w:rPr>
        <w:t>řízení se rozhodování o prodloužení vazby přenáší</w:t>
      </w:r>
      <w:r w:rsidR="00E8384C">
        <w:rPr>
          <w:lang w:eastAsia="cs-CZ"/>
        </w:rPr>
        <w:t xml:space="preserve"> na stížnostní soud, který rozhodne o obou podáních. V přípravném řízení proto bude rozhodovat krajský soud pro mládež, v řízení před soudem poté </w:t>
      </w:r>
      <w:r w:rsidR="007711FC">
        <w:rPr>
          <w:lang w:eastAsia="cs-CZ"/>
        </w:rPr>
        <w:t xml:space="preserve">krajský soud pro mládež, případně vrchní soud pro mládež, a to podle příslušnosti soudu prvního stupně v konkrétním případě. </w:t>
      </w:r>
      <w:r w:rsidR="00AE1D28">
        <w:rPr>
          <w:lang w:eastAsia="cs-CZ"/>
        </w:rPr>
        <w:t>Je tedy zvolena příslušnost ve prospěch vyššího článku, respektive ve</w:t>
      </w:r>
      <w:r w:rsidR="00EB59C9">
        <w:rPr>
          <w:lang w:eastAsia="cs-CZ"/>
        </w:rPr>
        <w:t> </w:t>
      </w:r>
      <w:r w:rsidR="00AE1D28">
        <w:rPr>
          <w:lang w:eastAsia="cs-CZ"/>
        </w:rPr>
        <w:t>prospěch „vyššího obsazení“ stejného článku soudní soustavy.</w:t>
      </w:r>
    </w:p>
    <w:p w14:paraId="145ABFED" w14:textId="44D1B21F" w:rsidR="007711FC" w:rsidRPr="007711FC" w:rsidRDefault="007711FC" w:rsidP="00EA7258">
      <w:pPr>
        <w:rPr>
          <w:u w:val="single"/>
          <w:lang w:eastAsia="cs-CZ"/>
        </w:rPr>
      </w:pPr>
      <w:r w:rsidRPr="007711FC">
        <w:rPr>
          <w:u w:val="single"/>
          <w:lang w:eastAsia="cs-CZ"/>
        </w:rPr>
        <w:t>K § 47 odst. 5</w:t>
      </w:r>
    </w:p>
    <w:p w14:paraId="31405183" w14:textId="49516F82" w:rsidR="007711FC" w:rsidRPr="00D333C3" w:rsidRDefault="006343FA" w:rsidP="00EA7258">
      <w:pPr>
        <w:rPr>
          <w:lang w:eastAsia="cs-CZ"/>
        </w:rPr>
      </w:pPr>
      <w:r>
        <w:rPr>
          <w:lang w:eastAsia="cs-CZ"/>
        </w:rPr>
        <w:t xml:space="preserve">Obdobně se navrhuje, aby v případech, kdy má být rozhodováno o prodloužení vazby, ale dosud nebylo rozhodnuto o žádosti o propuštění z vazby, rozhodoval </w:t>
      </w:r>
      <w:r w:rsidR="00682FF0">
        <w:rPr>
          <w:lang w:eastAsia="cs-CZ"/>
        </w:rPr>
        <w:t xml:space="preserve">o obou návrzích soudce soudu pro mládež příslušného k prodloužení vazby. </w:t>
      </w:r>
      <w:r w:rsidR="00A96F8F">
        <w:rPr>
          <w:lang w:eastAsia="cs-CZ"/>
        </w:rPr>
        <w:t>Příslušnost v tomto případě vychází ze</w:t>
      </w:r>
      <w:r w:rsidR="00EA7258">
        <w:rPr>
          <w:lang w:eastAsia="cs-CZ"/>
        </w:rPr>
        <w:t> </w:t>
      </w:r>
      <w:r w:rsidR="00A96F8F">
        <w:rPr>
          <w:lang w:eastAsia="cs-CZ"/>
        </w:rPr>
        <w:t>skutečnosti, že k prodloužení vazby je podle § 47 odst. 3 ZSVM příslušný soudce soudu pro mládež nadřízeného</w:t>
      </w:r>
      <w:r w:rsidR="00A07F44">
        <w:rPr>
          <w:lang w:eastAsia="cs-CZ"/>
        </w:rPr>
        <w:t xml:space="preserve"> </w:t>
      </w:r>
      <w:r w:rsidR="00A07F44" w:rsidRPr="00731CA0">
        <w:rPr>
          <w:szCs w:val="24"/>
        </w:rPr>
        <w:t>soudu pro mládež, který je příslušný věc projednat nebo který věc již projednává.</w:t>
      </w:r>
      <w:r w:rsidR="00A07F44">
        <w:rPr>
          <w:szCs w:val="24"/>
        </w:rPr>
        <w:t xml:space="preserve"> V řešeném případě tak půjde o </w:t>
      </w:r>
      <w:r w:rsidR="00A07F44">
        <w:rPr>
          <w:lang w:eastAsia="cs-CZ"/>
        </w:rPr>
        <w:t xml:space="preserve">soudce soudu pro mládež, který je nadřízený soudu příslušnému k rozhodování o žádosti o propuštění z vazby. </w:t>
      </w:r>
      <w:r w:rsidR="001E3354">
        <w:rPr>
          <w:lang w:eastAsia="cs-CZ"/>
        </w:rPr>
        <w:t>Je tedy opět zvolena příslušnost ve</w:t>
      </w:r>
      <w:r w:rsidR="00EA7258">
        <w:rPr>
          <w:lang w:eastAsia="cs-CZ"/>
        </w:rPr>
        <w:t> </w:t>
      </w:r>
      <w:r w:rsidR="001E3354">
        <w:rPr>
          <w:lang w:eastAsia="cs-CZ"/>
        </w:rPr>
        <w:t>prospěch vyššího článku</w:t>
      </w:r>
      <w:r w:rsidR="0091105F">
        <w:rPr>
          <w:lang w:eastAsia="cs-CZ"/>
        </w:rPr>
        <w:t xml:space="preserve"> soudní soustavy</w:t>
      </w:r>
      <w:r w:rsidR="001E3354">
        <w:rPr>
          <w:lang w:eastAsia="cs-CZ"/>
        </w:rPr>
        <w:t xml:space="preserve">. </w:t>
      </w:r>
      <w:r w:rsidR="00FC6B13">
        <w:rPr>
          <w:lang w:eastAsia="cs-CZ"/>
        </w:rPr>
        <w:t xml:space="preserve">Spojení rozhodování o těchto návrzích </w:t>
      </w:r>
      <w:r w:rsidR="00D40A7D">
        <w:rPr>
          <w:lang w:eastAsia="cs-CZ"/>
        </w:rPr>
        <w:t>je přitom logické v tom smyslu, že v případě existence důvodů pro prodloužení vazby zjevně není důvod k vyhovění žádosti o propuštění</w:t>
      </w:r>
      <w:r w:rsidR="006D7815">
        <w:rPr>
          <w:lang w:eastAsia="cs-CZ"/>
        </w:rPr>
        <w:t xml:space="preserve">; naopak </w:t>
      </w:r>
      <w:r w:rsidR="00AC0453">
        <w:rPr>
          <w:lang w:eastAsia="cs-CZ"/>
        </w:rPr>
        <w:t xml:space="preserve">pokud bude shledáno, že žádost o propuštění je důvodná a obviněný by měl být z vazby propuštěn, nemohou zároveň existovat důvody pro prodloužení vazby. </w:t>
      </w:r>
    </w:p>
    <w:p w14:paraId="79517F72" w14:textId="6F0C185E" w:rsidR="009378C2" w:rsidRDefault="009378C2" w:rsidP="00EA7258">
      <w:pPr>
        <w:pStyle w:val="Nadpis3"/>
      </w:pPr>
      <w:r>
        <w:t xml:space="preserve">K bodu </w:t>
      </w:r>
      <w:r w:rsidR="00CC721E">
        <w:t>5</w:t>
      </w:r>
      <w:r>
        <w:t xml:space="preserve"> (§ 47 odst. 6)</w:t>
      </w:r>
    </w:p>
    <w:p w14:paraId="1809E9E8" w14:textId="55370924" w:rsidR="00C61F14" w:rsidRDefault="00E97430" w:rsidP="00EA7258">
      <w:pPr>
        <w:rPr>
          <w:lang w:eastAsia="cs-CZ"/>
        </w:rPr>
      </w:pPr>
      <w:bookmarkStart w:id="2" w:name="_Hlk203982476"/>
      <w:r>
        <w:rPr>
          <w:lang w:eastAsia="cs-CZ"/>
        </w:rPr>
        <w:t>Pokud není návrh na prodloužení vazby</w:t>
      </w:r>
      <w:r w:rsidRPr="00E97430">
        <w:rPr>
          <w:lang w:eastAsia="cs-CZ"/>
        </w:rPr>
        <w:t xml:space="preserve"> </w:t>
      </w:r>
      <w:r>
        <w:rPr>
          <w:lang w:eastAsia="cs-CZ"/>
        </w:rPr>
        <w:t xml:space="preserve">včas doručen příslušnému soudu, </w:t>
      </w:r>
      <w:r w:rsidR="00F10C40">
        <w:rPr>
          <w:lang w:eastAsia="cs-CZ"/>
        </w:rPr>
        <w:t>není možné o</w:t>
      </w:r>
      <w:r w:rsidR="006D7815">
        <w:rPr>
          <w:lang w:eastAsia="cs-CZ"/>
        </w:rPr>
        <w:t> </w:t>
      </w:r>
      <w:r w:rsidR="00F10C40">
        <w:rPr>
          <w:lang w:eastAsia="cs-CZ"/>
        </w:rPr>
        <w:t>prodloužení vazby rozhodnout a mladistvý musí být z vazby propuštěn neprodleně po</w:t>
      </w:r>
      <w:r w:rsidR="00EA7258">
        <w:rPr>
          <w:lang w:eastAsia="cs-CZ"/>
        </w:rPr>
        <w:t> </w:t>
      </w:r>
      <w:r w:rsidR="00F10C40">
        <w:rPr>
          <w:lang w:eastAsia="cs-CZ"/>
        </w:rPr>
        <w:t>uplynutí doby, na kterou bylo trvání vazby omezeno</w:t>
      </w:r>
      <w:r>
        <w:rPr>
          <w:lang w:eastAsia="cs-CZ"/>
        </w:rPr>
        <w:t xml:space="preserve">. </w:t>
      </w:r>
      <w:r w:rsidR="00F10C40">
        <w:rPr>
          <w:lang w:eastAsia="cs-CZ"/>
        </w:rPr>
        <w:t xml:space="preserve">Smyslem </w:t>
      </w:r>
      <w:r w:rsidR="006414A9">
        <w:rPr>
          <w:lang w:eastAsia="cs-CZ"/>
        </w:rPr>
        <w:t xml:space="preserve">stanovení časového okamžiku, kdy nejpozději může být podán návrh na prodloužení vazby, je zajištění dostatečného časového prostoru na to, aby se </w:t>
      </w:r>
      <w:r w:rsidR="009809CE">
        <w:rPr>
          <w:lang w:eastAsia="cs-CZ"/>
        </w:rPr>
        <w:t>soud (resp. soudce) mohl včas seznámit se spisovým materiálem</w:t>
      </w:r>
      <w:r w:rsidR="00BE6360">
        <w:rPr>
          <w:lang w:eastAsia="cs-CZ"/>
        </w:rPr>
        <w:t xml:space="preserve">, </w:t>
      </w:r>
      <w:r w:rsidR="009809CE">
        <w:rPr>
          <w:lang w:eastAsia="cs-CZ"/>
        </w:rPr>
        <w:t xml:space="preserve">ve </w:t>
      </w:r>
      <w:r w:rsidR="00BE6360">
        <w:rPr>
          <w:lang w:eastAsia="cs-CZ"/>
        </w:rPr>
        <w:t xml:space="preserve">světle jeho obsahu </w:t>
      </w:r>
      <w:r w:rsidR="009809CE">
        <w:rPr>
          <w:lang w:eastAsia="cs-CZ"/>
        </w:rPr>
        <w:t>posoudit důvody návrhu</w:t>
      </w:r>
      <w:r w:rsidR="00BE6360">
        <w:rPr>
          <w:lang w:eastAsia="cs-CZ"/>
        </w:rPr>
        <w:t xml:space="preserve"> a o návrhu rozhodnout pře</w:t>
      </w:r>
      <w:r w:rsidR="003C23C2">
        <w:rPr>
          <w:lang w:eastAsia="cs-CZ"/>
        </w:rPr>
        <w:t xml:space="preserve">d skončením doby, na </w:t>
      </w:r>
      <w:r w:rsidR="00DB1D8B">
        <w:rPr>
          <w:lang w:eastAsia="cs-CZ"/>
        </w:rPr>
        <w:t>n</w:t>
      </w:r>
      <w:r w:rsidR="003C23C2">
        <w:rPr>
          <w:lang w:eastAsia="cs-CZ"/>
        </w:rPr>
        <w:t xml:space="preserve">iž je trvání vazby omezeno. Pokud tedy návrh není v příslušné době podán, není </w:t>
      </w:r>
      <w:r w:rsidR="00487143">
        <w:rPr>
          <w:lang w:eastAsia="cs-CZ"/>
        </w:rPr>
        <w:t>možno o</w:t>
      </w:r>
      <w:r w:rsidR="0039723D">
        <w:rPr>
          <w:lang w:eastAsia="cs-CZ"/>
        </w:rPr>
        <w:t> </w:t>
      </w:r>
      <w:r w:rsidR="00487143">
        <w:rPr>
          <w:lang w:eastAsia="cs-CZ"/>
        </w:rPr>
        <w:t xml:space="preserve">prodloužení vazby rozhodnout a vazba končí uplynutím doby, na niž bylo její trvání omezeno předchozím rozhodnutím o vazbě. </w:t>
      </w:r>
      <w:r w:rsidR="005953AE">
        <w:rPr>
          <w:lang w:eastAsia="cs-CZ"/>
        </w:rPr>
        <w:t xml:space="preserve">Skutečnost, že návrh na prodloužení vazby nebyl podán nejpozději šestnáctý den před skončením vazby, však neznamená, že by vazba tímto okamžikem ztratila zákonný podklad. </w:t>
      </w:r>
      <w:r w:rsidR="00EA4BD9">
        <w:rPr>
          <w:lang w:eastAsia="cs-CZ"/>
        </w:rPr>
        <w:t>Vazba ztrácí svůj zákonný podklad až v okamžiku, kdy marně uplynula nejvyšší přípustná doba trvání vazby</w:t>
      </w:r>
      <w:r w:rsidR="002D6770">
        <w:rPr>
          <w:lang w:eastAsia="cs-CZ"/>
        </w:rPr>
        <w:t>; teprve tehdy je nutné mladistvého bez dalšího z vazby bezodkladně propustit.</w:t>
      </w:r>
      <w:r w:rsidR="00EA4BD9">
        <w:rPr>
          <w:lang w:eastAsia="cs-CZ"/>
        </w:rPr>
        <w:t xml:space="preserve"> </w:t>
      </w:r>
      <w:r w:rsidR="00C84D3B">
        <w:rPr>
          <w:lang w:eastAsia="cs-CZ"/>
        </w:rPr>
        <w:t xml:space="preserve">Pokud </w:t>
      </w:r>
      <w:r w:rsidR="00A82C6C">
        <w:rPr>
          <w:lang w:eastAsia="cs-CZ"/>
        </w:rPr>
        <w:t xml:space="preserve">jsou </w:t>
      </w:r>
      <w:r w:rsidR="00C84D3B">
        <w:rPr>
          <w:lang w:eastAsia="cs-CZ"/>
        </w:rPr>
        <w:t xml:space="preserve">i po uplynutí šestnáctého dne před skončením vazby </w:t>
      </w:r>
      <w:r w:rsidR="00A82C6C">
        <w:rPr>
          <w:lang w:eastAsia="cs-CZ"/>
        </w:rPr>
        <w:t xml:space="preserve">splněny všechny zákonem stanovené předpoklady, </w:t>
      </w:r>
      <w:r w:rsidR="00C744E8">
        <w:rPr>
          <w:lang w:eastAsia="cs-CZ"/>
        </w:rPr>
        <w:t>není pouhé nepodání návrhu na prodloužení vazby důvodem k propuštění mladistvého z vazby.</w:t>
      </w:r>
      <w:r w:rsidR="00E67FB1">
        <w:rPr>
          <w:lang w:eastAsia="cs-CZ"/>
        </w:rPr>
        <w:t xml:space="preserve"> </w:t>
      </w:r>
      <w:r w:rsidR="00C61F14">
        <w:rPr>
          <w:lang w:eastAsia="cs-CZ"/>
        </w:rPr>
        <w:t xml:space="preserve">V tomto ohledu </w:t>
      </w:r>
      <w:r w:rsidR="00425951">
        <w:rPr>
          <w:lang w:eastAsia="cs-CZ"/>
        </w:rPr>
        <w:t>lze též odkázat na § 48 odst. 1 ZSVM, podle kterého jsou všechny orgány činné v trestním řízení v</w:t>
      </w:r>
      <w:r w:rsidR="00BC50C0">
        <w:rPr>
          <w:lang w:eastAsia="cs-CZ"/>
        </w:rPr>
        <w:t> </w:t>
      </w:r>
      <w:r w:rsidR="00425951">
        <w:rPr>
          <w:lang w:eastAsia="cs-CZ"/>
        </w:rPr>
        <w:t>každ</w:t>
      </w:r>
      <w:r w:rsidR="00BC50C0">
        <w:rPr>
          <w:lang w:eastAsia="cs-CZ"/>
        </w:rPr>
        <w:t xml:space="preserve">é fázi stíhány zkoumat, zda důvody vazby trvají či zda není možné vazbu nahradit některým z opatření nahrazujících vazbu. Pokud budou tyto skutečnosti zjištěny v průběhu 15 dnů před skončením vazby, </w:t>
      </w:r>
      <w:r w:rsidR="000452FA">
        <w:rPr>
          <w:lang w:eastAsia="cs-CZ"/>
        </w:rPr>
        <w:t>je státní zástupce, popř. předseda senátu</w:t>
      </w:r>
      <w:r w:rsidR="005E7C1C">
        <w:rPr>
          <w:lang w:eastAsia="cs-CZ"/>
        </w:rPr>
        <w:t>,</w:t>
      </w:r>
      <w:r w:rsidR="000452FA">
        <w:rPr>
          <w:lang w:eastAsia="cs-CZ"/>
        </w:rPr>
        <w:t xml:space="preserve"> povinen mladistvého neprodleně z vazby propustit, a to bez ohledu na to, že maximální přípustná doba trvání vazby ještě neuplynula.</w:t>
      </w:r>
    </w:p>
    <w:p w14:paraId="7A150A6F" w14:textId="0BF6FC1D" w:rsidR="00E67FB1" w:rsidRPr="00C34B38" w:rsidRDefault="00F26517" w:rsidP="00EA7258">
      <w:pPr>
        <w:rPr>
          <w:lang w:eastAsia="cs-CZ"/>
        </w:rPr>
      </w:pPr>
      <w:r>
        <w:rPr>
          <w:lang w:eastAsia="cs-CZ"/>
        </w:rPr>
        <w:t>Podle stávající právní úpravy musí být mladistvý v případě opožděného podání návrhu na</w:t>
      </w:r>
      <w:r w:rsidR="00EA7258">
        <w:rPr>
          <w:lang w:eastAsia="cs-CZ"/>
        </w:rPr>
        <w:t> </w:t>
      </w:r>
      <w:r>
        <w:rPr>
          <w:lang w:eastAsia="cs-CZ"/>
        </w:rPr>
        <w:t xml:space="preserve">prodloužení vazby z vazby propuštěn nejpozději den po uplynutí lhůty, na niž bylo trvání vazby omezeno. </w:t>
      </w:r>
      <w:r w:rsidR="00D06497">
        <w:rPr>
          <w:lang w:eastAsia="cs-CZ"/>
        </w:rPr>
        <w:t>V</w:t>
      </w:r>
      <w:r w:rsidR="00D06497" w:rsidRPr="00D06497">
        <w:rPr>
          <w:lang w:eastAsia="cs-CZ"/>
        </w:rPr>
        <w:t xml:space="preserve">zhledem k intenzitě zásahu do práv </w:t>
      </w:r>
      <w:r w:rsidR="00D06497">
        <w:rPr>
          <w:lang w:eastAsia="cs-CZ"/>
        </w:rPr>
        <w:t xml:space="preserve">mladistvého </w:t>
      </w:r>
      <w:r w:rsidR="00D06497" w:rsidRPr="00D06497">
        <w:rPr>
          <w:lang w:eastAsia="cs-CZ"/>
        </w:rPr>
        <w:t xml:space="preserve">obviněného, který </w:t>
      </w:r>
      <w:r w:rsidR="00D06497">
        <w:rPr>
          <w:lang w:eastAsia="cs-CZ"/>
        </w:rPr>
        <w:t>vazb</w:t>
      </w:r>
      <w:r w:rsidR="007A2A51">
        <w:rPr>
          <w:lang w:eastAsia="cs-CZ"/>
        </w:rPr>
        <w:t>a</w:t>
      </w:r>
      <w:r w:rsidR="00D06497">
        <w:rPr>
          <w:lang w:eastAsia="cs-CZ"/>
        </w:rPr>
        <w:t xml:space="preserve"> představuje, a vzhledem k judikatuře ESLP (srov. rozsudek </w:t>
      </w:r>
      <w:r w:rsidR="00683ED7">
        <w:rPr>
          <w:lang w:eastAsia="cs-CZ"/>
        </w:rPr>
        <w:t xml:space="preserve">ze dne 6. dubna 2000 ve věci </w:t>
      </w:r>
      <w:proofErr w:type="spellStart"/>
      <w:r w:rsidR="00683ED7" w:rsidRPr="00683ED7">
        <w:rPr>
          <w:i/>
          <w:iCs/>
          <w:lang w:eastAsia="cs-CZ"/>
        </w:rPr>
        <w:t>Labita</w:t>
      </w:r>
      <w:proofErr w:type="spellEnd"/>
      <w:r w:rsidR="00683ED7" w:rsidRPr="00683ED7">
        <w:rPr>
          <w:i/>
          <w:iCs/>
          <w:lang w:eastAsia="cs-CZ"/>
        </w:rPr>
        <w:t xml:space="preserve"> proti Itálii</w:t>
      </w:r>
      <w:r w:rsidR="00683ED7">
        <w:rPr>
          <w:lang w:eastAsia="cs-CZ"/>
        </w:rPr>
        <w:t>,</w:t>
      </w:r>
      <w:r w:rsidR="00F610E3">
        <w:rPr>
          <w:lang w:eastAsia="cs-CZ"/>
        </w:rPr>
        <w:t xml:space="preserve"> č. 26772/95,</w:t>
      </w:r>
      <w:r w:rsidR="00683ED7">
        <w:rPr>
          <w:lang w:eastAsia="cs-CZ"/>
        </w:rPr>
        <w:t xml:space="preserve"> kde bylo shledáno </w:t>
      </w:r>
      <w:r w:rsidR="00683ED7" w:rsidRPr="00683ED7">
        <w:rPr>
          <w:lang w:eastAsia="cs-CZ"/>
        </w:rPr>
        <w:t>porušení čl. 5 odst. 1</w:t>
      </w:r>
      <w:r w:rsidR="00683ED7">
        <w:rPr>
          <w:lang w:eastAsia="cs-CZ"/>
        </w:rPr>
        <w:t xml:space="preserve"> Úmluvy</w:t>
      </w:r>
      <w:r w:rsidR="00683ED7" w:rsidRPr="00683ED7">
        <w:rPr>
          <w:lang w:eastAsia="cs-CZ"/>
        </w:rPr>
        <w:t xml:space="preserve">, neboť stěžovatel byl </w:t>
      </w:r>
      <w:r w:rsidR="00683ED7" w:rsidRPr="00683ED7">
        <w:rPr>
          <w:lang w:eastAsia="cs-CZ"/>
        </w:rPr>
        <w:lastRenderedPageBreak/>
        <w:t>po vynesení zprošťujícího rozsudku držen ve vazební věznici po dobu dalších 8 hodin</w:t>
      </w:r>
      <w:r w:rsidR="00683ED7">
        <w:rPr>
          <w:lang w:eastAsia="cs-CZ"/>
        </w:rPr>
        <w:t>) se</w:t>
      </w:r>
      <w:r w:rsidR="00C208DB">
        <w:rPr>
          <w:lang w:eastAsia="cs-CZ"/>
        </w:rPr>
        <w:t> </w:t>
      </w:r>
      <w:r w:rsidR="00683ED7">
        <w:rPr>
          <w:lang w:eastAsia="cs-CZ"/>
        </w:rPr>
        <w:t>stanovuje, že</w:t>
      </w:r>
      <w:r w:rsidR="007A2A51">
        <w:rPr>
          <w:lang w:eastAsia="cs-CZ"/>
        </w:rPr>
        <w:t> </w:t>
      </w:r>
      <w:r w:rsidR="00683ED7">
        <w:rPr>
          <w:lang w:eastAsia="cs-CZ"/>
        </w:rPr>
        <w:t>mladistvý musí být z vazby propuštěn neprodleně po</w:t>
      </w:r>
      <w:r w:rsidR="005B6CBD">
        <w:rPr>
          <w:lang w:eastAsia="cs-CZ"/>
        </w:rPr>
        <w:t xml:space="preserve"> uplynutí doby, na niž byla vazba omezena. </w:t>
      </w:r>
      <w:r w:rsidR="00BD2AAB">
        <w:rPr>
          <w:lang w:eastAsia="cs-CZ"/>
        </w:rPr>
        <w:t xml:space="preserve">Doba, po kterou je mladistvý </w:t>
      </w:r>
      <w:r w:rsidR="00200D2B">
        <w:rPr>
          <w:lang w:eastAsia="cs-CZ"/>
        </w:rPr>
        <w:t xml:space="preserve">z důvodu </w:t>
      </w:r>
      <w:r w:rsidR="00927359">
        <w:rPr>
          <w:lang w:eastAsia="cs-CZ"/>
        </w:rPr>
        <w:t>prov</w:t>
      </w:r>
      <w:r w:rsidR="006B185C">
        <w:rPr>
          <w:lang w:eastAsia="cs-CZ"/>
        </w:rPr>
        <w:t>ádě</w:t>
      </w:r>
      <w:r w:rsidR="00927359">
        <w:rPr>
          <w:lang w:eastAsia="cs-CZ"/>
        </w:rPr>
        <w:t xml:space="preserve">ní nezbytných administrativních úkonů spojených s propuštěním z vazby </w:t>
      </w:r>
      <w:r w:rsidR="00BD2AAB">
        <w:rPr>
          <w:lang w:eastAsia="cs-CZ"/>
        </w:rPr>
        <w:t xml:space="preserve">držen ve vazbě </w:t>
      </w:r>
      <w:r w:rsidR="00200D2B">
        <w:rPr>
          <w:lang w:eastAsia="cs-CZ"/>
        </w:rPr>
        <w:t xml:space="preserve">i </w:t>
      </w:r>
      <w:r w:rsidR="00BD2AAB">
        <w:rPr>
          <w:lang w:eastAsia="cs-CZ"/>
        </w:rPr>
        <w:t>po uplynutí doby v</w:t>
      </w:r>
      <w:r w:rsidR="00200D2B">
        <w:rPr>
          <w:lang w:eastAsia="cs-CZ"/>
        </w:rPr>
        <w:t>azby, musí být vždy zkrácena na minimum.</w:t>
      </w:r>
    </w:p>
    <w:bookmarkEnd w:id="2"/>
    <w:p w14:paraId="0156FF8A" w14:textId="7F9462A1" w:rsidR="00C658AF" w:rsidRDefault="00C658AF" w:rsidP="00EA7258">
      <w:pPr>
        <w:pStyle w:val="Nadpis3"/>
      </w:pPr>
      <w:r>
        <w:t xml:space="preserve">K bodu </w:t>
      </w:r>
      <w:r w:rsidR="00CC721E">
        <w:t>6</w:t>
      </w:r>
      <w:r w:rsidR="00C713C2">
        <w:t xml:space="preserve"> (§ 47 odst. 7) </w:t>
      </w:r>
    </w:p>
    <w:p w14:paraId="650AF38E" w14:textId="6E1631D5" w:rsidR="00547D9E" w:rsidRPr="00547D9E" w:rsidRDefault="00DB1D8B" w:rsidP="00EA7258">
      <w:pPr>
        <w:rPr>
          <w:lang w:eastAsia="cs-CZ"/>
        </w:rPr>
      </w:pPr>
      <w:r>
        <w:rPr>
          <w:lang w:eastAsia="cs-CZ"/>
        </w:rPr>
        <w:t>V</w:t>
      </w:r>
      <w:r w:rsidR="00547D9E">
        <w:rPr>
          <w:lang w:eastAsia="cs-CZ"/>
        </w:rPr>
        <w:t>ět</w:t>
      </w:r>
      <w:r>
        <w:rPr>
          <w:lang w:eastAsia="cs-CZ"/>
        </w:rPr>
        <w:t>a</w:t>
      </w:r>
      <w:r w:rsidR="00547D9E">
        <w:rPr>
          <w:lang w:eastAsia="cs-CZ"/>
        </w:rPr>
        <w:t xml:space="preserve"> první dotčeného ustanovení je </w:t>
      </w:r>
      <w:r w:rsidR="00BF449F">
        <w:rPr>
          <w:lang w:eastAsia="cs-CZ"/>
        </w:rPr>
        <w:t xml:space="preserve">ve své podstatě </w:t>
      </w:r>
      <w:r w:rsidR="00547D9E">
        <w:rPr>
          <w:lang w:eastAsia="cs-CZ"/>
        </w:rPr>
        <w:t>duplicitní s úpravou obsaženou v §</w:t>
      </w:r>
      <w:r>
        <w:rPr>
          <w:lang w:eastAsia="cs-CZ"/>
        </w:rPr>
        <w:t> </w:t>
      </w:r>
      <w:r w:rsidR="00547D9E">
        <w:rPr>
          <w:lang w:eastAsia="cs-CZ"/>
        </w:rPr>
        <w:t>72a</w:t>
      </w:r>
      <w:r>
        <w:rPr>
          <w:lang w:eastAsia="cs-CZ"/>
        </w:rPr>
        <w:t> </w:t>
      </w:r>
      <w:r w:rsidR="00547D9E">
        <w:rPr>
          <w:lang w:eastAsia="cs-CZ"/>
        </w:rPr>
        <w:t xml:space="preserve">odst. </w:t>
      </w:r>
      <w:r w:rsidR="001B059F">
        <w:rPr>
          <w:lang w:eastAsia="cs-CZ"/>
        </w:rPr>
        <w:t>4</w:t>
      </w:r>
      <w:r w:rsidR="00547D9E">
        <w:rPr>
          <w:lang w:eastAsia="cs-CZ"/>
        </w:rPr>
        <w:t xml:space="preserve"> </w:t>
      </w:r>
      <w:proofErr w:type="spellStart"/>
      <w:r w:rsidR="00852C84">
        <w:rPr>
          <w:lang w:eastAsia="cs-CZ"/>
        </w:rPr>
        <w:t>tr</w:t>
      </w:r>
      <w:proofErr w:type="spellEnd"/>
      <w:r w:rsidR="00852C84">
        <w:rPr>
          <w:lang w:eastAsia="cs-CZ"/>
        </w:rPr>
        <w:t>. ř.</w:t>
      </w:r>
      <w:r w:rsidR="00BF449F">
        <w:rPr>
          <w:lang w:eastAsia="cs-CZ"/>
        </w:rPr>
        <w:t>, když vymezuje okamžik počátku doby trvání vazby</w:t>
      </w:r>
      <w:r w:rsidR="00547D9E">
        <w:rPr>
          <w:lang w:eastAsia="cs-CZ"/>
        </w:rPr>
        <w:t>.</w:t>
      </w:r>
      <w:r w:rsidR="001B059F">
        <w:rPr>
          <w:lang w:eastAsia="cs-CZ"/>
        </w:rPr>
        <w:t xml:space="preserve"> </w:t>
      </w:r>
      <w:r w:rsidR="00D01C55">
        <w:rPr>
          <w:lang w:eastAsia="cs-CZ"/>
        </w:rPr>
        <w:t xml:space="preserve">V tomto ohledu je třeba </w:t>
      </w:r>
      <w:proofErr w:type="gramStart"/>
      <w:r w:rsidR="00D01C55">
        <w:rPr>
          <w:lang w:eastAsia="cs-CZ"/>
        </w:rPr>
        <w:t>říci</w:t>
      </w:r>
      <w:proofErr w:type="gramEnd"/>
      <w:r w:rsidR="00D01C55">
        <w:rPr>
          <w:lang w:eastAsia="cs-CZ"/>
        </w:rPr>
        <w:t xml:space="preserve">, že stejnou úpravu obsahoval i trestní řád, a to až do novely </w:t>
      </w:r>
      <w:r w:rsidR="002A4F56">
        <w:rPr>
          <w:lang w:eastAsia="cs-CZ"/>
        </w:rPr>
        <w:t xml:space="preserve">provedené zákonem </w:t>
      </w:r>
      <w:r w:rsidR="00D01C55">
        <w:rPr>
          <w:lang w:eastAsia="cs-CZ"/>
        </w:rPr>
        <w:t>č.</w:t>
      </w:r>
      <w:r w:rsidR="002A4F56">
        <w:rPr>
          <w:lang w:eastAsia="cs-CZ"/>
        </w:rPr>
        <w:t> </w:t>
      </w:r>
      <w:r w:rsidR="00D01C55">
        <w:rPr>
          <w:lang w:eastAsia="cs-CZ"/>
        </w:rPr>
        <w:t xml:space="preserve">459/2011 Sb. </w:t>
      </w:r>
      <w:r w:rsidR="00266477">
        <w:rPr>
          <w:lang w:eastAsia="cs-CZ"/>
        </w:rPr>
        <w:t xml:space="preserve">Zmíněnou novelou byla úprava trestního řádu změněna a trestní řád se přiklonil k tzv. materiálnímu </w:t>
      </w:r>
      <w:r w:rsidR="00266477" w:rsidRPr="00266477">
        <w:rPr>
          <w:lang w:eastAsia="cs-CZ"/>
        </w:rPr>
        <w:t>posuzování doby omezení osobní svobody obviněného</w:t>
      </w:r>
      <w:r w:rsidR="00266477">
        <w:rPr>
          <w:lang w:eastAsia="cs-CZ"/>
        </w:rPr>
        <w:t xml:space="preserve">. </w:t>
      </w:r>
      <w:r w:rsidR="00F606EB">
        <w:rPr>
          <w:lang w:eastAsia="cs-CZ"/>
        </w:rPr>
        <w:t>Ke změně ZSVM odpovídajícím způsobem však nedošlo a v tomto ustanovení tak zůstalo pojetí původní, tzv.</w:t>
      </w:r>
      <w:r w:rsidR="002A4F56">
        <w:rPr>
          <w:lang w:eastAsia="cs-CZ"/>
        </w:rPr>
        <w:t> </w:t>
      </w:r>
      <w:r w:rsidR="00F606EB">
        <w:rPr>
          <w:lang w:eastAsia="cs-CZ"/>
        </w:rPr>
        <w:t>formální</w:t>
      </w:r>
      <w:r w:rsidR="00216907">
        <w:rPr>
          <w:lang w:eastAsia="cs-CZ"/>
        </w:rPr>
        <w:t xml:space="preserve">, kdy jsou zákonem alternativně vyjmenovány momenty považované za počátek doby vazby. </w:t>
      </w:r>
      <w:r w:rsidR="00827B81">
        <w:rPr>
          <w:lang w:eastAsia="cs-CZ"/>
        </w:rPr>
        <w:t xml:space="preserve">Jelikož </w:t>
      </w:r>
      <w:r w:rsidR="002A4F56">
        <w:rPr>
          <w:lang w:eastAsia="cs-CZ"/>
        </w:rPr>
        <w:t xml:space="preserve">se </w:t>
      </w:r>
      <w:r w:rsidR="00827B81">
        <w:rPr>
          <w:lang w:eastAsia="cs-CZ"/>
        </w:rPr>
        <w:t xml:space="preserve">v praxi mohou vyskytnout případy, kdy je posuzovaný okamžik počátkem doby vazby </w:t>
      </w:r>
      <w:r w:rsidR="00FE5592">
        <w:rPr>
          <w:lang w:eastAsia="cs-CZ"/>
        </w:rPr>
        <w:t>podle</w:t>
      </w:r>
      <w:r w:rsidR="00827B81">
        <w:rPr>
          <w:lang w:eastAsia="cs-CZ"/>
        </w:rPr>
        <w:t xml:space="preserve"> materiálního pojetí, ale </w:t>
      </w:r>
      <w:r w:rsidR="00FE5592">
        <w:rPr>
          <w:lang w:eastAsia="cs-CZ"/>
        </w:rPr>
        <w:t xml:space="preserve">již </w:t>
      </w:r>
      <w:r w:rsidR="00827B81">
        <w:rPr>
          <w:lang w:eastAsia="cs-CZ"/>
        </w:rPr>
        <w:t xml:space="preserve">nikoliv </w:t>
      </w:r>
      <w:r w:rsidR="00FE5592">
        <w:rPr>
          <w:lang w:eastAsia="cs-CZ"/>
        </w:rPr>
        <w:t>ve smyslu</w:t>
      </w:r>
      <w:r w:rsidR="00827B81">
        <w:rPr>
          <w:lang w:eastAsia="cs-CZ"/>
        </w:rPr>
        <w:t xml:space="preserve"> pojetí formálního, </w:t>
      </w:r>
      <w:r w:rsidR="00FE5592">
        <w:rPr>
          <w:lang w:eastAsia="cs-CZ"/>
        </w:rPr>
        <w:t>navrhuje se přiklonit se k materiálnímu pojetí i v případě mladistvých</w:t>
      </w:r>
      <w:r w:rsidR="00723093">
        <w:rPr>
          <w:lang w:eastAsia="cs-CZ"/>
        </w:rPr>
        <w:t xml:space="preserve"> a v této otázce subsidiárně použít </w:t>
      </w:r>
      <w:r w:rsidR="00E0163F">
        <w:rPr>
          <w:lang w:eastAsia="cs-CZ"/>
        </w:rPr>
        <w:t>trestní řád</w:t>
      </w:r>
      <w:r w:rsidR="00723093">
        <w:rPr>
          <w:lang w:eastAsia="cs-CZ"/>
        </w:rPr>
        <w:t xml:space="preserve">. </w:t>
      </w:r>
      <w:r w:rsidR="00E0163F">
        <w:rPr>
          <w:lang w:eastAsia="cs-CZ"/>
        </w:rPr>
        <w:t>Setrvání u dosavadní právní úpravy by</w:t>
      </w:r>
      <w:r w:rsidR="00723093">
        <w:rPr>
          <w:lang w:eastAsia="cs-CZ"/>
        </w:rPr>
        <w:t xml:space="preserve"> znamenal</w:t>
      </w:r>
      <w:r w:rsidR="00E0163F">
        <w:rPr>
          <w:lang w:eastAsia="cs-CZ"/>
        </w:rPr>
        <w:t>o</w:t>
      </w:r>
      <w:r w:rsidR="00723093">
        <w:rPr>
          <w:lang w:eastAsia="cs-CZ"/>
        </w:rPr>
        <w:t xml:space="preserve"> méně příznivou právní úpravu v případě mladistvých oproti dospělým obviněným (k tomuto srov. závěry ESLP v rozsudku ve věci </w:t>
      </w:r>
      <w:proofErr w:type="spellStart"/>
      <w:r w:rsidR="00723093" w:rsidRPr="007035A1">
        <w:rPr>
          <w:i/>
          <w:iCs/>
          <w:lang w:eastAsia="cs-CZ"/>
        </w:rPr>
        <w:t>Spišák</w:t>
      </w:r>
      <w:proofErr w:type="spellEnd"/>
      <w:r w:rsidR="00723093" w:rsidRPr="007035A1">
        <w:rPr>
          <w:i/>
          <w:iCs/>
          <w:lang w:eastAsia="cs-CZ"/>
        </w:rPr>
        <w:t xml:space="preserve"> proti České republice</w:t>
      </w:r>
      <w:r w:rsidR="00723093">
        <w:rPr>
          <w:lang w:eastAsia="cs-CZ"/>
        </w:rPr>
        <w:t>)</w:t>
      </w:r>
      <w:r w:rsidR="00E0163F">
        <w:rPr>
          <w:lang w:eastAsia="cs-CZ"/>
        </w:rPr>
        <w:t>.</w:t>
      </w:r>
      <w:r w:rsidR="00266477">
        <w:rPr>
          <w:lang w:eastAsia="cs-CZ"/>
        </w:rPr>
        <w:t xml:space="preserve"> </w:t>
      </w:r>
      <w:r w:rsidR="004630FD">
        <w:rPr>
          <w:lang w:eastAsia="cs-CZ"/>
        </w:rPr>
        <w:t>V</w:t>
      </w:r>
      <w:r w:rsidR="006A3E2D">
        <w:rPr>
          <w:lang w:eastAsia="cs-CZ"/>
        </w:rPr>
        <w:t xml:space="preserve"> otázce počátku doby trvání vazby se</w:t>
      </w:r>
      <w:r w:rsidR="004630FD">
        <w:rPr>
          <w:lang w:eastAsia="cs-CZ"/>
        </w:rPr>
        <w:t xml:space="preserve"> tak</w:t>
      </w:r>
      <w:r w:rsidR="006A3E2D">
        <w:rPr>
          <w:lang w:eastAsia="cs-CZ"/>
        </w:rPr>
        <w:t xml:space="preserve"> </w:t>
      </w:r>
      <w:r w:rsidR="009C7F0E">
        <w:rPr>
          <w:lang w:eastAsia="cs-CZ"/>
        </w:rPr>
        <w:t xml:space="preserve">napříště </w:t>
      </w:r>
      <w:r w:rsidR="006A3E2D">
        <w:rPr>
          <w:lang w:eastAsia="cs-CZ"/>
        </w:rPr>
        <w:t xml:space="preserve">uplatní </w:t>
      </w:r>
      <w:r w:rsidR="00DA6E3C">
        <w:rPr>
          <w:lang w:eastAsia="cs-CZ"/>
        </w:rPr>
        <w:t>obecná úprava obsažená v</w:t>
      </w:r>
      <w:r w:rsidR="00E0163F">
        <w:rPr>
          <w:lang w:eastAsia="cs-CZ"/>
        </w:rPr>
        <w:t xml:space="preserve"> § 72a odst. 4</w:t>
      </w:r>
      <w:r w:rsidR="006A3E2D">
        <w:rPr>
          <w:lang w:eastAsia="cs-CZ"/>
        </w:rPr>
        <w:t xml:space="preserve"> </w:t>
      </w:r>
      <w:proofErr w:type="spellStart"/>
      <w:r w:rsidR="00852C84">
        <w:rPr>
          <w:lang w:eastAsia="cs-CZ"/>
        </w:rPr>
        <w:t>tr</w:t>
      </w:r>
      <w:proofErr w:type="spellEnd"/>
      <w:r w:rsidR="00852C84">
        <w:rPr>
          <w:lang w:eastAsia="cs-CZ"/>
        </w:rPr>
        <w:t>. ř</w:t>
      </w:r>
      <w:r w:rsidR="006A3E2D">
        <w:rPr>
          <w:lang w:eastAsia="cs-CZ"/>
        </w:rPr>
        <w:t>.</w:t>
      </w:r>
    </w:p>
    <w:p w14:paraId="31632DA2" w14:textId="4E536016" w:rsidR="00C713C2" w:rsidRDefault="00C713C2" w:rsidP="00EA7258">
      <w:pPr>
        <w:pStyle w:val="Nadpis3"/>
      </w:pPr>
      <w:r>
        <w:t xml:space="preserve">K bodu </w:t>
      </w:r>
      <w:r w:rsidR="00CC721E">
        <w:t>7</w:t>
      </w:r>
      <w:r>
        <w:t xml:space="preserve"> (§ 47 odst. 8)</w:t>
      </w:r>
    </w:p>
    <w:p w14:paraId="43494E47" w14:textId="1A511604" w:rsidR="00547D9E" w:rsidRDefault="001B4168" w:rsidP="00EA7258">
      <w:pPr>
        <w:rPr>
          <w:lang w:eastAsia="cs-CZ"/>
        </w:rPr>
      </w:pPr>
      <w:bookmarkStart w:id="3" w:name="_Hlk203981648"/>
      <w:r>
        <w:rPr>
          <w:lang w:eastAsia="cs-CZ"/>
        </w:rPr>
        <w:t>U</w:t>
      </w:r>
      <w:r w:rsidR="001863BC">
        <w:rPr>
          <w:lang w:eastAsia="cs-CZ"/>
        </w:rPr>
        <w:t xml:space="preserve">stanovení </w:t>
      </w:r>
      <w:r w:rsidR="00EA4138">
        <w:rPr>
          <w:lang w:eastAsia="cs-CZ"/>
        </w:rPr>
        <w:t xml:space="preserve">doposud </w:t>
      </w:r>
      <w:r w:rsidR="001863BC">
        <w:rPr>
          <w:lang w:eastAsia="cs-CZ"/>
        </w:rPr>
        <w:t>upravující samostatné posuzování trvání vazby v určitých typech řízení</w:t>
      </w:r>
      <w:r w:rsidR="00DC6263">
        <w:rPr>
          <w:lang w:eastAsia="cs-CZ"/>
        </w:rPr>
        <w:t xml:space="preserve"> je </w:t>
      </w:r>
      <w:r w:rsidR="00547D9E">
        <w:rPr>
          <w:lang w:eastAsia="cs-CZ"/>
        </w:rPr>
        <w:t>terminologicky nesprávn</w:t>
      </w:r>
      <w:r w:rsidR="00DC6263">
        <w:rPr>
          <w:lang w:eastAsia="cs-CZ"/>
        </w:rPr>
        <w:t>é</w:t>
      </w:r>
      <w:r w:rsidR="00547D9E">
        <w:rPr>
          <w:lang w:eastAsia="cs-CZ"/>
        </w:rPr>
        <w:t>, neboť řízení o zrušení nálezu Ústavním soudem, na které odkazuje poznámka pod čarou č. 24, není mimořádným opravným prostředkem</w:t>
      </w:r>
      <w:r w:rsidR="00DC6263">
        <w:rPr>
          <w:lang w:eastAsia="cs-CZ"/>
        </w:rPr>
        <w:t>, a současně</w:t>
      </w:r>
      <w:r w:rsidR="008250DD">
        <w:rPr>
          <w:lang w:eastAsia="cs-CZ"/>
        </w:rPr>
        <w:t xml:space="preserve"> na rozdíl od úpravy trestního řádu</w:t>
      </w:r>
      <w:r w:rsidR="00DC6263">
        <w:rPr>
          <w:lang w:eastAsia="cs-CZ"/>
        </w:rPr>
        <w:t xml:space="preserve"> </w:t>
      </w:r>
      <w:r w:rsidR="003938D4">
        <w:rPr>
          <w:lang w:eastAsia="cs-CZ"/>
        </w:rPr>
        <w:t>ne</w:t>
      </w:r>
      <w:r w:rsidR="00AC314B">
        <w:rPr>
          <w:lang w:eastAsia="cs-CZ"/>
        </w:rPr>
        <w:t>zahrnuje</w:t>
      </w:r>
      <w:r w:rsidR="008250DD">
        <w:rPr>
          <w:lang w:eastAsia="cs-CZ"/>
        </w:rPr>
        <w:t xml:space="preserve"> vazbu </w:t>
      </w:r>
      <w:r w:rsidR="00873E21">
        <w:rPr>
          <w:lang w:eastAsia="cs-CZ"/>
        </w:rPr>
        <w:t xml:space="preserve">v řízení o výkonu trestu vyhoštění </w:t>
      </w:r>
      <w:r w:rsidR="008250DD">
        <w:rPr>
          <w:lang w:eastAsia="cs-CZ"/>
        </w:rPr>
        <w:t>podle § 350c</w:t>
      </w:r>
      <w:r w:rsidR="00192C98">
        <w:rPr>
          <w:lang w:eastAsia="cs-CZ"/>
        </w:rPr>
        <w:t xml:space="preserve"> </w:t>
      </w:r>
      <w:r w:rsidR="008250DD">
        <w:rPr>
          <w:lang w:eastAsia="cs-CZ"/>
        </w:rPr>
        <w:t xml:space="preserve">odst. 1 </w:t>
      </w:r>
      <w:proofErr w:type="spellStart"/>
      <w:r w:rsidR="00852C84">
        <w:rPr>
          <w:lang w:eastAsia="cs-CZ"/>
        </w:rPr>
        <w:t>tr</w:t>
      </w:r>
      <w:proofErr w:type="spellEnd"/>
      <w:r w:rsidR="00852C84">
        <w:rPr>
          <w:lang w:eastAsia="cs-CZ"/>
        </w:rPr>
        <w:t>. ř.</w:t>
      </w:r>
      <w:r w:rsidR="008250DD">
        <w:rPr>
          <w:lang w:eastAsia="cs-CZ"/>
        </w:rPr>
        <w:t xml:space="preserve"> a vazbu v řízení podle zákona o mezinárodní justiční spolupráci</w:t>
      </w:r>
      <w:r w:rsidR="00F55F09">
        <w:rPr>
          <w:lang w:eastAsia="cs-CZ"/>
        </w:rPr>
        <w:t xml:space="preserve"> ve věcech trestních</w:t>
      </w:r>
      <w:r w:rsidR="008250DD">
        <w:rPr>
          <w:lang w:eastAsia="cs-CZ"/>
        </w:rPr>
        <w:t>.</w:t>
      </w:r>
      <w:r w:rsidR="00AC314B">
        <w:rPr>
          <w:lang w:eastAsia="cs-CZ"/>
        </w:rPr>
        <w:t xml:space="preserve"> </w:t>
      </w:r>
      <w:r w:rsidR="00F55F09">
        <w:rPr>
          <w:lang w:eastAsia="cs-CZ"/>
        </w:rPr>
        <w:br/>
      </w:r>
      <w:r w:rsidR="00F767BE">
        <w:rPr>
          <w:lang w:eastAsia="cs-CZ"/>
        </w:rPr>
        <w:t>V této otázce se proto subsidiárně použije úprava trestního řádu, konkrétně §</w:t>
      </w:r>
      <w:r w:rsidR="00F55F09">
        <w:rPr>
          <w:lang w:eastAsia="cs-CZ"/>
        </w:rPr>
        <w:t> </w:t>
      </w:r>
      <w:r w:rsidR="00F767BE">
        <w:rPr>
          <w:lang w:eastAsia="cs-CZ"/>
        </w:rPr>
        <w:t>72a</w:t>
      </w:r>
      <w:r w:rsidR="00F55F09">
        <w:rPr>
          <w:lang w:eastAsia="cs-CZ"/>
        </w:rPr>
        <w:t> </w:t>
      </w:r>
      <w:r w:rsidR="00F767BE">
        <w:rPr>
          <w:lang w:eastAsia="cs-CZ"/>
        </w:rPr>
        <w:t>odst.</w:t>
      </w:r>
      <w:r w:rsidR="00F55F09">
        <w:rPr>
          <w:lang w:eastAsia="cs-CZ"/>
        </w:rPr>
        <w:t> </w:t>
      </w:r>
      <w:r w:rsidR="00F767BE">
        <w:rPr>
          <w:lang w:eastAsia="cs-CZ"/>
        </w:rPr>
        <w:t>5</w:t>
      </w:r>
      <w:r w:rsidR="00F55F09">
        <w:rPr>
          <w:lang w:eastAsia="cs-CZ"/>
        </w:rPr>
        <w:t> </w:t>
      </w:r>
      <w:proofErr w:type="spellStart"/>
      <w:r w:rsidR="00852C84">
        <w:rPr>
          <w:lang w:eastAsia="cs-CZ"/>
        </w:rPr>
        <w:t>tr</w:t>
      </w:r>
      <w:proofErr w:type="spellEnd"/>
      <w:r w:rsidR="00852C84">
        <w:rPr>
          <w:lang w:eastAsia="cs-CZ"/>
        </w:rPr>
        <w:t>.</w:t>
      </w:r>
      <w:r w:rsidR="00F55F09">
        <w:rPr>
          <w:lang w:eastAsia="cs-CZ"/>
        </w:rPr>
        <w:t> </w:t>
      </w:r>
      <w:r w:rsidR="00852C84">
        <w:rPr>
          <w:lang w:eastAsia="cs-CZ"/>
        </w:rPr>
        <w:t>ř.</w:t>
      </w:r>
      <w:r w:rsidR="00F767BE">
        <w:rPr>
          <w:lang w:eastAsia="cs-CZ"/>
        </w:rPr>
        <w:t>,</w:t>
      </w:r>
      <w:r w:rsidR="00F14595">
        <w:rPr>
          <w:lang w:eastAsia="cs-CZ"/>
        </w:rPr>
        <w:t xml:space="preserve"> prostřednictvím </w:t>
      </w:r>
      <w:r w:rsidR="00FE23EF">
        <w:rPr>
          <w:lang w:eastAsia="cs-CZ"/>
        </w:rPr>
        <w:t>které</w:t>
      </w:r>
      <w:r w:rsidR="00F14595">
        <w:rPr>
          <w:lang w:eastAsia="cs-CZ"/>
        </w:rPr>
        <w:t xml:space="preserve"> se výslovně stanoví, že i v případě mladistvých se délka</w:t>
      </w:r>
      <w:r w:rsidR="00F767BE">
        <w:rPr>
          <w:lang w:eastAsia="cs-CZ"/>
        </w:rPr>
        <w:t xml:space="preserve"> </w:t>
      </w:r>
      <w:r w:rsidR="00F14595">
        <w:rPr>
          <w:lang w:eastAsia="cs-CZ"/>
        </w:rPr>
        <w:t>těchto typů vazby posuzuje samostatně a nezávisle na vazbě v původním řízení.</w:t>
      </w:r>
    </w:p>
    <w:p w14:paraId="3513ABF2" w14:textId="56D8AD45" w:rsidR="00F14595" w:rsidRPr="00547D9E" w:rsidRDefault="0097504B" w:rsidP="00EA7258">
      <w:r>
        <w:rPr>
          <w:lang w:eastAsia="cs-CZ"/>
        </w:rPr>
        <w:t xml:space="preserve">Namísto toho </w:t>
      </w:r>
      <w:r w:rsidR="00FE23EF">
        <w:rPr>
          <w:lang w:eastAsia="cs-CZ"/>
        </w:rPr>
        <w:t xml:space="preserve">se do ZSVM zakotvuje úprava obdobná § 72b </w:t>
      </w:r>
      <w:proofErr w:type="spellStart"/>
      <w:r w:rsidR="00852C84">
        <w:rPr>
          <w:lang w:eastAsia="cs-CZ"/>
        </w:rPr>
        <w:t>tr</w:t>
      </w:r>
      <w:proofErr w:type="spellEnd"/>
      <w:r w:rsidR="00852C84">
        <w:rPr>
          <w:lang w:eastAsia="cs-CZ"/>
        </w:rPr>
        <w:t>. ř.</w:t>
      </w:r>
      <w:r w:rsidR="00FE23EF">
        <w:rPr>
          <w:lang w:eastAsia="cs-CZ"/>
        </w:rPr>
        <w:t xml:space="preserve"> o nezapočítání </w:t>
      </w:r>
      <w:r w:rsidR="00156C04" w:rsidRPr="00156C04">
        <w:t>doby vazby od</w:t>
      </w:r>
      <w:r w:rsidR="00EA7258">
        <w:t> </w:t>
      </w:r>
      <w:r w:rsidR="00156C04" w:rsidRPr="00156C04">
        <w:t>vyhlášení rozsudku do nařízení výkonu tre</w:t>
      </w:r>
      <w:r w:rsidR="00156C04">
        <w:t>stního opatření</w:t>
      </w:r>
      <w:r w:rsidR="00156C04" w:rsidRPr="00156C04">
        <w:t xml:space="preserve"> odnětí svobody do celkové doby trvání vazby</w:t>
      </w:r>
      <w:r w:rsidR="00156C04">
        <w:t xml:space="preserve"> vymezené v § 47 odst. 1 ZSVM.</w:t>
      </w:r>
      <w:r w:rsidR="00FF42C7">
        <w:t xml:space="preserve"> I v případě mladistvého je na místě </w:t>
      </w:r>
      <w:r w:rsidR="00A842D0">
        <w:t xml:space="preserve">zabránit situaci, kdy by odsouzený mladistvý byl </w:t>
      </w:r>
      <w:r w:rsidR="00370BA4">
        <w:t>po vyhlášení odsuzujícího rozsudku, ale ještě před nastoupení</w:t>
      </w:r>
      <w:r w:rsidR="00B815D7">
        <w:t>m</w:t>
      </w:r>
      <w:r w:rsidR="00370BA4">
        <w:t xml:space="preserve"> výkonu nepodmíněného trestního opatření odnětí svobody</w:t>
      </w:r>
      <w:r w:rsidR="0052650E">
        <w:t>,</w:t>
      </w:r>
      <w:r w:rsidR="00370BA4">
        <w:t xml:space="preserve"> </w:t>
      </w:r>
      <w:r w:rsidR="00A842D0">
        <w:t>z vazby propuštěn z důvodu dosažení maximální doby trvání vazby</w:t>
      </w:r>
      <w:r w:rsidR="00E109B8">
        <w:t>. Tímto se zajišťuje ochrana</w:t>
      </w:r>
      <w:r w:rsidR="00BB3D4D">
        <w:t xml:space="preserve"> společnosti</w:t>
      </w:r>
      <w:r w:rsidR="00742CDA">
        <w:t xml:space="preserve"> </w:t>
      </w:r>
      <w:r w:rsidR="00BB3D4D">
        <w:t xml:space="preserve">před recidivou </w:t>
      </w:r>
      <w:r w:rsidR="00E109B8">
        <w:t xml:space="preserve">mladistvého </w:t>
      </w:r>
      <w:r w:rsidR="00BB3D4D">
        <w:t>odsouzeného</w:t>
      </w:r>
      <w:r w:rsidR="00565975">
        <w:t xml:space="preserve"> především s ohledem </w:t>
      </w:r>
      <w:r w:rsidR="002D7F99">
        <w:t xml:space="preserve">na </w:t>
      </w:r>
      <w:r w:rsidR="0052650E">
        <w:t xml:space="preserve">velmi </w:t>
      </w:r>
      <w:r w:rsidR="002D7F99">
        <w:t>omezenou délku doby vazby v řízení o zvlášť závažném provinění</w:t>
      </w:r>
      <w:r w:rsidR="00565975">
        <w:t xml:space="preserve"> oproti dobám stanoveným v trestním řádu.</w:t>
      </w:r>
    </w:p>
    <w:bookmarkEnd w:id="3"/>
    <w:p w14:paraId="6E6D6153" w14:textId="04EF7642" w:rsidR="00C713C2" w:rsidRDefault="00C713C2" w:rsidP="00EA7258">
      <w:pPr>
        <w:pStyle w:val="Nadpis3"/>
      </w:pPr>
      <w:r>
        <w:t xml:space="preserve">K bodu </w:t>
      </w:r>
      <w:r w:rsidR="00CC721E">
        <w:t>8</w:t>
      </w:r>
      <w:r>
        <w:t xml:space="preserve"> (§ 47 odst. 9)</w:t>
      </w:r>
    </w:p>
    <w:p w14:paraId="79A00710" w14:textId="2658BF06" w:rsidR="001D00A0" w:rsidRPr="001D00A0" w:rsidRDefault="001D00A0" w:rsidP="00EA7258">
      <w:pPr>
        <w:rPr>
          <w:lang w:eastAsia="cs-CZ"/>
        </w:rPr>
      </w:pPr>
      <w:bookmarkStart w:id="4" w:name="_Hlk203981488"/>
      <w:r>
        <w:rPr>
          <w:lang w:eastAsia="cs-CZ"/>
        </w:rPr>
        <w:t>Možnost uložení dohledu probačního úředníka nad mladistvým po propuštění z vazby se</w:t>
      </w:r>
      <w:r w:rsidR="009124CC">
        <w:rPr>
          <w:lang w:eastAsia="cs-CZ"/>
        </w:rPr>
        <w:t> </w:t>
      </w:r>
      <w:r>
        <w:rPr>
          <w:lang w:eastAsia="cs-CZ"/>
        </w:rPr>
        <w:t xml:space="preserve">vypouští, a to s ohledem na </w:t>
      </w:r>
      <w:r w:rsidR="0013127F">
        <w:rPr>
          <w:lang w:eastAsia="cs-CZ"/>
        </w:rPr>
        <w:t xml:space="preserve">závěry, které vyslovil ESLP v již zmíněném rozsudku ve věci </w:t>
      </w:r>
      <w:proofErr w:type="spellStart"/>
      <w:r w:rsidR="0013127F" w:rsidRPr="0013127F">
        <w:rPr>
          <w:i/>
          <w:iCs/>
          <w:lang w:eastAsia="cs-CZ"/>
        </w:rPr>
        <w:t>Spišák</w:t>
      </w:r>
      <w:proofErr w:type="spellEnd"/>
      <w:r w:rsidR="0013127F" w:rsidRPr="0013127F">
        <w:rPr>
          <w:i/>
          <w:iCs/>
          <w:lang w:eastAsia="cs-CZ"/>
        </w:rPr>
        <w:t xml:space="preserve"> proti České republice</w:t>
      </w:r>
      <w:r w:rsidR="00323B4B">
        <w:rPr>
          <w:i/>
          <w:iCs/>
          <w:lang w:eastAsia="cs-CZ"/>
        </w:rPr>
        <w:t xml:space="preserve">, </w:t>
      </w:r>
      <w:r w:rsidR="00323B4B">
        <w:rPr>
          <w:lang w:eastAsia="cs-CZ"/>
        </w:rPr>
        <w:t xml:space="preserve">a skutečnost, že trestní řád podobnou možnost </w:t>
      </w:r>
      <w:r w:rsidR="00CE07FE">
        <w:rPr>
          <w:lang w:eastAsia="cs-CZ"/>
        </w:rPr>
        <w:t>ve vztahu k</w:t>
      </w:r>
      <w:r w:rsidR="00285865">
        <w:rPr>
          <w:lang w:eastAsia="cs-CZ"/>
        </w:rPr>
        <w:t> </w:t>
      </w:r>
      <w:r w:rsidR="00CE07FE">
        <w:rPr>
          <w:lang w:eastAsia="cs-CZ"/>
        </w:rPr>
        <w:t>dospělým obviněným nepřipouští</w:t>
      </w:r>
      <w:r w:rsidR="0013127F">
        <w:rPr>
          <w:lang w:eastAsia="cs-CZ"/>
        </w:rPr>
        <w:t xml:space="preserve">. </w:t>
      </w:r>
      <w:r w:rsidR="00E45340">
        <w:rPr>
          <w:lang w:eastAsia="cs-CZ"/>
        </w:rPr>
        <w:t xml:space="preserve">Ukládání dohledu bez existence důvodů vazby nelze ospravedlnit ani krátkými dobami trvání vazby doby, neboť pokud i po propuštění mladistvého z vazby z důvodu dosažení maximální přípustné doby trvání vazby vazební důvody přetrvávají, lze využít některá z opatření nahrazujících vazbu. </w:t>
      </w:r>
      <w:r w:rsidR="00417AB7">
        <w:rPr>
          <w:lang w:eastAsia="cs-CZ"/>
        </w:rPr>
        <w:t xml:space="preserve">Pokud </w:t>
      </w:r>
      <w:r w:rsidR="00E45340">
        <w:rPr>
          <w:lang w:eastAsia="cs-CZ"/>
        </w:rPr>
        <w:t xml:space="preserve">tedy </w:t>
      </w:r>
      <w:r w:rsidR="00417AB7">
        <w:rPr>
          <w:lang w:eastAsia="cs-CZ"/>
        </w:rPr>
        <w:t>existují důvody vazby, lze dohled probačního úředníka uložit jako opatření nahrazující vazbu podle § 73</w:t>
      </w:r>
      <w:r w:rsidR="007A5639">
        <w:rPr>
          <w:lang w:eastAsia="cs-CZ"/>
        </w:rPr>
        <w:t xml:space="preserve"> odst. 1 písm. c) </w:t>
      </w:r>
      <w:proofErr w:type="spellStart"/>
      <w:r w:rsidR="00DF1DDF">
        <w:rPr>
          <w:lang w:eastAsia="cs-CZ"/>
        </w:rPr>
        <w:t>tr</w:t>
      </w:r>
      <w:proofErr w:type="spellEnd"/>
      <w:r w:rsidR="00DF1DDF">
        <w:rPr>
          <w:lang w:eastAsia="cs-CZ"/>
        </w:rPr>
        <w:t>. ř.</w:t>
      </w:r>
      <w:r w:rsidR="007A5639">
        <w:rPr>
          <w:lang w:eastAsia="cs-CZ"/>
        </w:rPr>
        <w:t xml:space="preserve"> ve</w:t>
      </w:r>
      <w:r w:rsidR="00EA7258">
        <w:rPr>
          <w:lang w:eastAsia="cs-CZ"/>
        </w:rPr>
        <w:t> </w:t>
      </w:r>
      <w:r w:rsidR="007A5639">
        <w:rPr>
          <w:lang w:eastAsia="cs-CZ"/>
        </w:rPr>
        <w:t xml:space="preserve">spojení s </w:t>
      </w:r>
      <w:r w:rsidR="00417AB7">
        <w:rPr>
          <w:lang w:eastAsia="cs-CZ"/>
        </w:rPr>
        <w:t>§</w:t>
      </w:r>
      <w:r w:rsidR="007A5639">
        <w:rPr>
          <w:lang w:eastAsia="cs-CZ"/>
        </w:rPr>
        <w:t> </w:t>
      </w:r>
      <w:r w:rsidR="00417AB7">
        <w:rPr>
          <w:lang w:eastAsia="cs-CZ"/>
        </w:rPr>
        <w:t>1 odst. 3 ZSVM</w:t>
      </w:r>
      <w:r w:rsidR="00A849C9">
        <w:rPr>
          <w:lang w:eastAsia="cs-CZ"/>
        </w:rPr>
        <w:t>, a to</w:t>
      </w:r>
      <w:r w:rsidR="00EB19B7">
        <w:rPr>
          <w:lang w:eastAsia="cs-CZ"/>
        </w:rPr>
        <w:t xml:space="preserve"> i</w:t>
      </w:r>
      <w:r w:rsidR="00A849C9">
        <w:rPr>
          <w:lang w:eastAsia="cs-CZ"/>
        </w:rPr>
        <w:t xml:space="preserve"> bez souhlasu mladistvého</w:t>
      </w:r>
      <w:r w:rsidR="007A5639">
        <w:rPr>
          <w:lang w:eastAsia="cs-CZ"/>
        </w:rPr>
        <w:t xml:space="preserve">. Jestliže však důvody vazby </w:t>
      </w:r>
      <w:r w:rsidR="007A5639">
        <w:rPr>
          <w:lang w:eastAsia="cs-CZ"/>
        </w:rPr>
        <w:lastRenderedPageBreak/>
        <w:t xml:space="preserve">nejsou </w:t>
      </w:r>
      <w:r w:rsidR="0097504B">
        <w:rPr>
          <w:lang w:eastAsia="cs-CZ"/>
        </w:rPr>
        <w:t>dány</w:t>
      </w:r>
      <w:r w:rsidR="007A5639">
        <w:rPr>
          <w:lang w:eastAsia="cs-CZ"/>
        </w:rPr>
        <w:t>, je možné dohled jakožto výcho</w:t>
      </w:r>
      <w:r w:rsidR="00A849C9">
        <w:rPr>
          <w:lang w:eastAsia="cs-CZ"/>
        </w:rPr>
        <w:t xml:space="preserve">vné opatření uložit v průběhu </w:t>
      </w:r>
      <w:r w:rsidR="00EB19B7">
        <w:rPr>
          <w:lang w:eastAsia="cs-CZ"/>
        </w:rPr>
        <w:t>trestního řízení pouze se souhlasem mladistvého, proti němuž se řízení vede, a to v souladu s</w:t>
      </w:r>
      <w:r w:rsidR="00EA7258">
        <w:rPr>
          <w:lang w:eastAsia="cs-CZ"/>
        </w:rPr>
        <w:t> </w:t>
      </w:r>
      <w:r w:rsidR="00EB19B7">
        <w:rPr>
          <w:lang w:eastAsia="cs-CZ"/>
        </w:rPr>
        <w:t>§</w:t>
      </w:r>
      <w:r w:rsidR="00E45340">
        <w:rPr>
          <w:lang w:eastAsia="cs-CZ"/>
        </w:rPr>
        <w:t> </w:t>
      </w:r>
      <w:r w:rsidR="00EB19B7">
        <w:rPr>
          <w:lang w:eastAsia="cs-CZ"/>
        </w:rPr>
        <w:t>15 odst.</w:t>
      </w:r>
      <w:r w:rsidR="000115BA">
        <w:rPr>
          <w:lang w:eastAsia="cs-CZ"/>
        </w:rPr>
        <w:t> </w:t>
      </w:r>
      <w:r w:rsidR="00EB19B7">
        <w:rPr>
          <w:lang w:eastAsia="cs-CZ"/>
        </w:rPr>
        <w:t xml:space="preserve">3 ZSVM. </w:t>
      </w:r>
    </w:p>
    <w:bookmarkEnd w:id="4"/>
    <w:p w14:paraId="4ADEFA8F" w14:textId="022C25D1" w:rsidR="00C713C2" w:rsidRDefault="00C713C2" w:rsidP="00EA7258">
      <w:pPr>
        <w:pStyle w:val="Nadpis3"/>
      </w:pPr>
      <w:r>
        <w:t xml:space="preserve">K bodu </w:t>
      </w:r>
      <w:r w:rsidR="00CC721E">
        <w:t>9</w:t>
      </w:r>
      <w:r>
        <w:t xml:space="preserve"> (§ 48 odst. 2)</w:t>
      </w:r>
    </w:p>
    <w:p w14:paraId="329DFC90" w14:textId="31475A6A" w:rsidR="00C713C2" w:rsidRDefault="00BA2CB3" w:rsidP="00EA7258">
      <w:pPr>
        <w:rPr>
          <w:lang w:eastAsia="cs-CZ"/>
        </w:rPr>
      </w:pPr>
      <w:bookmarkStart w:id="5" w:name="_Hlk203980051"/>
      <w:r>
        <w:rPr>
          <w:lang w:eastAsia="cs-CZ"/>
        </w:rPr>
        <w:t xml:space="preserve">V souladu se závěry vyslovenými ESLP v rozsudku ve věci </w:t>
      </w:r>
      <w:proofErr w:type="spellStart"/>
      <w:r w:rsidRPr="000D3118">
        <w:rPr>
          <w:i/>
          <w:iCs/>
          <w:lang w:eastAsia="cs-CZ"/>
        </w:rPr>
        <w:t>Spišák</w:t>
      </w:r>
      <w:proofErr w:type="spellEnd"/>
      <w:r w:rsidRPr="000D3118">
        <w:rPr>
          <w:i/>
          <w:iCs/>
          <w:lang w:eastAsia="cs-CZ"/>
        </w:rPr>
        <w:t xml:space="preserve"> prot</w:t>
      </w:r>
      <w:r w:rsidR="00081CF1" w:rsidRPr="000D3118">
        <w:rPr>
          <w:i/>
          <w:iCs/>
          <w:lang w:eastAsia="cs-CZ"/>
        </w:rPr>
        <w:t>i</w:t>
      </w:r>
      <w:r w:rsidRPr="000D3118">
        <w:rPr>
          <w:i/>
          <w:iCs/>
          <w:lang w:eastAsia="cs-CZ"/>
        </w:rPr>
        <w:t xml:space="preserve"> České republice</w:t>
      </w:r>
      <w:r>
        <w:rPr>
          <w:lang w:eastAsia="cs-CZ"/>
        </w:rPr>
        <w:t xml:space="preserve"> se</w:t>
      </w:r>
      <w:r w:rsidR="00091604">
        <w:rPr>
          <w:lang w:eastAsia="cs-CZ"/>
        </w:rPr>
        <w:t> </w:t>
      </w:r>
      <w:r>
        <w:rPr>
          <w:lang w:eastAsia="cs-CZ"/>
        </w:rPr>
        <w:t xml:space="preserve">výslovně zakotvuje obdobné použití § 72 </w:t>
      </w:r>
      <w:proofErr w:type="spellStart"/>
      <w:r>
        <w:rPr>
          <w:lang w:eastAsia="cs-CZ"/>
        </w:rPr>
        <w:t>tr</w:t>
      </w:r>
      <w:proofErr w:type="spellEnd"/>
      <w:r>
        <w:rPr>
          <w:lang w:eastAsia="cs-CZ"/>
        </w:rPr>
        <w:t>. ř. upravující</w:t>
      </w:r>
      <w:r w:rsidR="008F3F99">
        <w:rPr>
          <w:lang w:eastAsia="cs-CZ"/>
        </w:rPr>
        <w:t>ho</w:t>
      </w:r>
      <w:r>
        <w:rPr>
          <w:lang w:eastAsia="cs-CZ"/>
        </w:rPr>
        <w:t xml:space="preserve"> </w:t>
      </w:r>
      <w:r w:rsidR="009D59CF">
        <w:rPr>
          <w:lang w:eastAsia="cs-CZ"/>
        </w:rPr>
        <w:t xml:space="preserve">zejména </w:t>
      </w:r>
      <w:r>
        <w:rPr>
          <w:lang w:eastAsia="cs-CZ"/>
        </w:rPr>
        <w:t>tzv. periodický přezkum</w:t>
      </w:r>
      <w:r w:rsidR="006847DE">
        <w:rPr>
          <w:lang w:eastAsia="cs-CZ"/>
        </w:rPr>
        <w:t xml:space="preserve"> </w:t>
      </w:r>
      <w:r w:rsidR="008F3F99">
        <w:rPr>
          <w:lang w:eastAsia="cs-CZ"/>
        </w:rPr>
        <w:t xml:space="preserve">vazby </w:t>
      </w:r>
      <w:r w:rsidR="006847DE">
        <w:rPr>
          <w:lang w:eastAsia="cs-CZ"/>
        </w:rPr>
        <w:t xml:space="preserve">z úřední povinnosti, </w:t>
      </w:r>
      <w:r w:rsidR="006847DE">
        <w:t>kdy soud, resp. v přípravném řízení soudce, je povinen nejpozději každé 3</w:t>
      </w:r>
      <w:r w:rsidR="00091604">
        <w:t> </w:t>
      </w:r>
      <w:r w:rsidR="006847DE">
        <w:t>měsíce od právní moci rozhodnutí o vazbě rozhodnout, zda se obviněný i nadále ponechává ve vazbě, nebo zda se z vazby propouští. Judikatura však opakovaně dospěla k závěru, že</w:t>
      </w:r>
      <w:r w:rsidR="00EA7258">
        <w:t> </w:t>
      </w:r>
      <w:r w:rsidR="006847DE">
        <w:t>u</w:t>
      </w:r>
      <w:r w:rsidR="00EA7258">
        <w:t> </w:t>
      </w:r>
      <w:r w:rsidR="006847DE">
        <w:t xml:space="preserve">mladistvých se § 72 odst. 1 </w:t>
      </w:r>
      <w:proofErr w:type="spellStart"/>
      <w:r w:rsidR="006847DE">
        <w:t>tr</w:t>
      </w:r>
      <w:proofErr w:type="spellEnd"/>
      <w:r w:rsidR="00091604">
        <w:t xml:space="preserve">. ř. </w:t>
      </w:r>
      <w:r w:rsidR="006847DE">
        <w:t xml:space="preserve">nepoužije, </w:t>
      </w:r>
      <w:r w:rsidR="008F3F99">
        <w:t xml:space="preserve">když podle ní je </w:t>
      </w:r>
      <w:r w:rsidR="006847DE">
        <w:t xml:space="preserve">§ 47 odst. 1 ZSVM upravující maximální přípustnou délku vazby mladistvého a možnost jejího prodloužení vůči tomuto ustanovení trestního řádu speciální (srov. např. </w:t>
      </w:r>
      <w:r w:rsidR="006847DE" w:rsidRPr="00A27370">
        <w:t>usnesení Nejvyššího soudu ze dne 13.</w:t>
      </w:r>
      <w:r w:rsidR="008F3F99">
        <w:t> </w:t>
      </w:r>
      <w:r w:rsidR="006847DE" w:rsidRPr="00A27370">
        <w:t xml:space="preserve">10. 2004, </w:t>
      </w:r>
      <w:proofErr w:type="spellStart"/>
      <w:r w:rsidR="006847DE" w:rsidRPr="00A27370">
        <w:t>sp</w:t>
      </w:r>
      <w:proofErr w:type="spellEnd"/>
      <w:r w:rsidR="006847DE" w:rsidRPr="00A27370">
        <w:t>.</w:t>
      </w:r>
      <w:r w:rsidR="00EA7258">
        <w:t> </w:t>
      </w:r>
      <w:r w:rsidR="006847DE" w:rsidRPr="00A27370">
        <w:t>zn.</w:t>
      </w:r>
      <w:r w:rsidR="00EA7258">
        <w:t> </w:t>
      </w:r>
      <w:r w:rsidR="006847DE" w:rsidRPr="00A27370">
        <w:t>8</w:t>
      </w:r>
      <w:r w:rsidR="006847DE">
        <w:t> </w:t>
      </w:r>
      <w:proofErr w:type="spellStart"/>
      <w:r w:rsidR="006847DE" w:rsidRPr="00A27370">
        <w:t>Tvo</w:t>
      </w:r>
      <w:proofErr w:type="spellEnd"/>
      <w:r w:rsidR="006847DE" w:rsidRPr="00A27370">
        <w:t xml:space="preserve"> 45/2004</w:t>
      </w:r>
      <w:r w:rsidR="006847DE">
        <w:t>, n</w:t>
      </w:r>
      <w:r w:rsidR="006847DE" w:rsidRPr="002D6DA8">
        <w:t xml:space="preserve">ález Ústavního soudu ze dne 16. 3. 2006, </w:t>
      </w:r>
      <w:proofErr w:type="spellStart"/>
      <w:r w:rsidR="006847DE" w:rsidRPr="002D6DA8">
        <w:t>sp</w:t>
      </w:r>
      <w:proofErr w:type="spellEnd"/>
      <w:r w:rsidR="006847DE" w:rsidRPr="002D6DA8">
        <w:t>. zn. II. ÚS 663/05</w:t>
      </w:r>
      <w:r w:rsidR="006847DE">
        <w:t>, u</w:t>
      </w:r>
      <w:r w:rsidR="006847DE" w:rsidRPr="00C7137D">
        <w:t xml:space="preserve">snesení Nejvyššího soudu ze dne 6. 11. 2013, </w:t>
      </w:r>
      <w:proofErr w:type="spellStart"/>
      <w:r w:rsidR="006847DE" w:rsidRPr="00C7137D">
        <w:t>sp</w:t>
      </w:r>
      <w:proofErr w:type="spellEnd"/>
      <w:r w:rsidR="006847DE" w:rsidRPr="00C7137D">
        <w:t xml:space="preserve">. zn. 8 </w:t>
      </w:r>
      <w:proofErr w:type="spellStart"/>
      <w:r w:rsidR="006847DE" w:rsidRPr="00C7137D">
        <w:t>Tvo</w:t>
      </w:r>
      <w:proofErr w:type="spellEnd"/>
      <w:r w:rsidR="006847DE" w:rsidRPr="00C7137D">
        <w:t xml:space="preserve"> 35/2013</w:t>
      </w:r>
      <w:r w:rsidR="006847DE">
        <w:t xml:space="preserve"> či usnesení </w:t>
      </w:r>
      <w:r w:rsidR="006847DE" w:rsidRPr="00EF089B">
        <w:t>Vrchní</w:t>
      </w:r>
      <w:r w:rsidR="006847DE">
        <w:t xml:space="preserve">ho </w:t>
      </w:r>
      <w:r w:rsidR="006847DE" w:rsidRPr="00EF089B">
        <w:t>soud</w:t>
      </w:r>
      <w:r w:rsidR="006847DE">
        <w:t>u</w:t>
      </w:r>
      <w:r w:rsidR="006847DE" w:rsidRPr="00EF089B">
        <w:t xml:space="preserve"> v</w:t>
      </w:r>
      <w:r w:rsidR="006847DE">
        <w:t> </w:t>
      </w:r>
      <w:r w:rsidR="006847DE" w:rsidRPr="00EF089B">
        <w:t>Praze</w:t>
      </w:r>
      <w:r w:rsidR="006847DE">
        <w:t xml:space="preserve"> ze dne </w:t>
      </w:r>
      <w:r w:rsidR="006847DE" w:rsidRPr="00EF089B">
        <w:t>16. 4. 2024,</w:t>
      </w:r>
      <w:r w:rsidR="006847DE">
        <w:t xml:space="preserve"> </w:t>
      </w:r>
      <w:proofErr w:type="spellStart"/>
      <w:r w:rsidR="006847DE">
        <w:t>sp</w:t>
      </w:r>
      <w:proofErr w:type="spellEnd"/>
      <w:r w:rsidR="006847DE">
        <w:t>. zn.</w:t>
      </w:r>
      <w:r w:rsidR="006847DE" w:rsidRPr="00EF089B">
        <w:t xml:space="preserve"> 1 </w:t>
      </w:r>
      <w:proofErr w:type="spellStart"/>
      <w:r w:rsidR="006847DE" w:rsidRPr="00EF089B">
        <w:t>Ntm</w:t>
      </w:r>
      <w:proofErr w:type="spellEnd"/>
      <w:r w:rsidR="006847DE" w:rsidRPr="00EF089B">
        <w:t xml:space="preserve"> 7/2024</w:t>
      </w:r>
      <w:r w:rsidR="006847DE">
        <w:t>).</w:t>
      </w:r>
      <w:r>
        <w:rPr>
          <w:lang w:eastAsia="cs-CZ"/>
        </w:rPr>
        <w:t xml:space="preserve"> </w:t>
      </w:r>
      <w:r w:rsidR="00081CF1">
        <w:rPr>
          <w:lang w:eastAsia="cs-CZ"/>
        </w:rPr>
        <w:t>S ohledem na existenci této judikatury</w:t>
      </w:r>
      <w:r w:rsidR="00DE79E5">
        <w:rPr>
          <w:rStyle w:val="Znakapoznpodarou"/>
          <w:lang w:eastAsia="cs-CZ"/>
        </w:rPr>
        <w:footnoteReference w:id="3"/>
      </w:r>
      <w:r w:rsidR="00081CF1">
        <w:rPr>
          <w:lang w:eastAsia="cs-CZ"/>
        </w:rPr>
        <w:t xml:space="preserve"> se do</w:t>
      </w:r>
      <w:r w:rsidR="00EA7258">
        <w:rPr>
          <w:lang w:eastAsia="cs-CZ"/>
        </w:rPr>
        <w:t> </w:t>
      </w:r>
      <w:r w:rsidR="00081CF1">
        <w:rPr>
          <w:lang w:eastAsia="cs-CZ"/>
        </w:rPr>
        <w:t xml:space="preserve">zákona výslovně zakotvuje odkaz na subsidiární použití </w:t>
      </w:r>
      <w:r w:rsidR="008F3F99">
        <w:rPr>
          <w:lang w:eastAsia="cs-CZ"/>
        </w:rPr>
        <w:t xml:space="preserve">uvedeného ustanovení </w:t>
      </w:r>
      <w:r w:rsidR="00081CF1">
        <w:rPr>
          <w:lang w:eastAsia="cs-CZ"/>
        </w:rPr>
        <w:t>trestního řádu</w:t>
      </w:r>
      <w:r w:rsidR="008F3F99">
        <w:rPr>
          <w:lang w:eastAsia="cs-CZ"/>
        </w:rPr>
        <w:t>, neboť jenom tímto způsobem lze dosáhnout nápravy ESLP konstatovaného deficitu české právní úpravy</w:t>
      </w:r>
      <w:r w:rsidR="00081CF1">
        <w:rPr>
          <w:lang w:eastAsia="cs-CZ"/>
        </w:rPr>
        <w:t xml:space="preserve">. </w:t>
      </w:r>
      <w:r w:rsidR="006A1C5C">
        <w:rPr>
          <w:lang w:eastAsia="cs-CZ"/>
        </w:rPr>
        <w:t>Periodický přezkum, ač</w:t>
      </w:r>
      <w:r w:rsidR="00091604">
        <w:rPr>
          <w:lang w:eastAsia="cs-CZ"/>
        </w:rPr>
        <w:t> </w:t>
      </w:r>
      <w:r w:rsidR="006A1C5C">
        <w:rPr>
          <w:lang w:eastAsia="cs-CZ"/>
        </w:rPr>
        <w:t>upraven obecně pro řízení ve věcech mladistvých, se</w:t>
      </w:r>
      <w:r w:rsidR="001F0EDD">
        <w:rPr>
          <w:lang w:eastAsia="cs-CZ"/>
        </w:rPr>
        <w:t xml:space="preserve"> však</w:t>
      </w:r>
      <w:r w:rsidR="006A1C5C">
        <w:rPr>
          <w:lang w:eastAsia="cs-CZ"/>
        </w:rPr>
        <w:t xml:space="preserve"> fakticky uplatní pouze v případech, kdy je řízení vedeno pro zvlášť závažné provinění, neboť pouze v tomto případě připadá v úvahu přezkum po třech měsících od právní moci posledního rozhodnutí o vazbě. Pokud je mladistvý stíhán pro provinění, </w:t>
      </w:r>
      <w:r w:rsidR="007C2A77">
        <w:rPr>
          <w:lang w:eastAsia="cs-CZ"/>
        </w:rPr>
        <w:t xml:space="preserve">které není zvlášť závažným proviněním, </w:t>
      </w:r>
      <w:r w:rsidR="006A1C5C">
        <w:rPr>
          <w:lang w:eastAsia="cs-CZ"/>
        </w:rPr>
        <w:t>je nejvyšší přípustná doba trvání vazby 2</w:t>
      </w:r>
      <w:r w:rsidR="00917B08">
        <w:rPr>
          <w:lang w:eastAsia="cs-CZ"/>
        </w:rPr>
        <w:t> </w:t>
      </w:r>
      <w:r w:rsidR="006A1C5C">
        <w:rPr>
          <w:lang w:eastAsia="cs-CZ"/>
        </w:rPr>
        <w:t>měsíce</w:t>
      </w:r>
      <w:r w:rsidR="005B0DBA">
        <w:rPr>
          <w:lang w:eastAsia="cs-CZ"/>
        </w:rPr>
        <w:t xml:space="preserve">, před jejím uplynutím musí být případně rozhodnuto o </w:t>
      </w:r>
      <w:r w:rsidR="0097504B">
        <w:rPr>
          <w:lang w:eastAsia="cs-CZ"/>
        </w:rPr>
        <w:t xml:space="preserve">jejím </w:t>
      </w:r>
      <w:r w:rsidR="005B0DBA">
        <w:rPr>
          <w:lang w:eastAsia="cs-CZ"/>
        </w:rPr>
        <w:t>prodloužení. V případě řízení o provinění</w:t>
      </w:r>
      <w:r w:rsidR="007C2A77">
        <w:rPr>
          <w:lang w:eastAsia="cs-CZ"/>
        </w:rPr>
        <w:t>, které není zvlášť závažným proviněním,</w:t>
      </w:r>
      <w:r w:rsidR="005B0DBA">
        <w:rPr>
          <w:lang w:eastAsia="cs-CZ"/>
        </w:rPr>
        <w:t xml:space="preserve"> bude tedy vazba mladistvého přezkoumávána vždy nejpozději po 2 měsících</w:t>
      </w:r>
      <w:r w:rsidR="001F0EDD">
        <w:rPr>
          <w:lang w:eastAsia="cs-CZ"/>
        </w:rPr>
        <w:t xml:space="preserve"> v rámci rozhodování o</w:t>
      </w:r>
      <w:r w:rsidR="006D08AD">
        <w:rPr>
          <w:lang w:eastAsia="cs-CZ"/>
        </w:rPr>
        <w:t> </w:t>
      </w:r>
      <w:r w:rsidR="001F0EDD">
        <w:rPr>
          <w:lang w:eastAsia="cs-CZ"/>
        </w:rPr>
        <w:t xml:space="preserve">jejím prodloužení. </w:t>
      </w:r>
      <w:r w:rsidR="00900CA9">
        <w:rPr>
          <w:lang w:eastAsia="cs-CZ"/>
        </w:rPr>
        <w:t xml:space="preserve">Periodický přezkum má však význam v řízeních vedených pro zvlášť závažné provinění, kde </w:t>
      </w:r>
      <w:r w:rsidR="000C6E65">
        <w:rPr>
          <w:lang w:eastAsia="cs-CZ"/>
        </w:rPr>
        <w:t xml:space="preserve">nejvyšší přípustná doba trvání vazby činí 6 měsíců, přičemž </w:t>
      </w:r>
      <w:r w:rsidR="00776B4D">
        <w:rPr>
          <w:lang w:eastAsia="cs-CZ"/>
        </w:rPr>
        <w:t xml:space="preserve">tato doba může být </w:t>
      </w:r>
      <w:r w:rsidR="00182585">
        <w:rPr>
          <w:lang w:eastAsia="cs-CZ"/>
        </w:rPr>
        <w:t>podle §</w:t>
      </w:r>
      <w:r w:rsidR="00EF178C">
        <w:rPr>
          <w:lang w:eastAsia="cs-CZ"/>
        </w:rPr>
        <w:t> </w:t>
      </w:r>
      <w:r w:rsidR="00182585">
        <w:rPr>
          <w:lang w:eastAsia="cs-CZ"/>
        </w:rPr>
        <w:t>47</w:t>
      </w:r>
      <w:r w:rsidR="00EF178C">
        <w:rPr>
          <w:lang w:eastAsia="cs-CZ"/>
        </w:rPr>
        <w:t> </w:t>
      </w:r>
      <w:r w:rsidR="00182585">
        <w:rPr>
          <w:lang w:eastAsia="cs-CZ"/>
        </w:rPr>
        <w:t>odst.</w:t>
      </w:r>
      <w:r w:rsidR="00EF178C">
        <w:rPr>
          <w:lang w:eastAsia="cs-CZ"/>
        </w:rPr>
        <w:t> </w:t>
      </w:r>
      <w:r w:rsidR="00182585">
        <w:rPr>
          <w:lang w:eastAsia="cs-CZ"/>
        </w:rPr>
        <w:t xml:space="preserve">1 ZSVM </w:t>
      </w:r>
      <w:r w:rsidR="00776B4D">
        <w:rPr>
          <w:lang w:eastAsia="cs-CZ"/>
        </w:rPr>
        <w:t>prodloužena</w:t>
      </w:r>
      <w:r w:rsidR="00182585">
        <w:rPr>
          <w:lang w:eastAsia="cs-CZ"/>
        </w:rPr>
        <w:t>. O prodloužení vazby tak bude zpravidla rozhodováno těsně před uplynutím šesti měsíců</w:t>
      </w:r>
      <w:r w:rsidR="00FA46BD">
        <w:rPr>
          <w:lang w:eastAsia="cs-CZ"/>
        </w:rPr>
        <w:t xml:space="preserve">, což je dvojnásobně dlouhý interval, než přiznává </w:t>
      </w:r>
      <w:r w:rsidR="0097504B">
        <w:rPr>
          <w:lang w:eastAsia="cs-CZ"/>
        </w:rPr>
        <w:t xml:space="preserve">dospělým </w:t>
      </w:r>
      <w:r w:rsidR="00FA46BD">
        <w:rPr>
          <w:lang w:eastAsia="cs-CZ"/>
        </w:rPr>
        <w:t>obviněným §</w:t>
      </w:r>
      <w:r w:rsidR="00EF178C">
        <w:rPr>
          <w:lang w:eastAsia="cs-CZ"/>
        </w:rPr>
        <w:t> </w:t>
      </w:r>
      <w:r w:rsidR="00FA46BD">
        <w:rPr>
          <w:lang w:eastAsia="cs-CZ"/>
        </w:rPr>
        <w:t>72</w:t>
      </w:r>
      <w:r w:rsidR="00EF178C">
        <w:rPr>
          <w:lang w:eastAsia="cs-CZ"/>
        </w:rPr>
        <w:t> </w:t>
      </w:r>
      <w:r w:rsidR="00FA46BD">
        <w:rPr>
          <w:lang w:eastAsia="cs-CZ"/>
        </w:rPr>
        <w:t xml:space="preserve">odst. 1 </w:t>
      </w:r>
      <w:proofErr w:type="spellStart"/>
      <w:r w:rsidR="00FA46BD">
        <w:rPr>
          <w:lang w:eastAsia="cs-CZ"/>
        </w:rPr>
        <w:t>tr</w:t>
      </w:r>
      <w:proofErr w:type="spellEnd"/>
      <w:r w:rsidR="00FA46BD">
        <w:rPr>
          <w:lang w:eastAsia="cs-CZ"/>
        </w:rPr>
        <w:t xml:space="preserve">. ř. </w:t>
      </w:r>
      <w:r w:rsidR="009B59AD">
        <w:rPr>
          <w:lang w:eastAsia="cs-CZ"/>
        </w:rPr>
        <w:t>Za účelem ochrany práv mladistvého obviněného a</w:t>
      </w:r>
      <w:r w:rsidR="006D08AD">
        <w:rPr>
          <w:lang w:eastAsia="cs-CZ"/>
        </w:rPr>
        <w:t> </w:t>
      </w:r>
      <w:r w:rsidR="009B59AD">
        <w:rPr>
          <w:lang w:eastAsia="cs-CZ"/>
        </w:rPr>
        <w:t xml:space="preserve">vyloučení diskriminace z důvodu věku se periodický přezkum z úřední povinnosti musí uplatnit i v případech, kdy je řízení proti mladistvému vedeno pro zvlášť závažné provinění. </w:t>
      </w:r>
      <w:r w:rsidR="00E16E8D">
        <w:rPr>
          <w:lang w:eastAsia="cs-CZ"/>
        </w:rPr>
        <w:t xml:space="preserve">Periodický přezkum </w:t>
      </w:r>
      <w:r w:rsidR="009F7CCF">
        <w:rPr>
          <w:lang w:eastAsia="cs-CZ"/>
        </w:rPr>
        <w:t xml:space="preserve">se přitom uplatní jak v přípravném řízení (§ 72 odst. 1 </w:t>
      </w:r>
      <w:proofErr w:type="spellStart"/>
      <w:r w:rsidR="009F7CCF">
        <w:rPr>
          <w:lang w:eastAsia="cs-CZ"/>
        </w:rPr>
        <w:t>tr</w:t>
      </w:r>
      <w:proofErr w:type="spellEnd"/>
      <w:r w:rsidR="009F7CCF">
        <w:rPr>
          <w:lang w:eastAsia="cs-CZ"/>
        </w:rPr>
        <w:t xml:space="preserve">. ř.), tak v řízení před soudem (§ 72 odst. 3 in fine a § 72 odst. 4 </w:t>
      </w:r>
      <w:proofErr w:type="spellStart"/>
      <w:r w:rsidR="009F7CCF">
        <w:rPr>
          <w:lang w:eastAsia="cs-CZ"/>
        </w:rPr>
        <w:t>tr</w:t>
      </w:r>
      <w:proofErr w:type="spellEnd"/>
      <w:r w:rsidR="009F7CCF">
        <w:rPr>
          <w:lang w:eastAsia="cs-CZ"/>
        </w:rPr>
        <w:t>. ř.).</w:t>
      </w:r>
    </w:p>
    <w:p w14:paraId="459D506E" w14:textId="32F70B76" w:rsidR="009D59CF" w:rsidRDefault="009D59CF" w:rsidP="00EA7258">
      <w:pPr>
        <w:rPr>
          <w:lang w:eastAsia="cs-CZ"/>
        </w:rPr>
      </w:pPr>
      <w:r>
        <w:rPr>
          <w:lang w:eastAsia="cs-CZ"/>
        </w:rPr>
        <w:t xml:space="preserve">U mladistvých se </w:t>
      </w:r>
      <w:r w:rsidR="00EC513E">
        <w:rPr>
          <w:lang w:eastAsia="cs-CZ"/>
        </w:rPr>
        <w:t xml:space="preserve">samozřejmě </w:t>
      </w:r>
      <w:r>
        <w:rPr>
          <w:lang w:eastAsia="cs-CZ"/>
        </w:rPr>
        <w:t xml:space="preserve">též uplatní přezkoumání vazby po podání obžaloby </w:t>
      </w:r>
      <w:r w:rsidR="00E16E8D">
        <w:rPr>
          <w:lang w:eastAsia="cs-CZ"/>
        </w:rPr>
        <w:t>ve smyslu §</w:t>
      </w:r>
      <w:r w:rsidR="00EC513E">
        <w:rPr>
          <w:lang w:eastAsia="cs-CZ"/>
        </w:rPr>
        <w:t> </w:t>
      </w:r>
      <w:r w:rsidR="00E16E8D">
        <w:rPr>
          <w:lang w:eastAsia="cs-CZ"/>
        </w:rPr>
        <w:t xml:space="preserve">72 odst. 3 věty první </w:t>
      </w:r>
      <w:proofErr w:type="spellStart"/>
      <w:r w:rsidR="00E16E8D">
        <w:rPr>
          <w:lang w:eastAsia="cs-CZ"/>
        </w:rPr>
        <w:t>tr</w:t>
      </w:r>
      <w:proofErr w:type="spellEnd"/>
      <w:r w:rsidR="00E16E8D">
        <w:rPr>
          <w:lang w:eastAsia="cs-CZ"/>
        </w:rPr>
        <w:t xml:space="preserve">. ř. </w:t>
      </w:r>
    </w:p>
    <w:bookmarkEnd w:id="5"/>
    <w:p w14:paraId="0C192F11" w14:textId="5AFC6010" w:rsidR="00060398" w:rsidRDefault="00060398" w:rsidP="00EA7258">
      <w:pPr>
        <w:pStyle w:val="Nadpis3"/>
      </w:pPr>
      <w:r>
        <w:t xml:space="preserve">K bodu </w:t>
      </w:r>
      <w:r w:rsidR="00CC721E">
        <w:t>10</w:t>
      </w:r>
      <w:r>
        <w:t xml:space="preserve"> (§ 49)</w:t>
      </w:r>
    </w:p>
    <w:p w14:paraId="34081D66" w14:textId="5C0F8C9F" w:rsidR="00060398" w:rsidRDefault="00060398" w:rsidP="00EA7258">
      <w:pPr>
        <w:rPr>
          <w:lang w:eastAsia="cs-CZ"/>
        </w:rPr>
      </w:pPr>
      <w:r>
        <w:rPr>
          <w:lang w:eastAsia="cs-CZ"/>
        </w:rPr>
        <w:t xml:space="preserve">Navrhovaná úprava </w:t>
      </w:r>
      <w:r w:rsidR="00A64D07">
        <w:rPr>
          <w:lang w:eastAsia="cs-CZ"/>
        </w:rPr>
        <w:t xml:space="preserve">tohoto </w:t>
      </w:r>
      <w:r w:rsidR="008F3F99">
        <w:rPr>
          <w:lang w:eastAsia="cs-CZ"/>
        </w:rPr>
        <w:t xml:space="preserve">ustanovení </w:t>
      </w:r>
      <w:r w:rsidR="00A64D07">
        <w:rPr>
          <w:lang w:eastAsia="cs-CZ"/>
        </w:rPr>
        <w:t xml:space="preserve">vychází ze skutečnosti, že dosud </w:t>
      </w:r>
      <w:r w:rsidR="00BC34E5">
        <w:rPr>
          <w:lang w:eastAsia="cs-CZ"/>
        </w:rPr>
        <w:t>byla opatření nahrazující vazbu v tomto ustanovení výslovně vyjmenována</w:t>
      </w:r>
      <w:r w:rsidR="004A0249">
        <w:rPr>
          <w:lang w:eastAsia="cs-CZ"/>
        </w:rPr>
        <w:t xml:space="preserve">. Výčet </w:t>
      </w:r>
      <w:r w:rsidR="00A9597D">
        <w:rPr>
          <w:lang w:eastAsia="cs-CZ"/>
        </w:rPr>
        <w:t xml:space="preserve">však </w:t>
      </w:r>
      <w:r w:rsidR="002E43B3">
        <w:rPr>
          <w:lang w:eastAsia="cs-CZ"/>
        </w:rPr>
        <w:t xml:space="preserve">nebyl úplný, když byla opomenuta možnost nahradit vazbu některým z předběžných opatření podle § </w:t>
      </w:r>
      <w:r w:rsidR="00771395">
        <w:rPr>
          <w:lang w:eastAsia="cs-CZ"/>
        </w:rPr>
        <w:t xml:space="preserve">88b a násl. </w:t>
      </w:r>
      <w:proofErr w:type="spellStart"/>
      <w:r w:rsidR="00771395">
        <w:rPr>
          <w:lang w:eastAsia="cs-CZ"/>
        </w:rPr>
        <w:t>tr</w:t>
      </w:r>
      <w:proofErr w:type="spellEnd"/>
      <w:r w:rsidR="00DF1DDF">
        <w:rPr>
          <w:lang w:eastAsia="cs-CZ"/>
        </w:rPr>
        <w:t>. ř</w:t>
      </w:r>
      <w:r w:rsidR="00771395">
        <w:rPr>
          <w:lang w:eastAsia="cs-CZ"/>
        </w:rPr>
        <w:t xml:space="preserve">. I v případě mladistvých </w:t>
      </w:r>
      <w:r w:rsidR="008F3F99">
        <w:rPr>
          <w:lang w:eastAsia="cs-CZ"/>
        </w:rPr>
        <w:t xml:space="preserve">se </w:t>
      </w:r>
      <w:r w:rsidR="00771395">
        <w:rPr>
          <w:lang w:eastAsia="cs-CZ"/>
        </w:rPr>
        <w:t xml:space="preserve">však nahrazení vazby předběžným opatřením </w:t>
      </w:r>
      <w:r w:rsidR="008F3F99">
        <w:rPr>
          <w:lang w:eastAsia="cs-CZ"/>
        </w:rPr>
        <w:t>připouští</w:t>
      </w:r>
      <w:r w:rsidR="00771395">
        <w:rPr>
          <w:lang w:eastAsia="cs-CZ"/>
        </w:rPr>
        <w:t>, a to</w:t>
      </w:r>
      <w:r w:rsidR="00391C86">
        <w:rPr>
          <w:lang w:eastAsia="cs-CZ"/>
        </w:rPr>
        <w:t xml:space="preserve"> s ohledem na znění § 46 odst. 1 ZSVM, podle kterého lze mladistvého do vazby vzít jedině tehdy, nelze-li účelu vazby dosáhnout jinak. Dosažení účelu vazby </w:t>
      </w:r>
      <w:r w:rsidR="00EC513E">
        <w:rPr>
          <w:lang w:eastAsia="cs-CZ"/>
        </w:rPr>
        <w:t>přitom</w:t>
      </w:r>
      <w:r w:rsidR="00391C86">
        <w:rPr>
          <w:lang w:eastAsia="cs-CZ"/>
        </w:rPr>
        <w:t xml:space="preserve"> může být realizováno právě uložením některého z předběžných opatření. </w:t>
      </w:r>
      <w:r w:rsidR="001C076C">
        <w:rPr>
          <w:lang w:eastAsia="cs-CZ"/>
        </w:rPr>
        <w:t>V tomto ohledu je možno poukázat též na</w:t>
      </w:r>
      <w:r w:rsidR="008F3F99">
        <w:rPr>
          <w:lang w:eastAsia="cs-CZ"/>
        </w:rPr>
        <w:t> </w:t>
      </w:r>
      <w:r w:rsidR="001C076C">
        <w:rPr>
          <w:lang w:eastAsia="cs-CZ"/>
        </w:rPr>
        <w:t xml:space="preserve">závěry rozsudku ve věci </w:t>
      </w:r>
      <w:proofErr w:type="spellStart"/>
      <w:r w:rsidR="001C076C" w:rsidRPr="007539E6">
        <w:rPr>
          <w:i/>
          <w:iCs/>
          <w:lang w:eastAsia="cs-CZ"/>
        </w:rPr>
        <w:t>Spišák</w:t>
      </w:r>
      <w:proofErr w:type="spellEnd"/>
      <w:r w:rsidR="001C076C" w:rsidRPr="007539E6">
        <w:rPr>
          <w:i/>
          <w:iCs/>
          <w:lang w:eastAsia="cs-CZ"/>
        </w:rPr>
        <w:t xml:space="preserve"> proti České republice</w:t>
      </w:r>
      <w:r w:rsidR="001C076C">
        <w:rPr>
          <w:lang w:eastAsia="cs-CZ"/>
        </w:rPr>
        <w:t xml:space="preserve">, neboť </w:t>
      </w:r>
      <w:r w:rsidR="00881B25">
        <w:rPr>
          <w:lang w:eastAsia="cs-CZ"/>
        </w:rPr>
        <w:t>ne</w:t>
      </w:r>
      <w:r w:rsidR="00862059">
        <w:rPr>
          <w:lang w:eastAsia="cs-CZ"/>
        </w:rPr>
        <w:t xml:space="preserve">možnost </w:t>
      </w:r>
      <w:r w:rsidR="00881B25">
        <w:rPr>
          <w:lang w:eastAsia="cs-CZ"/>
        </w:rPr>
        <w:t>náhrady vazby předběžným opatřením</w:t>
      </w:r>
      <w:r w:rsidR="00862059">
        <w:rPr>
          <w:lang w:eastAsia="cs-CZ"/>
        </w:rPr>
        <w:t xml:space="preserve"> v případě mladistvých by moh</w:t>
      </w:r>
      <w:r w:rsidR="007539E6">
        <w:rPr>
          <w:lang w:eastAsia="cs-CZ"/>
        </w:rPr>
        <w:t>la být obdobně posouzena za rozpornou s příslušnými ustanoveními Úmluvy.</w:t>
      </w:r>
      <w:r w:rsidR="00A9597D">
        <w:rPr>
          <w:lang w:eastAsia="cs-CZ"/>
        </w:rPr>
        <w:t xml:space="preserve"> </w:t>
      </w:r>
    </w:p>
    <w:p w14:paraId="6AA61F54" w14:textId="6D347C0D" w:rsidR="00A3473A" w:rsidRDefault="004A0249" w:rsidP="00EA7258">
      <w:pPr>
        <w:rPr>
          <w:lang w:eastAsia="cs-CZ"/>
        </w:rPr>
      </w:pPr>
      <w:r>
        <w:rPr>
          <w:lang w:eastAsia="cs-CZ"/>
        </w:rPr>
        <w:lastRenderedPageBreak/>
        <w:t xml:space="preserve">Navrhuje se proto v § 49 upravit pouze opatření spočívající </w:t>
      </w:r>
      <w:r w:rsidR="000542F7">
        <w:rPr>
          <w:lang w:eastAsia="cs-CZ"/>
        </w:rPr>
        <w:t>v umístění mladistvého do péče důvěryhodné osoby jakožto speciální opatření přípustné pouze u mladistvých, přičemž ve</w:t>
      </w:r>
      <w:r w:rsidR="00EA7258">
        <w:rPr>
          <w:lang w:eastAsia="cs-CZ"/>
        </w:rPr>
        <w:t> </w:t>
      </w:r>
      <w:r w:rsidR="000542F7">
        <w:rPr>
          <w:lang w:eastAsia="cs-CZ"/>
        </w:rPr>
        <w:t xml:space="preserve">vztahu k ostatním nahrazujícím opatřením, tj. opatřením upraveným trestním řádem, </w:t>
      </w:r>
      <w:r w:rsidR="00A829AB">
        <w:rPr>
          <w:lang w:eastAsia="cs-CZ"/>
        </w:rPr>
        <w:br/>
      </w:r>
      <w:r w:rsidR="000542F7">
        <w:rPr>
          <w:lang w:eastAsia="cs-CZ"/>
        </w:rPr>
        <w:t>se uplatní ustanovení § 1 odst. 3 ZSVM</w:t>
      </w:r>
      <w:r w:rsidR="00A3473A">
        <w:rPr>
          <w:lang w:eastAsia="cs-CZ"/>
        </w:rPr>
        <w:t>. Jinými slovy,</w:t>
      </w:r>
      <w:r w:rsidR="000C5EED">
        <w:rPr>
          <w:lang w:eastAsia="cs-CZ"/>
        </w:rPr>
        <w:t xml:space="preserve"> </w:t>
      </w:r>
      <w:r w:rsidR="00A3473A">
        <w:rPr>
          <w:lang w:eastAsia="cs-CZ"/>
        </w:rPr>
        <w:t xml:space="preserve">nahrazení vazby mladistvého zárukou, slibem, dohledem, některým z předběžných opatření </w:t>
      </w:r>
      <w:r w:rsidR="006B0858">
        <w:rPr>
          <w:lang w:eastAsia="cs-CZ"/>
        </w:rPr>
        <w:t xml:space="preserve">či peněžitou zárukou </w:t>
      </w:r>
      <w:r w:rsidR="000C5EED">
        <w:rPr>
          <w:lang w:eastAsia="cs-CZ"/>
        </w:rPr>
        <w:t>je možné i</w:t>
      </w:r>
      <w:r w:rsidR="00EA7258">
        <w:rPr>
          <w:lang w:eastAsia="cs-CZ"/>
        </w:rPr>
        <w:t> </w:t>
      </w:r>
      <w:r w:rsidR="000C5EED">
        <w:rPr>
          <w:lang w:eastAsia="cs-CZ"/>
        </w:rPr>
        <w:t>u</w:t>
      </w:r>
      <w:r w:rsidR="00EA7258">
        <w:rPr>
          <w:lang w:eastAsia="cs-CZ"/>
        </w:rPr>
        <w:t> </w:t>
      </w:r>
      <w:r w:rsidR="000C5EED">
        <w:rPr>
          <w:lang w:eastAsia="cs-CZ"/>
        </w:rPr>
        <w:t>mladistvých za</w:t>
      </w:r>
      <w:r w:rsidR="00511AAD">
        <w:rPr>
          <w:lang w:eastAsia="cs-CZ"/>
        </w:rPr>
        <w:t> </w:t>
      </w:r>
      <w:r w:rsidR="000C5EED">
        <w:rPr>
          <w:lang w:eastAsia="cs-CZ"/>
        </w:rPr>
        <w:t>subsidiární aplikace</w:t>
      </w:r>
      <w:r w:rsidR="00A3473A">
        <w:rPr>
          <w:lang w:eastAsia="cs-CZ"/>
        </w:rPr>
        <w:t xml:space="preserve"> ustanovení § 73 a § 73a </w:t>
      </w:r>
      <w:proofErr w:type="spellStart"/>
      <w:r w:rsidR="00DF1DDF">
        <w:rPr>
          <w:lang w:eastAsia="cs-CZ"/>
        </w:rPr>
        <w:t>tr</w:t>
      </w:r>
      <w:proofErr w:type="spellEnd"/>
      <w:r w:rsidR="00DF1DDF">
        <w:rPr>
          <w:lang w:eastAsia="cs-CZ"/>
        </w:rPr>
        <w:t>. ř</w:t>
      </w:r>
      <w:r w:rsidR="00A3473A">
        <w:rPr>
          <w:lang w:eastAsia="cs-CZ"/>
        </w:rPr>
        <w:t>.</w:t>
      </w:r>
      <w:r w:rsidR="00203D1D">
        <w:rPr>
          <w:lang w:eastAsia="cs-CZ"/>
        </w:rPr>
        <w:t xml:space="preserve"> Jelikož ZSVM neupravuje žádné odchylky použití těchto opatření u mladistvých, je</w:t>
      </w:r>
      <w:r w:rsidR="000077CF">
        <w:rPr>
          <w:lang w:eastAsia="cs-CZ"/>
        </w:rPr>
        <w:t xml:space="preserve"> jejich uvedení v § 49 </w:t>
      </w:r>
      <w:r w:rsidR="00E824CE">
        <w:rPr>
          <w:lang w:eastAsia="cs-CZ"/>
        </w:rPr>
        <w:t>s ohledem na</w:t>
      </w:r>
      <w:r w:rsidR="001E7497">
        <w:rPr>
          <w:lang w:eastAsia="cs-CZ"/>
        </w:rPr>
        <w:t> </w:t>
      </w:r>
      <w:r w:rsidR="00E824CE">
        <w:rPr>
          <w:lang w:eastAsia="cs-CZ"/>
        </w:rPr>
        <w:t xml:space="preserve">subsidiaritu trestního řádu </w:t>
      </w:r>
      <w:r w:rsidR="000077CF">
        <w:rPr>
          <w:lang w:eastAsia="cs-CZ"/>
        </w:rPr>
        <w:t>nadbytečné.</w:t>
      </w:r>
    </w:p>
    <w:p w14:paraId="4E3E888E" w14:textId="77777777" w:rsidR="009E341C" w:rsidRDefault="009E341C" w:rsidP="00EA7258">
      <w:pPr>
        <w:rPr>
          <w:lang w:eastAsia="cs-CZ"/>
        </w:rPr>
      </w:pPr>
    </w:p>
    <w:p w14:paraId="1B56D056" w14:textId="7A68AA39" w:rsidR="009E341C" w:rsidRDefault="009E341C" w:rsidP="00EA7258">
      <w:pPr>
        <w:pStyle w:val="Nadpis3"/>
      </w:pPr>
      <w:r>
        <w:t>K čl. II</w:t>
      </w:r>
    </w:p>
    <w:p w14:paraId="5B879FE4" w14:textId="1D67FC43" w:rsidR="009E341C" w:rsidRPr="009E341C" w:rsidRDefault="009E341C" w:rsidP="00EA7258">
      <w:pPr>
        <w:rPr>
          <w:lang w:eastAsia="cs-CZ"/>
        </w:rPr>
      </w:pPr>
      <w:r w:rsidRPr="009E341C">
        <w:rPr>
          <w:lang w:eastAsia="cs-CZ"/>
        </w:rPr>
        <w:t>Datum nabytí účinnosti je stanoveno s ohledem na délku legislativního procesu</w:t>
      </w:r>
      <w:r>
        <w:rPr>
          <w:lang w:eastAsia="cs-CZ"/>
        </w:rPr>
        <w:t>.</w:t>
      </w:r>
    </w:p>
    <w:sectPr w:rsidR="009E341C" w:rsidRPr="009E34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D7C8" w14:textId="77777777" w:rsidR="00CC059B" w:rsidRDefault="00CC059B" w:rsidP="00EA7258">
      <w:pPr>
        <w:spacing w:before="0"/>
      </w:pPr>
      <w:r>
        <w:separator/>
      </w:r>
    </w:p>
  </w:endnote>
  <w:endnote w:type="continuationSeparator" w:id="0">
    <w:p w14:paraId="5FC65EA2" w14:textId="77777777" w:rsidR="00CC059B" w:rsidRDefault="00CC059B" w:rsidP="00EA72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288787"/>
      <w:docPartObj>
        <w:docPartGallery w:val="Page Numbers (Bottom of Page)"/>
        <w:docPartUnique/>
      </w:docPartObj>
    </w:sdtPr>
    <w:sdtEndPr/>
    <w:sdtContent>
      <w:p w14:paraId="58C2FC45" w14:textId="01D84AEB" w:rsidR="00EA7258" w:rsidRDefault="00EA7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BF920" w14:textId="77777777" w:rsidR="00EA7258" w:rsidRDefault="00EA72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9447" w14:textId="77777777" w:rsidR="00CC059B" w:rsidRDefault="00CC059B" w:rsidP="00EA7258">
      <w:pPr>
        <w:spacing w:before="0"/>
      </w:pPr>
      <w:r>
        <w:separator/>
      </w:r>
    </w:p>
  </w:footnote>
  <w:footnote w:type="continuationSeparator" w:id="0">
    <w:p w14:paraId="15FF0760" w14:textId="77777777" w:rsidR="00CC059B" w:rsidRDefault="00CC059B" w:rsidP="00EA7258">
      <w:pPr>
        <w:spacing w:before="0"/>
      </w:pPr>
      <w:r>
        <w:continuationSeparator/>
      </w:r>
    </w:p>
  </w:footnote>
  <w:footnote w:id="1">
    <w:p w14:paraId="7FB0C0C0" w14:textId="0D17FF37" w:rsidR="00017FEF" w:rsidRDefault="001F5BC1">
      <w:pPr>
        <w:pStyle w:val="Textpoznpodarou"/>
      </w:pPr>
      <w:r>
        <w:rPr>
          <w:rStyle w:val="Znakapoznpodarou"/>
        </w:rPr>
        <w:footnoteRef/>
      </w:r>
      <w:r>
        <w:t xml:space="preserve"> Text rozsudku v českém jazyce je dostupný online na: </w:t>
      </w:r>
      <w:hyperlink r:id="rId1" w:history="1">
        <w:r w:rsidRPr="00132BF9">
          <w:rPr>
            <w:rStyle w:val="Hypertextovodkaz"/>
          </w:rPr>
          <w:t>https://mezisoudy.cz/databaze-judikatury/detail-rozhodnuti/4433913b-2f61-11ef-96f7-005056b43026_spisak</w:t>
        </w:r>
      </w:hyperlink>
      <w:r>
        <w:t>.</w:t>
      </w:r>
    </w:p>
  </w:footnote>
  <w:footnote w:id="2">
    <w:p w14:paraId="28006C53" w14:textId="6E472693" w:rsidR="0046733D" w:rsidRDefault="001F5BC1">
      <w:pPr>
        <w:pStyle w:val="Textpoznpodarou"/>
      </w:pPr>
      <w:r>
        <w:rPr>
          <w:rStyle w:val="Znakapoznpodarou"/>
        </w:rPr>
        <w:footnoteRef/>
      </w:r>
      <w:r>
        <w:t xml:space="preserve"> Ve V</w:t>
      </w:r>
      <w:r w:rsidRPr="004E3D17">
        <w:t>ýběr</w:t>
      </w:r>
      <w:r>
        <w:t>u</w:t>
      </w:r>
      <w:r w:rsidRPr="004E3D17">
        <w:t xml:space="preserve"> rozhodnutí evropského soudu pro lidská práva pro justiční praxi č. 1/2025</w:t>
      </w:r>
      <w:r>
        <w:t xml:space="preserve"> vydávaném Nejvyšším soudem však již byl publikován autorský komentář o nepoužitelnosti této judikatury. Příspěvek je dostupný online na: </w:t>
      </w:r>
      <w:hyperlink r:id="rId2" w:history="1">
        <w:r w:rsidRPr="00132BF9">
          <w:rPr>
            <w:rStyle w:val="Hypertextovodkaz"/>
          </w:rPr>
          <w:t>https://eslp.nsoud.cz/vyber/22063/</w:t>
        </w:r>
      </w:hyperlink>
      <w:r>
        <w:t>.</w:t>
      </w:r>
    </w:p>
  </w:footnote>
  <w:footnote w:id="3">
    <w:p w14:paraId="37AFAEA9" w14:textId="5120E454" w:rsidR="00DE79E5" w:rsidRDefault="00DE79E5">
      <w:pPr>
        <w:pStyle w:val="Textpoznpodarou"/>
      </w:pPr>
      <w:r>
        <w:rPr>
          <w:rStyle w:val="Znakapoznpodarou"/>
        </w:rPr>
        <w:footnoteRef/>
      </w:r>
      <w:r>
        <w:t xml:space="preserve"> K tomuto srov. též poznámku pod čarou č.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4A19"/>
    <w:multiLevelType w:val="hybridMultilevel"/>
    <w:tmpl w:val="CBD2C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42970"/>
    <w:multiLevelType w:val="hybridMultilevel"/>
    <w:tmpl w:val="1B0038E8"/>
    <w:lvl w:ilvl="0" w:tplc="B1DCD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4276">
    <w:abstractNumId w:val="1"/>
  </w:num>
  <w:num w:numId="2" w16cid:durableId="167283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6"/>
    <w:rsid w:val="00001CA3"/>
    <w:rsid w:val="00005B48"/>
    <w:rsid w:val="00006E7A"/>
    <w:rsid w:val="000077CF"/>
    <w:rsid w:val="000104F3"/>
    <w:rsid w:val="000115BA"/>
    <w:rsid w:val="00016240"/>
    <w:rsid w:val="00017FEF"/>
    <w:rsid w:val="00023AA5"/>
    <w:rsid w:val="0002669E"/>
    <w:rsid w:val="000452FA"/>
    <w:rsid w:val="000473E5"/>
    <w:rsid w:val="000542F7"/>
    <w:rsid w:val="00055B45"/>
    <w:rsid w:val="00056DAC"/>
    <w:rsid w:val="00060398"/>
    <w:rsid w:val="00060D33"/>
    <w:rsid w:val="00062174"/>
    <w:rsid w:val="000626C8"/>
    <w:rsid w:val="0006511C"/>
    <w:rsid w:val="00066C3D"/>
    <w:rsid w:val="00066F83"/>
    <w:rsid w:val="00067E3E"/>
    <w:rsid w:val="00074940"/>
    <w:rsid w:val="00081CF1"/>
    <w:rsid w:val="00083CF9"/>
    <w:rsid w:val="000909D6"/>
    <w:rsid w:val="00091604"/>
    <w:rsid w:val="00094EF3"/>
    <w:rsid w:val="000B5F88"/>
    <w:rsid w:val="000C2CF3"/>
    <w:rsid w:val="000C5EED"/>
    <w:rsid w:val="000C6E65"/>
    <w:rsid w:val="000D30FF"/>
    <w:rsid w:val="000D3118"/>
    <w:rsid w:val="000F721E"/>
    <w:rsid w:val="000F72A1"/>
    <w:rsid w:val="00121AF5"/>
    <w:rsid w:val="0013069B"/>
    <w:rsid w:val="0013127F"/>
    <w:rsid w:val="00131C71"/>
    <w:rsid w:val="0013272D"/>
    <w:rsid w:val="00156C04"/>
    <w:rsid w:val="00160C1C"/>
    <w:rsid w:val="0016667E"/>
    <w:rsid w:val="00167E87"/>
    <w:rsid w:val="00182585"/>
    <w:rsid w:val="001835B9"/>
    <w:rsid w:val="001863BC"/>
    <w:rsid w:val="00192C98"/>
    <w:rsid w:val="001979BD"/>
    <w:rsid w:val="001A064F"/>
    <w:rsid w:val="001B059F"/>
    <w:rsid w:val="001B1745"/>
    <w:rsid w:val="001B2564"/>
    <w:rsid w:val="001B4168"/>
    <w:rsid w:val="001B5A96"/>
    <w:rsid w:val="001B65BA"/>
    <w:rsid w:val="001B6ACD"/>
    <w:rsid w:val="001B7BCB"/>
    <w:rsid w:val="001C076C"/>
    <w:rsid w:val="001C1F63"/>
    <w:rsid w:val="001C44A3"/>
    <w:rsid w:val="001C5854"/>
    <w:rsid w:val="001D00A0"/>
    <w:rsid w:val="001D173E"/>
    <w:rsid w:val="001E02E4"/>
    <w:rsid w:val="001E3354"/>
    <w:rsid w:val="001E7497"/>
    <w:rsid w:val="001F0EDD"/>
    <w:rsid w:val="001F32DA"/>
    <w:rsid w:val="001F50AC"/>
    <w:rsid w:val="001F5BC1"/>
    <w:rsid w:val="00200D2B"/>
    <w:rsid w:val="00203D1D"/>
    <w:rsid w:val="00210152"/>
    <w:rsid w:val="00210381"/>
    <w:rsid w:val="00210E43"/>
    <w:rsid w:val="0021517F"/>
    <w:rsid w:val="002167E6"/>
    <w:rsid w:val="00216907"/>
    <w:rsid w:val="0022003A"/>
    <w:rsid w:val="0023633D"/>
    <w:rsid w:val="002417C8"/>
    <w:rsid w:val="00252AD9"/>
    <w:rsid w:val="00260DE7"/>
    <w:rsid w:val="00266477"/>
    <w:rsid w:val="00270A58"/>
    <w:rsid w:val="00276520"/>
    <w:rsid w:val="00277AA7"/>
    <w:rsid w:val="00280F9D"/>
    <w:rsid w:val="00285865"/>
    <w:rsid w:val="00290CE9"/>
    <w:rsid w:val="002A4F56"/>
    <w:rsid w:val="002B21ED"/>
    <w:rsid w:val="002B3745"/>
    <w:rsid w:val="002B3B3C"/>
    <w:rsid w:val="002B741C"/>
    <w:rsid w:val="002D6770"/>
    <w:rsid w:val="002D6DA8"/>
    <w:rsid w:val="002D737F"/>
    <w:rsid w:val="002D7F99"/>
    <w:rsid w:val="002E2431"/>
    <w:rsid w:val="002E43B3"/>
    <w:rsid w:val="002E6024"/>
    <w:rsid w:val="002E6DFC"/>
    <w:rsid w:val="002E6EBC"/>
    <w:rsid w:val="002F48E6"/>
    <w:rsid w:val="002F57F6"/>
    <w:rsid w:val="003077BC"/>
    <w:rsid w:val="00311178"/>
    <w:rsid w:val="00312050"/>
    <w:rsid w:val="00315DC7"/>
    <w:rsid w:val="00323B4B"/>
    <w:rsid w:val="0032479A"/>
    <w:rsid w:val="00327FD0"/>
    <w:rsid w:val="00336692"/>
    <w:rsid w:val="00340E38"/>
    <w:rsid w:val="00352A1C"/>
    <w:rsid w:val="00362928"/>
    <w:rsid w:val="00366E92"/>
    <w:rsid w:val="00370B4C"/>
    <w:rsid w:val="00370BA4"/>
    <w:rsid w:val="00380829"/>
    <w:rsid w:val="00383B4E"/>
    <w:rsid w:val="00384998"/>
    <w:rsid w:val="00385691"/>
    <w:rsid w:val="00391C86"/>
    <w:rsid w:val="003938D4"/>
    <w:rsid w:val="0039723D"/>
    <w:rsid w:val="003B5F82"/>
    <w:rsid w:val="003B6342"/>
    <w:rsid w:val="003C23C2"/>
    <w:rsid w:val="003D6B99"/>
    <w:rsid w:val="00417AB7"/>
    <w:rsid w:val="00425951"/>
    <w:rsid w:val="00431553"/>
    <w:rsid w:val="00446B9D"/>
    <w:rsid w:val="004475F2"/>
    <w:rsid w:val="004538C0"/>
    <w:rsid w:val="00460FC8"/>
    <w:rsid w:val="004630FD"/>
    <w:rsid w:val="00464E75"/>
    <w:rsid w:val="0046669D"/>
    <w:rsid w:val="00467278"/>
    <w:rsid w:val="0046733D"/>
    <w:rsid w:val="00474D18"/>
    <w:rsid w:val="004837AE"/>
    <w:rsid w:val="004851C8"/>
    <w:rsid w:val="00487143"/>
    <w:rsid w:val="00487985"/>
    <w:rsid w:val="00492855"/>
    <w:rsid w:val="00494BB4"/>
    <w:rsid w:val="004A0249"/>
    <w:rsid w:val="004A66BA"/>
    <w:rsid w:val="004B285B"/>
    <w:rsid w:val="004B4857"/>
    <w:rsid w:val="004D075A"/>
    <w:rsid w:val="004D2535"/>
    <w:rsid w:val="004E1094"/>
    <w:rsid w:val="004E2675"/>
    <w:rsid w:val="004E3D17"/>
    <w:rsid w:val="004E64A5"/>
    <w:rsid w:val="004F38E7"/>
    <w:rsid w:val="004F3FE1"/>
    <w:rsid w:val="004F7E77"/>
    <w:rsid w:val="00511AAD"/>
    <w:rsid w:val="00514B53"/>
    <w:rsid w:val="00515F45"/>
    <w:rsid w:val="00517864"/>
    <w:rsid w:val="0052419D"/>
    <w:rsid w:val="0052650E"/>
    <w:rsid w:val="00527AEF"/>
    <w:rsid w:val="00535A49"/>
    <w:rsid w:val="00545000"/>
    <w:rsid w:val="00547D9E"/>
    <w:rsid w:val="00555423"/>
    <w:rsid w:val="00561B1C"/>
    <w:rsid w:val="00561CF6"/>
    <w:rsid w:val="00562984"/>
    <w:rsid w:val="00563D99"/>
    <w:rsid w:val="00565975"/>
    <w:rsid w:val="00567FB5"/>
    <w:rsid w:val="00576FBF"/>
    <w:rsid w:val="0058012F"/>
    <w:rsid w:val="00583609"/>
    <w:rsid w:val="005953AE"/>
    <w:rsid w:val="0059669C"/>
    <w:rsid w:val="005B0A71"/>
    <w:rsid w:val="005B0DBA"/>
    <w:rsid w:val="005B1F7D"/>
    <w:rsid w:val="005B4C54"/>
    <w:rsid w:val="005B5CE0"/>
    <w:rsid w:val="005B6CBD"/>
    <w:rsid w:val="005C0548"/>
    <w:rsid w:val="005C06A4"/>
    <w:rsid w:val="005C2E9F"/>
    <w:rsid w:val="005D07CA"/>
    <w:rsid w:val="005D098A"/>
    <w:rsid w:val="005D1F74"/>
    <w:rsid w:val="005E6BB3"/>
    <w:rsid w:val="005E7C1C"/>
    <w:rsid w:val="005F3345"/>
    <w:rsid w:val="005F5980"/>
    <w:rsid w:val="005F6DB7"/>
    <w:rsid w:val="005F7DB2"/>
    <w:rsid w:val="00617651"/>
    <w:rsid w:val="006308DD"/>
    <w:rsid w:val="006343FA"/>
    <w:rsid w:val="00634EBC"/>
    <w:rsid w:val="006414A9"/>
    <w:rsid w:val="006503D1"/>
    <w:rsid w:val="00650A4F"/>
    <w:rsid w:val="00653D15"/>
    <w:rsid w:val="00665739"/>
    <w:rsid w:val="00671880"/>
    <w:rsid w:val="00672043"/>
    <w:rsid w:val="006750A9"/>
    <w:rsid w:val="00682FF0"/>
    <w:rsid w:val="00683ED7"/>
    <w:rsid w:val="006847DE"/>
    <w:rsid w:val="00687C3C"/>
    <w:rsid w:val="00692F68"/>
    <w:rsid w:val="006A1C5C"/>
    <w:rsid w:val="006A3E2D"/>
    <w:rsid w:val="006A4035"/>
    <w:rsid w:val="006B0858"/>
    <w:rsid w:val="006B185C"/>
    <w:rsid w:val="006B76F8"/>
    <w:rsid w:val="006C63AB"/>
    <w:rsid w:val="006C7A1A"/>
    <w:rsid w:val="006D03FD"/>
    <w:rsid w:val="006D08AD"/>
    <w:rsid w:val="006D58A2"/>
    <w:rsid w:val="006D7815"/>
    <w:rsid w:val="006F5162"/>
    <w:rsid w:val="006F77C8"/>
    <w:rsid w:val="00702654"/>
    <w:rsid w:val="007035A1"/>
    <w:rsid w:val="00716B5E"/>
    <w:rsid w:val="007177A9"/>
    <w:rsid w:val="00723093"/>
    <w:rsid w:val="00730FE7"/>
    <w:rsid w:val="00737105"/>
    <w:rsid w:val="00742CDA"/>
    <w:rsid w:val="0074306E"/>
    <w:rsid w:val="007459AA"/>
    <w:rsid w:val="0074648D"/>
    <w:rsid w:val="007539E6"/>
    <w:rsid w:val="007551AC"/>
    <w:rsid w:val="00755DB5"/>
    <w:rsid w:val="007608A4"/>
    <w:rsid w:val="00761513"/>
    <w:rsid w:val="007711FC"/>
    <w:rsid w:val="00771395"/>
    <w:rsid w:val="00772851"/>
    <w:rsid w:val="00774B04"/>
    <w:rsid w:val="007763F8"/>
    <w:rsid w:val="00776B4D"/>
    <w:rsid w:val="00780046"/>
    <w:rsid w:val="0078114F"/>
    <w:rsid w:val="007871D2"/>
    <w:rsid w:val="00795776"/>
    <w:rsid w:val="00795967"/>
    <w:rsid w:val="007A2A51"/>
    <w:rsid w:val="007A5639"/>
    <w:rsid w:val="007A660C"/>
    <w:rsid w:val="007A7109"/>
    <w:rsid w:val="007B2257"/>
    <w:rsid w:val="007B420C"/>
    <w:rsid w:val="007B4851"/>
    <w:rsid w:val="007B7F38"/>
    <w:rsid w:val="007C2A77"/>
    <w:rsid w:val="007C65C3"/>
    <w:rsid w:val="007E6CEC"/>
    <w:rsid w:val="007F10A9"/>
    <w:rsid w:val="007F1261"/>
    <w:rsid w:val="007F6361"/>
    <w:rsid w:val="00803F8A"/>
    <w:rsid w:val="008100D8"/>
    <w:rsid w:val="00813D7B"/>
    <w:rsid w:val="00814EA2"/>
    <w:rsid w:val="00815F6F"/>
    <w:rsid w:val="008250DD"/>
    <w:rsid w:val="00826105"/>
    <w:rsid w:val="00827B81"/>
    <w:rsid w:val="00831CF7"/>
    <w:rsid w:val="0084388A"/>
    <w:rsid w:val="00852C84"/>
    <w:rsid w:val="00860F36"/>
    <w:rsid w:val="00860FA8"/>
    <w:rsid w:val="008616C1"/>
    <w:rsid w:val="00862059"/>
    <w:rsid w:val="00862366"/>
    <w:rsid w:val="0087203A"/>
    <w:rsid w:val="008724B6"/>
    <w:rsid w:val="008738B4"/>
    <w:rsid w:val="00873E21"/>
    <w:rsid w:val="00873E5C"/>
    <w:rsid w:val="00874F9D"/>
    <w:rsid w:val="00881B25"/>
    <w:rsid w:val="00887489"/>
    <w:rsid w:val="00890E0B"/>
    <w:rsid w:val="008915E7"/>
    <w:rsid w:val="00896DE0"/>
    <w:rsid w:val="008A02F8"/>
    <w:rsid w:val="008A28BB"/>
    <w:rsid w:val="008A6E0B"/>
    <w:rsid w:val="008B0C2D"/>
    <w:rsid w:val="008B66F6"/>
    <w:rsid w:val="008C2798"/>
    <w:rsid w:val="008C5D5B"/>
    <w:rsid w:val="008D6364"/>
    <w:rsid w:val="008E43E3"/>
    <w:rsid w:val="008F1C0C"/>
    <w:rsid w:val="008F20A8"/>
    <w:rsid w:val="008F2140"/>
    <w:rsid w:val="008F3F99"/>
    <w:rsid w:val="008F6DE1"/>
    <w:rsid w:val="00900432"/>
    <w:rsid w:val="00900CA9"/>
    <w:rsid w:val="00902A89"/>
    <w:rsid w:val="00904B90"/>
    <w:rsid w:val="00906FD1"/>
    <w:rsid w:val="00910F7D"/>
    <w:rsid w:val="0091105F"/>
    <w:rsid w:val="009124CC"/>
    <w:rsid w:val="00915529"/>
    <w:rsid w:val="00915F24"/>
    <w:rsid w:val="00917B08"/>
    <w:rsid w:val="00920033"/>
    <w:rsid w:val="00927359"/>
    <w:rsid w:val="0092739A"/>
    <w:rsid w:val="00932224"/>
    <w:rsid w:val="009378C2"/>
    <w:rsid w:val="0094690E"/>
    <w:rsid w:val="00966842"/>
    <w:rsid w:val="00971D18"/>
    <w:rsid w:val="00972AEE"/>
    <w:rsid w:val="0097504B"/>
    <w:rsid w:val="009758C5"/>
    <w:rsid w:val="00980761"/>
    <w:rsid w:val="009809CE"/>
    <w:rsid w:val="00982CE1"/>
    <w:rsid w:val="00984541"/>
    <w:rsid w:val="009A4BA1"/>
    <w:rsid w:val="009A745D"/>
    <w:rsid w:val="009B29C3"/>
    <w:rsid w:val="009B3A25"/>
    <w:rsid w:val="009B59AD"/>
    <w:rsid w:val="009C671E"/>
    <w:rsid w:val="009C7F0E"/>
    <w:rsid w:val="009D358D"/>
    <w:rsid w:val="009D59CF"/>
    <w:rsid w:val="009D7422"/>
    <w:rsid w:val="009E341C"/>
    <w:rsid w:val="009E46BD"/>
    <w:rsid w:val="009E5127"/>
    <w:rsid w:val="009E73AF"/>
    <w:rsid w:val="009F105B"/>
    <w:rsid w:val="009F2361"/>
    <w:rsid w:val="009F66D8"/>
    <w:rsid w:val="009F7CCF"/>
    <w:rsid w:val="00A07F44"/>
    <w:rsid w:val="00A1014C"/>
    <w:rsid w:val="00A1477A"/>
    <w:rsid w:val="00A20ED9"/>
    <w:rsid w:val="00A26034"/>
    <w:rsid w:val="00A268FB"/>
    <w:rsid w:val="00A27370"/>
    <w:rsid w:val="00A277CD"/>
    <w:rsid w:val="00A278BB"/>
    <w:rsid w:val="00A3473A"/>
    <w:rsid w:val="00A367C2"/>
    <w:rsid w:val="00A42553"/>
    <w:rsid w:val="00A463C4"/>
    <w:rsid w:val="00A4737C"/>
    <w:rsid w:val="00A521FE"/>
    <w:rsid w:val="00A543C2"/>
    <w:rsid w:val="00A63E0D"/>
    <w:rsid w:val="00A63FA9"/>
    <w:rsid w:val="00A64689"/>
    <w:rsid w:val="00A64D07"/>
    <w:rsid w:val="00A75C19"/>
    <w:rsid w:val="00A760A6"/>
    <w:rsid w:val="00A829AB"/>
    <w:rsid w:val="00A82C6C"/>
    <w:rsid w:val="00A842D0"/>
    <w:rsid w:val="00A849C9"/>
    <w:rsid w:val="00A91CDD"/>
    <w:rsid w:val="00A93F4B"/>
    <w:rsid w:val="00A9597D"/>
    <w:rsid w:val="00A96F8F"/>
    <w:rsid w:val="00AB17EF"/>
    <w:rsid w:val="00AB438E"/>
    <w:rsid w:val="00AB4559"/>
    <w:rsid w:val="00AC0453"/>
    <w:rsid w:val="00AC314B"/>
    <w:rsid w:val="00AC323C"/>
    <w:rsid w:val="00AC4070"/>
    <w:rsid w:val="00AC4243"/>
    <w:rsid w:val="00AD37FC"/>
    <w:rsid w:val="00AE1D28"/>
    <w:rsid w:val="00AE4C14"/>
    <w:rsid w:val="00AF10A5"/>
    <w:rsid w:val="00AF7EAC"/>
    <w:rsid w:val="00B07FA4"/>
    <w:rsid w:val="00B13318"/>
    <w:rsid w:val="00B248DB"/>
    <w:rsid w:val="00B31D83"/>
    <w:rsid w:val="00B3699F"/>
    <w:rsid w:val="00B4651E"/>
    <w:rsid w:val="00B500F8"/>
    <w:rsid w:val="00B52C23"/>
    <w:rsid w:val="00B54391"/>
    <w:rsid w:val="00B55C65"/>
    <w:rsid w:val="00B63820"/>
    <w:rsid w:val="00B679ED"/>
    <w:rsid w:val="00B67C5C"/>
    <w:rsid w:val="00B70784"/>
    <w:rsid w:val="00B70D36"/>
    <w:rsid w:val="00B815D7"/>
    <w:rsid w:val="00B844B4"/>
    <w:rsid w:val="00B87E7A"/>
    <w:rsid w:val="00B945D9"/>
    <w:rsid w:val="00BA11A9"/>
    <w:rsid w:val="00BA2CB3"/>
    <w:rsid w:val="00BA4C9B"/>
    <w:rsid w:val="00BB3D4D"/>
    <w:rsid w:val="00BB5D1A"/>
    <w:rsid w:val="00BB779F"/>
    <w:rsid w:val="00BC1AEC"/>
    <w:rsid w:val="00BC31AD"/>
    <w:rsid w:val="00BC34E5"/>
    <w:rsid w:val="00BC50C0"/>
    <w:rsid w:val="00BD1A2E"/>
    <w:rsid w:val="00BD2AAB"/>
    <w:rsid w:val="00BD52C2"/>
    <w:rsid w:val="00BD6D89"/>
    <w:rsid w:val="00BD7929"/>
    <w:rsid w:val="00BE6360"/>
    <w:rsid w:val="00BF1F11"/>
    <w:rsid w:val="00BF449F"/>
    <w:rsid w:val="00C02F21"/>
    <w:rsid w:val="00C041E7"/>
    <w:rsid w:val="00C12587"/>
    <w:rsid w:val="00C16907"/>
    <w:rsid w:val="00C16B3F"/>
    <w:rsid w:val="00C208DB"/>
    <w:rsid w:val="00C22BF2"/>
    <w:rsid w:val="00C23E5E"/>
    <w:rsid w:val="00C24C9F"/>
    <w:rsid w:val="00C34B38"/>
    <w:rsid w:val="00C35C02"/>
    <w:rsid w:val="00C41D27"/>
    <w:rsid w:val="00C4207D"/>
    <w:rsid w:val="00C51BEC"/>
    <w:rsid w:val="00C53C9C"/>
    <w:rsid w:val="00C561E1"/>
    <w:rsid w:val="00C5667D"/>
    <w:rsid w:val="00C605A3"/>
    <w:rsid w:val="00C61F14"/>
    <w:rsid w:val="00C639CB"/>
    <w:rsid w:val="00C64DC8"/>
    <w:rsid w:val="00C658AF"/>
    <w:rsid w:val="00C70B49"/>
    <w:rsid w:val="00C7137D"/>
    <w:rsid w:val="00C713C2"/>
    <w:rsid w:val="00C73B9D"/>
    <w:rsid w:val="00C744E8"/>
    <w:rsid w:val="00C82505"/>
    <w:rsid w:val="00C84D3B"/>
    <w:rsid w:val="00C87EB6"/>
    <w:rsid w:val="00C9204C"/>
    <w:rsid w:val="00C95C13"/>
    <w:rsid w:val="00CA5D05"/>
    <w:rsid w:val="00CC059B"/>
    <w:rsid w:val="00CC0CBC"/>
    <w:rsid w:val="00CC1916"/>
    <w:rsid w:val="00CC721E"/>
    <w:rsid w:val="00CE07FE"/>
    <w:rsid w:val="00CE2778"/>
    <w:rsid w:val="00CF00BA"/>
    <w:rsid w:val="00CF7510"/>
    <w:rsid w:val="00CF77DE"/>
    <w:rsid w:val="00D01C55"/>
    <w:rsid w:val="00D06497"/>
    <w:rsid w:val="00D07193"/>
    <w:rsid w:val="00D172D9"/>
    <w:rsid w:val="00D20FCE"/>
    <w:rsid w:val="00D2171D"/>
    <w:rsid w:val="00D321DC"/>
    <w:rsid w:val="00D333C3"/>
    <w:rsid w:val="00D40A7D"/>
    <w:rsid w:val="00D53FEA"/>
    <w:rsid w:val="00D5468F"/>
    <w:rsid w:val="00D55453"/>
    <w:rsid w:val="00D83AA7"/>
    <w:rsid w:val="00D83B58"/>
    <w:rsid w:val="00D85C5F"/>
    <w:rsid w:val="00DA540A"/>
    <w:rsid w:val="00DA5ECC"/>
    <w:rsid w:val="00DA6E3C"/>
    <w:rsid w:val="00DA6FCF"/>
    <w:rsid w:val="00DB1D8B"/>
    <w:rsid w:val="00DB68F5"/>
    <w:rsid w:val="00DB71B5"/>
    <w:rsid w:val="00DC387D"/>
    <w:rsid w:val="00DC6263"/>
    <w:rsid w:val="00DD0601"/>
    <w:rsid w:val="00DD0831"/>
    <w:rsid w:val="00DD0C7B"/>
    <w:rsid w:val="00DE44D4"/>
    <w:rsid w:val="00DE79E5"/>
    <w:rsid w:val="00DF1DDF"/>
    <w:rsid w:val="00DF3F6C"/>
    <w:rsid w:val="00E0163F"/>
    <w:rsid w:val="00E01F84"/>
    <w:rsid w:val="00E03364"/>
    <w:rsid w:val="00E075C0"/>
    <w:rsid w:val="00E109B8"/>
    <w:rsid w:val="00E126EF"/>
    <w:rsid w:val="00E1372D"/>
    <w:rsid w:val="00E14280"/>
    <w:rsid w:val="00E15FE2"/>
    <w:rsid w:val="00E16007"/>
    <w:rsid w:val="00E16E8D"/>
    <w:rsid w:val="00E2130F"/>
    <w:rsid w:val="00E235AD"/>
    <w:rsid w:val="00E24B86"/>
    <w:rsid w:val="00E36373"/>
    <w:rsid w:val="00E45340"/>
    <w:rsid w:val="00E46D23"/>
    <w:rsid w:val="00E507A4"/>
    <w:rsid w:val="00E51CF6"/>
    <w:rsid w:val="00E608CA"/>
    <w:rsid w:val="00E64C68"/>
    <w:rsid w:val="00E67FB1"/>
    <w:rsid w:val="00E720C9"/>
    <w:rsid w:val="00E80A67"/>
    <w:rsid w:val="00E824CE"/>
    <w:rsid w:val="00E83158"/>
    <w:rsid w:val="00E8384C"/>
    <w:rsid w:val="00E85D75"/>
    <w:rsid w:val="00E866AC"/>
    <w:rsid w:val="00E91FDE"/>
    <w:rsid w:val="00E93154"/>
    <w:rsid w:val="00E97430"/>
    <w:rsid w:val="00EA4138"/>
    <w:rsid w:val="00EA4BD9"/>
    <w:rsid w:val="00EA7258"/>
    <w:rsid w:val="00EB0BF4"/>
    <w:rsid w:val="00EB19B7"/>
    <w:rsid w:val="00EB59C9"/>
    <w:rsid w:val="00EC513E"/>
    <w:rsid w:val="00EC595E"/>
    <w:rsid w:val="00EC6883"/>
    <w:rsid w:val="00ED4850"/>
    <w:rsid w:val="00ED6236"/>
    <w:rsid w:val="00EE1C32"/>
    <w:rsid w:val="00EE6066"/>
    <w:rsid w:val="00EF089B"/>
    <w:rsid w:val="00EF178C"/>
    <w:rsid w:val="00F10C40"/>
    <w:rsid w:val="00F14595"/>
    <w:rsid w:val="00F26517"/>
    <w:rsid w:val="00F42399"/>
    <w:rsid w:val="00F4416E"/>
    <w:rsid w:val="00F5214A"/>
    <w:rsid w:val="00F53127"/>
    <w:rsid w:val="00F55F09"/>
    <w:rsid w:val="00F606EB"/>
    <w:rsid w:val="00F610E3"/>
    <w:rsid w:val="00F67DCC"/>
    <w:rsid w:val="00F70667"/>
    <w:rsid w:val="00F7500E"/>
    <w:rsid w:val="00F767BE"/>
    <w:rsid w:val="00F935C2"/>
    <w:rsid w:val="00F956E7"/>
    <w:rsid w:val="00FA46BD"/>
    <w:rsid w:val="00FA5C36"/>
    <w:rsid w:val="00FA6184"/>
    <w:rsid w:val="00FC6B13"/>
    <w:rsid w:val="00FC7C36"/>
    <w:rsid w:val="00FD3EC3"/>
    <w:rsid w:val="00FD5563"/>
    <w:rsid w:val="00FE23EF"/>
    <w:rsid w:val="00FE5592"/>
    <w:rsid w:val="00FE67B4"/>
    <w:rsid w:val="00FE7FE6"/>
    <w:rsid w:val="00FF0A0F"/>
    <w:rsid w:val="00FF37A2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E766"/>
  <w15:chartTrackingRefBased/>
  <w15:docId w15:val="{873D677A-C299-40C0-9923-EBFAF3FB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F24"/>
    <w:pPr>
      <w:spacing w:before="120"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Nadpis1">
    <w:name w:val="heading 1"/>
    <w:basedOn w:val="Nadpis2"/>
    <w:next w:val="Normln"/>
    <w:link w:val="Nadpis1Char"/>
    <w:uiPriority w:val="9"/>
    <w:qFormat/>
    <w:rsid w:val="00F4416E"/>
    <w:pPr>
      <w:jc w:val="center"/>
      <w:outlineLvl w:val="0"/>
    </w:p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F4416E"/>
    <w:pPr>
      <w:jc w:val="left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6E7A"/>
    <w:pPr>
      <w:widowControl w:val="0"/>
      <w:outlineLvl w:val="2"/>
    </w:pPr>
    <w:rPr>
      <w:b/>
      <w:bCs/>
      <w:color w:val="00000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7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7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7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7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6E7A"/>
    <w:rPr>
      <w:rFonts w:ascii="Times New Roman" w:eastAsia="Calibri" w:hAnsi="Times New Roman" w:cs="Times New Roman"/>
      <w:b/>
      <w:bCs/>
      <w:color w:val="000000"/>
      <w:kern w:val="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4416E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4416E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776"/>
    <w:rPr>
      <w:rFonts w:eastAsiaTheme="majorEastAsia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776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776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776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776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776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957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57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7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577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7957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5776"/>
    <w:rPr>
      <w:rFonts w:ascii="Times New Roman" w:eastAsia="Calibri" w:hAnsi="Times New Roman" w:cs="Times New Roman"/>
      <w:i/>
      <w:iCs/>
      <w:color w:val="404040" w:themeColor="text1" w:themeTint="BF"/>
      <w:kern w:val="0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7957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57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776"/>
    <w:rPr>
      <w:rFonts w:ascii="Times New Roman" w:eastAsia="Calibri" w:hAnsi="Times New Roman" w:cs="Times New Roman"/>
      <w:i/>
      <w:iCs/>
      <w:color w:val="0F4761" w:themeColor="accent1" w:themeShade="BF"/>
      <w:kern w:val="0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79577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F089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89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84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4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44B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4B4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A725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A7258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725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A7258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Revize">
    <w:name w:val="Revision"/>
    <w:hidden/>
    <w:uiPriority w:val="99"/>
    <w:semiHidden/>
    <w:rsid w:val="00904B90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Bezmezer">
    <w:name w:val="No Spacing"/>
    <w:uiPriority w:val="1"/>
    <w:qFormat/>
    <w:rsid w:val="009F105B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7FE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7FEF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17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slp.nsoud.cz/vyber/22063/" TargetMode="External"/><Relationship Id="rId1" Type="http://schemas.openxmlformats.org/officeDocument/2006/relationships/hyperlink" Target="https://mezisoudy.cz/databaze-judikatury/detail-rozhodnuti/4433913b-2f61-11ef-96f7-005056b43026_spisa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8BEA-80EB-4241-9A07-71EAD88F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5202</Words>
  <Characters>30697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Hálová Kateřina</dc:creator>
  <cp:keywords/>
  <dc:description/>
  <cp:lastModifiedBy>Belloňová Pavla JUDr. Ph.D.</cp:lastModifiedBy>
  <cp:revision>2</cp:revision>
  <cp:lastPrinted>2025-05-21T07:09:00Z</cp:lastPrinted>
  <dcterms:created xsi:type="dcterms:W3CDTF">2025-08-12T15:07:00Z</dcterms:created>
  <dcterms:modified xsi:type="dcterms:W3CDTF">2025-08-12T15:07:00Z</dcterms:modified>
</cp:coreProperties>
</file>