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 w:rsidR="00A77B3E"/>
    <w:p w:rsidR="00A77B3E">
      <w:pPr>
        <w:pStyle w:val="1"/>
      </w:pPr>
    </w:p>
    <w:p w:rsidR="00A77B3E">
      <w:pPr>
        <w:pStyle w:val="2"/>
      </w:pPr>
      <w:r>
        <w:t>III.</w:t>
      </w:r>
    </w:p>
    <w:p w:rsidR="00A77B3E">
      <w:pPr>
        <w:pStyle w:val="1"/>
      </w:pPr>
    </w:p>
    <w:p w:rsidR="00A77B3E">
      <w:pPr>
        <w:pStyle w:val="3"/>
      </w:pPr>
      <w:r>
        <w:t>Důvodová zpráva</w:t>
      </w:r>
    </w:p>
    <w:p w:rsidR="00A77B3E">
      <w:pPr>
        <w:pStyle w:val="4"/>
      </w:pPr>
      <w:r>
        <w:t>Návrh vyhlášky, kterou se mění vyhláška č. 362/2020 Sb., kterou se mění vyhláška č. 345/1999 Sb., kterou se vydává řád výkonu trestu odnětí svobody, ve znění pozdějších předpisů, ve znění vyhlášky č. 380/2023 Sb., a vyhláška č. 363/2020 Sb., kterou se mění vyhláška č. 109/1994 Sb., kterou se vydává řád výkonu vazby, ve znění pozdějších předpisů, ve znění vyhlášky č. 380/2023 Sb.</w:t>
      </w:r>
    </w:p>
    <w:p w:rsidR="00A77B3E">
      <w:pPr>
        <w:pStyle w:val="1"/>
      </w:pPr>
    </w:p>
    <w:p w:rsidR="00A77B3E">
      <w:pPr>
        <w:pStyle w:val="5"/>
      </w:pPr>
      <w:r>
        <w:t>I. Obecná část</w:t>
      </w:r>
    </w:p>
    <w:p w:rsidR="00A77B3E">
      <w:pPr>
        <w:pStyle w:val="6"/>
      </w:pPr>
      <w:r>
        <w:t>1.</w:t>
      </w:r>
      <w:r>
        <w:t>   </w:t>
      </w:r>
      <w:r>
        <w:rPr>
          <w:b/>
          <w:bCs/>
        </w:rPr>
        <w:t>Zhodnocení platného právního stavu, odůvodnění hlavních principů navrhované právní úpravy a vysvětlení nezbytnosti navrhované právní úpravy v jejím celku</w:t>
      </w:r>
    </w:p>
    <w:p w:rsidR="00A77B3E">
      <w:pPr>
        <w:pStyle w:val="7"/>
      </w:pPr>
      <w:r>
        <w:t xml:space="preserve">Cílem předloženého návrhu vyhlášky je zajistit odložení účinnosti nové právní úpravy minimální plochy cel a </w:t>
      </w:r>
      <w:r>
        <w:t>ložnic ve věznicích z 1. ledna 2027 na 1. ledna 2030.</w:t>
      </w:r>
    </w:p>
    <w:p w:rsidR="00A77B3E">
      <w:pPr>
        <w:pStyle w:val="8"/>
      </w:pPr>
      <w:r>
        <w:t>Požadavky na ubytování ve věznicích a vazebních věznicích stanoví řád výkonu trestu odnětí svobody a řád výkonu vazby (vyhláška č. 345/1999 Sb. a č. 109/1994 Sb.). Podle nich platí, že v ubytovací místnosti určené pro ubytování více osob musí na jednoho odsouzeného (obviněného) připadat ubytovací plocha nejméně 4 m</w:t>
      </w:r>
      <w:r>
        <w:rPr>
          <w:vertAlign w:val="superscript"/>
        </w:rPr>
        <w:t>2</w:t>
      </w:r>
      <w:r>
        <w:t xml:space="preserve"> s tím, že cela nebo ložnice určená k ubytování pouze jedné osoby nesmí mít ubytovací plochu menší než 6 m</w:t>
      </w:r>
      <w:r>
        <w:rPr>
          <w:vertAlign w:val="superscript"/>
        </w:rPr>
        <w:t xml:space="preserve">2 </w:t>
      </w:r>
      <w:r>
        <w:t>(účinné znění § 17 odst. 6 řádu výkonu trestu a § 15 odst. 1 řádu výkonu vazby).</w:t>
      </w:r>
    </w:p>
    <w:p w:rsidR="00A77B3E">
      <w:pPr>
        <w:pStyle w:val="8"/>
      </w:pPr>
      <w:r>
        <w:t>V návaznosti na doporučení Evropského výboru pro zabránění mučení a nelidskému či ponižujícímu zacházení nebo trestání (dále jen „CPT“) byl uvedený způsob stanovení minimální ubytovací plochy cel a ložnic změněn, a to vyhláškou č. 362/2020 Sb. a vyhláškou č. 363/2020 Sb. Podle této nové právní úpravy, jejíž účinnost se předpokládala k 1. lednu 2024, by měla v prostoru určeném pro ubytování více osob na jednu z nich připadat ubytovací plocha nejméně 6 m</w:t>
      </w:r>
      <w:r>
        <w:rPr>
          <w:vertAlign w:val="superscript"/>
        </w:rPr>
        <w:t>2</w:t>
      </w:r>
      <w:r>
        <w:t xml:space="preserve"> a na každou další nejméně 4 m</w:t>
      </w:r>
      <w:r>
        <w:rPr>
          <w:vertAlign w:val="superscript"/>
        </w:rPr>
        <w:t>2</w:t>
      </w:r>
      <w:r>
        <w:t>.</w:t>
      </w:r>
    </w:p>
    <w:p w:rsidR="00A77B3E">
      <w:pPr>
        <w:pStyle w:val="8"/>
      </w:pPr>
      <w:r>
        <w:t>Vzhledem k pandemii covid-19 a dopadům ruské agrese a s tím souvisejícímu stavu veřejných financí a vzhledem k počtu vězněných osob však bylo zapotřebí přistoupit k posunu účinnosti nové úpravy minimální ubytovací plochy, a to na 1. ledna 2027 (vyhláškou č. 380/2023 Sb.).</w:t>
      </w:r>
    </w:p>
    <w:p w:rsidR="00A77B3E">
      <w:pPr>
        <w:pStyle w:val="8"/>
      </w:pPr>
      <w:r>
        <w:t>V roce 2024 zrealizovala Vězeňská služba České republiky celkovou revizi ubytovacích kapacit v rámci všech věznic a vazebních věznic. V rámci této revize došlo k podrobnému zmapování normové ubytovací kapacity, kterou disponuje. V průběhu let 2024 a 2025 byly následně prováděny dílčí změny za účelem optimálního rozložení ubytovacích kapacit. Tímto postupem se podařilo například docílit toho, že v rámci specializovaných oddílů mají odsouzení k dispozici ubytovací plochu 6 m</w:t>
      </w:r>
      <w:r>
        <w:rPr>
          <w:vertAlign w:val="superscript"/>
        </w:rPr>
        <w:t>2</w:t>
      </w:r>
      <w:r>
        <w:t xml:space="preserve"> na osobu, ve výjimečných případech 4 m</w:t>
      </w:r>
      <w:r>
        <w:rPr>
          <w:vertAlign w:val="superscript"/>
        </w:rPr>
        <w:t>2</w:t>
      </w:r>
      <w:r>
        <w:t>.</w:t>
      </w:r>
    </w:p>
    <w:p w:rsidR="00A77B3E">
      <w:pPr>
        <w:pStyle w:val="8"/>
      </w:pPr>
      <w:r>
        <w:t>Stávající nepříznivá personální situace Vězeňské služby České republiky však neumožňuje aktuálně efektivní využití všech ubytovacích kapacit, které jsou jinak k dispozici (např. ve věznici Valdice je od roku 2022 pozastavena činnost dvou specializovaných oddílů a oddílu se zesíleným stavebně technickým zabezpečením s celkovou normovou ubytovací kapacitou 69 míst, v roce 2024 se tamtéž přistoupilo ze stejného důvodu k uzavření jedné ubytovny s normovou ubytovací kapacitu 178 míst, došlo též k pozastavení činnosti ústavu pro výkon zabezpečovací detence s normovou ubytovací kapacitou 28 míst ve Vazební věznici a Ústavu pro výkon zabezpečovací detence Praha Pankrác).</w:t>
      </w:r>
    </w:p>
    <w:p w:rsidR="00A77B3E">
      <w:pPr>
        <w:pStyle w:val="8"/>
      </w:pPr>
      <w:r>
        <w:t>Aktuální využitelnost všech ubytovacích kapacit je rovněž výrazně ovlivněna nutností realizovat, s ohledem na stáří a technický stav budov, kde se ubytovací prostory nacházejí, drobné i rozsáhlejší rekonstrukce. V souvislosti se snahou o zlepšování podmínek výkonu trestu a vazby jsou průběžně realizovány stavební práce, které s sebou také nesou dočasnou nemožnost využívat ubytovací kapacity na své maximum.</w:t>
      </w:r>
    </w:p>
    <w:p w:rsidR="00A77B3E">
      <w:pPr>
        <w:pStyle w:val="8"/>
      </w:pPr>
      <w:r>
        <w:t>Vězeňská služba České republiky v tuto chvíli disponuje celkovou normovou ubytovací kapacitou v počtu 19850 míst.</w:t>
      </w:r>
    </w:p>
    <w:p w:rsidR="00A77B3E">
      <w:pPr>
        <w:pStyle w:val="8"/>
      </w:pPr>
      <w:r>
        <w:rPr>
          <w:i/>
          <w:iCs/>
        </w:rPr>
        <w:t>Tabulka č. 1 znázorňuje vývoj počtu ubytovacích kapacit od roku 2020 do současnosti. Údaje jsou čerpány z týdenního statistického hlášení z prosince daného roku, s výjimkou roku 2026, kdy je čerpáno z dubna předmětného roku, a pro přehlednost rozděleny do základních typů věznění.</w:t>
      </w:r>
    </w:p>
    <w:tbl>
      <w:tblPr>
        <w:tblStyle w:val="PouzeNaPrvniStranezahlavi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536"/>
        <w:gridCol w:w="807"/>
        <w:gridCol w:w="807"/>
        <w:gridCol w:w="807"/>
        <w:gridCol w:w="807"/>
        <w:gridCol w:w="807"/>
        <w:gridCol w:w="807"/>
        <w:gridCol w:w="826"/>
      </w:tblGrid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gridSpan w:val="8"/>
            <w:tcBorders>
              <w:top w:val="single" w:sz="8" w:space="0" w:color="000000"/>
              <w:bottom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Tabulka č. 1 - početní vývoj normové ubytovací kapacity dle jednotlivých kategorií věznění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W w:w="2433" w:type="pct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Typ věznění</w:t>
            </w:r>
          </w:p>
        </w:tc>
        <w:tc>
          <w:tcPr>
            <w:tcW w:w="3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9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Vazba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1877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1895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Detence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Přijímací oddíl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888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908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934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Vězeňská nemocnice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nízký stupeň zabezpečení - standard - ženy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nízký stupeň zabezpečení - standard - 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605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střední stupeň zabezpečení - standard - ženy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563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střední stupeň zabezpečení - standard - 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4183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4217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4091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4015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4079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4025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vysoký stupeň zabezpečení - standard - ženy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583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vysoký stupeň zabezpečení - standard - 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8110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8282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8480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8495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8443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8058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8026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Zvýšená ostraha - standard - ženy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Zvýšená ostraha - standard - 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913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Specializované oddíly - ženy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Specializované oddíly - 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1477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VTOOS - dívky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VTOOS - chlapci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Ubytovací kapacita celkem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19939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20113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20373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20301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20387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19846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16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19850</w:t>
            </w:r>
          </w:p>
        </w:tc>
      </w:tr>
    </w:tbl>
    <w:p w:rsidR="00A77B3E">
      <w:pPr>
        <w:pStyle w:val="8"/>
      </w:pPr>
    </w:p>
    <w:p w:rsidR="00A77B3E">
      <w:pPr>
        <w:pStyle w:val="8"/>
      </w:pPr>
      <w:r>
        <w:t>Po nabytí účinnosti čl. I bodu 4 vyhl. č. 362/2020 Sb. a čl. I bodu 2 vyhl. č. 363/2020 Sb. dne 1. ledna 2027 by došlo ke snížení celkové normové ubytovací kapacity o cca 2798 míst (údaj byl získán přepočtem aktuálně využívané normové ubytovací kapacity).</w:t>
      </w:r>
    </w:p>
    <w:tbl>
      <w:tblPr>
        <w:tblStyle w:val="PouzeNaPrvniStranezahlavi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989"/>
        <w:gridCol w:w="819"/>
        <w:gridCol w:w="808"/>
        <w:gridCol w:w="965"/>
        <w:gridCol w:w="951"/>
        <w:gridCol w:w="844"/>
        <w:gridCol w:w="828"/>
      </w:tblGrid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gridSpan w:val="7"/>
            <w:tcBorders>
              <w:top w:val="single" w:sz="8" w:space="0" w:color="000000"/>
              <w:bottom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Tabulka č. 2 - snížení normové ubytovací kapacity po nabytí účinnosti vyhlášek č. 362/2020 Sb. a č. 363/2020 Sb.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vMerge w:val="restart"/>
            <w:tcBorders>
              <w:top w:val="single" w:sz="3" w:space="0" w:color="000000"/>
              <w:bottom w:val="none" w:sz="0" w:space="0" w:color="auto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Typ věznění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Předpoklad 2027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Rozdíl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vMerge/>
            <w:tcBorders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:rsidR="00A77B3E">
            <w:pPr>
              <w:overflowPunct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Ženy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Ženy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Ženy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Vazba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1895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1345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-550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Detence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Přijímací oddíl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934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825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-109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Vězeňská nemocnice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nízký stupeň zabezpečení - standard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-21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střední stupeň zabezpečení - standard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4025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3515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-510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-79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vysoký stupeň zabezpečení - standard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8026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7024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-1002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-76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Zvýšená ostraha - standard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-125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-18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Specializované oddíly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1273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-30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VTOOS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Ubytovací kapacita celkem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19850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17052</w:t>
            </w:r>
          </w:p>
        </w:tc>
        <w:tc>
          <w:tcPr>
            <w:gridSpan w:val="2"/>
            <w:tcBorders>
              <w:top w:val="single" w:sz="3" w:space="0" w:color="000000"/>
              <w:left w:val="single" w:sz="3" w:space="0" w:color="000000"/>
              <w:bottom w:val="single" w:sz="16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-2798</w:t>
            </w:r>
          </w:p>
        </w:tc>
      </w:tr>
    </w:tbl>
    <w:p w:rsidR="00A77B3E">
      <w:pPr>
        <w:pStyle w:val="8"/>
      </w:pPr>
    </w:p>
    <w:p w:rsidR="00A77B3E">
      <w:pPr>
        <w:pStyle w:val="8"/>
      </w:pPr>
      <w:r>
        <w:t>Vězeňská služba České republiky je aktuálně nucena odsouzené ženy vykonávající trest ve věznici s ostrahou v odděleních se středním a vysokým stupněm zabezpečení a odsouzené muže ve věznici s ostrahou v oddělení s vysokým stupněm zabezpečení a ve věznici se zvýšenou ostrahou ubytovávat v celách nebo ložnicích, v níž na odsouzeného připadne ubytovací plocha menší než ubytovací plocha stanovená v § 17 odst. 6 řádu výkonu trestu [v souladu s § 17 odst. 7 písm. a) řádu výkonu trestu odnětí svobody nicméně více než 3 m</w:t>
      </w:r>
      <w:r>
        <w:rPr>
          <w:vertAlign w:val="superscript"/>
        </w:rPr>
        <w:t>2</w:t>
      </w:r>
      <w:r>
        <w:t xml:space="preserve"> na osobu].</w:t>
      </w:r>
    </w:p>
    <w:p w:rsidR="00A77B3E">
      <w:pPr>
        <w:pStyle w:val="8"/>
      </w:pPr>
      <w:r>
        <w:t>V případě, že by nedošlo k posunu účinnosti čl. I bodu 4 vyhl. č. 362/2020 Sb. a čl. I bodu 2 vyhl. č. 363/2020 Sb., dojde k tomu, že bude nutné ubytovávat v souladu s výše uvedeným ustanovením odsouzené i v dalších typech věznění (osoby v oddělení výkonu vazby a odsouzené ženy ve věznici se zvýšenou ostrahou).</w:t>
      </w:r>
    </w:p>
    <w:tbl>
      <w:tblPr>
        <w:tblStyle w:val="PouzeNaPrvniStranezahlavi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2649"/>
        <w:gridCol w:w="807"/>
        <w:gridCol w:w="1299"/>
        <w:gridCol w:w="1288"/>
        <w:gridCol w:w="1668"/>
        <w:gridCol w:w="1493"/>
      </w:tblGrid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gridSpan w:val="6"/>
            <w:tcBorders>
              <w:top w:val="single" w:sz="8" w:space="0" w:color="000000"/>
              <w:bottom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Tabulka č. 3 - využitelnost v % jednotlivých kategorií věznění (současnost a při snížení NUK v roce 2027)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Typ věznění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NUK 2026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Předpokl. NUK 2027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Fyz. stav k 24.4.2026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Využitelnost k 1.4.2026 v %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Využitelnost k 2027 v %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Vazba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84,91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119,63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Detence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90,58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90,58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Přijímací oddíl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25,05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28,36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Vězeňská nemocnice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32,61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32,61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nízký stupeň zabezpečení - standard - ženy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72,57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82,47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nízký stupeň zabezpečení - standard - 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82,15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93,42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střední stupeň zabezpečení - standard - ženy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103,91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120,87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střední stupeň zabezpečení - standard - 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4025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3515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3437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85,39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97,78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vysoký stupeň zabezpečení - standard - ženy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117,84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135,5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- vysoký stupeň zabezpečení - standard - 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8026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7024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9302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115,9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132,43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Zvýšená ostraha - standard - ženy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85,71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135,48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Zvýšená ostraha - standard - 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105,15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121,83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Specializované oddíly - ženy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Specializované oddíly - muži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1273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73,6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85,39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VTOOS - dívky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18,75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18,75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VTOOS - chlapci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90,8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91,86</w:t>
            </w:r>
          </w:p>
        </w:tc>
      </w:tr>
      <w:tr>
        <w:tblPrEx>
          <w:tblInd w:w="162" w:type="dxa"/>
          <w:tblLook w:val="05E0"/>
        </w:tblPrEx>
        <w:trPr>
          <w:trHeight w:val="360"/>
          <w:tblHeader w:val="0"/>
        </w:trPr>
        <w:tc>
          <w:tcPr>
            <w:tcBorders>
              <w:top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Ubytovací kapacita celkem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19850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17052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18951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95,47</w:t>
            </w:r>
          </w:p>
        </w:tc>
        <w:tc>
          <w:tcPr>
            <w:tcBorders>
              <w:top w:val="single" w:sz="3" w:space="0" w:color="000000"/>
              <w:left w:val="single" w:sz="3" w:space="0" w:color="000000"/>
              <w:bottom w:val="single" w:sz="16" w:space="0" w:color="000000"/>
            </w:tcBorders>
            <w:noWrap w:val="0"/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:rsidR="00A77B3E">
            <w:pPr>
              <w:pStyle w:val="8"/>
              <w:overflowPunct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111,14</w:t>
            </w:r>
          </w:p>
        </w:tc>
      </w:tr>
    </w:tbl>
    <w:p w:rsidR="00A77B3E">
      <w:pPr>
        <w:pStyle w:val="8"/>
      </w:pPr>
    </w:p>
    <w:p w:rsidR="00A77B3E">
      <w:pPr>
        <w:pStyle w:val="8"/>
      </w:pPr>
      <w:r>
        <w:t>V dalších kategoriích vězněných osob, např. u odsouzených mužů ve věznici s ostrahou v oddělení s nízkým a středním stupněm zabezpečení, dojde k naplnění normové ubytovací kapacity k hranici 100 % její využitelnosti (cca 93 % a 97 %).</w:t>
      </w:r>
    </w:p>
    <w:p w:rsidR="00A77B3E">
      <w:pPr>
        <w:pStyle w:val="8"/>
      </w:pPr>
      <w:r>
        <w:t>Zlepšení standardu ubytování části vězeňské populace, které vyhlášky č. 362/2020 Sb. a č. 363/2020 Sb. přináší, by za stávající situace v konečném důsledku znamenalo omezení dostupných ubytovacích kapacit pro ostatní vězněné osoby. To může znamenat zvýšení bezpečnostního rizika – vězněné osoby by mohly považovat za spíše negativní (například by muselo dojít k přesunu vězně do věznice geograficky vzdálenější jeho běžnému, původnímu bydlišti, což by mohlo znamenat například snížení frekvence návštěv blízkých osob, docházelo by k ubytování po jednom, což lze považovat za problematické aj.). Navrhované střednědobé odložení účinnosti současnou situaci vězněných osob naproti tomu nijak nezhorší, ta zůstane zcela totožná a zároveň umožní, aby po nabytí účinnosti změny došlo k reálnému zlepšení podmínek pro vězněné osoby.</w:t>
      </w:r>
    </w:p>
    <w:p w:rsidR="00A77B3E">
      <w:pPr>
        <w:pStyle w:val="9"/>
      </w:pPr>
      <w:r>
        <w:t>S ohledem k těmto skutečnostem je nezbytné přistoupit opětovně k posunu účinnosti nového výpočtu minimální plochy cel ve věznicích a ve vazebních věznicích.</w:t>
      </w:r>
    </w:p>
    <w:p w:rsidR="00A77B3E">
      <w:pPr>
        <w:pStyle w:val="6"/>
      </w:pPr>
      <w:r>
        <w:t>2.</w:t>
      </w:r>
      <w:r>
        <w:t>   Zhodnocení souladu návrhu právního předpisu s ústavním pořádkem a ostatními součástmi právního řádu České republiky.</w:t>
      </w:r>
    </w:p>
    <w:p w:rsidR="00A77B3E">
      <w:pPr>
        <w:pStyle w:val="7"/>
      </w:pPr>
      <w:r>
        <w:t>Předložený návrh vyhlášky je plně v souladu se zákonem o výkonu trestu, a to včetně jeho § 81 obsahujícího zákonné zmocnění, podle něhož Ministerstvo spravedlnosti stanoví vyhláškou řád výkonu trestu odnětí svobody. Totéž platí o zákonu o výkonu vazby a jeho § 31, který Ministerstvo spravedlnosti zmocňuje k vydání řádu výkonu vazby.</w:t>
      </w:r>
    </w:p>
    <w:p w:rsidR="00A77B3E">
      <w:pPr>
        <w:pStyle w:val="9"/>
      </w:pPr>
      <w:r>
        <w:t>Návrh není v rozporu s ustanoveními předpisů tvořícími ústavní pořádek.</w:t>
      </w:r>
    </w:p>
    <w:p w:rsidR="00A77B3E">
      <w:pPr>
        <w:pStyle w:val="6"/>
      </w:pPr>
      <w:r>
        <w:t>3.</w:t>
      </w:r>
      <w:r>
        <w:t xml:space="preserve">   Zhodnocení souladu návrhu právního předpisu se závazky vyplývajícími pro Českou republiku z jejího členství v Evropské unii, </w:t>
      </w:r>
      <w:r>
        <w:rPr>
          <w:b/>
          <w:bCs/>
        </w:rPr>
        <w:t>judikaturou soudních orgánů Evropské unie, obecnými právními zásadami práva Evropské unie a mezinárodními smlouvami, jimiž je Česká republika vázána</w:t>
      </w:r>
    </w:p>
    <w:p w:rsidR="00A77B3E">
      <w:pPr>
        <w:pStyle w:val="7"/>
      </w:pPr>
      <w:r>
        <w:t>Co se týče slučitelnosti s předpisy Evropské unie nebo s mezinárodními smlouvami, jimiž je Česká republika vázána, lze odkázat na odůvodnění vyhlášek č. 362/2020 Sb. a č. 363/2020 Sb., podle kterých tam obsažené změny</w:t>
      </w:r>
      <w:r>
        <w:rPr>
          <w:i/>
          <w:iCs/>
        </w:rPr>
        <w:t xml:space="preserve"> „nejsou předmětem bezprostřední úpravy na úrovni předpisů Evropské unie. Návrh se však dotýká čl. 4 Listiny základních práv EU, který stanoví zákaz mučení a nelidského či ponižujícího zacházení anebo trestu. Soudní dvůr EU </w:t>
      </w:r>
      <w:r>
        <w:t>(pouze)</w:t>
      </w:r>
      <w:r>
        <w:rPr>
          <w:i/>
          <w:iCs/>
        </w:rPr>
        <w:t xml:space="preserve"> judikoval (rozsudek Soudního dvora EU ve spojených věcech C-404/15 a C-659/15 PPU, Aranyosi a Căldăraru), že při implementaci práva Evropské unie, například vykonávání evropského zatýkacího rozkazu, nesmí být podmínky ve vězeňských zařízeních v rozporu s požadavky Listiny základních práv EU.</w:t>
      </w:r>
    </w:p>
    <w:p w:rsidR="00A77B3E">
      <w:pPr>
        <w:pStyle w:val="8"/>
      </w:pPr>
      <w:r>
        <w:rPr>
          <w:i/>
          <w:iCs/>
        </w:rPr>
        <w:t>Velikost ubytovací plochy připadající na jednoho vězně je řešena v kontextu čl. 3 Úmluvy o ochraně lidských práv a základních svobod, ve znění pozdějších předpisů (č. 209/1992 Sb.). Otázku minimálního osobního prostoru řeší Evropský soud pro lidská práva vždy ve světle dalších podmínek režimu zbavení svobody. V důsledku těchto podmínek, které se mohou v jednotlivých případech výrazně lišit, může být i minimální velikost podlahové plochy, při které stále nedojde k porušení článku 3 Úmluvy, různá. (…) Doporučené standardy minimální ubytovací plochy pak shrnul výbor CPT v dokumentu „Ubytovací plocha připadající na jednoho vězně ve vězeňských zařízeních: Standardy CPT“ z 15. prosince 2015, těmto standardům se česká právní úprava přizpůsobuje.“</w:t>
      </w:r>
    </w:p>
    <w:p w:rsidR="00A77B3E">
      <w:pPr>
        <w:pStyle w:val="9"/>
      </w:pPr>
      <w:r>
        <w:t>Navrhovaná změna i nadále předpokládá přizpůsobení české právní úpravy těmto standardům, i nadále přetrvává snaha Ministerstva spravedlnosti a Vězeňské služby České republiky těchto cílů dosáhnout. Předloženým návrhem se pouze reaguje na skutečnost, že s ohledem na vývoj posledních let nebylo možné těmto požadavkům (zmiňovaný standard CPT je nadto svým charakterem pouze doporučením) z objektivních příčin dostát.</w:t>
      </w:r>
    </w:p>
    <w:p w:rsidR="00A77B3E">
      <w:pPr>
        <w:pStyle w:val="6"/>
      </w:pPr>
      <w:r>
        <w:t>4.</w:t>
      </w:r>
      <w:r>
        <w:t>   Předpokládaný hospodářský a finanční dopad návrhu právního předpisu na státní rozpočet a ostatní veřejné rozpočty.</w:t>
      </w:r>
    </w:p>
    <w:p w:rsidR="00A77B3E">
      <w:pPr>
        <w:pStyle w:val="7"/>
      </w:pPr>
      <w:r>
        <w:t>Navrhované změny nemají žádné finanční dopady, a to ani do státního rozpočtu, ani do jiných veřejných rozpočtů. Zachování dosavadního právního stavu (odložením účinnosti dříve provedených změn) si nevyžádá žádné finanční nároky.</w:t>
      </w:r>
    </w:p>
    <w:p w:rsidR="00A77B3E">
      <w:pPr>
        <w:pStyle w:val="9"/>
      </w:pPr>
      <w:r>
        <w:t>Navrhovaná právní úprava není spojena s finančními dopady na územní samosprávné celky.</w:t>
      </w:r>
    </w:p>
    <w:p w:rsidR="00A77B3E">
      <w:pPr>
        <w:pStyle w:val="6"/>
      </w:pPr>
      <w:r>
        <w:t>5.</w:t>
      </w:r>
      <w:r>
        <w:t>   Odůvodnění případného návrhu, aby navrhovaná právní úprava nabyla účinnosti k jinému dni než k 1. lednu nebo k 1. červenci kalendářního roku.</w:t>
      </w:r>
    </w:p>
    <w:p w:rsidR="00A77B3E">
      <w:pPr>
        <w:pStyle w:val="10"/>
      </w:pPr>
      <w:r>
        <w:t>Vzhledem k tomu, že účinnost odkládaných změn má nastat 1. ledna 2027, je nezbytné, aby předkládaný návrh vyhlášky, která odkládá tuto účinnost, nabyl účinnosti co nejdříve, nejpozději však 31. prosince 2026.</w:t>
      </w:r>
    </w:p>
    <w:p w:rsidR="00A77B3E">
      <w:pPr>
        <w:pStyle w:val="6"/>
      </w:pPr>
      <w:r>
        <w:t>6.</w:t>
      </w:r>
      <w:r>
        <w:t>   Odůvodnění případného návrhu, aby Poslanecká sněmovna vyslovila s návrhem právního předpisu souhlas již v prvém čtení.</w:t>
      </w:r>
    </w:p>
    <w:p w:rsidR="00A77B3E">
      <w:pPr>
        <w:pStyle w:val="10"/>
      </w:pPr>
      <w:r>
        <w:t>Pro vyhlášku zcela irelevantní část důvodové zprávy.</w:t>
      </w:r>
    </w:p>
    <w:p w:rsidR="00A77B3E">
      <w:pPr>
        <w:pStyle w:val="6"/>
      </w:pPr>
      <w:r>
        <w:t>7.</w:t>
      </w:r>
      <w:r>
        <w:t>   Odůvodnění jednotlivých ustanovení návrhu právního předpisu; odůvodnění obsahuje vysvětlení jejich účelu a nezbytnosti, popis právních norem v nich obsažených a z nich vyplývajících práv a povinností.</w:t>
      </w:r>
    </w:p>
    <w:p w:rsidR="00A77B3E">
      <w:pPr>
        <w:pStyle w:val="10"/>
      </w:pPr>
      <w:r>
        <w:t>Viz zvláštní část důvodové zprávy. Z vyhlášky žádné povinnosti pro osoby bezprostředně nevyplývají.</w:t>
      </w:r>
    </w:p>
    <w:p w:rsidR="00A77B3E">
      <w:pPr>
        <w:pStyle w:val="6"/>
      </w:pPr>
      <w:r>
        <w:t>8.</w:t>
      </w:r>
      <w:r>
        <w:t>   Zhodnocení, zda návrh právního předpisu neobsahuje ustanovení, které by bylo svou povahou technickým předpisem podle právního předpisu upravujícího technické požadavky na výrobky, a informace o splnění oznamovací povinnosti podle tohoto právního předpisu.</w:t>
      </w:r>
    </w:p>
    <w:p w:rsidR="00A77B3E">
      <w:pPr>
        <w:pStyle w:val="10"/>
      </w:pPr>
      <w:r>
        <w:t>Navrhovaná úprava neobsahuje ustanovení, které by bylo svou povahou technickým předpisem podle právního předpisu upravujícího technické požadavky na výrobky.</w:t>
      </w:r>
    </w:p>
    <w:p w:rsidR="00A77B3E">
      <w:pPr>
        <w:pStyle w:val="6"/>
      </w:pPr>
      <w:r>
        <w:t>9.</w:t>
      </w:r>
      <w:r>
        <w:t>   Informaci o konzultaci návrhu právního předpisu s Evropskou centrální bankou a výsledku konzultace, podléhá-li návrh právního předpisu takové konzultaci.</w:t>
      </w:r>
    </w:p>
    <w:p w:rsidR="00A77B3E">
      <w:pPr>
        <w:pStyle w:val="10"/>
      </w:pPr>
      <w:r>
        <w:t>Návrh právního předpisu takové konzultaci nepodléhá.</w:t>
      </w:r>
    </w:p>
    <w:p w:rsidR="00A77B3E">
      <w:pPr>
        <w:pStyle w:val="6"/>
      </w:pPr>
      <w:r>
        <w:t>10.</w:t>
      </w:r>
      <w:r>
        <w:t>   Předpokládaný dopad návrhu právního předpisu, zejména</w:t>
      </w:r>
    </w:p>
    <w:p w:rsidR="00A77B3E">
      <w:pPr>
        <w:pStyle w:val="11"/>
      </w:pPr>
      <w:r>
        <w:t>10.1</w:t>
      </w:r>
      <w:r>
        <w:t>   Dopad na práva a povinnosti fyzických a právnických osob.</w:t>
      </w:r>
    </w:p>
    <w:p w:rsidR="00A77B3E">
      <w:pPr>
        <w:pStyle w:val="10"/>
      </w:pPr>
      <w:r>
        <w:t>Vyhláška sama o sobě nestanovuje žádné nové povinnosti pro fyzické nebo právnické osoby.</w:t>
      </w:r>
    </w:p>
    <w:p w:rsidR="00A77B3E">
      <w:pPr>
        <w:pStyle w:val="11"/>
      </w:pPr>
      <w:r>
        <w:t>10.2</w:t>
      </w:r>
      <w:r>
        <w:t>   Dopad na podnikatelské prostředí České republiky.</w:t>
      </w:r>
    </w:p>
    <w:p w:rsidR="00A77B3E">
      <w:pPr>
        <w:pStyle w:val="10"/>
      </w:pPr>
      <w:r>
        <w:t>Navrhovaná právní úprava není spojena s dopady na podnikatelské prostředí v České republice.</w:t>
      </w:r>
    </w:p>
    <w:p w:rsidR="00A77B3E">
      <w:pPr>
        <w:pStyle w:val="11"/>
      </w:pPr>
      <w:r>
        <w:t>10.3</w:t>
      </w:r>
      <w:r>
        <w:t>   Zhodnocení, zda návrhem právního předpisu není zakládána veřejná podpora.</w:t>
      </w:r>
    </w:p>
    <w:p w:rsidR="00A77B3E">
      <w:pPr>
        <w:pStyle w:val="10"/>
      </w:pPr>
      <w:r>
        <w:t>Návrhem právního předpisu není zakládána veřejná podpora.</w:t>
      </w:r>
    </w:p>
    <w:p w:rsidR="00A77B3E">
      <w:pPr>
        <w:pStyle w:val="11"/>
      </w:pPr>
      <w:r>
        <w:t>10.4</w:t>
      </w:r>
      <w:r>
        <w:t>   Sociální dopad, včetně dopadu na specifické skupiny obyvatel, především na osoby sociálně slabé, osoby se zdravotním postižením a národnostní menšiny.</w:t>
      </w:r>
    </w:p>
    <w:p w:rsidR="00A77B3E">
      <w:pPr>
        <w:pStyle w:val="10"/>
      </w:pPr>
      <w:r>
        <w:t>Navrhovaná právní úprava není spojena s žádnými sociálními dopady, dopady na specifické skupiny obyvatel ani dopady národnostní menšiny.</w:t>
      </w:r>
    </w:p>
    <w:p w:rsidR="00A77B3E">
      <w:pPr>
        <w:pStyle w:val="11"/>
      </w:pPr>
      <w:r>
        <w:t>10.5</w:t>
      </w:r>
      <w:r>
        <w:t>   Dopad na rovnost mužů a žen, upravuje-li návrh právního předpisu postavení fyzických osob nebo se tohoto postavení dotýká.</w:t>
      </w:r>
    </w:p>
    <w:p w:rsidR="00A77B3E">
      <w:pPr>
        <w:pStyle w:val="10"/>
      </w:pPr>
      <w:r>
        <w:t>Navrhovaná právní úprava není relevantní pro rovnost mužů a žen a nevede k diskriminaci ani jednoho pohlaví.</w:t>
      </w:r>
    </w:p>
    <w:p w:rsidR="00A77B3E">
      <w:pPr>
        <w:pStyle w:val="11"/>
      </w:pPr>
      <w:r>
        <w:t>10.6</w:t>
      </w:r>
      <w:r>
        <w:t>   Dopad na životní prostředí.</w:t>
      </w:r>
    </w:p>
    <w:p w:rsidR="00A77B3E">
      <w:pPr>
        <w:pStyle w:val="10"/>
      </w:pPr>
      <w:r>
        <w:t>Navrhovaná právní úprava nemá žádné dopady na životní prostředí.</w:t>
      </w:r>
    </w:p>
    <w:p w:rsidR="00A77B3E">
      <w:pPr>
        <w:pStyle w:val="11"/>
      </w:pPr>
      <w:r>
        <w:t>10.7</w:t>
      </w:r>
      <w:r>
        <w:t>   Dopad na ochranu práv dětí.</w:t>
      </w:r>
    </w:p>
    <w:p w:rsidR="00A77B3E">
      <w:pPr>
        <w:pStyle w:val="10"/>
      </w:pPr>
      <w:r>
        <w:t>Navrhovaná právní úprava nemá dopady na práva dětí.</w:t>
      </w:r>
    </w:p>
    <w:p w:rsidR="00A77B3E">
      <w:pPr>
        <w:pStyle w:val="11"/>
      </w:pPr>
      <w:r>
        <w:t>10.8</w:t>
      </w:r>
      <w:r>
        <w:t>   Dopad na bezpečnost nebo obranu státu.</w:t>
      </w:r>
    </w:p>
    <w:p w:rsidR="00A77B3E">
      <w:pPr>
        <w:pStyle w:val="10"/>
      </w:pPr>
      <w:r>
        <w:t>Navrhovaná právní úprava nepřináší negativní dopady na bezpečnost nebo obranu státu. Naopak nepřijetím této právní úpravy může dojít ke zvýšení bezpečnostního rizika ve věznicích v souvislosti s přemísťováním určitých skupin vězňů.</w:t>
      </w:r>
    </w:p>
    <w:p w:rsidR="00A77B3E">
      <w:pPr>
        <w:pStyle w:val="11"/>
      </w:pPr>
      <w:r>
        <w:t>10.9</w:t>
      </w:r>
      <w:r>
        <w:t>   Dopad ve vztahu k ochraně soukromí a osobních údajů.</w:t>
      </w:r>
    </w:p>
    <w:p w:rsidR="00A77B3E">
      <w:pPr>
        <w:pStyle w:val="10"/>
      </w:pPr>
      <w:r>
        <w:t>Návrh nemá dopad na ochranu soukromí a osobních údajů.</w:t>
      </w:r>
    </w:p>
    <w:p w:rsidR="00A77B3E">
      <w:pPr>
        <w:pStyle w:val="11"/>
      </w:pPr>
      <w:r>
        <w:t>10.10</w:t>
      </w:r>
      <w:r>
        <w:t>   Dopad na rodiny, zejména s ohledem na plnění funkcí rodiny, s ohledem na počet vyživovaných členů, na případnou přítomnost hendikepovaných členů a rodiny samoživitelů, rodiny se třemi a více dětmi a další specifické životní situace, dále s ohledem na posílení integrity a stability rodiny a posílení rodinné harmonie, lepší rovnováhy mezi prací a rodinou a na posílení mezigeneračních a širších příbuzenských vztahů.</w:t>
      </w:r>
    </w:p>
    <w:p w:rsidR="00A77B3E">
      <w:pPr>
        <w:pStyle w:val="10"/>
      </w:pPr>
      <w:r>
        <w:t>Návrh nemá dopad na rodiny.</w:t>
      </w:r>
    </w:p>
    <w:p w:rsidR="00A77B3E">
      <w:pPr>
        <w:pStyle w:val="11"/>
      </w:pPr>
      <w:r>
        <w:t>10.11</w:t>
      </w:r>
      <w:r>
        <w:t>   Územní dopady, včetně dopadů na územní samosprávné celky.</w:t>
      </w:r>
    </w:p>
    <w:p w:rsidR="00A77B3E">
      <w:pPr>
        <w:pStyle w:val="10"/>
      </w:pPr>
      <w:r>
        <w:t>Návrh nemá územní dopady.</w:t>
      </w:r>
    </w:p>
    <w:p w:rsidR="00A77B3E">
      <w:pPr>
        <w:pStyle w:val="11"/>
      </w:pPr>
      <w:r>
        <w:t>10.12</w:t>
      </w:r>
      <w:r>
        <w:t>   Zhodnocení souladu navrhovaného řešení se zásadami tvorby digitálně přívětivé legislativy, včetně zhodnocení rizika vyloučení nebo omezení možnosti přístupu specifických skupin osob k některým službám v důsledku digitalizace jejich poskytování (digitální vyloučení).</w:t>
      </w:r>
    </w:p>
    <w:p w:rsidR="00A77B3E">
      <w:pPr>
        <w:pStyle w:val="10"/>
      </w:pPr>
      <w:r>
        <w:t>Návrh je v souladu se zásadami tvorby digitálně přívětivé legislativy a nevyvolává riziko digitálního vyloučení.</w:t>
      </w:r>
    </w:p>
    <w:p w:rsidR="00A77B3E">
      <w:pPr>
        <w:pStyle w:val="6"/>
      </w:pPr>
      <w:r>
        <w:t>11.</w:t>
      </w:r>
      <w:r>
        <w:t>   Zhodnocení korupčních rizik návrhu právního předpisu.</w:t>
      </w:r>
    </w:p>
    <w:p w:rsidR="00A77B3E">
      <w:pPr>
        <w:pStyle w:val="10"/>
      </w:pPr>
      <w:r>
        <w:t>S navrhovanou právní úpravou nejsou spojena žádná korupční rizika.</w:t>
      </w:r>
    </w:p>
    <w:p w:rsidR="00A77B3E">
      <w:pPr>
        <w:pStyle w:val="6"/>
      </w:pPr>
      <w:r>
        <w:t>12.</w:t>
      </w:r>
      <w:r>
        <w:t>   Odůvodnění případné navrhované odchylky v postupu projednání návrhu právního předpisu.</w:t>
      </w:r>
    </w:p>
    <w:p w:rsidR="00A77B3E">
      <w:pPr>
        <w:pStyle w:val="10"/>
      </w:pPr>
      <w:r>
        <w:t xml:space="preserve">Není navrhováno. </w:t>
      </w:r>
    </w:p>
    <w:p w:rsidR="00A77B3E">
      <w:pPr>
        <w:pStyle w:val="6"/>
      </w:pPr>
      <w:r>
        <w:t>13.</w:t>
      </w:r>
      <w:r>
        <w:t>   Informace dle zákona o regulaci lobbování</w:t>
      </w:r>
    </w:p>
    <w:p w:rsidR="00A77B3E">
      <w:pPr>
        <w:pStyle w:val="10"/>
      </w:pPr>
      <w:r>
        <w:t>Nedošlo k žádné relevantní skutečnosti podle zákona o regulaci lobbování.</w:t>
      </w:r>
    </w:p>
    <w:p w:rsidR="00A77B3E">
      <w:pPr>
        <w:pStyle w:val="1"/>
      </w:pPr>
    </w:p>
    <w:p w:rsidR="00A77B3E">
      <w:pPr>
        <w:pStyle w:val="5"/>
      </w:pPr>
      <w:r>
        <w:t>II. Zvláštní část</w:t>
      </w:r>
    </w:p>
    <w:p w:rsidR="00A77B3E">
      <w:pPr>
        <w:pStyle w:val="12"/>
      </w:pPr>
      <w:r>
        <w:t>K čl. I a II</w:t>
      </w:r>
    </w:p>
    <w:p w:rsidR="00A77B3E">
      <w:pPr>
        <w:pStyle w:val="10"/>
      </w:pPr>
      <w:r>
        <w:t>V souladu s obecnou částí této důvodové zprávy se navrhuje tříletý odklad účinnosti nových pravidel pro výpočet minimální ubytovací plochy cel a ložnic ve věznicích a vazebních věznicích, které byly stanoveny ve vyhláškách č. 362/2020 Sb. a č. 363/2020 Sb.</w:t>
      </w:r>
    </w:p>
    <w:p w:rsidR="00A77B3E">
      <w:pPr>
        <w:pStyle w:val="12"/>
      </w:pPr>
      <w:r>
        <w:t>K čl. III</w:t>
      </w:r>
    </w:p>
    <w:p w:rsidR="00A77B3E">
      <w:pPr>
        <w:pStyle w:val="10"/>
      </w:pPr>
      <w:r>
        <w:t>Vzhledem k tomu, že účinnost odkládaných změn má nastat 1. ledna 2027, je nezbytné, aby předkládaný návrh vyhlášky, která odkládá tuto účinnost, nabyl účinnosti co nejdříve, nejpozději však 31. prosince 2026. Z tohoto důvodu se navrhuje, aby předkládaný návrh vyhlášky nabyl účinnosti dnem následujícím po dni jejího vyhlášení, a to v souladu s § 9 odst. 2 zákona č. 222/2016 Sb., o Sbírce zákonů a mezinárodních smluv.</w:t>
      </w:r>
    </w:p>
    <w:p w:rsidR="00A77B3E">
      <w:pPr>
        <w:pStyle w:val="1"/>
      </w:pPr>
    </w:p>
    <w:sectPr>
      <w:headerReference w:type="even" r:id="rId4"/>
      <w:headerReference w:type="default" r:id="rId5"/>
      <w:pgSz w:w="12240" w:h="15840"/>
      <w:pgMar w:top="1417" w:right="1417" w:bottom="1417" w:left="1417" w:header="400" w:footer="708" w:gutter="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9406"/>
    </w:tblGrid>
    <w:tr>
      <w:tblPrEx>
        <w:tblW w:w="5000" w:type="pct"/>
      </w:tblPrEx>
      <w:tc>
        <w:tcPr>
          <w:noWrap w:val="0"/>
          <w:tcMar>
            <w:top w:w="85" w:type="dxa"/>
            <w:left w:w="146" w:type="dxa"/>
            <w:bottom w:w="85" w:type="dxa"/>
            <w:right w:w="152" w:type="dxa"/>
          </w:tcMar>
          <w:vAlign w:val="center"/>
          <w:hideMark/>
        </w:tcPr>
        <w:p>
          <w:pPr>
            <w:pStyle w:val="HlavickaZlutyText"/>
            <w:jc w:val="center"/>
          </w:pPr>
        </w:p>
      </w:tc>
    </w:tr>
    <w:tr>
      <w:tblPrEx>
        <w:tblW w:w="5000" w:type="pct"/>
      </w:tblPrEx>
      <w:tc>
        <w:tcPr>
          <w:noWrap w:val="0"/>
          <w:tcMar>
            <w:top w:w="85" w:type="dxa"/>
            <w:left w:w="146" w:type="dxa"/>
            <w:bottom w:w="85" w:type="dxa"/>
            <w:right w:w="152" w:type="dxa"/>
          </w:tcMar>
          <w:vAlign w:val="center"/>
          <w:hideMark/>
        </w:tcPr>
        <w:p>
          <w:pPr>
            <w:pStyle w:val="Hlavicka"/>
            <w:jc w:val="center"/>
          </w:pPr>
        </w:p>
      </w:tc>
    </w:tr>
  </w:tbl>
  <w:p>
    <w:pPr>
      <w:pStyle w:val="Hlavic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9406"/>
    </w:tblGrid>
    <w:tr>
      <w:tblPrEx>
        <w:tblW w:w="5000" w:type="pct"/>
      </w:tblPrEx>
      <w:tc>
        <w:tcPr>
          <w:noWrap w:val="0"/>
          <w:tcMar>
            <w:top w:w="85" w:type="dxa"/>
            <w:left w:w="146" w:type="dxa"/>
            <w:bottom w:w="85" w:type="dxa"/>
            <w:right w:w="152" w:type="dxa"/>
          </w:tcMar>
          <w:vAlign w:val="center"/>
          <w:hideMark/>
        </w:tcPr>
        <w:p>
          <w:pPr>
            <w:pStyle w:val="HlavickaZlutyText"/>
            <w:jc w:val="center"/>
          </w:pPr>
        </w:p>
      </w:tc>
    </w:tr>
    <w:tr>
      <w:tblPrEx>
        <w:tblW w:w="5000" w:type="pct"/>
      </w:tblPrEx>
      <w:tc>
        <w:tcPr>
          <w:noWrap w:val="0"/>
          <w:tcMar>
            <w:top w:w="85" w:type="dxa"/>
            <w:left w:w="146" w:type="dxa"/>
            <w:bottom w:w="85" w:type="dxa"/>
            <w:right w:w="152" w:type="dxa"/>
          </w:tcMar>
          <w:vAlign w:val="center"/>
          <w:hideMark/>
        </w:tcPr>
        <w:p>
          <w:pPr>
            <w:pStyle w:val="Hlavicka"/>
            <w:jc w:val="left"/>
          </w:pPr>
        </w:p>
      </w:tc>
    </w:tr>
  </w:tbl>
  <w:p>
    <w:pPr>
      <w:pStyle w:val="Hlavic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evenAndOddHeader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Hlavicka">
    <w:name w:val="Hlavicka"/>
    <w:rPr>
      <w:i/>
      <w:sz w:val="20"/>
    </w:rPr>
  </w:style>
  <w:style w:type="paragraph" w:customStyle="1" w:styleId="HlavickaZlutyText">
    <w:name w:val="HlavickaZlutyText"/>
    <w:rPr>
      <w:i w:val="0"/>
      <w:sz w:val="18"/>
    </w:rPr>
  </w:style>
  <w:style w:type="paragraph" w:customStyle="1" w:styleId="Variantastart">
    <w:name w:val="Varianta_start"/>
    <w:pPr>
      <w:pBdr>
        <w:top w:val="single" w:sz="8" w:space="0" w:color="80008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Variantakonec">
    <w:name w:val="Varianta_konec"/>
    <w:pPr>
      <w:pBdr>
        <w:bottom w:val="single" w:sz="8" w:space="0" w:color="80008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Ucinnoststart">
    <w:name w:val="Ucinnost_start"/>
    <w:pPr>
      <w:pBdr>
        <w:top w:val="single" w:sz="8" w:space="0" w:color="8B000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Ucinnostkonec">
    <w:name w:val="Ucinnost_konec"/>
    <w:pPr>
      <w:pBdr>
        <w:bottom w:val="single" w:sz="8" w:space="0" w:color="8B000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Celex">
    <w:name w:val="Celex"/>
    <w:pPr>
      <w:spacing w:before="120" w:after="120"/>
      <w:jc w:val="left"/>
    </w:pPr>
    <w:rPr>
      <w:rFonts w:ascii="Times New Roman" w:eastAsia="Times New Roman" w:hAnsi="Times New Roman" w:cs="Times New Roman"/>
      <w:i/>
      <w:sz w:val="20"/>
    </w:rPr>
  </w:style>
  <w:style w:type="paragraph" w:customStyle="1" w:styleId="Pripominkystart">
    <w:name w:val="Pripominky_start"/>
    <w:pPr>
      <w:pBdr>
        <w:top w:val="single" w:sz="8" w:space="0" w:color="87CEFA"/>
      </w:pBdr>
      <w:spacing w:before="0" w:after="100"/>
      <w:jc w:val="right"/>
    </w:pPr>
    <w:rPr>
      <w:rFonts w:ascii="Times New Roman" w:eastAsia="Times New Roman" w:hAnsi="Times New Roman" w:cs="Times New Roman"/>
      <w:b/>
      <w:i/>
      <w:color w:val="87CEFA"/>
      <w:sz w:val="20"/>
    </w:rPr>
  </w:style>
  <w:style w:type="paragraph" w:customStyle="1" w:styleId="1">
    <w:name w:val="1"/>
    <w:pPr>
      <w:spacing w:before="11" w:after="0"/>
      <w:ind w:right="0"/>
      <w:jc w:val="left"/>
    </w:pPr>
    <w:rPr>
      <w:rFonts w:ascii="Times New Roman" w:eastAsia="Times New Roman" w:hAnsi="Times New Roman" w:cs="Times New Roman"/>
      <w:sz w:val="0"/>
    </w:rPr>
  </w:style>
  <w:style w:type="paragraph" w:customStyle="1" w:styleId="2">
    <w:name w:val="2"/>
    <w:pPr>
      <w:spacing w:before="57" w:after="0"/>
      <w:ind w:right="227"/>
      <w:jc w:val="right"/>
    </w:pPr>
    <w:rPr>
      <w:rFonts w:ascii="Times New Roman" w:eastAsia="Times New Roman" w:hAnsi="Times New Roman" w:cs="Times New Roman"/>
      <w:b/>
      <w:sz w:val="40"/>
    </w:rPr>
  </w:style>
  <w:style w:type="paragraph" w:customStyle="1" w:styleId="3">
    <w:name w:val="3"/>
    <w:pPr>
      <w:spacing w:before="0" w:after="340"/>
      <w:ind w:left="680" w:right="680"/>
      <w:jc w:val="center"/>
    </w:pPr>
    <w:rPr>
      <w:rFonts w:ascii="Times New Roman" w:eastAsia="Times New Roman" w:hAnsi="Times New Roman" w:cs="Times New Roman"/>
      <w:b/>
      <w:sz w:val="44"/>
    </w:rPr>
  </w:style>
  <w:style w:type="paragraph" w:customStyle="1" w:styleId="4">
    <w:name w:val="4"/>
    <w:pPr>
      <w:spacing w:before="340" w:after="113"/>
      <w:ind w:left="850" w:right="850"/>
      <w:jc w:val="center"/>
    </w:pPr>
    <w:rPr>
      <w:rFonts w:ascii="Times New Roman" w:eastAsia="Times New Roman" w:hAnsi="Times New Roman" w:cs="Times New Roman"/>
      <w:b/>
      <w:sz w:val="34"/>
    </w:rPr>
  </w:style>
  <w:style w:type="paragraph" w:customStyle="1" w:styleId="5">
    <w:name w:val="5"/>
    <w:pPr>
      <w:spacing w:before="510" w:after="0"/>
      <w:ind w:left="850" w:right="850"/>
      <w:jc w:val="center"/>
    </w:pPr>
    <w:rPr>
      <w:rFonts w:ascii="Times New Roman" w:eastAsia="Times New Roman" w:hAnsi="Times New Roman" w:cs="Times New Roman"/>
      <w:b/>
      <w:sz w:val="32"/>
    </w:rPr>
  </w:style>
  <w:style w:type="paragraph" w:customStyle="1" w:styleId="6">
    <w:name w:val="6"/>
    <w:pPr>
      <w:overflowPunct/>
      <w:spacing w:before="283" w:after="113"/>
      <w:ind w:left="340" w:right="0" w:hanging="340"/>
      <w:jc w:val="left"/>
    </w:pPr>
    <w:rPr>
      <w:rFonts w:ascii="Times New Roman" w:eastAsia="Times New Roman" w:hAnsi="Times New Roman" w:cs="Times New Roman"/>
      <w:b/>
      <w:sz w:val="26"/>
    </w:rPr>
  </w:style>
  <w:style w:type="paragraph" w:customStyle="1" w:styleId="Varianta6start">
    <w:name w:val="Varianta_6_start"/>
    <w:pPr>
      <w:pBdr>
        <w:top w:val="single" w:sz="8" w:space="0" w:color="800080"/>
      </w:pBdr>
      <w:spacing w:before="0" w:after="100"/>
      <w:ind w:left="34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Varianta6konec">
    <w:name w:val="Varianta_6_konec"/>
    <w:pPr>
      <w:pBdr>
        <w:bottom w:val="single" w:sz="8" w:space="0" w:color="800080"/>
      </w:pBdr>
      <w:spacing w:before="0" w:after="100"/>
      <w:ind w:left="34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Ucinnost6start">
    <w:name w:val="Ucinnost_6_start"/>
    <w:pPr>
      <w:pBdr>
        <w:top w:val="single" w:sz="8" w:space="0" w:color="8B0000"/>
      </w:pBdr>
      <w:spacing w:before="0" w:after="100"/>
      <w:ind w:left="34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Ucinnost6konec">
    <w:name w:val="Ucinnost_6_konec"/>
    <w:pPr>
      <w:pBdr>
        <w:bottom w:val="single" w:sz="8" w:space="0" w:color="8B0000"/>
      </w:pBdr>
      <w:spacing w:before="0" w:after="100"/>
      <w:ind w:left="34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Pripominky6start">
    <w:name w:val="Pripominky_6_start"/>
    <w:pPr>
      <w:pBdr>
        <w:top w:val="single" w:sz="8" w:space="0" w:color="87CEFA"/>
      </w:pBdr>
      <w:spacing w:before="0" w:after="100"/>
      <w:ind w:left="340"/>
      <w:jc w:val="right"/>
    </w:pPr>
    <w:rPr>
      <w:rFonts w:ascii="Times New Roman" w:eastAsia="Times New Roman" w:hAnsi="Times New Roman" w:cs="Times New Roman"/>
      <w:b/>
      <w:i/>
      <w:color w:val="87CEFA"/>
      <w:sz w:val="20"/>
    </w:rPr>
  </w:style>
  <w:style w:type="paragraph" w:customStyle="1" w:styleId="7">
    <w:name w:val="7"/>
    <w:pPr>
      <w:spacing w:before="0" w:after="113"/>
      <w:ind w:right="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fr-marker">
    <w:name w:val="fr-marker"/>
    <w:basedOn w:val="DefaultParagraphFont"/>
  </w:style>
  <w:style w:type="paragraph" w:customStyle="1" w:styleId="8">
    <w:name w:val="8"/>
    <w:pPr>
      <w:spacing w:before="113" w:after="113"/>
      <w:ind w:right="0"/>
      <w:jc w:val="both"/>
    </w:pPr>
    <w:rPr>
      <w:rFonts w:ascii="Times New Roman" w:eastAsia="Times New Roman" w:hAnsi="Times New Roman" w:cs="Times New Roman"/>
      <w:sz w:val="24"/>
    </w:rPr>
  </w:style>
  <w:style w:type="table" w:customStyle="1" w:styleId="PouzeNaPrvniStranezahlavi">
    <w:name w:val=" PouzeNaPrvniStrane_zahlavi"/>
    <w:basedOn w:val="TableNormal"/>
    <w:tblPr/>
  </w:style>
  <w:style w:type="paragraph" w:customStyle="1" w:styleId="9">
    <w:name w:val="9"/>
    <w:pPr>
      <w:spacing w:before="113" w:after="57"/>
      <w:ind w:right="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10">
    <w:name w:val="10"/>
    <w:pPr>
      <w:spacing w:before="0" w:after="57"/>
      <w:ind w:right="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11">
    <w:name w:val="11"/>
    <w:pPr>
      <w:overflowPunct/>
      <w:spacing w:before="170" w:after="57"/>
      <w:ind w:left="510" w:right="0" w:hanging="510"/>
      <w:jc w:val="left"/>
    </w:pPr>
    <w:rPr>
      <w:rFonts w:ascii="Times New Roman" w:eastAsia="Times New Roman" w:hAnsi="Times New Roman" w:cs="Times New Roman"/>
      <w:b/>
      <w:sz w:val="26"/>
    </w:rPr>
  </w:style>
  <w:style w:type="paragraph" w:customStyle="1" w:styleId="Varianta11start">
    <w:name w:val="Varianta_11_start"/>
    <w:pPr>
      <w:pBdr>
        <w:top w:val="single" w:sz="8" w:space="0" w:color="800080"/>
      </w:pBdr>
      <w:spacing w:before="0" w:after="100"/>
      <w:ind w:left="51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Varianta11konec">
    <w:name w:val="Varianta_11_konec"/>
    <w:pPr>
      <w:pBdr>
        <w:bottom w:val="single" w:sz="8" w:space="0" w:color="800080"/>
      </w:pBdr>
      <w:spacing w:before="0" w:after="100"/>
      <w:ind w:left="51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Ucinnost11start">
    <w:name w:val="Ucinnost_11_start"/>
    <w:pPr>
      <w:pBdr>
        <w:top w:val="single" w:sz="8" w:space="0" w:color="8B0000"/>
      </w:pBdr>
      <w:spacing w:before="0" w:after="100"/>
      <w:ind w:left="51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Ucinnost11konec">
    <w:name w:val="Ucinnost_11_konec"/>
    <w:pPr>
      <w:pBdr>
        <w:bottom w:val="single" w:sz="8" w:space="0" w:color="8B0000"/>
      </w:pBdr>
      <w:spacing w:before="0" w:after="100"/>
      <w:ind w:left="51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Pripominky11start">
    <w:name w:val="Pripominky_11_start"/>
    <w:pPr>
      <w:pBdr>
        <w:top w:val="single" w:sz="8" w:space="0" w:color="87CEFA"/>
      </w:pBdr>
      <w:spacing w:before="0" w:after="100"/>
      <w:ind w:left="510"/>
      <w:jc w:val="right"/>
    </w:pPr>
    <w:rPr>
      <w:rFonts w:ascii="Times New Roman" w:eastAsia="Times New Roman" w:hAnsi="Times New Roman" w:cs="Times New Roman"/>
      <w:b/>
      <w:i/>
      <w:color w:val="87CEFA"/>
      <w:sz w:val="20"/>
    </w:rPr>
  </w:style>
  <w:style w:type="paragraph" w:customStyle="1" w:styleId="12">
    <w:name w:val="12"/>
    <w:pPr>
      <w:spacing w:before="57" w:after="0"/>
      <w:ind w:right="0"/>
      <w:jc w:val="left"/>
    </w:pPr>
    <w:rPr>
      <w:rFonts w:ascii="Times New Roman" w:eastAsia="Times New Roman" w:hAnsi="Times New Roman" w:cs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e-Legislativa</dc:creator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relationId">
    <vt:lpwstr>dabf58bb-5266-4cc6-9115-796756cdbf35:1943</vt:lpwstr>
  </property>
  <property fmtid="{D5CDD505-2E9C-101B-9397-08002B2CF9AE}" pid="3" name="GenerovaneZEditoru">
    <vt:lpwstr>true</vt:lpwstr>
  </property>
  <property fmtid="{D5CDD505-2E9C-101B-9397-08002B2CF9AE}" pid="4" name="IdPodprostoru">
    <vt:lpwstr/>
  </property>
  <property fmtid="{D5CDD505-2E9C-101B-9397-08002B2CF9AE}" pid="5" name="JeUzavrena">
    <vt:lpwstr/>
  </property>
  <property fmtid="{D5CDD505-2E9C-101B-9397-08002B2CF9AE}" pid="6" name="PozadavekId">
    <vt:lpwstr>f49818e5-07cf-42bf-92df-f4481b7e0b3f</vt:lpwstr>
  </property>
  <property fmtid="{D5CDD505-2E9C-101B-9397-08002B2CF9AE}" pid="7" name="Verze aplikace">
    <vt:lpwstr>v1.0-07.35.HF2</vt:lpwstr>
  </property>
  <property fmtid="{D5CDD505-2E9C-101B-9397-08002B2CF9AE}" pid="8" name="VrstvaNavrhuId">
    <vt:lpwstr/>
  </property>
  <property fmtid="{D5CDD505-2E9C-101B-9397-08002B2CF9AE}" pid="9" name="VrstvaObsahuId">
    <vt:lpwstr/>
  </property>
</Properties>
</file>