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A77B3E"/>
    <w:p w:rsidR="00A77B3E">
      <w:pPr>
        <w:pStyle w:val="1"/>
      </w:pPr>
    </w:p>
    <w:p w:rsidR="00A77B3E">
      <w:pPr>
        <w:pStyle w:val="1"/>
      </w:pPr>
    </w:p>
    <w:p w:rsidR="00A77B3E">
      <w:pPr>
        <w:pStyle w:val="3"/>
      </w:pPr>
      <w:r>
        <w:t>362</w:t>
      </w:r>
    </w:p>
    <w:p w:rsidR="00A77B3E">
      <w:pPr>
        <w:pStyle w:val="5"/>
      </w:pPr>
      <w:r>
        <w:t>VYHLÁŠKA</w:t>
      </w:r>
    </w:p>
    <w:p w:rsidR="00A77B3E">
      <w:pPr>
        <w:pStyle w:val="7"/>
      </w:pPr>
      <w:r>
        <w:t>ze dne 27. srpna 2020,</w:t>
      </w:r>
    </w:p>
    <w:p w:rsidR="00A77B3E">
      <w:pPr>
        <w:pStyle w:val="9"/>
      </w:pPr>
      <w:r>
        <w:t>kterou se mění vyhláška č. 345/1999 Sb., kterou se vydává řád výkonu trestu odnětí svobody, ve znění pozdějších předpisů</w:t>
      </w:r>
    </w:p>
    <w:p w:rsidR="00A77B3E">
      <w:pPr>
        <w:pStyle w:val="1"/>
      </w:pPr>
    </w:p>
    <w:p w:rsidR="00A77B3E">
      <w:pPr>
        <w:pStyle w:val="11"/>
      </w:pPr>
      <w:r>
        <w:t>Čl. II</w:t>
      </w:r>
    </w:p>
    <w:p w:rsidR="00A77B3E">
      <w:pPr>
        <w:pStyle w:val="13"/>
      </w:pPr>
      <w:r>
        <w:t>Účinnost</w:t>
      </w:r>
    </w:p>
    <w:p w:rsidR="00A77B3E">
      <w:pPr>
        <w:pStyle w:val="1"/>
      </w:pPr>
    </w:p>
    <w:p w:rsidR="00A77B3E">
      <w:pPr>
        <w:pStyle w:val="15"/>
        <w:sectPr>
          <w:headerReference w:type="even" r:id="rId4"/>
          <w:headerReference w:type="default" r:id="rId5"/>
          <w:headerReference w:type="first" r:id="rId6"/>
          <w:pgSz w:w="12240" w:h="15840"/>
          <w:pgMar w:top="1417" w:right="1417" w:bottom="1417" w:left="1417" w:header="400" w:footer="708" w:gutter="0"/>
          <w:pgNumType w:start="1"/>
          <w:cols w:space="708"/>
          <w:titlePg w:val="0"/>
          <w:docGrid w:linePitch="360"/>
        </w:sectPr>
      </w:pPr>
      <w:r>
        <w:t xml:space="preserve">Tato vyhláška nabývá účinnosti dnem 1. října 2020, s výjimkou ustanovení </w:t>
      </w:r>
      <w:r>
        <w:t>čl. I bodu 4</w:t>
      </w:r>
      <w:r>
        <w:t xml:space="preserve">, které nabývá účinnosti dnem 1. ledna </w:t>
      </w:r>
      <w:r>
        <w:rPr>
          <w:rStyle w:val="diff-strike-green"/>
          <w:strike/>
          <w:color w:val="009A00"/>
        </w:rPr>
        <w:t>2027</w:t>
      </w:r>
      <w:r>
        <w:t xml:space="preserve"> </w:t>
      </w:r>
      <w:r>
        <w:rPr>
          <w:rStyle w:val="diff-text-green"/>
          <w:rFonts w:ascii="Times New Roman" w:eastAsia="Times New Roman" w:hAnsi="Times New Roman" w:cs="Times New Roman"/>
          <w:b/>
          <w:bCs/>
          <w:color w:val="009A00"/>
        </w:rPr>
        <w:t>2030</w:t>
      </w:r>
      <w:r>
        <w:t>.</w:t>
      </w:r>
    </w:p>
    <w:p w:rsidR="00A77B3E">
      <w:pPr>
        <w:pStyle w:val="Normal0"/>
      </w:pPr>
    </w:p>
    <w:p w:rsidR="00A77B3E">
      <w:pPr>
        <w:pStyle w:val="10"/>
      </w:pPr>
    </w:p>
    <w:p w:rsidR="00A77B3E">
      <w:pPr>
        <w:pStyle w:val="10"/>
      </w:pPr>
    </w:p>
    <w:p w:rsidR="00A77B3E">
      <w:pPr>
        <w:pStyle w:val="2"/>
      </w:pPr>
      <w:r>
        <w:t>363</w:t>
      </w:r>
    </w:p>
    <w:p w:rsidR="00A77B3E">
      <w:pPr>
        <w:pStyle w:val="4"/>
      </w:pPr>
      <w:r>
        <w:t>VYHLÁŠKA</w:t>
      </w:r>
    </w:p>
    <w:p w:rsidR="00A77B3E">
      <w:pPr>
        <w:pStyle w:val="6"/>
      </w:pPr>
      <w:r>
        <w:t>ze dne 27. srpna 2020,</w:t>
      </w:r>
    </w:p>
    <w:p w:rsidR="00A77B3E">
      <w:pPr>
        <w:pStyle w:val="8"/>
      </w:pPr>
      <w:r>
        <w:t>kterou se mění vyhláška č. 109/1994 Sb., kterou se vydává řád výkonu vazby, ve znění pozdějších předpisů</w:t>
      </w:r>
    </w:p>
    <w:p w:rsidR="00A77B3E">
      <w:pPr>
        <w:pStyle w:val="10"/>
      </w:pPr>
    </w:p>
    <w:p w:rsidR="00A77B3E">
      <w:pPr>
        <w:pStyle w:val="100"/>
      </w:pPr>
      <w:r>
        <w:t>Čl. II</w:t>
      </w:r>
    </w:p>
    <w:p w:rsidR="00A77B3E">
      <w:pPr>
        <w:pStyle w:val="12"/>
      </w:pPr>
      <w:r>
        <w:t>Účinnost</w:t>
      </w:r>
    </w:p>
    <w:p w:rsidR="00A77B3E">
      <w:pPr>
        <w:pStyle w:val="10"/>
      </w:pPr>
    </w:p>
    <w:p w:rsidR="00A77B3E">
      <w:pPr>
        <w:pStyle w:val="14"/>
      </w:pPr>
      <w:r>
        <w:t xml:space="preserve">Tato vyhláška nabývá účinnosti dnem 1. října 2020, s výjimkou ustanovení </w:t>
      </w:r>
      <w:r>
        <w:t>čl. I bodu 2</w:t>
      </w:r>
      <w:r>
        <w:t xml:space="preserve">, které nabývá účinnosti dnem 1. ledna </w:t>
      </w:r>
      <w:r>
        <w:rPr>
          <w:rStyle w:val="diff-strike-green0"/>
          <w:strike/>
          <w:color w:val="009A00"/>
        </w:rPr>
        <w:t>2027</w:t>
      </w:r>
      <w:r>
        <w:t xml:space="preserve"> </w:t>
      </w:r>
      <w:r>
        <w:rPr>
          <w:rStyle w:val="diff-text-green0"/>
          <w:rFonts w:ascii="Times New Roman" w:eastAsia="Times New Roman" w:hAnsi="Times New Roman" w:cs="Times New Roman"/>
          <w:b/>
          <w:bCs/>
          <w:color w:val="009A00"/>
        </w:rPr>
        <w:t>2030</w:t>
      </w:r>
      <w:r>
        <w:t>.</w:t>
      </w:r>
    </w:p>
    <w:sectPr>
      <w:headerReference w:type="even" r:id="rId7"/>
      <w:headerReference w:type="default" r:id="rId8"/>
      <w:headerReference w:type="first" r:id="rId9"/>
      <w:pgSz w:w="12240" w:h="15840"/>
      <w:pgMar w:top="1417" w:right="1417" w:bottom="1417" w:left="1417" w:header="400" w:footer="708" w:gutter="0"/>
      <w:pgNumType w:start="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Úplné znění dotčených ustanovení aktu č. 362 / 2020 Sb.</w:t>
          </w:r>
        </w:p>
      </w:tc>
      <w:tc>
        <w:tcPr>
          <w:tcW w:w="1000" w:type="pct"/>
        </w:tcPr>
        <w:p>
          <w:pPr>
            <w:pStyle w:val="Hlavicka"/>
            <w:jc w:val="right"/>
          </w:pP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  <w:r>
            <w:t>Otevřená verze: 2026-0188-001-TVO</w:t>
          </w: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tcW w:w="2500" w:type="pct"/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Úplné znění dotčených ustanovení aktu č. 362 / 2020 Sb.</w:t>
          </w:r>
        </w:p>
      </w:tc>
      <w:tc>
        <w:tcPr>
          <w:tcW w:w="1000" w:type="pct"/>
        </w:tcPr>
        <w:p>
          <w:pPr>
            <w:pStyle w:val="Hlavicka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  <w:r>
            <w:t>Otevřená verze: 2026-0188-001-TVO</w:t>
          </w:r>
        </w:p>
      </w:tc>
    </w:tr>
  </w:tbl>
  <w:p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/>
        <w:p>
          <w:pPr>
            <w:pStyle w:val="HlavickaZlutyText"/>
            <w:jc w:val="center"/>
          </w:pPr>
        </w:p>
      </w:tc>
    </w:tr>
    <w:tr>
      <w:tblPrEx>
        <w:tblW w:w="5000" w:type="pct"/>
      </w:tblPrEx>
      <w:tc>
        <w:tcPr/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gridSpan w:val="4"/>
        </w:tcPr>
        <w:p>
          <w:pPr>
            <w:pStyle w:val="HlavickaZlutyText0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0"/>
            <w:jc w:val="lef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pct"/>
          <w:gridSpan w:val="2"/>
        </w:tcPr>
        <w:p>
          <w:pPr>
            <w:pStyle w:val="Hlavicka0"/>
            <w:jc w:val="center"/>
          </w:pPr>
          <w:r>
            <w:t>Úplné znění dotčených ustanovení aktu č. 363 / 2020 Sb.</w:t>
          </w:r>
        </w:p>
      </w:tc>
      <w:tc>
        <w:tcPr>
          <w:tcW w:w="1000" w:type="pct"/>
        </w:tcPr>
        <w:p>
          <w:pPr>
            <w:pStyle w:val="Hlavicka0"/>
            <w:jc w:val="right"/>
          </w:pP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0"/>
            <w:jc w:val="left"/>
          </w:pPr>
          <w:r>
            <w:t>Otevřená verze: 2026-0188-001-TVO</w:t>
          </w:r>
        </w:p>
      </w:tc>
      <w:tc>
        <w:tcPr>
          <w:tcW w:w="2500" w:type="pct"/>
          <w:gridSpan w:val="2"/>
        </w:tcPr>
        <w:p>
          <w:pPr>
            <w:pStyle w:val="Hlavicka0"/>
            <w:jc w:val="right"/>
          </w:pPr>
        </w:p>
      </w:tc>
    </w:tr>
  </w:tbl>
  <w:p>
    <w:pPr>
      <w:pStyle w:val="Hlavicka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tcW w:w="2500" w:type="pct"/>
          <w:gridSpan w:val="4"/>
        </w:tcPr>
        <w:p>
          <w:pPr>
            <w:pStyle w:val="HlavickaZlutyText0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0"/>
            <w:jc w:val="left"/>
          </w:pPr>
        </w:p>
      </w:tc>
      <w:tc>
        <w:tcPr>
          <w:tcW w:w="3000" w:type="pct"/>
          <w:gridSpan w:val="2"/>
        </w:tcPr>
        <w:p>
          <w:pPr>
            <w:pStyle w:val="Hlavicka0"/>
            <w:jc w:val="center"/>
          </w:pPr>
          <w:r>
            <w:t>Úplné znění dotčených ustanovení aktu č. 363 / 2020 Sb.</w:t>
          </w:r>
        </w:p>
      </w:tc>
      <w:tc>
        <w:tcPr>
          <w:tcW w:w="1000" w:type="pct"/>
        </w:tcPr>
        <w:p>
          <w:pPr>
            <w:pStyle w:val="Hlavicka0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0"/>
            <w:jc w:val="left"/>
          </w:pPr>
        </w:p>
      </w:tc>
      <w:tc>
        <w:tcPr>
          <w:tcW w:w="2500" w:type="pct"/>
          <w:gridSpan w:val="2"/>
        </w:tcPr>
        <w:p>
          <w:pPr>
            <w:pStyle w:val="Hlavicka0"/>
            <w:jc w:val="right"/>
          </w:pPr>
          <w:r>
            <w:t>Otevřená verze: 2026-0188-001-TVO</w:t>
          </w:r>
        </w:p>
      </w:tc>
    </w:tr>
  </w:tbl>
  <w:p>
    <w:pPr>
      <w:pStyle w:val="Hlavicka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/>
        <w:p>
          <w:pPr>
            <w:pStyle w:val="HlavickaZlutyText0"/>
            <w:jc w:val="center"/>
          </w:pPr>
        </w:p>
      </w:tc>
    </w:tr>
    <w:tr>
      <w:tblPrEx>
        <w:tblW w:w="5000" w:type="pct"/>
      </w:tblPrEx>
      <w:tc>
        <w:tcPr/>
        <w:p>
          <w:pPr>
            <w:pStyle w:val="Hlavicka0"/>
            <w:jc w:val="right"/>
          </w:pPr>
        </w:p>
      </w:tc>
    </w:tr>
  </w:tbl>
  <w:p>
    <w:pPr>
      <w:pStyle w:val="Hlavicka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lavicka">
    <w:name w:val="Hlavicka"/>
    <w:rPr>
      <w:i/>
      <w:sz w:val="20"/>
    </w:rPr>
  </w:style>
  <w:style w:type="paragraph" w:customStyle="1" w:styleId="HlavickaZlutyText">
    <w:name w:val="HlavickaZlutyText"/>
    <w:rPr>
      <w:i w:val="0"/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konec">
    <w:name w:val="Varianta_konec"/>
    <w:pPr>
      <w:pBdr>
        <w:bottom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start">
    <w:name w:val="Ucinnost_start"/>
    <w:pPr>
      <w:pBdr>
        <w:top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konec">
    <w:name w:val="Ucinnost_konec"/>
    <w:pPr>
      <w:pBdr>
        <w:bottom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Celex">
    <w:name w:val="Celex"/>
    <w:pPr>
      <w:spacing w:before="120" w:after="120"/>
      <w:jc w:val="left"/>
    </w:pPr>
    <w:rPr>
      <w:rFonts w:ascii="Times New Roman" w:eastAsia="Times New Roman" w:hAnsi="Times New Roman" w:cs="Times New Roman"/>
      <w:i/>
      <w:sz w:val="20"/>
    </w:rPr>
  </w:style>
  <w:style w:type="paragraph" w:customStyle="1" w:styleId="Pripominkystart">
    <w:name w:val="Pripominky_start"/>
    <w:pPr>
      <w:pBdr>
        <w:top w:val="single" w:sz="8" w:space="0" w:color="87CEFA"/>
      </w:pBdr>
      <w:spacing w:before="0" w:after="10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">
    <w:name w:val="1"/>
    <w:pPr>
      <w:spacing w:before="11" w:after="0"/>
      <w:ind w:right="0"/>
      <w:jc w:val="left"/>
    </w:pPr>
    <w:rPr>
      <w:rFonts w:ascii="Times New Roman" w:eastAsia="Times New Roman" w:hAnsi="Times New Roman" w:cs="Times New Roman"/>
      <w:sz w:val="0"/>
    </w:rPr>
  </w:style>
  <w:style w:type="paragraph" w:customStyle="1" w:styleId="3">
    <w:name w:val="3"/>
    <w:pPr>
      <w:spacing w:before="57" w:after="227"/>
      <w:ind w:right="0"/>
      <w:jc w:val="center"/>
    </w:pPr>
    <w:rPr>
      <w:rFonts w:ascii="Times New Roman" w:eastAsia="Times New Roman" w:hAnsi="Times New Roman" w:cs="Times New Roman"/>
      <w:b/>
      <w:sz w:val="32"/>
    </w:rPr>
  </w:style>
  <w:style w:type="paragraph" w:customStyle="1" w:styleId="5">
    <w:name w:val="5"/>
    <w:pPr>
      <w:spacing w:before="0" w:after="0"/>
      <w:ind w:left="680" w:right="680"/>
      <w:jc w:val="center"/>
    </w:pPr>
    <w:rPr>
      <w:rFonts w:ascii="Times New Roman" w:eastAsia="Times New Roman" w:hAnsi="Times New Roman" w:cs="Times New Roman"/>
      <w:b/>
      <w:caps/>
      <w:sz w:val="32"/>
    </w:rPr>
  </w:style>
  <w:style w:type="paragraph" w:customStyle="1" w:styleId="7">
    <w:name w:val="7"/>
    <w:pPr>
      <w:spacing w:before="0" w:after="170"/>
      <w:ind w:left="850" w:right="850"/>
      <w:jc w:val="center"/>
    </w:pPr>
    <w:rPr>
      <w:rFonts w:ascii="Times New Roman" w:eastAsia="Times New Roman" w:hAnsi="Times New Roman" w:cs="Times New Roman"/>
      <w:b/>
      <w:sz w:val="28"/>
    </w:rPr>
  </w:style>
  <w:style w:type="paragraph" w:customStyle="1" w:styleId="9">
    <w:name w:val="9"/>
    <w:pPr>
      <w:spacing w:before="340" w:after="113"/>
      <w:ind w:left="850" w:right="850"/>
      <w:jc w:val="center"/>
    </w:pPr>
    <w:rPr>
      <w:rFonts w:ascii="Times New Roman" w:eastAsia="Times New Roman" w:hAnsi="Times New Roman" w:cs="Times New Roman"/>
      <w:b/>
      <w:sz w:val="34"/>
    </w:rPr>
  </w:style>
  <w:style w:type="paragraph" w:customStyle="1" w:styleId="11">
    <w:name w:val="11"/>
    <w:pPr>
      <w:overflowPunct/>
      <w:spacing w:before="227" w:after="113"/>
      <w:ind w:left="0" w:right="0" w:firstLine="0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13">
    <w:name w:val="13"/>
    <w:pPr>
      <w:spacing w:before="0" w:after="57"/>
      <w:ind w:left="850" w:right="850"/>
      <w:jc w:val="center"/>
    </w:pPr>
    <w:rPr>
      <w:rFonts w:ascii="Times New Roman" w:eastAsia="Times New Roman" w:hAnsi="Times New Roman" w:cs="Times New Roman"/>
      <w:b/>
      <w:sz w:val="28"/>
    </w:rPr>
  </w:style>
  <w:style w:type="paragraph" w:customStyle="1" w:styleId="15">
    <w:name w:val="15"/>
    <w:pPr>
      <w:spacing w:before="0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diff-strike-green">
    <w:name w:val="diff-strike-green"/>
    <w:basedOn w:val="DefaultParagraphFont"/>
  </w:style>
  <w:style w:type="character" w:customStyle="1" w:styleId="diff-text-green">
    <w:name w:val="diff-text-green"/>
    <w:basedOn w:val="DefaultParagraphFont"/>
  </w:style>
  <w:style w:type="paragraph" w:customStyle="1" w:styleId="HlavickaZlutyText0">
    <w:name w:val="HlavickaZlutyText_0"/>
    <w:rPr>
      <w:i w:val="0"/>
      <w:sz w:val="18"/>
    </w:rPr>
  </w:style>
  <w:style w:type="paragraph" w:customStyle="1" w:styleId="Hlavicka0">
    <w:name w:val="Hlavicka_0"/>
    <w:rPr>
      <w:i/>
      <w:sz w:val="20"/>
    </w:rPr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10">
    <w:name w:val="1_0"/>
    <w:pPr>
      <w:spacing w:before="11" w:after="0"/>
      <w:ind w:right="0"/>
      <w:jc w:val="left"/>
    </w:pPr>
    <w:rPr>
      <w:rFonts w:ascii="Times New Roman" w:eastAsia="Times New Roman" w:hAnsi="Times New Roman" w:cs="Times New Roman"/>
      <w:sz w:val="0"/>
    </w:rPr>
  </w:style>
  <w:style w:type="paragraph" w:customStyle="1" w:styleId="2">
    <w:name w:val="2"/>
    <w:pPr>
      <w:spacing w:before="57" w:after="227"/>
      <w:ind w:right="0"/>
      <w:jc w:val="center"/>
    </w:pPr>
    <w:rPr>
      <w:rFonts w:ascii="Times New Roman" w:eastAsia="Times New Roman" w:hAnsi="Times New Roman" w:cs="Times New Roman"/>
      <w:b/>
      <w:sz w:val="32"/>
    </w:rPr>
  </w:style>
  <w:style w:type="paragraph" w:customStyle="1" w:styleId="4">
    <w:name w:val="4"/>
    <w:pPr>
      <w:spacing w:before="0" w:after="0"/>
      <w:ind w:left="680" w:right="680"/>
      <w:jc w:val="center"/>
    </w:pPr>
    <w:rPr>
      <w:rFonts w:ascii="Times New Roman" w:eastAsia="Times New Roman" w:hAnsi="Times New Roman" w:cs="Times New Roman"/>
      <w:b/>
      <w:caps/>
      <w:sz w:val="32"/>
    </w:rPr>
  </w:style>
  <w:style w:type="paragraph" w:customStyle="1" w:styleId="6">
    <w:name w:val="6"/>
    <w:pPr>
      <w:spacing w:before="0" w:after="170"/>
      <w:ind w:left="850" w:right="850"/>
      <w:jc w:val="center"/>
    </w:pPr>
    <w:rPr>
      <w:rFonts w:ascii="Times New Roman" w:eastAsia="Times New Roman" w:hAnsi="Times New Roman" w:cs="Times New Roman"/>
      <w:b/>
      <w:sz w:val="28"/>
    </w:rPr>
  </w:style>
  <w:style w:type="paragraph" w:customStyle="1" w:styleId="8">
    <w:name w:val="8"/>
    <w:pPr>
      <w:spacing w:before="340" w:after="113"/>
      <w:ind w:left="850" w:right="850"/>
      <w:jc w:val="center"/>
    </w:pPr>
    <w:rPr>
      <w:rFonts w:ascii="Times New Roman" w:eastAsia="Times New Roman" w:hAnsi="Times New Roman" w:cs="Times New Roman"/>
      <w:b/>
      <w:sz w:val="34"/>
    </w:rPr>
  </w:style>
  <w:style w:type="paragraph" w:customStyle="1" w:styleId="100">
    <w:name w:val="10"/>
    <w:pPr>
      <w:overflowPunct/>
      <w:spacing w:before="227" w:after="113"/>
      <w:ind w:left="0" w:right="0" w:firstLine="0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12">
    <w:name w:val="12"/>
    <w:pPr>
      <w:spacing w:before="0" w:after="57"/>
      <w:ind w:left="850" w:right="850"/>
      <w:jc w:val="center"/>
    </w:pPr>
    <w:rPr>
      <w:rFonts w:ascii="Times New Roman" w:eastAsia="Times New Roman" w:hAnsi="Times New Roman" w:cs="Times New Roman"/>
      <w:b/>
      <w:sz w:val="28"/>
    </w:rPr>
  </w:style>
  <w:style w:type="character" w:customStyle="1" w:styleId="diff-strike-green0">
    <w:name w:val="diff-strike-green_0"/>
    <w:basedOn w:val="DefaultParagraphFont"/>
  </w:style>
  <w:style w:type="character" w:customStyle="1" w:styleId="diff-text-green0">
    <w:name w:val="diff-text-green_0"/>
    <w:basedOn w:val="DefaultParagraphFont"/>
  </w:style>
  <w:style w:type="paragraph" w:customStyle="1" w:styleId="14">
    <w:name w:val="14"/>
    <w:pPr>
      <w:spacing w:before="0" w:after="57"/>
      <w:ind w:right="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2026-0188-001-TVO_Vsechna_UZ_Dotcena_ustanoveni</dc:title>
  <dc:creator>e-Legislativa</dc:creator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3c4dc9d4-0034-4146-9066-92f9a63245f1:3570</vt:lpwstr>
  </property>
  <property fmtid="{D5CDD505-2E9C-101B-9397-08002B2CF9AE}" pid="3" name="IdPodprostoru">
    <vt:lpwstr/>
  </property>
  <property fmtid="{D5CDD505-2E9C-101B-9397-08002B2CF9AE}" pid="4" name="JeUzavrena">
    <vt:lpwstr/>
  </property>
  <property fmtid="{D5CDD505-2E9C-101B-9397-08002B2CF9AE}" pid="5" name="PozadavekId">
    <vt:lpwstr>2aba6f3b-9d27-4a0c-9e25-169bf51fd063</vt:lpwstr>
  </property>
  <property fmtid="{D5CDD505-2E9C-101B-9397-08002B2CF9AE}" pid="6" name="Verze aplikace">
    <vt:lpwstr>v1.0-07.35.HF2</vt:lpwstr>
  </property>
  <property fmtid="{D5CDD505-2E9C-101B-9397-08002B2CF9AE}" pid="7" name="VrstvaNavrhuId">
    <vt:lpwstr/>
  </property>
  <property fmtid="{D5CDD505-2E9C-101B-9397-08002B2CF9AE}" pid="8" name="VrstvaObsahuId">
    <vt:lpwstr/>
  </property>
</Properties>
</file>