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0CBFD" w14:textId="1B514959" w:rsidR="004459B5" w:rsidRPr="00F166B3" w:rsidRDefault="004E5783" w:rsidP="004459B5">
      <w:pPr>
        <w:jc w:val="center"/>
        <w:rPr>
          <w:b/>
          <w:bCs/>
          <w:sz w:val="28"/>
          <w:szCs w:val="28"/>
          <w:u w:val="single"/>
        </w:rPr>
      </w:pPr>
      <w:r w:rsidRPr="00F166B3">
        <w:rPr>
          <w:b/>
          <w:bCs/>
          <w:sz w:val="28"/>
          <w:szCs w:val="28"/>
          <w:u w:val="single"/>
        </w:rPr>
        <w:t>S</w:t>
      </w:r>
      <w:r w:rsidR="004459B5" w:rsidRPr="00F166B3">
        <w:rPr>
          <w:b/>
          <w:bCs/>
          <w:sz w:val="28"/>
          <w:szCs w:val="28"/>
          <w:u w:val="single"/>
        </w:rPr>
        <w:t xml:space="preserve">tanovisko Ministerstva spravedlnosti k výkladovým otázkám souvisejícím s výběrem soudců </w:t>
      </w:r>
    </w:p>
    <w:p w14:paraId="0C6E872C" w14:textId="77777777" w:rsidR="004459B5" w:rsidRPr="00F166B3" w:rsidRDefault="004459B5" w:rsidP="004459B5">
      <w:pPr>
        <w:spacing w:before="240"/>
        <w:jc w:val="both"/>
        <w:rPr>
          <w:b/>
          <w:bCs/>
          <w:sz w:val="28"/>
          <w:szCs w:val="28"/>
          <w:u w:val="single"/>
        </w:rPr>
      </w:pPr>
    </w:p>
    <w:p w14:paraId="074469CC" w14:textId="6D763209" w:rsidR="004459B5" w:rsidRPr="0012041E" w:rsidRDefault="00562601" w:rsidP="004459B5">
      <w:pPr>
        <w:pStyle w:val="Odstavecseseznamem"/>
        <w:numPr>
          <w:ilvl w:val="0"/>
          <w:numId w:val="1"/>
        </w:numPr>
        <w:spacing w:before="240" w:line="276" w:lineRule="auto"/>
        <w:ind w:left="142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2041E">
        <w:rPr>
          <w:rFonts w:ascii="Times New Roman" w:hAnsi="Times New Roman"/>
          <w:b/>
          <w:bCs/>
          <w:i/>
          <w:iCs/>
          <w:sz w:val="24"/>
          <w:szCs w:val="24"/>
        </w:rPr>
        <w:t>Výklad</w:t>
      </w:r>
      <w:r w:rsidR="004459B5" w:rsidRPr="0012041E">
        <w:rPr>
          <w:rFonts w:ascii="Times New Roman" w:hAnsi="Times New Roman"/>
          <w:b/>
          <w:bCs/>
          <w:i/>
          <w:iCs/>
          <w:sz w:val="24"/>
          <w:szCs w:val="24"/>
        </w:rPr>
        <w:t xml:space="preserve"> § 117 </w:t>
      </w:r>
      <w:r w:rsidR="007B34A2" w:rsidRPr="0012041E">
        <w:rPr>
          <w:rFonts w:ascii="Times New Roman" w:hAnsi="Times New Roman"/>
          <w:b/>
          <w:bCs/>
          <w:i/>
          <w:iCs/>
          <w:sz w:val="24"/>
          <w:szCs w:val="24"/>
        </w:rPr>
        <w:t xml:space="preserve">odst. </w:t>
      </w:r>
      <w:r w:rsidR="009151FE" w:rsidRPr="0012041E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7B34A2" w:rsidRPr="0012041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4459B5" w:rsidRPr="0012041E">
        <w:rPr>
          <w:rFonts w:ascii="Times New Roman" w:hAnsi="Times New Roman"/>
          <w:b/>
          <w:bCs/>
          <w:i/>
          <w:iCs/>
          <w:sz w:val="24"/>
          <w:szCs w:val="24"/>
        </w:rPr>
        <w:t>zákona o soudech a soudcích</w:t>
      </w:r>
    </w:p>
    <w:p w14:paraId="4178A307" w14:textId="77777777" w:rsidR="007B34A2" w:rsidRPr="00F166B3" w:rsidRDefault="007B34A2" w:rsidP="007B34A2">
      <w:pPr>
        <w:pStyle w:val="Odstavecseseznamem"/>
        <w:spacing w:before="240" w:line="276" w:lineRule="auto"/>
        <w:ind w:left="142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69B5D2C" w14:textId="2BEC2B6D" w:rsidR="004459B5" w:rsidRPr="00F166B3" w:rsidRDefault="009151FE" w:rsidP="004459B5">
      <w:pPr>
        <w:pStyle w:val="Odstavecseseznamem"/>
        <w:numPr>
          <w:ilvl w:val="1"/>
          <w:numId w:val="2"/>
        </w:numPr>
        <w:spacing w:before="240" w:line="276" w:lineRule="auto"/>
        <w:ind w:left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V</w:t>
      </w:r>
      <w:r w:rsidR="004459B5" w:rsidRPr="00F166B3">
        <w:rPr>
          <w:rFonts w:ascii="Times New Roman" w:hAnsi="Times New Roman"/>
          <w:i/>
          <w:iCs/>
          <w:sz w:val="24"/>
          <w:szCs w:val="24"/>
        </w:rPr>
        <w:t>ýkon právní praxe nebo vědecké, případně pedagogické činnosti v právním odvětví</w:t>
      </w:r>
      <w:r w:rsidR="007B34A2">
        <w:rPr>
          <w:rFonts w:ascii="Times New Roman" w:hAnsi="Times New Roman"/>
          <w:i/>
          <w:iCs/>
          <w:sz w:val="24"/>
          <w:szCs w:val="24"/>
        </w:rPr>
        <w:t xml:space="preserve"> s</w:t>
      </w:r>
      <w:r w:rsidR="007B34A2" w:rsidRPr="007B34A2">
        <w:rPr>
          <w:rFonts w:ascii="Times New Roman" w:hAnsi="Times New Roman"/>
          <w:i/>
          <w:iCs/>
          <w:sz w:val="24"/>
          <w:szCs w:val="24"/>
        </w:rPr>
        <w:t>ouvisejícím s rozhodovací činností soudů</w:t>
      </w:r>
    </w:p>
    <w:p w14:paraId="71524550" w14:textId="343F7450" w:rsidR="004459B5" w:rsidRPr="00F166B3" w:rsidRDefault="004459B5" w:rsidP="009151FE">
      <w:pPr>
        <w:spacing w:before="240" w:line="276" w:lineRule="auto"/>
        <w:ind w:left="142"/>
        <w:jc w:val="both"/>
        <w:rPr>
          <w:szCs w:val="24"/>
        </w:rPr>
      </w:pPr>
      <w:r w:rsidRPr="00F166B3">
        <w:rPr>
          <w:szCs w:val="24"/>
        </w:rPr>
        <w:t xml:space="preserve">Tato kategorie tzv. bočního vstupu do výběrového řízení na funkci soudce cílí zejména na akademiky, kteří vědeckou či pedagogickou činnost požadovanou dobu vykonávali v právním odvětví souvisejícím s rozhodovací činností soudů (např. akademik dlouhodobě působící v oblasti procesního práva), </w:t>
      </w:r>
      <w:r w:rsidR="007B34A2">
        <w:rPr>
          <w:szCs w:val="24"/>
        </w:rPr>
        <w:t>pod toto ustanovení lze rovněž podřadit</w:t>
      </w:r>
      <w:r w:rsidRPr="00F166B3">
        <w:rPr>
          <w:szCs w:val="24"/>
        </w:rPr>
        <w:t xml:space="preserve"> dlouhodobý výkon činnosti asistentů soudců, kteří složí odbornou justiční zkoušku, nicméně neabsolvují odbornou přípravu justičního kandidáta, popř. jiných osob s profesní zkouškou, které nevykonávají činnost advokáta, státního zástupce</w:t>
      </w:r>
      <w:r w:rsidR="007B34A2">
        <w:rPr>
          <w:szCs w:val="24"/>
        </w:rPr>
        <w:t>, notáře, soudce Ústavního soudu</w:t>
      </w:r>
      <w:r w:rsidRPr="00F166B3">
        <w:rPr>
          <w:szCs w:val="24"/>
        </w:rPr>
        <w:t xml:space="preserve"> či soudního exekutora, ale působí požadovanou dobu v právním odvětví souvisejícím s rozhodování</w:t>
      </w:r>
      <w:r w:rsidR="00F92B5E" w:rsidRPr="00F166B3">
        <w:rPr>
          <w:szCs w:val="24"/>
        </w:rPr>
        <w:t>m</w:t>
      </w:r>
      <w:r w:rsidRPr="00F166B3">
        <w:rPr>
          <w:szCs w:val="24"/>
        </w:rPr>
        <w:t xml:space="preserve"> soudů (např. notářský </w:t>
      </w:r>
      <w:r w:rsidR="00562601">
        <w:rPr>
          <w:szCs w:val="24"/>
        </w:rPr>
        <w:t>a exekutorský kandidát, asistent státního zástupce, vyšší soudní úředník atd.</w:t>
      </w:r>
      <w:r w:rsidRPr="00F166B3">
        <w:rPr>
          <w:szCs w:val="24"/>
        </w:rPr>
        <w:t xml:space="preserve">). </w:t>
      </w:r>
      <w:r w:rsidR="007B34A2">
        <w:rPr>
          <w:szCs w:val="24"/>
        </w:rPr>
        <w:t>Pod tuto kategorii však nelze podřadit výkon jiných právnických profesí, jež nejsou upraveny příslušnými profesními předpisy, a nelze tak postavit na jisto, zda přímo souvisejí s rozhodovací činností soudů (např. korporátní právníci).</w:t>
      </w:r>
      <w:r w:rsidR="009151FE">
        <w:rPr>
          <w:szCs w:val="24"/>
        </w:rPr>
        <w:t xml:space="preserve"> </w:t>
      </w:r>
      <w:r w:rsidR="00F04C7E">
        <w:rPr>
          <w:szCs w:val="24"/>
        </w:rPr>
        <w:t>Asistenti</w:t>
      </w:r>
      <w:r w:rsidR="009151FE" w:rsidRPr="00F166B3">
        <w:rPr>
          <w:szCs w:val="24"/>
        </w:rPr>
        <w:t xml:space="preserve"> soudců, kteří úspěšně složili odbornou justiční zkoušku a nevztahuje se na ně přechodné ustanovení novely</w:t>
      </w:r>
      <w:r w:rsidR="000132B5">
        <w:rPr>
          <w:szCs w:val="24"/>
        </w:rPr>
        <w:t xml:space="preserve"> zákona o soudech a soudcích</w:t>
      </w:r>
      <w:r w:rsidR="000132B5" w:rsidRPr="00F166B3">
        <w:rPr>
          <w:szCs w:val="24"/>
        </w:rPr>
        <w:t xml:space="preserve"> </w:t>
      </w:r>
      <w:r w:rsidR="009151FE" w:rsidRPr="00F166B3">
        <w:rPr>
          <w:szCs w:val="24"/>
        </w:rPr>
        <w:t xml:space="preserve">č. 218/2021 Sb., budou v rámci přípravy budoucích soudců postupovat po složení odborné justiční zkoušky </w:t>
      </w:r>
      <w:r w:rsidR="00F04C7E">
        <w:rPr>
          <w:szCs w:val="24"/>
        </w:rPr>
        <w:t xml:space="preserve">primárně </w:t>
      </w:r>
      <w:r w:rsidR="009151FE" w:rsidRPr="00F166B3">
        <w:rPr>
          <w:szCs w:val="24"/>
        </w:rPr>
        <w:t xml:space="preserve">přes výběrové řízení na pozici justičního kandidáta, jehož odborná příprava trvá 1 rok a má za cíl připravit daného uchazeče na budoucí funkci soudce. Pouze pokud asistent tuto odbornou přípravu neabsolvuje, bude muset v případě přihlášení do výběrového řízení na funkci soudce splnit některý z požadavků § 117 odst. 2 zákona o soudech a soudcích [v případě, že bude chtít setrvat po celou dobu na pozici asistenta soudce, bude se v praxi jednat právě zejména </w:t>
      </w:r>
      <w:r w:rsidR="00B816A4">
        <w:rPr>
          <w:szCs w:val="24"/>
        </w:rPr>
        <w:br/>
      </w:r>
      <w:r w:rsidR="009151FE" w:rsidRPr="00F166B3">
        <w:rPr>
          <w:szCs w:val="24"/>
        </w:rPr>
        <w:t>o požadavek praxe po dobu 10 let dle § 117 odst. 2 písm. b) zákona o soudech a soudcích].</w:t>
      </w:r>
      <w:r w:rsidR="00BA37BF">
        <w:rPr>
          <w:szCs w:val="24"/>
        </w:rPr>
        <w:t xml:space="preserve"> P</w:t>
      </w:r>
      <w:r w:rsidR="00BA37BF" w:rsidRPr="00BA37BF">
        <w:rPr>
          <w:szCs w:val="24"/>
        </w:rPr>
        <w:t>raxi lze započítat výhradně v době po absolvování vysokoškolského vzdělání získaného řádným ukončením studia v magisterském studijním programu v oblasti práva na vysoké škole v České republice</w:t>
      </w:r>
      <w:r w:rsidR="007D0303">
        <w:rPr>
          <w:szCs w:val="24"/>
        </w:rPr>
        <w:t xml:space="preserve"> (tj. právnická fakulta UK v Praze, MU v Brně, ZČU v Plzni a UP </w:t>
      </w:r>
      <w:r w:rsidR="00B816A4">
        <w:rPr>
          <w:szCs w:val="24"/>
        </w:rPr>
        <w:br/>
      </w:r>
      <w:r w:rsidR="007D0303">
        <w:rPr>
          <w:szCs w:val="24"/>
        </w:rPr>
        <w:t>v Olomouci)</w:t>
      </w:r>
      <w:r w:rsidR="00BA37BF" w:rsidRPr="00BA37BF">
        <w:rPr>
          <w:szCs w:val="24"/>
        </w:rPr>
        <w:t>.</w:t>
      </w:r>
    </w:p>
    <w:p w14:paraId="7C39F037" w14:textId="015DFB35" w:rsidR="004459B5" w:rsidRPr="00F166B3" w:rsidRDefault="009151FE" w:rsidP="004459B5">
      <w:pPr>
        <w:pStyle w:val="Odstavecseseznamem"/>
        <w:numPr>
          <w:ilvl w:val="1"/>
          <w:numId w:val="2"/>
        </w:numPr>
        <w:spacing w:before="240" w:line="276" w:lineRule="auto"/>
        <w:ind w:left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V</w:t>
      </w:r>
      <w:r w:rsidR="004459B5" w:rsidRPr="00F166B3">
        <w:rPr>
          <w:rFonts w:ascii="Times New Roman" w:hAnsi="Times New Roman"/>
          <w:i/>
          <w:iCs/>
          <w:sz w:val="24"/>
          <w:szCs w:val="24"/>
        </w:rPr>
        <w:t xml:space="preserve">ýkon právní praxe ve služebním poměru v oboru legislativa a právní činnost ve 13. </w:t>
      </w:r>
      <w:r w:rsidR="00B816A4">
        <w:rPr>
          <w:rFonts w:ascii="Times New Roman" w:hAnsi="Times New Roman"/>
          <w:i/>
          <w:iCs/>
          <w:sz w:val="24"/>
          <w:szCs w:val="24"/>
        </w:rPr>
        <w:br/>
      </w:r>
      <w:r w:rsidR="004459B5" w:rsidRPr="00F166B3">
        <w:rPr>
          <w:rFonts w:ascii="Times New Roman" w:hAnsi="Times New Roman"/>
          <w:i/>
          <w:iCs/>
          <w:sz w:val="24"/>
          <w:szCs w:val="24"/>
        </w:rPr>
        <w:t>a vyšší platové tříd</w:t>
      </w:r>
      <w:r w:rsidR="007B34A2">
        <w:rPr>
          <w:rFonts w:ascii="Times New Roman" w:hAnsi="Times New Roman"/>
          <w:i/>
          <w:iCs/>
          <w:sz w:val="24"/>
          <w:szCs w:val="24"/>
        </w:rPr>
        <w:t>ě</w:t>
      </w:r>
    </w:p>
    <w:p w14:paraId="7867D5EC" w14:textId="63DB40F8" w:rsidR="004459B5" w:rsidRDefault="004459B5" w:rsidP="004459B5">
      <w:pPr>
        <w:spacing w:line="276" w:lineRule="auto"/>
        <w:ind w:left="142"/>
        <w:jc w:val="both"/>
        <w:rPr>
          <w:szCs w:val="24"/>
        </w:rPr>
      </w:pPr>
      <w:r w:rsidRPr="00F166B3">
        <w:rPr>
          <w:szCs w:val="24"/>
        </w:rPr>
        <w:t xml:space="preserve">Jedná se o činnosti vykonávané v souladu se zákonem č. 234/2014 Sb., o státní službě, ve znění pozdějších předpisů, ve spojení s nařízením vlády č. 1/2019 Sb., o oborech státní služby, ve znění pozdějších předpisů, ve kterém jsou jednotlivé obory státní služby včetně oboru legislativa a právní činnost stanoveny, a s nařízením vlády č. 302/2014 Sb., o katalogu správních činností, ve znění pozdějších předpisů, které stanoví, o které konkrétní činnosti se v příslušné platové třídě jedná (pro legislativu a právní činnost jsou relevantní společné </w:t>
      </w:r>
      <w:r w:rsidRPr="00F166B3">
        <w:rPr>
          <w:szCs w:val="24"/>
        </w:rPr>
        <w:lastRenderedPageBreak/>
        <w:t>správní činnosti zařazené do části 1. přílohy nařízení, protože nemá speciální správní činnosti členěné podle odborného zaměření v části 2. nařízení). Požadavkem tedy bude, aby daný uchazeč ve výběrovém řízení na funkci soudce byl zařazen alespoň 15 let na služební místo v oboru legislativa a právní činnost a současně byl zařazen do 13. a vyšší platové třídy (resp. před 1. 7. 2015 se za tuto praxi považuje i výkon právní praxe ve státní správě ve 13. a vyšší platové třídě s náplní práce, která odpovídá stávajícímu oboru služby legislativa a právní činnost).</w:t>
      </w:r>
      <w:r w:rsidR="00BA37BF">
        <w:rPr>
          <w:szCs w:val="24"/>
        </w:rPr>
        <w:t xml:space="preserve"> Tuto praxi lze započítat výhradně v době po absolvování v</w:t>
      </w:r>
      <w:r w:rsidR="00BA37BF" w:rsidRPr="00BA37BF">
        <w:rPr>
          <w:szCs w:val="24"/>
        </w:rPr>
        <w:t>ysokoškolské</w:t>
      </w:r>
      <w:r w:rsidR="00BA37BF">
        <w:rPr>
          <w:szCs w:val="24"/>
        </w:rPr>
        <w:t>ho</w:t>
      </w:r>
      <w:r w:rsidR="00BA37BF" w:rsidRPr="00BA37BF">
        <w:rPr>
          <w:szCs w:val="24"/>
        </w:rPr>
        <w:t xml:space="preserve"> vzdělání získané</w:t>
      </w:r>
      <w:r w:rsidR="00BA37BF">
        <w:rPr>
          <w:szCs w:val="24"/>
        </w:rPr>
        <w:t>ho</w:t>
      </w:r>
      <w:r w:rsidR="00BA37BF" w:rsidRPr="00BA37BF">
        <w:rPr>
          <w:szCs w:val="24"/>
        </w:rPr>
        <w:t xml:space="preserve"> řádným ukončením studia v magisterském studijním programu v oblasti práva na vysoké škole v České republice</w:t>
      </w:r>
      <w:r w:rsidR="00BA37BF">
        <w:rPr>
          <w:szCs w:val="24"/>
        </w:rPr>
        <w:t>.</w:t>
      </w:r>
    </w:p>
    <w:p w14:paraId="5ADB8961" w14:textId="33324141" w:rsidR="0012041E" w:rsidRDefault="0012041E" w:rsidP="004459B5">
      <w:pPr>
        <w:spacing w:line="276" w:lineRule="auto"/>
        <w:ind w:left="142"/>
        <w:jc w:val="both"/>
        <w:rPr>
          <w:szCs w:val="24"/>
        </w:rPr>
      </w:pPr>
    </w:p>
    <w:p w14:paraId="29FE2D7C" w14:textId="51DAC6EE" w:rsidR="0012041E" w:rsidRPr="0012041E" w:rsidRDefault="0012041E" w:rsidP="0012041E">
      <w:pPr>
        <w:pStyle w:val="Odstavecseseznamem"/>
        <w:numPr>
          <w:ilvl w:val="1"/>
          <w:numId w:val="2"/>
        </w:numPr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2041E">
        <w:rPr>
          <w:rFonts w:ascii="Times New Roman" w:hAnsi="Times New Roman"/>
          <w:i/>
          <w:iCs/>
          <w:sz w:val="24"/>
          <w:szCs w:val="24"/>
        </w:rPr>
        <w:t xml:space="preserve">Prodloužení </w:t>
      </w:r>
      <w:r w:rsidR="009E31EB" w:rsidRPr="0012041E">
        <w:rPr>
          <w:rFonts w:ascii="Times New Roman" w:hAnsi="Times New Roman"/>
          <w:i/>
          <w:iCs/>
          <w:sz w:val="24"/>
          <w:szCs w:val="24"/>
        </w:rPr>
        <w:t>dob</w:t>
      </w:r>
      <w:r w:rsidR="009E31EB">
        <w:rPr>
          <w:rFonts w:ascii="Times New Roman" w:hAnsi="Times New Roman"/>
          <w:i/>
          <w:iCs/>
          <w:sz w:val="24"/>
          <w:szCs w:val="24"/>
        </w:rPr>
        <w:t>y</w:t>
      </w:r>
      <w:r w:rsidR="009E31EB" w:rsidRPr="0012041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2041E">
        <w:rPr>
          <w:rFonts w:ascii="Times New Roman" w:hAnsi="Times New Roman"/>
          <w:i/>
          <w:iCs/>
          <w:sz w:val="24"/>
          <w:szCs w:val="24"/>
        </w:rPr>
        <w:t>o dobu mateřské a rodičovské dovolené</w:t>
      </w:r>
      <w:r w:rsidR="00CA75CE">
        <w:rPr>
          <w:rFonts w:ascii="Times New Roman" w:hAnsi="Times New Roman"/>
          <w:i/>
          <w:iCs/>
          <w:sz w:val="24"/>
          <w:szCs w:val="24"/>
        </w:rPr>
        <w:t>, omluvené nepřítomnosti nebo z důvodu překážek v práci</w:t>
      </w:r>
    </w:p>
    <w:p w14:paraId="312CF100" w14:textId="61D77B73" w:rsidR="004459B5" w:rsidRDefault="004459B5" w:rsidP="004459B5">
      <w:pPr>
        <w:spacing w:before="240" w:line="276" w:lineRule="auto"/>
        <w:ind w:left="142"/>
        <w:jc w:val="both"/>
        <w:rPr>
          <w:szCs w:val="24"/>
        </w:rPr>
      </w:pPr>
      <w:r w:rsidRPr="00F166B3">
        <w:rPr>
          <w:szCs w:val="24"/>
        </w:rPr>
        <w:t>§ 117 odst. 2</w:t>
      </w:r>
      <w:r w:rsidR="00526772">
        <w:rPr>
          <w:szCs w:val="24"/>
        </w:rPr>
        <w:t xml:space="preserve"> zákona o soudech a soudcích</w:t>
      </w:r>
      <w:r w:rsidRPr="00F166B3">
        <w:rPr>
          <w:szCs w:val="24"/>
        </w:rPr>
        <w:t xml:space="preserve"> stanovuje možnosti, jakými může uchazeč nahradit odbornou přípravu justičního kandidáta jako jeden z požadavků pro přihlášení do výběrového řízení na funkci soudce, </w:t>
      </w:r>
      <w:r w:rsidR="00B35A04">
        <w:rPr>
          <w:szCs w:val="24"/>
        </w:rPr>
        <w:t>zároveň</w:t>
      </w:r>
      <w:r w:rsidR="00B35A04" w:rsidRPr="00F166B3">
        <w:rPr>
          <w:szCs w:val="24"/>
        </w:rPr>
        <w:t xml:space="preserve"> </w:t>
      </w:r>
      <w:r w:rsidRPr="00F166B3">
        <w:rPr>
          <w:szCs w:val="24"/>
        </w:rPr>
        <w:t xml:space="preserve">§ </w:t>
      </w:r>
      <w:r w:rsidR="00602501">
        <w:rPr>
          <w:szCs w:val="24"/>
        </w:rPr>
        <w:t>114</w:t>
      </w:r>
      <w:r w:rsidRPr="00F166B3">
        <w:rPr>
          <w:szCs w:val="24"/>
        </w:rPr>
        <w:t xml:space="preserve"> odst. </w:t>
      </w:r>
      <w:r w:rsidR="00602501">
        <w:rPr>
          <w:szCs w:val="24"/>
        </w:rPr>
        <w:t>2</w:t>
      </w:r>
      <w:r w:rsidRPr="00F166B3">
        <w:rPr>
          <w:szCs w:val="24"/>
        </w:rPr>
        <w:t xml:space="preserve"> zákona o soudech a soudcích stanoví, že doba odborné přípravy justičního kandidáta se prodlužuje o </w:t>
      </w:r>
      <w:r w:rsidR="0045242A" w:rsidRPr="0045242A">
        <w:rPr>
          <w:szCs w:val="24"/>
        </w:rPr>
        <w:t xml:space="preserve">potřebnou dobu, jestliže nedosáhl doby odborné přípravy v trvání 1 roku pro nepřítomnost v práci z důvodu těhotenství nebo péče </w:t>
      </w:r>
      <w:r w:rsidR="00B816A4">
        <w:rPr>
          <w:szCs w:val="24"/>
        </w:rPr>
        <w:br/>
      </w:r>
      <w:r w:rsidR="0045242A" w:rsidRPr="0045242A">
        <w:rPr>
          <w:szCs w:val="24"/>
        </w:rPr>
        <w:t>o nezletilé dítě po dobu mateřské nebo rodičovské dovolené</w:t>
      </w:r>
      <w:r w:rsidRPr="00F166B3">
        <w:rPr>
          <w:szCs w:val="24"/>
        </w:rPr>
        <w:t xml:space="preserve">. Z výkladového hlediska se tak </w:t>
      </w:r>
      <w:r w:rsidR="009151FE">
        <w:rPr>
          <w:szCs w:val="24"/>
        </w:rPr>
        <w:t>musí</w:t>
      </w:r>
      <w:r w:rsidRPr="00F166B3">
        <w:rPr>
          <w:szCs w:val="24"/>
        </w:rPr>
        <w:t xml:space="preserve"> prodlužovat i doba praxe nahrazující odbornou přípravu. </w:t>
      </w:r>
      <w:r w:rsidR="00B35A04">
        <w:rPr>
          <w:szCs w:val="24"/>
        </w:rPr>
        <w:t xml:space="preserve">Tento závěr odpovídá smyslu příslušných ustanovení, neboť cílem je zajistit dostatečnou dobu odborné praxe, přičemž v případě mateřské, resp. rodičovské dovolené či dlouhodobých překážek v práci odborná praxe vykonávána není. </w:t>
      </w:r>
      <w:r w:rsidR="00CA75CE">
        <w:rPr>
          <w:szCs w:val="24"/>
        </w:rPr>
        <w:t xml:space="preserve"> </w:t>
      </w:r>
    </w:p>
    <w:p w14:paraId="4656782C" w14:textId="31F4A51D" w:rsidR="00CA75CE" w:rsidRDefault="00CA75CE" w:rsidP="004459B5">
      <w:pPr>
        <w:spacing w:before="240" w:line="276" w:lineRule="auto"/>
        <w:ind w:left="142"/>
        <w:jc w:val="both"/>
        <w:rPr>
          <w:szCs w:val="24"/>
        </w:rPr>
      </w:pPr>
      <w:r>
        <w:rPr>
          <w:szCs w:val="24"/>
        </w:rPr>
        <w:t>Dle § 114 odst. 4 zákona o soudech a soudcích se d</w:t>
      </w:r>
      <w:r w:rsidRPr="00CA75CE">
        <w:rPr>
          <w:szCs w:val="24"/>
        </w:rPr>
        <w:t>o doby odborné přípravy justičního kandidáta v případě omluvené nepřítomnosti nebo z důvodu překážek v práci na jeho straně započítává nejvýše 70 pracovních dnů.</w:t>
      </w:r>
      <w:r>
        <w:rPr>
          <w:szCs w:val="24"/>
        </w:rPr>
        <w:t xml:space="preserve"> Z logiky věci by se tak měla prodlužovat i doba praxe nahrazující odbornou přípravu dle § 117 odst. 2 zákona o soudech a soud</w:t>
      </w:r>
      <w:r w:rsidR="005C19BF">
        <w:rPr>
          <w:szCs w:val="24"/>
        </w:rPr>
        <w:t>cích, a to jako násobek 70 pracovních dnů a počtu roků požadovaných u jednotlivých druhů praxe.</w:t>
      </w:r>
    </w:p>
    <w:p w14:paraId="65CC8559" w14:textId="7D4E60A3" w:rsidR="001033D1" w:rsidRDefault="001033D1" w:rsidP="007B6E39">
      <w:pPr>
        <w:spacing w:before="240" w:line="276" w:lineRule="auto"/>
        <w:ind w:left="142"/>
        <w:jc w:val="both"/>
        <w:rPr>
          <w:szCs w:val="24"/>
        </w:rPr>
      </w:pPr>
      <w:r w:rsidRPr="00F166B3">
        <w:rPr>
          <w:szCs w:val="24"/>
        </w:rPr>
        <w:t xml:space="preserve">Je tedy </w:t>
      </w:r>
      <w:r>
        <w:rPr>
          <w:szCs w:val="24"/>
        </w:rPr>
        <w:t>nutné</w:t>
      </w:r>
      <w:r w:rsidRPr="00F166B3">
        <w:rPr>
          <w:szCs w:val="24"/>
        </w:rPr>
        <w:t xml:space="preserve"> i </w:t>
      </w:r>
      <w:r>
        <w:rPr>
          <w:szCs w:val="24"/>
        </w:rPr>
        <w:t>uvedené</w:t>
      </w:r>
      <w:r w:rsidRPr="00F166B3">
        <w:rPr>
          <w:szCs w:val="24"/>
        </w:rPr>
        <w:t xml:space="preserve"> skutečnost</w:t>
      </w:r>
      <w:r>
        <w:rPr>
          <w:szCs w:val="24"/>
        </w:rPr>
        <w:t>i</w:t>
      </w:r>
      <w:r w:rsidRPr="00F166B3">
        <w:rPr>
          <w:szCs w:val="24"/>
        </w:rPr>
        <w:t xml:space="preserve"> při posuzování přihlášek ověřit (pomocí čestného prohlášení uchazeče o splnění předpokladů pro výkonu funkce soudce a podmínek podle</w:t>
      </w:r>
      <w:r>
        <w:rPr>
          <w:szCs w:val="24"/>
        </w:rPr>
        <w:t xml:space="preserve"> </w:t>
      </w:r>
      <w:r w:rsidR="00B816A4">
        <w:rPr>
          <w:szCs w:val="24"/>
        </w:rPr>
        <w:br/>
      </w:r>
      <w:r w:rsidRPr="00F166B3">
        <w:rPr>
          <w:szCs w:val="24"/>
        </w:rPr>
        <w:t>§ 117 zákona</w:t>
      </w:r>
      <w:r>
        <w:rPr>
          <w:szCs w:val="24"/>
        </w:rPr>
        <w:t xml:space="preserve"> o soudech a soudcích</w:t>
      </w:r>
      <w:r w:rsidRPr="00F166B3">
        <w:rPr>
          <w:szCs w:val="24"/>
        </w:rPr>
        <w:t>, na které pamatuje vyhláška č. 516/2021 Sb., o odborné justiční zkoušce, výběru a odborné přípravě justičních kandidátů, výběru uchazečů na funkci soudce, výběru předsedů soudů a o změně vyhlášky č. 37/1992 Sb., o jednacím řádu pro okresní a krajské soudy, ve znění pozdějších předpisů</w:t>
      </w:r>
      <w:r>
        <w:rPr>
          <w:szCs w:val="24"/>
        </w:rPr>
        <w:t xml:space="preserve"> – dále jen „vyhláška č. 516/2021 Sb.“</w:t>
      </w:r>
      <w:r w:rsidRPr="00F166B3">
        <w:rPr>
          <w:szCs w:val="24"/>
        </w:rPr>
        <w:t>).</w:t>
      </w:r>
    </w:p>
    <w:p w14:paraId="0C20E8D6" w14:textId="42DE3657" w:rsidR="002C4130" w:rsidRDefault="004F2972" w:rsidP="002C4130">
      <w:pPr>
        <w:pStyle w:val="Odstavecseseznamem"/>
        <w:numPr>
          <w:ilvl w:val="1"/>
          <w:numId w:val="2"/>
        </w:numPr>
        <w:spacing w:before="240"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4F2972">
        <w:rPr>
          <w:rFonts w:ascii="Times New Roman" w:hAnsi="Times New Roman"/>
          <w:i/>
          <w:iCs/>
          <w:sz w:val="24"/>
          <w:szCs w:val="24"/>
        </w:rPr>
        <w:t>Možnost prolínání dob</w:t>
      </w:r>
      <w:r>
        <w:rPr>
          <w:rFonts w:ascii="Times New Roman" w:hAnsi="Times New Roman"/>
          <w:i/>
          <w:iCs/>
          <w:sz w:val="24"/>
          <w:szCs w:val="24"/>
        </w:rPr>
        <w:t xml:space="preserve"> požadované praxe dle § 117 odst. 2 zákona o soudech </w:t>
      </w:r>
      <w:r w:rsidR="00B816A4">
        <w:rPr>
          <w:rFonts w:ascii="Times New Roman" w:hAnsi="Times New Roman"/>
          <w:i/>
          <w:iCs/>
          <w:sz w:val="24"/>
          <w:szCs w:val="24"/>
        </w:rPr>
        <w:br/>
      </w:r>
      <w:r>
        <w:rPr>
          <w:rFonts w:ascii="Times New Roman" w:hAnsi="Times New Roman"/>
          <w:i/>
          <w:iCs/>
          <w:sz w:val="24"/>
          <w:szCs w:val="24"/>
        </w:rPr>
        <w:t>a soudcích</w:t>
      </w:r>
    </w:p>
    <w:p w14:paraId="185A9790" w14:textId="1586AD2F" w:rsidR="004F2972" w:rsidRPr="004F2972" w:rsidRDefault="004F2972" w:rsidP="004F2972">
      <w:pPr>
        <w:spacing w:before="240" w:line="276" w:lineRule="auto"/>
        <w:ind w:left="142"/>
        <w:jc w:val="both"/>
        <w:rPr>
          <w:szCs w:val="24"/>
        </w:rPr>
      </w:pPr>
      <w:r>
        <w:rPr>
          <w:szCs w:val="24"/>
        </w:rPr>
        <w:t xml:space="preserve">Ustanovení § 117 odst. 2 zákona o soudech a soudcích nelze interpretovat tak, že jednotlivé druhy právní praxe uvedené pod písmeny a) – c) se navzájem sčítají, resp. prolínají. Jedná se o výčet druhů praxe se vzájemným vylučovacím (nikoliv kumulativním poměrem). Opačný výklad daného ustanovení, tedy že jednotlivé druhy praxe lze navzájem libovolně sčítat, by </w:t>
      </w:r>
      <w:r w:rsidR="001115F3">
        <w:rPr>
          <w:szCs w:val="24"/>
        </w:rPr>
        <w:t>ve svém důsledku vedl k</w:t>
      </w:r>
      <w:r w:rsidR="003B0846">
        <w:rPr>
          <w:szCs w:val="24"/>
        </w:rPr>
        <w:t xml:space="preserve"> pravidelnému obcházení povinnosti absolvovat odbornou přípravu </w:t>
      </w:r>
      <w:r w:rsidR="003B0846">
        <w:rPr>
          <w:szCs w:val="24"/>
        </w:rPr>
        <w:lastRenderedPageBreak/>
        <w:t>justičního kandidáta a deformaci významu předmětného ustanovení, jakožto výjimečného prostředku k zajištění tzv. bočního vstupu</w:t>
      </w:r>
      <w:r>
        <w:rPr>
          <w:szCs w:val="24"/>
        </w:rPr>
        <w:t xml:space="preserve"> </w:t>
      </w:r>
      <w:r w:rsidR="003B0846">
        <w:rPr>
          <w:szCs w:val="24"/>
        </w:rPr>
        <w:t>do justice.</w:t>
      </w:r>
      <w:r w:rsidR="00A854E7">
        <w:rPr>
          <w:szCs w:val="24"/>
        </w:rPr>
        <w:t xml:space="preserve"> Výjimky by se měly vykládat restriktivně.</w:t>
      </w:r>
      <w:r w:rsidR="003B0846">
        <w:rPr>
          <w:szCs w:val="24"/>
        </w:rPr>
        <w:t xml:space="preserve"> Pokud by zákonodárce počítal se vzájemným prolínáním jednotlivých praxí, musel by zároveň stanovit jednotlivé poměry zápočtu, do jaké praxe lze započítávat apod., což se však v daném případě nestalo. Na jednotlivé druhy praxe a jejich délky je tak třeba nahlížet in</w:t>
      </w:r>
      <w:r w:rsidR="00BA37BF">
        <w:rPr>
          <w:szCs w:val="24"/>
        </w:rPr>
        <w:t>d</w:t>
      </w:r>
      <w:r w:rsidR="003B0846">
        <w:rPr>
          <w:szCs w:val="24"/>
        </w:rPr>
        <w:t>ividuálně.</w:t>
      </w:r>
    </w:p>
    <w:p w14:paraId="34311E9C" w14:textId="5461E19F" w:rsidR="00D91C0E" w:rsidRDefault="00D91C0E" w:rsidP="00F166B3">
      <w:pPr>
        <w:pStyle w:val="Odstavecseseznamem"/>
        <w:numPr>
          <w:ilvl w:val="0"/>
          <w:numId w:val="1"/>
        </w:numPr>
        <w:spacing w:before="240" w:line="276" w:lineRule="auto"/>
        <w:ind w:left="142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Opravné prostředky proti</w:t>
      </w:r>
      <w:r w:rsidR="00110358">
        <w:rPr>
          <w:rFonts w:ascii="Times New Roman" w:hAnsi="Times New Roman"/>
          <w:b/>
          <w:bCs/>
          <w:i/>
          <w:iCs/>
          <w:sz w:val="24"/>
          <w:szCs w:val="24"/>
        </w:rPr>
        <w:t xml:space="preserve"> vyřazení z výběrového řízení</w:t>
      </w:r>
    </w:p>
    <w:p w14:paraId="4A1967E7" w14:textId="4227594F" w:rsidR="00110358" w:rsidRDefault="00110358" w:rsidP="00110358">
      <w:pPr>
        <w:pStyle w:val="Odstavecseseznamem"/>
        <w:spacing w:before="240" w:line="276" w:lineRule="auto"/>
        <w:ind w:left="142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A9A0323" w14:textId="6619D753" w:rsidR="00110358" w:rsidRPr="00110358" w:rsidRDefault="00110358" w:rsidP="00110358">
      <w:pPr>
        <w:pStyle w:val="Odstavecseseznamem"/>
        <w:spacing w:before="240" w:line="276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Zákon o soudech a soudcích, ani </w:t>
      </w:r>
      <w:r w:rsidR="00382D41">
        <w:rPr>
          <w:rFonts w:ascii="Times New Roman" w:hAnsi="Times New Roman"/>
          <w:sz w:val="24"/>
          <w:szCs w:val="24"/>
        </w:rPr>
        <w:t xml:space="preserve">vyhláška </w:t>
      </w:r>
      <w:r w:rsidRPr="00110358">
        <w:rPr>
          <w:rFonts w:ascii="Times New Roman" w:hAnsi="Times New Roman"/>
          <w:sz w:val="24"/>
          <w:szCs w:val="24"/>
        </w:rPr>
        <w:t>č. 516/2021 Sb.,</w:t>
      </w:r>
      <w:r w:rsidR="00382D41">
        <w:rPr>
          <w:rFonts w:ascii="Times New Roman" w:hAnsi="Times New Roman"/>
          <w:sz w:val="24"/>
          <w:szCs w:val="24"/>
        </w:rPr>
        <w:t xml:space="preserve"> neupravuje možnost podání jakýchkoliv opravných prostředků proti vyřazení z výběrového řízení, a to jak z důvodu neúplnosti přihlášky, tak z důvodu nesplnění kvalifikačních předpokladů. Oznámení </w:t>
      </w:r>
      <w:r w:rsidR="00B816A4">
        <w:rPr>
          <w:rFonts w:ascii="Times New Roman" w:hAnsi="Times New Roman"/>
          <w:sz w:val="24"/>
          <w:szCs w:val="24"/>
        </w:rPr>
        <w:br/>
      </w:r>
      <w:r w:rsidR="00382D41">
        <w:rPr>
          <w:rFonts w:ascii="Times New Roman" w:hAnsi="Times New Roman"/>
          <w:sz w:val="24"/>
          <w:szCs w:val="24"/>
        </w:rPr>
        <w:t xml:space="preserve">o vyřazení z výběrového řízení nelze považovat za rozhodnutí podle správního řádu, když </w:t>
      </w:r>
      <w:r w:rsidR="00874884">
        <w:rPr>
          <w:rFonts w:ascii="Times New Roman" w:hAnsi="Times New Roman"/>
          <w:sz w:val="24"/>
          <w:szCs w:val="24"/>
        </w:rPr>
        <w:t xml:space="preserve">zákon o soudech a soudcích explicitně stanoví, v jakých případech se ustanovení správního řádu přiměřeně aplikují (k tomu srov. § 73 odst. 2 zákona o soudech a soudcích, resp. usnesení Městského soudu v Praze ze dne 26. 1. 2018, č. j. </w:t>
      </w:r>
      <w:r w:rsidR="00874884" w:rsidRPr="00874884">
        <w:rPr>
          <w:rFonts w:ascii="Times New Roman" w:hAnsi="Times New Roman"/>
          <w:sz w:val="24"/>
          <w:szCs w:val="24"/>
        </w:rPr>
        <w:t>3Ad 28/</w:t>
      </w:r>
      <w:r w:rsidR="00B816A4" w:rsidRPr="00874884">
        <w:rPr>
          <w:rFonts w:ascii="Times New Roman" w:hAnsi="Times New Roman"/>
          <w:sz w:val="24"/>
          <w:szCs w:val="24"/>
        </w:rPr>
        <w:t>2017–18</w:t>
      </w:r>
      <w:r w:rsidR="00874884">
        <w:rPr>
          <w:rFonts w:ascii="Times New Roman" w:hAnsi="Times New Roman"/>
          <w:sz w:val="24"/>
          <w:szCs w:val="24"/>
        </w:rPr>
        <w:t xml:space="preserve">, ve spojení s rozsudkem Nejvyššího správního soudu ze dne 31. 7. 2019, č. j. </w:t>
      </w:r>
      <w:r w:rsidR="00874884" w:rsidRPr="00874884">
        <w:rPr>
          <w:rFonts w:ascii="Times New Roman" w:hAnsi="Times New Roman"/>
          <w:sz w:val="24"/>
          <w:szCs w:val="24"/>
        </w:rPr>
        <w:t>9 As 51/</w:t>
      </w:r>
      <w:r w:rsidR="00B816A4" w:rsidRPr="00874884">
        <w:rPr>
          <w:rFonts w:ascii="Times New Roman" w:hAnsi="Times New Roman"/>
          <w:sz w:val="24"/>
          <w:szCs w:val="24"/>
        </w:rPr>
        <w:t>2018–53</w:t>
      </w:r>
      <w:r w:rsidR="00874884">
        <w:rPr>
          <w:rFonts w:ascii="Times New Roman" w:hAnsi="Times New Roman"/>
          <w:sz w:val="24"/>
          <w:szCs w:val="24"/>
        </w:rPr>
        <w:t xml:space="preserve">). Ačkoliv vyhláška </w:t>
      </w:r>
      <w:r w:rsidR="00B816A4">
        <w:rPr>
          <w:rFonts w:ascii="Times New Roman" w:hAnsi="Times New Roman"/>
          <w:sz w:val="24"/>
          <w:szCs w:val="24"/>
        </w:rPr>
        <w:br/>
      </w:r>
      <w:r w:rsidR="00874884">
        <w:rPr>
          <w:rFonts w:ascii="Times New Roman" w:hAnsi="Times New Roman"/>
          <w:sz w:val="24"/>
          <w:szCs w:val="24"/>
        </w:rPr>
        <w:t>č. 516/2021 Sb.</w:t>
      </w:r>
      <w:r w:rsidR="000C5A77">
        <w:rPr>
          <w:rFonts w:ascii="Times New Roman" w:hAnsi="Times New Roman"/>
          <w:sz w:val="24"/>
          <w:szCs w:val="24"/>
        </w:rPr>
        <w:t>,</w:t>
      </w:r>
      <w:r w:rsidR="00874884">
        <w:rPr>
          <w:rFonts w:ascii="Times New Roman" w:hAnsi="Times New Roman"/>
          <w:sz w:val="24"/>
          <w:szCs w:val="24"/>
        </w:rPr>
        <w:t xml:space="preserve"> explicitně nestanoví postup vyřazení z výběrového řízení z důvodu nesplnění kvalifikačních předpokladů, z logiky věci je nutno postupovat dle § 26 </w:t>
      </w:r>
      <w:r w:rsidR="00E26388">
        <w:rPr>
          <w:rFonts w:ascii="Times New Roman" w:hAnsi="Times New Roman"/>
          <w:sz w:val="24"/>
          <w:szCs w:val="24"/>
        </w:rPr>
        <w:t xml:space="preserve">odst. </w:t>
      </w:r>
      <w:r w:rsidR="004F3CB8">
        <w:rPr>
          <w:rFonts w:ascii="Times New Roman" w:hAnsi="Times New Roman"/>
          <w:sz w:val="24"/>
          <w:szCs w:val="24"/>
        </w:rPr>
        <w:t xml:space="preserve">6 </w:t>
      </w:r>
      <w:r w:rsidR="00874884">
        <w:rPr>
          <w:rFonts w:ascii="Times New Roman" w:hAnsi="Times New Roman"/>
          <w:sz w:val="24"/>
          <w:szCs w:val="24"/>
        </w:rPr>
        <w:t xml:space="preserve">citované vyhlášky </w:t>
      </w:r>
      <w:r w:rsidR="00874884" w:rsidRPr="00874884">
        <w:rPr>
          <w:rFonts w:ascii="Times New Roman" w:hAnsi="Times New Roman"/>
          <w:i/>
          <w:iCs/>
          <w:sz w:val="24"/>
          <w:szCs w:val="24"/>
        </w:rPr>
        <w:t>per analogiam</w:t>
      </w:r>
      <w:r w:rsidR="00874884">
        <w:rPr>
          <w:rFonts w:ascii="Times New Roman" w:hAnsi="Times New Roman"/>
          <w:sz w:val="24"/>
          <w:szCs w:val="24"/>
        </w:rPr>
        <w:t>.</w:t>
      </w:r>
    </w:p>
    <w:p w14:paraId="507C0DB9" w14:textId="77777777" w:rsidR="00110358" w:rsidRDefault="00110358" w:rsidP="00110358">
      <w:pPr>
        <w:pStyle w:val="Odstavecseseznamem"/>
        <w:spacing w:before="240" w:line="276" w:lineRule="auto"/>
        <w:ind w:left="142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4265F93" w14:textId="25471D05" w:rsidR="004459B5" w:rsidRPr="0012041E" w:rsidRDefault="0012041E" w:rsidP="00F166B3">
      <w:pPr>
        <w:pStyle w:val="Odstavecseseznamem"/>
        <w:numPr>
          <w:ilvl w:val="0"/>
          <w:numId w:val="1"/>
        </w:numPr>
        <w:spacing w:before="240" w:line="276" w:lineRule="auto"/>
        <w:ind w:left="142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2041E">
        <w:rPr>
          <w:rFonts w:ascii="Times New Roman" w:hAnsi="Times New Roman"/>
          <w:b/>
          <w:bCs/>
          <w:i/>
          <w:iCs/>
          <w:sz w:val="24"/>
          <w:szCs w:val="24"/>
        </w:rPr>
        <w:t>Stanovení věkové hranice pro možnost účasti ve výběrovém řízení</w:t>
      </w:r>
    </w:p>
    <w:p w14:paraId="5B5D49F8" w14:textId="77777777" w:rsidR="00FD72F0" w:rsidRPr="00F166B3" w:rsidRDefault="00FD72F0" w:rsidP="00FD72F0">
      <w:pPr>
        <w:pStyle w:val="Odstavecseseznamem"/>
        <w:spacing w:before="240" w:line="276" w:lineRule="auto"/>
        <w:ind w:left="709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F2D4452" w14:textId="229DAFE0" w:rsidR="004459B5" w:rsidRPr="00F166B3" w:rsidRDefault="004459B5" w:rsidP="004459B5">
      <w:pPr>
        <w:pStyle w:val="Odstavecseseznamem"/>
        <w:spacing w:before="240" w:line="276" w:lineRule="auto"/>
        <w:ind w:left="142"/>
        <w:jc w:val="both"/>
        <w:rPr>
          <w:rFonts w:ascii="Times New Roman" w:hAnsi="Times New Roman"/>
          <w:i/>
          <w:iCs/>
          <w:sz w:val="24"/>
          <w:szCs w:val="24"/>
        </w:rPr>
      </w:pPr>
      <w:r w:rsidRPr="00F166B3">
        <w:rPr>
          <w:rFonts w:ascii="Times New Roman" w:hAnsi="Times New Roman"/>
          <w:sz w:val="24"/>
          <w:szCs w:val="24"/>
        </w:rPr>
        <w:t>Podmínka věku 30 let i v případě nového systému výběru budoucích soudců zůstává ve stejné podobě jako v době před nabytím účinnosti novely č. 218/2021 Sb., tedy v souladu s</w:t>
      </w:r>
      <w:r w:rsidR="002C4130">
        <w:rPr>
          <w:rFonts w:ascii="Times New Roman" w:hAnsi="Times New Roman"/>
          <w:sz w:val="24"/>
          <w:szCs w:val="24"/>
        </w:rPr>
        <w:t> </w:t>
      </w:r>
      <w:r w:rsidRPr="00F166B3">
        <w:rPr>
          <w:rFonts w:ascii="Times New Roman" w:hAnsi="Times New Roman"/>
          <w:sz w:val="24"/>
          <w:szCs w:val="24"/>
        </w:rPr>
        <w:t xml:space="preserve">§ 60 zákona o soudech a soudcích musí být věk 30 let uchazečem splněn k okamžiku ustanovení vybraného uchazeče za soudce. </w:t>
      </w:r>
      <w:r w:rsidR="00FD72F0" w:rsidRPr="00F166B3">
        <w:rPr>
          <w:rFonts w:ascii="Times New Roman" w:hAnsi="Times New Roman"/>
          <w:sz w:val="24"/>
          <w:szCs w:val="24"/>
        </w:rPr>
        <w:t>N</w:t>
      </w:r>
      <w:r w:rsidRPr="00F166B3">
        <w:rPr>
          <w:rFonts w:ascii="Times New Roman" w:hAnsi="Times New Roman"/>
          <w:sz w:val="24"/>
          <w:szCs w:val="24"/>
        </w:rPr>
        <w:t>ení</w:t>
      </w:r>
      <w:r w:rsidR="00FD72F0" w:rsidRPr="00F166B3">
        <w:rPr>
          <w:rFonts w:ascii="Times New Roman" w:hAnsi="Times New Roman"/>
          <w:sz w:val="24"/>
          <w:szCs w:val="24"/>
        </w:rPr>
        <w:t xml:space="preserve"> tedy</w:t>
      </w:r>
      <w:r w:rsidRPr="00F166B3">
        <w:rPr>
          <w:rFonts w:ascii="Times New Roman" w:hAnsi="Times New Roman"/>
          <w:sz w:val="24"/>
          <w:szCs w:val="24"/>
        </w:rPr>
        <w:t xml:space="preserve"> vyloučeno, aby se do výběrového řízení přihlásil </w:t>
      </w:r>
      <w:r w:rsidR="00B816A4">
        <w:rPr>
          <w:rFonts w:ascii="Times New Roman" w:hAnsi="Times New Roman"/>
          <w:sz w:val="24"/>
          <w:szCs w:val="24"/>
        </w:rPr>
        <w:br/>
      </w:r>
      <w:r w:rsidRPr="00F166B3">
        <w:rPr>
          <w:rFonts w:ascii="Times New Roman" w:hAnsi="Times New Roman"/>
          <w:sz w:val="24"/>
          <w:szCs w:val="24"/>
        </w:rPr>
        <w:t xml:space="preserve">i uchazeč, který ještě nesplňuje podmínku 30 let, pokud ji splní v okamžiku ustanovení za soudce. </w:t>
      </w:r>
    </w:p>
    <w:p w14:paraId="36A2E74A" w14:textId="77777777" w:rsidR="004459B5" w:rsidRPr="00F166B3" w:rsidRDefault="004459B5" w:rsidP="004459B5">
      <w:pPr>
        <w:pStyle w:val="Odstavecseseznamem"/>
        <w:spacing w:before="240" w:line="276" w:lineRule="auto"/>
        <w:ind w:left="142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C1E0BD3" w14:textId="6FF94525" w:rsidR="00BA6B8B" w:rsidRPr="00BA6B8B" w:rsidRDefault="00BA6B8B" w:rsidP="00BA6B8B">
      <w:pPr>
        <w:pStyle w:val="Odstavecseseznamem"/>
        <w:numPr>
          <w:ilvl w:val="0"/>
          <w:numId w:val="1"/>
        </w:numPr>
        <w:spacing w:before="240" w:line="276" w:lineRule="auto"/>
        <w:ind w:left="142" w:hanging="42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A6B8B">
        <w:rPr>
          <w:rFonts w:ascii="Times New Roman" w:hAnsi="Times New Roman"/>
          <w:b/>
          <w:bCs/>
          <w:i/>
          <w:iCs/>
          <w:sz w:val="24"/>
          <w:szCs w:val="24"/>
        </w:rPr>
        <w:t>Přehled požadovaných dokumentů a jejich forma:</w:t>
      </w:r>
    </w:p>
    <w:p w14:paraId="48DE8D0F" w14:textId="77777777" w:rsidR="00BA6B8B" w:rsidRPr="00BA6B8B" w:rsidRDefault="00BA6B8B" w:rsidP="00BA6B8B">
      <w:pPr>
        <w:pStyle w:val="Odstavecseseznamem"/>
        <w:spacing w:before="240" w:line="276" w:lineRule="auto"/>
        <w:ind w:left="142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B90E254" w14:textId="77777777" w:rsidR="00B816A4" w:rsidRPr="00B816A4" w:rsidRDefault="00B816A4" w:rsidP="00B816A4">
      <w:pPr>
        <w:pStyle w:val="Odstavecseseznamem"/>
        <w:widowControl w:val="0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B816A4">
        <w:rPr>
          <w:rFonts w:ascii="Times New Roman" w:hAnsi="Times New Roman"/>
          <w:sz w:val="24"/>
          <w:szCs w:val="24"/>
        </w:rPr>
        <w:t xml:space="preserve">Doklady o dosaženém vzdělání (VŠ diplom o ukončení Právnické fakulty, diplom </w:t>
      </w:r>
      <w:r w:rsidRPr="00B816A4">
        <w:rPr>
          <w:rFonts w:ascii="Times New Roman" w:hAnsi="Times New Roman"/>
          <w:sz w:val="24"/>
          <w:szCs w:val="24"/>
        </w:rPr>
        <w:br/>
        <w:t xml:space="preserve">o získání akademického titulu, dodatek k diplomu (popř. vysvědčení o SZZK) – </w:t>
      </w:r>
      <w:r w:rsidRPr="00B816A4">
        <w:rPr>
          <w:rFonts w:ascii="Times New Roman" w:hAnsi="Times New Roman"/>
          <w:i/>
          <w:sz w:val="24"/>
          <w:szCs w:val="24"/>
        </w:rPr>
        <w:t>ověřené kopie</w:t>
      </w:r>
    </w:p>
    <w:p w14:paraId="0047B6DE" w14:textId="77777777" w:rsidR="00B816A4" w:rsidRPr="00B816A4" w:rsidRDefault="00B816A4" w:rsidP="00B816A4">
      <w:pPr>
        <w:pStyle w:val="Odstavecseseznamem"/>
        <w:widowControl w:val="0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B816A4">
        <w:rPr>
          <w:rFonts w:ascii="Times New Roman" w:hAnsi="Times New Roman"/>
          <w:sz w:val="24"/>
          <w:szCs w:val="24"/>
        </w:rPr>
        <w:t xml:space="preserve">Výpis z evidence Rejstříku trestů ne starší než 3 měsíce - </w:t>
      </w:r>
      <w:proofErr w:type="gramStart"/>
      <w:r w:rsidRPr="00B816A4">
        <w:rPr>
          <w:rFonts w:ascii="Times New Roman" w:hAnsi="Times New Roman"/>
          <w:i/>
          <w:sz w:val="24"/>
          <w:szCs w:val="24"/>
        </w:rPr>
        <w:t>originál</w:t>
      </w:r>
      <w:proofErr w:type="gramEnd"/>
      <w:r w:rsidRPr="00B816A4">
        <w:rPr>
          <w:rFonts w:ascii="Times New Roman" w:hAnsi="Times New Roman"/>
          <w:i/>
          <w:sz w:val="24"/>
          <w:szCs w:val="24"/>
        </w:rPr>
        <w:t xml:space="preserve"> popř. ověřená kopie</w:t>
      </w:r>
    </w:p>
    <w:p w14:paraId="5A3F09FC" w14:textId="77777777" w:rsidR="00B816A4" w:rsidRPr="00B816A4" w:rsidRDefault="00B816A4" w:rsidP="00B816A4">
      <w:pPr>
        <w:pStyle w:val="Odstavecseseznamem"/>
        <w:widowControl w:val="0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B816A4">
        <w:rPr>
          <w:rFonts w:ascii="Times New Roman" w:hAnsi="Times New Roman"/>
          <w:sz w:val="24"/>
          <w:szCs w:val="24"/>
        </w:rPr>
        <w:t xml:space="preserve">Osvědčení o vykonání odborné justiční zkoušky nebo jiné profesní zkoušky podle § 60 odst. 5) ZSS - </w:t>
      </w:r>
      <w:proofErr w:type="gramStart"/>
      <w:r w:rsidRPr="00B816A4">
        <w:rPr>
          <w:rFonts w:ascii="Times New Roman" w:hAnsi="Times New Roman"/>
          <w:i/>
          <w:sz w:val="24"/>
          <w:szCs w:val="24"/>
        </w:rPr>
        <w:t>originál</w:t>
      </w:r>
      <w:proofErr w:type="gramEnd"/>
      <w:r w:rsidRPr="00B816A4">
        <w:rPr>
          <w:rFonts w:ascii="Times New Roman" w:hAnsi="Times New Roman"/>
          <w:i/>
          <w:sz w:val="24"/>
          <w:szCs w:val="24"/>
        </w:rPr>
        <w:t xml:space="preserve"> popř. ověřená kopie</w:t>
      </w:r>
    </w:p>
    <w:p w14:paraId="3F6EF040" w14:textId="77777777" w:rsidR="00B816A4" w:rsidRPr="00B816A4" w:rsidRDefault="00B816A4" w:rsidP="00B816A4">
      <w:pPr>
        <w:pStyle w:val="Odstavecseseznamem"/>
        <w:widowControl w:val="0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B816A4">
        <w:rPr>
          <w:rFonts w:ascii="Times New Roman" w:hAnsi="Times New Roman"/>
          <w:sz w:val="24"/>
          <w:szCs w:val="24"/>
        </w:rPr>
        <w:t>Lékařská zpráva o způsobilosti k výkonu funkce soudce ne starší než 3 měsíce</w:t>
      </w:r>
      <w:r w:rsidRPr="00B816A4">
        <w:rPr>
          <w:rStyle w:val="Bodytext2"/>
          <w:rFonts w:ascii="Times New Roman" w:hAnsi="Times New Roman"/>
          <w:sz w:val="24"/>
          <w:szCs w:val="24"/>
        </w:rPr>
        <w:t xml:space="preserve"> -</w:t>
      </w:r>
      <w:r w:rsidRPr="00B816A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816A4">
        <w:rPr>
          <w:rFonts w:ascii="Times New Roman" w:hAnsi="Times New Roman"/>
          <w:i/>
          <w:sz w:val="24"/>
          <w:szCs w:val="24"/>
        </w:rPr>
        <w:t>originál</w:t>
      </w:r>
      <w:proofErr w:type="gramEnd"/>
      <w:r w:rsidRPr="00B816A4">
        <w:rPr>
          <w:rFonts w:ascii="Times New Roman" w:hAnsi="Times New Roman"/>
          <w:i/>
          <w:sz w:val="24"/>
          <w:szCs w:val="24"/>
        </w:rPr>
        <w:t xml:space="preserve"> popř. ověřená kopie</w:t>
      </w:r>
    </w:p>
    <w:p w14:paraId="1E03981A" w14:textId="77777777" w:rsidR="00B816A4" w:rsidRPr="00B816A4" w:rsidRDefault="00B816A4" w:rsidP="00B816A4">
      <w:pPr>
        <w:pStyle w:val="Odstavecseseznamem"/>
        <w:widowControl w:val="0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B816A4">
        <w:rPr>
          <w:rFonts w:ascii="Times New Roman" w:hAnsi="Times New Roman"/>
          <w:sz w:val="24"/>
          <w:szCs w:val="24"/>
        </w:rPr>
        <w:t xml:space="preserve">Strukturovaný životopis s uvedením přesných časových období, oblastí a náplní právní praxe – </w:t>
      </w:r>
      <w:r w:rsidRPr="00B816A4">
        <w:rPr>
          <w:rFonts w:ascii="Times New Roman" w:hAnsi="Times New Roman"/>
          <w:i/>
          <w:sz w:val="24"/>
          <w:szCs w:val="24"/>
        </w:rPr>
        <w:t>vlastnoručně podepsaný originál</w:t>
      </w:r>
    </w:p>
    <w:p w14:paraId="0AEED08D" w14:textId="77777777" w:rsidR="00B816A4" w:rsidRPr="00B816A4" w:rsidRDefault="00B816A4" w:rsidP="00B816A4">
      <w:pPr>
        <w:pStyle w:val="Odstavecseseznamem"/>
        <w:widowControl w:val="0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B816A4">
        <w:rPr>
          <w:rFonts w:ascii="Times New Roman" w:hAnsi="Times New Roman"/>
          <w:sz w:val="24"/>
          <w:szCs w:val="24"/>
        </w:rPr>
        <w:t>Motivační dopis – vlastnoručně</w:t>
      </w:r>
      <w:r w:rsidRPr="00B816A4">
        <w:rPr>
          <w:rFonts w:ascii="Times New Roman" w:hAnsi="Times New Roman"/>
          <w:i/>
          <w:sz w:val="24"/>
          <w:szCs w:val="24"/>
        </w:rPr>
        <w:t xml:space="preserve"> podepsaný originál</w:t>
      </w:r>
    </w:p>
    <w:p w14:paraId="06C3600F" w14:textId="77777777" w:rsidR="00B816A4" w:rsidRPr="00B816A4" w:rsidRDefault="00B816A4" w:rsidP="00B816A4">
      <w:pPr>
        <w:pStyle w:val="Odstavecseseznamem"/>
        <w:widowControl w:val="0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B816A4">
        <w:rPr>
          <w:rFonts w:ascii="Times New Roman" w:hAnsi="Times New Roman"/>
          <w:sz w:val="24"/>
          <w:szCs w:val="24"/>
        </w:rPr>
        <w:t xml:space="preserve">Čestné prohlášení uchazeče o splnění předpokladů pro výkon funkce soudce podle § 60 </w:t>
      </w:r>
      <w:r w:rsidRPr="00B816A4">
        <w:rPr>
          <w:rFonts w:ascii="Times New Roman" w:hAnsi="Times New Roman"/>
          <w:sz w:val="24"/>
          <w:szCs w:val="24"/>
        </w:rPr>
        <w:lastRenderedPageBreak/>
        <w:t>zákona o soudech a soudcích a podmínek podle § 117 zákona o soudech a soudcích dle formalizovaných příloh č. 2 a 3 vč. požadovaných dokumentů – vlastnoručně</w:t>
      </w:r>
      <w:r w:rsidRPr="00B816A4">
        <w:rPr>
          <w:rFonts w:ascii="Times New Roman" w:hAnsi="Times New Roman"/>
          <w:i/>
          <w:sz w:val="24"/>
          <w:szCs w:val="24"/>
        </w:rPr>
        <w:t xml:space="preserve"> podepsaný originál</w:t>
      </w:r>
    </w:p>
    <w:p w14:paraId="1048C0B8" w14:textId="77777777" w:rsidR="00B816A4" w:rsidRPr="00B816A4" w:rsidRDefault="00B816A4" w:rsidP="00B816A4">
      <w:pPr>
        <w:pStyle w:val="Odstavecseseznamem"/>
        <w:widowControl w:val="0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B816A4">
        <w:rPr>
          <w:rStyle w:val="Bodytext2"/>
          <w:rFonts w:ascii="Times New Roman" w:hAnsi="Times New Roman"/>
          <w:sz w:val="24"/>
          <w:szCs w:val="24"/>
        </w:rPr>
        <w:t>Čestné prohlášení k § 26 odst. 5 písm. i) a j) vyhlášky č. 516/2021 Sb.</w:t>
      </w:r>
      <w:r w:rsidRPr="00B816A4">
        <w:rPr>
          <w:rFonts w:ascii="Times New Roman" w:hAnsi="Times New Roman"/>
          <w:sz w:val="24"/>
          <w:szCs w:val="24"/>
        </w:rPr>
        <w:t xml:space="preserve"> dle formalizované přílohy č. 5 – vlastnoručně</w:t>
      </w:r>
      <w:r w:rsidRPr="00B816A4">
        <w:rPr>
          <w:rFonts w:ascii="Times New Roman" w:hAnsi="Times New Roman"/>
          <w:i/>
          <w:sz w:val="24"/>
          <w:szCs w:val="24"/>
        </w:rPr>
        <w:t xml:space="preserve"> podepsaný originál</w:t>
      </w:r>
    </w:p>
    <w:p w14:paraId="52161F32" w14:textId="77777777" w:rsidR="00B816A4" w:rsidRPr="00B816A4" w:rsidRDefault="00B816A4" w:rsidP="00B816A4">
      <w:pPr>
        <w:pStyle w:val="Odstavecseseznamem"/>
        <w:widowControl w:val="0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B816A4">
        <w:rPr>
          <w:rFonts w:ascii="Times New Roman" w:hAnsi="Times New Roman"/>
          <w:sz w:val="24"/>
          <w:szCs w:val="24"/>
        </w:rPr>
        <w:t>Informace o zpracování osobních údajů</w:t>
      </w:r>
      <w:r w:rsidRPr="00B816A4">
        <w:rPr>
          <w:rStyle w:val="Bodytext2"/>
          <w:rFonts w:ascii="Times New Roman" w:hAnsi="Times New Roman"/>
          <w:sz w:val="24"/>
          <w:szCs w:val="24"/>
        </w:rPr>
        <w:t xml:space="preserve"> – vlastnoručně</w:t>
      </w:r>
      <w:r w:rsidRPr="00B816A4">
        <w:rPr>
          <w:rFonts w:ascii="Times New Roman" w:hAnsi="Times New Roman"/>
          <w:i/>
          <w:sz w:val="24"/>
          <w:szCs w:val="24"/>
        </w:rPr>
        <w:t xml:space="preserve"> podepsaný originál</w:t>
      </w:r>
    </w:p>
    <w:p w14:paraId="35B79E87" w14:textId="418C26DE" w:rsidR="00B816A4" w:rsidRPr="00B816A4" w:rsidRDefault="00B816A4" w:rsidP="00B816A4">
      <w:pPr>
        <w:pStyle w:val="Odstavecseseznamem"/>
        <w:widowControl w:val="0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B816A4">
        <w:rPr>
          <w:rFonts w:ascii="Times New Roman" w:hAnsi="Times New Roman"/>
          <w:sz w:val="24"/>
          <w:szCs w:val="24"/>
        </w:rPr>
        <w:t xml:space="preserve">Hodnocení justičního kandidáta, absolvoval-li uchazeč praxi justičního kandidáta, nebo hodnocení dosavadní praxe uchazeče, neabsolvoval-li praxi justičního kandidáta (veškeré doklady o předchozí pracovní činnosti po ukončení </w:t>
      </w:r>
      <w:r w:rsidR="001B767A">
        <w:rPr>
          <w:rFonts w:ascii="Times New Roman" w:hAnsi="Times New Roman"/>
          <w:sz w:val="24"/>
          <w:szCs w:val="24"/>
        </w:rPr>
        <w:t>p</w:t>
      </w:r>
      <w:r w:rsidRPr="00B816A4">
        <w:rPr>
          <w:rFonts w:ascii="Times New Roman" w:hAnsi="Times New Roman"/>
          <w:sz w:val="24"/>
          <w:szCs w:val="24"/>
        </w:rPr>
        <w:t xml:space="preserve">rávnické fakulty, zápočtové listy, potvrzení o zaměstnání, pracovní smlouvy, pracovní náplně, živnostenské listy, pracovní hodnocení – </w:t>
      </w:r>
      <w:r w:rsidRPr="00B816A4">
        <w:rPr>
          <w:rFonts w:ascii="Times New Roman" w:hAnsi="Times New Roman"/>
          <w:i/>
          <w:sz w:val="24"/>
          <w:szCs w:val="24"/>
        </w:rPr>
        <w:t>prostá kopie;</w:t>
      </w:r>
      <w:r w:rsidRPr="00B816A4">
        <w:rPr>
          <w:rFonts w:ascii="Times New Roman" w:hAnsi="Times New Roman"/>
          <w:sz w:val="24"/>
          <w:szCs w:val="24"/>
        </w:rPr>
        <w:t xml:space="preserve"> </w:t>
      </w:r>
    </w:p>
    <w:p w14:paraId="604960F5" w14:textId="77777777" w:rsidR="00B816A4" w:rsidRPr="00B816A4" w:rsidRDefault="00B816A4" w:rsidP="00B816A4">
      <w:pPr>
        <w:pStyle w:val="Odstavecseseznamem"/>
        <w:widowControl w:val="0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B816A4">
        <w:rPr>
          <w:rFonts w:ascii="Times New Roman" w:hAnsi="Times New Roman"/>
          <w:sz w:val="24"/>
          <w:szCs w:val="24"/>
        </w:rPr>
        <w:t xml:space="preserve">Výpis z ČAK nebo jiné stavovské organizace – </w:t>
      </w:r>
      <w:r w:rsidRPr="00B816A4">
        <w:rPr>
          <w:rFonts w:ascii="Times New Roman" w:hAnsi="Times New Roman"/>
          <w:i/>
          <w:sz w:val="24"/>
          <w:szCs w:val="24"/>
        </w:rPr>
        <w:t>originál nebo ověřená kopie,</w:t>
      </w:r>
    </w:p>
    <w:p w14:paraId="7A196E84" w14:textId="77777777" w:rsidR="00B816A4" w:rsidRPr="00B816A4" w:rsidRDefault="00B816A4" w:rsidP="00B816A4">
      <w:pPr>
        <w:pStyle w:val="Odstavecseseznamem"/>
        <w:widowControl w:val="0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B816A4">
        <w:rPr>
          <w:rFonts w:ascii="Times New Roman" w:hAnsi="Times New Roman"/>
          <w:sz w:val="24"/>
          <w:szCs w:val="24"/>
        </w:rPr>
        <w:t xml:space="preserve">Přihláška do výběrového řízení – </w:t>
      </w:r>
      <w:r w:rsidRPr="00B816A4">
        <w:rPr>
          <w:rFonts w:ascii="Times New Roman" w:hAnsi="Times New Roman"/>
          <w:i/>
          <w:iCs/>
          <w:sz w:val="24"/>
          <w:szCs w:val="24"/>
        </w:rPr>
        <w:t>originál</w:t>
      </w:r>
    </w:p>
    <w:p w14:paraId="3CB1C426" w14:textId="77777777" w:rsidR="00B816A4" w:rsidRPr="00B816A4" w:rsidRDefault="00B816A4" w:rsidP="00B816A4">
      <w:pPr>
        <w:pStyle w:val="Odstavecseseznamem"/>
        <w:widowControl w:val="0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B816A4">
        <w:rPr>
          <w:rFonts w:ascii="Times New Roman" w:hAnsi="Times New Roman"/>
          <w:sz w:val="24"/>
          <w:szCs w:val="24"/>
        </w:rPr>
        <w:t xml:space="preserve">Čestné prohlášení podle § </w:t>
      </w:r>
      <w:smartTag w:uri="urn:schemas-microsoft-com:office:smarttags" w:element="metricconverter">
        <w:smartTagPr>
          <w:attr w:name="ProductID" w:val="4 a"/>
        </w:smartTagPr>
        <w:r w:rsidRPr="00B816A4">
          <w:rPr>
            <w:rFonts w:ascii="Times New Roman" w:hAnsi="Times New Roman"/>
            <w:sz w:val="24"/>
            <w:szCs w:val="24"/>
          </w:rPr>
          <w:t>4 a</w:t>
        </w:r>
      </w:smartTag>
      <w:r w:rsidRPr="00B816A4">
        <w:rPr>
          <w:rFonts w:ascii="Times New Roman" w:hAnsi="Times New Roman"/>
          <w:sz w:val="24"/>
          <w:szCs w:val="24"/>
        </w:rPr>
        <w:t xml:space="preserve"> § 2, odst.1. písm. d) - h) zákona č. 451/1991 Sb. (pro narozené do 1. 12. 1971) – </w:t>
      </w:r>
      <w:r w:rsidRPr="00B816A4">
        <w:rPr>
          <w:rFonts w:ascii="Times New Roman" w:hAnsi="Times New Roman"/>
          <w:i/>
          <w:sz w:val="24"/>
          <w:szCs w:val="24"/>
        </w:rPr>
        <w:t>originál</w:t>
      </w:r>
    </w:p>
    <w:p w14:paraId="0ABECBEF" w14:textId="77777777" w:rsidR="00B816A4" w:rsidRPr="00B816A4" w:rsidRDefault="00B816A4" w:rsidP="00B816A4">
      <w:pPr>
        <w:pStyle w:val="Odstavecseseznamem"/>
        <w:widowControl w:val="0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B816A4">
        <w:rPr>
          <w:rFonts w:ascii="Times New Roman" w:hAnsi="Times New Roman"/>
          <w:sz w:val="24"/>
          <w:szCs w:val="24"/>
        </w:rPr>
        <w:t xml:space="preserve">Lustrační osvědčení (pro narozené do 1. 12. 1971) – </w:t>
      </w:r>
      <w:r w:rsidRPr="00B816A4">
        <w:rPr>
          <w:rFonts w:ascii="Times New Roman" w:hAnsi="Times New Roman"/>
          <w:i/>
          <w:sz w:val="24"/>
          <w:szCs w:val="24"/>
        </w:rPr>
        <w:t>ověřená kopie</w:t>
      </w:r>
    </w:p>
    <w:p w14:paraId="54A25967" w14:textId="77777777" w:rsidR="00B816A4" w:rsidRPr="00B816A4" w:rsidRDefault="00B816A4" w:rsidP="00B816A4">
      <w:pPr>
        <w:pStyle w:val="Odstavecseseznamem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B816A4">
        <w:rPr>
          <w:rFonts w:ascii="Times New Roman" w:hAnsi="Times New Roman"/>
          <w:sz w:val="24"/>
          <w:szCs w:val="24"/>
        </w:rPr>
        <w:t xml:space="preserve">Závěrečné hodnocení justičního kandidáta (v případě doložení odborné přípravy justičního kandidáta § 28 odst. 3 vyhlášky č. 516/2021 Sb.) – </w:t>
      </w:r>
      <w:r w:rsidRPr="00B816A4">
        <w:rPr>
          <w:rFonts w:ascii="Times New Roman" w:hAnsi="Times New Roman"/>
          <w:i/>
          <w:iCs/>
          <w:sz w:val="24"/>
          <w:szCs w:val="24"/>
        </w:rPr>
        <w:t xml:space="preserve">ověřená kopie </w:t>
      </w:r>
    </w:p>
    <w:p w14:paraId="23541FEC" w14:textId="1B790C98" w:rsidR="00B816A4" w:rsidRPr="001B767A" w:rsidRDefault="00B816A4" w:rsidP="00B816A4">
      <w:pPr>
        <w:pStyle w:val="Odstavecseseznamem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B816A4">
        <w:rPr>
          <w:rFonts w:ascii="Times New Roman" w:hAnsi="Times New Roman"/>
          <w:sz w:val="24"/>
          <w:szCs w:val="24"/>
        </w:rPr>
        <w:t xml:space="preserve">Kopie odhlášení/odstoupení z výběrového řízení, popř. kopie vyrozumění o vyřazení </w:t>
      </w:r>
      <w:r w:rsidRPr="00B816A4">
        <w:rPr>
          <w:rFonts w:ascii="Times New Roman" w:hAnsi="Times New Roman"/>
          <w:sz w:val="24"/>
          <w:szCs w:val="24"/>
        </w:rPr>
        <w:br/>
        <w:t>z výběrového řízení po písemné části.</w:t>
      </w:r>
    </w:p>
    <w:p w14:paraId="2640F8BA" w14:textId="6130F610" w:rsidR="00B816A4" w:rsidRDefault="00B816A4" w:rsidP="00B816A4">
      <w:pPr>
        <w:spacing w:before="240" w:line="276" w:lineRule="auto"/>
        <w:ind w:left="142"/>
        <w:jc w:val="both"/>
        <w:rPr>
          <w:szCs w:val="24"/>
        </w:rPr>
      </w:pPr>
      <w:r>
        <w:rPr>
          <w:szCs w:val="24"/>
        </w:rPr>
        <w:t>H</w:t>
      </w:r>
      <w:r w:rsidRPr="00631EA8">
        <w:rPr>
          <w:szCs w:val="24"/>
        </w:rPr>
        <w:t>odnocení dosavadní praxe uchazeče, neabsolvoval-li praxi justičního kandidáta</w:t>
      </w:r>
      <w:r>
        <w:rPr>
          <w:szCs w:val="24"/>
        </w:rPr>
        <w:t xml:space="preserve"> podle § 26 odst. </w:t>
      </w:r>
      <w:r w:rsidR="004F3CB8">
        <w:rPr>
          <w:szCs w:val="24"/>
        </w:rPr>
        <w:t>5</w:t>
      </w:r>
      <w:r>
        <w:rPr>
          <w:szCs w:val="24"/>
        </w:rPr>
        <w:t xml:space="preserve"> písm. </w:t>
      </w:r>
      <w:r w:rsidR="004F3CB8">
        <w:rPr>
          <w:szCs w:val="24"/>
        </w:rPr>
        <w:t>l</w:t>
      </w:r>
      <w:r>
        <w:rPr>
          <w:szCs w:val="24"/>
        </w:rPr>
        <w:t>) vyhlášky č. 516/2021 Sb., není třeba dokládat u praxí vykonávaných v režimu samostatné výdělečné činnosti, při níž není uchazeč nikomu podřízen (např. samostatní advokáti).</w:t>
      </w:r>
    </w:p>
    <w:p w14:paraId="6D59696A" w14:textId="77777777" w:rsidR="00B816A4" w:rsidRDefault="00B816A4" w:rsidP="00B816A4">
      <w:pPr>
        <w:rPr>
          <w:szCs w:val="24"/>
        </w:rPr>
      </w:pPr>
    </w:p>
    <w:p w14:paraId="29D836C3" w14:textId="77777777" w:rsidR="00B816A4" w:rsidRDefault="00B816A4" w:rsidP="00227C00">
      <w:pPr>
        <w:spacing w:before="240" w:line="276" w:lineRule="auto"/>
        <w:ind w:left="142"/>
        <w:jc w:val="both"/>
        <w:rPr>
          <w:szCs w:val="24"/>
        </w:rPr>
      </w:pPr>
    </w:p>
    <w:sectPr w:rsidR="00B81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30F98"/>
    <w:multiLevelType w:val="hybridMultilevel"/>
    <w:tmpl w:val="F17A96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2E28EC"/>
    <w:multiLevelType w:val="hybridMultilevel"/>
    <w:tmpl w:val="FA5AEC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8233DE">
      <w:start w:val="1"/>
      <w:numFmt w:val="lowerLetter"/>
      <w:lvlText w:val="%2)"/>
      <w:lvlJc w:val="left"/>
      <w:pPr>
        <w:ind w:left="1980" w:hanging="90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D7426"/>
    <w:multiLevelType w:val="hybridMultilevel"/>
    <w:tmpl w:val="643A68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13AD3"/>
    <w:multiLevelType w:val="hybridMultilevel"/>
    <w:tmpl w:val="7736CDE2"/>
    <w:lvl w:ilvl="0" w:tplc="94BC8B9C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858934685">
    <w:abstractNumId w:val="1"/>
  </w:num>
  <w:num w:numId="2" w16cid:durableId="10677248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4303869">
    <w:abstractNumId w:val="3"/>
  </w:num>
  <w:num w:numId="4" w16cid:durableId="1108769998">
    <w:abstractNumId w:val="1"/>
  </w:num>
  <w:num w:numId="5" w16cid:durableId="339161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B5"/>
    <w:rsid w:val="000132B5"/>
    <w:rsid w:val="000B15D5"/>
    <w:rsid w:val="000C5A77"/>
    <w:rsid w:val="001033D1"/>
    <w:rsid w:val="00110358"/>
    <w:rsid w:val="001115F3"/>
    <w:rsid w:val="0012041E"/>
    <w:rsid w:val="001474FD"/>
    <w:rsid w:val="001B767A"/>
    <w:rsid w:val="00227C00"/>
    <w:rsid w:val="00252113"/>
    <w:rsid w:val="00281681"/>
    <w:rsid w:val="002A4FFF"/>
    <w:rsid w:val="002C4130"/>
    <w:rsid w:val="00382D41"/>
    <w:rsid w:val="003B0846"/>
    <w:rsid w:val="003F1BAD"/>
    <w:rsid w:val="0041216F"/>
    <w:rsid w:val="004459B5"/>
    <w:rsid w:val="0045242A"/>
    <w:rsid w:val="004B4926"/>
    <w:rsid w:val="004E5783"/>
    <w:rsid w:val="004F2972"/>
    <w:rsid w:val="004F3CB8"/>
    <w:rsid w:val="00526772"/>
    <w:rsid w:val="00562601"/>
    <w:rsid w:val="0057549E"/>
    <w:rsid w:val="0058023D"/>
    <w:rsid w:val="005B174A"/>
    <w:rsid w:val="005C19BF"/>
    <w:rsid w:val="00602501"/>
    <w:rsid w:val="00631EA8"/>
    <w:rsid w:val="006566B7"/>
    <w:rsid w:val="006B3E67"/>
    <w:rsid w:val="0072230D"/>
    <w:rsid w:val="007B34A2"/>
    <w:rsid w:val="007B4FE3"/>
    <w:rsid w:val="007B6E39"/>
    <w:rsid w:val="007D0303"/>
    <w:rsid w:val="00851885"/>
    <w:rsid w:val="00874884"/>
    <w:rsid w:val="008B3ECE"/>
    <w:rsid w:val="009151FE"/>
    <w:rsid w:val="00915A28"/>
    <w:rsid w:val="009D2E7F"/>
    <w:rsid w:val="009E31EB"/>
    <w:rsid w:val="009F6CDB"/>
    <w:rsid w:val="00A2087F"/>
    <w:rsid w:val="00A854E7"/>
    <w:rsid w:val="00B12ADC"/>
    <w:rsid w:val="00B15410"/>
    <w:rsid w:val="00B35A04"/>
    <w:rsid w:val="00B45A02"/>
    <w:rsid w:val="00B74C34"/>
    <w:rsid w:val="00B767E4"/>
    <w:rsid w:val="00B816A4"/>
    <w:rsid w:val="00BA37BF"/>
    <w:rsid w:val="00BA6B8B"/>
    <w:rsid w:val="00C05E4F"/>
    <w:rsid w:val="00C218E3"/>
    <w:rsid w:val="00C30FB9"/>
    <w:rsid w:val="00CA0C0D"/>
    <w:rsid w:val="00CA321F"/>
    <w:rsid w:val="00CA75CE"/>
    <w:rsid w:val="00D6183F"/>
    <w:rsid w:val="00D91C0E"/>
    <w:rsid w:val="00DA297F"/>
    <w:rsid w:val="00E26388"/>
    <w:rsid w:val="00E67DE7"/>
    <w:rsid w:val="00E87CD8"/>
    <w:rsid w:val="00EC5888"/>
    <w:rsid w:val="00F04C7E"/>
    <w:rsid w:val="00F166B3"/>
    <w:rsid w:val="00F24CDB"/>
    <w:rsid w:val="00F92B5E"/>
    <w:rsid w:val="00FD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0F21A2"/>
  <w15:chartTrackingRefBased/>
  <w15:docId w15:val="{97B9AF13-A575-4823-8305-D64D23A5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5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59B5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pelle">
    <w:name w:val="spelle"/>
    <w:basedOn w:val="Standardnpsmoodstavce"/>
    <w:rsid w:val="004459B5"/>
  </w:style>
  <w:style w:type="character" w:customStyle="1" w:styleId="grame">
    <w:name w:val="grame"/>
    <w:basedOn w:val="Standardnpsmoodstavce"/>
    <w:rsid w:val="004459B5"/>
  </w:style>
  <w:style w:type="character" w:styleId="Odkaznakoment">
    <w:name w:val="annotation reference"/>
    <w:basedOn w:val="Standardnpsmoodstavce"/>
    <w:uiPriority w:val="99"/>
    <w:semiHidden/>
    <w:unhideWhenUsed/>
    <w:rsid w:val="009E31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31E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31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31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31E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A0C0D"/>
    <w:rPr>
      <w:color w:val="0000FF"/>
      <w:u w:val="single"/>
    </w:rPr>
  </w:style>
  <w:style w:type="character" w:customStyle="1" w:styleId="Bodytext2">
    <w:name w:val="Body text (2)_"/>
    <w:link w:val="Bodytext21"/>
    <w:uiPriority w:val="99"/>
    <w:locked/>
    <w:rsid w:val="00B816A4"/>
  </w:style>
  <w:style w:type="paragraph" w:customStyle="1" w:styleId="Bodytext21">
    <w:name w:val="Body text (2)1"/>
    <w:basedOn w:val="Normln"/>
    <w:link w:val="Bodytext2"/>
    <w:uiPriority w:val="99"/>
    <w:rsid w:val="00B816A4"/>
    <w:pPr>
      <w:widowControl w:val="0"/>
      <w:spacing w:before="360" w:after="1200" w:line="240" w:lineRule="atLeast"/>
      <w:ind w:hanging="3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3">
    <w:name w:val="Body text (3)_"/>
    <w:link w:val="Bodytext31"/>
    <w:uiPriority w:val="99"/>
    <w:locked/>
    <w:rsid w:val="00B816A4"/>
    <w:rPr>
      <w:b/>
      <w:bCs/>
      <w:sz w:val="23"/>
      <w:szCs w:val="23"/>
    </w:rPr>
  </w:style>
  <w:style w:type="paragraph" w:customStyle="1" w:styleId="Bodytext31">
    <w:name w:val="Body text (3)1"/>
    <w:basedOn w:val="Normln"/>
    <w:link w:val="Bodytext3"/>
    <w:uiPriority w:val="99"/>
    <w:rsid w:val="00B816A4"/>
    <w:pPr>
      <w:widowControl w:val="0"/>
      <w:spacing w:after="540" w:line="240" w:lineRule="atLeast"/>
      <w:ind w:hanging="380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ZkladntextChar1">
    <w:name w:val="Základní text Char1"/>
    <w:uiPriority w:val="99"/>
    <w:locked/>
    <w:rsid w:val="00B816A4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3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85550-FAB6-44E0-9C92-99BFBE0D7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1537</Words>
  <Characters>9070</Characters>
  <Application>Microsoft Office Word</Application>
  <DocSecurity>4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Adámek Radomír Mgr.</dc:creator>
  <cp:keywords/>
  <dc:description/>
  <cp:lastModifiedBy>Adámek Radomír Mgr.</cp:lastModifiedBy>
  <cp:revision>2</cp:revision>
  <cp:lastPrinted>2022-05-06T11:24:00Z</cp:lastPrinted>
  <dcterms:created xsi:type="dcterms:W3CDTF">2024-02-21T14:37:00Z</dcterms:created>
  <dcterms:modified xsi:type="dcterms:W3CDTF">2024-02-21T14:37:00Z</dcterms:modified>
</cp:coreProperties>
</file>