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:rsidR="00A77B3E"/>
    <w:p w:rsidR="00A77B3E">
      <w:pPr>
        <w:pStyle w:val="1"/>
      </w:pPr>
    </w:p>
    <w:p w:rsidR="00A77B3E">
      <w:pPr>
        <w:pStyle w:val="2"/>
      </w:pPr>
      <w:r>
        <w:t>I.</w:t>
      </w:r>
    </w:p>
    <w:p w:rsidR="00A77B3E">
      <w:pPr>
        <w:pStyle w:val="1"/>
      </w:pPr>
    </w:p>
    <w:p w:rsidR="00A77B3E">
      <w:pPr>
        <w:pStyle w:val="3"/>
      </w:pPr>
      <w:r>
        <w:t>Důvodová zpráva</w:t>
      </w:r>
    </w:p>
    <w:p w:rsidR="00A77B3E">
      <w:pPr>
        <w:pStyle w:val="4"/>
      </w:pPr>
      <w:r>
        <w:t>Návrh nařízení vlády, kterým se mění nařízení vlády č. 467/2009 Sb., kterým se pro účely trestního zákoníku stanoví, co se považuje za jedy a jaké je množství větší než malé u omamných látek, psychotropních látek, přípravků je obsahujících a jedů</w:t>
      </w:r>
    </w:p>
    <w:p w:rsidR="00A77B3E">
      <w:pPr>
        <w:pStyle w:val="1"/>
      </w:pPr>
    </w:p>
    <w:p w:rsidR="00A77B3E">
      <w:pPr>
        <w:pStyle w:val="5"/>
      </w:pPr>
      <w:r>
        <w:t>I. Obecná část</w:t>
      </w:r>
    </w:p>
    <w:p w:rsidR="00A77B3E">
      <w:pPr>
        <w:pStyle w:val="6"/>
      </w:pPr>
      <w:r>
        <w:t>1.</w:t>
      </w:r>
      <w:r>
        <w:t>   Popis obsahu návrhu právního předpisu s uvedením důvodů, které k jeho předložení vedou, a shrnutí základních zásad a nejdůležitějších změn, které oproti stávající právní úpravě zavádí.</w:t>
      </w:r>
    </w:p>
    <w:p w:rsidR="00A77B3E">
      <w:pPr>
        <w:pStyle w:val="7"/>
      </w:pPr>
      <w:r>
        <w:t>Rtuť (včetně směsí a sloučenin rtuti) je zařazena do seznamu obsaženého v nařízení vlády č. 467/2009 Sb. a je tak dnes považována pro účely trestního zákoníku za jed. Kriminalizace nelegálního nakládání se rtutí podle současné české trestněprávní úpravy však neodpovídá požadavkům evropských předpisů, a proto se v aktuálně projednávaném návrhu zákona, kterým se mění zákon č. 40/2009 Sb., trestní zákoník, ve znění pozdějších předpisů, a další související zákony (čj. OVA 1101/25, dále jen „novela trestního zákoníku“) pracuje se rtutí jako se samostatnou kategorií látek odlišnou od jedů a ve vztahu k ní dochází ke změně příslušných skutkových podstat. Z tohoto důvodu je třeba přistoupit k formální úpravě nařízení vlády č. 467/2009 Sb., z něhož bude zapotřebí rtuť (a její směsi a sloučeniny) vypustit.</w:t>
      </w:r>
    </w:p>
    <w:p w:rsidR="00A77B3E">
      <w:pPr>
        <w:pStyle w:val="6"/>
      </w:pPr>
      <w:r>
        <w:t>2.</w:t>
      </w:r>
      <w:r>
        <w:t>   Zhodnocení platného právního stavu</w:t>
      </w:r>
    </w:p>
    <w:p w:rsidR="00A77B3E">
      <w:pPr>
        <w:pStyle w:val="7"/>
      </w:pPr>
      <w:r>
        <w:t>Nařízení vlády č. 467/2009 Sb. stanoví, že za jed ve smyslu § 283, 284 a 286 tr. zák. se považuje (mimo jiné) chlorid rtuťnatý, rtuť, anorganické sloučeniny rtuti (s výjimkou sirníku rtuťnatého) a organické sloučeniny rtuti. Vzhledem k požadavku na kriminalizaci nelegálního nakládání se rtutí, jejími směsmi, sloučeninami nebo výrobky s přidanou rtutí, který je vyjádřen v čl. 3 odst. 2 písm. d) směrnice Evropského parlamentu a Rady (EU) 2024/1203 ze dne 11. dubna 2024 o trestněprávní ochraně životního prostředí a o nahrazení směrnic 2008/99/ES a 2009/123/ES, je platná úprava kriminalizující nakládání s jedy (a tedy i se rtutí) obsažená v § 283 odst. 1 tr. zák. ve vztahu ke rtuti nedostatečná. Z tohoto důvodu se v novele trestního zákoníku navrhuje úprava, která pracuje se rtutí (včetně jejích směsí a sloučenin) jako se samostatnou kategorií látek odlišnou od jedů, na což navazuje předkládaný návrh nařízení vlády vypuštěním chloridu rtuťnatého, rtuti, anorganických sloučenin rtuti a organických sloučenin rtuti z přílohy č. 1 k nařízení vlády č. 467/2009 Sb.</w:t>
      </w:r>
    </w:p>
    <w:p w:rsidR="00A77B3E">
      <w:pPr>
        <w:pStyle w:val="6"/>
      </w:pPr>
      <w:r>
        <w:t>3.</w:t>
      </w:r>
      <w:r>
        <w:t>   Zhodnocení souladu návrhu právního předpisu s ústavním pořádkem a ostatními součástmi právního řádu České republiky.</w:t>
      </w:r>
    </w:p>
    <w:p w:rsidR="00A77B3E">
      <w:pPr>
        <w:pStyle w:val="8"/>
      </w:pPr>
      <w:r>
        <w:t>Navržená právní úprava je v souladu se zmocněním obsaženým v § 289 odst. 2 tr. zák., podle kterého vláda nařízením stanoví, co se ve smyslu § 283, 284 a 286 tr. zák. považuje za jedy. Navržená právní úprava není v rozporu ani s jinými součástmi právního řádu České republiky.</w:t>
      </w:r>
    </w:p>
    <w:p w:rsidR="00A77B3E">
      <w:pPr>
        <w:pStyle w:val="9"/>
      </w:pPr>
      <w:r>
        <w:t>Návrh nařízení vlády neupravuje problematiku, která by byla regulována Ústavou České republiky nebo jinými předpisy tvořícími ústavní pořádek České republiky. Návrh nařízení vlády se v obecné rovině dotýká čl. 39 Listiny základních práv a svobod, jenž uvádí, že pouze zákon stanoví, které jednání je trestným činem a jaký trest, jakož i jaké jiné újmy na právech nebo majetku, lze za jeho spáchání uložit, když novelizované nařízení vlády upřesňuje, které látky jsou pro účely trestního zákoníku považovány za jedy.</w:t>
      </w:r>
    </w:p>
    <w:p w:rsidR="00A77B3E">
      <w:pPr>
        <w:pStyle w:val="6"/>
      </w:pPr>
      <w:r>
        <w:t>4.</w:t>
      </w:r>
      <w:r>
        <w:t>   Zhodnocení souladu návrhu právního předpisu se závazky vyplývajícími pro Českou republiku z jejího členství v Evropské unii.</w:t>
      </w:r>
    </w:p>
    <w:p w:rsidR="00A77B3E">
      <w:pPr>
        <w:pStyle w:val="7"/>
      </w:pPr>
      <w:r>
        <w:t>Návrh nařízení vlády upravuje problematiku, jež není právem Evropské unie regulována. Nepřímo se ale dotýká problematiky, která je předmětem úpravy směrnice Evropského parlamentu a Rady (EU) 2024/1203 ze dne 11. dubna 2024 o trestněprávní ochraně životního prostředí a o nahrazení směrnic 2008/99/ES a 2009/123/ES (viz část „zhodnocení platného právního stavu“ této důvodové zprávy).</w:t>
      </w:r>
    </w:p>
    <w:p w:rsidR="00A77B3E">
      <w:pPr>
        <w:pStyle w:val="6"/>
      </w:pPr>
      <w:r>
        <w:t>5.</w:t>
      </w:r>
      <w:r>
        <w:t>   Zhodnocení souladu návrhu právního předpisu s mezinárodními smlouvami, jimiž je Česká republika vázána.</w:t>
      </w:r>
    </w:p>
    <w:p w:rsidR="00A77B3E">
      <w:pPr>
        <w:pStyle w:val="7"/>
      </w:pPr>
      <w:r>
        <w:t>Otázky řešené předloženým návrhem nařízení vlády nejsou regulovány mezinárodními smlouvami, jimiž je Česká republika vázána.</w:t>
      </w:r>
    </w:p>
    <w:p w:rsidR="00A77B3E">
      <w:pPr>
        <w:pStyle w:val="6"/>
      </w:pPr>
      <w:r>
        <w:t>6.</w:t>
      </w:r>
      <w:r>
        <w:t>   Předpokládaný hospodářský a finanční dopad návrhu právního předpisu na státní rozpočet a ostatní veřejné rozpočty.</w:t>
      </w:r>
    </w:p>
    <w:p w:rsidR="00A77B3E">
      <w:pPr>
        <w:pStyle w:val="7"/>
      </w:pPr>
      <w:r>
        <w:t>Nepředpokládá se finanční dopad na státní rozpočet ani na ostatní veřejné rozpočty.</w:t>
      </w:r>
    </w:p>
    <w:p w:rsidR="00A77B3E">
      <w:pPr>
        <w:pStyle w:val="6"/>
      </w:pPr>
      <w:r>
        <w:t>7.</w:t>
      </w:r>
      <w:r>
        <w:t>   Odůvodnění případného návrhu, aby Poslanecká sněmovna vyslovila s návrhem právního předpisu souhlas již v prvém čtení.</w:t>
      </w:r>
    </w:p>
    <w:p w:rsidR="00A77B3E">
      <w:pPr>
        <w:pStyle w:val="7"/>
      </w:pPr>
      <w:r>
        <w:t>Pro nařízení vlády zcela irelevantní část důvodové zprávy.</w:t>
      </w:r>
    </w:p>
    <w:p w:rsidR="00A77B3E">
      <w:pPr>
        <w:pStyle w:val="6"/>
      </w:pPr>
      <w:r>
        <w:t>8.</w:t>
      </w:r>
      <w:r>
        <w:t>   Odůvodnění případného návrhu, aby navrhovaná právní úprava nabyla účinnosti k jinému dni než k 1. lednu nebo k 1. červenci kalendářního roku.</w:t>
      </w:r>
    </w:p>
    <w:p w:rsidR="00A77B3E">
      <w:pPr>
        <w:pStyle w:val="7"/>
      </w:pPr>
      <w:r>
        <w:t>Je nezbytné, aby navrhovaná úprava nabyla účinnosti ke stejnému datu jako návrh novely trestního zákoníku, která počítá s tím, že pro účely trestního zákoníku rtuť není považována za jed.</w:t>
      </w:r>
    </w:p>
    <w:p w:rsidR="00A77B3E">
      <w:pPr>
        <w:pStyle w:val="6"/>
      </w:pPr>
      <w:r>
        <w:t>9.</w:t>
      </w:r>
      <w:r>
        <w:t>   Odůvodnění jednotlivých ustanovení návrhu právního předpisu; odůvodnění obsahuje vysvětlení jejich účelu a nezbytnosti, popis právních norem v nich obsažených a z nich vyplývajících práv a povinností.</w:t>
      </w:r>
    </w:p>
    <w:p w:rsidR="00A77B3E">
      <w:pPr>
        <w:pStyle w:val="7"/>
      </w:pPr>
      <w:r>
        <w:t>Viz část „zhodnocení platného právního stavu“ této důvodové zprávy.</w:t>
      </w:r>
    </w:p>
    <w:p w:rsidR="00A77B3E">
      <w:pPr>
        <w:pStyle w:val="6"/>
      </w:pPr>
      <w:r>
        <w:t>10.</w:t>
      </w:r>
      <w:r>
        <w:t>   Zhodnocení, zda návrh právního předpisu neobsahuje ustanovení, které by bylo svou povahou technickým předpisem podle právního předpisu upravujícího technické požadavky na výrobky, a informace o splnění oznamovací povinnosti podle tohoto právního předpisu.</w:t>
      </w:r>
    </w:p>
    <w:p w:rsidR="00A77B3E">
      <w:pPr>
        <w:pStyle w:val="7"/>
      </w:pPr>
      <w:r>
        <w:t>Návrh nařízení vlády neobsahuje ustanovení, které by bylo svou povahou technickým předpisem.</w:t>
      </w:r>
    </w:p>
    <w:p w:rsidR="00A77B3E">
      <w:pPr>
        <w:pStyle w:val="6"/>
      </w:pPr>
      <w:r>
        <w:t>11.</w:t>
      </w:r>
      <w:r>
        <w:t>   Informaci o konzultaci návrhu právního předpisu s Evropskou centrální bankou a výsledku konzultace, podléhá-li návrh právního předpisu takové konzultaci.</w:t>
      </w:r>
    </w:p>
    <w:p w:rsidR="00A77B3E">
      <w:pPr>
        <w:pStyle w:val="7"/>
      </w:pPr>
      <w:r>
        <w:t>Návrh nařízení vlády nepodléhá konzultaci s Evropskou centrální bankou.</w:t>
      </w:r>
    </w:p>
    <w:p w:rsidR="00A77B3E">
      <w:pPr>
        <w:pStyle w:val="6"/>
      </w:pPr>
      <w:r>
        <w:t>12.</w:t>
      </w:r>
      <w:r>
        <w:t>   Předpokládaný dopad návrhu právního předpisu, zejména.</w:t>
      </w:r>
    </w:p>
    <w:p w:rsidR="00A77B3E">
      <w:pPr>
        <w:pStyle w:val="10"/>
      </w:pPr>
      <w:r>
        <w:t>12.1</w:t>
      </w:r>
      <w:r>
        <w:t>   Dopad na práva a povinnosti fyzických a právnických osob.</w:t>
      </w:r>
    </w:p>
    <w:p w:rsidR="00A77B3E">
      <w:pPr>
        <w:pStyle w:val="7"/>
      </w:pPr>
      <w:r>
        <w:t>Návrh nařízení vlády není spojen s žádnými dopady na práva a povinnosti osob.</w:t>
      </w:r>
    </w:p>
    <w:p w:rsidR="00A77B3E">
      <w:pPr>
        <w:pStyle w:val="10"/>
      </w:pPr>
      <w:r>
        <w:t>12.2</w:t>
      </w:r>
      <w:r>
        <w:t>   Dopad na podnikatelské prostředí České republiky.</w:t>
      </w:r>
    </w:p>
    <w:p w:rsidR="00A77B3E">
      <w:pPr>
        <w:pStyle w:val="7"/>
      </w:pPr>
      <w:r>
        <w:t>Návrh nařízení vlády není spojen s žádnými dopady na podnikatelské prostředí.</w:t>
      </w:r>
    </w:p>
    <w:p w:rsidR="00A77B3E">
      <w:pPr>
        <w:pStyle w:val="10"/>
      </w:pPr>
      <w:r>
        <w:t>12.3</w:t>
      </w:r>
      <w:r>
        <w:t>   Zhodnocení, zda návrhem právního předpisu není zakládána veřejná podpora.</w:t>
      </w:r>
    </w:p>
    <w:p w:rsidR="00A77B3E">
      <w:pPr>
        <w:pStyle w:val="7"/>
      </w:pPr>
      <w:r>
        <w:t>Návrhem nařízení vlády není zakládána veřejná podpora.</w:t>
      </w:r>
    </w:p>
    <w:p w:rsidR="00A77B3E">
      <w:pPr>
        <w:pStyle w:val="10"/>
      </w:pPr>
      <w:r>
        <w:t>12.4</w:t>
      </w:r>
      <w:r>
        <w:t>   Sociální dopad, včetně dopadu na specifické skupiny obyvatel, především na osoby sociálně slabé, osoby se zdravotním postižením a národnostní menšiny.</w:t>
      </w:r>
    </w:p>
    <w:p w:rsidR="00A77B3E">
      <w:pPr>
        <w:pStyle w:val="7"/>
      </w:pPr>
      <w:r>
        <w:t>Návrh nařízení vlády není spojen s žádnými sociálními dopady.</w:t>
      </w:r>
    </w:p>
    <w:p w:rsidR="00A77B3E">
      <w:pPr>
        <w:pStyle w:val="10"/>
      </w:pPr>
      <w:r>
        <w:t>12.5</w:t>
      </w:r>
      <w:r>
        <w:t>   Dopad na rovnost mužů a žen, upravuje-li návrh právního předpisu postavení fyzických osob nebo se tohoto postavení dotýká.</w:t>
      </w:r>
    </w:p>
    <w:p w:rsidR="00A77B3E">
      <w:pPr>
        <w:pStyle w:val="7"/>
      </w:pPr>
      <w:r>
        <w:t>Návrh nařízení vlády se nedotýká postavení fyzických osob.</w:t>
      </w:r>
    </w:p>
    <w:p w:rsidR="00A77B3E">
      <w:pPr>
        <w:pStyle w:val="10"/>
      </w:pPr>
      <w:r>
        <w:t>12.6</w:t>
      </w:r>
      <w:r>
        <w:t>   Dopad na životní prostředí.</w:t>
      </w:r>
    </w:p>
    <w:p w:rsidR="00A77B3E">
      <w:pPr>
        <w:pStyle w:val="7"/>
      </w:pPr>
      <w:r>
        <w:t>Návrh nařízení vlády není spojen s žádnými dopady na životní prostředí.</w:t>
      </w:r>
    </w:p>
    <w:p w:rsidR="00A77B3E">
      <w:pPr>
        <w:pStyle w:val="10"/>
      </w:pPr>
      <w:r>
        <w:t>12.7</w:t>
      </w:r>
      <w:r>
        <w:t>   Dopad na ochranu práv dětí.</w:t>
      </w:r>
    </w:p>
    <w:p w:rsidR="00A77B3E">
      <w:pPr>
        <w:pStyle w:val="7"/>
      </w:pPr>
      <w:r>
        <w:t>Návrh nařízení vlády není spojen s žádnými dopady na ochranu práv dětí.</w:t>
      </w:r>
    </w:p>
    <w:p w:rsidR="00A77B3E">
      <w:pPr>
        <w:pStyle w:val="10"/>
      </w:pPr>
      <w:r>
        <w:t>12.8</w:t>
      </w:r>
      <w:r>
        <w:t>   Dopad na bezpečnost nebo obranu státu.</w:t>
      </w:r>
    </w:p>
    <w:p w:rsidR="00A77B3E">
      <w:pPr>
        <w:pStyle w:val="7"/>
      </w:pPr>
      <w:r>
        <w:t>Návrh nařízení vlády není spojen s žádnými dopady na bezpečnost nebo obranu státu.</w:t>
      </w:r>
    </w:p>
    <w:p w:rsidR="00A77B3E">
      <w:pPr>
        <w:pStyle w:val="10"/>
      </w:pPr>
      <w:r>
        <w:t>12.9</w:t>
      </w:r>
      <w:r>
        <w:t>   Dopad ve vztahu k ochraně soukromí a osobních údajů.</w:t>
      </w:r>
    </w:p>
    <w:p w:rsidR="00A77B3E">
      <w:pPr>
        <w:pStyle w:val="7"/>
      </w:pPr>
      <w:r>
        <w:t>Návrh nařízení vlády není spojen s žádnými dopady na ochranu soukromí a osobních údajů.</w:t>
      </w:r>
    </w:p>
    <w:p w:rsidR="00A77B3E">
      <w:pPr>
        <w:pStyle w:val="6"/>
      </w:pPr>
      <w:r>
        <w:t>13.</w:t>
      </w:r>
      <w:r>
        <w:t>   Zhodnocení korupčních rizik návrhu právního předpisu.</w:t>
      </w:r>
    </w:p>
    <w:p w:rsidR="00A77B3E">
      <w:pPr>
        <w:pStyle w:val="7"/>
      </w:pPr>
      <w:r>
        <w:t>Návrh nařízení vlády není spojen s žádnými korupčními riziky.</w:t>
      </w:r>
    </w:p>
    <w:p w:rsidR="00A77B3E">
      <w:pPr>
        <w:pStyle w:val="6"/>
      </w:pPr>
      <w:r>
        <w:t>14.</w:t>
      </w:r>
      <w:r>
        <w:t>   Odůvodnění případné navrhované odchylky v postupu projednání návrhu právního předpisu.</w:t>
      </w:r>
    </w:p>
    <w:p w:rsidR="00A77B3E">
      <w:pPr>
        <w:pStyle w:val="7"/>
      </w:pPr>
      <w:r>
        <w:t>Novela nařízení vlády č. 467/2009 Sb. není spojena s žádnými dopady do oblastí, které jsou uvedeny v bodu 3. 6 Obecných zásad pro hodnocení dopadů regulace (RIA), neboť jde pouze o formální, legislativně technickou reakci na změny navrhované na zákonné úrovni. Z tohoto důvodu byla dne 24. března 2026 rozhodnutím čj. 12462-2026-UVCR udělena místopředsedou Legislativní rady vlády výjimka z povinnosti zpracovat RIA.</w:t>
      </w:r>
    </w:p>
    <w:p w:rsidR="00A77B3E">
      <w:pPr>
        <w:pStyle w:val="6"/>
      </w:pPr>
      <w:r>
        <w:t>15.</w:t>
      </w:r>
      <w:r>
        <w:t>   Informace dle zákona o regulaci lobbování</w:t>
      </w:r>
    </w:p>
    <w:p w:rsidR="00A77B3E">
      <w:pPr>
        <w:pStyle w:val="7"/>
      </w:pPr>
      <w:r>
        <w:t>V souvislosti s přípravou návrhu nařízení vlády nedošlo k lobbování podle zákona o regulaci lobbování.</w:t>
      </w:r>
    </w:p>
    <w:p w:rsidR="00A77B3E">
      <w:pPr>
        <w:pStyle w:val="1"/>
      </w:pPr>
    </w:p>
    <w:p w:rsidR="00A77B3E">
      <w:pPr>
        <w:pStyle w:val="5"/>
      </w:pPr>
      <w:r>
        <w:t>II. Zvláštní část</w:t>
      </w:r>
    </w:p>
    <w:p w:rsidR="00A77B3E">
      <w:pPr>
        <w:pStyle w:val="8"/>
      </w:pPr>
      <w:r>
        <w:rPr>
          <w:b/>
          <w:bCs/>
        </w:rPr>
        <w:t>K čl. I</w:t>
      </w:r>
    </w:p>
    <w:p w:rsidR="00A77B3E">
      <w:pPr>
        <w:pStyle w:val="11"/>
      </w:pPr>
      <w:r>
        <w:t>V souladu s obecnou částí důvodové zprávy se vypouští chlorid rtuťnatý, rtuť a organické a anorganické sloučeniny rtuti ze seznamu jedů, který je obsažen v příloze č. 1 k nařízení vlády č. 467/2009 Sb.</w:t>
      </w:r>
    </w:p>
    <w:p w:rsidR="00A77B3E">
      <w:pPr>
        <w:pStyle w:val="11"/>
      </w:pPr>
      <w:r>
        <w:rPr>
          <w:b/>
          <w:bCs/>
        </w:rPr>
        <w:t>K čl. II (účinnost)</w:t>
      </w:r>
    </w:p>
    <w:p w:rsidR="00A77B3E">
      <w:pPr>
        <w:pStyle w:val="9"/>
      </w:pPr>
      <w:r>
        <w:t>Návrh nařízení vlády musí nabýt účinnosti ke stejnému dni jako návrh novely trestního zákoníku, která počítá s tím, že pro účely trestního zákoníku rtuť není považována za jed.</w:t>
      </w:r>
    </w:p>
    <w:p w:rsidR="00A77B3E">
      <w:pPr>
        <w:pStyle w:val="1"/>
      </w:pPr>
    </w:p>
    <w:sectPr>
      <w:headerReference w:type="even" r:id="rId4"/>
      <w:headerReference w:type="default" r:id="rId5"/>
      <w:headerReference w:type="first" r:id="rId6"/>
      <w:pgSz w:w="12240" w:h="15840"/>
      <w:pgMar w:top="1417" w:right="1417" w:bottom="1417" w:left="1417" w:header="400" w:footer="708" w:gutter="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1881"/>
      <w:gridCol w:w="2822"/>
      <w:gridCol w:w="2822"/>
      <w:gridCol w:w="1881"/>
    </w:tblGrid>
    <w:tr>
      <w:tblPrEx>
        <w:tblW w:w="5000" w:type="pct"/>
      </w:tblPrEx>
      <w:tc>
        <w:tcPr>
          <w:gridSpan w:val="4"/>
        </w:tcPr>
        <w:p>
          <w:pPr>
            <w:pStyle w:val="HlavickaZlutyText"/>
            <w:jc w:val="center"/>
          </w:pPr>
        </w:p>
      </w:tc>
    </w:tr>
    <w:tr>
      <w:tblPrEx>
        <w:tblW w:w="5000" w:type="pct"/>
        <w:tblBorders>
          <w:bottom w:val="single" w:sz="12" w:space="0" w:color="000000"/>
        </w:tblBorders>
      </w:tblPrEx>
      <w:tc>
        <w:tcPr>
          <w:tcW w:w="1000" w:type="pct"/>
        </w:tcPr>
        <w:p>
          <w:pPr>
            <w:pStyle w:val="Hlavicka"/>
            <w:jc w:val="left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0" w:type="pct"/>
          <w:gridSpan w:val="2"/>
        </w:tcPr>
        <w:p>
          <w:pPr>
            <w:pStyle w:val="Hlavicka"/>
            <w:jc w:val="center"/>
          </w:pPr>
          <w:r>
            <w:t>Důvodová zpráva</w:t>
          </w:r>
        </w:p>
      </w:tc>
      <w:tc>
        <w:tcPr>
          <w:tcW w:w="1000" w:type="pct"/>
        </w:tcPr>
        <w:p>
          <w:pPr>
            <w:pStyle w:val="Hlavicka"/>
            <w:jc w:val="right"/>
          </w:pPr>
        </w:p>
      </w:tc>
    </w:tr>
    <w:tr>
      <w:tblPrEx>
        <w:tblW w:w="5000" w:type="pct"/>
      </w:tblPrEx>
      <w:tc>
        <w:tcPr>
          <w:tcW w:w="2500" w:type="pct"/>
          <w:gridSpan w:val="2"/>
        </w:tcPr>
        <w:p>
          <w:pPr>
            <w:pStyle w:val="Hlavicka"/>
            <w:jc w:val="left"/>
          </w:pPr>
          <w:r>
            <w:t>Uzavřená verze: 2026-0075-002-TVO</w:t>
          </w:r>
        </w:p>
      </w:tc>
      <w:tc>
        <w:tcPr>
          <w:tcW w:w="2500" w:type="pct"/>
          <w:gridSpan w:val="2"/>
        </w:tcPr>
        <w:p>
          <w:pPr>
            <w:pStyle w:val="Hlavicka"/>
            <w:jc w:val="right"/>
          </w:pPr>
        </w:p>
      </w:tc>
    </w:tr>
  </w:tbl>
  <w:p>
    <w:pPr>
      <w:pStyle w:val="Hlavic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1881"/>
      <w:gridCol w:w="2822"/>
      <w:gridCol w:w="2822"/>
      <w:gridCol w:w="1881"/>
    </w:tblGrid>
    <w:tr>
      <w:tblPrEx>
        <w:tblW w:w="5000" w:type="pct"/>
      </w:tblPrEx>
      <w:tc>
        <w:tcPr>
          <w:tcW w:w="2500" w:type="pct"/>
          <w:gridSpan w:val="4"/>
        </w:tcPr>
        <w:p>
          <w:pPr>
            <w:pStyle w:val="HlavickaZlutyText"/>
            <w:jc w:val="center"/>
          </w:pPr>
        </w:p>
      </w:tc>
    </w:tr>
    <w:tr>
      <w:tblPrEx>
        <w:tblW w:w="5000" w:type="pct"/>
        <w:tblBorders>
          <w:bottom w:val="single" w:sz="12" w:space="0" w:color="000000"/>
        </w:tblBorders>
      </w:tblPrEx>
      <w:tc>
        <w:tcPr>
          <w:tcW w:w="1000" w:type="pct"/>
        </w:tcPr>
        <w:p>
          <w:pPr>
            <w:pStyle w:val="Hlavicka"/>
            <w:jc w:val="left"/>
          </w:pPr>
        </w:p>
      </w:tc>
      <w:tc>
        <w:tcPr>
          <w:tcW w:w="3000" w:type="pct"/>
          <w:gridSpan w:val="2"/>
        </w:tcPr>
        <w:p>
          <w:pPr>
            <w:pStyle w:val="Hlavicka"/>
            <w:jc w:val="center"/>
          </w:pPr>
          <w:r>
            <w:t>Důvodová zpráva</w:t>
          </w:r>
        </w:p>
      </w:tc>
      <w:tc>
        <w:tcPr>
          <w:tcW w:w="1000" w:type="pct"/>
        </w:tcPr>
        <w:p>
          <w:pPr>
            <w:pStyle w:val="Hlavicka"/>
            <w:jc w:val="right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  <w:tr>
      <w:tblPrEx>
        <w:tblW w:w="5000" w:type="pct"/>
      </w:tblPrEx>
      <w:tc>
        <w:tcPr>
          <w:tcW w:w="2500" w:type="pct"/>
          <w:gridSpan w:val="2"/>
        </w:tcPr>
        <w:p>
          <w:pPr>
            <w:pStyle w:val="Hlavicka"/>
            <w:jc w:val="left"/>
          </w:pPr>
        </w:p>
      </w:tc>
      <w:tc>
        <w:tcPr>
          <w:tcW w:w="2500" w:type="pct"/>
          <w:gridSpan w:val="2"/>
        </w:tcPr>
        <w:p>
          <w:pPr>
            <w:pStyle w:val="Hlavicka"/>
            <w:jc w:val="right"/>
          </w:pPr>
          <w:r>
            <w:t>Uzavřená verze: 2026-0075-002-TVO</w:t>
          </w:r>
        </w:p>
      </w:tc>
    </w:tr>
  </w:tbl>
  <w:p>
    <w:pPr>
      <w:pStyle w:val="Hlavic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9406"/>
    </w:tblGrid>
    <w:tr>
      <w:tblPrEx>
        <w:tblW w:w="5000" w:type="pct"/>
      </w:tblPrEx>
      <w:tc>
        <w:tcPr/>
        <w:p>
          <w:pPr>
            <w:pStyle w:val="HlavickaZlutyText"/>
            <w:jc w:val="center"/>
          </w:pPr>
        </w:p>
      </w:tc>
    </w:tr>
    <w:tr>
      <w:tblPrEx>
        <w:tblW w:w="5000" w:type="pct"/>
      </w:tblPrEx>
      <w:tc>
        <w:tcPr/>
        <w:p>
          <w:pPr>
            <w:pStyle w:val="Hlavicka"/>
            <w:jc w:val="right"/>
          </w:pPr>
        </w:p>
      </w:tc>
    </w:tr>
  </w:tbl>
  <w:p>
    <w:pPr>
      <w:pStyle w:val="Hlavic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evenAndOddHeader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lavicka">
    <w:name w:val="Hlavicka"/>
    <w:rPr>
      <w:i/>
      <w:sz w:val="20"/>
    </w:rPr>
  </w:style>
  <w:style w:type="paragraph" w:customStyle="1" w:styleId="HlavickaZlutyText">
    <w:name w:val="HlavickaZlutyText"/>
    <w:rPr>
      <w:i w:val="0"/>
      <w:sz w:val="18"/>
    </w:rPr>
  </w:style>
  <w:style w:type="paragraph" w:customStyle="1" w:styleId="Variantastart">
    <w:name w:val="Varianta_start"/>
    <w:pPr>
      <w:pBdr>
        <w:top w:val="single" w:sz="8" w:space="0" w:color="80008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konec">
    <w:name w:val="Varianta_konec"/>
    <w:pPr>
      <w:pBdr>
        <w:bottom w:val="single" w:sz="8" w:space="0" w:color="80008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start">
    <w:name w:val="Ucinnost_start"/>
    <w:pPr>
      <w:pBdr>
        <w:top w:val="single" w:sz="8" w:space="0" w:color="8B000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konec">
    <w:name w:val="Ucinnost_konec"/>
    <w:pPr>
      <w:pBdr>
        <w:bottom w:val="single" w:sz="8" w:space="0" w:color="8B000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Celex">
    <w:name w:val="Celex"/>
    <w:pPr>
      <w:spacing w:before="120" w:after="120"/>
      <w:jc w:val="left"/>
    </w:pPr>
    <w:rPr>
      <w:rFonts w:ascii="Times New Roman" w:eastAsia="Times New Roman" w:hAnsi="Times New Roman" w:cs="Times New Roman"/>
      <w:i/>
      <w:sz w:val="20"/>
    </w:rPr>
  </w:style>
  <w:style w:type="paragraph" w:customStyle="1" w:styleId="Pripominkystart">
    <w:name w:val="Pripominky_start"/>
    <w:pPr>
      <w:pBdr>
        <w:top w:val="single" w:sz="8" w:space="0" w:color="87CEFA"/>
      </w:pBdr>
      <w:spacing w:before="0" w:after="10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">
    <w:name w:val="1"/>
    <w:pPr>
      <w:spacing w:before="11" w:after="0"/>
      <w:ind w:right="0"/>
      <w:jc w:val="left"/>
    </w:pPr>
    <w:rPr>
      <w:rFonts w:ascii="Times New Roman" w:eastAsia="Times New Roman" w:hAnsi="Times New Roman" w:cs="Times New Roman"/>
      <w:sz w:val="0"/>
    </w:rPr>
  </w:style>
  <w:style w:type="paragraph" w:customStyle="1" w:styleId="2">
    <w:name w:val="2"/>
    <w:pPr>
      <w:spacing w:before="57" w:after="0"/>
      <w:ind w:right="227"/>
      <w:jc w:val="right"/>
    </w:pPr>
    <w:rPr>
      <w:rFonts w:ascii="Times New Roman" w:eastAsia="Times New Roman" w:hAnsi="Times New Roman" w:cs="Times New Roman"/>
      <w:b/>
      <w:sz w:val="40"/>
    </w:rPr>
  </w:style>
  <w:style w:type="paragraph" w:customStyle="1" w:styleId="3">
    <w:name w:val="3"/>
    <w:pPr>
      <w:spacing w:before="0" w:after="340"/>
      <w:ind w:left="680" w:right="680"/>
      <w:jc w:val="center"/>
    </w:pPr>
    <w:rPr>
      <w:rFonts w:ascii="Times New Roman" w:eastAsia="Times New Roman" w:hAnsi="Times New Roman" w:cs="Times New Roman"/>
      <w:b/>
      <w:sz w:val="44"/>
    </w:rPr>
  </w:style>
  <w:style w:type="paragraph" w:customStyle="1" w:styleId="4">
    <w:name w:val="4"/>
    <w:pPr>
      <w:spacing w:before="340" w:after="113"/>
      <w:ind w:left="850" w:right="850"/>
      <w:jc w:val="center"/>
    </w:pPr>
    <w:rPr>
      <w:rFonts w:ascii="Times New Roman" w:eastAsia="Times New Roman" w:hAnsi="Times New Roman" w:cs="Times New Roman"/>
      <w:b/>
      <w:sz w:val="34"/>
    </w:rPr>
  </w:style>
  <w:style w:type="paragraph" w:customStyle="1" w:styleId="5">
    <w:name w:val="5"/>
    <w:pPr>
      <w:spacing w:before="510" w:after="0"/>
      <w:ind w:left="850" w:right="850"/>
      <w:jc w:val="center"/>
    </w:pPr>
    <w:rPr>
      <w:rFonts w:ascii="Times New Roman" w:eastAsia="Times New Roman" w:hAnsi="Times New Roman" w:cs="Times New Roman"/>
      <w:b/>
      <w:sz w:val="32"/>
    </w:rPr>
  </w:style>
  <w:style w:type="paragraph" w:customStyle="1" w:styleId="6">
    <w:name w:val="6"/>
    <w:pPr>
      <w:overflowPunct/>
      <w:spacing w:before="283" w:after="113"/>
      <w:ind w:left="340" w:right="0" w:hanging="340"/>
      <w:jc w:val="left"/>
    </w:pPr>
    <w:rPr>
      <w:rFonts w:ascii="Times New Roman" w:eastAsia="Times New Roman" w:hAnsi="Times New Roman" w:cs="Times New Roman"/>
      <w:b/>
      <w:sz w:val="26"/>
    </w:rPr>
  </w:style>
  <w:style w:type="paragraph" w:customStyle="1" w:styleId="Varianta6start">
    <w:name w:val="Varianta_6_start"/>
    <w:pPr>
      <w:pBdr>
        <w:top w:val="single" w:sz="8" w:space="0" w:color="80008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6konec">
    <w:name w:val="Varianta_6_konec"/>
    <w:pPr>
      <w:pBdr>
        <w:bottom w:val="single" w:sz="8" w:space="0" w:color="80008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6start">
    <w:name w:val="Ucinnost_6_start"/>
    <w:pPr>
      <w:pBdr>
        <w:top w:val="single" w:sz="8" w:space="0" w:color="8B000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6konec">
    <w:name w:val="Ucinnost_6_konec"/>
    <w:pPr>
      <w:pBdr>
        <w:bottom w:val="single" w:sz="8" w:space="0" w:color="8B000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Pripominky6start">
    <w:name w:val="Pripominky_6_start"/>
    <w:pPr>
      <w:pBdr>
        <w:top w:val="single" w:sz="8" w:space="0" w:color="87CEFA"/>
      </w:pBdr>
      <w:spacing w:before="0" w:after="100"/>
      <w:ind w:left="34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7">
    <w:name w:val="7"/>
    <w:pPr>
      <w:spacing w:before="0" w:after="57"/>
      <w:ind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8">
    <w:name w:val="8"/>
    <w:pPr>
      <w:spacing w:before="0" w:after="113"/>
      <w:ind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9">
    <w:name w:val="9"/>
    <w:pPr>
      <w:spacing w:before="113" w:after="57"/>
      <w:ind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0">
    <w:name w:val="10"/>
    <w:pPr>
      <w:overflowPunct/>
      <w:spacing w:before="170" w:after="57"/>
      <w:ind w:left="510" w:right="0" w:hanging="510"/>
      <w:jc w:val="left"/>
    </w:pPr>
    <w:rPr>
      <w:rFonts w:ascii="Times New Roman" w:eastAsia="Times New Roman" w:hAnsi="Times New Roman" w:cs="Times New Roman"/>
      <w:b/>
      <w:sz w:val="26"/>
    </w:rPr>
  </w:style>
  <w:style w:type="paragraph" w:customStyle="1" w:styleId="Varianta10start">
    <w:name w:val="Varianta_10_start"/>
    <w:pPr>
      <w:pBdr>
        <w:top w:val="single" w:sz="8" w:space="0" w:color="800080"/>
      </w:pBdr>
      <w:spacing w:before="0" w:after="100"/>
      <w:ind w:left="51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10konec">
    <w:name w:val="Varianta_10_konec"/>
    <w:pPr>
      <w:pBdr>
        <w:bottom w:val="single" w:sz="8" w:space="0" w:color="800080"/>
      </w:pBdr>
      <w:spacing w:before="0" w:after="100"/>
      <w:ind w:left="51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10start">
    <w:name w:val="Ucinnost_10_start"/>
    <w:pPr>
      <w:pBdr>
        <w:top w:val="single" w:sz="8" w:space="0" w:color="8B0000"/>
      </w:pBdr>
      <w:spacing w:before="0" w:after="100"/>
      <w:ind w:left="51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10konec">
    <w:name w:val="Ucinnost_10_konec"/>
    <w:pPr>
      <w:pBdr>
        <w:bottom w:val="single" w:sz="8" w:space="0" w:color="8B0000"/>
      </w:pBdr>
      <w:spacing w:before="0" w:after="100"/>
      <w:ind w:left="51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Pripominky10start">
    <w:name w:val="Pripominky_10_start"/>
    <w:pPr>
      <w:pBdr>
        <w:top w:val="single" w:sz="8" w:space="0" w:color="87CEFA"/>
      </w:pBdr>
      <w:spacing w:before="0" w:after="100"/>
      <w:ind w:left="51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1">
    <w:name w:val="11"/>
    <w:pPr>
      <w:spacing w:before="113" w:after="113"/>
      <w:ind w:right="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